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10.odttf" ContentType="application/vnd.openxmlformats-officedocument.obfuscatedFont"/>
  <Override PartName="/word/fonts/font1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nts/font7.odttf" ContentType="application/vnd.openxmlformats-officedocument.obfuscatedFont"/>
  <Override PartName="/word/fonts/font8.odttf" ContentType="application/vnd.openxmlformats-officedocument.obfuscatedFont"/>
  <Override PartName="/word/fonts/font9.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6C9DF5B">
      <w:pPr>
        <w:pStyle w:val="76"/>
        <w:ind w:firstLine="0"/>
        <w:rPr>
          <w:rFonts w:hint="eastAsia" w:ascii="宋体" w:hAnsi="宋体"/>
          <w:b/>
          <w:sz w:val="52"/>
          <w:szCs w:val="52"/>
        </w:rPr>
      </w:pPr>
    </w:p>
    <w:p w14:paraId="698A9001">
      <w:pPr>
        <w:pStyle w:val="76"/>
        <w:ind w:firstLine="0"/>
        <w:jc w:val="center"/>
        <w:rPr>
          <w:rFonts w:hint="eastAsia" w:ascii="宋体" w:hAnsi="宋体"/>
          <w:b/>
          <w:sz w:val="52"/>
          <w:szCs w:val="52"/>
        </w:rPr>
      </w:pPr>
    </w:p>
    <w:p w14:paraId="03C3706D">
      <w:pPr>
        <w:pStyle w:val="76"/>
        <w:ind w:firstLine="0"/>
        <w:jc w:val="center"/>
        <w:rPr>
          <w:rFonts w:hint="eastAsia" w:ascii="宋体" w:hAnsi="宋体"/>
          <w:b/>
          <w:sz w:val="52"/>
          <w:szCs w:val="52"/>
        </w:rPr>
      </w:pPr>
    </w:p>
    <w:p w14:paraId="7BBCB4F3">
      <w:pPr>
        <w:pStyle w:val="76"/>
        <w:ind w:firstLine="0"/>
        <w:jc w:val="center"/>
        <w:rPr>
          <w:rFonts w:eastAsia="黑体"/>
          <w:b/>
          <w:bCs/>
          <w:sz w:val="84"/>
        </w:rPr>
      </w:pPr>
      <w:r>
        <w:rPr>
          <w:rFonts w:hint="eastAsia" w:eastAsia="黑体"/>
          <w:b/>
          <w:bCs/>
          <w:sz w:val="84"/>
        </w:rPr>
        <w:t xml:space="preserve"> 竞争性磋商文件</w:t>
      </w:r>
    </w:p>
    <w:p w14:paraId="1176C6B1">
      <w:pPr>
        <w:pStyle w:val="76"/>
        <w:ind w:firstLine="0"/>
        <w:jc w:val="center"/>
        <w:rPr>
          <w:rFonts w:hint="eastAsia" w:ascii="宋体" w:hAnsi="宋体"/>
          <w:b/>
          <w:bCs/>
          <w:sz w:val="32"/>
          <w:szCs w:val="32"/>
        </w:rPr>
      </w:pPr>
      <w:r>
        <w:rPr>
          <w:rFonts w:hint="eastAsia" w:ascii="宋体" w:hAnsi="宋体"/>
          <w:b/>
          <w:bCs/>
          <w:sz w:val="32"/>
          <w:szCs w:val="32"/>
        </w:rPr>
        <w:t>（服务类）</w:t>
      </w:r>
    </w:p>
    <w:p w14:paraId="14B123E2">
      <w:pPr>
        <w:pStyle w:val="76"/>
        <w:ind w:firstLine="0"/>
        <w:rPr>
          <w:b/>
          <w:bCs/>
          <w:sz w:val="32"/>
        </w:rPr>
      </w:pPr>
      <w:r>
        <w:rPr>
          <w:rFonts w:hint="eastAsia"/>
          <w:b/>
          <w:bCs/>
          <w:sz w:val="32"/>
        </w:rPr>
        <w:t xml:space="preserve">                      </w:t>
      </w:r>
    </w:p>
    <w:p w14:paraId="6ABA55B0">
      <w:pPr>
        <w:pStyle w:val="68"/>
        <w:spacing w:line="500" w:lineRule="exact"/>
        <w:ind w:left="1106" w:leftChars="608" w:firstLine="0" w:firstLineChars="0"/>
        <w:jc w:val="left"/>
        <w:rPr>
          <w:b/>
          <w:bCs/>
          <w:sz w:val="32"/>
        </w:rPr>
      </w:pPr>
      <w:r>
        <w:rPr>
          <w:b/>
          <w:bCs/>
          <w:sz w:val="32"/>
        </w:rPr>
        <w:t>项目名称：</w:t>
      </w:r>
      <w:r>
        <w:rPr>
          <w:rFonts w:hint="eastAsia"/>
          <w:b/>
          <w:bCs/>
          <w:sz w:val="32"/>
        </w:rPr>
        <w:t>自动计费模块改造、电子发票业财系统对接服务</w:t>
      </w:r>
    </w:p>
    <w:p w14:paraId="097630CF">
      <w:pPr>
        <w:pStyle w:val="68"/>
        <w:spacing w:line="500" w:lineRule="exact"/>
        <w:ind w:firstLine="1168" w:firstLineChars="400"/>
        <w:rPr>
          <w:rFonts w:ascii="Times New Roman" w:hAnsi="Times New Roman"/>
          <w:color w:val="000000"/>
          <w:sz w:val="24"/>
          <w:szCs w:val="24"/>
        </w:rPr>
      </w:pPr>
      <w:r>
        <w:rPr>
          <w:rFonts w:hint="eastAsia"/>
          <w:b/>
          <w:bCs/>
          <w:sz w:val="32"/>
        </w:rPr>
        <w:t>项目编号：JSZC-320000-NJXY-C2024-0055</w:t>
      </w:r>
    </w:p>
    <w:p w14:paraId="163B2FF2">
      <w:pPr>
        <w:pStyle w:val="76"/>
        <w:ind w:firstLine="0"/>
        <w:jc w:val="center"/>
        <w:rPr>
          <w:b/>
          <w:bCs/>
          <w:sz w:val="32"/>
        </w:rPr>
      </w:pPr>
    </w:p>
    <w:p w14:paraId="77AB19F9">
      <w:pPr>
        <w:pStyle w:val="76"/>
        <w:ind w:firstLine="0"/>
        <w:jc w:val="center"/>
        <w:rPr>
          <w:b/>
          <w:bCs/>
          <w:sz w:val="32"/>
        </w:rPr>
      </w:pPr>
    </w:p>
    <w:p w14:paraId="7A105519">
      <w:pPr>
        <w:pStyle w:val="76"/>
        <w:ind w:firstLine="0"/>
        <w:jc w:val="center"/>
        <w:rPr>
          <w:b/>
          <w:bCs/>
          <w:sz w:val="32"/>
        </w:rPr>
      </w:pPr>
    </w:p>
    <w:p w14:paraId="5F9D92CC">
      <w:pPr>
        <w:pStyle w:val="76"/>
        <w:ind w:firstLine="0"/>
        <w:jc w:val="center"/>
        <w:rPr>
          <w:b/>
          <w:bCs/>
          <w:sz w:val="32"/>
        </w:rPr>
      </w:pPr>
    </w:p>
    <w:p w14:paraId="3B15798C">
      <w:pPr>
        <w:pStyle w:val="76"/>
        <w:ind w:firstLine="0"/>
        <w:jc w:val="center"/>
        <w:rPr>
          <w:b/>
          <w:bCs/>
          <w:sz w:val="32"/>
        </w:rPr>
      </w:pPr>
    </w:p>
    <w:p w14:paraId="41E4B6BE">
      <w:pPr>
        <w:pStyle w:val="76"/>
        <w:ind w:firstLine="0"/>
        <w:jc w:val="center"/>
        <w:rPr>
          <w:b/>
          <w:bCs/>
          <w:sz w:val="32"/>
        </w:rPr>
      </w:pPr>
    </w:p>
    <w:p w14:paraId="7E436A6A">
      <w:pPr>
        <w:pStyle w:val="76"/>
        <w:ind w:firstLine="0"/>
        <w:jc w:val="center"/>
        <w:rPr>
          <w:b/>
          <w:bCs/>
          <w:sz w:val="32"/>
        </w:rPr>
      </w:pPr>
    </w:p>
    <w:p w14:paraId="7B566B13">
      <w:pPr>
        <w:pStyle w:val="76"/>
        <w:ind w:firstLine="0"/>
        <w:jc w:val="center"/>
        <w:rPr>
          <w:b/>
          <w:bCs/>
          <w:sz w:val="32"/>
        </w:rPr>
      </w:pPr>
      <w:r>
        <w:rPr>
          <w:rFonts w:hint="eastAsia"/>
          <w:b/>
          <w:bCs/>
          <w:sz w:val="32"/>
        </w:rPr>
        <w:t>南京小旸树招标代理有限公司</w:t>
      </w:r>
    </w:p>
    <w:p w14:paraId="3D56C0CC">
      <w:pPr>
        <w:pStyle w:val="76"/>
        <w:ind w:firstLine="0"/>
        <w:jc w:val="center"/>
        <w:rPr>
          <w:b/>
          <w:bCs/>
          <w:sz w:val="32"/>
        </w:rPr>
      </w:pPr>
      <w:r>
        <w:rPr>
          <w:rFonts w:hint="eastAsia"/>
          <w:b/>
          <w:bCs/>
          <w:sz w:val="32"/>
        </w:rPr>
        <w:t>20</w:t>
      </w:r>
      <w:r>
        <w:rPr>
          <w:b/>
          <w:bCs/>
          <w:sz w:val="32"/>
        </w:rPr>
        <w:t>2</w:t>
      </w:r>
      <w:r>
        <w:rPr>
          <w:rFonts w:hint="eastAsia"/>
          <w:b/>
          <w:bCs/>
          <w:sz w:val="32"/>
        </w:rPr>
        <w:t>4年1</w:t>
      </w:r>
      <w:r>
        <w:rPr>
          <w:rFonts w:hint="eastAsia"/>
          <w:b/>
          <w:bCs/>
          <w:sz w:val="32"/>
          <w:lang w:val="en-US" w:eastAsia="zh-CN"/>
        </w:rPr>
        <w:t>1</w:t>
      </w:r>
      <w:r>
        <w:rPr>
          <w:rFonts w:hint="eastAsia"/>
          <w:b/>
          <w:bCs/>
          <w:sz w:val="32"/>
        </w:rPr>
        <w:t>月</w:t>
      </w:r>
    </w:p>
    <w:p w14:paraId="442F268E">
      <w:pPr>
        <w:pStyle w:val="76"/>
        <w:ind w:firstLine="0"/>
        <w:jc w:val="center"/>
        <w:rPr>
          <w:b/>
          <w:bCs/>
          <w:sz w:val="32"/>
        </w:rPr>
      </w:pPr>
    </w:p>
    <w:p w14:paraId="5FE6E442">
      <w:pPr>
        <w:jc w:val="center"/>
        <w:rPr>
          <w:rFonts w:ascii="黑体" w:hAnsi="Arial" w:eastAsia="黑体"/>
          <w:b/>
          <w:sz w:val="44"/>
          <w:szCs w:val="21"/>
        </w:rPr>
      </w:pPr>
      <w:r>
        <w:rPr>
          <w:rFonts w:hint="eastAsia" w:ascii="黑体" w:hAnsi="Arial" w:eastAsia="黑体"/>
          <w:b/>
          <w:sz w:val="44"/>
          <w:szCs w:val="21"/>
        </w:rPr>
        <w:t>总 目 录</w:t>
      </w:r>
    </w:p>
    <w:p w14:paraId="37CFAD8A">
      <w:pPr>
        <w:pStyle w:val="27"/>
      </w:pPr>
    </w:p>
    <w:p w14:paraId="354160BF">
      <w:pPr>
        <w:pStyle w:val="27"/>
        <w:rPr>
          <w:rFonts w:asciiTheme="minorHAnsi" w:hAnsiTheme="minorHAnsi" w:eastAsiaTheme="minorEastAsia" w:cstheme="minorBidi"/>
          <w:b w:val="0"/>
          <w:caps w:val="0"/>
          <w:sz w:val="28"/>
        </w:rPr>
      </w:pPr>
      <w:r>
        <w:rPr>
          <w:sz w:val="30"/>
          <w:szCs w:val="30"/>
        </w:rPr>
        <w:fldChar w:fldCharType="begin"/>
      </w:r>
      <w:r>
        <w:rPr>
          <w:sz w:val="30"/>
          <w:szCs w:val="30"/>
        </w:rPr>
        <w:instrText xml:space="preserve"> </w:instrText>
      </w:r>
      <w:r>
        <w:rPr>
          <w:rFonts w:hint="eastAsia"/>
          <w:sz w:val="30"/>
          <w:szCs w:val="30"/>
        </w:rPr>
        <w:instrText xml:space="preserve">TOC \h \z \t "标题,1"</w:instrText>
      </w:r>
      <w:r>
        <w:rPr>
          <w:sz w:val="30"/>
          <w:szCs w:val="30"/>
        </w:rPr>
        <w:instrText xml:space="preserve"> </w:instrText>
      </w:r>
      <w:r>
        <w:rPr>
          <w:sz w:val="30"/>
          <w:szCs w:val="30"/>
        </w:rPr>
        <w:fldChar w:fldCharType="separate"/>
      </w:r>
      <w:r>
        <w:fldChar w:fldCharType="begin"/>
      </w:r>
      <w:r>
        <w:instrText xml:space="preserve"> HYPERLINK \l "_Toc163660777" </w:instrText>
      </w:r>
      <w:r>
        <w:fldChar w:fldCharType="separate"/>
      </w:r>
      <w:r>
        <w:rPr>
          <w:rStyle w:val="48"/>
          <w:sz w:val="28"/>
        </w:rPr>
        <w:t xml:space="preserve">第一章 </w:t>
      </w:r>
      <w:r>
        <w:rPr>
          <w:rStyle w:val="48"/>
          <w:rFonts w:hint="eastAsia"/>
          <w:sz w:val="28"/>
        </w:rPr>
        <w:t xml:space="preserve"> </w:t>
      </w:r>
      <w:r>
        <w:rPr>
          <w:rStyle w:val="48"/>
          <w:sz w:val="28"/>
        </w:rPr>
        <w:t>采购邀请</w:t>
      </w:r>
      <w:r>
        <w:rPr>
          <w:sz w:val="28"/>
        </w:rPr>
        <w:tab/>
      </w:r>
      <w:r>
        <w:rPr>
          <w:sz w:val="28"/>
        </w:rPr>
        <w:fldChar w:fldCharType="begin"/>
      </w:r>
      <w:r>
        <w:rPr>
          <w:sz w:val="28"/>
        </w:rPr>
        <w:instrText xml:space="preserve"> PAGEREF _Toc163660777 \h </w:instrText>
      </w:r>
      <w:r>
        <w:rPr>
          <w:sz w:val="28"/>
        </w:rPr>
        <w:fldChar w:fldCharType="separate"/>
      </w:r>
      <w:r>
        <w:rPr>
          <w:sz w:val="28"/>
        </w:rPr>
        <w:t>1</w:t>
      </w:r>
      <w:r>
        <w:rPr>
          <w:sz w:val="28"/>
        </w:rPr>
        <w:fldChar w:fldCharType="end"/>
      </w:r>
      <w:r>
        <w:rPr>
          <w:sz w:val="28"/>
        </w:rPr>
        <w:fldChar w:fldCharType="end"/>
      </w:r>
    </w:p>
    <w:p w14:paraId="28296285">
      <w:pPr>
        <w:pStyle w:val="27"/>
        <w:rPr>
          <w:rFonts w:asciiTheme="minorHAnsi" w:hAnsiTheme="minorHAnsi" w:eastAsiaTheme="minorEastAsia" w:cstheme="minorBidi"/>
          <w:b w:val="0"/>
          <w:caps w:val="0"/>
          <w:sz w:val="28"/>
        </w:rPr>
      </w:pPr>
      <w:r>
        <w:fldChar w:fldCharType="begin"/>
      </w:r>
      <w:r>
        <w:instrText xml:space="preserve"> HYPERLINK \l "_Toc163660778" </w:instrText>
      </w:r>
      <w:r>
        <w:fldChar w:fldCharType="separate"/>
      </w:r>
      <w:r>
        <w:rPr>
          <w:rStyle w:val="48"/>
          <w:sz w:val="28"/>
        </w:rPr>
        <w:t>第二章  磋商须知</w:t>
      </w:r>
      <w:r>
        <w:rPr>
          <w:sz w:val="28"/>
        </w:rPr>
        <w:tab/>
      </w:r>
      <w:r>
        <w:rPr>
          <w:sz w:val="28"/>
        </w:rPr>
        <w:fldChar w:fldCharType="begin"/>
      </w:r>
      <w:r>
        <w:rPr>
          <w:sz w:val="28"/>
        </w:rPr>
        <w:instrText xml:space="preserve"> PAGEREF _Toc163660778 \h </w:instrText>
      </w:r>
      <w:r>
        <w:rPr>
          <w:sz w:val="28"/>
        </w:rPr>
        <w:fldChar w:fldCharType="separate"/>
      </w:r>
      <w:r>
        <w:rPr>
          <w:sz w:val="28"/>
        </w:rPr>
        <w:t>7</w:t>
      </w:r>
      <w:r>
        <w:rPr>
          <w:sz w:val="28"/>
        </w:rPr>
        <w:fldChar w:fldCharType="end"/>
      </w:r>
      <w:r>
        <w:rPr>
          <w:sz w:val="28"/>
        </w:rPr>
        <w:fldChar w:fldCharType="end"/>
      </w:r>
    </w:p>
    <w:p w14:paraId="56B547B4">
      <w:pPr>
        <w:pStyle w:val="27"/>
        <w:rPr>
          <w:rFonts w:asciiTheme="minorHAnsi" w:hAnsiTheme="minorHAnsi" w:eastAsiaTheme="minorEastAsia" w:cstheme="minorBidi"/>
          <w:b w:val="0"/>
          <w:caps w:val="0"/>
          <w:sz w:val="28"/>
        </w:rPr>
      </w:pPr>
      <w:r>
        <w:fldChar w:fldCharType="begin"/>
      </w:r>
      <w:r>
        <w:instrText xml:space="preserve"> HYPERLINK \l "_Toc163660779" </w:instrText>
      </w:r>
      <w:r>
        <w:fldChar w:fldCharType="separate"/>
      </w:r>
      <w:r>
        <w:rPr>
          <w:rStyle w:val="48"/>
          <w:sz w:val="28"/>
        </w:rPr>
        <w:t xml:space="preserve">第三章 </w:t>
      </w:r>
      <w:r>
        <w:rPr>
          <w:rStyle w:val="48"/>
          <w:rFonts w:hint="eastAsia"/>
          <w:sz w:val="28"/>
        </w:rPr>
        <w:t xml:space="preserve"> </w:t>
      </w:r>
      <w:r>
        <w:rPr>
          <w:rStyle w:val="48"/>
          <w:sz w:val="28"/>
        </w:rPr>
        <w:t>合同条款</w:t>
      </w:r>
      <w:r>
        <w:rPr>
          <w:sz w:val="28"/>
        </w:rPr>
        <w:tab/>
      </w:r>
      <w:r>
        <w:rPr>
          <w:sz w:val="28"/>
        </w:rPr>
        <w:fldChar w:fldCharType="begin"/>
      </w:r>
      <w:r>
        <w:rPr>
          <w:sz w:val="28"/>
        </w:rPr>
        <w:instrText xml:space="preserve"> PAGEREF _Toc163660779 \h </w:instrText>
      </w:r>
      <w:r>
        <w:rPr>
          <w:sz w:val="28"/>
        </w:rPr>
        <w:fldChar w:fldCharType="separate"/>
      </w:r>
      <w:r>
        <w:rPr>
          <w:sz w:val="28"/>
        </w:rPr>
        <w:t>21</w:t>
      </w:r>
      <w:r>
        <w:rPr>
          <w:sz w:val="28"/>
        </w:rPr>
        <w:fldChar w:fldCharType="end"/>
      </w:r>
      <w:r>
        <w:rPr>
          <w:sz w:val="28"/>
        </w:rPr>
        <w:fldChar w:fldCharType="end"/>
      </w:r>
    </w:p>
    <w:p w14:paraId="038CB7DC">
      <w:pPr>
        <w:pStyle w:val="27"/>
        <w:rPr>
          <w:rFonts w:asciiTheme="minorHAnsi" w:hAnsiTheme="minorHAnsi" w:eastAsiaTheme="minorEastAsia" w:cstheme="minorBidi"/>
          <w:b w:val="0"/>
          <w:caps w:val="0"/>
          <w:sz w:val="28"/>
        </w:rPr>
      </w:pPr>
      <w:r>
        <w:fldChar w:fldCharType="begin"/>
      </w:r>
      <w:r>
        <w:instrText xml:space="preserve"> HYPERLINK \l "_Toc163660780" </w:instrText>
      </w:r>
      <w:r>
        <w:fldChar w:fldCharType="separate"/>
      </w:r>
      <w:r>
        <w:rPr>
          <w:rStyle w:val="48"/>
          <w:sz w:val="28"/>
        </w:rPr>
        <w:t xml:space="preserve">第四章 </w:t>
      </w:r>
      <w:r>
        <w:rPr>
          <w:rStyle w:val="48"/>
          <w:rFonts w:hint="eastAsia"/>
          <w:sz w:val="28"/>
        </w:rPr>
        <w:t xml:space="preserve"> </w:t>
      </w:r>
      <w:r>
        <w:rPr>
          <w:rStyle w:val="48"/>
          <w:sz w:val="28"/>
        </w:rPr>
        <w:t>项目需求</w:t>
      </w:r>
      <w:r>
        <w:rPr>
          <w:sz w:val="28"/>
        </w:rPr>
        <w:tab/>
      </w:r>
      <w:r>
        <w:rPr>
          <w:sz w:val="28"/>
        </w:rPr>
        <w:fldChar w:fldCharType="begin"/>
      </w:r>
      <w:r>
        <w:rPr>
          <w:sz w:val="28"/>
        </w:rPr>
        <w:instrText xml:space="preserve"> PAGEREF _Toc163660780 \h </w:instrText>
      </w:r>
      <w:r>
        <w:rPr>
          <w:sz w:val="28"/>
        </w:rPr>
        <w:fldChar w:fldCharType="separate"/>
      </w:r>
      <w:r>
        <w:rPr>
          <w:sz w:val="28"/>
        </w:rPr>
        <w:t>26</w:t>
      </w:r>
      <w:r>
        <w:rPr>
          <w:sz w:val="28"/>
        </w:rPr>
        <w:fldChar w:fldCharType="end"/>
      </w:r>
      <w:r>
        <w:rPr>
          <w:sz w:val="28"/>
        </w:rPr>
        <w:fldChar w:fldCharType="end"/>
      </w:r>
    </w:p>
    <w:p w14:paraId="487622E0">
      <w:pPr>
        <w:pStyle w:val="27"/>
        <w:rPr>
          <w:rFonts w:asciiTheme="minorHAnsi" w:hAnsiTheme="minorHAnsi" w:eastAsiaTheme="minorEastAsia" w:cstheme="minorBidi"/>
          <w:b w:val="0"/>
          <w:caps w:val="0"/>
          <w:sz w:val="28"/>
        </w:rPr>
      </w:pPr>
      <w:r>
        <w:fldChar w:fldCharType="begin"/>
      </w:r>
      <w:r>
        <w:instrText xml:space="preserve"> HYPERLINK \l "_Toc163660781" </w:instrText>
      </w:r>
      <w:r>
        <w:fldChar w:fldCharType="separate"/>
      </w:r>
      <w:r>
        <w:rPr>
          <w:rStyle w:val="48"/>
          <w:sz w:val="28"/>
        </w:rPr>
        <w:t xml:space="preserve">第五章 </w:t>
      </w:r>
      <w:r>
        <w:rPr>
          <w:rStyle w:val="48"/>
          <w:rFonts w:hint="eastAsia"/>
          <w:sz w:val="28"/>
        </w:rPr>
        <w:t xml:space="preserve"> </w:t>
      </w:r>
      <w:r>
        <w:rPr>
          <w:rStyle w:val="48"/>
          <w:sz w:val="28"/>
        </w:rPr>
        <w:t>评审方法和评审标准</w:t>
      </w:r>
      <w:r>
        <w:rPr>
          <w:sz w:val="28"/>
        </w:rPr>
        <w:tab/>
      </w:r>
      <w:r>
        <w:rPr>
          <w:sz w:val="28"/>
        </w:rPr>
        <w:fldChar w:fldCharType="begin"/>
      </w:r>
      <w:r>
        <w:rPr>
          <w:sz w:val="28"/>
        </w:rPr>
        <w:instrText xml:space="preserve"> PAGEREF _Toc163660781 \h </w:instrText>
      </w:r>
      <w:r>
        <w:rPr>
          <w:sz w:val="28"/>
        </w:rPr>
        <w:fldChar w:fldCharType="separate"/>
      </w:r>
      <w:r>
        <w:rPr>
          <w:sz w:val="28"/>
        </w:rPr>
        <w:t>44</w:t>
      </w:r>
      <w:r>
        <w:rPr>
          <w:sz w:val="28"/>
        </w:rPr>
        <w:fldChar w:fldCharType="end"/>
      </w:r>
      <w:r>
        <w:rPr>
          <w:sz w:val="28"/>
        </w:rPr>
        <w:fldChar w:fldCharType="end"/>
      </w:r>
    </w:p>
    <w:p w14:paraId="7724CECD">
      <w:pPr>
        <w:pStyle w:val="27"/>
        <w:rPr>
          <w:rFonts w:asciiTheme="minorHAnsi" w:hAnsiTheme="minorHAnsi" w:eastAsiaTheme="minorEastAsia" w:cstheme="minorBidi"/>
          <w:b w:val="0"/>
          <w:caps w:val="0"/>
          <w:sz w:val="28"/>
        </w:rPr>
      </w:pPr>
      <w:r>
        <w:fldChar w:fldCharType="begin"/>
      </w:r>
      <w:r>
        <w:instrText xml:space="preserve"> HYPERLINK \l "_Toc163660782" </w:instrText>
      </w:r>
      <w:r>
        <w:fldChar w:fldCharType="separate"/>
      </w:r>
      <w:r>
        <w:rPr>
          <w:rStyle w:val="48"/>
          <w:sz w:val="28"/>
        </w:rPr>
        <w:t>第六章  响应文件的组成和格式</w:t>
      </w:r>
      <w:r>
        <w:rPr>
          <w:sz w:val="28"/>
        </w:rPr>
        <w:tab/>
      </w:r>
      <w:r>
        <w:rPr>
          <w:sz w:val="28"/>
        </w:rPr>
        <w:fldChar w:fldCharType="begin"/>
      </w:r>
      <w:r>
        <w:rPr>
          <w:sz w:val="28"/>
        </w:rPr>
        <w:instrText xml:space="preserve"> PAGEREF _Toc163660782 \h </w:instrText>
      </w:r>
      <w:r>
        <w:rPr>
          <w:sz w:val="28"/>
        </w:rPr>
        <w:fldChar w:fldCharType="separate"/>
      </w:r>
      <w:r>
        <w:rPr>
          <w:sz w:val="28"/>
        </w:rPr>
        <w:t>49</w:t>
      </w:r>
      <w:r>
        <w:rPr>
          <w:sz w:val="28"/>
        </w:rPr>
        <w:fldChar w:fldCharType="end"/>
      </w:r>
      <w:r>
        <w:rPr>
          <w:sz w:val="28"/>
        </w:rPr>
        <w:fldChar w:fldCharType="end"/>
      </w:r>
    </w:p>
    <w:p w14:paraId="5A1E9019">
      <w:pPr>
        <w:tabs>
          <w:tab w:val="left" w:pos="6203"/>
          <w:tab w:val="left" w:pos="8607"/>
        </w:tabs>
        <w:spacing w:line="480" w:lineRule="auto"/>
        <w:rPr>
          <w:rFonts w:hint="eastAsia" w:ascii="宋体" w:hAnsi="宋体"/>
        </w:rPr>
      </w:pPr>
      <w:r>
        <w:rPr>
          <w:rFonts w:ascii="黑体" w:hAnsi="黑体" w:eastAsia="黑体"/>
          <w:sz w:val="30"/>
          <w:szCs w:val="30"/>
        </w:rPr>
        <w:fldChar w:fldCharType="end"/>
      </w:r>
      <w:r>
        <w:rPr>
          <w:rFonts w:ascii="黑体" w:hAnsi="黑体" w:eastAsia="黑体"/>
          <w:sz w:val="32"/>
          <w:szCs w:val="32"/>
        </w:rPr>
        <w:tab/>
      </w:r>
      <w:r>
        <w:rPr>
          <w:rFonts w:ascii="黑体" w:hAnsi="黑体" w:eastAsia="黑体"/>
          <w:sz w:val="32"/>
          <w:szCs w:val="32"/>
        </w:rPr>
        <w:tab/>
      </w:r>
    </w:p>
    <w:p w14:paraId="618AF236">
      <w:pPr>
        <w:rPr>
          <w:rFonts w:hint="eastAsia" w:ascii="宋体" w:hAnsi="宋体"/>
        </w:rPr>
      </w:pPr>
    </w:p>
    <w:p w14:paraId="2A7AE75F">
      <w:pPr>
        <w:rPr>
          <w:rFonts w:hint="eastAsia" w:ascii="宋体" w:hAnsi="宋体"/>
        </w:rPr>
      </w:pPr>
    </w:p>
    <w:p w14:paraId="480AF49D">
      <w:pPr>
        <w:rPr>
          <w:rFonts w:hint="eastAsia" w:ascii="宋体" w:hAnsi="宋体"/>
        </w:rPr>
      </w:pPr>
    </w:p>
    <w:p w14:paraId="6757015A">
      <w:pPr>
        <w:rPr>
          <w:rFonts w:hint="eastAsia" w:ascii="宋体" w:hAnsi="宋体"/>
        </w:rPr>
      </w:pPr>
    </w:p>
    <w:p w14:paraId="0FDBBD21">
      <w:pPr>
        <w:rPr>
          <w:rFonts w:hint="eastAsia" w:ascii="宋体" w:hAnsi="宋体"/>
        </w:rPr>
      </w:pPr>
    </w:p>
    <w:p w14:paraId="7BF34FE2">
      <w:pPr>
        <w:rPr>
          <w:rFonts w:hint="eastAsia" w:ascii="宋体" w:hAnsi="宋体"/>
        </w:rPr>
      </w:pPr>
    </w:p>
    <w:p w14:paraId="404C9A72">
      <w:pPr>
        <w:rPr>
          <w:rFonts w:hint="eastAsia" w:ascii="宋体" w:hAnsi="宋体"/>
        </w:rPr>
      </w:pPr>
    </w:p>
    <w:p w14:paraId="55CDDF4E">
      <w:pPr>
        <w:rPr>
          <w:rFonts w:hint="eastAsia" w:ascii="宋体" w:hAnsi="宋体"/>
        </w:rPr>
      </w:pPr>
    </w:p>
    <w:p w14:paraId="55FC8FA6">
      <w:pPr>
        <w:rPr>
          <w:rFonts w:hint="eastAsia" w:ascii="宋体" w:hAnsi="宋体"/>
        </w:rPr>
      </w:pPr>
    </w:p>
    <w:p w14:paraId="551FA4C0">
      <w:pPr>
        <w:rPr>
          <w:rFonts w:hint="eastAsia" w:ascii="宋体" w:hAnsi="宋体"/>
        </w:rPr>
      </w:pPr>
    </w:p>
    <w:p w14:paraId="3A004499">
      <w:pPr>
        <w:rPr>
          <w:rFonts w:hint="eastAsia" w:ascii="宋体" w:hAnsi="宋体"/>
        </w:rPr>
      </w:pPr>
    </w:p>
    <w:p w14:paraId="37547C2C">
      <w:pPr>
        <w:rPr>
          <w:rFonts w:hint="eastAsia" w:ascii="宋体" w:hAnsi="宋体"/>
        </w:rPr>
      </w:pPr>
    </w:p>
    <w:p w14:paraId="3F2C6E9D">
      <w:pPr>
        <w:rPr>
          <w:rFonts w:hint="eastAsia" w:ascii="宋体" w:hAnsi="宋体"/>
        </w:rPr>
      </w:pPr>
    </w:p>
    <w:p w14:paraId="269C5394">
      <w:pPr>
        <w:rPr>
          <w:rFonts w:hint="eastAsia" w:ascii="宋体" w:hAnsi="宋体"/>
        </w:rPr>
      </w:pPr>
    </w:p>
    <w:p w14:paraId="563F26BC">
      <w:pPr>
        <w:rPr>
          <w:rFonts w:hint="eastAsia" w:ascii="宋体" w:hAnsi="宋体"/>
        </w:rPr>
      </w:pPr>
    </w:p>
    <w:p w14:paraId="5364FFFA">
      <w:pPr>
        <w:pStyle w:val="37"/>
        <w:sectPr>
          <w:footerReference r:id="rId3" w:type="default"/>
          <w:pgSz w:w="11907" w:h="16840"/>
          <w:pgMar w:top="1134" w:right="1134" w:bottom="1134" w:left="1134" w:header="947" w:footer="1128" w:gutter="0"/>
          <w:pgNumType w:start="1"/>
          <w:cols w:space="425" w:num="1"/>
          <w:docGrid w:type="linesAndChars" w:linePitch="380" w:charSpace="-5735"/>
        </w:sectPr>
      </w:pPr>
      <w:bookmarkStart w:id="0" w:name="_Toc163660777"/>
    </w:p>
    <w:p w14:paraId="449C250E">
      <w:pPr>
        <w:pStyle w:val="37"/>
      </w:pPr>
      <w:r>
        <w:rPr>
          <w:rFonts w:hint="eastAsia"/>
        </w:rPr>
        <w:t>第一章 采购邀请</w:t>
      </w:r>
      <w:bookmarkEnd w:id="0"/>
    </w:p>
    <w:p w14:paraId="35465757">
      <w:pPr>
        <w:spacing w:after="143" w:afterLines="50" w:line="560" w:lineRule="exact"/>
        <w:ind w:firstLine="480" w:firstLineChars="200"/>
        <w:rPr>
          <w:rFonts w:hint="eastAsia" w:ascii="宋体" w:hAnsi="宋体"/>
          <w:sz w:val="24"/>
        </w:rPr>
      </w:pPr>
      <w:bookmarkStart w:id="1" w:name="_Hlk36211470"/>
      <w:bookmarkStart w:id="2" w:name="_Hlk18672293"/>
      <w:r>
        <w:rPr>
          <w:rFonts w:hint="eastAsia" w:ascii="宋体" w:hAnsi="宋体"/>
          <w:sz w:val="24"/>
        </w:rPr>
        <w:t>项目概况</w:t>
      </w:r>
    </w:p>
    <w:p w14:paraId="6691627F">
      <w:pPr>
        <w:spacing w:after="143" w:afterLines="50" w:line="560" w:lineRule="exact"/>
        <w:ind w:firstLine="480" w:firstLineChars="200"/>
        <w:rPr>
          <w:rFonts w:hint="eastAsia" w:ascii="宋体" w:hAnsi="宋体" w:cs="Arial"/>
          <w:bCs/>
          <w:sz w:val="24"/>
          <w:szCs w:val="20"/>
        </w:rPr>
      </w:pPr>
      <w:r>
        <w:rPr>
          <w:rFonts w:hint="eastAsia" w:ascii="宋体" w:hAnsi="宋体"/>
          <w:sz w:val="24"/>
          <w:u w:val="single"/>
        </w:rPr>
        <w:t>自动计费模块改造、电子发票业财系统对接服务</w:t>
      </w:r>
      <w:r>
        <w:rPr>
          <w:rFonts w:hint="eastAsia" w:ascii="宋体" w:hAnsi="宋体"/>
          <w:sz w:val="24"/>
        </w:rPr>
        <w:t>项目潜在供应商应在本公司要求的相关渠道获取采购文件，并于</w:t>
      </w:r>
      <w:r>
        <w:rPr>
          <w:rFonts w:ascii="宋体" w:hAnsi="宋体"/>
          <w:sz w:val="24"/>
        </w:rPr>
        <w:t>202</w:t>
      </w:r>
      <w:r>
        <w:rPr>
          <w:rFonts w:hint="eastAsia" w:ascii="宋体" w:hAnsi="宋体"/>
          <w:sz w:val="24"/>
        </w:rPr>
        <w:t>4</w:t>
      </w:r>
      <w:r>
        <w:rPr>
          <w:rFonts w:ascii="宋体" w:hAnsi="宋体"/>
          <w:sz w:val="24"/>
        </w:rPr>
        <w:t>年</w:t>
      </w:r>
      <w:r>
        <w:rPr>
          <w:rFonts w:hint="eastAsia" w:ascii="宋体" w:hAnsi="宋体"/>
          <w:sz w:val="24"/>
          <w:lang w:val="en-US" w:eastAsia="zh-CN"/>
        </w:rPr>
        <w:t>11</w:t>
      </w:r>
      <w:r>
        <w:rPr>
          <w:rFonts w:ascii="宋体" w:hAnsi="宋体"/>
          <w:sz w:val="24"/>
        </w:rPr>
        <w:t>月</w:t>
      </w:r>
      <w:r>
        <w:rPr>
          <w:rFonts w:hint="eastAsia" w:ascii="宋体" w:hAnsi="宋体"/>
          <w:sz w:val="24"/>
          <w:lang w:val="en-US" w:eastAsia="zh-CN"/>
        </w:rPr>
        <w:t>25</w:t>
      </w:r>
      <w:r>
        <w:rPr>
          <w:rFonts w:ascii="宋体" w:hAnsi="宋体"/>
          <w:sz w:val="24"/>
        </w:rPr>
        <w:t>日</w:t>
      </w:r>
      <w:r>
        <w:rPr>
          <w:rFonts w:hint="eastAsia" w:ascii="宋体" w:hAnsi="宋体"/>
          <w:sz w:val="24"/>
          <w:lang w:val="en-US" w:eastAsia="zh-CN"/>
        </w:rPr>
        <w:t>09</w:t>
      </w:r>
      <w:r>
        <w:rPr>
          <w:rFonts w:hint="eastAsia" w:ascii="宋体" w:hAnsi="宋体"/>
          <w:sz w:val="24"/>
        </w:rPr>
        <w:t>：30（北京时间）前提交响应文件。</w:t>
      </w:r>
    </w:p>
    <w:p w14:paraId="727C7D52">
      <w:pPr>
        <w:spacing w:after="143" w:afterLines="50" w:line="560" w:lineRule="exact"/>
        <w:ind w:firstLine="480" w:firstLineChars="200"/>
        <w:rPr>
          <w:rFonts w:hint="eastAsia" w:ascii="宋体" w:hAnsi="宋体"/>
          <w:sz w:val="24"/>
        </w:rPr>
      </w:pPr>
      <w:r>
        <w:rPr>
          <w:rFonts w:hint="eastAsia" w:ascii="宋体" w:hAnsi="宋体"/>
          <w:sz w:val="24"/>
        </w:rPr>
        <w:t>南京小旸树招标代理有限公司受</w:t>
      </w:r>
      <w:r>
        <w:rPr>
          <w:rFonts w:hint="eastAsia" w:ascii="宋体" w:hAnsi="宋体"/>
          <w:sz w:val="24"/>
          <w:u w:val="single"/>
        </w:rPr>
        <w:t>江苏省特种设备安全监督检验研究院</w:t>
      </w:r>
      <w:r>
        <w:rPr>
          <w:rFonts w:hint="eastAsia" w:ascii="宋体" w:hAnsi="宋体"/>
          <w:sz w:val="24"/>
        </w:rPr>
        <w:t>（以下简称采购人）的委托，就其所需的</w:t>
      </w:r>
      <w:r>
        <w:rPr>
          <w:rFonts w:hint="eastAsia" w:ascii="宋体" w:hAnsi="宋体"/>
          <w:sz w:val="24"/>
          <w:u w:val="single"/>
        </w:rPr>
        <w:t>自动计费模块改造、电子发票业财系统对接服务</w:t>
      </w:r>
      <w:r>
        <w:rPr>
          <w:rFonts w:hint="eastAsia" w:ascii="宋体" w:hAnsi="宋体"/>
          <w:sz w:val="24"/>
        </w:rPr>
        <w:t>采用政府采购之</w:t>
      </w:r>
      <w:r>
        <w:rPr>
          <w:rFonts w:hint="eastAsia" w:ascii="宋体" w:hAnsi="宋体"/>
          <w:sz w:val="24"/>
          <w:u w:val="single"/>
        </w:rPr>
        <w:t>竞争性磋商</w:t>
      </w:r>
      <w:r>
        <w:rPr>
          <w:rFonts w:hint="eastAsia" w:ascii="宋体" w:hAnsi="宋体"/>
          <w:sz w:val="24"/>
        </w:rPr>
        <w:t>方式实施采购程序，欢迎符合条件的供应商参加磋商。</w:t>
      </w:r>
    </w:p>
    <w:p w14:paraId="2CE0B52A">
      <w:pPr>
        <w:spacing w:after="143" w:afterLines="50" w:line="560" w:lineRule="exact"/>
        <w:ind w:firstLine="480" w:firstLineChars="200"/>
        <w:rPr>
          <w:rFonts w:hint="eastAsia" w:ascii="宋体" w:hAnsi="宋体"/>
          <w:b/>
          <w:bCs/>
          <w:sz w:val="24"/>
        </w:rPr>
      </w:pPr>
      <w:r>
        <w:rPr>
          <w:rFonts w:hint="eastAsia" w:ascii="宋体" w:hAnsi="宋体"/>
          <w:sz w:val="24"/>
        </w:rPr>
        <w:t>一、</w:t>
      </w:r>
      <w:r>
        <w:rPr>
          <w:rFonts w:hint="eastAsia" w:ascii="宋体" w:hAnsi="宋体"/>
          <w:b/>
          <w:bCs/>
          <w:sz w:val="24"/>
        </w:rPr>
        <w:t>项目基本情况</w:t>
      </w:r>
    </w:p>
    <w:p w14:paraId="4392E832">
      <w:pPr>
        <w:spacing w:after="143" w:line="560" w:lineRule="exact"/>
        <w:ind w:firstLine="480" w:firstLineChars="200"/>
        <w:rPr>
          <w:rFonts w:ascii="宋体"/>
          <w:color w:val="000000"/>
          <w:sz w:val="24"/>
        </w:rPr>
      </w:pPr>
      <w:r>
        <w:rPr>
          <w:rFonts w:hint="eastAsia" w:ascii="宋体"/>
          <w:color w:val="000000"/>
          <w:sz w:val="24"/>
        </w:rPr>
        <w:t>1. 项目编号：JSZC-320000-NJXY-C2024-0055</w:t>
      </w:r>
    </w:p>
    <w:p w14:paraId="75E29B21">
      <w:pPr>
        <w:spacing w:after="143" w:line="560" w:lineRule="exact"/>
        <w:ind w:left="1919" w:leftChars="228" w:hanging="1440" w:hangingChars="600"/>
        <w:rPr>
          <w:rFonts w:hint="eastAsia" w:ascii="宋体" w:hAnsi="宋体"/>
          <w:color w:val="000000"/>
          <w:sz w:val="24"/>
        </w:rPr>
      </w:pPr>
      <w:r>
        <w:rPr>
          <w:rFonts w:hint="eastAsia" w:ascii="宋体"/>
          <w:color w:val="000000"/>
          <w:sz w:val="24"/>
        </w:rPr>
        <w:t>2. 项目名称：</w:t>
      </w:r>
      <w:r>
        <w:rPr>
          <w:rFonts w:hint="eastAsia" w:ascii="宋体" w:hAnsi="宋体"/>
          <w:sz w:val="24"/>
        </w:rPr>
        <w:t>自动计费模块改造、电子发票业财系统对接服务</w:t>
      </w:r>
    </w:p>
    <w:p w14:paraId="11664072">
      <w:pPr>
        <w:spacing w:after="143" w:line="560" w:lineRule="exact"/>
        <w:ind w:firstLine="480" w:firstLineChars="200"/>
        <w:rPr>
          <w:rFonts w:ascii="宋体"/>
          <w:color w:val="000000"/>
          <w:sz w:val="24"/>
        </w:rPr>
      </w:pPr>
      <w:r>
        <w:rPr>
          <w:rFonts w:hint="eastAsia" w:ascii="宋体"/>
          <w:color w:val="000000"/>
          <w:sz w:val="24"/>
        </w:rPr>
        <w:t>3. 采购方式：竞争性磋商</w:t>
      </w:r>
    </w:p>
    <w:p w14:paraId="1AC307D8">
      <w:pPr>
        <w:spacing w:after="143" w:line="560" w:lineRule="exact"/>
        <w:ind w:firstLine="480" w:firstLineChars="200"/>
        <w:rPr>
          <w:rFonts w:ascii="宋体"/>
          <w:color w:val="000000"/>
          <w:sz w:val="24"/>
        </w:rPr>
      </w:pPr>
      <w:r>
        <w:rPr>
          <w:rFonts w:hint="eastAsia" w:ascii="宋体"/>
          <w:color w:val="000000"/>
          <w:sz w:val="24"/>
        </w:rPr>
        <w:t>4. 本项目预算金额及最高限价为人民币35万元，最终报价超过最高限价的为无效报价，按照无效响应处理。</w:t>
      </w:r>
    </w:p>
    <w:p w14:paraId="4710A64F">
      <w:pPr>
        <w:spacing w:after="143" w:line="560" w:lineRule="exact"/>
        <w:ind w:firstLine="480" w:firstLineChars="200"/>
        <w:rPr>
          <w:rFonts w:ascii="宋体"/>
          <w:bCs/>
          <w:color w:val="000000"/>
          <w:sz w:val="24"/>
        </w:rPr>
      </w:pPr>
      <w:r>
        <w:rPr>
          <w:rFonts w:hint="eastAsia" w:ascii="宋体"/>
          <w:color w:val="000000"/>
          <w:sz w:val="24"/>
        </w:rPr>
        <w:t>5. 项目需求简介：为进一步完善检验检测自动计费模块，全面实现检验检测报告与收费一一对应，同时建设电子发票模块，打通苏智特检与电子发票系统，采购人拟委托第三方开展自动计费模块改造、电子发票业财系统对接服务。</w:t>
      </w:r>
      <w:r>
        <w:rPr>
          <w:rFonts w:hint="eastAsia" w:ascii="宋体" w:hAnsi="宋体" w:cs="宋体"/>
          <w:sz w:val="24"/>
        </w:rPr>
        <w:t>具体内容</w:t>
      </w:r>
      <w:r>
        <w:rPr>
          <w:rFonts w:hint="eastAsia" w:ascii="宋体"/>
          <w:bCs/>
          <w:color w:val="000000"/>
          <w:sz w:val="24"/>
        </w:rPr>
        <w:t>详见采购文件第四章项目需求。</w:t>
      </w:r>
    </w:p>
    <w:p w14:paraId="64C9116B">
      <w:pPr>
        <w:spacing w:line="560" w:lineRule="exact"/>
        <w:ind w:firstLine="480" w:firstLineChars="200"/>
        <w:rPr>
          <w:rFonts w:ascii="宋体"/>
          <w:color w:val="000000"/>
          <w:sz w:val="24"/>
        </w:rPr>
      </w:pPr>
      <w:r>
        <w:rPr>
          <w:rFonts w:hint="eastAsia" w:ascii="宋体" w:hAnsi="宋体"/>
          <w:color w:val="000000"/>
          <w:sz w:val="24"/>
        </w:rPr>
        <w:t>6</w:t>
      </w:r>
      <w:r>
        <w:rPr>
          <w:rFonts w:ascii="宋体" w:hAnsi="宋体"/>
          <w:color w:val="000000"/>
          <w:sz w:val="24"/>
        </w:rPr>
        <w:t>.</w:t>
      </w:r>
      <w:r>
        <w:rPr>
          <w:rFonts w:hint="eastAsia" w:ascii="宋体" w:hAnsi="宋体"/>
          <w:color w:val="000000"/>
          <w:sz w:val="24"/>
        </w:rPr>
        <w:t>项目所</w:t>
      </w:r>
      <w:r>
        <w:rPr>
          <w:rFonts w:hint="eastAsia" w:ascii="宋体"/>
          <w:color w:val="000000"/>
          <w:sz w:val="24"/>
        </w:rPr>
        <w:t>属行业：软件和信息技术服务业</w:t>
      </w:r>
    </w:p>
    <w:p w14:paraId="10AE2538">
      <w:pPr>
        <w:spacing w:line="560" w:lineRule="exact"/>
        <w:ind w:firstLine="480" w:firstLineChars="200"/>
        <w:rPr>
          <w:rFonts w:ascii="宋体"/>
          <w:color w:val="000000"/>
          <w:sz w:val="24"/>
        </w:rPr>
      </w:pPr>
      <w:r>
        <w:rPr>
          <w:rFonts w:hint="eastAsia" w:ascii="宋体"/>
          <w:color w:val="000000"/>
          <w:sz w:val="24"/>
        </w:rPr>
        <w:t>7</w:t>
      </w:r>
      <w:r>
        <w:rPr>
          <w:rFonts w:ascii="宋体"/>
          <w:color w:val="000000"/>
          <w:sz w:val="24"/>
        </w:rPr>
        <w:t>.</w:t>
      </w:r>
      <w:r>
        <w:rPr>
          <w:rFonts w:hint="eastAsia" w:ascii="宋体"/>
          <w:color w:val="000000"/>
          <w:sz w:val="24"/>
        </w:rPr>
        <w:t>合同履行期限：</w:t>
      </w:r>
      <w:r>
        <w:rPr>
          <w:rFonts w:hint="eastAsia" w:ascii="宋体" w:hAnsi="宋体"/>
          <w:bCs/>
          <w:sz w:val="24"/>
        </w:rPr>
        <w:t>自合同签订之日起90日内完成系统模块开发工作，项目验收合格后免费质保1年。</w:t>
      </w:r>
    </w:p>
    <w:p w14:paraId="03D685AD">
      <w:pPr>
        <w:spacing w:after="143" w:afterLines="50" w:line="560" w:lineRule="exact"/>
        <w:ind w:firstLine="475" w:firstLineChars="197"/>
        <w:rPr>
          <w:rFonts w:hint="eastAsia" w:ascii="宋体" w:hAnsi="宋体" w:cs="Arial"/>
          <w:b/>
          <w:bCs/>
          <w:color w:val="000000"/>
          <w:sz w:val="24"/>
          <w:szCs w:val="20"/>
        </w:rPr>
      </w:pPr>
      <w:r>
        <w:rPr>
          <w:rFonts w:hint="eastAsia" w:ascii="宋体" w:hAnsi="宋体"/>
          <w:b/>
          <w:bCs/>
          <w:color w:val="000000"/>
          <w:sz w:val="24"/>
        </w:rPr>
        <w:t>二、</w:t>
      </w:r>
      <w:r>
        <w:rPr>
          <w:rFonts w:hint="eastAsia" w:ascii="宋体" w:hAnsi="宋体" w:cs="Arial"/>
          <w:b/>
          <w:bCs/>
          <w:color w:val="000000"/>
          <w:sz w:val="24"/>
        </w:rPr>
        <w:t>申请人的资格要求：</w:t>
      </w:r>
    </w:p>
    <w:p w14:paraId="57D2F764">
      <w:pPr>
        <w:snapToGrid w:val="0"/>
        <w:spacing w:line="560" w:lineRule="exact"/>
        <w:ind w:firstLine="480" w:firstLineChars="200"/>
        <w:rPr>
          <w:rFonts w:hint="eastAsia" w:ascii="仿宋_GB2312" w:hAnsi="仿宋_GB2312" w:cs="Arial"/>
          <w:iCs/>
          <w:sz w:val="24"/>
          <w:szCs w:val="22"/>
        </w:rPr>
      </w:pPr>
      <w:r>
        <w:rPr>
          <w:rFonts w:hint="eastAsia" w:ascii="仿宋_GB2312" w:hAnsi="仿宋_GB2312" w:cs="Arial"/>
          <w:iCs/>
          <w:sz w:val="24"/>
          <w:szCs w:val="22"/>
        </w:rPr>
        <w:t>（一）</w:t>
      </w:r>
      <w:r>
        <w:rPr>
          <w:rFonts w:ascii="仿宋_GB2312" w:hAnsi="仿宋_GB2312" w:cs="Arial"/>
          <w:iCs/>
          <w:sz w:val="24"/>
          <w:szCs w:val="22"/>
        </w:rPr>
        <w:t>符合政府采购法</w:t>
      </w:r>
      <w:r>
        <w:rPr>
          <w:rFonts w:hint="eastAsia" w:ascii="仿宋_GB2312" w:hAnsi="仿宋_GB2312" w:cs="Arial"/>
          <w:iCs/>
          <w:sz w:val="24"/>
          <w:szCs w:val="22"/>
        </w:rPr>
        <w:t>律法规及监管部门要求的有关条件：</w:t>
      </w:r>
    </w:p>
    <w:p w14:paraId="5369A459">
      <w:pPr>
        <w:snapToGrid w:val="0"/>
        <w:spacing w:line="560" w:lineRule="exact"/>
        <w:ind w:firstLine="480" w:firstLineChars="200"/>
        <w:rPr>
          <w:rFonts w:hint="eastAsia" w:ascii="仿宋_GB2312" w:hAnsi="仿宋_GB2312" w:cs="Arial"/>
          <w:iCs/>
          <w:sz w:val="24"/>
          <w:szCs w:val="22"/>
        </w:rPr>
      </w:pPr>
      <w:r>
        <w:rPr>
          <w:rFonts w:ascii="仿宋_GB2312" w:hAnsi="仿宋_GB2312" w:cs="Arial"/>
          <w:iCs/>
          <w:sz w:val="24"/>
          <w:szCs w:val="22"/>
        </w:rPr>
        <w:t>1</w:t>
      </w:r>
      <w:r>
        <w:rPr>
          <w:rFonts w:hint="eastAsia" w:ascii="仿宋_GB2312" w:hAnsi="仿宋_GB2312" w:cs="Arial"/>
          <w:iCs/>
          <w:sz w:val="24"/>
          <w:szCs w:val="22"/>
        </w:rPr>
        <w:t>.符合《政府采购法》第二十二条、《政府采购法实施条例》第十七条及其他资格性规定并提供以下证明材料：</w:t>
      </w:r>
    </w:p>
    <w:p w14:paraId="16D2CF30">
      <w:pPr>
        <w:snapToGrid w:val="0"/>
        <w:spacing w:line="560" w:lineRule="exact"/>
        <w:ind w:firstLine="480" w:firstLineChars="200"/>
        <w:rPr>
          <w:rFonts w:hint="eastAsia" w:ascii="仿宋_GB2312" w:hAnsi="仿宋_GB2312" w:cs="Arial"/>
          <w:iCs/>
          <w:sz w:val="24"/>
          <w:szCs w:val="22"/>
        </w:rPr>
      </w:pPr>
      <w:r>
        <w:rPr>
          <w:rFonts w:hint="eastAsia" w:ascii="仿宋_GB2312" w:hAnsi="仿宋_GB2312" w:cs="Arial"/>
          <w:iCs/>
          <w:sz w:val="24"/>
          <w:szCs w:val="22"/>
        </w:rPr>
        <w:t>1.</w:t>
      </w:r>
      <w:r>
        <w:rPr>
          <w:rFonts w:ascii="仿宋_GB2312" w:hAnsi="仿宋_GB2312" w:cs="Arial"/>
          <w:iCs/>
          <w:sz w:val="24"/>
          <w:szCs w:val="22"/>
        </w:rPr>
        <w:t>1</w:t>
      </w:r>
      <w:r>
        <w:rPr>
          <w:rFonts w:hint="eastAsia" w:ascii="仿宋_GB2312" w:hAnsi="仿宋_GB2312" w:cs="Arial"/>
          <w:iCs/>
          <w:sz w:val="24"/>
          <w:szCs w:val="22"/>
        </w:rPr>
        <w:t>法人或者其他组织的营业执照（事业单位法人登记证书，社会团体法人登记证书）等证明文件（复印件并加盖公章）；自然人投标需提供自然人的身份证明（复印件并加盖公章）；非独立法人独立参加投标需提供法人授权其独立参加投标并承诺承担全部责任与风险的授权书原件、非独立法人营业执照复印件等证明文件（加盖公章）。</w:t>
      </w:r>
    </w:p>
    <w:p w14:paraId="30632AA6">
      <w:pPr>
        <w:snapToGrid w:val="0"/>
        <w:spacing w:line="560" w:lineRule="exact"/>
        <w:ind w:firstLine="480" w:firstLineChars="200"/>
        <w:rPr>
          <w:rFonts w:hint="eastAsia" w:ascii="仿宋_GB2312" w:hAnsi="仿宋_GB2312" w:cs="Arial"/>
          <w:iCs/>
          <w:sz w:val="24"/>
          <w:szCs w:val="22"/>
        </w:rPr>
      </w:pPr>
      <w:r>
        <w:rPr>
          <w:rFonts w:ascii="仿宋_GB2312" w:hAnsi="仿宋_GB2312" w:cs="Arial"/>
          <w:iCs/>
          <w:sz w:val="24"/>
          <w:szCs w:val="22"/>
        </w:rPr>
        <w:t>1.</w:t>
      </w:r>
      <w:r>
        <w:rPr>
          <w:rFonts w:hint="eastAsia" w:ascii="仿宋_GB2312" w:hAnsi="仿宋_GB2312" w:cs="Arial"/>
          <w:iCs/>
          <w:sz w:val="24"/>
          <w:szCs w:val="22"/>
        </w:rPr>
        <w:t>2</w:t>
      </w:r>
      <w:r>
        <w:rPr>
          <w:rFonts w:ascii="仿宋_GB2312" w:hAnsi="仿宋_GB2312" w:cs="Arial"/>
          <w:iCs/>
          <w:sz w:val="24"/>
          <w:szCs w:val="22"/>
        </w:rPr>
        <w:t xml:space="preserve"> </w:t>
      </w:r>
      <w:r>
        <w:rPr>
          <w:rFonts w:hint="eastAsia" w:ascii="宋体" w:hAnsi="宋体" w:cs="Arial"/>
          <w:iCs/>
          <w:sz w:val="24"/>
          <w:szCs w:val="22"/>
        </w:rPr>
        <w:t>2023年度财务状况报告</w:t>
      </w:r>
      <w:r>
        <w:rPr>
          <w:rFonts w:hint="eastAsia" w:ascii="宋体" w:hAnsi="宋体" w:cs="Arial"/>
          <w:iCs/>
          <w:color w:val="000000"/>
          <w:sz w:val="24"/>
        </w:rPr>
        <w:t>（复印件并加盖公章，成立不满一年仅需提供提交响应文件截止之日前的一个月的会计报表）</w:t>
      </w:r>
      <w:r>
        <w:rPr>
          <w:rFonts w:hint="eastAsia" w:ascii="仿宋_GB2312" w:hAnsi="仿宋_GB2312" w:cs="Arial"/>
          <w:iCs/>
          <w:sz w:val="24"/>
          <w:szCs w:val="22"/>
        </w:rPr>
        <w:t>。</w:t>
      </w:r>
    </w:p>
    <w:p w14:paraId="6767DD59">
      <w:pPr>
        <w:snapToGrid w:val="0"/>
        <w:spacing w:line="560" w:lineRule="exact"/>
        <w:ind w:firstLine="480" w:firstLineChars="200"/>
        <w:rPr>
          <w:rFonts w:hint="eastAsia" w:ascii="仿宋_GB2312" w:hAnsi="仿宋_GB2312" w:cs="Arial"/>
          <w:iCs/>
          <w:sz w:val="24"/>
          <w:szCs w:val="22"/>
        </w:rPr>
      </w:pPr>
      <w:r>
        <w:rPr>
          <w:rFonts w:ascii="仿宋_GB2312" w:hAnsi="仿宋_GB2312" w:cs="Arial"/>
          <w:iCs/>
          <w:sz w:val="24"/>
          <w:szCs w:val="22"/>
        </w:rPr>
        <w:t>1.</w:t>
      </w:r>
      <w:r>
        <w:rPr>
          <w:rFonts w:hint="eastAsia" w:ascii="仿宋_GB2312" w:hAnsi="仿宋_GB2312" w:cs="Arial"/>
          <w:iCs/>
          <w:sz w:val="24"/>
          <w:szCs w:val="22"/>
        </w:rPr>
        <w:t>3依法缴纳税收的相关材料（</w:t>
      </w:r>
      <w:bookmarkStart w:id="3" w:name="_Hlk45601447"/>
      <w:bookmarkStart w:id="4" w:name="_Hlk47339251"/>
      <w:r>
        <w:rPr>
          <w:rFonts w:hint="eastAsia" w:ascii="仿宋_GB2312" w:hAnsi="仿宋_GB2312" w:cs="Arial"/>
          <w:iCs/>
          <w:sz w:val="24"/>
          <w:szCs w:val="22"/>
        </w:rPr>
        <w:t>距提交响应文件截止之日前的一年内任意一月相关证明材料</w:t>
      </w:r>
      <w:bookmarkEnd w:id="3"/>
      <w:r>
        <w:rPr>
          <w:rFonts w:hint="eastAsia" w:ascii="仿宋_GB2312" w:hAnsi="仿宋_GB2312" w:cs="Arial"/>
          <w:iCs/>
          <w:sz w:val="24"/>
          <w:szCs w:val="22"/>
        </w:rPr>
        <w:t>复印件并加盖公章</w:t>
      </w:r>
      <w:bookmarkEnd w:id="4"/>
      <w:r>
        <w:rPr>
          <w:rFonts w:hint="eastAsia" w:ascii="仿宋_GB2312" w:hAnsi="仿宋_GB2312" w:cs="Arial"/>
          <w:iCs/>
          <w:sz w:val="24"/>
          <w:szCs w:val="22"/>
        </w:rPr>
        <w:t>）。</w:t>
      </w:r>
    </w:p>
    <w:p w14:paraId="16A37E45">
      <w:pPr>
        <w:snapToGrid w:val="0"/>
        <w:spacing w:line="560" w:lineRule="exact"/>
        <w:ind w:firstLine="480" w:firstLineChars="200"/>
        <w:rPr>
          <w:rFonts w:hint="eastAsia" w:ascii="仿宋_GB2312" w:hAnsi="仿宋_GB2312" w:cs="Arial"/>
          <w:iCs/>
          <w:sz w:val="24"/>
          <w:szCs w:val="22"/>
        </w:rPr>
      </w:pPr>
      <w:r>
        <w:rPr>
          <w:rFonts w:ascii="仿宋_GB2312" w:hAnsi="仿宋_GB2312" w:cs="Arial"/>
          <w:iCs/>
          <w:sz w:val="24"/>
          <w:szCs w:val="22"/>
        </w:rPr>
        <w:t>1.4</w:t>
      </w:r>
      <w:r>
        <w:rPr>
          <w:rFonts w:hint="eastAsia" w:ascii="仿宋_GB2312" w:hAnsi="仿宋_GB2312" w:cs="Arial"/>
          <w:iCs/>
          <w:sz w:val="24"/>
          <w:szCs w:val="22"/>
        </w:rPr>
        <w:t>依法缴纳社会保障资金的相关材料（距提交响应文件截止之日前的一年内任意一月相关证明材料复印件并加盖公章）。</w:t>
      </w:r>
    </w:p>
    <w:p w14:paraId="192FD5DD">
      <w:pPr>
        <w:snapToGrid w:val="0"/>
        <w:spacing w:line="560" w:lineRule="exact"/>
        <w:ind w:firstLine="480" w:firstLineChars="200"/>
        <w:rPr>
          <w:rFonts w:hint="eastAsia" w:ascii="仿宋_GB2312" w:hAnsi="仿宋_GB2312" w:cs="Arial"/>
          <w:iCs/>
          <w:sz w:val="24"/>
          <w:szCs w:val="22"/>
        </w:rPr>
      </w:pPr>
      <w:r>
        <w:rPr>
          <w:rFonts w:ascii="仿宋_GB2312" w:hAnsi="仿宋_GB2312" w:cs="Arial"/>
          <w:iCs/>
          <w:sz w:val="24"/>
          <w:szCs w:val="22"/>
        </w:rPr>
        <w:t>1.5</w:t>
      </w:r>
      <w:r>
        <w:rPr>
          <w:rFonts w:hint="eastAsia" w:ascii="仿宋_GB2312" w:hAnsi="仿宋_GB2312" w:cs="Arial"/>
          <w:iCs/>
          <w:sz w:val="24"/>
          <w:szCs w:val="22"/>
        </w:rPr>
        <w:t>具备履行合同所必需的设备和专业技术能力的书面声明（原件并加盖公章）。</w:t>
      </w:r>
    </w:p>
    <w:p w14:paraId="5B2C4CFC">
      <w:pPr>
        <w:snapToGrid w:val="0"/>
        <w:spacing w:line="560" w:lineRule="exact"/>
        <w:ind w:firstLine="480" w:firstLineChars="200"/>
        <w:rPr>
          <w:rFonts w:hint="eastAsia" w:ascii="仿宋_GB2312" w:hAnsi="仿宋_GB2312" w:cs="Arial"/>
          <w:iCs/>
          <w:sz w:val="24"/>
          <w:szCs w:val="22"/>
        </w:rPr>
      </w:pPr>
      <w:r>
        <w:rPr>
          <w:rFonts w:ascii="仿宋_GB2312" w:hAnsi="仿宋_GB2312" w:cs="Arial"/>
          <w:iCs/>
          <w:sz w:val="24"/>
          <w:szCs w:val="22"/>
        </w:rPr>
        <w:t>1.6</w:t>
      </w:r>
      <w:r>
        <w:rPr>
          <w:rFonts w:hint="eastAsia" w:ascii="仿宋_GB2312" w:hAnsi="仿宋_GB2312" w:cs="Arial"/>
          <w:iCs/>
          <w:sz w:val="24"/>
          <w:szCs w:val="22"/>
        </w:rPr>
        <w:t>参加政府采购活动前3年内</w:t>
      </w:r>
      <w:bookmarkStart w:id="5" w:name="_Hlk47339273"/>
      <w:r>
        <w:rPr>
          <w:rFonts w:hint="eastAsia" w:ascii="仿宋_GB2312" w:hAnsi="仿宋_GB2312" w:cs="Arial"/>
          <w:iCs/>
          <w:sz w:val="24"/>
          <w:szCs w:val="22"/>
        </w:rPr>
        <w:t>（距提交响应文件截止之日前）</w:t>
      </w:r>
      <w:bookmarkEnd w:id="5"/>
      <w:r>
        <w:rPr>
          <w:rFonts w:hint="eastAsia" w:ascii="仿宋_GB2312" w:hAnsi="仿宋_GB2312" w:cs="Arial"/>
          <w:iCs/>
          <w:sz w:val="24"/>
          <w:szCs w:val="22"/>
        </w:rPr>
        <w:t>在经营活动中没有重大违法记录的书面声明（原件并加盖公章）。</w:t>
      </w:r>
    </w:p>
    <w:p w14:paraId="4D92473F">
      <w:pPr>
        <w:snapToGrid w:val="0"/>
        <w:spacing w:line="560" w:lineRule="exact"/>
        <w:ind w:firstLine="480" w:firstLineChars="200"/>
        <w:rPr>
          <w:rFonts w:hint="eastAsia" w:ascii="仿宋_GB2312" w:hAnsi="仿宋_GB2312" w:cs="Arial"/>
          <w:iCs/>
          <w:sz w:val="24"/>
          <w:szCs w:val="22"/>
        </w:rPr>
      </w:pPr>
      <w:r>
        <w:rPr>
          <w:rFonts w:ascii="仿宋_GB2312" w:hAnsi="仿宋_GB2312" w:cs="Arial"/>
          <w:iCs/>
          <w:sz w:val="24"/>
          <w:szCs w:val="22"/>
        </w:rPr>
        <w:t>1.</w:t>
      </w:r>
      <w:r>
        <w:rPr>
          <w:rFonts w:hint="eastAsia" w:ascii="仿宋_GB2312" w:hAnsi="仿宋_GB2312" w:cs="Arial"/>
          <w:iCs/>
          <w:sz w:val="24"/>
          <w:szCs w:val="22"/>
        </w:rPr>
        <w:t>7 具备法律、行政法规规定的其他条件的证明材料（如有）。</w:t>
      </w:r>
    </w:p>
    <w:p w14:paraId="7FC424B5">
      <w:pPr>
        <w:snapToGrid w:val="0"/>
        <w:spacing w:line="560" w:lineRule="exact"/>
        <w:rPr>
          <w:rFonts w:hint="eastAsia" w:ascii="宋体" w:hAnsi="宋体" w:cs="Arial"/>
          <w:iCs/>
          <w:sz w:val="24"/>
        </w:rPr>
      </w:pPr>
      <w:r>
        <w:rPr>
          <w:rFonts w:ascii="宋体" w:hAnsi="宋体" w:cs="Arial"/>
          <w:iCs/>
          <w:color w:val="000000"/>
          <w:sz w:val="24"/>
        </w:rPr>
        <w:t>　　</w:t>
      </w:r>
      <w:r>
        <w:rPr>
          <w:rFonts w:hint="eastAsia" w:ascii="宋体" w:hAnsi="宋体" w:cs="Arial"/>
          <w:iCs/>
          <w:sz w:val="24"/>
        </w:rPr>
        <w:t>（二）本项目的特定资格要求：</w:t>
      </w:r>
      <w:r>
        <w:rPr>
          <w:rFonts w:hint="eastAsia"/>
        </w:rPr>
        <w:t xml:space="preserve"> 无</w:t>
      </w:r>
    </w:p>
    <w:p w14:paraId="22C13861">
      <w:pPr>
        <w:snapToGrid w:val="0"/>
        <w:spacing w:line="560" w:lineRule="exact"/>
        <w:ind w:firstLine="480" w:firstLineChars="200"/>
        <w:rPr>
          <w:rFonts w:hint="eastAsia" w:ascii="宋体" w:hAnsi="宋体"/>
          <w:b/>
          <w:bCs/>
          <w:iCs/>
          <w:sz w:val="24"/>
        </w:rPr>
      </w:pPr>
      <w:r>
        <w:rPr>
          <w:rFonts w:hint="eastAsia" w:ascii="宋体" w:hAnsi="宋体" w:cs="Arial"/>
          <w:iCs/>
          <w:color w:val="000000"/>
          <w:sz w:val="24"/>
          <w:szCs w:val="20"/>
        </w:rPr>
        <w:t>（三）本项目的其他资格要求</w:t>
      </w:r>
      <w:r>
        <w:rPr>
          <w:rFonts w:hint="eastAsia" w:ascii="宋体" w:hAnsi="宋体"/>
          <w:b/>
          <w:bCs/>
          <w:iCs/>
          <w:sz w:val="24"/>
        </w:rPr>
        <w:t>：</w:t>
      </w:r>
    </w:p>
    <w:p w14:paraId="699CA831">
      <w:pPr>
        <w:snapToGrid w:val="0"/>
        <w:spacing w:line="560" w:lineRule="exact"/>
        <w:ind w:firstLine="480" w:firstLineChars="200"/>
        <w:rPr>
          <w:rFonts w:hint="eastAsia" w:ascii="宋体" w:hAnsi="宋体" w:cs="Arial"/>
          <w:iCs/>
          <w:color w:val="000000"/>
          <w:sz w:val="24"/>
        </w:rPr>
      </w:pPr>
      <w:r>
        <w:rPr>
          <w:rFonts w:hint="eastAsia" w:ascii="宋体" w:hAnsi="宋体" w:cs="Arial"/>
          <w:iCs/>
          <w:color w:val="000000"/>
          <w:sz w:val="24"/>
        </w:rPr>
        <w:t>1.未被“信用中国”网站（www.creditchina.gov.cn）“中国政府采购网”网站（www.ccgp.gov.cn）列入失信被执行人、重大税收违法案件当事人名单、政府采购严重失信行为记录名单。（供应商可以不提供证明材料，以代理机构现场查询并截图留存为准）。</w:t>
      </w:r>
    </w:p>
    <w:p w14:paraId="39ED6087">
      <w:pPr>
        <w:snapToGrid w:val="0"/>
        <w:spacing w:line="560" w:lineRule="exact"/>
        <w:ind w:firstLine="480" w:firstLineChars="200"/>
        <w:rPr>
          <w:rFonts w:hint="eastAsia" w:ascii="宋体" w:hAnsi="宋体" w:cs="Arial"/>
          <w:iCs/>
          <w:color w:val="000000"/>
          <w:sz w:val="24"/>
        </w:rPr>
      </w:pPr>
      <w:r>
        <w:rPr>
          <w:rFonts w:hint="eastAsia" w:ascii="宋体" w:hAnsi="宋体" w:cs="Arial"/>
          <w:iCs/>
          <w:color w:val="000000"/>
          <w:sz w:val="24"/>
        </w:rPr>
        <w:t>2.本项目</w:t>
      </w:r>
      <w:r>
        <w:rPr>
          <w:rFonts w:hint="eastAsia" w:ascii="宋体" w:hAnsi="宋体" w:cs="Arial"/>
          <w:iCs/>
          <w:color w:val="000000"/>
          <w:sz w:val="24"/>
          <w:u w:val="single"/>
        </w:rPr>
        <w:t>不接受</w:t>
      </w:r>
      <w:r>
        <w:rPr>
          <w:rFonts w:hint="eastAsia" w:ascii="宋体" w:hAnsi="宋体" w:cs="Arial"/>
          <w:iCs/>
          <w:color w:val="000000"/>
          <w:sz w:val="24"/>
        </w:rPr>
        <w:t>供应商使用进口产品参与；</w:t>
      </w:r>
    </w:p>
    <w:p w14:paraId="629CF721">
      <w:pPr>
        <w:snapToGrid w:val="0"/>
        <w:spacing w:line="560" w:lineRule="exact"/>
        <w:ind w:firstLine="480" w:firstLineChars="200"/>
        <w:rPr>
          <w:rFonts w:hint="eastAsia" w:ascii="宋体" w:hAnsi="宋体" w:cs="Arial"/>
          <w:iCs/>
          <w:color w:val="000000"/>
          <w:sz w:val="24"/>
        </w:rPr>
      </w:pPr>
      <w:r>
        <w:rPr>
          <w:rFonts w:hint="eastAsia" w:ascii="宋体" w:hAnsi="宋体" w:cs="Arial"/>
          <w:iCs/>
          <w:color w:val="000000"/>
          <w:sz w:val="24"/>
        </w:rPr>
        <w:t>3</w:t>
      </w:r>
      <w:r>
        <w:rPr>
          <w:rFonts w:ascii="宋体" w:hAnsi="宋体" w:cs="Arial"/>
          <w:iCs/>
          <w:color w:val="000000"/>
          <w:sz w:val="24"/>
        </w:rPr>
        <w:t>.</w:t>
      </w:r>
      <w:r>
        <w:rPr>
          <w:rFonts w:hint="eastAsia" w:ascii="宋体" w:hAnsi="宋体" w:cs="Arial"/>
          <w:iCs/>
          <w:color w:val="000000"/>
          <w:sz w:val="24"/>
        </w:rPr>
        <w:t>本项目</w:t>
      </w:r>
      <w:r>
        <w:rPr>
          <w:rFonts w:hint="eastAsia" w:ascii="宋体" w:hAnsi="宋体" w:cs="Arial"/>
          <w:iCs/>
          <w:color w:val="000000"/>
          <w:sz w:val="24"/>
          <w:u w:val="single"/>
        </w:rPr>
        <w:t>不接受</w:t>
      </w:r>
      <w:r>
        <w:rPr>
          <w:rFonts w:hint="eastAsia" w:ascii="宋体" w:hAnsi="宋体" w:cs="Arial"/>
          <w:iCs/>
          <w:color w:val="000000"/>
          <w:sz w:val="24"/>
        </w:rPr>
        <w:t>联合体参与磋商。</w:t>
      </w:r>
      <w:r>
        <w:rPr>
          <w:rFonts w:ascii="宋体" w:hAnsi="宋体" w:cs="Arial"/>
          <w:iCs/>
          <w:color w:val="FF0000"/>
          <w:sz w:val="24"/>
          <w:szCs w:val="20"/>
        </w:rPr>
        <w:t xml:space="preserve"> </w:t>
      </w:r>
    </w:p>
    <w:p w14:paraId="3AC18FE5">
      <w:pPr>
        <w:snapToGrid w:val="0"/>
        <w:spacing w:line="560" w:lineRule="exact"/>
        <w:ind w:firstLine="480" w:firstLineChars="200"/>
        <w:rPr>
          <w:rFonts w:hint="eastAsia" w:ascii="宋体" w:hAnsi="宋体" w:cs="Arial"/>
          <w:iCs/>
          <w:color w:val="FF0000"/>
          <w:sz w:val="24"/>
          <w:szCs w:val="20"/>
        </w:rPr>
      </w:pPr>
      <w:r>
        <w:rPr>
          <w:rFonts w:hint="eastAsia" w:ascii="宋体" w:hAnsi="宋体" w:cs="Arial"/>
          <w:iCs/>
          <w:color w:val="000000"/>
          <w:sz w:val="24"/>
        </w:rPr>
        <w:t>4</w:t>
      </w:r>
      <w:r>
        <w:rPr>
          <w:rFonts w:ascii="宋体" w:hAnsi="宋体" w:cs="Arial"/>
          <w:iCs/>
          <w:color w:val="000000"/>
          <w:sz w:val="24"/>
        </w:rPr>
        <w:t>.</w:t>
      </w:r>
      <w:r>
        <w:rPr>
          <w:rFonts w:hint="eastAsia" w:ascii="仿宋_GB2312" w:hAnsi="仿宋_GB2312" w:cs="Arial"/>
          <w:iCs/>
          <w:sz w:val="24"/>
          <w:szCs w:val="21"/>
        </w:rPr>
        <w:t>拒绝下述供应商参加本次采购活动：</w:t>
      </w:r>
    </w:p>
    <w:p w14:paraId="2EBA150A">
      <w:pPr>
        <w:snapToGrid w:val="0"/>
        <w:spacing w:line="560" w:lineRule="exact"/>
        <w:ind w:firstLine="480" w:firstLineChars="200"/>
        <w:rPr>
          <w:rFonts w:hint="eastAsia" w:ascii="仿宋_GB2312" w:hAnsi="仿宋_GB2312" w:cs="Arial"/>
          <w:iCs/>
          <w:sz w:val="24"/>
          <w:szCs w:val="21"/>
        </w:rPr>
      </w:pPr>
      <w:r>
        <w:rPr>
          <w:rFonts w:hint="eastAsia" w:ascii="仿宋_GB2312" w:hAnsi="仿宋_GB2312" w:cs="Arial"/>
          <w:iCs/>
          <w:sz w:val="24"/>
          <w:szCs w:val="21"/>
        </w:rPr>
        <w:t>①供应商单位负责人为同一人或者存在直接控股、管理关系的不同供应商，不得参加同一合同项下的政府采购活动；</w:t>
      </w:r>
    </w:p>
    <w:p w14:paraId="33C5FA19">
      <w:pPr>
        <w:snapToGrid w:val="0"/>
        <w:spacing w:line="560" w:lineRule="exact"/>
        <w:ind w:firstLine="480" w:firstLineChars="200"/>
        <w:rPr>
          <w:rFonts w:hint="eastAsia" w:ascii="仿宋_GB2312" w:hAnsi="仿宋_GB2312" w:cs="Arial"/>
          <w:iCs/>
          <w:sz w:val="24"/>
          <w:szCs w:val="21"/>
        </w:rPr>
      </w:pPr>
      <w:r>
        <w:rPr>
          <w:rFonts w:hint="eastAsia" w:ascii="仿宋_GB2312" w:hAnsi="仿宋_GB2312" w:cs="Arial"/>
          <w:iCs/>
          <w:sz w:val="24"/>
          <w:szCs w:val="21"/>
        </w:rPr>
        <w:t>②凡为采购项目提供整体设计、规范编制或者项目管理、监理、检测等服务的供应商，不得再参加本项目的采购活动。</w:t>
      </w:r>
    </w:p>
    <w:p w14:paraId="4D186646">
      <w:pPr>
        <w:snapToGrid w:val="0"/>
        <w:spacing w:line="560" w:lineRule="exact"/>
        <w:ind w:firstLine="602" w:firstLineChars="250"/>
        <w:rPr>
          <w:rFonts w:hint="eastAsia" w:ascii="宋体" w:hAnsi="宋体" w:cs="Arial"/>
          <w:b/>
          <w:sz w:val="24"/>
          <w:szCs w:val="20"/>
        </w:rPr>
      </w:pPr>
      <w:r>
        <w:rPr>
          <w:rFonts w:hint="eastAsia" w:ascii="宋体" w:hAnsi="宋体" w:cs="Arial"/>
          <w:b/>
          <w:sz w:val="24"/>
          <w:szCs w:val="20"/>
        </w:rPr>
        <w:t>三、获取采购文件</w:t>
      </w:r>
    </w:p>
    <w:p w14:paraId="3C18796D">
      <w:pPr>
        <w:spacing w:after="143" w:afterLines="50" w:line="560" w:lineRule="exact"/>
        <w:ind w:firstLine="480" w:firstLineChars="200"/>
        <w:rPr>
          <w:rFonts w:hint="eastAsia" w:ascii="宋体" w:hAnsi="宋体"/>
          <w:color w:val="000000"/>
          <w:sz w:val="24"/>
        </w:rPr>
      </w:pPr>
      <w:r>
        <w:rPr>
          <w:rFonts w:hint="eastAsia" w:ascii="宋体" w:cs="Arial"/>
          <w:sz w:val="24"/>
          <w:szCs w:val="20"/>
        </w:rPr>
        <w:t>（一）磋商文件获取及截止时间</w:t>
      </w:r>
      <w:r>
        <w:rPr>
          <w:rFonts w:hint="eastAsia" w:ascii="宋体" w:hAnsi="宋体" w:cs="Arial"/>
          <w:sz w:val="24"/>
          <w:szCs w:val="20"/>
        </w:rPr>
        <w:t>：2024年</w:t>
      </w:r>
      <w:r>
        <w:rPr>
          <w:rFonts w:hint="eastAsia" w:ascii="宋体" w:hAnsi="宋体" w:cs="Arial"/>
          <w:sz w:val="24"/>
          <w:szCs w:val="20"/>
          <w:lang w:val="en-US" w:eastAsia="zh-CN"/>
        </w:rPr>
        <w:t>11</w:t>
      </w:r>
      <w:r>
        <w:rPr>
          <w:rFonts w:hint="eastAsia" w:ascii="宋体" w:hAnsi="宋体" w:cs="Arial"/>
          <w:sz w:val="24"/>
          <w:szCs w:val="20"/>
        </w:rPr>
        <w:t>月</w:t>
      </w:r>
      <w:r>
        <w:rPr>
          <w:rFonts w:hint="eastAsia" w:ascii="宋体" w:hAnsi="宋体" w:cs="Arial"/>
          <w:sz w:val="24"/>
          <w:szCs w:val="20"/>
          <w:lang w:val="en-US" w:eastAsia="zh-CN"/>
        </w:rPr>
        <w:t>13</w:t>
      </w:r>
      <w:r>
        <w:rPr>
          <w:rFonts w:hint="eastAsia" w:ascii="宋体" w:hAnsi="宋体" w:cs="Arial"/>
          <w:sz w:val="24"/>
          <w:szCs w:val="20"/>
        </w:rPr>
        <w:t>日至2024年</w:t>
      </w:r>
      <w:r>
        <w:rPr>
          <w:rFonts w:hint="eastAsia" w:ascii="宋体" w:hAnsi="宋体" w:cs="Arial"/>
          <w:sz w:val="24"/>
          <w:szCs w:val="20"/>
          <w:lang w:val="en-US" w:eastAsia="zh-CN"/>
        </w:rPr>
        <w:t>11</w:t>
      </w:r>
      <w:r>
        <w:rPr>
          <w:rFonts w:hint="eastAsia" w:ascii="宋体" w:hAnsi="宋体" w:cs="Arial"/>
          <w:sz w:val="24"/>
          <w:szCs w:val="20"/>
        </w:rPr>
        <w:t>月</w:t>
      </w:r>
      <w:r>
        <w:rPr>
          <w:rFonts w:hint="eastAsia" w:ascii="宋体" w:hAnsi="宋体" w:cs="Arial"/>
          <w:sz w:val="24"/>
          <w:szCs w:val="20"/>
          <w:lang w:val="en-US" w:eastAsia="zh-CN"/>
        </w:rPr>
        <w:t>20</w:t>
      </w:r>
      <w:r>
        <w:rPr>
          <w:rFonts w:hint="eastAsia" w:ascii="宋体" w:hAnsi="宋体" w:cs="Arial"/>
          <w:sz w:val="24"/>
          <w:szCs w:val="20"/>
        </w:rPr>
        <w:t>日，</w:t>
      </w:r>
      <w:r>
        <w:rPr>
          <w:rFonts w:hint="eastAsia" w:ascii="宋体"/>
          <w:sz w:val="24"/>
          <w:szCs w:val="22"/>
        </w:rPr>
        <w:t>每天工作时间9:00-12</w:t>
      </w:r>
      <w:r>
        <w:rPr>
          <w:rFonts w:ascii="宋体"/>
          <w:sz w:val="24"/>
          <w:szCs w:val="22"/>
        </w:rPr>
        <w:t>:</w:t>
      </w:r>
      <w:r>
        <w:rPr>
          <w:rFonts w:hint="eastAsia" w:ascii="宋体"/>
          <w:sz w:val="24"/>
          <w:szCs w:val="22"/>
        </w:rPr>
        <w:t>00，13</w:t>
      </w:r>
      <w:r>
        <w:rPr>
          <w:rFonts w:ascii="宋体"/>
          <w:sz w:val="24"/>
          <w:szCs w:val="22"/>
        </w:rPr>
        <w:t>:</w:t>
      </w:r>
      <w:r>
        <w:rPr>
          <w:rFonts w:hint="eastAsia" w:ascii="宋体"/>
          <w:sz w:val="24"/>
          <w:szCs w:val="22"/>
        </w:rPr>
        <w:t>30-17</w:t>
      </w:r>
      <w:r>
        <w:rPr>
          <w:rFonts w:ascii="宋体"/>
          <w:sz w:val="24"/>
          <w:szCs w:val="22"/>
        </w:rPr>
        <w:t>:</w:t>
      </w:r>
      <w:r>
        <w:rPr>
          <w:rFonts w:hint="eastAsia" w:ascii="宋体"/>
          <w:sz w:val="24"/>
          <w:szCs w:val="22"/>
        </w:rPr>
        <w:t>30（北京时间，节假日除外）</w:t>
      </w:r>
    </w:p>
    <w:p w14:paraId="11F716F4">
      <w:pPr>
        <w:spacing w:after="143" w:afterLines="50" w:line="560" w:lineRule="exact"/>
        <w:ind w:firstLine="480" w:firstLineChars="200"/>
        <w:rPr>
          <w:rFonts w:hint="eastAsia" w:ascii="宋体" w:hAnsi="宋体"/>
          <w:sz w:val="24"/>
        </w:rPr>
      </w:pPr>
      <w:r>
        <w:rPr>
          <w:rFonts w:hint="eastAsia" w:ascii="宋体" w:cs="Arial"/>
          <w:sz w:val="24"/>
          <w:szCs w:val="20"/>
        </w:rPr>
        <w:t>（二）磋商文件获取价格：</w:t>
      </w:r>
      <w:r>
        <w:rPr>
          <w:rFonts w:hint="eastAsia" w:ascii="宋体" w:hAnsi="宋体"/>
          <w:sz w:val="24"/>
        </w:rPr>
        <w:t>500元/份，售后不退。（如网上汇款，请注明本次项目编号）</w:t>
      </w:r>
    </w:p>
    <w:p w14:paraId="2DDFF71D">
      <w:pPr>
        <w:widowControl w:val="0"/>
        <w:spacing w:line="560" w:lineRule="exact"/>
        <w:ind w:firstLine="540"/>
        <w:jc w:val="both"/>
        <w:rPr>
          <w:rFonts w:ascii="宋体" w:hAnsi="宋体" w:eastAsia="宋体" w:cs="宋体"/>
          <w:kern w:val="2"/>
          <w:sz w:val="24"/>
          <w:szCs w:val="24"/>
          <w:highlight w:val="none"/>
        </w:rPr>
      </w:pPr>
      <w:r>
        <w:rPr>
          <w:rFonts w:hint="eastAsia" w:ascii="宋体" w:hAnsi="宋体" w:cs="Arial"/>
          <w:sz w:val="24"/>
          <w:szCs w:val="20"/>
        </w:rPr>
        <w:t>（三）磋商文件获取方式：</w:t>
      </w:r>
      <w:r>
        <w:rPr>
          <w:rFonts w:hint="eastAsia" w:ascii="宋体" w:hAnsi="宋体" w:eastAsia="宋体" w:cs="宋体"/>
          <w:kern w:val="2"/>
          <w:sz w:val="24"/>
          <w:szCs w:val="24"/>
          <w:highlight w:val="none"/>
        </w:rPr>
        <w:t>供应商须从合法渠道登记获取采购文件后才可参加此次采购活动，登记时须提供营业执照复印件并加盖供应商公章（影印件）。供应商可根据本项目采购公告页面底端的附件链接，下载“附件</w:t>
      </w:r>
      <w:r>
        <w:rPr>
          <w:rFonts w:ascii="宋体" w:hAnsi="宋体" w:eastAsia="宋体" w:cs="宋体"/>
          <w:kern w:val="2"/>
          <w:sz w:val="24"/>
          <w:szCs w:val="24"/>
          <w:highlight w:val="none"/>
        </w:rPr>
        <w:t>-采购文件获取登记表”，信息填好后将该表发送至以下邮箱</w:t>
      </w:r>
      <w:r>
        <w:rPr>
          <w:rFonts w:hint="eastAsia" w:ascii="宋体" w:hAnsi="宋体" w:eastAsia="宋体" w:cs="宋体"/>
          <w:kern w:val="2"/>
          <w:sz w:val="24"/>
          <w:szCs w:val="24"/>
          <w:highlight w:val="none"/>
        </w:rPr>
        <w:t>（邮件主题为供应商单位</w:t>
      </w:r>
      <w:r>
        <w:rPr>
          <w:rFonts w:ascii="宋体" w:hAnsi="宋体" w:eastAsia="宋体" w:cs="宋体"/>
          <w:kern w:val="2"/>
          <w:sz w:val="24"/>
          <w:szCs w:val="24"/>
          <w:highlight w:val="none"/>
        </w:rPr>
        <w:t>+项目编号及名称）：</w:t>
      </w:r>
      <w:r>
        <w:rPr>
          <w:rFonts w:hint="eastAsia" w:ascii="宋体" w:hAnsi="宋体" w:eastAsia="宋体" w:cs="宋体"/>
          <w:kern w:val="2"/>
          <w:sz w:val="24"/>
          <w:szCs w:val="24"/>
          <w:highlight w:val="none"/>
        </w:rPr>
        <w:t>530723886</w:t>
      </w:r>
      <w:r>
        <w:rPr>
          <w:rFonts w:ascii="宋体" w:hAnsi="宋体" w:eastAsia="宋体" w:cs="宋体"/>
          <w:kern w:val="2"/>
          <w:sz w:val="24"/>
          <w:szCs w:val="24"/>
          <w:highlight w:val="none"/>
        </w:rPr>
        <w:t>@qq.com，由项目负责人核实后提供纸质版采购文件1份。电子版文件将发送至供应商</w:t>
      </w:r>
      <w:r>
        <w:rPr>
          <w:rFonts w:hint="eastAsia" w:ascii="宋体" w:hAnsi="宋体" w:eastAsia="宋体" w:cs="宋体"/>
          <w:kern w:val="2"/>
          <w:sz w:val="24"/>
          <w:szCs w:val="24"/>
          <w:highlight w:val="none"/>
        </w:rPr>
        <w:t>获取</w:t>
      </w:r>
      <w:r>
        <w:rPr>
          <w:rFonts w:ascii="宋体" w:hAnsi="宋体" w:eastAsia="宋体" w:cs="宋体"/>
          <w:kern w:val="2"/>
          <w:sz w:val="24"/>
          <w:szCs w:val="24"/>
          <w:highlight w:val="none"/>
        </w:rPr>
        <w:t>采购文件时所留存的电子邮箱。</w:t>
      </w:r>
    </w:p>
    <w:p w14:paraId="3CD4647E">
      <w:pPr>
        <w:spacing w:after="143" w:afterLines="50" w:line="560" w:lineRule="exact"/>
        <w:ind w:firstLine="480" w:firstLineChars="200"/>
        <w:rPr>
          <w:rFonts w:hint="eastAsia" w:ascii="宋体" w:hAnsi="宋体" w:cs="宋体"/>
          <w:color w:val="000000"/>
          <w:sz w:val="24"/>
        </w:rPr>
      </w:pPr>
      <w:r>
        <w:rPr>
          <w:rFonts w:hint="eastAsia" w:ascii="宋体" w:hAnsi="宋体" w:cs="宋体"/>
          <w:color w:val="000000"/>
          <w:sz w:val="24"/>
        </w:rPr>
        <w:t>纸质采购文件获取地址：南京市雨花台区雨花大道2号邦宁科技园5楼505。若需要邮寄纸质采购文件，请供应商在采购文件获取登记表中注明邮寄信息。（纸质版采购文件与电子版采购文件一致，非必须领取）。</w:t>
      </w:r>
    </w:p>
    <w:p w14:paraId="3B200D4A">
      <w:pPr>
        <w:spacing w:after="143" w:afterLines="50" w:line="560" w:lineRule="exact"/>
        <w:ind w:firstLine="240" w:firstLineChars="100"/>
        <w:rPr>
          <w:rFonts w:hint="eastAsia" w:ascii="宋体" w:hAnsi="宋体" w:cs="宋体"/>
          <w:color w:val="000000"/>
          <w:sz w:val="24"/>
        </w:rPr>
      </w:pPr>
      <w:r>
        <w:rPr>
          <w:rFonts w:hint="eastAsia" w:ascii="宋体" w:hAnsi="宋体" w:cs="宋体"/>
          <w:color w:val="000000"/>
          <w:sz w:val="24"/>
        </w:rPr>
        <w:t xml:space="preserve"> 具体事项联系本项目负责人。</w:t>
      </w:r>
    </w:p>
    <w:p w14:paraId="57AAAFB7">
      <w:pPr>
        <w:spacing w:after="143" w:afterLines="50" w:line="560" w:lineRule="exact"/>
        <w:ind w:firstLine="240" w:firstLineChars="100"/>
        <w:rPr>
          <w:rFonts w:ascii="宋体" w:cs="Arial"/>
          <w:sz w:val="24"/>
          <w:szCs w:val="20"/>
        </w:rPr>
      </w:pPr>
      <w:r>
        <w:rPr>
          <w:rFonts w:hint="eastAsia" w:ascii="宋体" w:cs="Arial"/>
          <w:sz w:val="24"/>
          <w:szCs w:val="20"/>
        </w:rPr>
        <w:t>（四）负责人及联系电话：戴工   025-52813631   13851709970</w:t>
      </w:r>
    </w:p>
    <w:p w14:paraId="4A23E588">
      <w:pPr>
        <w:spacing w:after="143" w:afterLines="50" w:line="560" w:lineRule="exact"/>
        <w:ind w:firstLine="590" w:firstLineChars="245"/>
        <w:rPr>
          <w:rFonts w:hint="eastAsia" w:ascii="宋体" w:hAnsi="宋体"/>
          <w:b/>
          <w:bCs/>
          <w:sz w:val="24"/>
        </w:rPr>
      </w:pPr>
      <w:r>
        <w:rPr>
          <w:rFonts w:hint="eastAsia" w:ascii="宋体" w:hAnsi="宋体"/>
          <w:b/>
          <w:bCs/>
          <w:sz w:val="24"/>
        </w:rPr>
        <w:t>四、响应文件提交</w:t>
      </w:r>
    </w:p>
    <w:p w14:paraId="5E297B61">
      <w:pPr>
        <w:spacing w:after="143" w:afterLines="50" w:line="560" w:lineRule="exact"/>
        <w:ind w:firstLine="638" w:firstLineChars="266"/>
        <w:rPr>
          <w:rFonts w:hint="eastAsia" w:ascii="宋体" w:hAnsi="宋体"/>
          <w:bCs/>
          <w:sz w:val="24"/>
        </w:rPr>
      </w:pPr>
      <w:r>
        <w:rPr>
          <w:rFonts w:hint="eastAsia" w:ascii="宋体" w:hAnsi="宋体"/>
          <w:bCs/>
          <w:sz w:val="24"/>
        </w:rPr>
        <w:t>（一）接收响应文件开始时间</w:t>
      </w:r>
      <w:r>
        <w:rPr>
          <w:rFonts w:ascii="宋体" w:hAnsi="宋体"/>
          <w:bCs/>
          <w:sz w:val="24"/>
        </w:rPr>
        <w:t>:</w:t>
      </w:r>
      <w:r>
        <w:rPr>
          <w:rFonts w:hint="eastAsia" w:ascii="宋体" w:hAnsi="宋体"/>
          <w:bCs/>
          <w:sz w:val="24"/>
        </w:rPr>
        <w:t xml:space="preserve"> 2024年</w:t>
      </w:r>
      <w:r>
        <w:rPr>
          <w:rFonts w:hint="eastAsia" w:ascii="宋体" w:hAnsi="宋体"/>
          <w:bCs/>
          <w:sz w:val="24"/>
          <w:lang w:val="en-US" w:eastAsia="zh-CN"/>
        </w:rPr>
        <w:t>11</w:t>
      </w:r>
      <w:r>
        <w:rPr>
          <w:rFonts w:hint="eastAsia" w:ascii="宋体" w:hAnsi="宋体"/>
          <w:bCs/>
          <w:sz w:val="24"/>
        </w:rPr>
        <w:t>月</w:t>
      </w:r>
      <w:r>
        <w:rPr>
          <w:rFonts w:hint="eastAsia" w:ascii="宋体" w:hAnsi="宋体"/>
          <w:bCs/>
          <w:sz w:val="24"/>
          <w:lang w:val="en-US" w:eastAsia="zh-CN"/>
        </w:rPr>
        <w:t>25</w:t>
      </w:r>
      <w:r>
        <w:rPr>
          <w:rFonts w:hint="eastAsia" w:ascii="宋体" w:hAnsi="宋体"/>
          <w:bCs/>
          <w:sz w:val="24"/>
        </w:rPr>
        <w:t xml:space="preserve">日 </w:t>
      </w:r>
      <w:r>
        <w:rPr>
          <w:rFonts w:hint="eastAsia" w:ascii="宋体" w:hAnsi="宋体"/>
          <w:bCs/>
          <w:sz w:val="24"/>
          <w:lang w:val="en-US" w:eastAsia="zh-CN"/>
        </w:rPr>
        <w:t>09</w:t>
      </w:r>
      <w:r>
        <w:rPr>
          <w:rFonts w:hint="eastAsia" w:ascii="宋体" w:hAnsi="宋体"/>
          <w:bCs/>
          <w:sz w:val="24"/>
        </w:rPr>
        <w:t>:</w:t>
      </w:r>
      <w:bookmarkStart w:id="6" w:name="_Hlk132664817"/>
      <w:r>
        <w:rPr>
          <w:rFonts w:hint="eastAsia" w:ascii="宋体" w:hAnsi="宋体"/>
          <w:bCs/>
          <w:sz w:val="24"/>
        </w:rPr>
        <w:t>00（北京时间）</w:t>
      </w:r>
      <w:bookmarkEnd w:id="6"/>
    </w:p>
    <w:p w14:paraId="786F246E">
      <w:pPr>
        <w:spacing w:after="143" w:line="560" w:lineRule="exact"/>
        <w:ind w:firstLine="660" w:firstLineChars="275"/>
        <w:rPr>
          <w:rFonts w:ascii="宋体"/>
          <w:bCs/>
          <w:sz w:val="24"/>
        </w:rPr>
      </w:pPr>
      <w:r>
        <w:rPr>
          <w:rFonts w:hint="eastAsia" w:ascii="宋体"/>
          <w:bCs/>
          <w:sz w:val="24"/>
        </w:rPr>
        <w:t>（二）接收响应文件截止时间:</w:t>
      </w:r>
      <w:r>
        <w:rPr>
          <w:rFonts w:hint="eastAsia" w:ascii="宋体" w:hAnsi="宋体"/>
          <w:bCs/>
          <w:sz w:val="24"/>
        </w:rPr>
        <w:t xml:space="preserve"> 2024年</w:t>
      </w:r>
      <w:r>
        <w:rPr>
          <w:rFonts w:hint="eastAsia" w:ascii="宋体" w:hAnsi="宋体"/>
          <w:bCs/>
          <w:sz w:val="24"/>
          <w:lang w:val="en-US" w:eastAsia="zh-CN"/>
        </w:rPr>
        <w:t>11</w:t>
      </w:r>
      <w:r>
        <w:rPr>
          <w:rFonts w:hint="eastAsia" w:ascii="宋体" w:hAnsi="宋体"/>
          <w:bCs/>
          <w:sz w:val="24"/>
        </w:rPr>
        <w:t>月</w:t>
      </w:r>
      <w:r>
        <w:rPr>
          <w:rFonts w:hint="eastAsia" w:ascii="宋体" w:hAnsi="宋体"/>
          <w:bCs/>
          <w:sz w:val="24"/>
          <w:lang w:val="en-US" w:eastAsia="zh-CN"/>
        </w:rPr>
        <w:t>25</w:t>
      </w:r>
      <w:r>
        <w:rPr>
          <w:rFonts w:hint="eastAsia" w:ascii="宋体" w:hAnsi="宋体"/>
          <w:bCs/>
          <w:sz w:val="24"/>
        </w:rPr>
        <w:t xml:space="preserve">日 </w:t>
      </w:r>
      <w:r>
        <w:rPr>
          <w:rFonts w:hint="eastAsia" w:ascii="宋体" w:hAnsi="宋体"/>
          <w:bCs/>
          <w:sz w:val="24"/>
          <w:lang w:val="en-US" w:eastAsia="zh-CN"/>
        </w:rPr>
        <w:t>09</w:t>
      </w:r>
      <w:r>
        <w:rPr>
          <w:rFonts w:hint="eastAsia" w:ascii="宋体" w:hAnsi="宋体"/>
          <w:bCs/>
          <w:sz w:val="24"/>
        </w:rPr>
        <w:t>:30</w:t>
      </w:r>
      <w:r>
        <w:rPr>
          <w:rFonts w:hint="eastAsia" w:ascii="宋体"/>
          <w:bCs/>
          <w:sz w:val="24"/>
        </w:rPr>
        <w:t>（北京时间）</w:t>
      </w:r>
    </w:p>
    <w:p w14:paraId="5AD59B40">
      <w:pPr>
        <w:spacing w:after="143" w:line="560" w:lineRule="exact"/>
        <w:ind w:firstLine="660" w:firstLineChars="275"/>
        <w:rPr>
          <w:rFonts w:ascii="宋体"/>
          <w:bCs/>
          <w:sz w:val="24"/>
        </w:rPr>
      </w:pPr>
      <w:r>
        <w:rPr>
          <w:rFonts w:hint="eastAsia" w:ascii="宋体"/>
          <w:bCs/>
          <w:sz w:val="24"/>
        </w:rPr>
        <w:t>（三）提交响应文件地址：南京市雨花台区雨花大道2号邦宁科技园5楼505开标室</w:t>
      </w:r>
    </w:p>
    <w:p w14:paraId="4FB1D9DD">
      <w:pPr>
        <w:pStyle w:val="50"/>
        <w:ind w:firstLine="720" w:firstLineChars="300"/>
        <w:rPr>
          <w:lang w:eastAsia="zh-CN"/>
        </w:rPr>
      </w:pPr>
      <w:r>
        <w:rPr>
          <w:rFonts w:hint="eastAsia"/>
          <w:lang w:eastAsia="zh-CN"/>
        </w:rPr>
        <w:t>提交响应文件截止时间过后，采购代理机构组织专家与供应商进行磋商，请供应商法定代表人或其授权委托代表出席。</w:t>
      </w:r>
    </w:p>
    <w:p w14:paraId="74FFD789">
      <w:pPr>
        <w:spacing w:after="143" w:afterLines="50" w:line="560" w:lineRule="exact"/>
        <w:ind w:firstLine="590" w:firstLineChars="245"/>
        <w:rPr>
          <w:rFonts w:hint="eastAsia" w:ascii="宋体" w:hAnsi="宋体"/>
          <w:b/>
          <w:bCs/>
          <w:sz w:val="24"/>
        </w:rPr>
      </w:pPr>
      <w:r>
        <w:rPr>
          <w:rFonts w:hint="eastAsia" w:ascii="宋体" w:hAnsi="宋体"/>
          <w:b/>
          <w:bCs/>
          <w:sz w:val="24"/>
        </w:rPr>
        <w:t>五、 响应文件开启及磋商开始</w:t>
      </w:r>
    </w:p>
    <w:p w14:paraId="15FCA453">
      <w:pPr>
        <w:spacing w:after="143" w:afterLines="50" w:line="560" w:lineRule="exact"/>
        <w:ind w:firstLine="588" w:firstLineChars="245"/>
        <w:rPr>
          <w:rFonts w:hint="eastAsia" w:ascii="宋体" w:hAnsi="宋体"/>
          <w:bCs/>
          <w:sz w:val="24"/>
        </w:rPr>
      </w:pPr>
      <w:r>
        <w:rPr>
          <w:rFonts w:hint="eastAsia" w:ascii="宋体" w:hAnsi="宋体"/>
          <w:bCs/>
          <w:sz w:val="24"/>
        </w:rPr>
        <w:t>（一）响应文件开启及磋商开始时间：2024年</w:t>
      </w:r>
      <w:r>
        <w:rPr>
          <w:rFonts w:hint="eastAsia" w:ascii="宋体" w:hAnsi="宋体"/>
          <w:bCs/>
          <w:sz w:val="24"/>
          <w:lang w:val="en-US" w:eastAsia="zh-CN"/>
        </w:rPr>
        <w:t>11</w:t>
      </w:r>
      <w:r>
        <w:rPr>
          <w:rFonts w:hint="eastAsia" w:ascii="宋体" w:hAnsi="宋体"/>
          <w:bCs/>
          <w:sz w:val="24"/>
        </w:rPr>
        <w:t>月</w:t>
      </w:r>
      <w:r>
        <w:rPr>
          <w:rFonts w:hint="eastAsia" w:ascii="宋体" w:hAnsi="宋体"/>
          <w:bCs/>
          <w:sz w:val="24"/>
          <w:lang w:val="en-US" w:eastAsia="zh-CN"/>
        </w:rPr>
        <w:t>25</w:t>
      </w:r>
      <w:r>
        <w:rPr>
          <w:rFonts w:hint="eastAsia" w:ascii="宋体" w:hAnsi="宋体"/>
          <w:bCs/>
          <w:sz w:val="24"/>
        </w:rPr>
        <w:t xml:space="preserve">日 </w:t>
      </w:r>
      <w:r>
        <w:rPr>
          <w:rFonts w:hint="eastAsia" w:ascii="宋体" w:hAnsi="宋体"/>
          <w:bCs/>
          <w:sz w:val="24"/>
          <w:lang w:val="en-US" w:eastAsia="zh-CN"/>
        </w:rPr>
        <w:t>09</w:t>
      </w:r>
      <w:r>
        <w:rPr>
          <w:rFonts w:hint="eastAsia" w:ascii="宋体" w:hAnsi="宋体"/>
          <w:bCs/>
          <w:sz w:val="24"/>
        </w:rPr>
        <w:t>:30（北京时间）</w:t>
      </w:r>
    </w:p>
    <w:p w14:paraId="1838B9E1">
      <w:pPr>
        <w:spacing w:after="143" w:afterLines="50" w:line="560" w:lineRule="exact"/>
        <w:ind w:firstLine="588" w:firstLineChars="245"/>
        <w:rPr>
          <w:rFonts w:hint="eastAsia" w:ascii="宋体" w:hAnsi="宋体"/>
          <w:bCs/>
          <w:color w:val="000000"/>
          <w:sz w:val="24"/>
        </w:rPr>
      </w:pPr>
      <w:r>
        <w:rPr>
          <w:rFonts w:hint="eastAsia" w:ascii="宋体" w:hAnsi="宋体"/>
          <w:bCs/>
          <w:color w:val="000000"/>
          <w:sz w:val="24"/>
        </w:rPr>
        <w:t>（二）响应文件开启及磋商地点：南京市雨花台区雨花大道</w:t>
      </w:r>
      <w:r>
        <w:rPr>
          <w:rFonts w:ascii="宋体" w:hAnsi="宋体"/>
          <w:bCs/>
          <w:color w:val="000000"/>
          <w:sz w:val="24"/>
        </w:rPr>
        <w:t>2号邦宁科技园5楼509评标室</w:t>
      </w:r>
    </w:p>
    <w:p w14:paraId="533FA948">
      <w:pPr>
        <w:spacing w:after="143" w:afterLines="50" w:line="560" w:lineRule="exact"/>
        <w:ind w:firstLine="588" w:firstLineChars="245"/>
        <w:rPr>
          <w:rFonts w:hint="eastAsia" w:ascii="宋体" w:hAnsi="宋体"/>
          <w:bCs/>
          <w:sz w:val="24"/>
        </w:rPr>
      </w:pPr>
      <w:r>
        <w:rPr>
          <w:rFonts w:hint="eastAsia" w:ascii="宋体" w:hAnsi="宋体"/>
          <w:bCs/>
          <w:sz w:val="24"/>
        </w:rPr>
        <w:t>为减少人员聚集，请供应商委派熟悉产品或服务性能和技术参数的1名授权代表参加现场磋商。</w:t>
      </w:r>
    </w:p>
    <w:p w14:paraId="4C4E0001">
      <w:pPr>
        <w:tabs>
          <w:tab w:val="left" w:pos="900"/>
        </w:tabs>
        <w:spacing w:after="143" w:afterLines="50" w:line="560" w:lineRule="exact"/>
        <w:ind w:firstLine="590" w:firstLineChars="245"/>
        <w:rPr>
          <w:rFonts w:hint="eastAsia" w:ascii="宋体" w:hAnsi="宋体"/>
          <w:b/>
          <w:bCs/>
          <w:color w:val="000000"/>
          <w:sz w:val="24"/>
        </w:rPr>
      </w:pPr>
      <w:r>
        <w:rPr>
          <w:rFonts w:hint="eastAsia" w:ascii="宋体" w:hAnsi="宋体"/>
          <w:b/>
          <w:bCs/>
          <w:color w:val="000000"/>
          <w:sz w:val="24"/>
        </w:rPr>
        <w:t>六、公告期限</w:t>
      </w:r>
    </w:p>
    <w:p w14:paraId="6762FFD3">
      <w:pPr>
        <w:tabs>
          <w:tab w:val="left" w:pos="900"/>
        </w:tabs>
        <w:spacing w:after="143" w:afterLines="50" w:line="560" w:lineRule="exact"/>
        <w:ind w:firstLine="588" w:firstLineChars="245"/>
        <w:rPr>
          <w:rFonts w:hint="eastAsia" w:ascii="宋体" w:hAnsi="宋体"/>
          <w:sz w:val="24"/>
        </w:rPr>
      </w:pPr>
      <w:r>
        <w:rPr>
          <w:rFonts w:hint="eastAsia" w:ascii="宋体" w:hAnsi="宋体"/>
          <w:sz w:val="24"/>
        </w:rPr>
        <w:t>自竞争性磋商公告在</w:t>
      </w:r>
      <w:r>
        <w:rPr>
          <w:rFonts w:hint="eastAsia" w:ascii="宋体" w:hAnsi="宋体"/>
          <w:sz w:val="24"/>
          <w:lang w:eastAsia="zh-CN"/>
        </w:rPr>
        <w:t>江苏政府采购网</w:t>
      </w:r>
      <w:r>
        <w:rPr>
          <w:rFonts w:hint="eastAsia" w:ascii="宋体" w:hAnsi="宋体"/>
          <w:sz w:val="24"/>
        </w:rPr>
        <w:t>发布之日起3个工作日。有关本次磋商的事项若存在澄清或修改，敬请及时关注</w:t>
      </w:r>
      <w:r>
        <w:rPr>
          <w:rFonts w:hint="eastAsia" w:ascii="宋体" w:hAnsi="宋体"/>
          <w:sz w:val="24"/>
          <w:lang w:eastAsia="zh-CN"/>
        </w:rPr>
        <w:t>江苏政府采购网</w:t>
      </w:r>
      <w:r>
        <w:rPr>
          <w:rFonts w:hint="eastAsia" w:ascii="宋体" w:hAnsi="宋体"/>
          <w:sz w:val="24"/>
        </w:rPr>
        <w:t>发布的信息更正公告。所有事项均以该媒体发布的公告为准，因未及时关注</w:t>
      </w:r>
      <w:r>
        <w:rPr>
          <w:rFonts w:hint="eastAsia" w:ascii="宋体" w:hAnsi="宋体"/>
          <w:sz w:val="24"/>
          <w:lang w:eastAsia="zh-CN"/>
        </w:rPr>
        <w:t>江苏政府采购网</w:t>
      </w:r>
      <w:r>
        <w:rPr>
          <w:rFonts w:hint="eastAsia" w:ascii="宋体" w:hAnsi="宋体"/>
          <w:sz w:val="24"/>
        </w:rPr>
        <w:t>发布的信息而导致的一切后果由供应商自行负责。</w:t>
      </w:r>
    </w:p>
    <w:p w14:paraId="5BFD3D35">
      <w:pPr>
        <w:tabs>
          <w:tab w:val="left" w:pos="900"/>
        </w:tabs>
        <w:spacing w:after="143" w:afterLines="50" w:line="560" w:lineRule="exact"/>
        <w:ind w:firstLine="590" w:firstLineChars="245"/>
        <w:rPr>
          <w:rFonts w:hint="eastAsia" w:ascii="宋体" w:hAnsi="宋体"/>
          <w:b/>
          <w:bCs/>
          <w:color w:val="000000"/>
          <w:sz w:val="24"/>
        </w:rPr>
      </w:pPr>
      <w:r>
        <w:rPr>
          <w:rFonts w:hint="eastAsia" w:ascii="宋体" w:hAnsi="宋体"/>
          <w:b/>
          <w:bCs/>
          <w:color w:val="000000"/>
          <w:sz w:val="24"/>
        </w:rPr>
        <w:t>七、其他补充事宜</w:t>
      </w:r>
    </w:p>
    <w:p w14:paraId="1D220840">
      <w:pPr>
        <w:tabs>
          <w:tab w:val="left" w:pos="900"/>
        </w:tabs>
        <w:spacing w:after="143" w:afterLines="50" w:line="560" w:lineRule="exact"/>
        <w:ind w:firstLine="588" w:firstLineChars="245"/>
        <w:rPr>
          <w:rFonts w:hint="eastAsia" w:ascii="宋体" w:hAnsi="宋体"/>
          <w:color w:val="000000"/>
          <w:sz w:val="24"/>
        </w:rPr>
      </w:pPr>
      <w:r>
        <w:rPr>
          <w:rFonts w:hint="eastAsia" w:ascii="宋体" w:hAnsi="宋体"/>
          <w:color w:val="000000"/>
          <w:sz w:val="24"/>
        </w:rPr>
        <w:t>1</w:t>
      </w:r>
      <w:r>
        <w:rPr>
          <w:rFonts w:ascii="宋体" w:hAnsi="宋体"/>
          <w:color w:val="000000"/>
          <w:sz w:val="24"/>
        </w:rPr>
        <w:t>.</w:t>
      </w:r>
      <w:r>
        <w:rPr>
          <w:rFonts w:hint="eastAsia" w:ascii="宋体" w:hAnsi="宋体"/>
          <w:color w:val="000000"/>
          <w:sz w:val="24"/>
        </w:rPr>
        <w:t>本磋商文件中标★部分为实质性响应条件，为必须遵守的条件，如不满足将作无效响应文件处理。</w:t>
      </w:r>
    </w:p>
    <w:p w14:paraId="3DA34B9A">
      <w:pPr>
        <w:tabs>
          <w:tab w:val="left" w:pos="900"/>
        </w:tabs>
        <w:spacing w:after="143" w:afterLines="50" w:line="560" w:lineRule="exact"/>
        <w:ind w:firstLine="588" w:firstLineChars="245"/>
        <w:rPr>
          <w:rFonts w:hint="eastAsia" w:ascii="宋体" w:hAnsi="宋体"/>
          <w:color w:val="000000"/>
          <w:sz w:val="24"/>
        </w:rPr>
      </w:pPr>
      <w:r>
        <w:rPr>
          <w:rFonts w:ascii="宋体" w:hAnsi="宋体"/>
          <w:color w:val="000000"/>
          <w:sz w:val="24"/>
        </w:rPr>
        <w:t>2.</w:t>
      </w:r>
      <w:r>
        <w:rPr>
          <w:rFonts w:hint="eastAsia" w:ascii="宋体" w:hAnsi="宋体"/>
          <w:color w:val="000000"/>
          <w:sz w:val="24"/>
        </w:rPr>
        <w:t>本次磋商响应文件制作份数要求</w:t>
      </w:r>
    </w:p>
    <w:p w14:paraId="3C98304E">
      <w:pPr>
        <w:adjustRightInd w:val="0"/>
        <w:snapToGrid w:val="0"/>
        <w:spacing w:line="560" w:lineRule="exact"/>
        <w:ind w:firstLine="480" w:firstLineChars="200"/>
        <w:rPr>
          <w:rFonts w:ascii="宋体"/>
          <w:sz w:val="24"/>
        </w:rPr>
      </w:pPr>
      <w:r>
        <w:rPr>
          <w:rFonts w:hint="eastAsia" w:ascii="宋体"/>
          <w:sz w:val="24"/>
        </w:rPr>
        <w:t>（1）纸质版响应文件一式 肆 份（ 1 份正本、3 份副本），每份文件须清楚标明“正本”或“副本”字样。</w:t>
      </w:r>
    </w:p>
    <w:p w14:paraId="3582069D">
      <w:pPr>
        <w:adjustRightInd w:val="0"/>
        <w:snapToGrid w:val="0"/>
        <w:spacing w:line="560" w:lineRule="exact"/>
        <w:ind w:firstLine="480" w:firstLineChars="200"/>
        <w:rPr>
          <w:rFonts w:ascii="宋体"/>
          <w:sz w:val="24"/>
        </w:rPr>
      </w:pPr>
      <w:r>
        <w:rPr>
          <w:rFonts w:hint="eastAsia" w:ascii="宋体"/>
          <w:sz w:val="24"/>
        </w:rPr>
        <w:t>（2）电子版文件壹份，用于辅助评标和存档（内容为响应文件正本加盖公章后的扫描件，以U盘形式，贴上含项目编号、供应商名称等项目信息的标签，随纸质文件一同密封提交，文件格式应为PDF格式，当电子版文件与纸质文件不一致时，以纸质文件正本为准）。</w:t>
      </w:r>
    </w:p>
    <w:p w14:paraId="58448C8D">
      <w:pPr>
        <w:tabs>
          <w:tab w:val="left" w:pos="900"/>
        </w:tabs>
        <w:spacing w:after="143" w:afterLines="50" w:line="560" w:lineRule="exact"/>
        <w:ind w:firstLine="588" w:firstLineChars="245"/>
        <w:rPr>
          <w:rFonts w:hint="eastAsia" w:ascii="宋体" w:hAnsi="宋体"/>
          <w:color w:val="000000"/>
          <w:sz w:val="24"/>
        </w:rPr>
      </w:pPr>
      <w:r>
        <w:rPr>
          <w:rFonts w:ascii="宋体" w:hAnsi="宋体"/>
          <w:color w:val="000000"/>
          <w:sz w:val="24"/>
        </w:rPr>
        <w:t>3.</w:t>
      </w:r>
      <w:r>
        <w:rPr>
          <w:rFonts w:hint="eastAsia" w:ascii="宋体" w:hAnsi="宋体"/>
          <w:color w:val="000000"/>
          <w:sz w:val="24"/>
        </w:rPr>
        <w:t>本次磋商保证金要求：本次磋商不收取保证金。</w:t>
      </w:r>
    </w:p>
    <w:p w14:paraId="58D0DD0E">
      <w:pPr>
        <w:tabs>
          <w:tab w:val="left" w:pos="900"/>
        </w:tabs>
        <w:spacing w:after="143" w:afterLines="50" w:line="560" w:lineRule="exact"/>
        <w:ind w:firstLine="588" w:firstLineChars="245"/>
        <w:rPr>
          <w:rFonts w:hint="eastAsia" w:ascii="宋体" w:hAnsi="宋体"/>
          <w:color w:val="000000"/>
          <w:sz w:val="24"/>
        </w:rPr>
      </w:pPr>
      <w:r>
        <w:rPr>
          <w:rFonts w:ascii="宋体" w:hAnsi="宋体"/>
          <w:color w:val="000000"/>
          <w:sz w:val="24"/>
        </w:rPr>
        <w:t>4.</w:t>
      </w:r>
      <w:r>
        <w:rPr>
          <w:rFonts w:hint="eastAsia" w:ascii="宋体" w:hAnsi="宋体"/>
          <w:color w:val="000000"/>
          <w:sz w:val="24"/>
        </w:rPr>
        <w:t>采购代理机构账户信息</w:t>
      </w:r>
    </w:p>
    <w:p w14:paraId="5FBD4823">
      <w:pPr>
        <w:tabs>
          <w:tab w:val="left" w:pos="900"/>
        </w:tabs>
        <w:spacing w:after="143" w:afterLines="50" w:line="560" w:lineRule="exact"/>
        <w:ind w:firstLine="588" w:firstLineChars="245"/>
        <w:rPr>
          <w:rFonts w:hint="eastAsia" w:ascii="宋体" w:hAnsi="宋体"/>
          <w:color w:val="000000"/>
          <w:sz w:val="24"/>
        </w:rPr>
      </w:pPr>
      <w:r>
        <w:rPr>
          <w:rFonts w:hint="eastAsia" w:ascii="宋体" w:hAnsi="宋体"/>
          <w:color w:val="000000"/>
          <w:sz w:val="24"/>
        </w:rPr>
        <w:t>收款单位：南京小旸树招标代理有限公司</w:t>
      </w:r>
      <w:r>
        <w:rPr>
          <w:rFonts w:ascii="宋体" w:hAnsi="宋体"/>
          <w:color w:val="000000"/>
          <w:sz w:val="24"/>
        </w:rPr>
        <w:t xml:space="preserve">  </w:t>
      </w:r>
    </w:p>
    <w:p w14:paraId="7B854FB0">
      <w:pPr>
        <w:tabs>
          <w:tab w:val="left" w:pos="900"/>
        </w:tabs>
        <w:spacing w:after="143" w:afterLines="50" w:line="560" w:lineRule="exact"/>
        <w:ind w:firstLine="588" w:firstLineChars="245"/>
        <w:rPr>
          <w:rFonts w:hint="eastAsia" w:ascii="宋体" w:hAnsi="宋体"/>
          <w:color w:val="000000"/>
          <w:sz w:val="24"/>
        </w:rPr>
      </w:pPr>
      <w:r>
        <w:rPr>
          <w:rFonts w:hint="eastAsia" w:ascii="宋体" w:hAnsi="宋体"/>
          <w:color w:val="000000"/>
          <w:sz w:val="24"/>
        </w:rPr>
        <w:t>开户行：交通银行南京水西门支行</w:t>
      </w:r>
      <w:r>
        <w:rPr>
          <w:rFonts w:ascii="宋体" w:hAnsi="宋体"/>
          <w:color w:val="000000"/>
          <w:sz w:val="24"/>
        </w:rPr>
        <w:t xml:space="preserve"> </w:t>
      </w:r>
    </w:p>
    <w:p w14:paraId="444EFF22">
      <w:pPr>
        <w:tabs>
          <w:tab w:val="left" w:pos="900"/>
        </w:tabs>
        <w:spacing w:after="143" w:afterLines="50" w:line="560" w:lineRule="exact"/>
        <w:ind w:firstLine="588" w:firstLineChars="245"/>
        <w:rPr>
          <w:rFonts w:hint="eastAsia" w:ascii="宋体" w:hAnsi="宋体"/>
          <w:color w:val="000000"/>
          <w:sz w:val="24"/>
        </w:rPr>
      </w:pPr>
      <w:r>
        <w:rPr>
          <w:rFonts w:hint="eastAsia" w:ascii="宋体" w:hAnsi="宋体"/>
          <w:color w:val="000000"/>
          <w:sz w:val="24"/>
        </w:rPr>
        <w:t>账号：</w:t>
      </w:r>
      <w:r>
        <w:rPr>
          <w:rFonts w:ascii="宋体" w:hAnsi="宋体"/>
          <w:color w:val="000000"/>
          <w:sz w:val="24"/>
        </w:rPr>
        <w:t>320006642018010101049</w:t>
      </w:r>
    </w:p>
    <w:p w14:paraId="259EA048">
      <w:pPr>
        <w:tabs>
          <w:tab w:val="left" w:pos="900"/>
        </w:tabs>
        <w:spacing w:after="143" w:afterLines="50" w:line="560" w:lineRule="exact"/>
        <w:ind w:firstLine="588" w:firstLineChars="245"/>
        <w:rPr>
          <w:rFonts w:hint="eastAsia" w:ascii="宋体" w:hAnsi="宋体"/>
          <w:color w:val="000000"/>
          <w:sz w:val="24"/>
        </w:rPr>
      </w:pPr>
      <w:r>
        <w:rPr>
          <w:rFonts w:hint="eastAsia" w:ascii="宋体" w:hAnsi="宋体"/>
          <w:color w:val="000000"/>
          <w:sz w:val="24"/>
        </w:rPr>
        <w:t>5.</w:t>
      </w:r>
      <w:r>
        <w:rPr>
          <w:rFonts w:hint="eastAsia"/>
        </w:rPr>
        <w:t xml:space="preserve"> </w:t>
      </w:r>
      <w:r>
        <w:rPr>
          <w:rFonts w:hint="eastAsia"/>
          <w:sz w:val="24"/>
          <w:szCs w:val="32"/>
        </w:rPr>
        <w:t>本采购项目为非预留份额专门面向中小企业的采购项目。</w:t>
      </w:r>
      <w:r>
        <w:rPr>
          <w:rFonts w:hint="eastAsia" w:ascii="宋体" w:hAnsi="宋体"/>
          <w:color w:val="000000"/>
          <w:sz w:val="24"/>
        </w:rPr>
        <w:t>本采购项目落实的政府采购政策：</w:t>
      </w:r>
    </w:p>
    <w:p w14:paraId="5177B755">
      <w:pPr>
        <w:tabs>
          <w:tab w:val="left" w:pos="900"/>
        </w:tabs>
        <w:spacing w:after="143" w:afterLines="50" w:line="560" w:lineRule="exact"/>
        <w:ind w:firstLine="588" w:firstLineChars="245"/>
        <w:rPr>
          <w:rFonts w:hint="eastAsia" w:ascii="宋体" w:hAnsi="宋体"/>
          <w:color w:val="000000"/>
          <w:sz w:val="24"/>
        </w:rPr>
      </w:pPr>
      <w:r>
        <w:rPr>
          <w:rFonts w:hint="eastAsia" w:ascii="宋体" w:hAnsi="宋体"/>
          <w:color w:val="000000"/>
          <w:sz w:val="24"/>
        </w:rPr>
        <w:t>①政府采购促进中小企业发展政策；</w:t>
      </w:r>
    </w:p>
    <w:p w14:paraId="78C11529">
      <w:pPr>
        <w:tabs>
          <w:tab w:val="left" w:pos="900"/>
        </w:tabs>
        <w:spacing w:after="143" w:afterLines="50" w:line="560" w:lineRule="exact"/>
        <w:ind w:firstLine="588" w:firstLineChars="245"/>
        <w:rPr>
          <w:rFonts w:hint="eastAsia" w:ascii="宋体" w:hAnsi="宋体"/>
          <w:color w:val="000000"/>
          <w:sz w:val="24"/>
        </w:rPr>
      </w:pPr>
      <w:r>
        <w:rPr>
          <w:rFonts w:hint="eastAsia" w:ascii="宋体" w:hAnsi="宋体"/>
          <w:color w:val="000000"/>
          <w:sz w:val="24"/>
        </w:rPr>
        <w:t>②政府采购促进残疾人就业政策；</w:t>
      </w:r>
    </w:p>
    <w:p w14:paraId="2255CB92">
      <w:pPr>
        <w:tabs>
          <w:tab w:val="left" w:pos="900"/>
        </w:tabs>
        <w:spacing w:after="143" w:afterLines="50" w:line="560" w:lineRule="exact"/>
        <w:ind w:firstLine="588" w:firstLineChars="245"/>
        <w:rPr>
          <w:rFonts w:hint="eastAsia" w:ascii="宋体" w:hAnsi="宋体"/>
          <w:color w:val="000000"/>
          <w:sz w:val="24"/>
        </w:rPr>
      </w:pPr>
      <w:r>
        <w:rPr>
          <w:rFonts w:hint="eastAsia" w:ascii="宋体" w:hAnsi="宋体"/>
          <w:color w:val="000000"/>
          <w:sz w:val="24"/>
        </w:rPr>
        <w:t>③政府采购支持监狱企业发展政策；</w:t>
      </w:r>
    </w:p>
    <w:p w14:paraId="506F5550">
      <w:pPr>
        <w:tabs>
          <w:tab w:val="left" w:pos="900"/>
        </w:tabs>
        <w:spacing w:after="143" w:afterLines="50" w:line="560" w:lineRule="exact"/>
        <w:ind w:firstLine="588" w:firstLineChars="245"/>
        <w:rPr>
          <w:rFonts w:hint="eastAsia" w:ascii="宋体" w:hAnsi="宋体"/>
          <w:color w:val="000000"/>
          <w:sz w:val="24"/>
        </w:rPr>
      </w:pPr>
      <w:r>
        <w:rPr>
          <w:rFonts w:hint="eastAsia" w:ascii="宋体" w:hAnsi="宋体"/>
          <w:color w:val="000000"/>
          <w:sz w:val="24"/>
        </w:rPr>
        <w:t>④优先采购节能环保产品政策；</w:t>
      </w:r>
    </w:p>
    <w:p w14:paraId="5A28BD85">
      <w:pPr>
        <w:tabs>
          <w:tab w:val="left" w:pos="900"/>
        </w:tabs>
        <w:spacing w:after="143" w:afterLines="50" w:line="560" w:lineRule="exact"/>
        <w:ind w:firstLine="588" w:firstLineChars="245"/>
        <w:rPr>
          <w:rFonts w:hint="eastAsia" w:ascii="宋体" w:hAnsi="宋体"/>
          <w:color w:val="000000"/>
          <w:sz w:val="24"/>
        </w:rPr>
      </w:pPr>
      <w:r>
        <w:rPr>
          <w:rFonts w:hint="eastAsia" w:ascii="宋体" w:hAnsi="宋体"/>
          <w:color w:val="000000"/>
          <w:sz w:val="24"/>
        </w:rPr>
        <w:t>⑤江苏省政府采购信用管理暂行办法；</w:t>
      </w:r>
    </w:p>
    <w:p w14:paraId="67FB80E3">
      <w:pPr>
        <w:tabs>
          <w:tab w:val="left" w:pos="900"/>
        </w:tabs>
        <w:spacing w:after="143" w:afterLines="50" w:line="560" w:lineRule="exact"/>
        <w:ind w:firstLine="588" w:firstLineChars="245"/>
        <w:rPr>
          <w:rFonts w:hint="eastAsia" w:ascii="宋体" w:hAnsi="宋体"/>
          <w:color w:val="000000"/>
          <w:sz w:val="24"/>
        </w:rPr>
      </w:pPr>
      <w:r>
        <w:rPr>
          <w:rFonts w:hint="eastAsia" w:ascii="宋体" w:hAnsi="宋体"/>
          <w:color w:val="000000"/>
          <w:sz w:val="24"/>
        </w:rPr>
        <w:t>⑥落实政府采购政策需满足的资格要求：需满足《政府采购促进中小企业发展管理办法》（财库[2020]46 号）、《关于促进残疾人就业政府采购政策的通知》（财库〔2017〕141号）、《关于政府采购支持监狱企业发展有关问题的通知》（财库[2014]68号）、《财政部发展改革委生态环境部市场监管总局关于调整优化节能产品环境标志产品政府采购执行机制的通知》（财库〔2019〕9 号）等文件要求。</w:t>
      </w:r>
    </w:p>
    <w:p w14:paraId="368C820C">
      <w:pPr>
        <w:tabs>
          <w:tab w:val="left" w:pos="900"/>
        </w:tabs>
        <w:spacing w:after="143" w:afterLines="50" w:line="560" w:lineRule="exact"/>
        <w:ind w:firstLine="590" w:firstLineChars="245"/>
        <w:rPr>
          <w:rFonts w:hint="eastAsia" w:ascii="宋体" w:hAnsi="宋体"/>
          <w:b/>
          <w:bCs/>
          <w:color w:val="000000"/>
          <w:sz w:val="24"/>
        </w:rPr>
      </w:pPr>
      <w:bookmarkStart w:id="7" w:name="_Hlk40430951"/>
      <w:r>
        <w:rPr>
          <w:rFonts w:hint="eastAsia" w:ascii="宋体" w:hAnsi="宋体"/>
          <w:b/>
          <w:bCs/>
          <w:color w:val="000000"/>
          <w:sz w:val="24"/>
        </w:rPr>
        <w:t>八、凡对本次采购提出询问，请按以下方式联系</w:t>
      </w:r>
    </w:p>
    <w:bookmarkEnd w:id="7"/>
    <w:p w14:paraId="4765CA52">
      <w:pPr>
        <w:tabs>
          <w:tab w:val="left" w:pos="900"/>
        </w:tabs>
        <w:spacing w:after="143" w:afterLines="50" w:line="560" w:lineRule="exact"/>
        <w:ind w:firstLine="588" w:firstLineChars="245"/>
        <w:rPr>
          <w:rFonts w:hint="eastAsia" w:ascii="宋体" w:hAnsi="宋体"/>
          <w:b/>
          <w:bCs/>
          <w:sz w:val="24"/>
        </w:rPr>
      </w:pPr>
      <w:r>
        <w:rPr>
          <w:rFonts w:hint="eastAsia" w:ascii="宋体" w:hAnsi="宋体"/>
          <w:sz w:val="24"/>
        </w:rPr>
        <w:t xml:space="preserve">1.采购人信息 </w:t>
      </w:r>
    </w:p>
    <w:p w14:paraId="270F7BF7">
      <w:pPr>
        <w:spacing w:after="143" w:afterLines="50" w:line="560" w:lineRule="exact"/>
        <w:ind w:left="514" w:leftChars="245"/>
        <w:rPr>
          <w:rFonts w:hint="eastAsia" w:ascii="宋体" w:hAnsi="宋体"/>
          <w:sz w:val="24"/>
        </w:rPr>
      </w:pPr>
      <w:r>
        <w:rPr>
          <w:rFonts w:hint="eastAsia" w:ascii="宋体" w:hAnsi="宋体"/>
          <w:sz w:val="24"/>
        </w:rPr>
        <w:t>名称：江苏省特种设备安全监督检验研究院</w:t>
      </w:r>
    </w:p>
    <w:p w14:paraId="181373D9">
      <w:pPr>
        <w:spacing w:after="143" w:afterLines="50" w:line="560" w:lineRule="exact"/>
        <w:ind w:left="514" w:leftChars="245"/>
        <w:rPr>
          <w:rFonts w:hint="eastAsia" w:ascii="宋体" w:hAnsi="宋体"/>
          <w:sz w:val="24"/>
        </w:rPr>
      </w:pPr>
      <w:r>
        <w:rPr>
          <w:rFonts w:hint="eastAsia" w:ascii="宋体" w:hAnsi="宋体"/>
          <w:sz w:val="24"/>
        </w:rPr>
        <w:t>联系人：李工</w:t>
      </w:r>
    </w:p>
    <w:p w14:paraId="3D4FF964">
      <w:pPr>
        <w:spacing w:after="143" w:afterLines="50" w:line="560" w:lineRule="exact"/>
        <w:ind w:left="514" w:leftChars="245"/>
        <w:rPr>
          <w:rFonts w:hint="eastAsia" w:ascii="宋体" w:hAnsi="宋体"/>
          <w:sz w:val="24"/>
        </w:rPr>
      </w:pPr>
      <w:r>
        <w:rPr>
          <w:rFonts w:hint="eastAsia" w:ascii="宋体" w:hAnsi="宋体"/>
          <w:sz w:val="24"/>
        </w:rPr>
        <w:t>联系电话：</w:t>
      </w:r>
      <w:r>
        <w:rPr>
          <w:rFonts w:ascii="宋体" w:hAnsi="宋体"/>
          <w:sz w:val="24"/>
        </w:rPr>
        <w:t>025-89621099</w:t>
      </w:r>
    </w:p>
    <w:p w14:paraId="401F3597">
      <w:pPr>
        <w:spacing w:after="143" w:afterLines="50" w:line="560" w:lineRule="exact"/>
        <w:ind w:left="514" w:leftChars="245"/>
        <w:rPr>
          <w:rFonts w:hint="eastAsia" w:ascii="宋体" w:hAnsi="宋体"/>
          <w:sz w:val="24"/>
        </w:rPr>
      </w:pPr>
      <w:r>
        <w:rPr>
          <w:rFonts w:hint="eastAsia" w:ascii="宋体" w:hAnsi="宋体"/>
          <w:sz w:val="24"/>
        </w:rPr>
        <w:t>联系地址：南京市草场门大街107号龙江大厦</w:t>
      </w:r>
    </w:p>
    <w:p w14:paraId="0857A78B">
      <w:pPr>
        <w:spacing w:after="143" w:afterLines="50" w:line="560" w:lineRule="exact"/>
        <w:ind w:firstLine="480" w:firstLineChars="200"/>
        <w:rPr>
          <w:rFonts w:hint="eastAsia" w:ascii="宋体" w:hAnsi="宋体"/>
          <w:b/>
          <w:bCs/>
          <w:sz w:val="24"/>
        </w:rPr>
      </w:pPr>
      <w:r>
        <w:rPr>
          <w:rFonts w:hint="eastAsia" w:ascii="宋体" w:hAnsi="宋体"/>
          <w:sz w:val="24"/>
        </w:rPr>
        <w:t>2.采购代理机构联系方式</w:t>
      </w:r>
    </w:p>
    <w:p w14:paraId="25C33020">
      <w:pPr>
        <w:tabs>
          <w:tab w:val="left" w:pos="900"/>
        </w:tabs>
        <w:spacing w:after="143" w:afterLines="50" w:line="560" w:lineRule="exact"/>
        <w:ind w:firstLine="588" w:firstLineChars="245"/>
        <w:rPr>
          <w:rFonts w:hint="eastAsia" w:ascii="宋体" w:hAnsi="宋体"/>
          <w:b/>
          <w:bCs/>
          <w:sz w:val="24"/>
        </w:rPr>
      </w:pPr>
      <w:r>
        <w:rPr>
          <w:rFonts w:hint="eastAsia" w:ascii="宋体" w:hAnsi="宋体"/>
          <w:sz w:val="24"/>
        </w:rPr>
        <w:t xml:space="preserve">名称：南京小旸树招标代理有限公司 </w:t>
      </w:r>
    </w:p>
    <w:p w14:paraId="4C1A110B">
      <w:pPr>
        <w:tabs>
          <w:tab w:val="left" w:pos="900"/>
        </w:tabs>
        <w:spacing w:after="143" w:afterLines="50" w:line="560" w:lineRule="exact"/>
        <w:ind w:firstLine="588" w:firstLineChars="245"/>
        <w:rPr>
          <w:rFonts w:hint="eastAsia" w:ascii="宋体" w:hAnsi="宋体"/>
          <w:sz w:val="24"/>
        </w:rPr>
      </w:pPr>
      <w:r>
        <w:rPr>
          <w:rFonts w:hint="eastAsia" w:ascii="宋体" w:hAnsi="宋体"/>
          <w:sz w:val="24"/>
        </w:rPr>
        <w:t>地址：南京市雨花台区雨花大道2号邦宁科技园505</w:t>
      </w:r>
    </w:p>
    <w:p w14:paraId="1F0CAF89">
      <w:pPr>
        <w:tabs>
          <w:tab w:val="left" w:pos="900"/>
        </w:tabs>
        <w:spacing w:after="143" w:afterLines="50" w:line="560" w:lineRule="exact"/>
        <w:ind w:firstLine="588" w:firstLineChars="245"/>
        <w:rPr>
          <w:rFonts w:hint="eastAsia" w:ascii="宋体" w:hAnsi="宋体"/>
          <w:sz w:val="24"/>
        </w:rPr>
      </w:pPr>
      <w:r>
        <w:rPr>
          <w:rFonts w:hint="eastAsia" w:ascii="宋体" w:hAnsi="宋体"/>
          <w:sz w:val="24"/>
        </w:rPr>
        <w:t>联系方式：025-52813631</w:t>
      </w:r>
    </w:p>
    <w:p w14:paraId="44B6DAC2">
      <w:pPr>
        <w:tabs>
          <w:tab w:val="left" w:pos="900"/>
        </w:tabs>
        <w:spacing w:after="143" w:afterLines="50" w:line="560" w:lineRule="exact"/>
        <w:ind w:firstLine="588" w:firstLineChars="245"/>
        <w:rPr>
          <w:rFonts w:hint="eastAsia" w:ascii="宋体" w:hAnsi="宋体"/>
          <w:sz w:val="24"/>
        </w:rPr>
      </w:pPr>
      <w:r>
        <w:rPr>
          <w:rFonts w:hint="eastAsia" w:ascii="宋体" w:hAnsi="宋体"/>
          <w:sz w:val="24"/>
        </w:rPr>
        <w:t>3.项目联系联系方式</w:t>
      </w:r>
    </w:p>
    <w:p w14:paraId="35F322F6">
      <w:pPr>
        <w:tabs>
          <w:tab w:val="left" w:pos="900"/>
        </w:tabs>
        <w:spacing w:after="143" w:afterLines="50" w:line="560" w:lineRule="exact"/>
        <w:ind w:firstLine="588" w:firstLineChars="245"/>
        <w:rPr>
          <w:rFonts w:hint="eastAsia" w:ascii="宋体" w:hAnsi="宋体"/>
          <w:sz w:val="24"/>
        </w:rPr>
      </w:pPr>
      <w:r>
        <w:rPr>
          <w:rFonts w:hint="eastAsia" w:ascii="宋体" w:hAnsi="宋体"/>
          <w:sz w:val="24"/>
        </w:rPr>
        <w:t>项目联系人：戴工</w:t>
      </w:r>
    </w:p>
    <w:p w14:paraId="4B911314">
      <w:pPr>
        <w:tabs>
          <w:tab w:val="left" w:pos="900"/>
        </w:tabs>
        <w:spacing w:after="143" w:afterLines="50" w:line="560" w:lineRule="exact"/>
        <w:ind w:firstLine="588" w:firstLineChars="245"/>
        <w:rPr>
          <w:rFonts w:hint="eastAsia" w:ascii="宋体" w:hAnsi="宋体"/>
          <w:sz w:val="24"/>
        </w:rPr>
      </w:pPr>
      <w:r>
        <w:rPr>
          <w:rFonts w:hint="eastAsia" w:ascii="宋体" w:hAnsi="宋体"/>
          <w:sz w:val="24"/>
        </w:rPr>
        <w:t xml:space="preserve">电话：025-52813631 </w:t>
      </w:r>
    </w:p>
    <w:p w14:paraId="1795CCB2">
      <w:pPr>
        <w:adjustRightInd w:val="0"/>
        <w:snapToGrid w:val="0"/>
        <w:spacing w:line="560" w:lineRule="exact"/>
        <w:ind w:firstLine="482" w:firstLineChars="200"/>
        <w:rPr>
          <w:rFonts w:hint="eastAsia" w:ascii="宋体" w:hAnsi="宋体"/>
          <w:b/>
          <w:bCs/>
          <w:color w:val="000000"/>
          <w:sz w:val="24"/>
        </w:rPr>
      </w:pPr>
      <w:r>
        <w:rPr>
          <w:rFonts w:hint="eastAsia" w:ascii="宋体" w:hAnsi="宋体"/>
          <w:b/>
          <w:bCs/>
          <w:color w:val="000000"/>
          <w:sz w:val="24"/>
        </w:rPr>
        <w:t>对项目需求部分的询问、质疑请与采购人联系，由采购人负责答复。</w:t>
      </w:r>
    </w:p>
    <w:p w14:paraId="68DA87C0">
      <w:pPr>
        <w:pStyle w:val="40"/>
        <w:ind w:firstLine="640"/>
      </w:pPr>
      <w:bookmarkStart w:id="8" w:name="_Hlk132713156"/>
    </w:p>
    <w:bookmarkEnd w:id="1"/>
    <w:bookmarkEnd w:id="2"/>
    <w:p w14:paraId="2296CEB5">
      <w:pPr>
        <w:spacing w:after="143" w:afterLines="50" w:line="560" w:lineRule="exact"/>
        <w:ind w:left="1" w:firstLine="360" w:firstLineChars="150"/>
        <w:rPr>
          <w:rFonts w:hint="eastAsia" w:ascii="宋体" w:hAnsi="宋体" w:cs="Arial"/>
          <w:bCs/>
          <w:color w:val="FF0000"/>
          <w:sz w:val="24"/>
          <w:szCs w:val="20"/>
        </w:rPr>
      </w:pPr>
      <w:bookmarkStart w:id="9" w:name="_Hlt26670330"/>
      <w:bookmarkEnd w:id="9"/>
      <w:bookmarkStart w:id="10" w:name="_Hlt26954907"/>
      <w:bookmarkEnd w:id="10"/>
      <w:bookmarkStart w:id="11" w:name="_Hlt26954810"/>
      <w:bookmarkEnd w:id="11"/>
      <w:bookmarkStart w:id="12" w:name="_Hlt26954824"/>
      <w:bookmarkEnd w:id="12"/>
      <w:bookmarkStart w:id="13" w:name="_Hlt26668836"/>
      <w:bookmarkEnd w:id="13"/>
      <w:bookmarkStart w:id="14" w:name="_Toc14577347"/>
      <w:bookmarkStart w:id="15" w:name="_Toc513029209"/>
      <w:bookmarkStart w:id="16" w:name="_Toc61149549"/>
    </w:p>
    <w:p w14:paraId="0E84B632">
      <w:pPr>
        <w:pStyle w:val="50"/>
        <w:rPr>
          <w:rFonts w:cs="Arial"/>
          <w:bCs/>
          <w:color w:val="FF0000"/>
          <w:szCs w:val="20"/>
          <w:lang w:eastAsia="zh-CN"/>
        </w:rPr>
      </w:pPr>
    </w:p>
    <w:p w14:paraId="144E57BC">
      <w:pPr>
        <w:pStyle w:val="50"/>
        <w:rPr>
          <w:rFonts w:hint="eastAsia" w:eastAsia="宋体" w:cs="Arial"/>
          <w:bCs/>
          <w:color w:val="FF0000"/>
          <w:szCs w:val="20"/>
          <w:lang w:eastAsia="zh-CN"/>
        </w:rPr>
      </w:pPr>
    </w:p>
    <w:p w14:paraId="1C888A49">
      <w:pPr>
        <w:pStyle w:val="50"/>
        <w:rPr>
          <w:rFonts w:hint="eastAsia" w:eastAsia="宋体" w:cs="Arial"/>
          <w:bCs/>
          <w:color w:val="FF0000"/>
          <w:szCs w:val="20"/>
          <w:lang w:eastAsia="zh-CN"/>
        </w:rPr>
      </w:pPr>
    </w:p>
    <w:p w14:paraId="3D2DD4D5">
      <w:pPr>
        <w:spacing w:after="143" w:afterLines="50" w:line="560" w:lineRule="exact"/>
        <w:ind w:left="1" w:firstLine="360" w:firstLineChars="150"/>
        <w:rPr>
          <w:rFonts w:hint="eastAsia" w:ascii="宋体" w:hAnsi="宋体" w:cs="Arial"/>
          <w:bCs/>
          <w:color w:val="FF0000"/>
          <w:sz w:val="24"/>
          <w:szCs w:val="20"/>
        </w:rPr>
      </w:pPr>
    </w:p>
    <w:p w14:paraId="224ABFB4">
      <w:pPr>
        <w:spacing w:after="143" w:afterLines="50" w:line="560" w:lineRule="exact"/>
        <w:ind w:left="1" w:firstLine="360" w:firstLineChars="150"/>
        <w:rPr>
          <w:rFonts w:hint="eastAsia" w:ascii="宋体" w:hAnsi="宋体" w:cs="Arial"/>
          <w:bCs/>
          <w:color w:val="FF0000"/>
          <w:sz w:val="24"/>
          <w:szCs w:val="20"/>
        </w:rPr>
      </w:pPr>
    </w:p>
    <w:p w14:paraId="28A92B71">
      <w:pPr>
        <w:spacing w:after="143" w:afterLines="50" w:line="560" w:lineRule="exact"/>
        <w:ind w:left="1" w:firstLine="360" w:firstLineChars="150"/>
        <w:rPr>
          <w:rFonts w:hint="eastAsia" w:ascii="宋体" w:hAnsi="宋体" w:cs="Arial"/>
          <w:bCs/>
          <w:color w:val="FF0000"/>
          <w:sz w:val="24"/>
          <w:szCs w:val="20"/>
        </w:rPr>
      </w:pPr>
    </w:p>
    <w:p w14:paraId="7CF459BA">
      <w:pPr>
        <w:spacing w:after="143" w:afterLines="50" w:line="560" w:lineRule="exact"/>
        <w:ind w:left="1" w:firstLine="360" w:firstLineChars="150"/>
        <w:rPr>
          <w:rFonts w:hint="eastAsia" w:ascii="宋体" w:hAnsi="宋体" w:cs="Arial"/>
          <w:bCs/>
          <w:color w:val="FF0000"/>
          <w:sz w:val="24"/>
          <w:szCs w:val="20"/>
        </w:rPr>
      </w:pPr>
    </w:p>
    <w:p w14:paraId="45231FF1">
      <w:pPr>
        <w:spacing w:after="143" w:afterLines="50" w:line="560" w:lineRule="exact"/>
        <w:ind w:left="1" w:firstLine="360" w:firstLineChars="150"/>
        <w:rPr>
          <w:rFonts w:hint="eastAsia" w:ascii="宋体" w:hAnsi="宋体" w:cs="Arial"/>
          <w:bCs/>
          <w:color w:val="FF0000"/>
          <w:sz w:val="24"/>
          <w:szCs w:val="20"/>
        </w:rPr>
      </w:pPr>
    </w:p>
    <w:p w14:paraId="6F8D45A0">
      <w:pPr>
        <w:pStyle w:val="13"/>
        <w:rPr>
          <w:rFonts w:ascii="宋体" w:hAnsi="宋体" w:cs="Arial"/>
          <w:bCs/>
          <w:color w:val="FF0000"/>
          <w:sz w:val="24"/>
        </w:rPr>
      </w:pPr>
    </w:p>
    <w:p w14:paraId="19B50C9B">
      <w:pPr>
        <w:pStyle w:val="14"/>
        <w:rPr>
          <w:rFonts w:hint="eastAsia" w:ascii="宋体" w:hAnsi="宋体" w:cs="Arial"/>
          <w:bCs/>
          <w:color w:val="FF0000"/>
          <w:sz w:val="24"/>
          <w:szCs w:val="20"/>
        </w:rPr>
      </w:pPr>
    </w:p>
    <w:p w14:paraId="51B144FD"/>
    <w:p w14:paraId="18B07DF9">
      <w:pPr>
        <w:pStyle w:val="50"/>
        <w:rPr>
          <w:rFonts w:hint="eastAsia" w:eastAsiaTheme="minorEastAsia"/>
          <w:lang w:eastAsia="zh-CN"/>
        </w:rPr>
      </w:pPr>
    </w:p>
    <w:bookmarkEnd w:id="8"/>
    <w:p w14:paraId="45DD67B0">
      <w:pPr>
        <w:widowControl/>
        <w:jc w:val="left"/>
        <w:rPr>
          <w:rFonts w:ascii="Cambria" w:hAnsi="Cambria"/>
          <w:b/>
          <w:bCs/>
          <w:sz w:val="44"/>
          <w:szCs w:val="32"/>
        </w:rPr>
      </w:pPr>
      <w:bookmarkStart w:id="17" w:name="_Toc163660778"/>
      <w:r>
        <w:br w:type="page"/>
      </w:r>
    </w:p>
    <w:p w14:paraId="59DFA78C">
      <w:pPr>
        <w:pStyle w:val="37"/>
      </w:pPr>
      <w:r>
        <w:rPr>
          <w:rFonts w:hint="eastAsia"/>
        </w:rPr>
        <w:t>第二章  磋商须知</w:t>
      </w:r>
      <w:bookmarkEnd w:id="17"/>
    </w:p>
    <w:p w14:paraId="742B932D">
      <w:pPr>
        <w:spacing w:after="143" w:afterLines="50" w:line="360" w:lineRule="auto"/>
        <w:ind w:firstLine="2040" w:firstLineChars="850"/>
        <w:rPr>
          <w:rFonts w:hint="eastAsia" w:ascii="宋体" w:hAnsi="宋体"/>
          <w:b/>
          <w:bCs/>
          <w:sz w:val="24"/>
        </w:rPr>
      </w:pPr>
      <w:r>
        <w:rPr>
          <w:rFonts w:hint="eastAsia" w:ascii="宋体" w:hAnsi="宋体"/>
          <w:bCs/>
          <w:sz w:val="24"/>
        </w:rPr>
        <w:t>（参加竞争性磋商的供应商以下简称“磋商供应商”）</w:t>
      </w:r>
    </w:p>
    <w:bookmarkEnd w:id="14"/>
    <w:bookmarkEnd w:id="15"/>
    <w:bookmarkEnd w:id="16"/>
    <w:p w14:paraId="46BA2613">
      <w:pPr>
        <w:tabs>
          <w:tab w:val="left" w:pos="900"/>
        </w:tabs>
        <w:spacing w:after="143" w:afterLines="50" w:line="560" w:lineRule="exact"/>
        <w:ind w:firstLine="585" w:firstLineChars="243"/>
        <w:rPr>
          <w:rFonts w:hint="eastAsia" w:ascii="宋体" w:hAnsi="宋体"/>
          <w:b/>
          <w:sz w:val="24"/>
        </w:rPr>
      </w:pPr>
      <w:r>
        <w:rPr>
          <w:rFonts w:hint="eastAsia" w:ascii="宋体" w:hAnsi="宋体"/>
          <w:b/>
          <w:sz w:val="24"/>
        </w:rPr>
        <w:t>一、总则</w:t>
      </w:r>
    </w:p>
    <w:p w14:paraId="6E538323">
      <w:pPr>
        <w:tabs>
          <w:tab w:val="left" w:pos="900"/>
        </w:tabs>
        <w:spacing w:after="143" w:afterLines="50" w:line="560" w:lineRule="exact"/>
        <w:ind w:firstLine="600" w:firstLineChars="250"/>
        <w:rPr>
          <w:rFonts w:hint="eastAsia" w:ascii="宋体" w:hAnsi="宋体"/>
          <w:sz w:val="24"/>
        </w:rPr>
      </w:pPr>
      <w:r>
        <w:rPr>
          <w:rFonts w:hint="eastAsia" w:ascii="宋体" w:hAnsi="宋体"/>
          <w:sz w:val="24"/>
        </w:rPr>
        <w:t>1、适用范围</w:t>
      </w:r>
    </w:p>
    <w:p w14:paraId="14DAC68F">
      <w:pPr>
        <w:tabs>
          <w:tab w:val="left" w:pos="900"/>
        </w:tabs>
        <w:spacing w:after="143" w:afterLines="50" w:line="560" w:lineRule="exact"/>
        <w:ind w:firstLine="600" w:firstLineChars="250"/>
        <w:rPr>
          <w:rFonts w:hint="eastAsia" w:ascii="宋体" w:hAnsi="宋体"/>
          <w:sz w:val="24"/>
        </w:rPr>
      </w:pPr>
      <w:r>
        <w:rPr>
          <w:rFonts w:hint="eastAsia" w:ascii="宋体" w:hAnsi="宋体"/>
          <w:sz w:val="24"/>
        </w:rPr>
        <w:t>1.1 本竞争性磋商文件（以下简称磋商文件）仅适用此项目。</w:t>
      </w:r>
    </w:p>
    <w:p w14:paraId="280024B5">
      <w:pPr>
        <w:tabs>
          <w:tab w:val="left" w:pos="900"/>
        </w:tabs>
        <w:spacing w:after="143" w:afterLines="50" w:line="560" w:lineRule="exact"/>
        <w:ind w:firstLine="477" w:firstLineChars="199"/>
        <w:rPr>
          <w:rFonts w:hint="eastAsia" w:ascii="宋体" w:hAnsi="宋体"/>
          <w:sz w:val="24"/>
        </w:rPr>
      </w:pPr>
      <w:r>
        <w:rPr>
          <w:rFonts w:hint="eastAsia" w:ascii="宋体" w:hAnsi="宋体"/>
          <w:sz w:val="24"/>
        </w:rPr>
        <w:t xml:space="preserve"> 2、项目采购方式</w:t>
      </w:r>
    </w:p>
    <w:p w14:paraId="288CF58B">
      <w:pPr>
        <w:tabs>
          <w:tab w:val="left" w:pos="900"/>
        </w:tabs>
        <w:spacing w:after="143" w:afterLines="50" w:line="560" w:lineRule="exact"/>
        <w:ind w:firstLine="597" w:firstLineChars="249"/>
        <w:rPr>
          <w:rFonts w:hint="eastAsia" w:ascii="宋体" w:hAnsi="宋体"/>
          <w:sz w:val="24"/>
        </w:rPr>
      </w:pPr>
      <w:r>
        <w:rPr>
          <w:rFonts w:hint="eastAsia" w:ascii="宋体" w:hAnsi="宋体"/>
          <w:sz w:val="24"/>
        </w:rPr>
        <w:t>本次采购采取竞争性磋商的方式。</w:t>
      </w:r>
    </w:p>
    <w:p w14:paraId="42B49B68">
      <w:pPr>
        <w:tabs>
          <w:tab w:val="left" w:pos="900"/>
        </w:tabs>
        <w:spacing w:after="143" w:afterLines="50" w:line="560" w:lineRule="exact"/>
        <w:ind w:firstLine="597" w:firstLineChars="249"/>
        <w:rPr>
          <w:rFonts w:hint="eastAsia" w:ascii="宋体" w:hAnsi="宋体"/>
          <w:sz w:val="24"/>
        </w:rPr>
      </w:pPr>
      <w:r>
        <w:rPr>
          <w:rFonts w:hint="eastAsia" w:ascii="宋体" w:hAnsi="宋体"/>
          <w:sz w:val="24"/>
        </w:rPr>
        <w:t>3、合格的磋商供应商</w:t>
      </w:r>
    </w:p>
    <w:p w14:paraId="25BAAA51">
      <w:pPr>
        <w:tabs>
          <w:tab w:val="left" w:pos="900"/>
        </w:tabs>
        <w:spacing w:after="143" w:afterLines="50" w:line="560" w:lineRule="exact"/>
        <w:ind w:firstLine="597" w:firstLineChars="249"/>
        <w:rPr>
          <w:rFonts w:hint="eastAsia" w:ascii="宋体" w:hAnsi="宋体"/>
          <w:sz w:val="24"/>
        </w:rPr>
      </w:pPr>
      <w:r>
        <w:rPr>
          <w:rFonts w:hint="eastAsia" w:ascii="宋体" w:hAnsi="宋体"/>
          <w:sz w:val="24"/>
        </w:rPr>
        <w:t>3.1满足本磋商文件“采购邀请”中合格磋商供应商资格要求的规定。</w:t>
      </w:r>
    </w:p>
    <w:p w14:paraId="0524AE7C">
      <w:pPr>
        <w:tabs>
          <w:tab w:val="left" w:pos="900"/>
        </w:tabs>
        <w:spacing w:after="143" w:afterLines="50" w:line="560" w:lineRule="exact"/>
        <w:ind w:firstLine="597" w:firstLineChars="249"/>
        <w:rPr>
          <w:rFonts w:hint="eastAsia" w:ascii="宋体" w:hAnsi="宋体"/>
          <w:sz w:val="24"/>
        </w:rPr>
      </w:pPr>
      <w:r>
        <w:rPr>
          <w:rFonts w:hint="eastAsia" w:ascii="宋体" w:hAnsi="宋体"/>
          <w:sz w:val="24"/>
        </w:rPr>
        <w:t>3.2 满足本磋商文件实质性要求和条件的规定。</w:t>
      </w:r>
    </w:p>
    <w:p w14:paraId="6B468257">
      <w:pPr>
        <w:tabs>
          <w:tab w:val="left" w:pos="900"/>
        </w:tabs>
        <w:spacing w:after="143" w:afterLines="50" w:line="560" w:lineRule="exact"/>
        <w:ind w:firstLine="597" w:firstLineChars="249"/>
        <w:rPr>
          <w:rFonts w:hint="eastAsia" w:ascii="宋体" w:hAnsi="宋体"/>
          <w:sz w:val="24"/>
        </w:rPr>
      </w:pPr>
      <w:r>
        <w:rPr>
          <w:rFonts w:hint="eastAsia" w:ascii="宋体" w:hAnsi="宋体"/>
          <w:sz w:val="24"/>
        </w:rPr>
        <w:t>4、参加磋商费用</w:t>
      </w:r>
    </w:p>
    <w:p w14:paraId="0B0345C2">
      <w:pPr>
        <w:tabs>
          <w:tab w:val="left" w:pos="900"/>
        </w:tabs>
        <w:spacing w:after="143" w:afterLines="50" w:line="560" w:lineRule="exact"/>
        <w:ind w:left="359" w:leftChars="171" w:firstLine="237" w:firstLineChars="99"/>
        <w:rPr>
          <w:rFonts w:hint="eastAsia" w:ascii="宋体" w:hAnsi="宋体"/>
          <w:sz w:val="24"/>
        </w:rPr>
      </w:pPr>
      <w:r>
        <w:rPr>
          <w:rFonts w:hint="eastAsia" w:ascii="宋体" w:hAnsi="宋体"/>
          <w:sz w:val="24"/>
        </w:rPr>
        <w:t>4.1参加磋商供应商应自行承担所有与参加磋商有关的费用。不论最终的成交结果如</w:t>
      </w:r>
    </w:p>
    <w:p w14:paraId="1797EA96">
      <w:pPr>
        <w:tabs>
          <w:tab w:val="left" w:pos="900"/>
        </w:tabs>
        <w:spacing w:after="143" w:afterLines="50" w:line="560" w:lineRule="exact"/>
        <w:ind w:left="120" w:leftChars="57"/>
        <w:rPr>
          <w:rFonts w:hint="eastAsia" w:ascii="宋体" w:hAnsi="宋体"/>
          <w:sz w:val="24"/>
        </w:rPr>
      </w:pPr>
      <w:r>
        <w:rPr>
          <w:rFonts w:hint="eastAsia" w:ascii="宋体" w:hAnsi="宋体"/>
          <w:sz w:val="24"/>
        </w:rPr>
        <w:t>何，南京小旸树招标代理有限公司和采购人在任何情况下均无义务和责任承担这些费用。</w:t>
      </w:r>
    </w:p>
    <w:p w14:paraId="3A0F3E6E">
      <w:pPr>
        <w:tabs>
          <w:tab w:val="left" w:pos="900"/>
        </w:tabs>
        <w:spacing w:after="143" w:afterLines="50" w:line="560" w:lineRule="exact"/>
        <w:ind w:firstLine="600" w:firstLineChars="249"/>
        <w:rPr>
          <w:rFonts w:hint="eastAsia" w:ascii="宋体" w:hAnsi="宋体"/>
          <w:b/>
          <w:sz w:val="24"/>
        </w:rPr>
      </w:pPr>
      <w:r>
        <w:rPr>
          <w:rFonts w:hint="eastAsia" w:ascii="宋体" w:hAnsi="宋体"/>
          <w:b/>
          <w:sz w:val="24"/>
        </w:rPr>
        <w:t>4.2参加</w:t>
      </w:r>
      <w:r>
        <w:rPr>
          <w:rFonts w:ascii="宋体" w:hAnsi="宋体"/>
          <w:b/>
          <w:sz w:val="24"/>
        </w:rPr>
        <w:t>投标</w:t>
      </w:r>
      <w:r>
        <w:rPr>
          <w:rFonts w:hint="eastAsia" w:ascii="宋体" w:hAnsi="宋体"/>
          <w:b/>
          <w:sz w:val="24"/>
        </w:rPr>
        <w:t>供应商应承担的费用包括：</w:t>
      </w:r>
    </w:p>
    <w:p w14:paraId="75DAD5CE">
      <w:pPr>
        <w:tabs>
          <w:tab w:val="left" w:pos="900"/>
        </w:tabs>
        <w:spacing w:after="143" w:line="560" w:lineRule="exact"/>
        <w:ind w:firstLine="600" w:firstLineChars="249"/>
        <w:rPr>
          <w:rFonts w:ascii="宋体"/>
          <w:b/>
          <w:sz w:val="24"/>
        </w:rPr>
      </w:pPr>
      <w:r>
        <w:rPr>
          <w:rFonts w:hint="eastAsia" w:ascii="宋体"/>
          <w:b/>
          <w:sz w:val="24"/>
        </w:rPr>
        <w:t>（1）标书费500元/份；</w:t>
      </w:r>
    </w:p>
    <w:p w14:paraId="6F18D6AB">
      <w:pPr>
        <w:tabs>
          <w:tab w:val="left" w:pos="900"/>
        </w:tabs>
        <w:spacing w:after="143" w:line="560" w:lineRule="exact"/>
        <w:ind w:firstLine="600" w:firstLineChars="249"/>
        <w:rPr>
          <w:rFonts w:ascii="宋体"/>
          <w:b/>
          <w:color w:val="000000" w:themeColor="text1"/>
          <w:sz w:val="24"/>
          <w14:textFill>
            <w14:solidFill>
              <w14:schemeClr w14:val="tx1"/>
            </w14:solidFill>
          </w14:textFill>
        </w:rPr>
      </w:pPr>
      <w:r>
        <w:rPr>
          <w:rFonts w:hint="eastAsia" w:ascii="宋体"/>
          <w:b/>
          <w:sz w:val="24"/>
        </w:rPr>
        <w:t>（2）代理服务费</w:t>
      </w:r>
      <w:r>
        <w:rPr>
          <w:rFonts w:hint="eastAsia" w:ascii="宋体"/>
          <w:b/>
          <w:color w:val="000000" w:themeColor="text1"/>
          <w:sz w:val="24"/>
          <w14:textFill>
            <w14:solidFill>
              <w14:schemeClr w14:val="tx1"/>
            </w14:solidFill>
          </w14:textFill>
        </w:rPr>
        <w:t>，参考原《招标代理服务收费管理暂行办法》（计价格【2002】1980号）按基准费率的80%计算（低于3000元按3000元收取）；</w:t>
      </w:r>
    </w:p>
    <w:p w14:paraId="7BE362B9">
      <w:pPr>
        <w:tabs>
          <w:tab w:val="left" w:pos="900"/>
        </w:tabs>
        <w:spacing w:after="143" w:line="560" w:lineRule="exact"/>
        <w:ind w:firstLine="600" w:firstLineChars="249"/>
        <w:rPr>
          <w:rFonts w:ascii="宋体"/>
          <w:b/>
          <w:sz w:val="24"/>
        </w:rPr>
      </w:pPr>
      <w:r>
        <w:rPr>
          <w:rFonts w:hint="eastAsia" w:ascii="宋体"/>
          <w:b/>
          <w:sz w:val="24"/>
        </w:rPr>
        <w:t>上述费用（1）由供应商获取采购文件时交纳，费用（2）由成交供应商领取成交通知书前汇款至本公司以下账户并在领取成交通知书时提供汇款凭据：</w:t>
      </w:r>
    </w:p>
    <w:p w14:paraId="5D4F5E1F">
      <w:pPr>
        <w:tabs>
          <w:tab w:val="left" w:pos="900"/>
        </w:tabs>
        <w:spacing w:after="143" w:line="560" w:lineRule="exact"/>
        <w:ind w:firstLine="600" w:firstLineChars="249"/>
        <w:rPr>
          <w:rFonts w:ascii="宋体"/>
          <w:b/>
          <w:sz w:val="24"/>
        </w:rPr>
      </w:pPr>
      <w:r>
        <w:rPr>
          <w:rFonts w:hint="eastAsia" w:ascii="宋体"/>
          <w:b/>
          <w:sz w:val="24"/>
        </w:rPr>
        <w:t>收款单位：南京小旸树招标代理有限公司</w:t>
      </w:r>
    </w:p>
    <w:p w14:paraId="48DAC279">
      <w:pPr>
        <w:tabs>
          <w:tab w:val="left" w:pos="900"/>
        </w:tabs>
        <w:spacing w:after="143" w:line="560" w:lineRule="exact"/>
        <w:ind w:firstLine="600" w:firstLineChars="249"/>
        <w:rPr>
          <w:rFonts w:ascii="宋体"/>
          <w:b/>
          <w:sz w:val="24"/>
        </w:rPr>
      </w:pPr>
      <w:r>
        <w:rPr>
          <w:rFonts w:hint="eastAsia" w:ascii="宋体"/>
          <w:b/>
          <w:sz w:val="24"/>
        </w:rPr>
        <w:t xml:space="preserve">开户行：交通银行南京水西门支行 </w:t>
      </w:r>
    </w:p>
    <w:p w14:paraId="0B63756D">
      <w:pPr>
        <w:tabs>
          <w:tab w:val="left" w:pos="900"/>
        </w:tabs>
        <w:spacing w:after="143" w:afterLines="50" w:line="560" w:lineRule="exact"/>
        <w:ind w:firstLine="600" w:firstLineChars="249"/>
        <w:rPr>
          <w:rFonts w:hint="eastAsia" w:ascii="宋体" w:hAnsi="宋体"/>
          <w:b/>
          <w:sz w:val="24"/>
        </w:rPr>
      </w:pPr>
      <w:r>
        <w:rPr>
          <w:rFonts w:hint="eastAsia" w:ascii="宋体"/>
          <w:b/>
          <w:sz w:val="24"/>
        </w:rPr>
        <w:t>账号：320006642018010101049</w:t>
      </w:r>
    </w:p>
    <w:p w14:paraId="019C856F">
      <w:pPr>
        <w:tabs>
          <w:tab w:val="left" w:pos="900"/>
        </w:tabs>
        <w:spacing w:after="143" w:afterLines="50" w:line="560" w:lineRule="exact"/>
        <w:ind w:firstLine="597" w:firstLineChars="249"/>
        <w:rPr>
          <w:rFonts w:hint="eastAsia" w:ascii="宋体" w:hAnsi="宋体"/>
          <w:sz w:val="24"/>
        </w:rPr>
      </w:pPr>
      <w:r>
        <w:rPr>
          <w:rFonts w:hint="eastAsia" w:ascii="宋体" w:hAnsi="宋体"/>
          <w:sz w:val="24"/>
        </w:rPr>
        <w:t xml:space="preserve"> 5、磋商文件的约束力</w:t>
      </w:r>
    </w:p>
    <w:p w14:paraId="6CB79497">
      <w:pPr>
        <w:tabs>
          <w:tab w:val="left" w:pos="900"/>
        </w:tabs>
        <w:spacing w:after="143" w:afterLines="50" w:line="560" w:lineRule="exact"/>
        <w:ind w:left="120" w:leftChars="57" w:firstLine="477" w:firstLineChars="199"/>
        <w:rPr>
          <w:rFonts w:hint="eastAsia" w:ascii="宋体" w:hAnsi="宋体"/>
          <w:sz w:val="24"/>
        </w:rPr>
      </w:pPr>
      <w:r>
        <w:rPr>
          <w:rFonts w:hint="eastAsia" w:ascii="宋体" w:hAnsi="宋体"/>
          <w:sz w:val="24"/>
        </w:rPr>
        <w:t>供应商一旦获得了本磋商文件并决定参加磋商，即被认为接受了本磋商文件的规定和约束，并且视为自竞争性磋商公告期限届满之日起已经知道或应当知道自身权益是否受到了损害。</w:t>
      </w:r>
    </w:p>
    <w:p w14:paraId="59CC5792">
      <w:pPr>
        <w:spacing w:line="560" w:lineRule="exact"/>
        <w:ind w:firstLine="480" w:firstLineChars="200"/>
        <w:rPr>
          <w:rFonts w:ascii="宋体" w:hAnsi="Calibri"/>
          <w:iCs/>
          <w:sz w:val="24"/>
        </w:rPr>
      </w:pPr>
      <w:r>
        <w:rPr>
          <w:rFonts w:hint="eastAsia" w:ascii="宋体" w:hAnsi="宋体"/>
          <w:sz w:val="24"/>
        </w:rPr>
        <w:t>6、</w:t>
      </w:r>
      <w:bookmarkStart w:id="18" w:name="_Toc20823283"/>
      <w:bookmarkStart w:id="19" w:name="_Toc462564070"/>
      <w:bookmarkStart w:id="20" w:name="_Toc513029211"/>
      <w:bookmarkStart w:id="21" w:name="_Toc16938527"/>
      <w:r>
        <w:rPr>
          <w:rFonts w:hint="eastAsia" w:ascii="宋体" w:hAnsi="宋体"/>
          <w:sz w:val="24"/>
        </w:rPr>
        <w:t>磋商文件的</w:t>
      </w:r>
      <w:r>
        <w:rPr>
          <w:rFonts w:hint="eastAsia" w:ascii="宋体" w:hAnsi="Calibri"/>
          <w:iCs/>
          <w:sz w:val="24"/>
        </w:rPr>
        <w:t>构成</w:t>
      </w:r>
    </w:p>
    <w:p w14:paraId="0F486504">
      <w:pPr>
        <w:spacing w:line="560" w:lineRule="exact"/>
        <w:ind w:firstLine="480" w:firstLineChars="200"/>
        <w:rPr>
          <w:rFonts w:ascii="宋体" w:hAnsi="Calibri"/>
          <w:iCs/>
          <w:sz w:val="24"/>
        </w:rPr>
      </w:pPr>
      <w:r>
        <w:rPr>
          <w:rFonts w:hint="eastAsia" w:ascii="宋体" w:hAnsi="Calibri"/>
          <w:iCs/>
          <w:sz w:val="24"/>
        </w:rPr>
        <w:t xml:space="preserve">6.1 </w:t>
      </w:r>
      <w:r>
        <w:rPr>
          <w:rFonts w:hint="eastAsia" w:ascii="宋体" w:hAnsi="宋体"/>
          <w:sz w:val="24"/>
        </w:rPr>
        <w:t>磋商文件</w:t>
      </w:r>
      <w:r>
        <w:rPr>
          <w:rFonts w:hint="eastAsia" w:ascii="宋体" w:hAnsi="Calibri"/>
          <w:iCs/>
          <w:sz w:val="24"/>
        </w:rPr>
        <w:t>由以下部分组成：</w:t>
      </w:r>
    </w:p>
    <w:p w14:paraId="67581049">
      <w:pPr>
        <w:spacing w:line="560" w:lineRule="exact"/>
        <w:ind w:firstLine="480" w:firstLineChars="200"/>
        <w:rPr>
          <w:rFonts w:ascii="宋体" w:hAnsi="Calibri"/>
          <w:iCs/>
          <w:sz w:val="24"/>
        </w:rPr>
      </w:pPr>
      <w:r>
        <w:rPr>
          <w:rFonts w:hint="eastAsia" w:ascii="宋体" w:hAnsi="Calibri"/>
          <w:iCs/>
          <w:sz w:val="24"/>
        </w:rPr>
        <w:t>（1）采购邀请</w:t>
      </w:r>
    </w:p>
    <w:p w14:paraId="3875A573">
      <w:pPr>
        <w:spacing w:line="560" w:lineRule="exact"/>
        <w:ind w:firstLine="480" w:firstLineChars="200"/>
        <w:rPr>
          <w:rFonts w:ascii="宋体" w:hAnsi="Calibri"/>
          <w:iCs/>
          <w:sz w:val="24"/>
        </w:rPr>
      </w:pPr>
      <w:r>
        <w:rPr>
          <w:rFonts w:hint="eastAsia" w:ascii="宋体" w:hAnsi="Calibri"/>
          <w:iCs/>
          <w:sz w:val="24"/>
        </w:rPr>
        <w:t>（2）磋商须知</w:t>
      </w:r>
    </w:p>
    <w:p w14:paraId="1458F9F5">
      <w:pPr>
        <w:spacing w:line="560" w:lineRule="exact"/>
        <w:ind w:firstLine="480" w:firstLineChars="200"/>
        <w:rPr>
          <w:rFonts w:ascii="宋体" w:hAnsi="Calibri"/>
          <w:iCs/>
          <w:sz w:val="24"/>
        </w:rPr>
      </w:pPr>
      <w:r>
        <w:rPr>
          <w:rFonts w:hint="eastAsia" w:ascii="宋体" w:hAnsi="Calibri"/>
          <w:iCs/>
          <w:sz w:val="24"/>
        </w:rPr>
        <w:t>（3）合同条款及格式</w:t>
      </w:r>
    </w:p>
    <w:p w14:paraId="3479E2ED">
      <w:pPr>
        <w:spacing w:line="560" w:lineRule="exact"/>
        <w:ind w:firstLine="480" w:firstLineChars="200"/>
        <w:rPr>
          <w:rFonts w:ascii="宋体" w:hAnsi="Calibri"/>
          <w:iCs/>
          <w:sz w:val="24"/>
        </w:rPr>
      </w:pPr>
      <w:r>
        <w:rPr>
          <w:rFonts w:hint="eastAsia" w:ascii="宋体" w:hAnsi="Calibri"/>
          <w:iCs/>
          <w:sz w:val="24"/>
        </w:rPr>
        <w:t>（4）项目需求</w:t>
      </w:r>
    </w:p>
    <w:p w14:paraId="43037D68">
      <w:pPr>
        <w:spacing w:line="560" w:lineRule="exact"/>
        <w:ind w:firstLine="480" w:firstLineChars="200"/>
        <w:rPr>
          <w:rFonts w:ascii="宋体" w:hAnsi="Calibri"/>
          <w:iCs/>
          <w:sz w:val="24"/>
        </w:rPr>
      </w:pPr>
      <w:r>
        <w:rPr>
          <w:rFonts w:hint="eastAsia" w:ascii="宋体" w:hAnsi="Calibri"/>
          <w:iCs/>
          <w:sz w:val="24"/>
        </w:rPr>
        <w:t>（5）评标方法与评标标准</w:t>
      </w:r>
    </w:p>
    <w:p w14:paraId="77EEDA6A">
      <w:pPr>
        <w:spacing w:line="560" w:lineRule="exact"/>
        <w:ind w:firstLine="480" w:firstLineChars="200"/>
        <w:rPr>
          <w:rFonts w:ascii="宋体" w:hAnsi="Calibri"/>
          <w:iCs/>
          <w:sz w:val="24"/>
        </w:rPr>
      </w:pPr>
      <w:r>
        <w:rPr>
          <w:rFonts w:hint="eastAsia" w:ascii="宋体" w:hAnsi="Calibri"/>
          <w:iCs/>
          <w:sz w:val="24"/>
        </w:rPr>
        <w:t>（6）响应文件的组成和格式</w:t>
      </w:r>
    </w:p>
    <w:p w14:paraId="213E1A55">
      <w:pPr>
        <w:tabs>
          <w:tab w:val="left" w:pos="900"/>
        </w:tabs>
        <w:spacing w:after="143" w:afterLines="50" w:line="560" w:lineRule="exact"/>
        <w:ind w:firstLine="597" w:firstLineChars="249"/>
        <w:rPr>
          <w:rFonts w:ascii="宋体" w:hAnsi="Calibri"/>
          <w:iCs/>
          <w:sz w:val="24"/>
        </w:rPr>
      </w:pPr>
      <w:r>
        <w:rPr>
          <w:rFonts w:hint="eastAsia" w:ascii="宋体" w:hAnsi="Calibri"/>
          <w:iCs/>
          <w:sz w:val="24"/>
        </w:rPr>
        <w:t>请仔细检查采购文件是否齐全，如有缺漏请立即与南京小旸树招标代理有限公司联系解决。</w:t>
      </w:r>
    </w:p>
    <w:p w14:paraId="6684F23D">
      <w:pPr>
        <w:tabs>
          <w:tab w:val="left" w:pos="900"/>
        </w:tabs>
        <w:spacing w:after="143" w:afterLines="50" w:line="560" w:lineRule="exact"/>
        <w:ind w:firstLine="597" w:firstLineChars="249"/>
        <w:rPr>
          <w:rFonts w:hint="eastAsia" w:ascii="宋体" w:hAnsi="宋体"/>
          <w:sz w:val="24"/>
        </w:rPr>
      </w:pPr>
      <w:r>
        <w:rPr>
          <w:rFonts w:hint="eastAsia" w:ascii="宋体" w:hAnsi="Calibri"/>
          <w:iCs/>
          <w:sz w:val="24"/>
        </w:rPr>
        <w:t>7. 磋商文件的</w:t>
      </w:r>
      <w:r>
        <w:rPr>
          <w:rFonts w:hint="eastAsia" w:ascii="宋体" w:hAnsi="宋体"/>
          <w:sz w:val="24"/>
        </w:rPr>
        <w:t>澄清</w:t>
      </w:r>
      <w:bookmarkEnd w:id="18"/>
      <w:bookmarkEnd w:id="19"/>
      <w:bookmarkEnd w:id="20"/>
      <w:bookmarkEnd w:id="21"/>
      <w:r>
        <w:rPr>
          <w:rFonts w:hint="eastAsia" w:ascii="宋体" w:hAnsi="宋体"/>
          <w:sz w:val="24"/>
        </w:rPr>
        <w:t>及修改</w:t>
      </w:r>
    </w:p>
    <w:p w14:paraId="154DF351">
      <w:pPr>
        <w:tabs>
          <w:tab w:val="left" w:pos="900"/>
        </w:tabs>
        <w:spacing w:after="143" w:afterLines="50" w:line="560" w:lineRule="exact"/>
        <w:ind w:left="120" w:leftChars="57" w:firstLine="477" w:firstLineChars="199"/>
        <w:rPr>
          <w:rFonts w:hint="eastAsia" w:ascii="宋体" w:hAnsi="宋体"/>
          <w:sz w:val="24"/>
        </w:rPr>
      </w:pPr>
      <w:r>
        <w:rPr>
          <w:rFonts w:hint="eastAsia" w:ascii="宋体" w:hAnsi="宋体"/>
          <w:sz w:val="24"/>
        </w:rPr>
        <w:t>7.1任何要求对磋商文件进行澄清的供应商，均应在提交首次响应文件截止时间5日前按采购邀请中的通讯地址，以书面形式通知南京小旸树招标代理有限公司。提交首次响应文件截止之日前，南京小旸树招标代理有限公司可以对已发出的磋商文件进行必要的澄清或者修改，澄清或者修改的内容作为磋商文件的组成部分。澄清或者修改的内容可能影响响应文件编制的，南京小旸树招标代理有限公司将在提交首次响应文件截止时间至少5日前，通知所有获取磋商文件的供应商。不足5日的，南京小旸树招标代理有限公司应当顺延提交首次响应文件截止时间及磋商时间。</w:t>
      </w:r>
    </w:p>
    <w:p w14:paraId="6A7C2624">
      <w:pPr>
        <w:tabs>
          <w:tab w:val="left" w:pos="900"/>
        </w:tabs>
        <w:spacing w:after="143" w:afterLines="50" w:line="560" w:lineRule="exact"/>
        <w:ind w:left="120" w:leftChars="57" w:firstLine="477" w:firstLineChars="199"/>
        <w:rPr>
          <w:rFonts w:hint="eastAsia" w:ascii="宋体" w:hAnsi="宋体"/>
          <w:sz w:val="24"/>
        </w:rPr>
      </w:pPr>
      <w:r>
        <w:rPr>
          <w:rFonts w:hint="eastAsia" w:ascii="宋体" w:hAnsi="宋体"/>
          <w:sz w:val="24"/>
        </w:rPr>
        <w:t>7.2采购人不安排现场考察与答疑。</w:t>
      </w:r>
    </w:p>
    <w:p w14:paraId="37D02A5D">
      <w:pPr>
        <w:tabs>
          <w:tab w:val="left" w:pos="900"/>
        </w:tabs>
        <w:spacing w:after="143" w:afterLines="50" w:line="560" w:lineRule="exact"/>
        <w:ind w:firstLine="479" w:firstLineChars="199"/>
        <w:rPr>
          <w:rFonts w:hint="eastAsia" w:ascii="宋体" w:hAnsi="宋体"/>
          <w:b/>
          <w:sz w:val="24"/>
        </w:rPr>
      </w:pPr>
      <w:bookmarkStart w:id="22" w:name="_Toc61149553"/>
      <w:bookmarkStart w:id="23" w:name="_Toc14577351"/>
      <w:bookmarkStart w:id="24" w:name="_Toc462564072"/>
      <w:bookmarkStart w:id="25" w:name="_Toc513029213"/>
      <w:r>
        <w:rPr>
          <w:rFonts w:hint="eastAsia" w:ascii="宋体" w:hAnsi="宋体"/>
          <w:b/>
          <w:sz w:val="24"/>
        </w:rPr>
        <w:t>二、磋商响应文件的编制</w:t>
      </w:r>
      <w:bookmarkEnd w:id="22"/>
      <w:bookmarkEnd w:id="23"/>
      <w:bookmarkEnd w:id="24"/>
      <w:bookmarkEnd w:id="25"/>
    </w:p>
    <w:p w14:paraId="47F61238">
      <w:pPr>
        <w:tabs>
          <w:tab w:val="left" w:pos="900"/>
        </w:tabs>
        <w:spacing w:after="143" w:afterLines="50" w:line="560" w:lineRule="exact"/>
        <w:ind w:firstLine="597" w:firstLineChars="249"/>
        <w:rPr>
          <w:rFonts w:hint="eastAsia" w:ascii="宋体" w:hAnsi="宋体"/>
          <w:sz w:val="24"/>
        </w:rPr>
      </w:pPr>
      <w:bookmarkStart w:id="26" w:name="_Toc513029223"/>
      <w:bookmarkStart w:id="27" w:name="_Toc14577361"/>
      <w:bookmarkStart w:id="28" w:name="_Toc61149561"/>
      <w:r>
        <w:rPr>
          <w:rFonts w:hint="eastAsia" w:ascii="宋体" w:hAnsi="宋体"/>
          <w:sz w:val="24"/>
        </w:rPr>
        <w:t>1、磋商响应文件份数和签署</w:t>
      </w:r>
      <w:bookmarkEnd w:id="26"/>
      <w:bookmarkEnd w:id="27"/>
      <w:bookmarkEnd w:id="28"/>
    </w:p>
    <w:p w14:paraId="4625BF6B">
      <w:pPr>
        <w:tabs>
          <w:tab w:val="left" w:pos="900"/>
        </w:tabs>
        <w:spacing w:after="143" w:afterLines="50" w:line="560" w:lineRule="exact"/>
        <w:ind w:left="120" w:leftChars="57" w:firstLine="477" w:firstLineChars="199"/>
        <w:rPr>
          <w:rFonts w:hint="eastAsia" w:ascii="宋体" w:hAnsi="宋体"/>
          <w:sz w:val="24"/>
        </w:rPr>
      </w:pPr>
      <w:r>
        <w:rPr>
          <w:rFonts w:hint="eastAsia" w:ascii="宋体" w:hAnsi="宋体"/>
          <w:sz w:val="24"/>
        </w:rPr>
        <w:t>1.1磋商供应商应严格按照采购邀请要求准备磋商响应文件（以下简称响应文件），每份响应文件须清楚地标明“正本”或“副本”字样。</w:t>
      </w:r>
    </w:p>
    <w:p w14:paraId="312D33E1">
      <w:pPr>
        <w:snapToGrid w:val="0"/>
        <w:spacing w:line="560" w:lineRule="exact"/>
        <w:ind w:firstLine="480" w:firstLineChars="200"/>
        <w:rPr>
          <w:rFonts w:hint="eastAsia" w:ascii="宋体" w:hAnsi="宋体"/>
          <w:sz w:val="24"/>
        </w:rPr>
      </w:pPr>
      <w:r>
        <w:rPr>
          <w:rFonts w:hint="eastAsia" w:ascii="宋体" w:hAnsi="宋体"/>
          <w:sz w:val="24"/>
        </w:rPr>
        <w:t>响应文件的正本和所有的副本均需打印或复印。响应文件正本中，除磋商文件规定的可提交复印件外，其他文件均须提交原件，文字材料需打印或用不褪色墨水书写，响应文件正本须经法定代表人或授权代表签字和加盖磋商供应商公章。本磋商文件所表述（指定）的公章是指刻有供应商法定名称的印章，不包括合同、财务、税务、发票等形式的业务专用章。</w:t>
      </w:r>
    </w:p>
    <w:p w14:paraId="2E2C0792">
      <w:pPr>
        <w:tabs>
          <w:tab w:val="left" w:pos="900"/>
        </w:tabs>
        <w:spacing w:after="143" w:afterLines="50" w:line="560" w:lineRule="exact"/>
        <w:ind w:left="120" w:leftChars="57" w:firstLine="477" w:firstLineChars="199"/>
        <w:rPr>
          <w:rFonts w:hint="eastAsia" w:ascii="宋体" w:hAnsi="宋体"/>
          <w:sz w:val="24"/>
        </w:rPr>
      </w:pPr>
      <w:r>
        <w:rPr>
          <w:rFonts w:hint="eastAsia" w:ascii="宋体" w:hAnsi="宋体"/>
          <w:sz w:val="24"/>
        </w:rPr>
        <w:t>1.2 除磋商供应商对错处做必要修改外，响应文件不得行间插字、涂改或增删。如有修改错漏处，必须由响应文件签署人签字或盖章。</w:t>
      </w:r>
    </w:p>
    <w:p w14:paraId="6A2B34CB">
      <w:pPr>
        <w:tabs>
          <w:tab w:val="left" w:pos="900"/>
        </w:tabs>
        <w:spacing w:after="143" w:afterLines="50" w:line="560" w:lineRule="exact"/>
        <w:ind w:firstLine="597" w:firstLineChars="249"/>
        <w:rPr>
          <w:rFonts w:hint="eastAsia" w:ascii="宋体" w:hAnsi="宋体"/>
          <w:sz w:val="24"/>
        </w:rPr>
      </w:pPr>
      <w:bookmarkStart w:id="29" w:name="_Hlt26954834"/>
      <w:bookmarkEnd w:id="29"/>
      <w:bookmarkStart w:id="30" w:name="_Toc462564074"/>
      <w:bookmarkStart w:id="31" w:name="_Toc513029215"/>
      <w:bookmarkStart w:id="32" w:name="_Toc61149555"/>
      <w:bookmarkStart w:id="33" w:name="_Toc14577353"/>
      <w:r>
        <w:rPr>
          <w:rFonts w:hint="eastAsia" w:ascii="宋体" w:hAnsi="宋体"/>
          <w:sz w:val="24"/>
        </w:rPr>
        <w:t>2、响应文件</w:t>
      </w:r>
      <w:bookmarkEnd w:id="30"/>
      <w:bookmarkEnd w:id="31"/>
      <w:bookmarkEnd w:id="32"/>
      <w:bookmarkEnd w:id="33"/>
      <w:r>
        <w:rPr>
          <w:rFonts w:hint="eastAsia" w:ascii="宋体" w:hAnsi="宋体"/>
          <w:sz w:val="24"/>
        </w:rPr>
        <w:t>编制要求</w:t>
      </w:r>
      <w:bookmarkStart w:id="34" w:name="_Toc61149554"/>
      <w:bookmarkStart w:id="35" w:name="_Toc513029214"/>
      <w:bookmarkStart w:id="36" w:name="_Toc14577352"/>
      <w:bookmarkStart w:id="37" w:name="_Toc462564073"/>
    </w:p>
    <w:bookmarkEnd w:id="34"/>
    <w:bookmarkEnd w:id="35"/>
    <w:bookmarkEnd w:id="36"/>
    <w:bookmarkEnd w:id="37"/>
    <w:p w14:paraId="169537E6">
      <w:pPr>
        <w:tabs>
          <w:tab w:val="left" w:pos="900"/>
        </w:tabs>
        <w:spacing w:after="143" w:afterLines="50" w:line="560" w:lineRule="exact"/>
        <w:ind w:left="120" w:leftChars="57" w:firstLine="477" w:firstLineChars="199"/>
        <w:rPr>
          <w:rFonts w:hint="eastAsia" w:ascii="宋体" w:hAnsi="宋体"/>
          <w:sz w:val="24"/>
        </w:rPr>
      </w:pPr>
      <w:r>
        <w:rPr>
          <w:rFonts w:hint="eastAsia" w:ascii="宋体" w:hAnsi="宋体"/>
          <w:sz w:val="24"/>
        </w:rPr>
        <w:t>2.1磋商供应商提交的响应文件以及磋商供应商与南京小旸树招标代理有限公司及采购人就有关磋商的所有来往函电均应使用简体中文。磋商文件中既有中文也有外文的，以中文意义为准。响应文件中如提供外文证明材料或资料、授权的，所有外文材料均须提供准确有效且完整的一一对应的中文译本，并由翻译机构盖章或者翻译人员签名以对其真实性和准确性负责，否则评审小组成员有权因语言文字不同导致不能准确理解判定而作出否决或负偏离认定，供应商需自行承担由此引起的一切后果。</w:t>
      </w:r>
    </w:p>
    <w:p w14:paraId="758E3876">
      <w:pPr>
        <w:tabs>
          <w:tab w:val="left" w:pos="900"/>
        </w:tabs>
        <w:spacing w:after="143" w:afterLines="50" w:line="560" w:lineRule="exact"/>
        <w:ind w:left="120" w:leftChars="57" w:firstLine="477" w:firstLineChars="199"/>
        <w:rPr>
          <w:rFonts w:hint="eastAsia" w:ascii="宋体" w:hAnsi="宋体"/>
          <w:sz w:val="24"/>
        </w:rPr>
      </w:pPr>
      <w:r>
        <w:rPr>
          <w:rFonts w:hint="eastAsia" w:ascii="宋体" w:hAnsi="宋体"/>
          <w:sz w:val="24"/>
        </w:rPr>
        <w:t>2.2 除技术性能另有规定外，响应文件所使用的度量衡单位，均须采用国家法定计量单位。</w:t>
      </w:r>
    </w:p>
    <w:p w14:paraId="6C18F2C3">
      <w:pPr>
        <w:tabs>
          <w:tab w:val="left" w:pos="900"/>
        </w:tabs>
        <w:spacing w:after="143" w:afterLines="50" w:line="560" w:lineRule="exact"/>
        <w:ind w:firstLine="597" w:firstLineChars="249"/>
        <w:rPr>
          <w:rFonts w:hint="eastAsia" w:ascii="宋体" w:hAnsi="宋体"/>
          <w:sz w:val="24"/>
        </w:rPr>
      </w:pPr>
      <w:bookmarkStart w:id="38" w:name="_Hlt26670357"/>
      <w:bookmarkEnd w:id="38"/>
      <w:bookmarkStart w:id="39" w:name="_Hlt26954836"/>
      <w:bookmarkEnd w:id="39"/>
      <w:bookmarkStart w:id="40" w:name="_Toc513029219"/>
      <w:bookmarkStart w:id="41" w:name="_Toc61149558"/>
      <w:bookmarkStart w:id="42" w:name="_Toc14577357"/>
      <w:r>
        <w:rPr>
          <w:rFonts w:hint="eastAsia" w:ascii="宋体" w:hAnsi="宋体"/>
          <w:sz w:val="24"/>
        </w:rPr>
        <w:t>3、参加磋商供应商资格的文件</w:t>
      </w:r>
      <w:bookmarkEnd w:id="40"/>
      <w:bookmarkEnd w:id="41"/>
      <w:bookmarkEnd w:id="42"/>
      <w:r>
        <w:rPr>
          <w:rFonts w:hint="eastAsia" w:ascii="宋体" w:hAnsi="宋体"/>
          <w:sz w:val="24"/>
        </w:rPr>
        <w:t>证明</w:t>
      </w:r>
    </w:p>
    <w:p w14:paraId="14261243">
      <w:pPr>
        <w:tabs>
          <w:tab w:val="left" w:pos="900"/>
        </w:tabs>
        <w:spacing w:after="143" w:afterLines="50" w:line="560" w:lineRule="exact"/>
        <w:ind w:left="120" w:leftChars="57" w:firstLine="477" w:firstLineChars="199"/>
        <w:rPr>
          <w:rFonts w:hint="eastAsia" w:ascii="宋体" w:hAnsi="宋体"/>
          <w:sz w:val="24"/>
        </w:rPr>
      </w:pPr>
      <w:bookmarkStart w:id="43" w:name="_Hlt26668999"/>
      <w:bookmarkEnd w:id="43"/>
      <w:r>
        <w:rPr>
          <w:rFonts w:hint="eastAsia" w:ascii="宋体" w:hAnsi="宋体"/>
          <w:sz w:val="24"/>
        </w:rPr>
        <w:t>3.1磋商供应商应提交证明其有资格参加磋商和成交后有能力独立履行合同的文件，并作为其响应文件的一部分。</w:t>
      </w:r>
    </w:p>
    <w:p w14:paraId="13974BB7">
      <w:pPr>
        <w:tabs>
          <w:tab w:val="left" w:pos="900"/>
        </w:tabs>
        <w:spacing w:after="143" w:afterLines="50" w:line="560" w:lineRule="exact"/>
        <w:ind w:left="120" w:leftChars="57" w:firstLine="477" w:firstLineChars="199"/>
        <w:rPr>
          <w:rFonts w:hint="eastAsia" w:ascii="宋体" w:hAnsi="宋体"/>
          <w:sz w:val="24"/>
        </w:rPr>
      </w:pPr>
      <w:r>
        <w:rPr>
          <w:rFonts w:hint="eastAsia" w:ascii="宋体" w:hAnsi="宋体"/>
          <w:sz w:val="24"/>
        </w:rPr>
        <w:t>3.2磋商供应商除必须具有履行合同所需提供的设备以及服务的能力外，还必须具备相应的财务、技术方面的能力。</w:t>
      </w:r>
    </w:p>
    <w:p w14:paraId="2E4067E0">
      <w:pPr>
        <w:tabs>
          <w:tab w:val="left" w:pos="900"/>
        </w:tabs>
        <w:spacing w:after="143" w:afterLines="50" w:line="560" w:lineRule="exact"/>
        <w:ind w:firstLine="597" w:firstLineChars="249"/>
        <w:rPr>
          <w:rFonts w:hint="eastAsia" w:ascii="宋体" w:hAnsi="宋体"/>
          <w:sz w:val="24"/>
        </w:rPr>
      </w:pPr>
      <w:r>
        <w:rPr>
          <w:rFonts w:hint="eastAsia" w:ascii="宋体" w:hAnsi="宋体"/>
          <w:sz w:val="24"/>
        </w:rPr>
        <w:t>3.3磋商供应商应填写并提交磋商文件所附的“资格、资信证明文件”。</w:t>
      </w:r>
      <w:bookmarkStart w:id="44" w:name="_Toc513029217"/>
      <w:bookmarkStart w:id="45" w:name="_Toc14577355"/>
      <w:bookmarkStart w:id="46" w:name="_Toc61149557"/>
    </w:p>
    <w:p w14:paraId="77DDBF48">
      <w:pPr>
        <w:tabs>
          <w:tab w:val="left" w:pos="900"/>
        </w:tabs>
        <w:spacing w:after="143" w:afterLines="50" w:line="560" w:lineRule="exact"/>
        <w:ind w:firstLine="600" w:firstLineChars="250"/>
        <w:rPr>
          <w:rFonts w:hint="eastAsia" w:ascii="宋体" w:hAnsi="宋体"/>
          <w:sz w:val="24"/>
        </w:rPr>
      </w:pPr>
      <w:r>
        <w:rPr>
          <w:rFonts w:hint="eastAsia" w:ascii="宋体" w:hAnsi="宋体"/>
          <w:sz w:val="24"/>
        </w:rPr>
        <w:t>4、磋商响应报价</w:t>
      </w:r>
      <w:bookmarkEnd w:id="44"/>
      <w:bookmarkEnd w:id="45"/>
      <w:bookmarkStart w:id="47" w:name="_Hlt26670373"/>
      <w:bookmarkEnd w:id="47"/>
      <w:r>
        <w:rPr>
          <w:rFonts w:hint="eastAsia" w:ascii="宋体" w:hAnsi="宋体"/>
          <w:sz w:val="24"/>
        </w:rPr>
        <w:t>表</w:t>
      </w:r>
      <w:bookmarkEnd w:id="46"/>
    </w:p>
    <w:p w14:paraId="1100353B">
      <w:pPr>
        <w:tabs>
          <w:tab w:val="left" w:pos="900"/>
        </w:tabs>
        <w:spacing w:after="143" w:afterLines="50" w:line="560" w:lineRule="exact"/>
        <w:ind w:left="120" w:leftChars="57" w:firstLine="480" w:firstLineChars="200"/>
        <w:rPr>
          <w:rFonts w:hint="eastAsia" w:ascii="宋体" w:hAnsi="宋体"/>
          <w:sz w:val="24"/>
        </w:rPr>
      </w:pPr>
      <w:r>
        <w:rPr>
          <w:rFonts w:hint="eastAsia" w:ascii="宋体" w:hAnsi="宋体"/>
          <w:sz w:val="24"/>
        </w:rPr>
        <w:t>4.1</w:t>
      </w:r>
      <w:r>
        <w:rPr>
          <w:rFonts w:hint="eastAsia" w:ascii="宋体" w:hAnsi="宋体"/>
          <w:color w:val="000000"/>
          <w:sz w:val="24"/>
        </w:rPr>
        <w:t>磋商供应商应按照磋商文件规定格式填报磋商响应报价表（含分项报价）。每项产品或服务只允许有一个报价，任何有选择的报价将不予接受，磋商文件中</w:t>
      </w:r>
      <w:r>
        <w:rPr>
          <w:rFonts w:hint="eastAsia" w:ascii="宋体" w:hAnsi="宋体"/>
          <w:sz w:val="24"/>
        </w:rPr>
        <w:t>另有规定的按规定执行。</w:t>
      </w:r>
    </w:p>
    <w:p w14:paraId="5006C684">
      <w:pPr>
        <w:tabs>
          <w:tab w:val="left" w:pos="900"/>
        </w:tabs>
        <w:spacing w:after="143" w:afterLines="50" w:line="560" w:lineRule="exact"/>
        <w:ind w:firstLine="480" w:firstLineChars="200"/>
        <w:rPr>
          <w:rFonts w:hint="eastAsia" w:ascii="宋体" w:hAnsi="宋体"/>
          <w:sz w:val="24"/>
        </w:rPr>
      </w:pPr>
      <w:r>
        <w:rPr>
          <w:rFonts w:hint="eastAsia" w:ascii="宋体" w:hAnsi="宋体"/>
          <w:sz w:val="24"/>
        </w:rPr>
        <w:t>4.2标的物</w:t>
      </w:r>
    </w:p>
    <w:p w14:paraId="2EFA84A1">
      <w:pPr>
        <w:tabs>
          <w:tab w:val="left" w:pos="900"/>
        </w:tabs>
        <w:spacing w:after="143" w:afterLines="50" w:line="560" w:lineRule="exact"/>
        <w:ind w:firstLine="480" w:firstLineChars="200"/>
        <w:rPr>
          <w:rFonts w:hint="eastAsia" w:ascii="宋体" w:hAnsi="宋体"/>
          <w:sz w:val="24"/>
        </w:rPr>
      </w:pPr>
      <w:r>
        <w:rPr>
          <w:rFonts w:hint="eastAsia" w:ascii="宋体" w:hAnsi="宋体"/>
          <w:sz w:val="24"/>
        </w:rPr>
        <w:t>详见项目需求。</w:t>
      </w:r>
    </w:p>
    <w:p w14:paraId="5BBEE3B0">
      <w:pPr>
        <w:tabs>
          <w:tab w:val="left" w:pos="900"/>
        </w:tabs>
        <w:spacing w:after="143" w:afterLines="50" w:line="560" w:lineRule="exact"/>
        <w:ind w:firstLine="480" w:firstLineChars="200"/>
        <w:rPr>
          <w:rFonts w:hint="eastAsia" w:ascii="宋体" w:hAnsi="宋体"/>
          <w:sz w:val="24"/>
        </w:rPr>
      </w:pPr>
      <w:r>
        <w:rPr>
          <w:rFonts w:hint="eastAsia" w:ascii="宋体" w:hAnsi="宋体"/>
          <w:sz w:val="24"/>
        </w:rPr>
        <w:t>4.3有关报价内容与范围</w:t>
      </w:r>
    </w:p>
    <w:p w14:paraId="4531B08D">
      <w:pPr>
        <w:tabs>
          <w:tab w:val="left" w:pos="900"/>
        </w:tabs>
        <w:spacing w:after="143" w:afterLines="50" w:line="560" w:lineRule="exact"/>
        <w:ind w:firstLine="482" w:firstLineChars="200"/>
        <w:rPr>
          <w:rFonts w:hint="eastAsia" w:ascii="宋体" w:hAnsi="宋体"/>
          <w:b/>
          <w:bCs/>
          <w:sz w:val="24"/>
        </w:rPr>
      </w:pPr>
      <w:r>
        <w:rPr>
          <w:rFonts w:hint="eastAsia" w:ascii="宋体" w:hAnsi="宋体"/>
          <w:b/>
          <w:bCs/>
          <w:sz w:val="24"/>
        </w:rPr>
        <w:t>该项目预算为全口径预算，包含了本项目所需的产品或服务提供过程中可能发生的所有费用，包括但不限于项目实施费用以及相关人员工资（含各类保险、加班费、交通费、过节费、福利等所有与人员相关费用）、劳务费、全部税金、 售后服务等以及采购人项目预算已包含的项目论证、评审等各项相关费用。</w:t>
      </w:r>
    </w:p>
    <w:p w14:paraId="1E4EF45B">
      <w:pPr>
        <w:tabs>
          <w:tab w:val="left" w:pos="900"/>
        </w:tabs>
        <w:spacing w:after="143" w:afterLines="50" w:line="560" w:lineRule="exact"/>
        <w:ind w:firstLine="482" w:firstLineChars="200"/>
        <w:rPr>
          <w:rFonts w:hint="eastAsia" w:ascii="宋体" w:hAnsi="宋体"/>
          <w:b/>
          <w:bCs/>
          <w:sz w:val="24"/>
        </w:rPr>
      </w:pPr>
      <w:r>
        <w:rPr>
          <w:rFonts w:hint="eastAsia" w:ascii="宋体" w:hAnsi="宋体"/>
          <w:b/>
          <w:bCs/>
          <w:sz w:val="24"/>
        </w:rPr>
        <w:t>本次采购响应供应商的报价应包括为完成本项目发生的上述所有费用及采购代理服务费用，成交后采购人除按成交价格支付采购资金以外，不再另行支付任何费用。本采购文件中另有规定的除外。</w:t>
      </w:r>
    </w:p>
    <w:p w14:paraId="56010672">
      <w:pPr>
        <w:tabs>
          <w:tab w:val="left" w:pos="900"/>
        </w:tabs>
        <w:spacing w:after="143" w:afterLines="50" w:line="560" w:lineRule="exact"/>
        <w:ind w:firstLine="480" w:firstLineChars="200"/>
        <w:rPr>
          <w:rFonts w:hint="eastAsia" w:ascii="宋体" w:hAnsi="宋体"/>
          <w:sz w:val="24"/>
        </w:rPr>
      </w:pPr>
      <w:r>
        <w:rPr>
          <w:rFonts w:hint="eastAsia" w:ascii="宋体" w:hAnsi="宋体"/>
          <w:sz w:val="24"/>
        </w:rPr>
        <w:t>4.4其它费用处理</w:t>
      </w:r>
    </w:p>
    <w:p w14:paraId="006136E2">
      <w:pPr>
        <w:tabs>
          <w:tab w:val="left" w:pos="900"/>
        </w:tabs>
        <w:spacing w:after="143" w:afterLines="50" w:line="560" w:lineRule="exact"/>
        <w:ind w:firstLine="480" w:firstLineChars="200"/>
        <w:rPr>
          <w:rFonts w:hint="eastAsia" w:ascii="宋体" w:hAnsi="宋体"/>
          <w:sz w:val="24"/>
        </w:rPr>
      </w:pPr>
      <w:r>
        <w:rPr>
          <w:rFonts w:hint="eastAsia" w:ascii="宋体" w:hAnsi="宋体"/>
          <w:sz w:val="24"/>
        </w:rPr>
        <w:t>磋商文件未列明，而磋商供应商认为必须的费用也须列入报价。</w:t>
      </w:r>
    </w:p>
    <w:p w14:paraId="2C832C0F">
      <w:pPr>
        <w:tabs>
          <w:tab w:val="left" w:pos="900"/>
        </w:tabs>
        <w:spacing w:after="143" w:afterLines="50" w:line="560" w:lineRule="exact"/>
        <w:ind w:firstLine="480" w:firstLineChars="200"/>
        <w:rPr>
          <w:rFonts w:hint="eastAsia" w:ascii="宋体" w:hAnsi="宋体"/>
          <w:sz w:val="24"/>
        </w:rPr>
      </w:pPr>
      <w:r>
        <w:rPr>
          <w:rFonts w:hint="eastAsia" w:ascii="宋体" w:hAnsi="宋体"/>
          <w:sz w:val="24"/>
        </w:rPr>
        <w:t>4.5报价采用的货币</w:t>
      </w:r>
    </w:p>
    <w:p w14:paraId="3F3DF885">
      <w:pPr>
        <w:tabs>
          <w:tab w:val="left" w:pos="900"/>
        </w:tabs>
        <w:spacing w:after="143" w:afterLines="50" w:line="560" w:lineRule="exact"/>
        <w:ind w:firstLine="477" w:firstLineChars="199"/>
        <w:rPr>
          <w:rFonts w:hint="eastAsia" w:ascii="宋体" w:hAnsi="宋体"/>
          <w:sz w:val="24"/>
        </w:rPr>
      </w:pPr>
      <w:r>
        <w:rPr>
          <w:rFonts w:hint="eastAsia" w:ascii="宋体" w:hAnsi="宋体"/>
          <w:sz w:val="24"/>
        </w:rPr>
        <w:t>响应文件中的单价和总价，无特殊规定的采用人民币报价，以元为单位标注。磋商文件中另有规定的按规定执行。</w:t>
      </w:r>
    </w:p>
    <w:p w14:paraId="4773C99A">
      <w:pPr>
        <w:tabs>
          <w:tab w:val="left" w:pos="900"/>
        </w:tabs>
        <w:spacing w:after="143" w:afterLines="50" w:line="560" w:lineRule="exact"/>
        <w:ind w:firstLine="477" w:firstLineChars="199"/>
        <w:rPr>
          <w:rFonts w:hint="eastAsia" w:ascii="宋体" w:hAnsi="宋体"/>
          <w:sz w:val="24"/>
        </w:rPr>
      </w:pPr>
      <w:r>
        <w:rPr>
          <w:rFonts w:hint="eastAsia" w:ascii="宋体" w:hAnsi="宋体"/>
          <w:sz w:val="24"/>
        </w:rPr>
        <w:t>4.6 磋商响应报价表上的价格应按磋商文件规定填写。</w:t>
      </w:r>
    </w:p>
    <w:p w14:paraId="4009F721">
      <w:pPr>
        <w:tabs>
          <w:tab w:val="left" w:pos="900"/>
        </w:tabs>
        <w:spacing w:after="143" w:afterLines="50" w:line="560" w:lineRule="exact"/>
        <w:ind w:firstLine="477" w:firstLineChars="199"/>
        <w:rPr>
          <w:rFonts w:hint="eastAsia" w:ascii="宋体" w:hAnsi="宋体"/>
          <w:sz w:val="24"/>
        </w:rPr>
      </w:pPr>
      <w:bookmarkStart w:id="48" w:name="_Hlt26954846"/>
      <w:bookmarkEnd w:id="48"/>
      <w:bookmarkStart w:id="49" w:name="_Hlt26668983"/>
      <w:bookmarkEnd w:id="49"/>
      <w:bookmarkStart w:id="50" w:name="_Hlt26670403"/>
      <w:bookmarkEnd w:id="50"/>
      <w:bookmarkStart w:id="51" w:name="_Hlt26670486"/>
      <w:bookmarkEnd w:id="51"/>
      <w:bookmarkStart w:id="52" w:name="_Hlt26954731"/>
      <w:bookmarkEnd w:id="52"/>
      <w:bookmarkStart w:id="53" w:name="_Hlt26954844"/>
      <w:bookmarkEnd w:id="53"/>
      <w:bookmarkStart w:id="54" w:name="_Hlt26670425"/>
      <w:bookmarkEnd w:id="54"/>
      <w:bookmarkStart w:id="55" w:name="_Hlt26954848"/>
      <w:bookmarkEnd w:id="55"/>
      <w:bookmarkStart w:id="56" w:name="_Hlt26670482"/>
      <w:bookmarkEnd w:id="56"/>
      <w:bookmarkStart w:id="57" w:name="_Hlt26954842"/>
      <w:bookmarkEnd w:id="57"/>
      <w:bookmarkStart w:id="58" w:name="_Toc61149559"/>
      <w:bookmarkStart w:id="59" w:name="_Toc14577359"/>
      <w:bookmarkStart w:id="60" w:name="_Toc513029221"/>
      <w:r>
        <w:rPr>
          <w:rFonts w:hint="eastAsia" w:ascii="宋体" w:hAnsi="宋体"/>
          <w:sz w:val="24"/>
        </w:rPr>
        <w:t>5、项目需求响应方案</w:t>
      </w:r>
    </w:p>
    <w:p w14:paraId="595A9330">
      <w:pPr>
        <w:tabs>
          <w:tab w:val="left" w:pos="900"/>
        </w:tabs>
        <w:spacing w:after="143" w:afterLines="50" w:line="560" w:lineRule="exact"/>
        <w:ind w:firstLine="477" w:firstLineChars="199"/>
        <w:rPr>
          <w:rFonts w:hint="eastAsia" w:ascii="宋体" w:hAnsi="宋体"/>
          <w:sz w:val="24"/>
        </w:rPr>
      </w:pPr>
      <w:r>
        <w:rPr>
          <w:rFonts w:hint="eastAsia" w:ascii="宋体" w:hAnsi="宋体"/>
          <w:sz w:val="24"/>
        </w:rPr>
        <w:t>5.1提供为完成本项目的总体实施方案。</w:t>
      </w:r>
    </w:p>
    <w:p w14:paraId="02CD8F5A">
      <w:pPr>
        <w:tabs>
          <w:tab w:val="left" w:pos="900"/>
        </w:tabs>
        <w:spacing w:after="143" w:afterLines="50" w:line="560" w:lineRule="exact"/>
        <w:ind w:firstLine="482" w:firstLineChars="200"/>
        <w:rPr>
          <w:rFonts w:hint="eastAsia" w:ascii="宋体" w:hAnsi="宋体"/>
          <w:b/>
          <w:sz w:val="24"/>
        </w:rPr>
      </w:pPr>
      <w:r>
        <w:rPr>
          <w:rFonts w:hint="eastAsia" w:ascii="宋体" w:hAnsi="宋体"/>
          <w:b/>
          <w:sz w:val="24"/>
        </w:rPr>
        <w:t>5.2对磋商文件中项目需求的技术（服务）条款与商务条款要求逐项作出应答，并提供依据或说明。简单复制磋商文件参数并标注响应或无偏离而又无相关资料证实的，评标委员会有权予以否决或做负偏离处理。</w:t>
      </w:r>
    </w:p>
    <w:p w14:paraId="23012D4A">
      <w:pPr>
        <w:tabs>
          <w:tab w:val="left" w:pos="900"/>
        </w:tabs>
        <w:spacing w:after="143" w:afterLines="50" w:line="560" w:lineRule="exact"/>
        <w:ind w:firstLine="477" w:firstLineChars="199"/>
        <w:rPr>
          <w:rFonts w:hint="eastAsia" w:ascii="宋体" w:hAnsi="宋体"/>
          <w:sz w:val="24"/>
        </w:rPr>
      </w:pPr>
      <w:r>
        <w:rPr>
          <w:rFonts w:hint="eastAsia" w:ascii="宋体" w:hAnsi="宋体"/>
          <w:sz w:val="24"/>
        </w:rPr>
        <w:t>5.3磋商供应商认为需要的其他技术文件或说明。</w:t>
      </w:r>
    </w:p>
    <w:bookmarkEnd w:id="58"/>
    <w:bookmarkEnd w:id="59"/>
    <w:bookmarkEnd w:id="60"/>
    <w:p w14:paraId="7F332F32">
      <w:pPr>
        <w:tabs>
          <w:tab w:val="left" w:pos="900"/>
        </w:tabs>
        <w:spacing w:after="143" w:afterLines="50" w:line="560" w:lineRule="exact"/>
        <w:ind w:firstLine="479" w:firstLineChars="199"/>
        <w:rPr>
          <w:rFonts w:hint="eastAsia" w:ascii="宋体" w:hAnsi="宋体"/>
          <w:b/>
          <w:sz w:val="24"/>
        </w:rPr>
      </w:pPr>
      <w:bookmarkStart w:id="61" w:name="_Hlt26954850"/>
      <w:bookmarkEnd w:id="61"/>
      <w:bookmarkStart w:id="62" w:name="_Hlt26670489"/>
      <w:bookmarkEnd w:id="62"/>
      <w:bookmarkStart w:id="63" w:name="_Hlt26954749"/>
      <w:bookmarkEnd w:id="63"/>
      <w:bookmarkStart w:id="64" w:name="_Hlt26954739"/>
      <w:bookmarkEnd w:id="64"/>
      <w:bookmarkStart w:id="65" w:name="_Hlt26954852"/>
      <w:bookmarkEnd w:id="65"/>
      <w:bookmarkStart w:id="66" w:name="_Hlt26954854"/>
      <w:bookmarkEnd w:id="66"/>
      <w:bookmarkStart w:id="67" w:name="_Hlt26670493"/>
      <w:bookmarkEnd w:id="67"/>
      <w:bookmarkStart w:id="68" w:name="_Hlt26954734"/>
      <w:bookmarkEnd w:id="68"/>
      <w:bookmarkStart w:id="69" w:name="_Toc61149562"/>
      <w:bookmarkStart w:id="70" w:name="_Toc14577362"/>
      <w:bookmarkStart w:id="71" w:name="_Toc513029224"/>
      <w:r>
        <w:rPr>
          <w:rFonts w:hint="eastAsia" w:ascii="宋体" w:hAnsi="宋体"/>
          <w:b/>
          <w:sz w:val="24"/>
        </w:rPr>
        <w:t>三、响应文件的递交</w:t>
      </w:r>
      <w:bookmarkEnd w:id="69"/>
      <w:bookmarkEnd w:id="70"/>
      <w:bookmarkEnd w:id="71"/>
    </w:p>
    <w:p w14:paraId="69A694A9">
      <w:pPr>
        <w:tabs>
          <w:tab w:val="left" w:pos="900"/>
        </w:tabs>
        <w:spacing w:after="143" w:afterLines="50" w:line="560" w:lineRule="exact"/>
        <w:ind w:firstLine="477" w:firstLineChars="199"/>
        <w:rPr>
          <w:rFonts w:hint="eastAsia" w:ascii="宋体" w:hAnsi="宋体"/>
          <w:sz w:val="24"/>
        </w:rPr>
      </w:pPr>
      <w:bookmarkStart w:id="72" w:name="_Hlt26954856"/>
      <w:bookmarkEnd w:id="72"/>
      <w:bookmarkStart w:id="73" w:name="_Toc14577363"/>
      <w:bookmarkStart w:id="74" w:name="_Toc513029225"/>
      <w:bookmarkStart w:id="75" w:name="_Toc61149563"/>
      <w:bookmarkStart w:id="76" w:name="_Toc462564084"/>
      <w:r>
        <w:rPr>
          <w:rFonts w:hint="eastAsia" w:ascii="宋体" w:hAnsi="宋体"/>
          <w:sz w:val="24"/>
        </w:rPr>
        <w:t>1、响应文件</w:t>
      </w:r>
      <w:bookmarkStart w:id="77" w:name="_Hlt26954743"/>
      <w:bookmarkEnd w:id="77"/>
      <w:r>
        <w:rPr>
          <w:rFonts w:hint="eastAsia" w:ascii="宋体" w:hAnsi="宋体"/>
          <w:sz w:val="24"/>
        </w:rPr>
        <w:t>的密封和标记</w:t>
      </w:r>
      <w:bookmarkEnd w:id="73"/>
      <w:bookmarkEnd w:id="74"/>
      <w:bookmarkEnd w:id="75"/>
      <w:bookmarkEnd w:id="76"/>
    </w:p>
    <w:p w14:paraId="36A20F35">
      <w:pPr>
        <w:tabs>
          <w:tab w:val="left" w:pos="900"/>
        </w:tabs>
        <w:spacing w:after="143" w:afterLines="50" w:line="560" w:lineRule="exact"/>
        <w:ind w:firstLine="479" w:firstLineChars="199"/>
        <w:rPr>
          <w:rFonts w:hint="eastAsia" w:ascii="宋体" w:hAnsi="宋体"/>
          <w:b/>
          <w:sz w:val="24"/>
        </w:rPr>
      </w:pPr>
      <w:r>
        <w:rPr>
          <w:rFonts w:hint="eastAsia" w:ascii="宋体" w:hAnsi="宋体"/>
          <w:b/>
          <w:sz w:val="24"/>
        </w:rPr>
        <w:t>1.1磋商供应商应严格按照采购邀请要求的份数准备响应文件，每份响应文件须清楚地标明“正本”或“副本”字样。一旦正本和副本不符，以正本为准。磋商供应商应将响应文件正本和所有副本密封。</w:t>
      </w:r>
    </w:p>
    <w:p w14:paraId="022E28BE">
      <w:pPr>
        <w:tabs>
          <w:tab w:val="left" w:pos="900"/>
        </w:tabs>
        <w:spacing w:after="143" w:afterLines="50" w:line="560" w:lineRule="exact"/>
        <w:ind w:firstLine="477" w:firstLineChars="199"/>
        <w:rPr>
          <w:rFonts w:hint="eastAsia" w:ascii="宋体" w:hAnsi="宋体"/>
          <w:sz w:val="24"/>
        </w:rPr>
      </w:pPr>
      <w:r>
        <w:rPr>
          <w:rFonts w:hint="eastAsia" w:ascii="宋体" w:hAnsi="宋体"/>
          <w:sz w:val="24"/>
        </w:rPr>
        <w:t>1.2密封的响应文件应：</w:t>
      </w:r>
    </w:p>
    <w:p w14:paraId="3FDDB540">
      <w:pPr>
        <w:tabs>
          <w:tab w:val="left" w:pos="900"/>
        </w:tabs>
        <w:spacing w:after="143" w:afterLines="50" w:line="560" w:lineRule="exact"/>
        <w:ind w:firstLine="360" w:firstLineChars="150"/>
        <w:rPr>
          <w:rFonts w:hint="eastAsia" w:ascii="宋体" w:hAnsi="宋体"/>
          <w:sz w:val="24"/>
        </w:rPr>
      </w:pPr>
      <w:r>
        <w:rPr>
          <w:rFonts w:hint="eastAsia" w:ascii="宋体" w:hAnsi="宋体"/>
          <w:sz w:val="24"/>
        </w:rPr>
        <w:t>（1）按采购邀请中注明的地址送达规定地点；</w:t>
      </w:r>
    </w:p>
    <w:p w14:paraId="377F22E2">
      <w:pPr>
        <w:tabs>
          <w:tab w:val="left" w:pos="900"/>
        </w:tabs>
        <w:spacing w:after="143" w:afterLines="50" w:line="560" w:lineRule="exact"/>
        <w:ind w:firstLine="360" w:firstLineChars="150"/>
        <w:rPr>
          <w:rFonts w:hint="eastAsia" w:ascii="宋体" w:hAnsi="宋体"/>
          <w:sz w:val="24"/>
        </w:rPr>
      </w:pPr>
      <w:r>
        <w:rPr>
          <w:rFonts w:hint="eastAsia" w:ascii="宋体" w:hAnsi="宋体"/>
          <w:sz w:val="24"/>
        </w:rPr>
        <w:t>（2）密封包装上注明参加磋商项目名称、项目编号以及磋商供应商名称和地址；</w:t>
      </w:r>
    </w:p>
    <w:p w14:paraId="2369FF49">
      <w:pPr>
        <w:tabs>
          <w:tab w:val="left" w:pos="900"/>
        </w:tabs>
        <w:spacing w:after="143" w:afterLines="50" w:line="560" w:lineRule="exact"/>
        <w:ind w:firstLine="477" w:firstLineChars="199"/>
        <w:rPr>
          <w:rFonts w:hint="eastAsia" w:ascii="宋体" w:hAnsi="宋体"/>
          <w:sz w:val="24"/>
        </w:rPr>
      </w:pPr>
      <w:r>
        <w:rPr>
          <w:rFonts w:hint="eastAsia" w:ascii="宋体" w:hAnsi="宋体"/>
          <w:sz w:val="24"/>
        </w:rPr>
        <w:t>1.3如果密封包装未按要求密封和加写标记，南京小旸树招标代理有限公司对误投或过早启封概不负责。对由此造成提前开封的响应文件，南京小旸树招标代理有限公司将予以拒绝，作无效响应处理。</w:t>
      </w:r>
    </w:p>
    <w:p w14:paraId="34735C6D">
      <w:pPr>
        <w:tabs>
          <w:tab w:val="left" w:pos="900"/>
        </w:tabs>
        <w:spacing w:after="143" w:afterLines="50" w:line="560" w:lineRule="exact"/>
        <w:ind w:firstLine="477" w:firstLineChars="199"/>
        <w:rPr>
          <w:rFonts w:hint="eastAsia" w:ascii="宋体" w:hAnsi="宋体"/>
          <w:sz w:val="24"/>
        </w:rPr>
      </w:pPr>
      <w:bookmarkStart w:id="78" w:name="_Hlt26954752"/>
      <w:bookmarkEnd w:id="78"/>
      <w:bookmarkStart w:id="79" w:name="_Hlt26670496"/>
      <w:bookmarkEnd w:id="79"/>
      <w:bookmarkStart w:id="80" w:name="_Hlt26954858"/>
      <w:bookmarkEnd w:id="80"/>
      <w:bookmarkStart w:id="81" w:name="_Toc513029226"/>
      <w:bookmarkStart w:id="82" w:name="_Toc61149564"/>
      <w:bookmarkStart w:id="83" w:name="_Toc14577364"/>
      <w:r>
        <w:rPr>
          <w:rFonts w:hint="eastAsia" w:ascii="宋体" w:hAnsi="宋体"/>
          <w:sz w:val="24"/>
        </w:rPr>
        <w:t>2、</w:t>
      </w:r>
      <w:bookmarkEnd w:id="81"/>
      <w:bookmarkEnd w:id="82"/>
      <w:bookmarkEnd w:id="83"/>
      <w:r>
        <w:rPr>
          <w:rFonts w:hint="eastAsia" w:ascii="宋体" w:hAnsi="宋体"/>
          <w:sz w:val="24"/>
        </w:rPr>
        <w:t>响应文件开启时间</w:t>
      </w:r>
    </w:p>
    <w:p w14:paraId="48AD9152">
      <w:pPr>
        <w:tabs>
          <w:tab w:val="left" w:pos="900"/>
        </w:tabs>
        <w:spacing w:after="143" w:afterLines="50" w:line="560" w:lineRule="exact"/>
        <w:ind w:firstLine="477" w:firstLineChars="199"/>
        <w:rPr>
          <w:rFonts w:hint="eastAsia" w:ascii="宋体" w:hAnsi="宋体"/>
          <w:sz w:val="24"/>
        </w:rPr>
      </w:pPr>
      <w:r>
        <w:rPr>
          <w:rFonts w:hint="eastAsia" w:ascii="宋体" w:hAnsi="宋体"/>
          <w:sz w:val="24"/>
        </w:rPr>
        <w:t>2.1南京小旸树招标代理有限公司收到响应文件的时间不得迟于本磋商文件规定的响应文件接收截止时间。</w:t>
      </w:r>
    </w:p>
    <w:p w14:paraId="45ACDAD1">
      <w:pPr>
        <w:tabs>
          <w:tab w:val="left" w:pos="900"/>
        </w:tabs>
        <w:spacing w:after="143" w:afterLines="50" w:line="560" w:lineRule="exact"/>
        <w:ind w:firstLine="477" w:firstLineChars="199"/>
        <w:rPr>
          <w:rFonts w:hint="eastAsia" w:ascii="宋体" w:hAnsi="宋体"/>
          <w:sz w:val="24"/>
        </w:rPr>
      </w:pPr>
      <w:r>
        <w:rPr>
          <w:rFonts w:hint="eastAsia" w:ascii="宋体" w:hAnsi="宋体"/>
          <w:sz w:val="24"/>
        </w:rPr>
        <w:t>2.2南京小旸树招标代理有限公司可通过修改磋商文件自行决定酌情推迟响应文件接收截止时间，在此情况下，磋商供应商的所有权利和义务以及受制的响应文件接收截止时间均应以延长后新的响应文件接收截止时间为准。</w:t>
      </w:r>
    </w:p>
    <w:p w14:paraId="13537093">
      <w:pPr>
        <w:tabs>
          <w:tab w:val="left" w:pos="900"/>
        </w:tabs>
        <w:spacing w:after="143" w:afterLines="50" w:line="560" w:lineRule="exact"/>
        <w:ind w:firstLine="477" w:firstLineChars="199"/>
        <w:rPr>
          <w:rFonts w:hint="eastAsia" w:ascii="宋体" w:hAnsi="宋体"/>
          <w:sz w:val="24"/>
        </w:rPr>
      </w:pPr>
      <w:bookmarkStart w:id="84" w:name="_Hlt26954860"/>
      <w:bookmarkEnd w:id="84"/>
      <w:bookmarkStart w:id="85" w:name="_Toc513029227"/>
      <w:bookmarkStart w:id="86" w:name="_Toc61149565"/>
      <w:bookmarkStart w:id="87" w:name="_Toc14577365"/>
      <w:r>
        <w:rPr>
          <w:rFonts w:hint="eastAsia" w:ascii="宋体" w:hAnsi="宋体"/>
          <w:sz w:val="24"/>
        </w:rPr>
        <w:t>3、迟交的响应文件</w:t>
      </w:r>
      <w:bookmarkEnd w:id="85"/>
      <w:bookmarkEnd w:id="86"/>
      <w:bookmarkEnd w:id="87"/>
    </w:p>
    <w:p w14:paraId="0312796B">
      <w:pPr>
        <w:tabs>
          <w:tab w:val="left" w:pos="900"/>
        </w:tabs>
        <w:spacing w:after="143" w:afterLines="50" w:line="560" w:lineRule="exact"/>
        <w:ind w:firstLine="477" w:firstLineChars="199"/>
        <w:rPr>
          <w:rFonts w:hint="eastAsia" w:ascii="宋体" w:hAnsi="宋体"/>
          <w:sz w:val="24"/>
        </w:rPr>
      </w:pPr>
      <w:r>
        <w:rPr>
          <w:rFonts w:hint="eastAsia" w:ascii="宋体" w:hAnsi="宋体"/>
          <w:sz w:val="24"/>
        </w:rPr>
        <w:t>3.1南京小旸树招标代理有限公司将拒绝在规定的响应文件接收截止时间后接收响应文件。</w:t>
      </w:r>
    </w:p>
    <w:p w14:paraId="76C8B251">
      <w:pPr>
        <w:tabs>
          <w:tab w:val="left" w:pos="900"/>
        </w:tabs>
        <w:spacing w:after="143" w:afterLines="50" w:line="560" w:lineRule="exact"/>
        <w:ind w:firstLine="477" w:firstLineChars="199"/>
        <w:rPr>
          <w:rFonts w:hint="eastAsia" w:ascii="宋体" w:hAnsi="宋体"/>
          <w:sz w:val="24"/>
        </w:rPr>
      </w:pPr>
      <w:bookmarkStart w:id="88" w:name="_Hlt26954754"/>
      <w:bookmarkEnd w:id="88"/>
      <w:bookmarkStart w:id="89" w:name="_Hlt26954862"/>
      <w:bookmarkEnd w:id="89"/>
      <w:bookmarkStart w:id="90" w:name="_Toc513029228"/>
      <w:bookmarkStart w:id="91" w:name="_Toc14577366"/>
      <w:bookmarkStart w:id="92" w:name="_Toc61149566"/>
      <w:r>
        <w:rPr>
          <w:rFonts w:hint="eastAsia" w:ascii="宋体" w:hAnsi="宋体"/>
          <w:sz w:val="24"/>
        </w:rPr>
        <w:t>4、响应文件</w:t>
      </w:r>
      <w:bookmarkStart w:id="93" w:name="_Hlt26670588"/>
      <w:r>
        <w:rPr>
          <w:rFonts w:hint="eastAsia" w:ascii="宋体" w:hAnsi="宋体"/>
          <w:sz w:val="24"/>
        </w:rPr>
        <w:t>的修改</w:t>
      </w:r>
      <w:bookmarkEnd w:id="93"/>
      <w:r>
        <w:rPr>
          <w:rFonts w:hint="eastAsia" w:ascii="宋体" w:hAnsi="宋体"/>
          <w:sz w:val="24"/>
        </w:rPr>
        <w:t>和撤回</w:t>
      </w:r>
      <w:bookmarkEnd w:id="90"/>
      <w:bookmarkEnd w:id="91"/>
      <w:bookmarkEnd w:id="92"/>
    </w:p>
    <w:p w14:paraId="0C6DD354">
      <w:pPr>
        <w:tabs>
          <w:tab w:val="left" w:pos="900"/>
        </w:tabs>
        <w:spacing w:after="143" w:afterLines="50" w:line="560" w:lineRule="exact"/>
        <w:ind w:firstLine="477" w:firstLineChars="199"/>
        <w:rPr>
          <w:rFonts w:hint="eastAsia" w:ascii="宋体" w:hAnsi="宋体"/>
          <w:sz w:val="24"/>
        </w:rPr>
      </w:pPr>
      <w:r>
        <w:rPr>
          <w:rFonts w:hint="eastAsia" w:ascii="宋体" w:hAnsi="宋体"/>
          <w:sz w:val="24"/>
        </w:rPr>
        <w:t>4.1磋商供应商在递交响应文件后，可以修改或撤回其磋商响应文件，但这种修改和撤回，必须在规定的响应文件接收截止时间前，以书面形式送达指定地点。</w:t>
      </w:r>
    </w:p>
    <w:p w14:paraId="6C50F855">
      <w:pPr>
        <w:tabs>
          <w:tab w:val="left" w:pos="900"/>
        </w:tabs>
        <w:spacing w:after="143" w:afterLines="50" w:line="560" w:lineRule="exact"/>
        <w:ind w:firstLine="480" w:firstLineChars="200"/>
        <w:rPr>
          <w:rFonts w:hint="eastAsia" w:ascii="宋体" w:hAnsi="宋体"/>
          <w:sz w:val="24"/>
        </w:rPr>
      </w:pPr>
      <w:r>
        <w:rPr>
          <w:rFonts w:hint="eastAsia" w:ascii="宋体" w:hAnsi="宋体"/>
          <w:sz w:val="24"/>
        </w:rPr>
        <w:t>4.2磋商供应商的修改或撤回通知书，应按本文件规定进行编制、密封、标记和发送，并应在封套上加注“修改”或“撤回”字样。</w:t>
      </w:r>
    </w:p>
    <w:p w14:paraId="7953C545">
      <w:pPr>
        <w:tabs>
          <w:tab w:val="left" w:pos="900"/>
        </w:tabs>
        <w:spacing w:after="143" w:afterLines="50" w:line="560" w:lineRule="exact"/>
        <w:ind w:firstLine="477" w:firstLineChars="199"/>
        <w:rPr>
          <w:rFonts w:hint="eastAsia" w:ascii="宋体" w:hAnsi="宋体"/>
          <w:sz w:val="24"/>
        </w:rPr>
      </w:pPr>
      <w:r>
        <w:rPr>
          <w:rFonts w:hint="eastAsia" w:ascii="宋体" w:hAnsi="宋体"/>
          <w:sz w:val="24"/>
        </w:rPr>
        <w:t>4.3 磋商供应商在提交最后报价之前，可以根据磋商情况退出磋商。</w:t>
      </w:r>
    </w:p>
    <w:p w14:paraId="1DC3D397">
      <w:pPr>
        <w:tabs>
          <w:tab w:val="left" w:pos="900"/>
        </w:tabs>
        <w:spacing w:after="143" w:afterLines="50" w:line="560" w:lineRule="exact"/>
        <w:ind w:firstLine="477" w:firstLineChars="199"/>
        <w:rPr>
          <w:rFonts w:hint="eastAsia" w:ascii="宋体" w:hAnsi="宋体"/>
          <w:sz w:val="24"/>
        </w:rPr>
      </w:pPr>
      <w:r>
        <w:rPr>
          <w:rFonts w:hint="eastAsia" w:ascii="宋体" w:hAnsi="宋体"/>
          <w:sz w:val="24"/>
        </w:rPr>
        <w:t>5、磋商响应有效期</w:t>
      </w:r>
    </w:p>
    <w:p w14:paraId="7C991481">
      <w:pPr>
        <w:tabs>
          <w:tab w:val="left" w:pos="900"/>
        </w:tabs>
        <w:spacing w:after="143" w:afterLines="50" w:line="560" w:lineRule="exact"/>
        <w:ind w:firstLine="477" w:firstLineChars="199"/>
        <w:rPr>
          <w:rFonts w:hint="eastAsia" w:ascii="宋体" w:hAnsi="宋体"/>
          <w:sz w:val="24"/>
        </w:rPr>
      </w:pPr>
      <w:r>
        <w:rPr>
          <w:rFonts w:hint="eastAsia" w:ascii="宋体" w:hAnsi="宋体"/>
          <w:sz w:val="24"/>
        </w:rPr>
        <w:t>5.1 磋商响应有效期为南京小旸树招标代理有限公司规定的响应文件接收截止时间后九十（90）天。</w:t>
      </w:r>
      <w:r>
        <w:rPr>
          <w:rFonts w:hint="eastAsia" w:ascii="宋体" w:hAnsi="宋体"/>
          <w:b/>
          <w:sz w:val="24"/>
        </w:rPr>
        <w:t>磋商响应有效期比规定短的将被视为非实质性响应而予以拒绝。</w:t>
      </w:r>
    </w:p>
    <w:p w14:paraId="17B4921A">
      <w:pPr>
        <w:tabs>
          <w:tab w:val="left" w:pos="900"/>
        </w:tabs>
        <w:spacing w:after="143" w:afterLines="50" w:line="560" w:lineRule="exact"/>
        <w:ind w:firstLine="477" w:firstLineChars="199"/>
        <w:rPr>
          <w:rFonts w:hint="eastAsia" w:ascii="宋体" w:hAnsi="宋体"/>
          <w:sz w:val="24"/>
        </w:rPr>
      </w:pPr>
      <w:r>
        <w:rPr>
          <w:rFonts w:hint="eastAsia" w:ascii="宋体" w:hAnsi="宋体"/>
          <w:sz w:val="24"/>
        </w:rPr>
        <w:t>5.2 在特殊情况下，南京小旸树招标代理有限公司于原磋商响应有效期满之前，可向磋商供应商提出延长磋商响应有效期的要求。这种要求与答复均应采用书面形式。磋商供应商可以拒绝南京小旸树招标代理有限公司的这一要求而放弃磋商响应。同意延长磋商响应有效期的磋商供应商既不能要求也不允许修改其响应文件。同时受磋商响应有效期约束的所有权利与义务均延长至新的有效期。</w:t>
      </w:r>
    </w:p>
    <w:p w14:paraId="05559F07">
      <w:pPr>
        <w:tabs>
          <w:tab w:val="left" w:pos="900"/>
        </w:tabs>
        <w:spacing w:after="143" w:afterLines="50" w:line="560" w:lineRule="exact"/>
        <w:ind w:firstLine="479" w:firstLineChars="199"/>
        <w:rPr>
          <w:rFonts w:hint="eastAsia" w:ascii="宋体" w:hAnsi="宋体"/>
          <w:b/>
          <w:sz w:val="24"/>
        </w:rPr>
      </w:pPr>
      <w:bookmarkStart w:id="94" w:name="_Hlt26954864"/>
      <w:bookmarkEnd w:id="94"/>
      <w:bookmarkStart w:id="95" w:name="_Hlt26670523"/>
      <w:bookmarkEnd w:id="95"/>
      <w:r>
        <w:rPr>
          <w:rFonts w:hint="eastAsia" w:ascii="宋体" w:hAnsi="宋体"/>
          <w:b/>
          <w:sz w:val="24"/>
        </w:rPr>
        <w:t>四、磋商与评审</w:t>
      </w:r>
    </w:p>
    <w:p w14:paraId="40C29022">
      <w:pPr>
        <w:tabs>
          <w:tab w:val="left" w:pos="900"/>
        </w:tabs>
        <w:spacing w:after="143" w:afterLines="50" w:line="560" w:lineRule="exact"/>
        <w:ind w:firstLine="477" w:firstLineChars="199"/>
        <w:rPr>
          <w:rFonts w:hint="eastAsia" w:ascii="宋体" w:hAnsi="宋体"/>
          <w:sz w:val="24"/>
        </w:rPr>
      </w:pPr>
      <w:bookmarkStart w:id="96" w:name="_Toc20823302"/>
      <w:bookmarkStart w:id="97" w:name="_Toc16938546"/>
      <w:bookmarkStart w:id="98" w:name="_Toc513029230"/>
      <w:r>
        <w:rPr>
          <w:rFonts w:hint="eastAsia" w:ascii="宋体" w:hAnsi="宋体"/>
          <w:sz w:val="24"/>
        </w:rPr>
        <w:t>1、</w:t>
      </w:r>
      <w:bookmarkEnd w:id="96"/>
      <w:bookmarkEnd w:id="97"/>
      <w:bookmarkEnd w:id="98"/>
      <w:r>
        <w:rPr>
          <w:rFonts w:hint="eastAsia" w:ascii="宋体" w:hAnsi="宋体"/>
          <w:sz w:val="24"/>
        </w:rPr>
        <w:t>磋商仪式</w:t>
      </w:r>
    </w:p>
    <w:p w14:paraId="032031DC">
      <w:pPr>
        <w:tabs>
          <w:tab w:val="left" w:pos="900"/>
        </w:tabs>
        <w:spacing w:after="143" w:afterLines="50" w:line="560" w:lineRule="exact"/>
        <w:ind w:firstLine="477" w:firstLineChars="199"/>
        <w:rPr>
          <w:rFonts w:hint="eastAsia" w:ascii="宋体" w:hAnsi="宋体"/>
          <w:sz w:val="24"/>
        </w:rPr>
      </w:pPr>
      <w:r>
        <w:rPr>
          <w:rFonts w:hint="eastAsia" w:ascii="宋体" w:hAnsi="宋体"/>
          <w:sz w:val="24"/>
        </w:rPr>
        <w:t>1.1南京小旸树招标代理有限公司将在采购邀请中规定的时间和地点组织磋商开始仪式，仪式由南京小旸树招标代理有限公司主持，磋商供应商应委派携带有效证件的代表准时参加，参加仪式的代表需签名以证明其出席。</w:t>
      </w:r>
    </w:p>
    <w:p w14:paraId="05257FAB">
      <w:pPr>
        <w:tabs>
          <w:tab w:val="left" w:pos="900"/>
        </w:tabs>
        <w:spacing w:after="143" w:afterLines="50" w:line="560" w:lineRule="exact"/>
        <w:ind w:firstLine="477" w:firstLineChars="199"/>
        <w:rPr>
          <w:rFonts w:hint="eastAsia" w:ascii="宋体" w:hAnsi="宋体"/>
          <w:sz w:val="24"/>
        </w:rPr>
      </w:pPr>
      <w:bookmarkStart w:id="99" w:name="_Toc513029231"/>
      <w:bookmarkStart w:id="100" w:name="_Toc20823303"/>
      <w:bookmarkStart w:id="101" w:name="_Toc16938547"/>
      <w:r>
        <w:rPr>
          <w:rFonts w:hint="eastAsia" w:ascii="宋体" w:hAnsi="宋体"/>
          <w:sz w:val="24"/>
        </w:rPr>
        <w:t>2、磋商小组</w:t>
      </w:r>
    </w:p>
    <w:p w14:paraId="0A9F8630">
      <w:pPr>
        <w:tabs>
          <w:tab w:val="left" w:pos="900"/>
        </w:tabs>
        <w:spacing w:after="143" w:afterLines="50" w:line="560" w:lineRule="exact"/>
        <w:ind w:firstLine="477" w:firstLineChars="199"/>
        <w:rPr>
          <w:rFonts w:hint="eastAsia" w:ascii="宋体" w:hAnsi="宋体"/>
          <w:sz w:val="24"/>
        </w:rPr>
      </w:pPr>
      <w:r>
        <w:rPr>
          <w:rFonts w:hint="eastAsia" w:ascii="宋体" w:hAnsi="宋体"/>
          <w:sz w:val="24"/>
        </w:rPr>
        <w:t>2.1 磋商开始仪式结束后，南京小旸树招标代理有限公司将立即组织磋商小组进行评审。</w:t>
      </w:r>
    </w:p>
    <w:p w14:paraId="24EB995A">
      <w:pPr>
        <w:tabs>
          <w:tab w:val="left" w:pos="900"/>
        </w:tabs>
        <w:spacing w:after="143" w:afterLines="50" w:line="560" w:lineRule="exact"/>
        <w:ind w:firstLine="477" w:firstLineChars="199"/>
        <w:rPr>
          <w:rFonts w:hint="eastAsia" w:ascii="宋体" w:hAnsi="宋体"/>
          <w:sz w:val="24"/>
        </w:rPr>
      </w:pPr>
      <w:r>
        <w:rPr>
          <w:rFonts w:hint="eastAsia" w:ascii="宋体" w:hAnsi="宋体"/>
          <w:sz w:val="24"/>
        </w:rPr>
        <w:t>2.2 磋商小组由政府采购评审专家、采购人代表组成，且人员构成符合政府采购有关规定。</w:t>
      </w:r>
    </w:p>
    <w:p w14:paraId="7D66C592">
      <w:pPr>
        <w:tabs>
          <w:tab w:val="left" w:pos="900"/>
        </w:tabs>
        <w:spacing w:after="143" w:afterLines="50" w:line="560" w:lineRule="exact"/>
        <w:ind w:firstLine="477" w:firstLineChars="199"/>
        <w:rPr>
          <w:rFonts w:hint="eastAsia" w:ascii="宋体" w:hAnsi="宋体"/>
          <w:sz w:val="24"/>
        </w:rPr>
      </w:pPr>
      <w:r>
        <w:rPr>
          <w:rFonts w:hint="eastAsia" w:ascii="宋体" w:hAnsi="宋体"/>
          <w:sz w:val="24"/>
        </w:rPr>
        <w:t>3、磋商评审过程的保密</w:t>
      </w:r>
      <w:bookmarkEnd w:id="99"/>
      <w:bookmarkEnd w:id="100"/>
      <w:bookmarkEnd w:id="101"/>
      <w:r>
        <w:rPr>
          <w:rFonts w:hint="eastAsia" w:ascii="宋体" w:hAnsi="宋体"/>
          <w:sz w:val="24"/>
        </w:rPr>
        <w:t>与公正</w:t>
      </w:r>
    </w:p>
    <w:p w14:paraId="6AB66DF8">
      <w:pPr>
        <w:tabs>
          <w:tab w:val="left" w:pos="900"/>
        </w:tabs>
        <w:spacing w:after="143" w:afterLines="50" w:line="560" w:lineRule="exact"/>
        <w:ind w:firstLine="477" w:firstLineChars="199"/>
        <w:rPr>
          <w:rFonts w:hint="eastAsia" w:ascii="宋体" w:hAnsi="宋体"/>
          <w:sz w:val="24"/>
        </w:rPr>
      </w:pPr>
      <w:r>
        <w:rPr>
          <w:rFonts w:hint="eastAsia" w:ascii="宋体" w:hAnsi="宋体"/>
          <w:sz w:val="24"/>
        </w:rPr>
        <w:t>3.1磋商小组</w:t>
      </w:r>
      <w:r>
        <w:rPr>
          <w:rFonts w:ascii="宋体" w:hAnsi="宋体"/>
          <w:sz w:val="24"/>
        </w:rPr>
        <w:t>、采购人和南京小旸树招标代理有限公司工作人员、相关监督人员等与评审工作有关的人员，对评审情况以及在评审过程中获悉的国家秘密、商业秘密负有保密责任</w:t>
      </w:r>
      <w:r>
        <w:rPr>
          <w:rFonts w:hint="eastAsia" w:ascii="宋体" w:hAnsi="宋体"/>
          <w:sz w:val="24"/>
        </w:rPr>
        <w:t>。</w:t>
      </w:r>
    </w:p>
    <w:p w14:paraId="73A5ADB7">
      <w:pPr>
        <w:tabs>
          <w:tab w:val="left" w:pos="900"/>
        </w:tabs>
        <w:spacing w:after="143" w:afterLines="50" w:line="560" w:lineRule="exact"/>
        <w:ind w:firstLine="477" w:firstLineChars="199"/>
        <w:rPr>
          <w:rFonts w:hint="eastAsia" w:ascii="宋体" w:hAnsi="宋体"/>
          <w:sz w:val="24"/>
        </w:rPr>
      </w:pPr>
      <w:r>
        <w:rPr>
          <w:rFonts w:hint="eastAsia" w:ascii="宋体" w:hAnsi="宋体"/>
          <w:sz w:val="24"/>
        </w:rPr>
        <w:t>3.2在磋商评审过程中，磋商供应商不得以任何行为影响磋商评审过程，否则其响应文件将被作为无效响应文件。</w:t>
      </w:r>
    </w:p>
    <w:p w14:paraId="36063187">
      <w:pPr>
        <w:tabs>
          <w:tab w:val="left" w:pos="900"/>
        </w:tabs>
        <w:spacing w:after="143" w:afterLines="50" w:line="560" w:lineRule="exact"/>
        <w:ind w:firstLine="477" w:firstLineChars="199"/>
        <w:rPr>
          <w:rFonts w:hint="eastAsia" w:ascii="宋体" w:hAnsi="宋体"/>
          <w:sz w:val="24"/>
        </w:rPr>
      </w:pPr>
      <w:r>
        <w:rPr>
          <w:rFonts w:hint="eastAsia" w:ascii="宋体" w:hAnsi="宋体"/>
          <w:sz w:val="24"/>
        </w:rPr>
        <w:t>3.3磋商小组成员应当按照客观、公正、审慎的原则，根据磋商文件规定的评审程序、评审方法和评审标准进行独立评审。未实质性响应磋商文件的响应文件按无效响应处理，磋商小组应当告知提交响应文件的供应商。</w:t>
      </w:r>
    </w:p>
    <w:p w14:paraId="26A6DF30">
      <w:pPr>
        <w:tabs>
          <w:tab w:val="left" w:pos="900"/>
        </w:tabs>
        <w:spacing w:after="143" w:afterLines="50" w:line="560" w:lineRule="exact"/>
        <w:ind w:firstLine="477" w:firstLineChars="199"/>
        <w:rPr>
          <w:rFonts w:hint="eastAsia" w:ascii="宋体" w:hAnsi="宋体"/>
          <w:sz w:val="24"/>
        </w:rPr>
      </w:pPr>
      <w:bookmarkStart w:id="102" w:name="_Toc20823304"/>
      <w:bookmarkStart w:id="103" w:name="_Toc16938548"/>
      <w:bookmarkStart w:id="104" w:name="_Toc513029232"/>
      <w:r>
        <w:rPr>
          <w:rFonts w:hint="eastAsia" w:ascii="宋体" w:hAnsi="宋体"/>
          <w:sz w:val="24"/>
        </w:rPr>
        <w:t>4、评审过程的澄清</w:t>
      </w:r>
      <w:bookmarkEnd w:id="102"/>
      <w:bookmarkEnd w:id="103"/>
      <w:bookmarkEnd w:id="104"/>
      <w:r>
        <w:rPr>
          <w:rFonts w:hint="eastAsia" w:ascii="宋体" w:hAnsi="宋体"/>
          <w:sz w:val="24"/>
        </w:rPr>
        <w:t>、说明和更正</w:t>
      </w:r>
    </w:p>
    <w:p w14:paraId="6ACCF16D">
      <w:pPr>
        <w:tabs>
          <w:tab w:val="left" w:pos="900"/>
        </w:tabs>
        <w:spacing w:after="143" w:afterLines="50" w:line="560" w:lineRule="exact"/>
        <w:ind w:firstLine="477" w:firstLineChars="199"/>
        <w:rPr>
          <w:rFonts w:hint="eastAsia" w:ascii="宋体" w:hAnsi="宋体"/>
          <w:sz w:val="24"/>
        </w:rPr>
      </w:pPr>
      <w:r>
        <w:rPr>
          <w:rFonts w:hint="eastAsia" w:ascii="宋体" w:hAnsi="宋体"/>
          <w:sz w:val="24"/>
        </w:rPr>
        <w:t>4.</w:t>
      </w:r>
      <w:r>
        <w:rPr>
          <w:rFonts w:ascii="宋体" w:hAnsi="宋体"/>
          <w:sz w:val="24"/>
        </w:rPr>
        <w:t>1</w:t>
      </w:r>
      <w:r>
        <w:rPr>
          <w:rFonts w:hint="eastAsia" w:ascii="宋体" w:hAnsi="宋体"/>
          <w:sz w:val="24"/>
        </w:rPr>
        <w:t>磋商小组在对响应文件的有效性、完整性和响应程度进行审查时，可以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p>
    <w:p w14:paraId="5356DD41">
      <w:pPr>
        <w:tabs>
          <w:tab w:val="left" w:pos="900"/>
        </w:tabs>
        <w:spacing w:after="143" w:afterLines="50" w:line="560" w:lineRule="exact"/>
        <w:ind w:firstLine="480" w:firstLineChars="200"/>
        <w:rPr>
          <w:rFonts w:hint="eastAsia" w:ascii="宋体" w:hAnsi="宋体"/>
          <w:sz w:val="24"/>
        </w:rPr>
      </w:pPr>
      <w:r>
        <w:rPr>
          <w:rFonts w:hint="eastAsia" w:ascii="宋体" w:hAnsi="宋体"/>
          <w:sz w:val="24"/>
        </w:rPr>
        <w:t>4.2接到磋商小组要求的供应商应派人按磋商小组通知的时间和地点做出书面澄清、说明或更正。供应商的澄清、说明或者更正应当由法定代表人或授权代表签字或者加盖公章。由授权代表签字的，应当附法人授权书。供应商为自然人的，应当由本人签字并附身份证明。</w:t>
      </w:r>
    </w:p>
    <w:p w14:paraId="4672EDCA">
      <w:pPr>
        <w:tabs>
          <w:tab w:val="left" w:pos="900"/>
        </w:tabs>
        <w:spacing w:after="143" w:afterLines="50" w:line="560" w:lineRule="exact"/>
        <w:ind w:firstLine="477" w:firstLineChars="199"/>
        <w:rPr>
          <w:rFonts w:hint="eastAsia" w:ascii="宋体" w:hAnsi="宋体"/>
          <w:sz w:val="24"/>
        </w:rPr>
      </w:pPr>
      <w:r>
        <w:rPr>
          <w:rFonts w:hint="eastAsia" w:ascii="宋体" w:hAnsi="宋体"/>
          <w:sz w:val="24"/>
        </w:rPr>
        <w:t>4.3 接到磋商小组澄清要求的供应商如未按规定做出澄清，其风险由供应商自行承担。</w:t>
      </w:r>
    </w:p>
    <w:p w14:paraId="42193CCB">
      <w:pPr>
        <w:tabs>
          <w:tab w:val="left" w:pos="900"/>
        </w:tabs>
        <w:spacing w:after="143" w:afterLines="50" w:line="560" w:lineRule="exact"/>
        <w:ind w:firstLine="477" w:firstLineChars="199"/>
        <w:rPr>
          <w:rFonts w:hint="eastAsia" w:ascii="宋体" w:hAnsi="宋体"/>
          <w:sz w:val="24"/>
        </w:rPr>
      </w:pPr>
      <w:bookmarkStart w:id="105" w:name="_Toc513029233"/>
      <w:bookmarkStart w:id="106" w:name="_Toc20823305"/>
      <w:bookmarkStart w:id="107" w:name="_Toc16938549"/>
      <w:r>
        <w:rPr>
          <w:rFonts w:hint="eastAsia" w:ascii="宋体" w:hAnsi="宋体"/>
          <w:sz w:val="24"/>
        </w:rPr>
        <w:t>5、对响应文件的初审</w:t>
      </w:r>
      <w:bookmarkEnd w:id="105"/>
      <w:bookmarkEnd w:id="106"/>
      <w:bookmarkEnd w:id="107"/>
    </w:p>
    <w:p w14:paraId="5D3E0C7D">
      <w:pPr>
        <w:tabs>
          <w:tab w:val="left" w:pos="900"/>
        </w:tabs>
        <w:spacing w:after="143" w:afterLines="50" w:line="560" w:lineRule="exact"/>
        <w:ind w:firstLine="477" w:firstLineChars="199"/>
        <w:rPr>
          <w:rFonts w:hint="eastAsia" w:ascii="宋体" w:hAnsi="宋体"/>
          <w:sz w:val="24"/>
        </w:rPr>
      </w:pPr>
      <w:r>
        <w:rPr>
          <w:rFonts w:hint="eastAsia" w:ascii="宋体" w:hAnsi="宋体"/>
          <w:sz w:val="24"/>
        </w:rPr>
        <w:t>5.1响应文件初审分为资格性检查和符合性检查。</w:t>
      </w:r>
    </w:p>
    <w:p w14:paraId="307201F6">
      <w:pPr>
        <w:tabs>
          <w:tab w:val="left" w:pos="900"/>
        </w:tabs>
        <w:spacing w:after="143" w:afterLines="50" w:line="560" w:lineRule="exact"/>
        <w:ind w:firstLine="477" w:firstLineChars="199"/>
        <w:rPr>
          <w:rFonts w:hint="eastAsia" w:ascii="宋体" w:hAnsi="宋体"/>
          <w:sz w:val="24"/>
        </w:rPr>
      </w:pPr>
      <w:r>
        <w:rPr>
          <w:rFonts w:hint="eastAsia" w:ascii="宋体" w:hAnsi="宋体"/>
          <w:sz w:val="24"/>
        </w:rPr>
        <w:t>5.1.1资格性检查：依据法律法规和磋商文件的规定，对响应文件中的资格证明文件等进行审查，以确定供应商是否具备参加磋商的资格。</w:t>
      </w:r>
    </w:p>
    <w:p w14:paraId="20C1F916">
      <w:pPr>
        <w:tabs>
          <w:tab w:val="left" w:pos="900"/>
        </w:tabs>
        <w:spacing w:after="143" w:afterLines="50" w:line="560" w:lineRule="exact"/>
        <w:ind w:firstLine="477" w:firstLineChars="199"/>
        <w:rPr>
          <w:rFonts w:hint="eastAsia" w:ascii="宋体" w:hAnsi="宋体"/>
          <w:sz w:val="24"/>
        </w:rPr>
      </w:pPr>
      <w:r>
        <w:rPr>
          <w:rFonts w:hint="eastAsia" w:ascii="宋体" w:hAnsi="宋体"/>
          <w:sz w:val="24"/>
        </w:rPr>
        <w:t>磋商小组在进行资格性审查的同时，将在“信用中国”网站（www.creditchina.gov.cn）</w:t>
      </w:r>
      <w:r>
        <w:rPr>
          <w:rFonts w:hint="eastAsia" w:ascii="宋体" w:hAnsi="宋体"/>
          <w:bCs/>
          <w:iCs/>
          <w:sz w:val="24"/>
        </w:rPr>
        <w:t>“中国政府采购网”网站（</w:t>
      </w:r>
      <w:r>
        <w:rPr>
          <w:rStyle w:val="48"/>
          <w:rFonts w:ascii="宋体" w:hAnsi="宋体"/>
          <w:bCs/>
          <w:iCs/>
          <w:color w:val="auto"/>
          <w:sz w:val="24"/>
          <w:u w:val="none"/>
        </w:rPr>
        <w:t>www.ccgp.gov.cn</w:t>
      </w:r>
      <w:r>
        <w:rPr>
          <w:rFonts w:ascii="宋体" w:hAnsi="宋体"/>
          <w:bCs/>
          <w:iCs/>
          <w:sz w:val="24"/>
        </w:rPr>
        <w:t>）</w:t>
      </w:r>
      <w:r>
        <w:rPr>
          <w:rFonts w:hint="eastAsia" w:ascii="宋体" w:hAnsi="宋体"/>
          <w:sz w:val="24"/>
        </w:rPr>
        <w:t>对供应商是否被列入失信被执行人、重大税收违法案件当事人名单、政府采购严重失信行为记录名单情况进行查询，以确定供应商是否具备参加磋商的资格。查询结果将以网页打印的形式留存并归档。</w:t>
      </w:r>
    </w:p>
    <w:p w14:paraId="4C7D75BE">
      <w:pPr>
        <w:tabs>
          <w:tab w:val="left" w:pos="900"/>
        </w:tabs>
        <w:spacing w:after="143" w:afterLines="50" w:line="560" w:lineRule="exact"/>
        <w:ind w:firstLine="477" w:firstLineChars="199"/>
        <w:rPr>
          <w:rFonts w:hint="eastAsia" w:ascii="宋体" w:hAnsi="宋体"/>
          <w:sz w:val="24"/>
        </w:rPr>
      </w:pPr>
      <w:r>
        <w:rPr>
          <w:rFonts w:hint="eastAsia" w:ascii="宋体" w:hAnsi="宋体"/>
          <w:sz w:val="24"/>
        </w:rPr>
        <w:t>5.1.2符合性检查：依据磋商文件的规定，从响应文件的有效性、完整性和对磋商文件的响应程度进行审查，以确定是否对磋商文件的实质性要求作出响应。</w:t>
      </w:r>
    </w:p>
    <w:p w14:paraId="041ACF12">
      <w:pPr>
        <w:pStyle w:val="50"/>
        <w:rPr>
          <w:lang w:eastAsia="zh-CN"/>
        </w:rPr>
      </w:pPr>
      <w:r>
        <w:rPr>
          <w:rFonts w:hint="eastAsia"/>
          <w:lang w:eastAsia="zh-CN"/>
        </w:rPr>
        <w:t>5.1.3 未通过资格审查或符合性审查的供应商，南京小旸树招标代理有限公司将在评标现场向其授权代表告知未通过资格审查或符合性审查的原因，评审结束后，南京小旸树招标代理有限公司将不再告知未通过资格审查或符合性审查的原因。</w:t>
      </w:r>
    </w:p>
    <w:p w14:paraId="13869F3D">
      <w:pPr>
        <w:tabs>
          <w:tab w:val="left" w:pos="900"/>
        </w:tabs>
        <w:spacing w:after="143" w:afterLines="50" w:line="560" w:lineRule="exact"/>
        <w:ind w:firstLine="477" w:firstLineChars="199"/>
        <w:rPr>
          <w:rFonts w:hint="eastAsia" w:ascii="宋体" w:hAnsi="宋体"/>
          <w:sz w:val="24"/>
        </w:rPr>
      </w:pPr>
      <w:r>
        <w:rPr>
          <w:rFonts w:hint="eastAsia" w:ascii="宋体" w:hAnsi="宋体"/>
          <w:sz w:val="24"/>
        </w:rPr>
        <w:t>5.2在正式磋商之前，磋商小组将首先审查每份响应文件是否实质性响应了磋商文件的要求。实质性响应的响应文件应该是与磋商文件要求的条款、条件和规格相符，没有重大负偏离或保留。</w:t>
      </w:r>
    </w:p>
    <w:p w14:paraId="2E979564">
      <w:pPr>
        <w:tabs>
          <w:tab w:val="left" w:pos="900"/>
        </w:tabs>
        <w:spacing w:after="143" w:afterLines="50" w:line="560" w:lineRule="exact"/>
        <w:ind w:firstLine="477" w:firstLineChars="199"/>
        <w:rPr>
          <w:rFonts w:hint="eastAsia" w:ascii="宋体" w:hAnsi="宋体"/>
          <w:sz w:val="24"/>
        </w:rPr>
      </w:pPr>
      <w:r>
        <w:rPr>
          <w:rFonts w:hint="eastAsia" w:ascii="宋体" w:hAnsi="宋体"/>
          <w:sz w:val="24"/>
        </w:rPr>
        <w:t>所谓重大负偏离或保留是指与磋商文件规定的实质性要求存在负偏离，或者在实质上与磋商文件不一致，而且限制了合同中买方和见证方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p>
    <w:p w14:paraId="084AF9F1">
      <w:pPr>
        <w:tabs>
          <w:tab w:val="left" w:pos="900"/>
        </w:tabs>
        <w:spacing w:after="143" w:afterLines="50" w:line="560" w:lineRule="exact"/>
        <w:ind w:firstLine="479" w:firstLineChars="199"/>
        <w:rPr>
          <w:rFonts w:hint="eastAsia" w:ascii="宋体" w:hAnsi="宋体"/>
          <w:b/>
          <w:sz w:val="24"/>
        </w:rPr>
      </w:pPr>
      <w:r>
        <w:rPr>
          <w:rFonts w:hint="eastAsia" w:ascii="宋体" w:hAnsi="宋体"/>
          <w:b/>
          <w:sz w:val="24"/>
        </w:rPr>
        <w:t>5.3 被认定为未实质性响应磋商文件的响应文件的情形</w:t>
      </w:r>
    </w:p>
    <w:p w14:paraId="3F635982">
      <w:pPr>
        <w:tabs>
          <w:tab w:val="left" w:pos="900"/>
        </w:tabs>
        <w:spacing w:after="143" w:afterLines="50" w:line="560" w:lineRule="exact"/>
        <w:ind w:firstLine="361" w:firstLineChars="150"/>
        <w:rPr>
          <w:rFonts w:hint="eastAsia" w:ascii="宋体" w:hAnsi="宋体"/>
          <w:b/>
          <w:sz w:val="24"/>
        </w:rPr>
      </w:pPr>
      <w:r>
        <w:rPr>
          <w:rFonts w:hint="eastAsia" w:ascii="宋体" w:hAnsi="宋体"/>
          <w:b/>
          <w:sz w:val="24"/>
        </w:rPr>
        <w:t>（</w:t>
      </w:r>
      <w:r>
        <w:rPr>
          <w:rFonts w:ascii="宋体" w:hAnsi="宋体"/>
          <w:b/>
          <w:sz w:val="24"/>
        </w:rPr>
        <w:t>1</w:t>
      </w:r>
      <w:r>
        <w:rPr>
          <w:rFonts w:hint="eastAsia" w:ascii="宋体" w:hAnsi="宋体"/>
          <w:b/>
          <w:sz w:val="24"/>
        </w:rPr>
        <w:t>）未按照磋商文件规定要求密封、签署、盖章的；</w:t>
      </w:r>
    </w:p>
    <w:p w14:paraId="616DAA97">
      <w:pPr>
        <w:tabs>
          <w:tab w:val="left" w:pos="900"/>
        </w:tabs>
        <w:spacing w:after="143" w:afterLines="50" w:line="560" w:lineRule="exact"/>
        <w:ind w:firstLine="361" w:firstLineChars="150"/>
        <w:rPr>
          <w:rFonts w:hint="eastAsia" w:ascii="宋体" w:hAnsi="宋体"/>
          <w:b/>
          <w:sz w:val="24"/>
        </w:rPr>
      </w:pPr>
      <w:r>
        <w:rPr>
          <w:rFonts w:hint="eastAsia" w:ascii="宋体" w:hAnsi="宋体"/>
          <w:b/>
          <w:sz w:val="24"/>
        </w:rPr>
        <w:t>（</w:t>
      </w:r>
      <w:r>
        <w:rPr>
          <w:rFonts w:ascii="宋体" w:hAnsi="宋体"/>
          <w:b/>
          <w:sz w:val="24"/>
        </w:rPr>
        <w:t>2</w:t>
      </w:r>
      <w:r>
        <w:rPr>
          <w:rFonts w:hint="eastAsia" w:ascii="宋体" w:hAnsi="宋体"/>
          <w:b/>
          <w:sz w:val="24"/>
        </w:rPr>
        <w:t>）供应商在报价时采用选择性报价；</w:t>
      </w:r>
    </w:p>
    <w:p w14:paraId="47363EF1">
      <w:pPr>
        <w:tabs>
          <w:tab w:val="left" w:pos="900"/>
        </w:tabs>
        <w:spacing w:after="143" w:afterLines="50" w:line="560" w:lineRule="exact"/>
        <w:ind w:firstLine="361" w:firstLineChars="150"/>
        <w:rPr>
          <w:rFonts w:hint="eastAsia" w:ascii="宋体" w:hAnsi="宋体"/>
          <w:b/>
          <w:sz w:val="24"/>
        </w:rPr>
      </w:pPr>
      <w:r>
        <w:rPr>
          <w:rFonts w:hint="eastAsia" w:ascii="宋体" w:hAnsi="宋体"/>
          <w:b/>
          <w:sz w:val="24"/>
        </w:rPr>
        <w:t>（</w:t>
      </w:r>
      <w:r>
        <w:rPr>
          <w:rFonts w:ascii="宋体" w:hAnsi="宋体"/>
          <w:b/>
          <w:sz w:val="24"/>
        </w:rPr>
        <w:t>3</w:t>
      </w:r>
      <w:r>
        <w:rPr>
          <w:rFonts w:hint="eastAsia" w:ascii="宋体" w:hAnsi="宋体"/>
          <w:b/>
          <w:sz w:val="24"/>
        </w:rPr>
        <w:t>）供应商不符合磋商文件中规定的合格磋商供应商资格要求的；</w:t>
      </w:r>
    </w:p>
    <w:p w14:paraId="07198676">
      <w:pPr>
        <w:tabs>
          <w:tab w:val="left" w:pos="900"/>
        </w:tabs>
        <w:spacing w:after="143" w:afterLines="50" w:line="560" w:lineRule="exact"/>
        <w:ind w:firstLine="361" w:firstLineChars="150"/>
        <w:rPr>
          <w:rFonts w:hint="eastAsia" w:ascii="宋体" w:hAnsi="宋体"/>
          <w:b/>
          <w:sz w:val="24"/>
        </w:rPr>
      </w:pPr>
      <w:r>
        <w:rPr>
          <w:rFonts w:hint="eastAsia" w:ascii="宋体" w:hAnsi="宋体"/>
          <w:b/>
          <w:sz w:val="24"/>
        </w:rPr>
        <w:t>（</w:t>
      </w:r>
      <w:r>
        <w:rPr>
          <w:rFonts w:ascii="宋体" w:hAnsi="宋体"/>
          <w:b/>
          <w:sz w:val="24"/>
        </w:rPr>
        <w:t>4</w:t>
      </w:r>
      <w:r>
        <w:rPr>
          <w:rFonts w:hint="eastAsia" w:ascii="宋体" w:hAnsi="宋体"/>
          <w:b/>
          <w:sz w:val="24"/>
        </w:rPr>
        <w:t>）不符合法律、法规和磋商文件中规定的其他实质性要求和条件的（本磋商文件中标</w:t>
      </w:r>
      <w:r>
        <w:rPr>
          <w:rFonts w:ascii="宋体" w:hAnsi="宋体"/>
          <w:b/>
          <w:sz w:val="28"/>
          <w:szCs w:val="36"/>
        </w:rPr>
        <w:t>★</w:t>
      </w:r>
      <w:r>
        <w:rPr>
          <w:rFonts w:hint="eastAsia" w:ascii="宋体" w:hAnsi="宋体"/>
          <w:b/>
          <w:sz w:val="24"/>
        </w:rPr>
        <w:t>为实质性要求和条件）；</w:t>
      </w:r>
    </w:p>
    <w:p w14:paraId="79480759">
      <w:pPr>
        <w:tabs>
          <w:tab w:val="left" w:pos="900"/>
        </w:tabs>
        <w:spacing w:after="143" w:afterLines="50" w:line="560" w:lineRule="exact"/>
        <w:ind w:firstLine="361" w:firstLineChars="150"/>
        <w:rPr>
          <w:rFonts w:hint="eastAsia" w:ascii="宋体" w:hAnsi="宋体"/>
          <w:b/>
          <w:sz w:val="24"/>
        </w:rPr>
      </w:pPr>
      <w:r>
        <w:rPr>
          <w:rFonts w:hint="eastAsia" w:ascii="宋体" w:hAnsi="宋体"/>
          <w:b/>
          <w:sz w:val="24"/>
        </w:rPr>
        <w:t>（</w:t>
      </w:r>
      <w:r>
        <w:rPr>
          <w:rFonts w:ascii="宋体" w:hAnsi="宋体"/>
          <w:b/>
          <w:sz w:val="24"/>
        </w:rPr>
        <w:t>5</w:t>
      </w:r>
      <w:r>
        <w:rPr>
          <w:rFonts w:hint="eastAsia" w:ascii="宋体" w:hAnsi="宋体"/>
          <w:b/>
          <w:sz w:val="24"/>
        </w:rPr>
        <w:t>）其他法律、法规及本磋商文件规定的属于未实质性响应的响应文件的情形；</w:t>
      </w:r>
    </w:p>
    <w:p w14:paraId="5B4EE129">
      <w:pPr>
        <w:ind w:firstLine="354" w:firstLineChars="147"/>
        <w:rPr>
          <w:rFonts w:hint="eastAsia" w:ascii="宋体" w:hAnsi="宋体"/>
          <w:b/>
          <w:sz w:val="24"/>
        </w:rPr>
      </w:pPr>
      <w:r>
        <w:rPr>
          <w:rFonts w:hint="eastAsia" w:ascii="宋体" w:hAnsi="宋体"/>
          <w:b/>
          <w:sz w:val="24"/>
        </w:rPr>
        <w:t>（</w:t>
      </w:r>
      <w:r>
        <w:rPr>
          <w:rFonts w:ascii="宋体" w:hAnsi="宋体"/>
          <w:b/>
          <w:sz w:val="24"/>
        </w:rPr>
        <w:t>6</w:t>
      </w:r>
      <w:r>
        <w:rPr>
          <w:rFonts w:hint="eastAsia" w:ascii="宋体" w:hAnsi="宋体"/>
          <w:b/>
          <w:sz w:val="24"/>
        </w:rPr>
        <w:t>）供应商被 “信用中国”网站（www.creditchina.gov.cn）</w:t>
      </w:r>
      <w:r>
        <w:rPr>
          <w:rFonts w:hint="eastAsia" w:ascii="宋体" w:hAnsi="宋体"/>
          <w:b/>
          <w:iCs/>
          <w:sz w:val="24"/>
        </w:rPr>
        <w:t>“中国政府采购网”网站（</w:t>
      </w:r>
      <w:r>
        <w:rPr>
          <w:rStyle w:val="48"/>
          <w:rFonts w:ascii="宋体" w:hAnsi="宋体"/>
          <w:b/>
          <w:iCs/>
          <w:color w:val="auto"/>
          <w:sz w:val="24"/>
          <w:u w:val="none"/>
        </w:rPr>
        <w:t>www.ccgp.gov.cn</w:t>
      </w:r>
      <w:r>
        <w:rPr>
          <w:rFonts w:ascii="宋体" w:hAnsi="宋体"/>
          <w:b/>
          <w:iCs/>
          <w:sz w:val="24"/>
        </w:rPr>
        <w:t>）</w:t>
      </w:r>
      <w:r>
        <w:rPr>
          <w:rFonts w:hint="eastAsia" w:ascii="宋体" w:hAnsi="宋体"/>
          <w:b/>
          <w:sz w:val="24"/>
        </w:rPr>
        <w:t>列入失信被执行人或重大税收违法案件当事人名单或政府采购严重失信行为记录名单。</w:t>
      </w:r>
    </w:p>
    <w:p w14:paraId="7C20B73C">
      <w:pPr>
        <w:tabs>
          <w:tab w:val="left" w:pos="900"/>
        </w:tabs>
        <w:spacing w:after="143" w:afterLines="50" w:line="560" w:lineRule="exact"/>
        <w:ind w:firstLine="477" w:firstLineChars="199"/>
        <w:rPr>
          <w:rFonts w:hint="eastAsia" w:ascii="宋体" w:hAnsi="宋体"/>
          <w:sz w:val="24"/>
        </w:rPr>
      </w:pPr>
      <w:r>
        <w:rPr>
          <w:rFonts w:hint="eastAsia" w:ascii="宋体" w:hAnsi="宋体"/>
          <w:sz w:val="24"/>
        </w:rPr>
        <w:t>5.4 未实质性响应磋商文件的响应文件按无效响应处理，磋商小组将予以拒绝，供应商不得通过修改或撤销不合要求的偏离或保留而使其响应文件成为实质性响应的文件。</w:t>
      </w:r>
    </w:p>
    <w:p w14:paraId="0E2274BB">
      <w:pPr>
        <w:tabs>
          <w:tab w:val="left" w:pos="900"/>
        </w:tabs>
        <w:spacing w:after="143" w:afterLines="50" w:line="560" w:lineRule="exact"/>
        <w:ind w:firstLine="477" w:firstLineChars="199"/>
        <w:rPr>
          <w:rFonts w:hint="eastAsia" w:ascii="宋体" w:hAnsi="宋体"/>
          <w:sz w:val="24"/>
        </w:rPr>
      </w:pPr>
      <w:r>
        <w:rPr>
          <w:rFonts w:hint="eastAsia" w:ascii="宋体" w:hAnsi="宋体"/>
          <w:sz w:val="24"/>
        </w:rPr>
        <w:t>5.5 磋商供应商的响应报价出现计算上或累加上的算术错误时，修正错误的原则如下：</w:t>
      </w:r>
    </w:p>
    <w:p w14:paraId="5AE4EE31">
      <w:pPr>
        <w:tabs>
          <w:tab w:val="left" w:pos="900"/>
        </w:tabs>
        <w:spacing w:after="143" w:afterLines="50" w:line="560" w:lineRule="exact"/>
        <w:ind w:firstLine="477" w:firstLineChars="199"/>
        <w:rPr>
          <w:rFonts w:hint="eastAsia" w:ascii="宋体" w:hAnsi="宋体"/>
          <w:sz w:val="24"/>
        </w:rPr>
      </w:pPr>
      <w:r>
        <w:rPr>
          <w:rFonts w:hint="eastAsia" w:ascii="宋体" w:hAnsi="宋体"/>
          <w:sz w:val="24"/>
        </w:rPr>
        <w:t>（1）大写金额和小写金额不一致的，以大写金额为准。</w:t>
      </w:r>
    </w:p>
    <w:p w14:paraId="1B92B9DA">
      <w:pPr>
        <w:tabs>
          <w:tab w:val="left" w:pos="900"/>
        </w:tabs>
        <w:spacing w:after="143" w:afterLines="50" w:line="560" w:lineRule="exact"/>
        <w:ind w:firstLine="477" w:firstLineChars="199"/>
        <w:rPr>
          <w:rFonts w:hint="eastAsia" w:ascii="宋体" w:hAnsi="宋体"/>
          <w:sz w:val="24"/>
        </w:rPr>
      </w:pPr>
      <w:r>
        <w:rPr>
          <w:rFonts w:hint="eastAsia" w:ascii="宋体" w:hAnsi="宋体"/>
          <w:sz w:val="24"/>
        </w:rPr>
        <w:t>（2）单价金额小数点或者百分比有明显错位的，以总价为准，并修改单价。</w:t>
      </w:r>
    </w:p>
    <w:p w14:paraId="66F090D2">
      <w:pPr>
        <w:tabs>
          <w:tab w:val="left" w:pos="900"/>
        </w:tabs>
        <w:spacing w:after="143" w:afterLines="50" w:line="560" w:lineRule="exact"/>
        <w:ind w:firstLine="477" w:firstLineChars="199"/>
        <w:rPr>
          <w:rFonts w:hint="eastAsia" w:ascii="宋体" w:hAnsi="宋体"/>
          <w:sz w:val="24"/>
        </w:rPr>
      </w:pPr>
      <w:r>
        <w:rPr>
          <w:rFonts w:hint="eastAsia" w:ascii="宋体" w:hAnsi="宋体"/>
          <w:sz w:val="24"/>
        </w:rPr>
        <w:t>（3）总价金额与按单价汇总金额不一致的，以单价金额计算结果为准。</w:t>
      </w:r>
    </w:p>
    <w:p w14:paraId="35F0C412">
      <w:pPr>
        <w:pStyle w:val="50"/>
        <w:rPr>
          <w:rFonts w:hint="eastAsia" w:eastAsia="宋体"/>
          <w:kern w:val="2"/>
          <w:lang w:eastAsia="zh-CN"/>
        </w:rPr>
      </w:pPr>
      <w:r>
        <w:rPr>
          <w:rFonts w:hint="eastAsia" w:eastAsia="宋体"/>
          <w:kern w:val="2"/>
          <w:lang w:eastAsia="zh-CN"/>
        </w:rPr>
        <w:t>同时出现两种以上错误的，按照前款规定的顺序修正。</w:t>
      </w:r>
    </w:p>
    <w:p w14:paraId="709EC313">
      <w:pPr>
        <w:tabs>
          <w:tab w:val="left" w:pos="900"/>
        </w:tabs>
        <w:spacing w:after="143" w:afterLines="50" w:line="560" w:lineRule="exact"/>
        <w:ind w:firstLine="477" w:firstLineChars="199"/>
        <w:rPr>
          <w:rFonts w:hint="eastAsia" w:ascii="宋体" w:hAnsi="宋体"/>
          <w:sz w:val="24"/>
        </w:rPr>
      </w:pPr>
      <w:r>
        <w:rPr>
          <w:rFonts w:hint="eastAsia" w:ascii="宋体" w:hAnsi="宋体"/>
          <w:sz w:val="24"/>
        </w:rPr>
        <w:t>5.6磋商小组将按上述修正错误的方法调整响应文件中的响应报价，调整后的价格应对响应供应商具有约束力。如果响应供应商不接受修正后的价格，则其磋商响应将被拒绝。</w:t>
      </w:r>
    </w:p>
    <w:p w14:paraId="15AE9642">
      <w:pPr>
        <w:tabs>
          <w:tab w:val="left" w:pos="900"/>
        </w:tabs>
        <w:spacing w:after="143" w:afterLines="50" w:line="560" w:lineRule="exact"/>
        <w:ind w:firstLine="477" w:firstLineChars="199"/>
        <w:rPr>
          <w:rFonts w:hint="eastAsia" w:ascii="宋体" w:hAnsi="宋体"/>
          <w:sz w:val="24"/>
        </w:rPr>
      </w:pPr>
      <w:r>
        <w:rPr>
          <w:rFonts w:hint="eastAsia" w:ascii="宋体" w:hAnsi="宋体"/>
          <w:sz w:val="24"/>
        </w:rPr>
        <w:t>5.7 磋商小组将允许修正响应文件中不构成重大负偏离的、微小的、非正规的、不一致的或不规则的地方，但这些修改不能影响任何供应商相应的名次排列。</w:t>
      </w:r>
    </w:p>
    <w:p w14:paraId="65C71A3F">
      <w:pPr>
        <w:tabs>
          <w:tab w:val="left" w:pos="900"/>
        </w:tabs>
        <w:spacing w:after="143" w:afterLines="50" w:line="560" w:lineRule="exact"/>
        <w:ind w:firstLine="477" w:firstLineChars="199"/>
        <w:rPr>
          <w:rFonts w:hint="eastAsia" w:ascii="宋体" w:hAnsi="宋体"/>
          <w:sz w:val="24"/>
        </w:rPr>
      </w:pPr>
      <w:r>
        <w:rPr>
          <w:rFonts w:hint="eastAsia" w:ascii="宋体" w:hAnsi="宋体"/>
          <w:sz w:val="24"/>
        </w:rPr>
        <w:t>5.8</w:t>
      </w:r>
      <w:r>
        <w:rPr>
          <w:rFonts w:ascii="宋体" w:hAnsi="宋体"/>
          <w:sz w:val="24"/>
        </w:rPr>
        <w:t xml:space="preserve"> </w:t>
      </w:r>
      <w:r>
        <w:rPr>
          <w:rFonts w:hint="eastAsia" w:ascii="宋体" w:hAnsi="宋体"/>
          <w:b/>
          <w:bCs/>
          <w:sz w:val="24"/>
        </w:rPr>
        <w:t>同一项目（项目未分包）或同一分包（项目有不同分包），如出现核心产品有多个供应商以</w:t>
      </w:r>
      <w:r>
        <w:rPr>
          <w:rFonts w:ascii="宋体" w:hAnsi="宋体"/>
          <w:b/>
          <w:bCs/>
          <w:sz w:val="24"/>
        </w:rPr>
        <w:t>同一品牌同一型号</w:t>
      </w:r>
      <w:r>
        <w:rPr>
          <w:rFonts w:hint="eastAsia" w:ascii="宋体" w:hAnsi="宋体"/>
          <w:b/>
          <w:bCs/>
          <w:sz w:val="24"/>
        </w:rPr>
        <w:t>的</w:t>
      </w:r>
      <w:r>
        <w:rPr>
          <w:rFonts w:ascii="宋体" w:hAnsi="宋体"/>
          <w:b/>
          <w:bCs/>
          <w:sz w:val="24"/>
        </w:rPr>
        <w:t>产品</w:t>
      </w:r>
      <w:r>
        <w:rPr>
          <w:rFonts w:hint="eastAsia" w:ascii="宋体" w:hAnsi="宋体"/>
          <w:b/>
          <w:bCs/>
          <w:sz w:val="24"/>
        </w:rPr>
        <w:t>参加磋商时，在资格审查、符合性审查合格的前提下，按一家供应商计算，评审后得分最高的同品牌供应商获得成交供应商推荐资格；评审得分相同的，按最终响应报价由低到高顺序排列，得分且最终响应报价相同的，按核心产品主要技术指标优劣顺序排列，由磋商小组确定成交候选人推荐资格。</w:t>
      </w:r>
    </w:p>
    <w:p w14:paraId="2246CC8A">
      <w:pPr>
        <w:tabs>
          <w:tab w:val="left" w:pos="900"/>
        </w:tabs>
        <w:spacing w:after="143" w:afterLines="50" w:line="560" w:lineRule="exact"/>
        <w:ind w:firstLine="477" w:firstLineChars="199"/>
        <w:rPr>
          <w:rFonts w:hint="eastAsia" w:ascii="宋体" w:hAnsi="宋体"/>
          <w:sz w:val="24"/>
        </w:rPr>
      </w:pPr>
      <w:bookmarkStart w:id="108" w:name="_Toc16938550"/>
      <w:bookmarkStart w:id="109" w:name="_Toc513029234"/>
      <w:bookmarkStart w:id="110" w:name="_Toc20823306"/>
      <w:r>
        <w:rPr>
          <w:rFonts w:hint="eastAsia" w:ascii="宋体" w:hAnsi="宋体"/>
          <w:sz w:val="24"/>
        </w:rPr>
        <w:t>6、</w:t>
      </w:r>
      <w:bookmarkEnd w:id="108"/>
      <w:bookmarkEnd w:id="109"/>
      <w:bookmarkEnd w:id="110"/>
      <w:r>
        <w:rPr>
          <w:rFonts w:hint="eastAsia" w:ascii="宋体" w:hAnsi="宋体"/>
          <w:sz w:val="24"/>
        </w:rPr>
        <w:t>磋商程序及评审方法和标准</w:t>
      </w:r>
    </w:p>
    <w:p w14:paraId="112181F5">
      <w:pPr>
        <w:tabs>
          <w:tab w:val="left" w:pos="900"/>
        </w:tabs>
        <w:spacing w:after="143" w:afterLines="50" w:line="560" w:lineRule="exact"/>
        <w:ind w:firstLine="477" w:firstLineChars="199"/>
        <w:rPr>
          <w:rFonts w:hint="eastAsia" w:ascii="宋体" w:hAnsi="宋体"/>
          <w:sz w:val="24"/>
        </w:rPr>
      </w:pPr>
      <w:bookmarkStart w:id="111" w:name="_Toc16938551"/>
      <w:bookmarkStart w:id="112" w:name="_Toc20823307"/>
      <w:bookmarkStart w:id="113" w:name="_Toc513029235"/>
      <w:r>
        <w:rPr>
          <w:rFonts w:hint="eastAsia" w:ascii="宋体" w:hAnsi="宋体"/>
          <w:sz w:val="24"/>
        </w:rPr>
        <w:t>6.1磋商程序</w:t>
      </w:r>
    </w:p>
    <w:p w14:paraId="4D8353D8">
      <w:pPr>
        <w:tabs>
          <w:tab w:val="left" w:pos="900"/>
        </w:tabs>
        <w:spacing w:after="143" w:afterLines="50" w:line="560" w:lineRule="exact"/>
        <w:ind w:firstLine="477" w:firstLineChars="199"/>
        <w:rPr>
          <w:rFonts w:hint="eastAsia" w:ascii="宋体" w:hAnsi="宋体"/>
          <w:sz w:val="24"/>
        </w:rPr>
      </w:pPr>
      <w:r>
        <w:rPr>
          <w:rFonts w:hint="eastAsia" w:ascii="宋体" w:hAnsi="宋体"/>
          <w:sz w:val="24"/>
        </w:rPr>
        <w:t>6.1.1 对于通过资格性和符合性审查的供应商，磋商小组所有成员将集中与单一供应商的授权代表（或法定代表人）逐一分别进行现场磋商。</w:t>
      </w:r>
    </w:p>
    <w:p w14:paraId="42345604">
      <w:pPr>
        <w:tabs>
          <w:tab w:val="left" w:pos="900"/>
        </w:tabs>
        <w:spacing w:after="143" w:afterLines="50" w:line="560" w:lineRule="exact"/>
        <w:ind w:firstLine="477" w:firstLineChars="199"/>
        <w:rPr>
          <w:rFonts w:hint="eastAsia" w:ascii="宋体" w:hAnsi="宋体"/>
          <w:sz w:val="24"/>
        </w:rPr>
      </w:pPr>
      <w:r>
        <w:rPr>
          <w:rFonts w:hint="eastAsia" w:ascii="宋体" w:hAnsi="宋体"/>
          <w:sz w:val="24"/>
        </w:rPr>
        <w:t>在磋商过程中，磋商小组可能根据磋商文件和磋商情况实质性变动的内容有：采购需求中的技术、服务要求以及合同草案条款。对磋商文件作出的实质性变动是磋商文件的有效组成部分，磋商小组将以书面形式同时通知所有参加磋商的供应商。供应商应当按照磋商文件的变动情况和磋商小组的要求重新提交响应文件，并由其法定代表人或授权代表签字或者加盖公章。</w:t>
      </w:r>
    </w:p>
    <w:p w14:paraId="6CD4BB68">
      <w:pPr>
        <w:tabs>
          <w:tab w:val="left" w:pos="900"/>
        </w:tabs>
        <w:spacing w:after="143" w:afterLines="50" w:line="560" w:lineRule="exact"/>
        <w:ind w:firstLine="477" w:firstLineChars="199"/>
        <w:rPr>
          <w:rFonts w:hint="eastAsia" w:ascii="宋体" w:hAnsi="宋体"/>
          <w:sz w:val="24"/>
        </w:rPr>
      </w:pPr>
      <w:r>
        <w:rPr>
          <w:rFonts w:hint="eastAsia" w:ascii="宋体" w:hAnsi="宋体"/>
          <w:sz w:val="24"/>
        </w:rPr>
        <w:t xml:space="preserve"> 6.1.2 </w:t>
      </w:r>
      <w:r>
        <w:rPr>
          <w:rFonts w:ascii="宋体" w:hAnsi="宋体"/>
          <w:sz w:val="24"/>
        </w:rPr>
        <w:t>磋商文件能够详细列明采购标的的技术、服务要求的，磋商结束后，磋商小组</w:t>
      </w:r>
      <w:r>
        <w:rPr>
          <w:rFonts w:hint="eastAsia" w:ascii="宋体" w:hAnsi="宋体"/>
          <w:sz w:val="24"/>
        </w:rPr>
        <w:t>将</w:t>
      </w:r>
      <w:r>
        <w:rPr>
          <w:rFonts w:ascii="宋体" w:hAnsi="宋体"/>
          <w:sz w:val="24"/>
        </w:rPr>
        <w:t>要求所有实质性响应的供应商在规定时间内提交最后报价。</w:t>
      </w:r>
    </w:p>
    <w:p w14:paraId="38266A76">
      <w:pPr>
        <w:tabs>
          <w:tab w:val="left" w:pos="900"/>
        </w:tabs>
        <w:spacing w:after="143" w:afterLines="50" w:line="560" w:lineRule="exact"/>
        <w:ind w:firstLine="477" w:firstLineChars="199"/>
        <w:rPr>
          <w:rFonts w:hint="eastAsia" w:ascii="宋体" w:hAnsi="宋体"/>
          <w:color w:val="000000"/>
          <w:sz w:val="24"/>
        </w:rPr>
      </w:pPr>
      <w:r>
        <w:rPr>
          <w:rFonts w:hint="eastAsia" w:ascii="宋体" w:hAnsi="宋体"/>
          <w:color w:val="000000"/>
          <w:sz w:val="24"/>
        </w:rPr>
        <w:t>磋商文件不能详细列明采购标的的技术、服务要求，需经磋商由供应商提供最终设计方案或解决方案的，磋商结束后，磋商小组将按照少数服从多数的原则投票推荐3家以上供应商的设计方案或者解决方案，并要求其在规定时间内提交最后报价。</w:t>
      </w:r>
    </w:p>
    <w:p w14:paraId="34CEF713">
      <w:pPr>
        <w:tabs>
          <w:tab w:val="left" w:pos="900"/>
        </w:tabs>
        <w:spacing w:after="143" w:afterLines="50" w:line="560" w:lineRule="exact"/>
        <w:ind w:firstLine="477" w:firstLineChars="199"/>
        <w:rPr>
          <w:rFonts w:hint="eastAsia" w:ascii="宋体" w:hAnsi="宋体"/>
          <w:color w:val="000000"/>
          <w:sz w:val="24"/>
        </w:rPr>
      </w:pPr>
      <w:r>
        <w:rPr>
          <w:rFonts w:hint="eastAsia" w:ascii="宋体" w:hAnsi="宋体"/>
          <w:color w:val="000000"/>
          <w:sz w:val="24"/>
        </w:rPr>
        <w:t>最后报价是供应商响应文件的有效组成部分。符合《政府采购竞争性磋商采购方式管理暂行办法》第三条第四项及《财政部关于竞争性磋商采购方式管理暂行办法有关问题的补充通知》（财库[2015]124号）规定情形的，提交最后报价的供应商可以为2家。</w:t>
      </w:r>
    </w:p>
    <w:p w14:paraId="02E97550">
      <w:pPr>
        <w:tabs>
          <w:tab w:val="left" w:pos="900"/>
        </w:tabs>
        <w:spacing w:after="143" w:afterLines="50" w:line="560" w:lineRule="exact"/>
        <w:ind w:firstLine="477" w:firstLineChars="199"/>
        <w:rPr>
          <w:rFonts w:hint="eastAsia" w:ascii="宋体" w:hAnsi="宋体"/>
          <w:sz w:val="24"/>
        </w:rPr>
      </w:pPr>
      <w:r>
        <w:rPr>
          <w:rFonts w:hint="eastAsia" w:ascii="宋体" w:hAnsi="宋体"/>
          <w:sz w:val="24"/>
        </w:rPr>
        <w:t>6.1.3 磋商供应商未在磋商小组规定的时间内完成最后报价的视为放弃磋商，其磋商响应按无效响应处理。最后报价须由磋商供应商法定代表人或授权代表签字或者加盖公章。</w:t>
      </w:r>
      <w:r>
        <w:rPr>
          <w:rFonts w:ascii="宋体" w:hAnsi="宋体"/>
          <w:sz w:val="24"/>
        </w:rPr>
        <w:t>已提交响应文件的供应商，在提交最后报价之前，可以根据磋商情况退出磋商。</w:t>
      </w:r>
    </w:p>
    <w:p w14:paraId="514636A2">
      <w:pPr>
        <w:tabs>
          <w:tab w:val="left" w:pos="900"/>
        </w:tabs>
        <w:spacing w:after="143" w:afterLines="50" w:line="560" w:lineRule="exact"/>
        <w:ind w:firstLine="477" w:firstLineChars="199"/>
        <w:rPr>
          <w:rFonts w:hint="eastAsia" w:ascii="宋体" w:hAnsi="宋体"/>
          <w:sz w:val="24"/>
        </w:rPr>
      </w:pPr>
      <w:r>
        <w:rPr>
          <w:rFonts w:hint="eastAsia" w:ascii="宋体" w:hAnsi="宋体"/>
          <w:sz w:val="24"/>
        </w:rPr>
        <w:t>6.2 评审方法和标准</w:t>
      </w:r>
    </w:p>
    <w:p w14:paraId="0DAAC404">
      <w:pPr>
        <w:tabs>
          <w:tab w:val="left" w:pos="900"/>
        </w:tabs>
        <w:spacing w:after="143" w:afterLines="50" w:line="560" w:lineRule="exact"/>
        <w:ind w:firstLine="477" w:firstLineChars="199"/>
        <w:rPr>
          <w:rFonts w:hint="eastAsia" w:ascii="宋体" w:hAnsi="宋体"/>
          <w:sz w:val="24"/>
        </w:rPr>
      </w:pPr>
      <w:r>
        <w:rPr>
          <w:rFonts w:hint="eastAsia" w:ascii="宋体" w:hAnsi="宋体"/>
          <w:sz w:val="24"/>
        </w:rPr>
        <w:t>6.2.1评审方法。经磋商确定最终采购需求和提交最后报价的供应商后，由磋商小组采用综合评分法对提交最后报价的供应商的响应文件和最后报价进行综合评分。</w:t>
      </w:r>
    </w:p>
    <w:p w14:paraId="6B2E8BCB">
      <w:pPr>
        <w:tabs>
          <w:tab w:val="left" w:pos="900"/>
        </w:tabs>
        <w:spacing w:after="143" w:afterLines="50" w:line="560" w:lineRule="exact"/>
        <w:ind w:firstLine="477" w:firstLineChars="199"/>
        <w:rPr>
          <w:rFonts w:hint="eastAsia" w:ascii="宋体" w:hAnsi="宋体"/>
          <w:sz w:val="24"/>
        </w:rPr>
      </w:pPr>
      <w:r>
        <w:rPr>
          <w:rFonts w:hint="eastAsia" w:ascii="宋体" w:hAnsi="宋体"/>
          <w:sz w:val="24"/>
        </w:rPr>
        <w:t>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p>
    <w:p w14:paraId="73B5C961">
      <w:pPr>
        <w:tabs>
          <w:tab w:val="left" w:pos="900"/>
        </w:tabs>
        <w:spacing w:after="143" w:afterLines="50" w:line="560" w:lineRule="exact"/>
        <w:ind w:firstLine="477" w:firstLineChars="199"/>
        <w:rPr>
          <w:rFonts w:hint="eastAsia" w:ascii="宋体" w:hAnsi="宋体"/>
          <w:sz w:val="24"/>
        </w:rPr>
      </w:pPr>
      <w:r>
        <w:rPr>
          <w:rFonts w:hint="eastAsia" w:ascii="宋体" w:hAnsi="宋体"/>
          <w:sz w:val="24"/>
        </w:rPr>
        <w:t>6.2.2评审标准</w:t>
      </w:r>
    </w:p>
    <w:p w14:paraId="1FFB77F7">
      <w:pPr>
        <w:tabs>
          <w:tab w:val="left" w:pos="900"/>
        </w:tabs>
        <w:spacing w:after="143" w:afterLines="50" w:line="560" w:lineRule="exact"/>
        <w:ind w:firstLine="477" w:firstLineChars="199"/>
        <w:rPr>
          <w:rFonts w:hint="eastAsia" w:ascii="宋体" w:hAnsi="宋体"/>
          <w:sz w:val="24"/>
        </w:rPr>
      </w:pPr>
      <w:r>
        <w:rPr>
          <w:rFonts w:hint="eastAsia" w:ascii="宋体" w:hAnsi="宋体"/>
          <w:sz w:val="24"/>
        </w:rPr>
        <w:t>见本磋商文件第五章规定。</w:t>
      </w:r>
    </w:p>
    <w:p w14:paraId="0D35FD99">
      <w:pPr>
        <w:tabs>
          <w:tab w:val="left" w:pos="900"/>
        </w:tabs>
        <w:spacing w:after="143" w:afterLines="50" w:line="560" w:lineRule="exact"/>
        <w:ind w:firstLine="477" w:firstLineChars="199"/>
        <w:rPr>
          <w:rFonts w:hint="eastAsia" w:ascii="宋体" w:hAnsi="宋体"/>
          <w:sz w:val="24"/>
        </w:rPr>
      </w:pPr>
      <w:r>
        <w:rPr>
          <w:rFonts w:hint="eastAsia" w:ascii="宋体" w:hAnsi="宋体"/>
          <w:sz w:val="24"/>
        </w:rPr>
        <w:t>6.3采购活动终止的情况</w:t>
      </w:r>
    </w:p>
    <w:p w14:paraId="6B4E9944">
      <w:pPr>
        <w:tabs>
          <w:tab w:val="left" w:pos="900"/>
        </w:tabs>
        <w:spacing w:after="143" w:afterLines="50" w:line="560" w:lineRule="exact"/>
        <w:ind w:firstLine="477" w:firstLineChars="199"/>
        <w:rPr>
          <w:rFonts w:hint="eastAsia" w:ascii="宋体" w:hAnsi="宋体"/>
          <w:sz w:val="24"/>
        </w:rPr>
      </w:pPr>
      <w:r>
        <w:rPr>
          <w:rFonts w:hint="eastAsia" w:ascii="宋体" w:hAnsi="宋体"/>
          <w:sz w:val="24"/>
        </w:rPr>
        <w:t>出现下列情形之一的，本次竞争性磋商采购活动将被终止：</w:t>
      </w:r>
    </w:p>
    <w:p w14:paraId="415AB8DE">
      <w:pPr>
        <w:tabs>
          <w:tab w:val="left" w:pos="900"/>
        </w:tabs>
        <w:spacing w:after="143" w:afterLines="50" w:line="560" w:lineRule="exact"/>
        <w:ind w:firstLine="360" w:firstLineChars="150"/>
        <w:rPr>
          <w:rFonts w:hint="eastAsia" w:ascii="宋体" w:hAnsi="宋体"/>
          <w:sz w:val="24"/>
        </w:rPr>
      </w:pPr>
      <w:r>
        <w:rPr>
          <w:rFonts w:hint="eastAsia" w:ascii="宋体" w:hAnsi="宋体"/>
          <w:sz w:val="24"/>
        </w:rPr>
        <w:t>（1）因情况变化，不再符合规定的竞争性磋商采购方式适用情形的；</w:t>
      </w:r>
    </w:p>
    <w:p w14:paraId="5072FD88">
      <w:pPr>
        <w:tabs>
          <w:tab w:val="left" w:pos="900"/>
        </w:tabs>
        <w:spacing w:after="143" w:afterLines="50" w:line="560" w:lineRule="exact"/>
        <w:ind w:firstLine="360" w:firstLineChars="150"/>
        <w:rPr>
          <w:rFonts w:hint="eastAsia" w:ascii="宋体" w:hAnsi="宋体"/>
          <w:sz w:val="24"/>
        </w:rPr>
      </w:pPr>
      <w:r>
        <w:rPr>
          <w:rFonts w:hint="eastAsia" w:ascii="宋体" w:hAnsi="宋体"/>
          <w:sz w:val="24"/>
        </w:rPr>
        <w:t>（2）出现影响采购公正的违法、违规行为的；</w:t>
      </w:r>
    </w:p>
    <w:p w14:paraId="66751EEC">
      <w:pPr>
        <w:tabs>
          <w:tab w:val="left" w:pos="900"/>
        </w:tabs>
        <w:spacing w:after="143" w:afterLines="50" w:line="560" w:lineRule="exact"/>
        <w:ind w:firstLine="360" w:firstLineChars="150"/>
        <w:rPr>
          <w:rFonts w:hint="eastAsia" w:ascii="宋体" w:hAnsi="宋体"/>
          <w:sz w:val="24"/>
        </w:rPr>
      </w:pPr>
      <w:r>
        <w:rPr>
          <w:rFonts w:hint="eastAsia" w:ascii="宋体" w:hAnsi="宋体"/>
          <w:sz w:val="24"/>
        </w:rPr>
        <w:t>6.4 如出现递交磋商响应文件截止时间结束后参加磋商的供应商或者在评审期间符合要求或对磋商文件做出实质性响应的供应商不足规定数量情况，按政府采购相关规定执行。</w:t>
      </w:r>
    </w:p>
    <w:bookmarkEnd w:id="111"/>
    <w:bookmarkEnd w:id="112"/>
    <w:bookmarkEnd w:id="113"/>
    <w:p w14:paraId="36303FBE">
      <w:pPr>
        <w:tabs>
          <w:tab w:val="left" w:pos="900"/>
        </w:tabs>
        <w:spacing w:after="143" w:afterLines="50" w:line="560" w:lineRule="exact"/>
        <w:ind w:firstLine="479" w:firstLineChars="199"/>
        <w:rPr>
          <w:rFonts w:hint="eastAsia" w:ascii="宋体" w:hAnsi="宋体"/>
          <w:b/>
          <w:sz w:val="24"/>
        </w:rPr>
      </w:pPr>
      <w:r>
        <w:rPr>
          <w:rFonts w:hint="eastAsia" w:ascii="宋体" w:hAnsi="宋体"/>
          <w:b/>
          <w:sz w:val="24"/>
        </w:rPr>
        <w:t>五、成交</w:t>
      </w:r>
    </w:p>
    <w:p w14:paraId="740A2719">
      <w:pPr>
        <w:tabs>
          <w:tab w:val="left" w:pos="900"/>
        </w:tabs>
        <w:spacing w:after="143" w:afterLines="50" w:line="560" w:lineRule="exact"/>
        <w:ind w:firstLine="477" w:firstLineChars="199"/>
        <w:rPr>
          <w:rFonts w:hint="eastAsia" w:ascii="宋体" w:hAnsi="宋体"/>
          <w:sz w:val="24"/>
        </w:rPr>
      </w:pPr>
      <w:bookmarkStart w:id="114" w:name="_Toc513029238"/>
      <w:bookmarkStart w:id="115" w:name="_Toc20823310"/>
      <w:bookmarkStart w:id="116" w:name="_Toc16938554"/>
      <w:r>
        <w:rPr>
          <w:rFonts w:hint="eastAsia" w:ascii="宋体" w:hAnsi="宋体"/>
          <w:sz w:val="24"/>
        </w:rPr>
        <w:t>1、</w:t>
      </w:r>
      <w:bookmarkEnd w:id="114"/>
      <w:r>
        <w:rPr>
          <w:rFonts w:hint="eastAsia" w:ascii="宋体" w:hAnsi="宋体"/>
          <w:sz w:val="24"/>
        </w:rPr>
        <w:t>确定</w:t>
      </w:r>
      <w:bookmarkEnd w:id="115"/>
      <w:bookmarkEnd w:id="116"/>
      <w:r>
        <w:rPr>
          <w:rFonts w:hint="eastAsia" w:ascii="宋体" w:hAnsi="宋体"/>
          <w:sz w:val="24"/>
        </w:rPr>
        <w:t>成交单位</w:t>
      </w:r>
    </w:p>
    <w:p w14:paraId="448AEA6F">
      <w:pPr>
        <w:tabs>
          <w:tab w:val="left" w:pos="900"/>
        </w:tabs>
        <w:spacing w:after="143" w:afterLines="50" w:line="560" w:lineRule="exact"/>
        <w:ind w:firstLine="477" w:firstLineChars="199"/>
        <w:rPr>
          <w:rFonts w:hint="eastAsia" w:ascii="宋体" w:hAnsi="宋体"/>
          <w:sz w:val="24"/>
        </w:rPr>
      </w:pPr>
      <w:r>
        <w:rPr>
          <w:rFonts w:hint="eastAsia" w:ascii="宋体" w:hAnsi="宋体"/>
          <w:sz w:val="24"/>
        </w:rPr>
        <w:t>1.1磋商小组根据综合评分情况，按照评审得分由高到低顺序推荐不超过3名成交候选供应商，并编写评审报告。评审得分相同的，按照最后报价由低到高的顺序推荐。评审得分且最后报价相同的，按照技术指标优劣顺序推荐。</w:t>
      </w:r>
    </w:p>
    <w:p w14:paraId="20508403">
      <w:pPr>
        <w:tabs>
          <w:tab w:val="left" w:pos="900"/>
        </w:tabs>
        <w:spacing w:after="143" w:afterLines="50" w:line="560" w:lineRule="exact"/>
        <w:ind w:firstLine="477" w:firstLineChars="199"/>
        <w:rPr>
          <w:rFonts w:hint="eastAsia" w:ascii="宋体" w:hAnsi="宋体"/>
          <w:sz w:val="24"/>
        </w:rPr>
      </w:pPr>
      <w:r>
        <w:rPr>
          <w:rFonts w:hint="eastAsia" w:ascii="宋体" w:hAnsi="宋体"/>
          <w:sz w:val="24"/>
        </w:rPr>
        <w:t>1.2采购人根据磋商小组推荐的成交候选人顺序确定排名第一者即得分最高者为拟成交供应商。采购人确定拟成交供应商后，南京小旸树招标代理有限公司将在</w:t>
      </w:r>
      <w:r>
        <w:rPr>
          <w:rFonts w:hint="eastAsia" w:ascii="宋体" w:hAnsi="宋体"/>
          <w:sz w:val="24"/>
          <w:lang w:eastAsia="zh-CN"/>
        </w:rPr>
        <w:t>江苏政府采购网</w:t>
      </w:r>
      <w:r>
        <w:rPr>
          <w:rFonts w:hint="eastAsia" w:ascii="宋体" w:hAnsi="宋体"/>
          <w:sz w:val="24"/>
        </w:rPr>
        <w:t>发布成交结果公告，公告期限为1个工作日。</w:t>
      </w:r>
    </w:p>
    <w:p w14:paraId="4BE518D8">
      <w:pPr>
        <w:tabs>
          <w:tab w:val="left" w:pos="900"/>
        </w:tabs>
        <w:spacing w:after="143" w:afterLines="50" w:line="560" w:lineRule="exact"/>
        <w:ind w:firstLine="477" w:firstLineChars="199"/>
        <w:rPr>
          <w:rFonts w:hint="eastAsia" w:ascii="宋体" w:hAnsi="宋体"/>
          <w:sz w:val="24"/>
        </w:rPr>
      </w:pPr>
      <w:r>
        <w:rPr>
          <w:rFonts w:hint="eastAsia" w:ascii="宋体" w:hAnsi="宋体"/>
          <w:sz w:val="24"/>
        </w:rPr>
        <w:t>1.3若有充分证据证明，拟成交供应商出现下列情况之一的，一经查实，将被取消成交资格：</w:t>
      </w:r>
    </w:p>
    <w:p w14:paraId="2EF6E153">
      <w:pPr>
        <w:tabs>
          <w:tab w:val="left" w:pos="900"/>
        </w:tabs>
        <w:spacing w:after="143" w:afterLines="50" w:line="560" w:lineRule="exact"/>
        <w:ind w:firstLine="360" w:firstLineChars="150"/>
        <w:rPr>
          <w:rFonts w:hint="eastAsia" w:ascii="宋体" w:hAnsi="宋体"/>
          <w:sz w:val="24"/>
        </w:rPr>
      </w:pPr>
      <w:r>
        <w:rPr>
          <w:rFonts w:hint="eastAsia" w:ascii="宋体" w:hAnsi="宋体"/>
          <w:sz w:val="24"/>
        </w:rPr>
        <w:t>（1）提供虚假材料谋取成交的；</w:t>
      </w:r>
    </w:p>
    <w:p w14:paraId="502EF23C">
      <w:pPr>
        <w:tabs>
          <w:tab w:val="left" w:pos="900"/>
        </w:tabs>
        <w:spacing w:after="143" w:afterLines="50" w:line="560" w:lineRule="exact"/>
        <w:ind w:firstLine="360" w:firstLineChars="150"/>
        <w:rPr>
          <w:rFonts w:hint="eastAsia" w:ascii="宋体" w:hAnsi="宋体"/>
          <w:sz w:val="24"/>
        </w:rPr>
      </w:pPr>
      <w:r>
        <w:rPr>
          <w:rFonts w:hint="eastAsia" w:ascii="宋体" w:hAnsi="宋体"/>
          <w:sz w:val="24"/>
        </w:rPr>
        <w:t>（2）与评审专家、采购人、其他供应商或者南京小旸树招标代理有限公司工作人员恶意串通的；</w:t>
      </w:r>
    </w:p>
    <w:p w14:paraId="340FD3C5">
      <w:pPr>
        <w:tabs>
          <w:tab w:val="left" w:pos="900"/>
        </w:tabs>
        <w:spacing w:after="143" w:afterLines="50" w:line="560" w:lineRule="exact"/>
        <w:ind w:firstLine="360" w:firstLineChars="150"/>
        <w:rPr>
          <w:rFonts w:hint="eastAsia" w:ascii="宋体" w:hAnsi="宋体"/>
          <w:sz w:val="24"/>
        </w:rPr>
      </w:pPr>
      <w:r>
        <w:rPr>
          <w:rFonts w:hint="eastAsia" w:ascii="宋体" w:hAnsi="宋体"/>
          <w:sz w:val="24"/>
        </w:rPr>
        <w:t>（3）向评审专家、采购人或南京小旸树招标代理有限公司工作人员行贿或者提供其他不正当利益的；</w:t>
      </w:r>
    </w:p>
    <w:p w14:paraId="5E3BFC97">
      <w:pPr>
        <w:tabs>
          <w:tab w:val="left" w:pos="900"/>
        </w:tabs>
        <w:spacing w:after="143" w:afterLines="50" w:line="560" w:lineRule="exact"/>
        <w:ind w:firstLine="360" w:firstLineChars="150"/>
        <w:rPr>
          <w:rFonts w:hint="eastAsia" w:ascii="宋体" w:hAnsi="宋体"/>
          <w:sz w:val="24"/>
        </w:rPr>
      </w:pPr>
      <w:r>
        <w:rPr>
          <w:rFonts w:hint="eastAsia" w:ascii="宋体" w:hAnsi="宋体"/>
          <w:sz w:val="24"/>
        </w:rPr>
        <w:t>（4）恶意竞争，最终总报价明显低于其自身合理成本且又无法提供证明的；</w:t>
      </w:r>
    </w:p>
    <w:p w14:paraId="3E560665">
      <w:pPr>
        <w:tabs>
          <w:tab w:val="left" w:pos="900"/>
        </w:tabs>
        <w:spacing w:after="143" w:afterLines="50" w:line="560" w:lineRule="exact"/>
        <w:ind w:firstLine="360" w:firstLineChars="150"/>
        <w:rPr>
          <w:rFonts w:hint="eastAsia" w:ascii="宋体" w:hAnsi="宋体"/>
          <w:sz w:val="24"/>
        </w:rPr>
      </w:pPr>
      <w:r>
        <w:rPr>
          <w:rFonts w:hint="eastAsia" w:ascii="宋体" w:hAnsi="宋体"/>
          <w:sz w:val="24"/>
        </w:rPr>
        <w:t>（5）不满足本磋商文件规定的实质性要求，但在评审过程中又未被磋商小组发现的；</w:t>
      </w:r>
    </w:p>
    <w:p w14:paraId="05402CDB">
      <w:pPr>
        <w:tabs>
          <w:tab w:val="left" w:pos="900"/>
        </w:tabs>
        <w:spacing w:after="143" w:afterLines="50" w:line="560" w:lineRule="exact"/>
        <w:ind w:firstLine="360" w:firstLineChars="150"/>
        <w:rPr>
          <w:rFonts w:hint="eastAsia" w:ascii="宋体" w:hAnsi="宋体"/>
          <w:sz w:val="24"/>
        </w:rPr>
      </w:pPr>
      <w:r>
        <w:rPr>
          <w:rFonts w:hint="eastAsia" w:ascii="宋体" w:hAnsi="宋体"/>
          <w:sz w:val="24"/>
        </w:rPr>
        <w:t>（6）成交后无正当理由拒不与采购人签订政府采购合同或者未按照磋商文件确定的事项签订政府采购合同；</w:t>
      </w:r>
    </w:p>
    <w:p w14:paraId="0A059113">
      <w:pPr>
        <w:tabs>
          <w:tab w:val="left" w:pos="900"/>
        </w:tabs>
        <w:spacing w:after="143" w:afterLines="50" w:line="560" w:lineRule="exact"/>
        <w:ind w:firstLine="360" w:firstLineChars="150"/>
        <w:rPr>
          <w:rFonts w:hint="eastAsia" w:ascii="宋体" w:hAnsi="宋体"/>
          <w:sz w:val="24"/>
        </w:rPr>
      </w:pPr>
      <w:r>
        <w:rPr>
          <w:rFonts w:hint="eastAsia" w:ascii="宋体" w:hAnsi="宋体"/>
          <w:sz w:val="24"/>
        </w:rPr>
        <w:t>（7）将政府采购合同转包；</w:t>
      </w:r>
    </w:p>
    <w:p w14:paraId="129B2C45">
      <w:pPr>
        <w:tabs>
          <w:tab w:val="left" w:pos="900"/>
        </w:tabs>
        <w:spacing w:after="143" w:afterLines="50" w:line="560" w:lineRule="exact"/>
        <w:ind w:firstLine="360" w:firstLineChars="150"/>
        <w:rPr>
          <w:rFonts w:hint="eastAsia" w:ascii="宋体" w:hAnsi="宋体"/>
          <w:sz w:val="24"/>
        </w:rPr>
      </w:pPr>
      <w:r>
        <w:rPr>
          <w:rFonts w:hint="eastAsia" w:ascii="宋体" w:hAnsi="宋体"/>
          <w:sz w:val="24"/>
        </w:rPr>
        <w:t>（8）法律、法规、规章规定的属于成交无效的其他情形。</w:t>
      </w:r>
    </w:p>
    <w:p w14:paraId="65FE068A">
      <w:pPr>
        <w:spacing w:line="560" w:lineRule="exact"/>
        <w:ind w:firstLine="480" w:firstLineChars="200"/>
        <w:rPr>
          <w:rFonts w:hint="eastAsia" w:ascii="宋体" w:hAnsi="宋体"/>
          <w:sz w:val="24"/>
        </w:rPr>
      </w:pPr>
      <w:r>
        <w:rPr>
          <w:rFonts w:ascii="宋体" w:hAnsi="宋体"/>
          <w:sz w:val="24"/>
        </w:rPr>
        <w:t>2</w:t>
      </w:r>
      <w:r>
        <w:rPr>
          <w:rFonts w:hint="eastAsia" w:ascii="宋体" w:hAnsi="宋体"/>
          <w:sz w:val="24"/>
        </w:rPr>
        <w:t>、质疑处理</w:t>
      </w:r>
    </w:p>
    <w:p w14:paraId="5D4DD42B">
      <w:pPr>
        <w:spacing w:line="560" w:lineRule="exact"/>
        <w:ind w:firstLine="480" w:firstLineChars="200"/>
        <w:rPr>
          <w:rFonts w:ascii="宋体"/>
          <w:iCs/>
          <w:sz w:val="24"/>
          <w:szCs w:val="22"/>
        </w:rPr>
      </w:pPr>
      <w:r>
        <w:rPr>
          <w:rFonts w:ascii="宋体"/>
          <w:iCs/>
          <w:sz w:val="24"/>
          <w:szCs w:val="22"/>
        </w:rPr>
        <w:t>2</w:t>
      </w:r>
      <w:r>
        <w:rPr>
          <w:rFonts w:hint="eastAsia" w:ascii="宋体"/>
          <w:iCs/>
          <w:sz w:val="24"/>
          <w:szCs w:val="22"/>
        </w:rPr>
        <w:t>.1投标人认为采购文件、采购过程和采购结果使自己的权益受到损害的，可以在知道或应知其权益受到损害之日起七个工作日内，以书面形式向南京小旸树招标代理有限公司或采购人提出质疑。上述应知其权益受到损害之日，是指：</w:t>
      </w:r>
    </w:p>
    <w:p w14:paraId="0DD14F04">
      <w:pPr>
        <w:spacing w:line="560" w:lineRule="exact"/>
        <w:ind w:firstLine="720" w:firstLineChars="300"/>
        <w:rPr>
          <w:rFonts w:ascii="宋体"/>
          <w:iCs/>
          <w:sz w:val="24"/>
          <w:szCs w:val="22"/>
        </w:rPr>
      </w:pPr>
      <w:r>
        <w:rPr>
          <w:rFonts w:ascii="宋体"/>
          <w:iCs/>
          <w:sz w:val="24"/>
          <w:szCs w:val="22"/>
        </w:rPr>
        <w:t>2</w:t>
      </w:r>
      <w:r>
        <w:rPr>
          <w:rFonts w:hint="eastAsia" w:ascii="宋体"/>
          <w:iCs/>
          <w:sz w:val="24"/>
          <w:szCs w:val="22"/>
        </w:rPr>
        <w:t>.1.1对可以质疑的采购文件提出质疑的，为收到采购文件之日；</w:t>
      </w:r>
    </w:p>
    <w:p w14:paraId="31D0F451">
      <w:pPr>
        <w:spacing w:line="560" w:lineRule="exact"/>
        <w:ind w:firstLine="480" w:firstLineChars="200"/>
        <w:rPr>
          <w:rFonts w:ascii="宋体"/>
          <w:iCs/>
          <w:sz w:val="24"/>
          <w:szCs w:val="22"/>
        </w:rPr>
      </w:pPr>
      <w:r>
        <w:rPr>
          <w:rFonts w:hint="eastAsia" w:ascii="宋体"/>
          <w:iCs/>
          <w:sz w:val="24"/>
          <w:szCs w:val="22"/>
        </w:rPr>
        <w:t>　</w:t>
      </w:r>
      <w:r>
        <w:rPr>
          <w:rFonts w:ascii="宋体"/>
          <w:iCs/>
          <w:sz w:val="24"/>
          <w:szCs w:val="22"/>
        </w:rPr>
        <w:t>2</w:t>
      </w:r>
      <w:r>
        <w:rPr>
          <w:rFonts w:hint="eastAsia" w:ascii="宋体"/>
          <w:iCs/>
          <w:sz w:val="24"/>
          <w:szCs w:val="22"/>
        </w:rPr>
        <w:t>.1.2对采购过程提出质疑的，为各采购程序环节结束之日；</w:t>
      </w:r>
    </w:p>
    <w:p w14:paraId="3839932E">
      <w:pPr>
        <w:spacing w:line="560" w:lineRule="exact"/>
        <w:ind w:firstLine="480" w:firstLineChars="200"/>
        <w:rPr>
          <w:rFonts w:ascii="宋体"/>
          <w:iCs/>
          <w:sz w:val="24"/>
          <w:szCs w:val="22"/>
        </w:rPr>
      </w:pPr>
      <w:r>
        <w:rPr>
          <w:rFonts w:hint="eastAsia" w:ascii="宋体"/>
          <w:iCs/>
          <w:sz w:val="24"/>
          <w:szCs w:val="22"/>
        </w:rPr>
        <w:t>　</w:t>
      </w:r>
      <w:r>
        <w:rPr>
          <w:rFonts w:ascii="宋体"/>
          <w:iCs/>
          <w:sz w:val="24"/>
          <w:szCs w:val="22"/>
        </w:rPr>
        <w:t>2</w:t>
      </w:r>
      <w:r>
        <w:rPr>
          <w:rFonts w:hint="eastAsia" w:ascii="宋体"/>
          <w:iCs/>
          <w:sz w:val="24"/>
          <w:szCs w:val="22"/>
        </w:rPr>
        <w:t>.1.3对中标或者中标结果提出质疑的，为中标或者中标结果公告期限届满之日。</w:t>
      </w:r>
    </w:p>
    <w:p w14:paraId="13D017B1">
      <w:pPr>
        <w:spacing w:line="560" w:lineRule="exact"/>
        <w:ind w:firstLine="480" w:firstLineChars="200"/>
        <w:rPr>
          <w:rFonts w:ascii="宋体"/>
          <w:iCs/>
          <w:sz w:val="24"/>
          <w:szCs w:val="22"/>
        </w:rPr>
      </w:pPr>
      <w:r>
        <w:rPr>
          <w:rFonts w:ascii="宋体"/>
          <w:iCs/>
          <w:sz w:val="24"/>
          <w:szCs w:val="22"/>
        </w:rPr>
        <w:t>2</w:t>
      </w:r>
      <w:r>
        <w:rPr>
          <w:rFonts w:hint="eastAsia" w:ascii="宋体"/>
          <w:iCs/>
          <w:sz w:val="24"/>
          <w:szCs w:val="22"/>
        </w:rPr>
        <w:t>.2质疑必须按《政府采购法》 《政府采购法实施条例》及《政府采购质疑和投诉办法》《江苏省政府采购信用管理暂行办法》《政府采购质疑处理流程》的相关规定提交，未按上述要求提交的质疑函（含传真、电子邮件等）南京小旸树招标代理有限公司有权不予受理。</w:t>
      </w:r>
    </w:p>
    <w:p w14:paraId="31299BD2">
      <w:pPr>
        <w:spacing w:line="560" w:lineRule="exact"/>
        <w:ind w:firstLine="480" w:firstLineChars="200"/>
        <w:rPr>
          <w:rFonts w:ascii="宋体"/>
          <w:iCs/>
          <w:sz w:val="24"/>
          <w:szCs w:val="22"/>
        </w:rPr>
      </w:pPr>
      <w:r>
        <w:rPr>
          <w:rFonts w:ascii="宋体"/>
          <w:iCs/>
          <w:sz w:val="24"/>
          <w:szCs w:val="22"/>
        </w:rPr>
        <w:t>2</w:t>
      </w:r>
      <w:r>
        <w:rPr>
          <w:rFonts w:hint="eastAsia" w:ascii="宋体"/>
          <w:iCs/>
          <w:sz w:val="24"/>
          <w:szCs w:val="22"/>
        </w:rPr>
        <w:t>.3未参加投标活动的供应商或在投标活动中自身权益未受到损害的供应商所提出的质疑不予受理。</w:t>
      </w:r>
    </w:p>
    <w:p w14:paraId="244B9BCF">
      <w:pPr>
        <w:spacing w:line="560" w:lineRule="exact"/>
        <w:ind w:firstLine="480" w:firstLineChars="200"/>
        <w:rPr>
          <w:rFonts w:ascii="宋体"/>
          <w:iCs/>
          <w:sz w:val="24"/>
          <w:szCs w:val="22"/>
        </w:rPr>
      </w:pPr>
      <w:r>
        <w:rPr>
          <w:rFonts w:ascii="宋体"/>
          <w:iCs/>
          <w:sz w:val="24"/>
          <w:szCs w:val="22"/>
        </w:rPr>
        <w:t>2</w:t>
      </w:r>
      <w:r>
        <w:rPr>
          <w:rFonts w:hint="eastAsia" w:ascii="宋体"/>
          <w:iCs/>
          <w:sz w:val="24"/>
          <w:szCs w:val="22"/>
        </w:rPr>
        <w:t>.4质疑函应当包括下列内容：</w:t>
      </w:r>
    </w:p>
    <w:p w14:paraId="03A529D9">
      <w:pPr>
        <w:spacing w:line="560" w:lineRule="exact"/>
        <w:ind w:firstLine="480" w:firstLineChars="200"/>
        <w:rPr>
          <w:rFonts w:ascii="宋体"/>
          <w:iCs/>
          <w:sz w:val="24"/>
          <w:szCs w:val="22"/>
        </w:rPr>
      </w:pPr>
      <w:r>
        <w:rPr>
          <w:rFonts w:ascii="宋体"/>
          <w:iCs/>
          <w:sz w:val="24"/>
          <w:szCs w:val="22"/>
        </w:rPr>
        <w:t>2</w:t>
      </w:r>
      <w:r>
        <w:rPr>
          <w:rFonts w:hint="eastAsia" w:ascii="宋体"/>
          <w:iCs/>
          <w:sz w:val="24"/>
          <w:szCs w:val="22"/>
        </w:rPr>
        <w:t>.4.1质疑投标人的名称、地址、邮编、联系人、联系电话；</w:t>
      </w:r>
    </w:p>
    <w:p w14:paraId="72430E8B">
      <w:pPr>
        <w:spacing w:line="560" w:lineRule="exact"/>
        <w:ind w:firstLine="480" w:firstLineChars="200"/>
        <w:rPr>
          <w:rFonts w:ascii="宋体"/>
          <w:iCs/>
          <w:sz w:val="24"/>
          <w:szCs w:val="22"/>
        </w:rPr>
      </w:pPr>
      <w:r>
        <w:rPr>
          <w:rFonts w:ascii="宋体"/>
          <w:iCs/>
          <w:sz w:val="24"/>
          <w:szCs w:val="22"/>
        </w:rPr>
        <w:t>2</w:t>
      </w:r>
      <w:r>
        <w:rPr>
          <w:rFonts w:hint="eastAsia" w:ascii="宋体"/>
          <w:iCs/>
          <w:sz w:val="24"/>
          <w:szCs w:val="22"/>
        </w:rPr>
        <w:t>.4.2具体、明确的质疑事项及明确的请求；</w:t>
      </w:r>
    </w:p>
    <w:p w14:paraId="1191EADA">
      <w:pPr>
        <w:spacing w:line="560" w:lineRule="exact"/>
        <w:ind w:firstLine="480" w:firstLineChars="200"/>
        <w:rPr>
          <w:rFonts w:ascii="宋体"/>
          <w:iCs/>
          <w:sz w:val="24"/>
          <w:szCs w:val="22"/>
        </w:rPr>
      </w:pPr>
      <w:r>
        <w:rPr>
          <w:rFonts w:ascii="宋体"/>
          <w:iCs/>
          <w:sz w:val="24"/>
          <w:szCs w:val="22"/>
        </w:rPr>
        <w:t>2</w:t>
      </w:r>
      <w:r>
        <w:rPr>
          <w:rFonts w:hint="eastAsia" w:ascii="宋体"/>
          <w:iCs/>
          <w:sz w:val="24"/>
          <w:szCs w:val="22"/>
        </w:rPr>
        <w:t>.4.3认为自己合法权益受到损害或可能受到损害的相关事实依据、必要的法律依据以及证据材料；</w:t>
      </w:r>
    </w:p>
    <w:p w14:paraId="25EB6684">
      <w:pPr>
        <w:spacing w:line="560" w:lineRule="exact"/>
        <w:ind w:firstLine="480" w:firstLineChars="200"/>
        <w:rPr>
          <w:rFonts w:ascii="宋体"/>
          <w:iCs/>
          <w:sz w:val="24"/>
          <w:szCs w:val="22"/>
        </w:rPr>
      </w:pPr>
      <w:r>
        <w:rPr>
          <w:rFonts w:ascii="宋体"/>
          <w:iCs/>
          <w:sz w:val="24"/>
          <w:szCs w:val="22"/>
        </w:rPr>
        <w:t>2</w:t>
      </w:r>
      <w:r>
        <w:rPr>
          <w:rFonts w:hint="eastAsia" w:ascii="宋体"/>
          <w:iCs/>
          <w:sz w:val="24"/>
          <w:szCs w:val="22"/>
        </w:rPr>
        <w:t>.4.4提起质疑的日期；</w:t>
      </w:r>
    </w:p>
    <w:p w14:paraId="52C8AE11">
      <w:pPr>
        <w:spacing w:line="560" w:lineRule="exact"/>
        <w:ind w:firstLine="480" w:firstLineChars="200"/>
        <w:rPr>
          <w:rFonts w:ascii="宋体"/>
          <w:iCs/>
          <w:sz w:val="24"/>
          <w:szCs w:val="22"/>
        </w:rPr>
      </w:pPr>
      <w:r>
        <w:rPr>
          <w:rFonts w:ascii="宋体"/>
          <w:iCs/>
          <w:sz w:val="24"/>
          <w:szCs w:val="22"/>
        </w:rPr>
        <w:t>2</w:t>
      </w:r>
      <w:r>
        <w:rPr>
          <w:rFonts w:hint="eastAsia" w:ascii="宋体"/>
          <w:iCs/>
          <w:sz w:val="24"/>
          <w:szCs w:val="22"/>
        </w:rPr>
        <w:t>.4.5质疑函应当署名：质疑人为自然人的，应当由本人签字并附有效身份证明；质疑人为法人或其他组织的，应当由法定代表人签字并加盖单位公章。质疑人委托代理质疑的，应当向南京小旸树招标代理有限公司提交授权委托书，并载明委托代理的具体权限和事项。</w:t>
      </w:r>
    </w:p>
    <w:p w14:paraId="77CAB364">
      <w:pPr>
        <w:spacing w:line="560" w:lineRule="exact"/>
        <w:ind w:firstLine="480" w:firstLineChars="200"/>
        <w:rPr>
          <w:rFonts w:ascii="宋体"/>
          <w:iCs/>
          <w:sz w:val="24"/>
          <w:szCs w:val="22"/>
        </w:rPr>
      </w:pPr>
      <w:r>
        <w:rPr>
          <w:rFonts w:ascii="宋体"/>
          <w:iCs/>
          <w:sz w:val="24"/>
          <w:szCs w:val="22"/>
        </w:rPr>
        <w:t>2</w:t>
      </w:r>
      <w:r>
        <w:rPr>
          <w:rFonts w:hint="eastAsia" w:ascii="宋体"/>
          <w:iCs/>
          <w:sz w:val="24"/>
          <w:szCs w:val="22"/>
        </w:rPr>
        <w:t>.5南京小旸树招标代理有限公司收到质疑函后，将对质疑的形式和内容进行审查，如质疑函内容、格式不符合规定，南京小旸树招标代理有限公司将告知质疑人进行补正。</w:t>
      </w:r>
    </w:p>
    <w:p w14:paraId="3650EEC7">
      <w:pPr>
        <w:spacing w:line="560" w:lineRule="exact"/>
        <w:ind w:firstLine="480" w:firstLineChars="200"/>
        <w:rPr>
          <w:rFonts w:ascii="宋体"/>
          <w:iCs/>
          <w:sz w:val="24"/>
          <w:szCs w:val="22"/>
        </w:rPr>
      </w:pPr>
      <w:r>
        <w:rPr>
          <w:rFonts w:hint="eastAsia" w:ascii="宋体"/>
          <w:iCs/>
          <w:sz w:val="24"/>
          <w:szCs w:val="22"/>
        </w:rPr>
        <w:t>2.6质疑人应当在法定质疑期限内进行补正并重新提交质疑函，拒不补正或者在法定期限内未重新提交质疑函的，为无效质疑，南京小旸树招标代理有限公司将不予受理。</w:t>
      </w:r>
    </w:p>
    <w:p w14:paraId="59E50E0D">
      <w:pPr>
        <w:spacing w:line="560" w:lineRule="exact"/>
        <w:ind w:firstLine="480" w:firstLineChars="200"/>
        <w:rPr>
          <w:rFonts w:ascii="宋体"/>
          <w:iCs/>
          <w:sz w:val="24"/>
          <w:szCs w:val="22"/>
        </w:rPr>
      </w:pPr>
      <w:r>
        <w:rPr>
          <w:rFonts w:hint="eastAsia" w:ascii="宋体"/>
          <w:iCs/>
          <w:sz w:val="24"/>
          <w:szCs w:val="22"/>
        </w:rPr>
        <w:t>2.7对于内容、格式符合规定的质疑函，南京小旸树招标代理有限公司应当在收到投标供应商的书面质疑后七个工作日内作出答复，并以书面形式通知质疑供应商和其他有关供应商，但答复的内容不得涉及商业秘密。</w:t>
      </w:r>
    </w:p>
    <w:p w14:paraId="4358E6AF">
      <w:pPr>
        <w:spacing w:line="560" w:lineRule="exact"/>
        <w:ind w:firstLine="480" w:firstLineChars="200"/>
        <w:rPr>
          <w:rFonts w:ascii="宋体"/>
          <w:iCs/>
          <w:sz w:val="24"/>
          <w:szCs w:val="22"/>
        </w:rPr>
      </w:pPr>
      <w:r>
        <w:rPr>
          <w:rFonts w:hint="eastAsia" w:ascii="宋体"/>
          <w:iCs/>
          <w:sz w:val="24"/>
          <w:szCs w:val="22"/>
        </w:rPr>
        <w:t>2.8投标人提出书面质疑必须有理、有据，不得恶意质疑或提交虚假质疑。否则，一经查实，南京小旸树招标代理有限公司有权依据政府采购的有关规定，报请政府采购监管部门对该投标人进行相应的行政处罚。</w:t>
      </w:r>
    </w:p>
    <w:p w14:paraId="449698DF">
      <w:pPr>
        <w:pStyle w:val="50"/>
        <w:rPr>
          <w:rFonts w:hAnsi="Calibri" w:eastAsia="宋体"/>
          <w:iCs/>
          <w:kern w:val="2"/>
          <w:szCs w:val="22"/>
          <w:lang w:eastAsia="zh-CN"/>
        </w:rPr>
      </w:pPr>
      <w:r>
        <w:rPr>
          <w:rFonts w:hint="eastAsia" w:hAnsi="Calibri" w:eastAsia="宋体"/>
          <w:iCs/>
          <w:kern w:val="2"/>
          <w:szCs w:val="22"/>
          <w:lang w:eastAsia="zh-CN"/>
        </w:rPr>
        <w:t>3. 成交通知书</w:t>
      </w:r>
    </w:p>
    <w:p w14:paraId="60737FEC">
      <w:pPr>
        <w:pStyle w:val="50"/>
        <w:rPr>
          <w:rFonts w:hAnsi="Calibri" w:eastAsia="宋体"/>
          <w:iCs/>
          <w:kern w:val="2"/>
          <w:szCs w:val="22"/>
          <w:lang w:eastAsia="zh-CN"/>
        </w:rPr>
      </w:pPr>
      <w:r>
        <w:rPr>
          <w:rFonts w:hint="eastAsia" w:hAnsi="Calibri" w:eastAsia="宋体"/>
          <w:iCs/>
          <w:kern w:val="2"/>
          <w:szCs w:val="22"/>
          <w:lang w:eastAsia="zh-CN"/>
        </w:rPr>
        <w:t>3.l 成交结果确定后，南京小旸树招标代理有限公司将通知成交供应商前往本公司现场领取签收成交通知书。</w:t>
      </w:r>
    </w:p>
    <w:p w14:paraId="49FF6391">
      <w:pPr>
        <w:pStyle w:val="50"/>
        <w:rPr>
          <w:rFonts w:hAnsi="Calibri" w:eastAsia="宋体"/>
          <w:iCs/>
          <w:kern w:val="2"/>
          <w:szCs w:val="22"/>
          <w:lang w:eastAsia="zh-CN"/>
        </w:rPr>
      </w:pPr>
      <w:r>
        <w:rPr>
          <w:rFonts w:hint="eastAsia" w:hAnsi="Calibri" w:eastAsia="宋体"/>
          <w:iCs/>
          <w:kern w:val="2"/>
          <w:szCs w:val="22"/>
          <w:lang w:eastAsia="zh-CN"/>
        </w:rPr>
        <w:t>3.2 成交供应商若不能现场领取成交通知书的，也可提供准确详细的收件人信息，由我公司在收到收件人信息后1个工作日内提供顺丰到付寄送服务。</w:t>
      </w:r>
    </w:p>
    <w:p w14:paraId="659B7B8E">
      <w:pPr>
        <w:pStyle w:val="50"/>
        <w:rPr>
          <w:rFonts w:hAnsi="Calibri" w:eastAsia="宋体"/>
          <w:iCs/>
          <w:kern w:val="2"/>
          <w:szCs w:val="22"/>
          <w:lang w:eastAsia="zh-CN"/>
        </w:rPr>
      </w:pPr>
      <w:r>
        <w:rPr>
          <w:rFonts w:hint="eastAsia" w:hAnsi="Calibri" w:eastAsia="宋体"/>
          <w:iCs/>
          <w:kern w:val="2"/>
          <w:szCs w:val="22"/>
          <w:lang w:eastAsia="zh-CN"/>
        </w:rPr>
        <w:t>3.3成交通知书将是合同的一个组成部分。对采购人和成交供应商均具有法律效力。成交通知书发出后，采购人改变成交结果的，或者成交供应商放弃成交项目的，应当依法承担法律责任。</w:t>
      </w:r>
    </w:p>
    <w:p w14:paraId="18DFD42D">
      <w:pPr>
        <w:tabs>
          <w:tab w:val="left" w:pos="900"/>
        </w:tabs>
        <w:spacing w:after="143" w:afterLines="50" w:line="560" w:lineRule="exact"/>
        <w:ind w:firstLine="479" w:firstLineChars="199"/>
        <w:rPr>
          <w:rFonts w:hint="eastAsia" w:ascii="宋体" w:hAnsi="宋体"/>
          <w:b/>
          <w:sz w:val="24"/>
        </w:rPr>
      </w:pPr>
      <w:bookmarkStart w:id="117" w:name="_Toc16938553"/>
      <w:bookmarkStart w:id="118" w:name="_Toc20823309"/>
      <w:bookmarkStart w:id="119" w:name="_Toc513029237"/>
      <w:r>
        <w:rPr>
          <w:rFonts w:hint="eastAsia" w:ascii="宋体" w:hAnsi="宋体"/>
          <w:b/>
          <w:sz w:val="24"/>
        </w:rPr>
        <w:t>六、合同签订相关事项</w:t>
      </w:r>
    </w:p>
    <w:p w14:paraId="5DDB70CD">
      <w:pPr>
        <w:tabs>
          <w:tab w:val="left" w:pos="900"/>
        </w:tabs>
        <w:spacing w:after="143" w:afterLines="50" w:line="560" w:lineRule="exact"/>
        <w:ind w:firstLine="477" w:firstLineChars="199"/>
        <w:rPr>
          <w:rFonts w:hint="eastAsia" w:ascii="宋体" w:hAnsi="宋体"/>
          <w:sz w:val="24"/>
        </w:rPr>
      </w:pPr>
      <w:r>
        <w:rPr>
          <w:rFonts w:hint="eastAsia" w:ascii="宋体" w:hAnsi="宋体"/>
          <w:sz w:val="24"/>
        </w:rPr>
        <w:t>1、签订合同</w:t>
      </w:r>
    </w:p>
    <w:p w14:paraId="468359FD">
      <w:pPr>
        <w:tabs>
          <w:tab w:val="left" w:pos="900"/>
        </w:tabs>
        <w:spacing w:after="143" w:afterLines="50" w:line="560" w:lineRule="exact"/>
        <w:ind w:firstLine="477" w:firstLineChars="199"/>
        <w:rPr>
          <w:rFonts w:hint="eastAsia" w:ascii="宋体" w:hAnsi="宋体"/>
          <w:sz w:val="24"/>
        </w:rPr>
      </w:pPr>
      <w:r>
        <w:rPr>
          <w:rFonts w:hint="eastAsia" w:ascii="宋体" w:hAnsi="宋体"/>
          <w:sz w:val="24"/>
        </w:rPr>
        <w:t>1.l成交供应商确定后，南京小旸树招标代理有限公司将向成交供应商发出成交通知书。成交供应商应按成交通知书规定的时间、地点,按照磋商文件确定的事项与采购人签订政府采购合同，且不得迟于成交通知书发出之日起三十日内，否则由此给采购人造成损失的，成交供应商还应承担赔偿责任。</w:t>
      </w:r>
    </w:p>
    <w:p w14:paraId="38201FDE">
      <w:pPr>
        <w:tabs>
          <w:tab w:val="left" w:pos="900"/>
        </w:tabs>
        <w:spacing w:after="143" w:afterLines="50" w:line="560" w:lineRule="exact"/>
        <w:ind w:firstLine="480" w:firstLineChars="200"/>
        <w:rPr>
          <w:rFonts w:hint="eastAsia" w:ascii="宋体" w:hAnsi="宋体"/>
          <w:sz w:val="24"/>
        </w:rPr>
      </w:pPr>
      <w:r>
        <w:rPr>
          <w:rFonts w:hint="eastAsia" w:ascii="宋体" w:hAnsi="宋体"/>
          <w:sz w:val="24"/>
        </w:rPr>
        <w:t>1.2 磋商文件、成交供应商的响应文件及磋商采购过程中有关澄清、承诺文件均应作为合同附件。</w:t>
      </w:r>
    </w:p>
    <w:p w14:paraId="43736323">
      <w:pPr>
        <w:tabs>
          <w:tab w:val="left" w:pos="900"/>
        </w:tabs>
        <w:spacing w:after="143" w:afterLines="50" w:line="560" w:lineRule="exact"/>
        <w:ind w:firstLine="477" w:firstLineChars="199"/>
        <w:rPr>
          <w:rFonts w:hint="eastAsia" w:ascii="宋体" w:hAnsi="宋体"/>
          <w:sz w:val="24"/>
        </w:rPr>
      </w:pPr>
      <w:r>
        <w:rPr>
          <w:rFonts w:hint="eastAsia" w:ascii="宋体" w:hAnsi="宋体"/>
          <w:sz w:val="24"/>
        </w:rPr>
        <w:t>★1.3 签订合同后，</w:t>
      </w:r>
      <w:r>
        <w:rPr>
          <w:rFonts w:hint="eastAsia" w:ascii="宋体" w:hAnsi="宋体"/>
          <w:iCs/>
          <w:sz w:val="24"/>
        </w:rPr>
        <w:t>成交供应商不得将成交产品或服务进行转包。</w:t>
      </w:r>
      <w:r>
        <w:rPr>
          <w:rFonts w:hint="eastAsia" w:ascii="宋体" w:hAnsi="宋体"/>
          <w:sz w:val="24"/>
        </w:rPr>
        <w:t>未经采购人同意，成交供应商也不得采用分包的形式履行合同，否则采购人有权终止合同，并有权追回已支付的所有款项。转包或分包造成采购人损失或使采购人支出费用（包括但不限于诉讼费、仲裁费、鉴定费、律师代理费等）的，成交供应商应承担相应赔偿责任。</w:t>
      </w:r>
    </w:p>
    <w:p w14:paraId="3CAF073D">
      <w:pPr>
        <w:spacing w:line="560" w:lineRule="exact"/>
        <w:ind w:firstLine="480" w:firstLineChars="200"/>
        <w:rPr>
          <w:rFonts w:ascii="宋体"/>
          <w:iCs/>
          <w:sz w:val="24"/>
          <w:szCs w:val="22"/>
        </w:rPr>
      </w:pPr>
      <w:bookmarkStart w:id="120" w:name="_Hlk87195799"/>
      <w:r>
        <w:rPr>
          <w:rFonts w:hint="eastAsia" w:ascii="宋体"/>
          <w:iCs/>
          <w:sz w:val="24"/>
          <w:szCs w:val="22"/>
        </w:rPr>
        <w:t>2、货物和服务的追加和添购</w:t>
      </w:r>
    </w:p>
    <w:p w14:paraId="21B57A9D">
      <w:pPr>
        <w:spacing w:line="560" w:lineRule="exact"/>
        <w:ind w:firstLine="480" w:firstLineChars="200"/>
        <w:rPr>
          <w:rFonts w:ascii="宋体"/>
          <w:iCs/>
          <w:sz w:val="24"/>
          <w:szCs w:val="22"/>
        </w:rPr>
      </w:pPr>
      <w:r>
        <w:rPr>
          <w:rFonts w:hint="eastAsia" w:ascii="宋体"/>
          <w:iCs/>
          <w:sz w:val="24"/>
          <w:szCs w:val="22"/>
        </w:rPr>
        <w:t>2.1政府采购合同履行中，采购人需追加与合同标的相同的货物和服务的，在不改变合同其他条款的前提下，可以与中标人协商签订补充合同，但所有补充合同的采购金额不超过原合同金额10%。</w:t>
      </w:r>
    </w:p>
    <w:p w14:paraId="4A2DAF81">
      <w:pPr>
        <w:pStyle w:val="50"/>
        <w:rPr>
          <w:rFonts w:hint="eastAsia" w:eastAsiaTheme="minorEastAsia"/>
          <w:lang w:eastAsia="zh-CN"/>
        </w:rPr>
      </w:pPr>
    </w:p>
    <w:p w14:paraId="55B2B2DE">
      <w:pPr>
        <w:pStyle w:val="50"/>
        <w:rPr>
          <w:rFonts w:hint="eastAsia" w:eastAsiaTheme="minorEastAsia"/>
          <w:lang w:eastAsia="zh-CN"/>
        </w:rPr>
      </w:pPr>
    </w:p>
    <w:p w14:paraId="4384C1AB">
      <w:pPr>
        <w:pStyle w:val="50"/>
        <w:rPr>
          <w:rFonts w:hint="eastAsia" w:eastAsiaTheme="minorEastAsia"/>
          <w:lang w:eastAsia="zh-CN"/>
        </w:rPr>
      </w:pPr>
    </w:p>
    <w:p w14:paraId="5706A0D9">
      <w:pPr>
        <w:pStyle w:val="50"/>
        <w:rPr>
          <w:rFonts w:hint="eastAsia" w:eastAsiaTheme="minorEastAsia"/>
          <w:lang w:eastAsia="zh-CN"/>
        </w:rPr>
      </w:pPr>
    </w:p>
    <w:p w14:paraId="34559BF8">
      <w:pPr>
        <w:pStyle w:val="50"/>
        <w:rPr>
          <w:rFonts w:hint="eastAsia" w:eastAsiaTheme="minorEastAsia"/>
          <w:lang w:eastAsia="zh-CN"/>
        </w:rPr>
      </w:pPr>
    </w:p>
    <w:p w14:paraId="534D4B97">
      <w:pPr>
        <w:pStyle w:val="50"/>
        <w:rPr>
          <w:rFonts w:hint="eastAsia" w:eastAsiaTheme="minorEastAsia"/>
          <w:lang w:eastAsia="zh-CN"/>
        </w:rPr>
      </w:pPr>
    </w:p>
    <w:p w14:paraId="5759B92B">
      <w:pPr>
        <w:pStyle w:val="50"/>
        <w:rPr>
          <w:rFonts w:hint="eastAsia" w:eastAsiaTheme="minorEastAsia"/>
          <w:lang w:eastAsia="zh-CN"/>
        </w:rPr>
      </w:pPr>
    </w:p>
    <w:p w14:paraId="2821943E">
      <w:pPr>
        <w:pStyle w:val="50"/>
        <w:rPr>
          <w:rFonts w:hint="eastAsia" w:eastAsiaTheme="minorEastAsia"/>
          <w:lang w:eastAsia="zh-CN"/>
        </w:rPr>
      </w:pPr>
    </w:p>
    <w:p w14:paraId="2B40DE66">
      <w:pPr>
        <w:pStyle w:val="50"/>
        <w:rPr>
          <w:rFonts w:hint="eastAsia" w:eastAsiaTheme="minorEastAsia"/>
          <w:lang w:eastAsia="zh-CN"/>
        </w:rPr>
      </w:pPr>
    </w:p>
    <w:bookmarkEnd w:id="117"/>
    <w:bookmarkEnd w:id="118"/>
    <w:bookmarkEnd w:id="119"/>
    <w:bookmarkEnd w:id="120"/>
    <w:p w14:paraId="72A0BAA8">
      <w:bookmarkStart w:id="121" w:name="_Toc163660779"/>
      <w:r>
        <w:rPr>
          <w:rFonts w:hint="eastAsia"/>
        </w:rPr>
        <w:br w:type="page"/>
      </w:r>
    </w:p>
    <w:p w14:paraId="1B25A370">
      <w:pPr>
        <w:pStyle w:val="37"/>
      </w:pPr>
      <w:r>
        <w:rPr>
          <w:rFonts w:hint="eastAsia"/>
        </w:rPr>
        <w:t>第三章 合同条款</w:t>
      </w:r>
      <w:bookmarkEnd w:id="121"/>
    </w:p>
    <w:p w14:paraId="0DFBC274">
      <w:pPr>
        <w:spacing w:line="560" w:lineRule="exact"/>
        <w:ind w:firstLine="480" w:firstLineChars="200"/>
        <w:rPr>
          <w:rFonts w:hint="eastAsia" w:ascii="宋体" w:hAnsi="宋体"/>
          <w:bCs/>
          <w:sz w:val="24"/>
        </w:rPr>
      </w:pPr>
      <w:r>
        <w:rPr>
          <w:rFonts w:hint="eastAsia" w:ascii="宋体" w:hAnsi="宋体"/>
          <w:bCs/>
          <w:sz w:val="24"/>
        </w:rPr>
        <w:t>以下为成交后签定本项目合同的通用条款，成交供应商不得提出实质性的修改，关于专用条款将由采购人与成交供应商结合本项目具体情况协商后签订。</w:t>
      </w:r>
    </w:p>
    <w:p w14:paraId="0E5F898D">
      <w:pPr>
        <w:widowControl/>
        <w:spacing w:line="360" w:lineRule="auto"/>
        <w:ind w:firstLine="480" w:firstLineChars="200"/>
        <w:rPr>
          <w:rFonts w:hint="eastAsia" w:ascii="宋体" w:hAnsi="宋体" w:cs="等线 Light"/>
          <w:kern w:val="0"/>
          <w:sz w:val="24"/>
          <w:szCs w:val="22"/>
        </w:rPr>
      </w:pPr>
      <w:r>
        <w:rPr>
          <w:rFonts w:hint="eastAsia" w:ascii="宋体" w:hAnsi="宋体" w:cs="等线 Light"/>
          <w:kern w:val="0"/>
          <w:sz w:val="24"/>
          <w:szCs w:val="22"/>
        </w:rPr>
        <w:t>甲方：</w:t>
      </w:r>
    </w:p>
    <w:p w14:paraId="022C9C8D">
      <w:pPr>
        <w:widowControl/>
        <w:spacing w:line="360" w:lineRule="auto"/>
        <w:ind w:firstLine="480" w:firstLineChars="200"/>
        <w:rPr>
          <w:rFonts w:hint="eastAsia" w:ascii="宋体" w:hAnsi="宋体" w:cs="等线 Light"/>
          <w:kern w:val="0"/>
          <w:sz w:val="24"/>
          <w:szCs w:val="22"/>
        </w:rPr>
      </w:pPr>
      <w:r>
        <w:rPr>
          <w:rFonts w:hint="eastAsia" w:ascii="宋体" w:hAnsi="宋体" w:cs="等线 Light"/>
          <w:kern w:val="0"/>
          <w:sz w:val="24"/>
          <w:szCs w:val="22"/>
        </w:rPr>
        <w:t>乙方：</w:t>
      </w:r>
    </w:p>
    <w:p w14:paraId="047E74CA">
      <w:pPr>
        <w:widowControl/>
        <w:spacing w:line="360" w:lineRule="auto"/>
        <w:ind w:firstLine="480" w:firstLineChars="200"/>
        <w:rPr>
          <w:rFonts w:hint="eastAsia" w:ascii="宋体" w:hAnsi="宋体" w:cs="等线 Light"/>
          <w:kern w:val="0"/>
          <w:sz w:val="24"/>
          <w:szCs w:val="22"/>
        </w:rPr>
      </w:pPr>
      <w:r>
        <w:rPr>
          <w:rFonts w:hint="eastAsia" w:ascii="宋体" w:hAnsi="宋体" w:cs="宋体"/>
          <w:kern w:val="0"/>
          <w:sz w:val="24"/>
          <w:szCs w:val="22"/>
        </w:rPr>
        <w:t>根据《中华人民共和国政府采购法》《中华人民共和国民法典》等法律法规的规定，甲乙双方按照政府采购磋商结果签订本合同。</w:t>
      </w:r>
    </w:p>
    <w:p w14:paraId="02531945">
      <w:pPr>
        <w:widowControl/>
        <w:spacing w:line="360" w:lineRule="auto"/>
        <w:rPr>
          <w:rFonts w:hint="eastAsia" w:ascii="宋体" w:hAnsi="宋体" w:cs="等线 Light"/>
          <w:kern w:val="0"/>
          <w:sz w:val="24"/>
          <w:szCs w:val="22"/>
        </w:rPr>
      </w:pPr>
      <w:r>
        <w:rPr>
          <w:rFonts w:hint="eastAsia" w:ascii="宋体" w:hAnsi="宋体" w:cs="宋体"/>
          <w:b/>
          <w:kern w:val="0"/>
          <w:sz w:val="24"/>
          <w:szCs w:val="22"/>
        </w:rPr>
        <w:t>第一条</w:t>
      </w:r>
      <w:r>
        <w:rPr>
          <w:rFonts w:hint="eastAsia" w:ascii="宋体" w:hAnsi="宋体" w:cs="等线 Light"/>
          <w:b/>
          <w:kern w:val="0"/>
          <w:sz w:val="24"/>
          <w:szCs w:val="22"/>
        </w:rPr>
        <w:t xml:space="preserve"> </w:t>
      </w:r>
      <w:r>
        <w:rPr>
          <w:rFonts w:hint="eastAsia" w:ascii="宋体" w:hAnsi="宋体" w:cs="宋体"/>
          <w:b/>
          <w:kern w:val="0"/>
          <w:sz w:val="24"/>
          <w:szCs w:val="22"/>
        </w:rPr>
        <w:t>合同标的</w:t>
      </w:r>
      <w:r>
        <w:rPr>
          <w:rFonts w:hint="eastAsia" w:ascii="宋体" w:hAnsi="宋体" w:cs="等线 Light"/>
          <w:kern w:val="0"/>
          <w:sz w:val="24"/>
          <w:szCs w:val="22"/>
        </w:rPr>
        <w:t xml:space="preserve"> </w:t>
      </w:r>
      <w:r>
        <w:rPr>
          <w:rFonts w:hint="eastAsia" w:ascii="宋体" w:hAnsi="宋体" w:cs="宋体"/>
          <w:kern w:val="0"/>
          <w:sz w:val="24"/>
          <w:szCs w:val="22"/>
        </w:rPr>
        <w:t>乙方根据甲方需求提供下列服务：</w:t>
      </w:r>
      <w:r>
        <w:rPr>
          <w:rFonts w:hint="eastAsia" w:ascii="宋体" w:hAnsi="宋体" w:cs="等线 Light"/>
          <w:kern w:val="0"/>
          <w:sz w:val="24"/>
          <w:szCs w:val="22"/>
          <w:u w:val="single"/>
        </w:rPr>
        <w:t xml:space="preserve"> </w:t>
      </w:r>
      <w:r>
        <w:rPr>
          <w:rFonts w:hint="eastAsia" w:ascii="宋体" w:hAnsi="宋体" w:cs="宋体"/>
          <w:kern w:val="0"/>
          <w:sz w:val="24"/>
          <w:szCs w:val="22"/>
          <w:u w:val="single"/>
        </w:rPr>
        <w:t xml:space="preserve">      </w:t>
      </w:r>
      <w:r>
        <w:rPr>
          <w:rFonts w:hint="eastAsia" w:ascii="宋体" w:hAnsi="宋体" w:cs="宋体"/>
          <w:kern w:val="0"/>
          <w:sz w:val="24"/>
          <w:szCs w:val="22"/>
        </w:rPr>
        <w:t>（详见乙方响应文件）。</w:t>
      </w:r>
    </w:p>
    <w:p w14:paraId="48FD12CB">
      <w:pPr>
        <w:widowControl/>
        <w:spacing w:line="360" w:lineRule="auto"/>
        <w:rPr>
          <w:rFonts w:hint="eastAsia" w:ascii="宋体" w:hAnsi="宋体" w:cs="等线 Light"/>
          <w:kern w:val="0"/>
          <w:sz w:val="24"/>
          <w:szCs w:val="22"/>
        </w:rPr>
      </w:pPr>
      <w:r>
        <w:rPr>
          <w:rFonts w:hint="eastAsia" w:ascii="宋体" w:hAnsi="宋体" w:cs="宋体"/>
          <w:b/>
          <w:kern w:val="0"/>
          <w:sz w:val="24"/>
          <w:szCs w:val="22"/>
        </w:rPr>
        <w:t>第二条</w:t>
      </w:r>
      <w:r>
        <w:rPr>
          <w:rFonts w:hint="eastAsia" w:ascii="宋体" w:hAnsi="宋体" w:cs="等线 Light"/>
          <w:b/>
          <w:kern w:val="0"/>
          <w:sz w:val="24"/>
          <w:szCs w:val="22"/>
        </w:rPr>
        <w:t xml:space="preserve"> </w:t>
      </w:r>
      <w:r>
        <w:rPr>
          <w:rFonts w:hint="eastAsia" w:ascii="宋体" w:hAnsi="宋体" w:cs="宋体"/>
          <w:b/>
          <w:kern w:val="0"/>
          <w:sz w:val="24"/>
          <w:szCs w:val="22"/>
        </w:rPr>
        <w:t>合同总价款</w:t>
      </w:r>
      <w:r>
        <w:rPr>
          <w:rFonts w:hint="eastAsia" w:ascii="宋体" w:hAnsi="宋体" w:cs="等线 Light"/>
          <w:kern w:val="0"/>
          <w:sz w:val="24"/>
          <w:szCs w:val="22"/>
        </w:rPr>
        <w:t xml:space="preserve"> </w:t>
      </w:r>
      <w:r>
        <w:rPr>
          <w:rFonts w:hint="eastAsia" w:ascii="宋体" w:hAnsi="宋体" w:cs="宋体"/>
          <w:kern w:val="0"/>
          <w:sz w:val="24"/>
          <w:szCs w:val="22"/>
        </w:rPr>
        <w:t>本合同项下人民币总价款为</w:t>
      </w:r>
      <w:r>
        <w:rPr>
          <w:rFonts w:hint="eastAsia" w:ascii="宋体" w:hAnsi="宋体" w:cs="等线 Light"/>
          <w:kern w:val="0"/>
          <w:sz w:val="24"/>
          <w:szCs w:val="22"/>
        </w:rPr>
        <w:t>___________</w:t>
      </w:r>
      <w:r>
        <w:rPr>
          <w:rFonts w:hint="eastAsia" w:ascii="宋体" w:hAnsi="宋体" w:cs="宋体"/>
          <w:kern w:val="0"/>
          <w:sz w:val="24"/>
          <w:szCs w:val="22"/>
        </w:rPr>
        <w:t>（大写）人民币</w:t>
      </w:r>
      <w:r>
        <w:rPr>
          <w:rFonts w:hint="eastAsia" w:ascii="宋体" w:hAnsi="宋体" w:cs="宋体"/>
          <w:kern w:val="0"/>
          <w:sz w:val="24"/>
          <w:szCs w:val="22"/>
          <w:u w:val="single"/>
        </w:rPr>
        <w:t xml:space="preserve">（￥ </w:t>
      </w:r>
      <w:r>
        <w:rPr>
          <w:rFonts w:ascii="宋体" w:hAnsi="宋体" w:cs="宋体"/>
          <w:kern w:val="0"/>
          <w:sz w:val="24"/>
          <w:szCs w:val="22"/>
          <w:u w:val="single"/>
        </w:rPr>
        <w:t xml:space="preserve">      </w:t>
      </w:r>
      <w:r>
        <w:rPr>
          <w:rFonts w:hint="eastAsia" w:ascii="宋体" w:hAnsi="宋体" w:cs="宋体"/>
          <w:kern w:val="0"/>
          <w:sz w:val="24"/>
          <w:szCs w:val="22"/>
          <w:u w:val="single"/>
        </w:rPr>
        <w:t>）</w:t>
      </w:r>
      <w:r>
        <w:rPr>
          <w:rFonts w:hint="eastAsia" w:ascii="宋体" w:hAnsi="宋体" w:cs="宋体"/>
          <w:kern w:val="0"/>
          <w:sz w:val="24"/>
          <w:szCs w:val="22"/>
        </w:rPr>
        <w:t>。</w:t>
      </w:r>
    </w:p>
    <w:p w14:paraId="2FC6E32C">
      <w:pPr>
        <w:widowControl/>
        <w:spacing w:line="360" w:lineRule="auto"/>
        <w:ind w:firstLine="480" w:firstLineChars="200"/>
        <w:rPr>
          <w:rFonts w:hint="eastAsia" w:ascii="宋体" w:hAnsi="宋体" w:cs="宋体"/>
          <w:kern w:val="0"/>
          <w:sz w:val="24"/>
          <w:szCs w:val="22"/>
        </w:rPr>
      </w:pPr>
      <w:r>
        <w:rPr>
          <w:rFonts w:hint="eastAsia" w:ascii="宋体" w:hAnsi="宋体" w:cs="宋体"/>
          <w:kern w:val="0"/>
          <w:sz w:val="24"/>
          <w:szCs w:val="22"/>
        </w:rPr>
        <w:t>本合同总价款是完成本项目所发生的所有含税费用、支付给员工的工资和国家强制缴纳的各种社会保障资金，以及乙方认为履行本合同所需要的其他一切费用等。</w:t>
      </w:r>
    </w:p>
    <w:p w14:paraId="7C05E85F">
      <w:pPr>
        <w:widowControl/>
        <w:spacing w:line="360" w:lineRule="auto"/>
        <w:ind w:firstLine="480" w:firstLineChars="200"/>
        <w:rPr>
          <w:rFonts w:hint="eastAsia" w:ascii="宋体" w:hAnsi="宋体" w:cs="等线 Light"/>
          <w:kern w:val="0"/>
          <w:sz w:val="24"/>
          <w:szCs w:val="22"/>
        </w:rPr>
      </w:pPr>
      <w:r>
        <w:rPr>
          <w:rFonts w:hint="eastAsia" w:ascii="宋体" w:hAnsi="宋体" w:cs="宋体"/>
          <w:kern w:val="0"/>
          <w:sz w:val="24"/>
          <w:szCs w:val="22"/>
        </w:rPr>
        <w:t>本合同执行期间合同总价款不变。</w:t>
      </w:r>
    </w:p>
    <w:p w14:paraId="09B0791B">
      <w:pPr>
        <w:widowControl/>
        <w:spacing w:line="360" w:lineRule="auto"/>
        <w:rPr>
          <w:rFonts w:hint="eastAsia" w:ascii="宋体" w:hAnsi="宋体" w:cs="等线 Light"/>
          <w:kern w:val="0"/>
          <w:sz w:val="24"/>
          <w:szCs w:val="22"/>
        </w:rPr>
      </w:pPr>
      <w:r>
        <w:rPr>
          <w:rFonts w:hint="eastAsia" w:ascii="宋体" w:hAnsi="宋体" w:cs="等线 Light"/>
          <w:kern w:val="0"/>
          <w:sz w:val="24"/>
          <w:szCs w:val="22"/>
        </w:rPr>
        <w:t>第三条</w:t>
      </w:r>
      <w:r>
        <w:rPr>
          <w:rFonts w:hint="eastAsia" w:ascii="宋体" w:hAnsi="宋体" w:cs="宋体"/>
          <w:b/>
          <w:kern w:val="0"/>
          <w:sz w:val="24"/>
          <w:szCs w:val="22"/>
        </w:rPr>
        <w:t>组成本合同的有关文件</w:t>
      </w:r>
      <w:r>
        <w:rPr>
          <w:rFonts w:hint="eastAsia" w:ascii="宋体" w:hAnsi="宋体" w:cs="等线 Light"/>
          <w:kern w:val="0"/>
          <w:sz w:val="24"/>
          <w:szCs w:val="22"/>
        </w:rPr>
        <w:t xml:space="preserve"> </w:t>
      </w:r>
    </w:p>
    <w:p w14:paraId="5222A632">
      <w:pPr>
        <w:widowControl/>
        <w:spacing w:line="360" w:lineRule="auto"/>
        <w:ind w:firstLine="480" w:firstLineChars="200"/>
        <w:rPr>
          <w:rFonts w:hint="eastAsia" w:ascii="宋体" w:hAnsi="宋体" w:cs="等线 Light"/>
          <w:kern w:val="0"/>
          <w:sz w:val="24"/>
          <w:szCs w:val="22"/>
        </w:rPr>
      </w:pPr>
      <w:r>
        <w:rPr>
          <w:rFonts w:hint="eastAsia" w:ascii="宋体" w:hAnsi="宋体" w:cs="宋体"/>
          <w:kern w:val="0"/>
          <w:sz w:val="24"/>
          <w:szCs w:val="22"/>
        </w:rPr>
        <w:t xml:space="preserve">下列关于 </w:t>
      </w:r>
      <w:r>
        <w:rPr>
          <w:rFonts w:hint="eastAsia" w:ascii="宋体" w:hAnsi="宋体" w:cs="宋体"/>
          <w:kern w:val="0"/>
          <w:sz w:val="24"/>
          <w:szCs w:val="22"/>
          <w:u w:val="single"/>
        </w:rPr>
        <w:t xml:space="preserve">          </w:t>
      </w:r>
      <w:r>
        <w:rPr>
          <w:rFonts w:hint="eastAsia" w:ascii="宋体" w:hAnsi="宋体" w:cs="宋体"/>
          <w:kern w:val="0"/>
          <w:sz w:val="24"/>
          <w:szCs w:val="22"/>
        </w:rPr>
        <w:t>（项目编号）的竞争性磋商文件或与本次采购活动方式相适应的文件及有关附件是本合同不可分割的组成部分，与本合同具有同等法律效力，这些文件包括但不限于：</w:t>
      </w:r>
    </w:p>
    <w:p w14:paraId="164EBE82">
      <w:pPr>
        <w:widowControl/>
        <w:spacing w:line="360" w:lineRule="auto"/>
        <w:rPr>
          <w:rFonts w:hint="eastAsia" w:ascii="宋体" w:hAnsi="宋体" w:cs="等线 Light"/>
          <w:kern w:val="0"/>
          <w:sz w:val="24"/>
          <w:szCs w:val="22"/>
        </w:rPr>
      </w:pPr>
      <w:r>
        <w:rPr>
          <w:rFonts w:hint="eastAsia" w:ascii="宋体" w:hAnsi="宋体" w:cs="宋体"/>
          <w:kern w:val="0"/>
          <w:sz w:val="24"/>
          <w:szCs w:val="22"/>
        </w:rPr>
        <w:t>（</w:t>
      </w:r>
      <w:r>
        <w:rPr>
          <w:rFonts w:hint="eastAsia" w:ascii="宋体" w:hAnsi="宋体" w:cs="等线 Light"/>
          <w:kern w:val="0"/>
          <w:sz w:val="24"/>
          <w:szCs w:val="22"/>
        </w:rPr>
        <w:t>1</w:t>
      </w:r>
      <w:r>
        <w:rPr>
          <w:rFonts w:hint="eastAsia" w:ascii="宋体" w:hAnsi="宋体" w:cs="宋体"/>
          <w:kern w:val="0"/>
          <w:sz w:val="24"/>
          <w:szCs w:val="22"/>
        </w:rPr>
        <w:t>）乙方提供的响应文件和响应报价表；</w:t>
      </w:r>
    </w:p>
    <w:p w14:paraId="65EF3BBE">
      <w:pPr>
        <w:widowControl/>
        <w:spacing w:line="360" w:lineRule="auto"/>
        <w:rPr>
          <w:rFonts w:hint="eastAsia" w:ascii="宋体" w:hAnsi="宋体" w:cs="等线 Light"/>
          <w:kern w:val="0"/>
          <w:sz w:val="24"/>
          <w:szCs w:val="22"/>
        </w:rPr>
      </w:pPr>
      <w:r>
        <w:rPr>
          <w:rFonts w:hint="eastAsia" w:ascii="宋体" w:hAnsi="宋体" w:cs="宋体"/>
          <w:kern w:val="0"/>
          <w:sz w:val="24"/>
          <w:szCs w:val="22"/>
        </w:rPr>
        <w:t>（</w:t>
      </w:r>
      <w:r>
        <w:rPr>
          <w:rFonts w:hint="eastAsia" w:ascii="宋体" w:hAnsi="宋体" w:cs="等线 Light"/>
          <w:kern w:val="0"/>
          <w:sz w:val="24"/>
          <w:szCs w:val="22"/>
        </w:rPr>
        <w:t>2</w:t>
      </w:r>
      <w:r>
        <w:rPr>
          <w:rFonts w:hint="eastAsia" w:ascii="宋体" w:hAnsi="宋体" w:cs="宋体"/>
          <w:kern w:val="0"/>
          <w:sz w:val="24"/>
          <w:szCs w:val="22"/>
        </w:rPr>
        <w:t>）技术规格响应表；</w:t>
      </w:r>
    </w:p>
    <w:p w14:paraId="25D3E2E8">
      <w:pPr>
        <w:widowControl/>
        <w:spacing w:line="360" w:lineRule="auto"/>
        <w:rPr>
          <w:rFonts w:hint="eastAsia" w:ascii="宋体" w:hAnsi="宋体" w:cs="等线 Light"/>
          <w:kern w:val="0"/>
          <w:sz w:val="24"/>
          <w:szCs w:val="22"/>
        </w:rPr>
      </w:pPr>
      <w:r>
        <w:rPr>
          <w:rFonts w:hint="eastAsia" w:ascii="宋体" w:hAnsi="宋体" w:cs="宋体"/>
          <w:kern w:val="0"/>
          <w:sz w:val="24"/>
          <w:szCs w:val="22"/>
        </w:rPr>
        <w:t>（</w:t>
      </w:r>
      <w:r>
        <w:rPr>
          <w:rFonts w:hint="eastAsia" w:ascii="宋体" w:hAnsi="宋体" w:cs="等线 Light"/>
          <w:kern w:val="0"/>
          <w:sz w:val="24"/>
          <w:szCs w:val="22"/>
        </w:rPr>
        <w:t>3</w:t>
      </w:r>
      <w:r>
        <w:rPr>
          <w:rFonts w:hint="eastAsia" w:ascii="宋体" w:hAnsi="宋体" w:cs="宋体"/>
          <w:kern w:val="0"/>
          <w:sz w:val="24"/>
          <w:szCs w:val="22"/>
        </w:rPr>
        <w:t>）响应承诺</w:t>
      </w:r>
      <w:r>
        <w:rPr>
          <w:rFonts w:hint="eastAsia" w:ascii="宋体" w:hAnsi="宋体" w:cs="等线 Light"/>
          <w:kern w:val="0"/>
          <w:sz w:val="24"/>
          <w:szCs w:val="22"/>
        </w:rPr>
        <w:t>/</w:t>
      </w:r>
      <w:r>
        <w:rPr>
          <w:rFonts w:hint="eastAsia" w:ascii="宋体" w:hAnsi="宋体" w:cs="宋体"/>
          <w:kern w:val="0"/>
          <w:sz w:val="24"/>
          <w:szCs w:val="22"/>
        </w:rPr>
        <w:t>服务承诺；</w:t>
      </w:r>
    </w:p>
    <w:p w14:paraId="4CB4B3ED">
      <w:pPr>
        <w:widowControl/>
        <w:spacing w:line="360" w:lineRule="auto"/>
        <w:rPr>
          <w:rFonts w:hint="eastAsia" w:ascii="宋体" w:hAnsi="宋体" w:cs="等线 Light"/>
          <w:kern w:val="0"/>
          <w:sz w:val="24"/>
          <w:szCs w:val="22"/>
        </w:rPr>
      </w:pPr>
      <w:r>
        <w:rPr>
          <w:rFonts w:hint="eastAsia" w:ascii="宋体" w:hAnsi="宋体" w:cs="宋体"/>
          <w:kern w:val="0"/>
          <w:sz w:val="24"/>
          <w:szCs w:val="22"/>
        </w:rPr>
        <w:t>（</w:t>
      </w:r>
      <w:r>
        <w:rPr>
          <w:rFonts w:hint="eastAsia" w:ascii="宋体" w:hAnsi="宋体" w:cs="等线 Light"/>
          <w:kern w:val="0"/>
          <w:sz w:val="24"/>
          <w:szCs w:val="22"/>
        </w:rPr>
        <w:t>4</w:t>
      </w:r>
      <w:r>
        <w:rPr>
          <w:rFonts w:hint="eastAsia" w:ascii="宋体" w:hAnsi="宋体" w:cs="宋体"/>
          <w:kern w:val="0"/>
          <w:sz w:val="24"/>
          <w:szCs w:val="22"/>
        </w:rPr>
        <w:t>）成交通知书；</w:t>
      </w:r>
    </w:p>
    <w:p w14:paraId="4B67562D">
      <w:pPr>
        <w:widowControl/>
        <w:spacing w:line="360" w:lineRule="auto"/>
        <w:rPr>
          <w:rFonts w:hint="eastAsia" w:ascii="宋体" w:hAnsi="宋体" w:cs="宋体"/>
          <w:kern w:val="0"/>
          <w:sz w:val="24"/>
          <w:szCs w:val="22"/>
        </w:rPr>
      </w:pPr>
      <w:r>
        <w:rPr>
          <w:rFonts w:hint="eastAsia" w:ascii="宋体" w:hAnsi="宋体" w:cs="宋体"/>
          <w:kern w:val="0"/>
          <w:sz w:val="24"/>
          <w:szCs w:val="22"/>
        </w:rPr>
        <w:t>（</w:t>
      </w:r>
      <w:r>
        <w:rPr>
          <w:rFonts w:hint="eastAsia" w:ascii="宋体" w:hAnsi="宋体" w:cs="等线 Light"/>
          <w:kern w:val="0"/>
          <w:sz w:val="24"/>
          <w:szCs w:val="22"/>
        </w:rPr>
        <w:t>5</w:t>
      </w:r>
      <w:r>
        <w:rPr>
          <w:rFonts w:hint="eastAsia" w:ascii="宋体" w:hAnsi="宋体" w:cs="宋体"/>
          <w:kern w:val="0"/>
          <w:sz w:val="24"/>
          <w:szCs w:val="22"/>
        </w:rPr>
        <w:t>）甲乙双方商定的其他文件等。</w:t>
      </w:r>
    </w:p>
    <w:p w14:paraId="5661D656">
      <w:pPr>
        <w:pStyle w:val="50"/>
        <w:ind w:firstLine="0" w:firstLineChars="0"/>
        <w:rPr>
          <w:rFonts w:hint="eastAsia" w:eastAsia="宋体"/>
          <w:lang w:eastAsia="zh-CN"/>
        </w:rPr>
      </w:pPr>
      <w:r>
        <w:rPr>
          <w:rFonts w:hint="eastAsia" w:eastAsia="宋体"/>
          <w:lang w:eastAsia="zh-CN"/>
        </w:rPr>
        <w:t xml:space="preserve">    上述文件内容存在冲突时，以本合同约定内容为准，本合同内容未进行约定的，按照以下顺序进行履行：1、</w:t>
      </w:r>
      <w:r>
        <w:rPr>
          <w:rFonts w:hint="eastAsia" w:cs="宋体"/>
          <w:szCs w:val="22"/>
          <w:lang w:eastAsia="zh-CN"/>
        </w:rPr>
        <w:t>乙方提供的响应文件和响应报价表；</w:t>
      </w:r>
      <w:r>
        <w:rPr>
          <w:rFonts w:hint="eastAsia" w:eastAsia="宋体" w:cs="宋体"/>
          <w:szCs w:val="22"/>
          <w:lang w:eastAsia="zh-CN"/>
        </w:rPr>
        <w:t>2、招标文件；3、成交通知书。</w:t>
      </w:r>
    </w:p>
    <w:p w14:paraId="026880DB">
      <w:pPr>
        <w:widowControl/>
        <w:spacing w:line="360" w:lineRule="auto"/>
        <w:rPr>
          <w:rFonts w:hint="eastAsia" w:ascii="宋体" w:hAnsi="宋体" w:cs="宋体"/>
          <w:b/>
          <w:kern w:val="0"/>
          <w:sz w:val="24"/>
        </w:rPr>
      </w:pPr>
      <w:r>
        <w:rPr>
          <w:rFonts w:hint="eastAsia" w:ascii="宋体" w:hAnsi="宋体" w:cs="宋体"/>
          <w:b/>
          <w:kern w:val="0"/>
          <w:sz w:val="24"/>
        </w:rPr>
        <w:t>第四条</w:t>
      </w:r>
      <w:r>
        <w:rPr>
          <w:rFonts w:hint="eastAsia" w:ascii="宋体" w:hAnsi="宋体" w:cs="等线 Light"/>
          <w:b/>
          <w:kern w:val="0"/>
          <w:sz w:val="24"/>
        </w:rPr>
        <w:t xml:space="preserve"> </w:t>
      </w:r>
      <w:r>
        <w:rPr>
          <w:rFonts w:hint="eastAsia" w:ascii="宋体" w:hAnsi="宋体" w:cs="宋体"/>
          <w:b/>
          <w:kern w:val="0"/>
          <w:sz w:val="24"/>
        </w:rPr>
        <w:t>权利保证</w:t>
      </w:r>
    </w:p>
    <w:p w14:paraId="7E23FC57">
      <w:pPr>
        <w:widowControl/>
        <w:spacing w:line="360" w:lineRule="auto"/>
        <w:ind w:firstLine="480" w:firstLineChars="200"/>
        <w:rPr>
          <w:rFonts w:hint="eastAsia" w:ascii="宋体" w:hAnsi="宋体" w:cs="宋体"/>
          <w:kern w:val="0"/>
          <w:sz w:val="24"/>
        </w:rPr>
      </w:pPr>
      <w:r>
        <w:rPr>
          <w:rFonts w:hint="eastAsia" w:ascii="宋体" w:hAnsi="宋体" w:cs="宋体"/>
          <w:kern w:val="0"/>
          <w:sz w:val="24"/>
        </w:rPr>
        <w:t>1. 合同履行过程中，乙方未经甲方书面同意，不得将合同权利义务转让给第三方。</w:t>
      </w:r>
    </w:p>
    <w:p w14:paraId="45948AF2">
      <w:pPr>
        <w:widowControl/>
        <w:spacing w:line="360" w:lineRule="auto"/>
        <w:ind w:firstLine="480" w:firstLineChars="200"/>
        <w:rPr>
          <w:rFonts w:hint="eastAsia" w:ascii="宋体" w:hAnsi="宋体" w:cs="宋体"/>
          <w:kern w:val="0"/>
          <w:sz w:val="24"/>
        </w:rPr>
      </w:pPr>
      <w:r>
        <w:rPr>
          <w:rFonts w:hint="eastAsia" w:ascii="宋体" w:hAnsi="宋体" w:cs="宋体"/>
          <w:kern w:val="0"/>
          <w:sz w:val="24"/>
        </w:rPr>
        <w:t>2. 乙方应保证提供的服务及设备不存在所有权、抵押权、使用权、知识产权等权利瑕疵。</w:t>
      </w:r>
    </w:p>
    <w:p w14:paraId="6EA341B3">
      <w:pPr>
        <w:widowControl/>
        <w:spacing w:line="360" w:lineRule="auto"/>
        <w:rPr>
          <w:rFonts w:hint="eastAsia" w:ascii="宋体" w:hAnsi="宋体" w:cs="等线 Light"/>
          <w:b/>
          <w:kern w:val="0"/>
          <w:sz w:val="24"/>
        </w:rPr>
      </w:pPr>
      <w:r>
        <w:rPr>
          <w:rFonts w:hint="eastAsia" w:ascii="宋体" w:hAnsi="宋体" w:cs="宋体"/>
          <w:kern w:val="0"/>
          <w:sz w:val="24"/>
        </w:rPr>
        <w:t xml:space="preserve"> </w:t>
      </w:r>
      <w:r>
        <w:rPr>
          <w:rFonts w:hint="eastAsia" w:ascii="宋体" w:hAnsi="宋体" w:cs="宋体"/>
          <w:b/>
          <w:kern w:val="0"/>
          <w:sz w:val="24"/>
        </w:rPr>
        <w:t>第五条</w:t>
      </w:r>
      <w:r>
        <w:rPr>
          <w:rFonts w:hint="eastAsia" w:ascii="宋体" w:hAnsi="宋体" w:cs="等线 Light"/>
          <w:b/>
          <w:kern w:val="0"/>
          <w:sz w:val="24"/>
        </w:rPr>
        <w:t xml:space="preserve"> </w:t>
      </w:r>
      <w:r>
        <w:rPr>
          <w:rFonts w:hint="eastAsia" w:ascii="宋体" w:hAnsi="宋体" w:cs="宋体"/>
          <w:b/>
          <w:kern w:val="0"/>
          <w:sz w:val="24"/>
        </w:rPr>
        <w:t>质量保证</w:t>
      </w:r>
    </w:p>
    <w:p w14:paraId="081C5D6D">
      <w:pPr>
        <w:keepNext/>
        <w:keepLines/>
        <w:spacing w:before="280" w:after="290" w:line="376" w:lineRule="auto"/>
        <w:ind w:firstLine="480" w:firstLineChars="200"/>
        <w:outlineLvl w:val="3"/>
        <w:rPr>
          <w:rFonts w:hint="eastAsia" w:ascii="宋体" w:hAnsi="宋体" w:cs="宋体"/>
          <w:kern w:val="0"/>
          <w:sz w:val="24"/>
        </w:rPr>
      </w:pPr>
      <w:r>
        <w:rPr>
          <w:rFonts w:hint="eastAsia" w:ascii="宋体" w:hAnsi="宋体" w:cs="宋体"/>
          <w:kern w:val="0"/>
          <w:sz w:val="24"/>
        </w:rPr>
        <w:t>乙方所提供的服务的技术规格应与磋商文件规定的技术规格及所附的“技术条款偏离表”相一致；若技术性能无特殊说明，则按国家有关部门最新颁布的标准及规范为准。</w:t>
      </w:r>
    </w:p>
    <w:p w14:paraId="4338D991">
      <w:pPr>
        <w:widowControl/>
        <w:spacing w:line="360" w:lineRule="auto"/>
        <w:rPr>
          <w:rFonts w:hint="eastAsia" w:ascii="宋体" w:hAnsi="宋体" w:cs="等线 Light"/>
          <w:b/>
          <w:kern w:val="0"/>
          <w:sz w:val="24"/>
        </w:rPr>
      </w:pPr>
      <w:r>
        <w:rPr>
          <w:rFonts w:hint="eastAsia" w:ascii="宋体" w:hAnsi="宋体" w:cs="宋体"/>
          <w:b/>
          <w:kern w:val="0"/>
          <w:sz w:val="24"/>
        </w:rPr>
        <w:t>第六条</w:t>
      </w:r>
      <w:r>
        <w:rPr>
          <w:rFonts w:hint="eastAsia" w:ascii="宋体" w:hAnsi="宋体" w:cs="等线 Light"/>
          <w:b/>
          <w:kern w:val="0"/>
          <w:sz w:val="24"/>
        </w:rPr>
        <w:t xml:space="preserve"> </w:t>
      </w:r>
      <w:r>
        <w:rPr>
          <w:rFonts w:hint="eastAsia" w:ascii="宋体" w:hAnsi="宋体" w:cs="宋体"/>
          <w:b/>
          <w:kern w:val="0"/>
          <w:sz w:val="24"/>
        </w:rPr>
        <w:t>交付和验收</w:t>
      </w:r>
    </w:p>
    <w:p w14:paraId="76FF67A3">
      <w:pPr>
        <w:widowControl/>
        <w:spacing w:line="360" w:lineRule="auto"/>
        <w:ind w:firstLine="480" w:firstLineChars="200"/>
        <w:rPr>
          <w:rFonts w:hint="eastAsia" w:ascii="宋体" w:hAnsi="宋体" w:cs="等线 Light"/>
          <w:kern w:val="0"/>
          <w:sz w:val="24"/>
        </w:rPr>
      </w:pPr>
      <w:r>
        <w:rPr>
          <w:rFonts w:hint="eastAsia" w:ascii="宋体" w:hAnsi="宋体" w:cs="等线 Light"/>
          <w:kern w:val="0"/>
          <w:sz w:val="24"/>
        </w:rPr>
        <w:t>1</w:t>
      </w:r>
      <w:r>
        <w:rPr>
          <w:rFonts w:hint="eastAsia" w:ascii="宋体" w:hAnsi="宋体" w:cs="宋体"/>
          <w:kern w:val="0"/>
          <w:sz w:val="24"/>
        </w:rPr>
        <w:t>、交付（服务）期限：</w:t>
      </w:r>
      <w:r>
        <w:rPr>
          <w:rFonts w:hint="eastAsia" w:ascii="宋体" w:hAnsi="宋体" w:cs="宋体"/>
          <w:kern w:val="0"/>
          <w:sz w:val="24"/>
          <w:u w:val="single"/>
        </w:rPr>
        <w:t xml:space="preserve"> </w:t>
      </w:r>
      <w:r>
        <w:rPr>
          <w:rFonts w:ascii="宋体" w:hAnsi="宋体" w:cs="宋体"/>
          <w:kern w:val="0"/>
          <w:sz w:val="24"/>
          <w:u w:val="single"/>
        </w:rPr>
        <w:t xml:space="preserve">      </w:t>
      </w:r>
      <w:r>
        <w:rPr>
          <w:rFonts w:hint="eastAsia" w:ascii="宋体" w:hAnsi="宋体" w:cs="宋体"/>
          <w:kern w:val="0"/>
          <w:sz w:val="24"/>
        </w:rPr>
        <w:t>。</w:t>
      </w:r>
    </w:p>
    <w:p w14:paraId="3F37E1DC">
      <w:pPr>
        <w:widowControl/>
        <w:spacing w:line="360" w:lineRule="auto"/>
        <w:ind w:firstLine="480" w:firstLineChars="200"/>
        <w:rPr>
          <w:rFonts w:hint="eastAsia" w:ascii="宋体" w:hAnsi="宋体" w:cs="等线 Light"/>
          <w:kern w:val="0"/>
          <w:sz w:val="24"/>
        </w:rPr>
      </w:pPr>
      <w:r>
        <w:rPr>
          <w:rFonts w:hint="eastAsia" w:ascii="宋体" w:hAnsi="宋体" w:cs="等线 Light"/>
          <w:kern w:val="0"/>
          <w:sz w:val="24"/>
        </w:rPr>
        <w:t>2</w:t>
      </w:r>
      <w:r>
        <w:rPr>
          <w:rFonts w:hint="eastAsia" w:ascii="宋体" w:hAnsi="宋体" w:cs="宋体"/>
          <w:kern w:val="0"/>
          <w:sz w:val="24"/>
        </w:rPr>
        <w:t>、验收标准：按行业通行标准和乙方响应文件及承诺。</w:t>
      </w:r>
    </w:p>
    <w:p w14:paraId="5DE08252">
      <w:pPr>
        <w:widowControl/>
        <w:spacing w:line="360" w:lineRule="auto"/>
        <w:rPr>
          <w:rFonts w:hint="eastAsia" w:ascii="宋体" w:hAnsi="宋体" w:cs="宋体"/>
          <w:b/>
          <w:kern w:val="0"/>
          <w:sz w:val="24"/>
        </w:rPr>
      </w:pPr>
      <w:r>
        <w:rPr>
          <w:rFonts w:hint="eastAsia" w:ascii="宋体" w:hAnsi="宋体" w:cs="宋体"/>
          <w:b/>
          <w:kern w:val="0"/>
          <w:sz w:val="24"/>
        </w:rPr>
        <w:t>第七条</w:t>
      </w:r>
      <w:r>
        <w:rPr>
          <w:rFonts w:hint="eastAsia" w:ascii="宋体" w:hAnsi="宋体" w:cs="等线 Light"/>
          <w:b/>
          <w:kern w:val="0"/>
          <w:sz w:val="24"/>
        </w:rPr>
        <w:t xml:space="preserve"> </w:t>
      </w:r>
      <w:r>
        <w:rPr>
          <w:rFonts w:hint="eastAsia" w:ascii="宋体" w:hAnsi="宋体" w:cs="宋体"/>
          <w:b/>
          <w:kern w:val="0"/>
          <w:sz w:val="24"/>
        </w:rPr>
        <w:t>履约保证金</w:t>
      </w:r>
    </w:p>
    <w:p w14:paraId="08F475FC">
      <w:pPr>
        <w:widowControl/>
        <w:spacing w:line="360" w:lineRule="auto"/>
        <w:ind w:firstLine="480" w:firstLineChars="200"/>
        <w:rPr>
          <w:rFonts w:hint="eastAsia" w:ascii="宋体" w:hAnsi="宋体" w:cs="等线 Light"/>
          <w:kern w:val="0"/>
          <w:sz w:val="24"/>
          <w:u w:val="single"/>
        </w:rPr>
      </w:pPr>
      <w:r>
        <w:rPr>
          <w:rFonts w:hint="eastAsia" w:ascii="宋体" w:hAnsi="宋体" w:cs="等线 Light"/>
          <w:kern w:val="0"/>
          <w:sz w:val="24"/>
        </w:rPr>
        <w:t>1</w:t>
      </w:r>
      <w:r>
        <w:rPr>
          <w:rFonts w:hint="eastAsia" w:ascii="宋体" w:hAnsi="宋体" w:cs="宋体"/>
          <w:kern w:val="0"/>
          <w:sz w:val="24"/>
        </w:rPr>
        <w:t>、本次</w:t>
      </w:r>
      <w:r>
        <w:rPr>
          <w:rFonts w:hint="eastAsia" w:ascii="宋体" w:hAnsi="宋体" w:cs="宋体"/>
          <w:kern w:val="0"/>
          <w:sz w:val="24"/>
          <w:u w:val="single"/>
        </w:rPr>
        <w:t xml:space="preserve"> </w:t>
      </w:r>
      <w:r>
        <w:rPr>
          <w:rFonts w:ascii="宋体" w:hAnsi="宋体" w:cs="宋体"/>
          <w:kern w:val="0"/>
          <w:sz w:val="24"/>
          <w:u w:val="single"/>
        </w:rPr>
        <w:t xml:space="preserve">     </w:t>
      </w:r>
      <w:r>
        <w:rPr>
          <w:rFonts w:hint="eastAsia" w:ascii="宋体" w:hAnsi="宋体" w:cs="宋体"/>
          <w:kern w:val="0"/>
          <w:sz w:val="24"/>
        </w:rPr>
        <w:t xml:space="preserve">（收取/不收取）履约保证金，履约保证金金额为： </w:t>
      </w:r>
      <w:r>
        <w:rPr>
          <w:rFonts w:ascii="宋体" w:hAnsi="宋体" w:cs="宋体"/>
          <w:kern w:val="0"/>
          <w:sz w:val="24"/>
          <w:u w:val="single"/>
        </w:rPr>
        <w:t xml:space="preserve">          </w:t>
      </w:r>
    </w:p>
    <w:p w14:paraId="255EF122">
      <w:pPr>
        <w:widowControl/>
        <w:spacing w:line="360" w:lineRule="auto"/>
        <w:ind w:firstLine="480" w:firstLineChars="200"/>
        <w:rPr>
          <w:rFonts w:hint="eastAsia" w:ascii="宋体" w:hAnsi="宋体" w:cs="等线 Light"/>
          <w:kern w:val="0"/>
          <w:sz w:val="24"/>
        </w:rPr>
      </w:pPr>
      <w:r>
        <w:rPr>
          <w:rFonts w:hint="eastAsia" w:ascii="宋体" w:hAnsi="宋体" w:cs="等线 Light"/>
          <w:kern w:val="0"/>
          <w:sz w:val="24"/>
        </w:rPr>
        <w:t>2</w:t>
      </w:r>
      <w:r>
        <w:rPr>
          <w:rFonts w:hint="eastAsia" w:ascii="宋体" w:hAnsi="宋体" w:cs="宋体"/>
          <w:kern w:val="0"/>
          <w:sz w:val="24"/>
        </w:rPr>
        <w:t>、履约保证金的有效期为该项目免费维护期满时止。</w:t>
      </w:r>
    </w:p>
    <w:p w14:paraId="46555BC0">
      <w:pPr>
        <w:widowControl/>
        <w:spacing w:line="360" w:lineRule="auto"/>
        <w:ind w:firstLine="480" w:firstLineChars="200"/>
        <w:rPr>
          <w:rFonts w:hint="eastAsia" w:ascii="宋体" w:hAnsi="宋体" w:cs="等线 Light"/>
          <w:kern w:val="0"/>
          <w:sz w:val="24"/>
        </w:rPr>
      </w:pPr>
      <w:r>
        <w:rPr>
          <w:rFonts w:hint="eastAsia" w:ascii="宋体" w:hAnsi="宋体" w:cs="等线 Light"/>
          <w:kern w:val="0"/>
          <w:sz w:val="24"/>
        </w:rPr>
        <w:t>3</w:t>
      </w:r>
      <w:r>
        <w:rPr>
          <w:rFonts w:hint="eastAsia" w:ascii="宋体" w:hAnsi="宋体" w:cs="宋体"/>
          <w:kern w:val="0"/>
          <w:sz w:val="24"/>
        </w:rPr>
        <w:t>、如乙方未能履行合同规定的义务，甲方有权从履约保证金中取得补偿。</w:t>
      </w:r>
    </w:p>
    <w:p w14:paraId="53ADA9A5">
      <w:pPr>
        <w:widowControl/>
        <w:spacing w:line="360" w:lineRule="auto"/>
        <w:ind w:firstLine="480" w:firstLineChars="200"/>
        <w:rPr>
          <w:rFonts w:hint="eastAsia" w:ascii="宋体" w:hAnsi="宋体" w:cs="等线 Light"/>
          <w:kern w:val="0"/>
          <w:sz w:val="24"/>
        </w:rPr>
      </w:pPr>
      <w:r>
        <w:rPr>
          <w:rFonts w:hint="eastAsia" w:ascii="宋体" w:hAnsi="宋体" w:cs="等线 Light"/>
          <w:kern w:val="0"/>
          <w:sz w:val="24"/>
        </w:rPr>
        <w:t>4</w:t>
      </w:r>
      <w:r>
        <w:rPr>
          <w:rFonts w:hint="eastAsia" w:ascii="宋体" w:hAnsi="宋体" w:cs="宋体"/>
          <w:kern w:val="0"/>
          <w:sz w:val="24"/>
        </w:rPr>
        <w:t>、履约保证金扣除甲方应得的补偿后的余额在有效期满后七工作日内无息退还给乙方。</w:t>
      </w:r>
    </w:p>
    <w:p w14:paraId="4851F110">
      <w:pPr>
        <w:widowControl/>
        <w:spacing w:line="360" w:lineRule="auto"/>
        <w:rPr>
          <w:rFonts w:hint="eastAsia" w:ascii="宋体" w:hAnsi="宋体" w:cs="等线 Light"/>
          <w:b/>
          <w:kern w:val="0"/>
          <w:sz w:val="24"/>
        </w:rPr>
      </w:pPr>
      <w:r>
        <w:rPr>
          <w:rFonts w:hint="eastAsia" w:ascii="宋体" w:hAnsi="宋体" w:cs="宋体"/>
          <w:b/>
          <w:kern w:val="0"/>
          <w:sz w:val="24"/>
        </w:rPr>
        <w:t>第八条</w:t>
      </w:r>
      <w:r>
        <w:rPr>
          <w:rFonts w:hint="eastAsia" w:ascii="宋体" w:hAnsi="宋体" w:cs="等线 Light"/>
          <w:b/>
          <w:kern w:val="0"/>
          <w:sz w:val="24"/>
        </w:rPr>
        <w:t xml:space="preserve"> </w:t>
      </w:r>
      <w:r>
        <w:rPr>
          <w:rFonts w:hint="eastAsia" w:ascii="宋体" w:hAnsi="宋体" w:cs="宋体"/>
          <w:b/>
          <w:kern w:val="0"/>
          <w:sz w:val="24"/>
        </w:rPr>
        <w:t>合同款支付</w:t>
      </w:r>
    </w:p>
    <w:p w14:paraId="0A99CFA7">
      <w:pPr>
        <w:widowControl/>
        <w:spacing w:line="360" w:lineRule="auto"/>
        <w:ind w:firstLine="480" w:firstLineChars="200"/>
        <w:rPr>
          <w:rFonts w:hint="eastAsia" w:ascii="宋体" w:hAnsi="宋体" w:cs="等线 Light"/>
          <w:kern w:val="0"/>
          <w:sz w:val="24"/>
        </w:rPr>
      </w:pPr>
      <w:r>
        <w:rPr>
          <w:rFonts w:hint="eastAsia" w:ascii="宋体" w:hAnsi="宋体" w:cs="等线 Light"/>
          <w:kern w:val="0"/>
          <w:sz w:val="24"/>
        </w:rPr>
        <w:t>1</w:t>
      </w:r>
      <w:r>
        <w:rPr>
          <w:rFonts w:hint="eastAsia" w:ascii="宋体" w:hAnsi="宋体" w:cs="宋体"/>
          <w:kern w:val="0"/>
          <w:sz w:val="24"/>
        </w:rPr>
        <w:t>、本合同项下所有款项均以人民币支付。</w:t>
      </w:r>
    </w:p>
    <w:p w14:paraId="49BFEF2B">
      <w:pPr>
        <w:widowControl/>
        <w:spacing w:line="360" w:lineRule="auto"/>
        <w:ind w:firstLine="480" w:firstLineChars="200"/>
        <w:rPr>
          <w:rFonts w:hint="eastAsia" w:ascii="宋体" w:hAnsi="宋体" w:cs="等线 Light"/>
          <w:kern w:val="0"/>
          <w:sz w:val="24"/>
        </w:rPr>
      </w:pPr>
      <w:r>
        <w:rPr>
          <w:rFonts w:hint="eastAsia" w:ascii="宋体" w:hAnsi="宋体" w:cs="等线 Light"/>
          <w:kern w:val="0"/>
          <w:sz w:val="24"/>
        </w:rPr>
        <w:t>2</w:t>
      </w:r>
      <w:r>
        <w:rPr>
          <w:rFonts w:hint="eastAsia" w:ascii="宋体" w:hAnsi="宋体" w:cs="宋体"/>
          <w:kern w:val="0"/>
          <w:sz w:val="24"/>
        </w:rPr>
        <w:t>、本合同项下的采购资金由</w:t>
      </w:r>
      <w:bookmarkStart w:id="122" w:name="_Hlk80881534"/>
      <w:r>
        <w:rPr>
          <w:rFonts w:hint="eastAsia" w:ascii="宋体" w:hAnsi="宋体" w:cs="宋体"/>
          <w:kern w:val="0"/>
          <w:sz w:val="24"/>
        </w:rPr>
        <w:t>付款方</w:t>
      </w:r>
      <w:bookmarkEnd w:id="122"/>
      <w:r>
        <w:rPr>
          <w:rFonts w:hint="eastAsia" w:ascii="宋体" w:hAnsi="宋体" w:cs="宋体"/>
          <w:kern w:val="0"/>
          <w:sz w:val="24"/>
        </w:rPr>
        <w:t>自行支付，乙方应当先向付款方开具合法且符合甲方要求的增值税发票，否则甲方有权拒绝付款。</w:t>
      </w:r>
    </w:p>
    <w:p w14:paraId="6347129F">
      <w:pPr>
        <w:widowControl/>
        <w:spacing w:line="360" w:lineRule="auto"/>
        <w:ind w:firstLine="480" w:firstLineChars="200"/>
        <w:rPr>
          <w:rFonts w:hint="eastAsia" w:ascii="宋体" w:hAnsi="宋体" w:cs="宋体"/>
          <w:kern w:val="0"/>
          <w:sz w:val="24"/>
        </w:rPr>
      </w:pPr>
      <w:r>
        <w:rPr>
          <w:rFonts w:hint="eastAsia" w:ascii="宋体" w:hAnsi="宋体" w:cs="等线 Light"/>
          <w:kern w:val="0"/>
          <w:sz w:val="24"/>
        </w:rPr>
        <w:t>3</w:t>
      </w:r>
      <w:r>
        <w:rPr>
          <w:rFonts w:hint="eastAsia" w:ascii="宋体" w:hAnsi="宋体" w:cs="宋体"/>
          <w:kern w:val="0"/>
          <w:sz w:val="24"/>
        </w:rPr>
        <w:t>、</w:t>
      </w:r>
      <w:bookmarkStart w:id="123" w:name="_Hlk16758949"/>
      <w:r>
        <w:rPr>
          <w:rFonts w:hint="eastAsia" w:ascii="宋体" w:hAnsi="宋体" w:cs="宋体"/>
          <w:kern w:val="0"/>
          <w:sz w:val="24"/>
        </w:rPr>
        <w:t>付款方式及条件：</w:t>
      </w:r>
      <w:r>
        <w:rPr>
          <w:rFonts w:ascii="宋体" w:hAnsi="宋体" w:cs="宋体"/>
          <w:kern w:val="0"/>
          <w:sz w:val="24"/>
        </w:rPr>
        <w:t xml:space="preserve"> </w:t>
      </w:r>
    </w:p>
    <w:bookmarkEnd w:id="123"/>
    <w:p w14:paraId="38A23AF9">
      <w:pPr>
        <w:widowControl/>
        <w:spacing w:line="360" w:lineRule="auto"/>
        <w:rPr>
          <w:rFonts w:hint="eastAsia" w:ascii="宋体" w:hAnsi="宋体" w:cs="等线 Light"/>
          <w:b/>
          <w:kern w:val="0"/>
          <w:sz w:val="24"/>
        </w:rPr>
      </w:pPr>
      <w:r>
        <w:rPr>
          <w:rFonts w:hint="eastAsia" w:ascii="宋体" w:hAnsi="宋体" w:cs="宋体"/>
          <w:b/>
          <w:kern w:val="0"/>
          <w:sz w:val="24"/>
        </w:rPr>
        <w:t>第九条</w:t>
      </w:r>
      <w:r>
        <w:rPr>
          <w:rFonts w:hint="eastAsia" w:ascii="宋体" w:hAnsi="宋体" w:cs="等线 Light"/>
          <w:b/>
          <w:kern w:val="0"/>
          <w:sz w:val="24"/>
        </w:rPr>
        <w:t xml:space="preserve"> </w:t>
      </w:r>
      <w:r>
        <w:rPr>
          <w:rFonts w:hint="eastAsia" w:ascii="宋体" w:hAnsi="宋体" w:cs="宋体"/>
          <w:b/>
          <w:kern w:val="0"/>
          <w:sz w:val="24"/>
        </w:rPr>
        <w:t>违约责任</w:t>
      </w:r>
    </w:p>
    <w:p w14:paraId="42BD3ACC">
      <w:pPr>
        <w:widowControl/>
        <w:spacing w:line="360" w:lineRule="auto"/>
        <w:ind w:firstLine="480" w:firstLineChars="200"/>
        <w:rPr>
          <w:rFonts w:hint="eastAsia" w:ascii="宋体" w:hAnsi="宋体" w:cs="等线 Light"/>
          <w:kern w:val="0"/>
          <w:sz w:val="24"/>
        </w:rPr>
      </w:pPr>
      <w:r>
        <w:rPr>
          <w:rFonts w:hint="eastAsia" w:ascii="宋体" w:hAnsi="宋体" w:cs="宋体"/>
          <w:kern w:val="0"/>
          <w:sz w:val="24"/>
        </w:rPr>
        <w:t>１、付款方无正当理由拒付服务款的，由付款方向乙方支付合同总价款</w:t>
      </w:r>
      <w:r>
        <w:rPr>
          <w:rFonts w:hint="eastAsia" w:ascii="宋体" w:hAnsi="宋体" w:cs="等线 Light"/>
          <w:kern w:val="0"/>
          <w:sz w:val="24"/>
        </w:rPr>
        <w:t>5%的</w:t>
      </w:r>
      <w:r>
        <w:rPr>
          <w:rFonts w:hint="eastAsia" w:ascii="宋体" w:hAnsi="宋体" w:cs="宋体"/>
          <w:kern w:val="0"/>
          <w:sz w:val="24"/>
        </w:rPr>
        <w:t>违约金。</w:t>
      </w:r>
    </w:p>
    <w:p w14:paraId="708583DD">
      <w:pPr>
        <w:widowControl/>
        <w:spacing w:line="360" w:lineRule="auto"/>
        <w:ind w:firstLine="480" w:firstLineChars="200"/>
        <w:rPr>
          <w:rFonts w:hint="eastAsia" w:ascii="宋体" w:hAnsi="宋体" w:cs="等线 Light"/>
          <w:kern w:val="0"/>
          <w:sz w:val="24"/>
        </w:rPr>
      </w:pPr>
      <w:r>
        <w:rPr>
          <w:rFonts w:ascii="宋体" w:hAnsi="宋体" w:cs="宋体"/>
          <w:kern w:val="0"/>
          <w:sz w:val="24"/>
        </w:rPr>
        <w:t>２</w:t>
      </w:r>
      <w:r>
        <w:rPr>
          <w:rFonts w:hint="eastAsia" w:ascii="宋体" w:hAnsi="宋体" w:cs="宋体"/>
          <w:kern w:val="0"/>
          <w:sz w:val="24"/>
        </w:rPr>
        <w:t>、付款方无正当理由未按合同规定的期限向乙方支付服务款的，每逾期</w:t>
      </w:r>
      <w:r>
        <w:rPr>
          <w:rFonts w:hint="eastAsia" w:ascii="宋体" w:hAnsi="宋体" w:cs="等线 Light"/>
          <w:kern w:val="0"/>
          <w:sz w:val="24"/>
        </w:rPr>
        <w:t xml:space="preserve"> 1 </w:t>
      </w:r>
      <w:r>
        <w:rPr>
          <w:rFonts w:hint="eastAsia" w:ascii="宋体" w:hAnsi="宋体" w:cs="宋体"/>
          <w:kern w:val="0"/>
          <w:sz w:val="24"/>
        </w:rPr>
        <w:t>天，付款方向乙方支付欠款总额</w:t>
      </w:r>
      <w:r>
        <w:rPr>
          <w:rFonts w:hint="eastAsia" w:ascii="宋体" w:hAnsi="宋体" w:cs="等线 Light"/>
          <w:kern w:val="0"/>
          <w:sz w:val="24"/>
        </w:rPr>
        <w:t>5‰的</w:t>
      </w:r>
      <w:r>
        <w:rPr>
          <w:rFonts w:hint="eastAsia" w:ascii="宋体" w:hAnsi="宋体" w:cs="宋体"/>
          <w:kern w:val="0"/>
          <w:sz w:val="24"/>
        </w:rPr>
        <w:t>滞纳金，但累计滞纳金总额不得超过欠款总额的</w:t>
      </w:r>
      <w:r>
        <w:rPr>
          <w:rFonts w:hint="eastAsia" w:ascii="宋体" w:hAnsi="宋体" w:cs="等线 Light"/>
          <w:kern w:val="0"/>
          <w:sz w:val="24"/>
        </w:rPr>
        <w:t xml:space="preserve"> 5% </w:t>
      </w:r>
      <w:r>
        <w:rPr>
          <w:rFonts w:hint="eastAsia" w:ascii="宋体" w:hAnsi="宋体" w:cs="宋体"/>
          <w:kern w:val="0"/>
          <w:sz w:val="24"/>
        </w:rPr>
        <w:t>。</w:t>
      </w:r>
    </w:p>
    <w:p w14:paraId="4D20BABB">
      <w:pPr>
        <w:widowControl/>
        <w:spacing w:line="360" w:lineRule="auto"/>
        <w:ind w:firstLine="480" w:firstLineChars="200"/>
        <w:rPr>
          <w:rFonts w:hint="eastAsia" w:ascii="宋体" w:hAnsi="宋体" w:cs="等线 Light"/>
          <w:kern w:val="0"/>
          <w:sz w:val="24"/>
        </w:rPr>
      </w:pPr>
      <w:r>
        <w:rPr>
          <w:rFonts w:hint="eastAsia" w:ascii="宋体" w:hAnsi="宋体" w:cs="宋体"/>
          <w:kern w:val="0"/>
          <w:sz w:val="24"/>
        </w:rPr>
        <w:t>３、如乙方不能交付服务、完成售后服务的，付款方有权扣留全部履约保证金；同时乙方应向付款方支付合同总价</w:t>
      </w:r>
      <w:r>
        <w:rPr>
          <w:rFonts w:hint="eastAsia" w:ascii="宋体" w:hAnsi="宋体" w:cs="等线 Light"/>
          <w:kern w:val="0"/>
          <w:sz w:val="24"/>
        </w:rPr>
        <w:t>20%</w:t>
      </w:r>
      <w:r>
        <w:rPr>
          <w:rFonts w:hint="eastAsia" w:ascii="宋体" w:hAnsi="宋体" w:cs="宋体"/>
          <w:kern w:val="0"/>
          <w:sz w:val="24"/>
        </w:rPr>
        <w:t>的违约金。</w:t>
      </w:r>
    </w:p>
    <w:p w14:paraId="7BA8851A">
      <w:pPr>
        <w:widowControl/>
        <w:spacing w:line="360" w:lineRule="auto"/>
        <w:ind w:firstLine="480" w:firstLineChars="200"/>
        <w:rPr>
          <w:rFonts w:hint="eastAsia" w:ascii="宋体" w:hAnsi="宋体" w:cs="等线 Light"/>
          <w:kern w:val="0"/>
          <w:sz w:val="24"/>
        </w:rPr>
      </w:pPr>
      <w:r>
        <w:rPr>
          <w:rFonts w:hint="eastAsia" w:ascii="宋体" w:hAnsi="宋体" w:cs="宋体"/>
          <w:kern w:val="0"/>
          <w:sz w:val="24"/>
        </w:rPr>
        <w:t>４、乙方逾期交付的，每逾期</w:t>
      </w:r>
      <w:r>
        <w:rPr>
          <w:rFonts w:hint="eastAsia" w:ascii="宋体" w:hAnsi="宋体" w:cs="等线 Light"/>
          <w:kern w:val="0"/>
          <w:sz w:val="24"/>
        </w:rPr>
        <w:t xml:space="preserve"> 1 </w:t>
      </w:r>
      <w:r>
        <w:rPr>
          <w:rFonts w:hint="eastAsia" w:ascii="宋体" w:hAnsi="宋体" w:cs="宋体"/>
          <w:kern w:val="0"/>
          <w:sz w:val="24"/>
        </w:rPr>
        <w:t>天，乙方向付款方支付合同总价款</w:t>
      </w:r>
      <w:r>
        <w:rPr>
          <w:rFonts w:hint="eastAsia" w:ascii="宋体" w:hAnsi="宋体" w:cs="等线 Light"/>
          <w:kern w:val="0"/>
          <w:sz w:val="24"/>
        </w:rPr>
        <w:t xml:space="preserve"> 5‰</w:t>
      </w:r>
      <w:r>
        <w:rPr>
          <w:rFonts w:hint="eastAsia" w:ascii="宋体" w:hAnsi="宋体" w:cs="宋体"/>
          <w:kern w:val="0"/>
          <w:sz w:val="24"/>
        </w:rPr>
        <w:t>的滞纳金。如乙方逾期交付达</w:t>
      </w:r>
      <w:r>
        <w:rPr>
          <w:rFonts w:hint="eastAsia" w:ascii="宋体" w:hAnsi="宋体" w:cs="等线 Light"/>
          <w:kern w:val="0"/>
          <w:sz w:val="24"/>
        </w:rPr>
        <w:t xml:space="preserve"> 10 </w:t>
      </w:r>
      <w:r>
        <w:rPr>
          <w:rFonts w:hint="eastAsia" w:ascii="宋体" w:hAnsi="宋体" w:cs="宋体"/>
          <w:kern w:val="0"/>
          <w:sz w:val="24"/>
        </w:rPr>
        <w:t>天，付款方有权解除本合同，解除合同的通知自到达乙方时生效。甲方因此</w:t>
      </w:r>
      <w:r>
        <w:rPr>
          <w:rFonts w:ascii="宋体" w:hAnsi="宋体" w:cs="宋体"/>
          <w:kern w:val="0"/>
          <w:sz w:val="24"/>
        </w:rPr>
        <w:t>解除合同</w:t>
      </w:r>
      <w:r>
        <w:rPr>
          <w:rFonts w:hint="eastAsia" w:ascii="宋体" w:hAnsi="宋体" w:cs="宋体"/>
          <w:kern w:val="0"/>
          <w:sz w:val="24"/>
        </w:rPr>
        <w:t>的，乙方应向</w:t>
      </w:r>
      <w:r>
        <w:rPr>
          <w:rFonts w:ascii="宋体" w:hAnsi="宋体"/>
          <w:sz w:val="24"/>
        </w:rPr>
        <w:t>甲方</w:t>
      </w:r>
      <w:r>
        <w:rPr>
          <w:rFonts w:hint="eastAsia" w:ascii="宋体" w:hAnsi="宋体"/>
          <w:sz w:val="24"/>
        </w:rPr>
        <w:t>支付合同总价款20%的违约金，</w:t>
      </w:r>
      <w:r>
        <w:rPr>
          <w:rFonts w:ascii="宋体" w:hAnsi="宋体" w:cs="宋体"/>
          <w:kern w:val="0"/>
          <w:sz w:val="24"/>
        </w:rPr>
        <w:t>所造成的损失由乙方承担。</w:t>
      </w:r>
    </w:p>
    <w:p w14:paraId="0B07293D">
      <w:pPr>
        <w:widowControl/>
        <w:spacing w:line="360" w:lineRule="auto"/>
        <w:ind w:firstLine="480" w:firstLineChars="200"/>
        <w:rPr>
          <w:rFonts w:hint="eastAsia" w:ascii="宋体" w:hAnsi="宋体" w:cs="等线 Light"/>
          <w:kern w:val="0"/>
          <w:sz w:val="24"/>
        </w:rPr>
      </w:pPr>
      <w:r>
        <w:rPr>
          <w:rFonts w:hint="eastAsia" w:ascii="宋体" w:hAnsi="宋体" w:cs="宋体"/>
          <w:kern w:val="0"/>
          <w:sz w:val="24"/>
        </w:rPr>
        <w:t>５、乙方所交付的服务不符合合同规定的，付款方有权拒收。付款方拒收的，乙方应向付款方支付合同总价款</w:t>
      </w:r>
      <w:r>
        <w:rPr>
          <w:rFonts w:hint="eastAsia" w:ascii="宋体" w:hAnsi="宋体" w:cs="等线 Light"/>
          <w:kern w:val="0"/>
          <w:sz w:val="24"/>
        </w:rPr>
        <w:t>20%</w:t>
      </w:r>
      <w:r>
        <w:rPr>
          <w:rFonts w:hint="eastAsia" w:ascii="宋体" w:hAnsi="宋体" w:cs="宋体"/>
          <w:kern w:val="0"/>
          <w:sz w:val="24"/>
        </w:rPr>
        <w:t>的违约金。付款方未拒收的，招标代理机构发现后将向有关部门反映，并责成乙方按照采购结果提供服务，同时视情给予不退还部分或全部履约保证金处理。</w:t>
      </w:r>
    </w:p>
    <w:p w14:paraId="2CC5C721">
      <w:pPr>
        <w:widowControl/>
        <w:spacing w:line="360" w:lineRule="auto"/>
        <w:ind w:firstLine="480" w:firstLineChars="200"/>
        <w:rPr>
          <w:rFonts w:hint="eastAsia" w:ascii="宋体" w:hAnsi="宋体" w:cs="等线 Light"/>
          <w:kern w:val="0"/>
          <w:sz w:val="24"/>
        </w:rPr>
      </w:pPr>
      <w:r>
        <w:rPr>
          <w:rFonts w:hint="eastAsia" w:ascii="宋体" w:hAnsi="宋体" w:cs="宋体"/>
          <w:kern w:val="0"/>
          <w:sz w:val="24"/>
        </w:rPr>
        <w:t>６、在乙方承诺的或国家规定的质量保证期内（取两者中最长的期限），如经乙方两次整改仍不能达到合同约定的质量标准，乙方应退回全部合同价款，并按本条第</w:t>
      </w:r>
      <w:r>
        <w:rPr>
          <w:rFonts w:hint="eastAsia" w:ascii="宋体" w:hAnsi="宋体" w:cs="等线 Light"/>
          <w:kern w:val="0"/>
          <w:sz w:val="24"/>
        </w:rPr>
        <w:t xml:space="preserve"> 3 </w:t>
      </w:r>
      <w:r>
        <w:rPr>
          <w:rFonts w:hint="eastAsia" w:ascii="宋体" w:hAnsi="宋体" w:cs="宋体"/>
          <w:kern w:val="0"/>
          <w:sz w:val="24"/>
        </w:rPr>
        <w:t>款处理，同时，乙方还须赔偿付款方因此遭受的损失。</w:t>
      </w:r>
    </w:p>
    <w:p w14:paraId="3A74F8C8">
      <w:pPr>
        <w:widowControl/>
        <w:spacing w:line="360" w:lineRule="auto"/>
        <w:ind w:firstLine="480" w:firstLineChars="200"/>
        <w:rPr>
          <w:rFonts w:hint="eastAsia" w:ascii="宋体" w:hAnsi="宋体" w:cs="等线 Light"/>
          <w:kern w:val="0"/>
          <w:sz w:val="24"/>
        </w:rPr>
      </w:pPr>
      <w:r>
        <w:rPr>
          <w:rFonts w:hint="eastAsia" w:ascii="宋体" w:hAnsi="宋体" w:cs="等线 Light"/>
          <w:kern w:val="0"/>
          <w:sz w:val="24"/>
        </w:rPr>
        <w:t>7</w:t>
      </w:r>
      <w:r>
        <w:rPr>
          <w:rFonts w:hint="eastAsia" w:ascii="宋体" w:hAnsi="宋体" w:cs="宋体"/>
          <w:kern w:val="0"/>
          <w:sz w:val="24"/>
        </w:rPr>
        <w:t>、乙方未按本合同的规定和</w:t>
      </w:r>
      <w:r>
        <w:rPr>
          <w:rFonts w:ascii="宋体" w:hAnsi="宋体"/>
          <w:kern w:val="0"/>
          <w:sz w:val="24"/>
        </w:rPr>
        <w:t>“</w:t>
      </w:r>
      <w:r>
        <w:rPr>
          <w:rFonts w:hint="eastAsia" w:ascii="宋体" w:hAnsi="宋体" w:cs="宋体"/>
          <w:kern w:val="0"/>
          <w:sz w:val="24"/>
        </w:rPr>
        <w:t>服务承诺</w:t>
      </w:r>
      <w:r>
        <w:rPr>
          <w:rFonts w:ascii="宋体" w:hAnsi="宋体"/>
          <w:kern w:val="0"/>
          <w:sz w:val="24"/>
        </w:rPr>
        <w:t>”</w:t>
      </w:r>
      <w:r>
        <w:rPr>
          <w:rFonts w:hint="eastAsia" w:ascii="宋体" w:hAnsi="宋体" w:cs="宋体"/>
          <w:kern w:val="0"/>
          <w:sz w:val="24"/>
        </w:rPr>
        <w:t>提供伴随服务</w:t>
      </w:r>
      <w:r>
        <w:rPr>
          <w:rFonts w:hint="eastAsia" w:ascii="宋体" w:hAnsi="宋体" w:cs="等线 Light"/>
          <w:kern w:val="0"/>
          <w:sz w:val="24"/>
        </w:rPr>
        <w:t>/</w:t>
      </w:r>
      <w:r>
        <w:rPr>
          <w:rFonts w:hint="eastAsia" w:ascii="宋体" w:hAnsi="宋体" w:cs="宋体"/>
          <w:kern w:val="0"/>
          <w:sz w:val="24"/>
        </w:rPr>
        <w:t>售后服务的，应按合同总价款的</w:t>
      </w:r>
      <w:r>
        <w:rPr>
          <w:rFonts w:hint="eastAsia" w:ascii="宋体" w:hAnsi="宋体" w:cs="等线 Light"/>
          <w:kern w:val="0"/>
          <w:sz w:val="24"/>
        </w:rPr>
        <w:t>5 %</w:t>
      </w:r>
      <w:r>
        <w:rPr>
          <w:rFonts w:hint="eastAsia" w:ascii="宋体" w:hAnsi="宋体" w:cs="宋体"/>
          <w:kern w:val="0"/>
          <w:sz w:val="24"/>
        </w:rPr>
        <w:t>向付款方承担违约责任。</w:t>
      </w:r>
    </w:p>
    <w:p w14:paraId="3478E88C">
      <w:pPr>
        <w:widowControl/>
        <w:spacing w:line="360" w:lineRule="auto"/>
        <w:ind w:firstLine="480" w:firstLineChars="200"/>
        <w:rPr>
          <w:rFonts w:hint="eastAsia" w:ascii="宋体" w:hAnsi="宋体" w:cs="等线 Light"/>
          <w:kern w:val="0"/>
          <w:sz w:val="24"/>
        </w:rPr>
      </w:pPr>
      <w:r>
        <w:rPr>
          <w:rFonts w:hint="eastAsia" w:ascii="宋体" w:hAnsi="宋体" w:cs="等线 Light"/>
          <w:kern w:val="0"/>
          <w:sz w:val="24"/>
        </w:rPr>
        <w:t>8</w:t>
      </w:r>
      <w:r>
        <w:rPr>
          <w:rFonts w:hint="eastAsia" w:ascii="宋体" w:hAnsi="宋体" w:cs="宋体"/>
          <w:kern w:val="0"/>
          <w:sz w:val="24"/>
        </w:rPr>
        <w:t>、乙方在承担上述</w:t>
      </w:r>
      <w:r>
        <w:rPr>
          <w:rFonts w:hint="eastAsia" w:ascii="宋体" w:hAnsi="宋体" w:cs="等线 Light"/>
          <w:kern w:val="0"/>
          <w:sz w:val="24"/>
        </w:rPr>
        <w:t xml:space="preserve"> 4-7 </w:t>
      </w:r>
      <w:r>
        <w:rPr>
          <w:rFonts w:hint="eastAsia" w:ascii="宋体" w:hAnsi="宋体" w:cs="宋体"/>
          <w:kern w:val="0"/>
          <w:sz w:val="24"/>
        </w:rPr>
        <w:t>款一项或多项违约责任后，仍应继续履行合同规定的义务（甲方解除合同的除外）。甲方未能及时追究乙方的任何一项违约责任并不表明甲方放弃追究乙方该项或其他违约责任。</w:t>
      </w:r>
    </w:p>
    <w:p w14:paraId="1D7E1F2C">
      <w:pPr>
        <w:widowControl/>
        <w:spacing w:line="360" w:lineRule="auto"/>
        <w:ind w:firstLine="480" w:firstLineChars="200"/>
        <w:rPr>
          <w:rFonts w:hint="eastAsia" w:ascii="宋体" w:hAnsi="宋体" w:cs="宋体"/>
          <w:kern w:val="0"/>
          <w:sz w:val="24"/>
        </w:rPr>
      </w:pPr>
      <w:r>
        <w:rPr>
          <w:rFonts w:hint="eastAsia" w:ascii="宋体" w:hAnsi="宋体" w:cs="等线 Light"/>
          <w:kern w:val="0"/>
          <w:sz w:val="24"/>
        </w:rPr>
        <w:t>9</w:t>
      </w:r>
      <w:r>
        <w:rPr>
          <w:rFonts w:hint="eastAsia" w:ascii="宋体" w:hAnsi="宋体" w:cs="宋体"/>
          <w:kern w:val="0"/>
          <w:sz w:val="24"/>
        </w:rPr>
        <w:t>、乙方投标属虚假承诺，经权威部门监测提供的服务不能满足磋商文件要求，或是由于乙方的过错造成合同无法继续履行的，甲方有权解除本合同，乙方履约保证金不予退还外，还应向付款方支付合同总价款</w:t>
      </w:r>
      <w:r>
        <w:rPr>
          <w:rFonts w:hint="eastAsia" w:ascii="宋体" w:hAnsi="宋体" w:cs="等线 Light"/>
          <w:kern w:val="0"/>
          <w:sz w:val="24"/>
        </w:rPr>
        <w:t>20%</w:t>
      </w:r>
      <w:r>
        <w:rPr>
          <w:rFonts w:hint="eastAsia" w:ascii="宋体" w:hAnsi="宋体" w:cs="宋体"/>
          <w:kern w:val="0"/>
          <w:sz w:val="24"/>
        </w:rPr>
        <w:t>的违约金。</w:t>
      </w:r>
    </w:p>
    <w:p w14:paraId="0A7EAC6F">
      <w:pPr>
        <w:rPr>
          <w:rFonts w:hint="eastAsia" w:ascii="宋体" w:hAnsi="宋体"/>
          <w:sz w:val="24"/>
        </w:rPr>
      </w:pPr>
      <w:r>
        <w:rPr>
          <w:rFonts w:hint="eastAsia" w:ascii="宋体" w:hAnsi="宋体"/>
          <w:sz w:val="24"/>
        </w:rPr>
        <w:t xml:space="preserve"> </w:t>
      </w:r>
      <w:r>
        <w:rPr>
          <w:rFonts w:ascii="宋体" w:hAnsi="宋体"/>
          <w:sz w:val="24"/>
        </w:rPr>
        <w:t xml:space="preserve">   10、未经甲方允许，乙方不得将本合同项下的权利义务部分或全部转移给第三方，否则甲方有权解除本合同，</w:t>
      </w:r>
      <w:r>
        <w:rPr>
          <w:rFonts w:hint="eastAsia" w:ascii="宋体" w:hAnsi="宋体"/>
          <w:sz w:val="24"/>
        </w:rPr>
        <w:t>同时</w:t>
      </w:r>
      <w:r>
        <w:rPr>
          <w:rFonts w:ascii="宋体" w:hAnsi="宋体"/>
          <w:sz w:val="24"/>
        </w:rPr>
        <w:t>乙方</w:t>
      </w:r>
      <w:r>
        <w:rPr>
          <w:rFonts w:hint="eastAsia" w:ascii="宋体" w:hAnsi="宋体"/>
          <w:sz w:val="24"/>
        </w:rPr>
        <w:t>应</w:t>
      </w:r>
      <w:r>
        <w:rPr>
          <w:rFonts w:ascii="宋体" w:hAnsi="宋体"/>
          <w:sz w:val="24"/>
        </w:rPr>
        <w:t>按本合同总价款</w:t>
      </w:r>
      <w:r>
        <w:rPr>
          <w:rFonts w:hint="eastAsia" w:ascii="宋体" w:hAnsi="宋体"/>
          <w:sz w:val="24"/>
        </w:rPr>
        <w:t>的20</w:t>
      </w:r>
      <w:r>
        <w:rPr>
          <w:rFonts w:ascii="宋体" w:hAnsi="宋体"/>
          <w:sz w:val="24"/>
        </w:rPr>
        <w:t>%向甲方承担违约责任，因解除合同造成的损失由乙方承担。</w:t>
      </w:r>
    </w:p>
    <w:p w14:paraId="38A9E2CF">
      <w:pPr>
        <w:widowControl/>
        <w:spacing w:line="360" w:lineRule="auto"/>
        <w:rPr>
          <w:rFonts w:hint="eastAsia" w:ascii="宋体" w:hAnsi="宋体" w:cs="等线 Light"/>
          <w:b/>
          <w:kern w:val="0"/>
          <w:sz w:val="24"/>
        </w:rPr>
      </w:pPr>
      <w:r>
        <w:rPr>
          <w:rFonts w:hint="eastAsia" w:ascii="宋体" w:hAnsi="宋体" w:cs="宋体"/>
          <w:b/>
          <w:kern w:val="0"/>
          <w:sz w:val="24"/>
        </w:rPr>
        <w:t>第十条</w:t>
      </w:r>
      <w:r>
        <w:rPr>
          <w:rFonts w:hint="eastAsia" w:ascii="宋体" w:hAnsi="宋体" w:cs="等线 Light"/>
          <w:b/>
          <w:kern w:val="0"/>
          <w:sz w:val="24"/>
        </w:rPr>
        <w:t xml:space="preserve"> </w:t>
      </w:r>
      <w:r>
        <w:rPr>
          <w:rFonts w:hint="eastAsia" w:ascii="宋体" w:hAnsi="宋体" w:cs="宋体"/>
          <w:b/>
          <w:kern w:val="0"/>
          <w:sz w:val="24"/>
        </w:rPr>
        <w:t>合同的变更和终止</w:t>
      </w:r>
    </w:p>
    <w:p w14:paraId="686EF9C9">
      <w:pPr>
        <w:widowControl/>
        <w:spacing w:line="360" w:lineRule="auto"/>
        <w:ind w:firstLine="480" w:firstLineChars="200"/>
        <w:rPr>
          <w:rFonts w:hint="eastAsia" w:ascii="宋体" w:hAnsi="宋体" w:cs="等线 Light"/>
          <w:kern w:val="0"/>
          <w:sz w:val="24"/>
        </w:rPr>
      </w:pPr>
      <w:r>
        <w:rPr>
          <w:rFonts w:hint="eastAsia" w:ascii="宋体" w:hAnsi="宋体" w:cs="等线 Light"/>
          <w:kern w:val="0"/>
          <w:sz w:val="24"/>
        </w:rPr>
        <w:t>1</w:t>
      </w:r>
      <w:r>
        <w:rPr>
          <w:rFonts w:hint="eastAsia" w:ascii="宋体" w:hAnsi="宋体" w:cs="宋体"/>
          <w:kern w:val="0"/>
          <w:sz w:val="24"/>
        </w:rPr>
        <w:t>、除《政府采购法》第</w:t>
      </w:r>
      <w:r>
        <w:rPr>
          <w:rFonts w:hint="eastAsia" w:ascii="宋体" w:hAnsi="宋体" w:cs="等线 Light"/>
          <w:kern w:val="0"/>
          <w:sz w:val="24"/>
        </w:rPr>
        <w:t xml:space="preserve"> 50 </w:t>
      </w:r>
      <w:r>
        <w:rPr>
          <w:rFonts w:hint="eastAsia" w:ascii="宋体" w:hAnsi="宋体" w:cs="宋体"/>
          <w:kern w:val="0"/>
          <w:sz w:val="24"/>
        </w:rPr>
        <w:t>条第二款规定的情形外，本合同一经签订，甲乙双方不得擅自变更、中止或终止合同。</w:t>
      </w:r>
    </w:p>
    <w:p w14:paraId="04718504">
      <w:pPr>
        <w:widowControl/>
        <w:spacing w:line="360" w:lineRule="auto"/>
        <w:ind w:firstLine="480" w:firstLineChars="200"/>
        <w:rPr>
          <w:rFonts w:hint="eastAsia" w:ascii="宋体" w:hAnsi="宋体" w:cs="等线 Light"/>
          <w:kern w:val="0"/>
          <w:sz w:val="24"/>
        </w:rPr>
      </w:pPr>
      <w:r>
        <w:rPr>
          <w:rFonts w:hint="eastAsia" w:ascii="宋体" w:hAnsi="宋体" w:cs="等线 Light"/>
          <w:kern w:val="0"/>
          <w:sz w:val="24"/>
        </w:rPr>
        <w:t>2</w:t>
      </w:r>
      <w:r>
        <w:rPr>
          <w:rFonts w:hint="eastAsia" w:ascii="宋体" w:hAnsi="宋体" w:cs="宋体"/>
          <w:kern w:val="0"/>
          <w:sz w:val="24"/>
        </w:rPr>
        <w:t>、除发生法律规定的不能预见、不能避免并不能克服的客观情况外，甲乙双方不得放弃或拒绝履行合同。乙方放弃或拒绝履行合同，保证金不予退还。</w:t>
      </w:r>
    </w:p>
    <w:p w14:paraId="12089AA3">
      <w:pPr>
        <w:widowControl/>
        <w:spacing w:line="360" w:lineRule="auto"/>
        <w:rPr>
          <w:rFonts w:hint="eastAsia" w:ascii="宋体" w:hAnsi="宋体" w:cs="等线 Light"/>
          <w:b/>
          <w:kern w:val="0"/>
          <w:sz w:val="24"/>
        </w:rPr>
      </w:pPr>
      <w:r>
        <w:rPr>
          <w:rFonts w:hint="eastAsia" w:ascii="宋体" w:hAnsi="宋体" w:cs="宋体"/>
          <w:b/>
          <w:kern w:val="0"/>
          <w:sz w:val="24"/>
        </w:rPr>
        <w:t>第十一条</w:t>
      </w:r>
      <w:r>
        <w:rPr>
          <w:rFonts w:hint="eastAsia" w:ascii="宋体" w:hAnsi="宋体" w:cs="等线 Light"/>
          <w:b/>
          <w:kern w:val="0"/>
          <w:sz w:val="24"/>
        </w:rPr>
        <w:t xml:space="preserve"> </w:t>
      </w:r>
      <w:r>
        <w:rPr>
          <w:rFonts w:hint="eastAsia" w:ascii="宋体" w:hAnsi="宋体" w:cs="宋体"/>
          <w:b/>
          <w:kern w:val="0"/>
          <w:sz w:val="24"/>
        </w:rPr>
        <w:t>合同的转让</w:t>
      </w:r>
    </w:p>
    <w:p w14:paraId="6F210AD2">
      <w:pPr>
        <w:widowControl/>
        <w:spacing w:line="360" w:lineRule="auto"/>
        <w:ind w:firstLine="480" w:firstLineChars="200"/>
        <w:rPr>
          <w:rFonts w:hint="eastAsia" w:ascii="宋体" w:hAnsi="宋体" w:cs="等线 Light"/>
          <w:kern w:val="0"/>
          <w:sz w:val="24"/>
        </w:rPr>
      </w:pPr>
      <w:r>
        <w:rPr>
          <w:rFonts w:hint="eastAsia" w:ascii="宋体" w:hAnsi="宋体" w:cs="宋体"/>
          <w:kern w:val="0"/>
          <w:sz w:val="24"/>
        </w:rPr>
        <w:t>乙方不得擅自部分或全部转让其应履行的合同义务。</w:t>
      </w:r>
    </w:p>
    <w:p w14:paraId="61A90F8D">
      <w:pPr>
        <w:widowControl/>
        <w:spacing w:line="360" w:lineRule="auto"/>
        <w:rPr>
          <w:rFonts w:hint="eastAsia" w:ascii="宋体" w:hAnsi="宋体" w:cs="等线 Light"/>
          <w:b/>
          <w:kern w:val="0"/>
          <w:sz w:val="24"/>
        </w:rPr>
      </w:pPr>
      <w:r>
        <w:rPr>
          <w:rFonts w:hint="eastAsia" w:ascii="宋体" w:hAnsi="宋体" w:cs="宋体"/>
          <w:b/>
          <w:kern w:val="0"/>
          <w:sz w:val="24"/>
        </w:rPr>
        <w:t>第十二条</w:t>
      </w:r>
      <w:r>
        <w:rPr>
          <w:rFonts w:hint="eastAsia" w:ascii="宋体" w:hAnsi="宋体" w:cs="等线 Light"/>
          <w:b/>
          <w:kern w:val="0"/>
          <w:sz w:val="24"/>
        </w:rPr>
        <w:t xml:space="preserve"> </w:t>
      </w:r>
      <w:r>
        <w:rPr>
          <w:rFonts w:hint="eastAsia" w:ascii="宋体" w:hAnsi="宋体" w:cs="宋体"/>
          <w:b/>
          <w:kern w:val="0"/>
          <w:sz w:val="24"/>
        </w:rPr>
        <w:t>争议的解决</w:t>
      </w:r>
    </w:p>
    <w:p w14:paraId="2DC67867">
      <w:pPr>
        <w:widowControl/>
        <w:spacing w:line="360" w:lineRule="auto"/>
        <w:ind w:firstLine="480" w:firstLineChars="200"/>
        <w:rPr>
          <w:rFonts w:hint="eastAsia" w:ascii="宋体" w:hAnsi="宋体" w:cs="等线 Light"/>
          <w:kern w:val="0"/>
          <w:sz w:val="24"/>
        </w:rPr>
      </w:pPr>
      <w:r>
        <w:rPr>
          <w:rFonts w:hint="eastAsia" w:ascii="宋体" w:hAnsi="宋体" w:cs="等线 Light"/>
          <w:kern w:val="0"/>
          <w:sz w:val="24"/>
        </w:rPr>
        <w:t>1</w:t>
      </w:r>
      <w:r>
        <w:rPr>
          <w:rFonts w:hint="eastAsia" w:ascii="宋体" w:hAnsi="宋体" w:cs="宋体"/>
          <w:kern w:val="0"/>
          <w:sz w:val="24"/>
        </w:rPr>
        <w:t>、因服务的质量问题发生争议的，应当邀请国家认可的质量检测机构对服务质量进行鉴定。符合标准的，鉴定费由甲方承担；不符合质量标准的，鉴定费由乙方承担。</w:t>
      </w:r>
    </w:p>
    <w:p w14:paraId="3205DBA3">
      <w:pPr>
        <w:widowControl/>
        <w:spacing w:line="360" w:lineRule="auto"/>
        <w:ind w:firstLine="480" w:firstLineChars="200"/>
        <w:rPr>
          <w:rFonts w:hint="eastAsia" w:ascii="宋体" w:hAnsi="宋体" w:cs="等线 Light"/>
          <w:kern w:val="0"/>
          <w:sz w:val="24"/>
        </w:rPr>
      </w:pPr>
      <w:r>
        <w:rPr>
          <w:rFonts w:hint="eastAsia" w:ascii="宋体" w:hAnsi="宋体" w:cs="等线 Light"/>
          <w:kern w:val="0"/>
          <w:sz w:val="24"/>
        </w:rPr>
        <w:t>2</w:t>
      </w:r>
      <w:r>
        <w:rPr>
          <w:rFonts w:hint="eastAsia" w:ascii="宋体" w:hAnsi="宋体" w:cs="宋体"/>
          <w:kern w:val="0"/>
          <w:sz w:val="24"/>
        </w:rPr>
        <w:t>、因履行本合同引起的或与本合同有关的争议，甲、乙双方应首先通过友好协商解决，如果协商不能解决争议，同意提交</w:t>
      </w:r>
      <w:r>
        <w:rPr>
          <w:rFonts w:hint="eastAsia" w:ascii="宋体" w:hAnsi="宋体" w:cs="宋体"/>
          <w:kern w:val="0"/>
          <w:sz w:val="24"/>
          <w:u w:val="thick"/>
        </w:rPr>
        <w:t>南京</w:t>
      </w:r>
      <w:r>
        <w:rPr>
          <w:rFonts w:hint="eastAsia" w:ascii="宋体" w:hAnsi="宋体" w:cs="宋体"/>
          <w:kern w:val="0"/>
          <w:sz w:val="24"/>
        </w:rPr>
        <w:t>仲裁委员会按其仲裁规则裁决，仲裁产生的仲裁费、鉴定费、保全费、担保费、律师费等合理支出由违约方承担。</w:t>
      </w:r>
    </w:p>
    <w:p w14:paraId="25C7DC5A">
      <w:pPr>
        <w:widowControl/>
        <w:spacing w:line="360" w:lineRule="auto"/>
        <w:ind w:firstLine="480" w:firstLineChars="200"/>
        <w:rPr>
          <w:rFonts w:hint="eastAsia" w:ascii="宋体" w:hAnsi="宋体" w:cs="等线 Light"/>
          <w:kern w:val="0"/>
          <w:sz w:val="24"/>
        </w:rPr>
      </w:pPr>
      <w:r>
        <w:rPr>
          <w:rFonts w:hint="eastAsia" w:ascii="宋体" w:hAnsi="宋体" w:cs="等线 Light"/>
          <w:kern w:val="0"/>
          <w:sz w:val="24"/>
        </w:rPr>
        <w:t>3</w:t>
      </w:r>
      <w:r>
        <w:rPr>
          <w:rFonts w:hint="eastAsia" w:ascii="宋体" w:hAnsi="宋体" w:cs="宋体"/>
          <w:kern w:val="0"/>
          <w:sz w:val="24"/>
        </w:rPr>
        <w:t>、在仲裁期间，本合同应继续履行。</w:t>
      </w:r>
    </w:p>
    <w:p w14:paraId="7F5D1DE4">
      <w:pPr>
        <w:widowControl/>
        <w:spacing w:line="360" w:lineRule="auto"/>
        <w:rPr>
          <w:rFonts w:hint="eastAsia" w:ascii="宋体" w:hAnsi="宋体" w:cs="等线 Light"/>
          <w:b/>
          <w:kern w:val="0"/>
          <w:sz w:val="24"/>
        </w:rPr>
      </w:pPr>
      <w:r>
        <w:rPr>
          <w:rFonts w:hint="eastAsia" w:ascii="宋体" w:hAnsi="宋体" w:cs="宋体"/>
          <w:b/>
          <w:kern w:val="0"/>
          <w:sz w:val="24"/>
        </w:rPr>
        <w:t>第十三条</w:t>
      </w:r>
      <w:r>
        <w:rPr>
          <w:rFonts w:hint="eastAsia" w:ascii="宋体" w:hAnsi="宋体" w:cs="等线 Light"/>
          <w:b/>
          <w:kern w:val="0"/>
          <w:sz w:val="24"/>
        </w:rPr>
        <w:t xml:space="preserve"> </w:t>
      </w:r>
      <w:r>
        <w:rPr>
          <w:rFonts w:hint="eastAsia" w:ascii="宋体" w:hAnsi="宋体" w:cs="宋体"/>
          <w:b/>
          <w:kern w:val="0"/>
          <w:sz w:val="24"/>
        </w:rPr>
        <w:t>诚实信用</w:t>
      </w:r>
    </w:p>
    <w:p w14:paraId="3250B2AF">
      <w:pPr>
        <w:widowControl/>
        <w:spacing w:line="360" w:lineRule="auto"/>
        <w:ind w:firstLine="480" w:firstLineChars="200"/>
        <w:rPr>
          <w:rFonts w:hint="eastAsia" w:ascii="宋体" w:hAnsi="宋体" w:cs="宋体"/>
          <w:kern w:val="0"/>
          <w:sz w:val="24"/>
        </w:rPr>
      </w:pPr>
      <w:r>
        <w:rPr>
          <w:rFonts w:hint="eastAsia" w:ascii="宋体" w:hAnsi="宋体" w:cs="宋体"/>
          <w:kern w:val="0"/>
          <w:sz w:val="24"/>
        </w:rPr>
        <w:t>合同签订前、履行期间及履行完毕后，乙方应当遵守廉洁原则，不得向甲方工作人员行贿、变相行贿，不得以任何理由向甲方工作人员及第三方赠送礼品、礼金、各种有价证券及其他支付凭证，不以任何理由为甲方工作人员报销应由个人支付的费用。一旦发生上述事由，甲方有权无条件解除本合同。</w:t>
      </w:r>
    </w:p>
    <w:p w14:paraId="5CE3AAFB">
      <w:pPr>
        <w:widowControl/>
        <w:spacing w:line="360" w:lineRule="auto"/>
        <w:rPr>
          <w:rFonts w:hint="eastAsia" w:ascii="宋体" w:hAnsi="宋体" w:cs="宋体"/>
          <w:b/>
          <w:kern w:val="0"/>
          <w:sz w:val="24"/>
        </w:rPr>
      </w:pPr>
      <w:r>
        <w:rPr>
          <w:rFonts w:hint="eastAsia" w:ascii="宋体" w:hAnsi="宋体" w:cs="宋体"/>
          <w:b/>
          <w:kern w:val="0"/>
          <w:sz w:val="24"/>
        </w:rPr>
        <w:t>第十四条 保密条款</w:t>
      </w:r>
    </w:p>
    <w:p w14:paraId="25233CFF">
      <w:pPr>
        <w:widowControl/>
        <w:spacing w:line="360" w:lineRule="auto"/>
        <w:ind w:firstLine="480" w:firstLineChars="200"/>
        <w:rPr>
          <w:rFonts w:hint="eastAsia" w:ascii="宋体" w:hAnsi="宋体" w:cs="宋体"/>
          <w:kern w:val="0"/>
          <w:sz w:val="24"/>
        </w:rPr>
      </w:pPr>
      <w:r>
        <w:rPr>
          <w:rFonts w:hint="eastAsia" w:ascii="宋体" w:hAnsi="宋体" w:cs="宋体"/>
          <w:kern w:val="0"/>
          <w:sz w:val="24"/>
        </w:rPr>
        <w:t>双方应当对合同的内容、因履行合同期间获得的或收到的对方的商务、财务、技术、产品的信息、用户资料或其他标明保密的文件或信息的内容保守秘密，未经信息披露方书面事先同意，不得向合同以外的任何第三方披露。双方均不得将合同中的内容及在合同执行过程中获得的对方的商业信息向任何第三方泄露。本保密义务应在本合同期满、解除或终止后仍然有效。</w:t>
      </w:r>
    </w:p>
    <w:p w14:paraId="53E7C5FF">
      <w:pPr>
        <w:widowControl/>
        <w:spacing w:line="360" w:lineRule="auto"/>
        <w:rPr>
          <w:rFonts w:hint="eastAsia" w:ascii="宋体" w:hAnsi="宋体" w:cs="宋体"/>
          <w:b/>
          <w:kern w:val="0"/>
          <w:sz w:val="24"/>
        </w:rPr>
      </w:pPr>
      <w:r>
        <w:rPr>
          <w:rFonts w:hint="eastAsia" w:ascii="宋体" w:hAnsi="宋体" w:cs="宋体"/>
          <w:b/>
          <w:kern w:val="0"/>
          <w:sz w:val="24"/>
        </w:rPr>
        <w:t>第十五条 送达条款</w:t>
      </w:r>
    </w:p>
    <w:p w14:paraId="7DA3ACC9">
      <w:pPr>
        <w:widowControl/>
        <w:spacing w:line="360" w:lineRule="auto"/>
        <w:ind w:firstLine="480" w:firstLineChars="200"/>
        <w:rPr>
          <w:rFonts w:hint="eastAsia" w:ascii="宋体" w:hAnsi="宋体" w:cs="宋体"/>
          <w:kern w:val="0"/>
          <w:sz w:val="24"/>
        </w:rPr>
      </w:pPr>
      <w:r>
        <w:rPr>
          <w:rFonts w:hint="eastAsia" w:ascii="宋体" w:hAnsi="宋体" w:cs="宋体"/>
          <w:kern w:val="0"/>
          <w:sz w:val="24"/>
        </w:rPr>
        <w:t>合同尾部联系方式和联系信息适用于双方往来联系、书面文件送达及争议解决时法律文书送达，送达文书的效力及于本合同纠纷所引发的仲裁、诉讼程序和执行程序。乙方确认的最后送达地址如发生变更等情形，应在三日内重新确认填写最后送达地址并以书面方式予以通知甲方，否则原确认的最后送达地址继续有效，乙方自行承担由此可能产生的法律后果。</w:t>
      </w:r>
    </w:p>
    <w:p w14:paraId="0B28A378">
      <w:pPr>
        <w:widowControl/>
        <w:spacing w:line="360" w:lineRule="auto"/>
        <w:rPr>
          <w:rFonts w:hint="eastAsia" w:ascii="宋体" w:hAnsi="宋体" w:cs="等线 Light"/>
          <w:b/>
          <w:kern w:val="0"/>
          <w:sz w:val="24"/>
        </w:rPr>
      </w:pPr>
      <w:r>
        <w:rPr>
          <w:rFonts w:hint="eastAsia" w:ascii="宋体" w:hAnsi="宋体" w:cs="宋体"/>
          <w:b/>
          <w:kern w:val="0"/>
          <w:sz w:val="24"/>
        </w:rPr>
        <w:t>第十六条</w:t>
      </w:r>
      <w:r>
        <w:rPr>
          <w:rFonts w:hint="eastAsia" w:ascii="宋体" w:hAnsi="宋体" w:cs="等线 Light"/>
          <w:b/>
          <w:kern w:val="0"/>
          <w:sz w:val="24"/>
        </w:rPr>
        <w:t xml:space="preserve"> </w:t>
      </w:r>
      <w:r>
        <w:rPr>
          <w:rFonts w:hint="eastAsia" w:ascii="宋体" w:hAnsi="宋体" w:cs="宋体"/>
          <w:b/>
          <w:kern w:val="0"/>
          <w:sz w:val="24"/>
        </w:rPr>
        <w:t>合同生效及其他</w:t>
      </w:r>
    </w:p>
    <w:p w14:paraId="3113DD3B">
      <w:pPr>
        <w:widowControl/>
        <w:spacing w:line="360" w:lineRule="auto"/>
        <w:ind w:firstLine="480" w:firstLineChars="200"/>
        <w:rPr>
          <w:rFonts w:hint="eastAsia" w:ascii="宋体" w:hAnsi="宋体" w:cs="等线 Light"/>
          <w:kern w:val="0"/>
          <w:sz w:val="24"/>
        </w:rPr>
      </w:pPr>
      <w:r>
        <w:rPr>
          <w:rFonts w:hint="eastAsia" w:ascii="宋体" w:hAnsi="宋体" w:cs="等线 Light"/>
          <w:kern w:val="0"/>
          <w:sz w:val="24"/>
        </w:rPr>
        <w:t>1</w:t>
      </w:r>
      <w:r>
        <w:rPr>
          <w:rFonts w:hint="eastAsia" w:ascii="宋体" w:hAnsi="宋体" w:cs="宋体"/>
          <w:kern w:val="0"/>
          <w:sz w:val="24"/>
        </w:rPr>
        <w:t>、本合同自双方签字并盖章之日起生效。</w:t>
      </w:r>
    </w:p>
    <w:p w14:paraId="621AE178">
      <w:pPr>
        <w:widowControl/>
        <w:spacing w:line="360" w:lineRule="auto"/>
        <w:ind w:firstLine="480" w:firstLineChars="200"/>
        <w:rPr>
          <w:rFonts w:hint="eastAsia" w:ascii="宋体" w:hAnsi="宋体" w:cs="宋体"/>
          <w:kern w:val="0"/>
          <w:sz w:val="24"/>
        </w:rPr>
      </w:pPr>
      <w:r>
        <w:rPr>
          <w:rFonts w:hint="eastAsia" w:ascii="宋体" w:hAnsi="宋体" w:cs="等线 Light"/>
          <w:kern w:val="0"/>
          <w:sz w:val="24"/>
        </w:rPr>
        <w:t>2</w:t>
      </w:r>
      <w:r>
        <w:rPr>
          <w:rFonts w:hint="eastAsia" w:ascii="宋体" w:hAnsi="宋体" w:cs="宋体"/>
          <w:kern w:val="0"/>
          <w:sz w:val="24"/>
        </w:rPr>
        <w:t>、本合同正本一式伍份，具有同等法律效力，甲方、乙方各执贰份，采购代理机构执壹份。</w:t>
      </w:r>
    </w:p>
    <w:p w14:paraId="3C48ABE9">
      <w:pPr>
        <w:widowControl/>
        <w:spacing w:line="360" w:lineRule="auto"/>
        <w:ind w:firstLine="480" w:firstLineChars="200"/>
        <w:rPr>
          <w:rFonts w:hint="eastAsia" w:ascii="宋体" w:hAnsi="宋体" w:cs="宋体"/>
          <w:kern w:val="0"/>
          <w:sz w:val="24"/>
        </w:rPr>
      </w:pPr>
      <w:r>
        <w:rPr>
          <w:rFonts w:hint="eastAsia" w:ascii="宋体" w:hAnsi="宋体" w:cs="等线 Light"/>
          <w:kern w:val="0"/>
          <w:sz w:val="24"/>
        </w:rPr>
        <w:t>3</w:t>
      </w:r>
      <w:r>
        <w:rPr>
          <w:rFonts w:hint="eastAsia" w:ascii="宋体" w:hAnsi="宋体" w:cs="宋体"/>
          <w:kern w:val="0"/>
          <w:sz w:val="24"/>
        </w:rPr>
        <w:t>、本合同应按照中华人民共和国的现行有效法律进行解释。</w:t>
      </w:r>
    </w:p>
    <w:p w14:paraId="4AF7D206">
      <w:pPr>
        <w:rPr>
          <w:rFonts w:hint="eastAsia" w:ascii="宋体" w:hAnsi="宋体" w:cs="宋体"/>
          <w:kern w:val="0"/>
          <w:sz w:val="24"/>
        </w:rPr>
      </w:pPr>
    </w:p>
    <w:tbl>
      <w:tblPr>
        <w:tblStyle w:val="41"/>
        <w:tblW w:w="963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017"/>
        <w:gridCol w:w="4613"/>
      </w:tblGrid>
      <w:tr w14:paraId="4361B8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51" w:hRule="atLeast"/>
          <w:jc w:val="center"/>
        </w:trPr>
        <w:tc>
          <w:tcPr>
            <w:tcW w:w="5017" w:type="dxa"/>
            <w:tcBorders>
              <w:top w:val="single" w:color="auto" w:sz="4" w:space="0"/>
              <w:left w:val="single" w:color="auto" w:sz="4" w:space="0"/>
              <w:bottom w:val="single" w:color="auto" w:sz="4" w:space="0"/>
              <w:right w:val="single" w:color="auto" w:sz="4" w:space="0"/>
              <w:tl2br w:val="nil"/>
              <w:tr2bl w:val="nil"/>
            </w:tcBorders>
          </w:tcPr>
          <w:p w14:paraId="20411BDB">
            <w:pPr>
              <w:adjustRightInd w:val="0"/>
              <w:snapToGrid w:val="0"/>
              <w:spacing w:line="400" w:lineRule="exact"/>
              <w:rPr>
                <w:rFonts w:ascii="Arial" w:hAnsi="Arial" w:cs="Arial"/>
                <w:szCs w:val="21"/>
              </w:rPr>
            </w:pPr>
            <w:r>
              <w:rPr>
                <w:rFonts w:ascii="宋体" w:hAnsi="Arial" w:cs="Arial"/>
                <w:szCs w:val="21"/>
              </w:rPr>
              <w:t>甲方：</w:t>
            </w:r>
          </w:p>
          <w:p w14:paraId="7CD654B5">
            <w:pPr>
              <w:adjustRightInd w:val="0"/>
              <w:snapToGrid w:val="0"/>
              <w:spacing w:line="400" w:lineRule="exact"/>
              <w:rPr>
                <w:rFonts w:ascii="Arial" w:hAnsi="Arial" w:cs="Arial"/>
                <w:szCs w:val="21"/>
              </w:rPr>
            </w:pPr>
            <w:r>
              <w:rPr>
                <w:rFonts w:ascii="宋体" w:hAnsi="Arial" w:cs="Arial"/>
                <w:szCs w:val="21"/>
              </w:rPr>
              <w:t xml:space="preserve">单位名称： </w:t>
            </w:r>
          </w:p>
          <w:p w14:paraId="457C8DC7">
            <w:pPr>
              <w:adjustRightInd w:val="0"/>
              <w:snapToGrid w:val="0"/>
              <w:spacing w:line="400" w:lineRule="exact"/>
              <w:rPr>
                <w:rFonts w:ascii="Arial" w:hAnsi="Arial" w:cs="Arial"/>
                <w:szCs w:val="21"/>
              </w:rPr>
            </w:pPr>
            <w:r>
              <w:rPr>
                <w:rFonts w:ascii="宋体" w:hAnsi="Arial" w:cs="Arial"/>
                <w:szCs w:val="21"/>
              </w:rPr>
              <w:t xml:space="preserve">单位地址： </w:t>
            </w:r>
          </w:p>
          <w:p w14:paraId="5657E608">
            <w:pPr>
              <w:adjustRightInd w:val="0"/>
              <w:snapToGrid w:val="0"/>
              <w:spacing w:line="400" w:lineRule="exact"/>
              <w:rPr>
                <w:rFonts w:ascii="Arial" w:hAnsi="Arial" w:cs="Arial"/>
                <w:szCs w:val="21"/>
              </w:rPr>
            </w:pPr>
          </w:p>
          <w:p w14:paraId="0520997A">
            <w:pPr>
              <w:adjustRightInd w:val="0"/>
              <w:snapToGrid w:val="0"/>
              <w:spacing w:line="400" w:lineRule="exact"/>
              <w:rPr>
                <w:rFonts w:ascii="Arial" w:hAnsi="Arial" w:cs="Arial"/>
                <w:szCs w:val="21"/>
              </w:rPr>
            </w:pPr>
            <w:r>
              <w:rPr>
                <w:rFonts w:ascii="宋体" w:hAnsi="Arial" w:cs="Arial"/>
                <w:szCs w:val="21"/>
              </w:rPr>
              <w:t xml:space="preserve">法定代表人： </w:t>
            </w:r>
          </w:p>
          <w:p w14:paraId="4EAC8542">
            <w:pPr>
              <w:adjustRightInd w:val="0"/>
              <w:snapToGrid w:val="0"/>
              <w:spacing w:line="400" w:lineRule="exact"/>
              <w:rPr>
                <w:rFonts w:ascii="Arial" w:hAnsi="Arial" w:cs="Arial"/>
                <w:szCs w:val="21"/>
              </w:rPr>
            </w:pPr>
          </w:p>
          <w:p w14:paraId="4B8107B2">
            <w:pPr>
              <w:adjustRightInd w:val="0"/>
              <w:snapToGrid w:val="0"/>
              <w:spacing w:line="400" w:lineRule="exact"/>
              <w:rPr>
                <w:rFonts w:ascii="Arial" w:hAnsi="Arial" w:cs="Arial"/>
                <w:szCs w:val="21"/>
              </w:rPr>
            </w:pPr>
            <w:r>
              <w:rPr>
                <w:rFonts w:ascii="宋体" w:hAnsi="Arial" w:cs="Arial"/>
                <w:szCs w:val="21"/>
              </w:rPr>
              <w:t>委托代理人（签字）：</w:t>
            </w:r>
          </w:p>
          <w:p w14:paraId="301125E3">
            <w:pPr>
              <w:rPr>
                <w:rFonts w:ascii="Arial" w:hAnsi="Arial" w:cs="Arial"/>
                <w:szCs w:val="21"/>
              </w:rPr>
            </w:pPr>
          </w:p>
          <w:p w14:paraId="1CE7305C">
            <w:pPr>
              <w:adjustRightInd w:val="0"/>
              <w:snapToGrid w:val="0"/>
              <w:spacing w:line="400" w:lineRule="exact"/>
              <w:rPr>
                <w:rFonts w:ascii="Arial" w:hAnsi="Arial" w:cs="Arial"/>
                <w:szCs w:val="21"/>
              </w:rPr>
            </w:pPr>
          </w:p>
          <w:p w14:paraId="6C370A6B">
            <w:pPr>
              <w:adjustRightInd w:val="0"/>
              <w:snapToGrid w:val="0"/>
              <w:spacing w:line="400" w:lineRule="exact"/>
              <w:rPr>
                <w:rFonts w:ascii="Arial" w:hAnsi="Arial" w:cs="Arial"/>
                <w:szCs w:val="21"/>
              </w:rPr>
            </w:pPr>
          </w:p>
          <w:p w14:paraId="16979246">
            <w:pPr>
              <w:adjustRightInd w:val="0"/>
              <w:snapToGrid w:val="0"/>
              <w:spacing w:line="400" w:lineRule="exact"/>
              <w:rPr>
                <w:rFonts w:ascii="Arial" w:hAnsi="Arial" w:cs="Arial"/>
                <w:szCs w:val="21"/>
              </w:rPr>
            </w:pPr>
          </w:p>
          <w:p w14:paraId="4FD35461">
            <w:pPr>
              <w:adjustRightInd w:val="0"/>
              <w:snapToGrid w:val="0"/>
              <w:spacing w:line="400" w:lineRule="exact"/>
              <w:rPr>
                <w:rFonts w:ascii="Arial" w:hAnsi="Arial" w:cs="Arial"/>
                <w:szCs w:val="21"/>
              </w:rPr>
            </w:pPr>
            <w:r>
              <w:rPr>
                <w:rFonts w:ascii="宋体" w:hAnsi="Arial" w:cs="Arial"/>
                <w:szCs w:val="21"/>
              </w:rPr>
              <w:t xml:space="preserve">联系方式： </w:t>
            </w:r>
          </w:p>
          <w:p w14:paraId="7958FBFB">
            <w:pPr>
              <w:adjustRightInd w:val="0"/>
              <w:snapToGrid w:val="0"/>
              <w:spacing w:line="400" w:lineRule="exact"/>
              <w:rPr>
                <w:rFonts w:ascii="Arial" w:hAnsi="Arial" w:cs="Arial"/>
                <w:szCs w:val="21"/>
              </w:rPr>
            </w:pPr>
            <w:r>
              <w:rPr>
                <w:rFonts w:ascii="宋体" w:hAnsi="Arial" w:cs="Arial"/>
                <w:szCs w:val="21"/>
              </w:rPr>
              <w:t>签订日期：         年     月    日</w:t>
            </w:r>
          </w:p>
        </w:tc>
        <w:tc>
          <w:tcPr>
            <w:tcW w:w="4613" w:type="dxa"/>
            <w:tcBorders>
              <w:top w:val="single" w:color="auto" w:sz="4" w:space="0"/>
              <w:left w:val="single" w:color="auto" w:sz="4" w:space="0"/>
              <w:bottom w:val="single" w:color="auto" w:sz="4" w:space="0"/>
              <w:right w:val="single" w:color="auto" w:sz="4" w:space="0"/>
              <w:tl2br w:val="nil"/>
              <w:tr2bl w:val="nil"/>
            </w:tcBorders>
          </w:tcPr>
          <w:p w14:paraId="65C7B7DB">
            <w:pPr>
              <w:adjustRightInd w:val="0"/>
              <w:snapToGrid w:val="0"/>
              <w:spacing w:line="400" w:lineRule="exact"/>
              <w:rPr>
                <w:rFonts w:ascii="Arial" w:hAnsi="Arial" w:cs="Arial"/>
                <w:szCs w:val="21"/>
              </w:rPr>
            </w:pPr>
            <w:r>
              <w:rPr>
                <w:rFonts w:ascii="宋体" w:hAnsi="Arial" w:cs="Arial"/>
                <w:szCs w:val="21"/>
              </w:rPr>
              <w:t>乙方：</w:t>
            </w:r>
          </w:p>
          <w:p w14:paraId="39E52726">
            <w:pPr>
              <w:adjustRightInd w:val="0"/>
              <w:snapToGrid w:val="0"/>
              <w:spacing w:line="400" w:lineRule="exact"/>
              <w:rPr>
                <w:rFonts w:ascii="Arial" w:hAnsi="Arial" w:cs="Arial"/>
                <w:szCs w:val="21"/>
              </w:rPr>
            </w:pPr>
            <w:r>
              <w:rPr>
                <w:rFonts w:ascii="宋体" w:hAnsi="Arial" w:cs="Arial"/>
                <w:szCs w:val="21"/>
              </w:rPr>
              <w:t xml:space="preserve">单位名称： </w:t>
            </w:r>
          </w:p>
          <w:p w14:paraId="271BA76F">
            <w:pPr>
              <w:adjustRightInd w:val="0"/>
              <w:snapToGrid w:val="0"/>
              <w:spacing w:line="400" w:lineRule="exact"/>
              <w:rPr>
                <w:rFonts w:ascii="Arial" w:hAnsi="Arial" w:cs="Arial"/>
                <w:szCs w:val="21"/>
              </w:rPr>
            </w:pPr>
            <w:r>
              <w:rPr>
                <w:rFonts w:ascii="宋体" w:hAnsi="Arial" w:cs="Arial"/>
                <w:szCs w:val="21"/>
              </w:rPr>
              <w:t xml:space="preserve">单位地址： </w:t>
            </w:r>
          </w:p>
          <w:p w14:paraId="6AF323DD">
            <w:pPr>
              <w:adjustRightInd w:val="0"/>
              <w:snapToGrid w:val="0"/>
              <w:spacing w:line="400" w:lineRule="exact"/>
              <w:rPr>
                <w:rFonts w:ascii="Arial" w:hAnsi="Arial" w:cs="Arial"/>
                <w:szCs w:val="21"/>
              </w:rPr>
            </w:pPr>
            <w:r>
              <w:rPr>
                <w:rFonts w:ascii="宋体" w:hAnsi="Arial" w:cs="Arial"/>
                <w:szCs w:val="21"/>
              </w:rPr>
              <w:t xml:space="preserve">法定代表人： </w:t>
            </w:r>
          </w:p>
          <w:p w14:paraId="0CB3CDA0">
            <w:pPr>
              <w:adjustRightInd w:val="0"/>
              <w:snapToGrid w:val="0"/>
              <w:spacing w:line="400" w:lineRule="exact"/>
              <w:rPr>
                <w:rFonts w:ascii="Arial" w:hAnsi="Arial" w:cs="Arial"/>
                <w:szCs w:val="21"/>
              </w:rPr>
            </w:pPr>
          </w:p>
          <w:p w14:paraId="68E41BCF">
            <w:pPr>
              <w:adjustRightInd w:val="0"/>
              <w:snapToGrid w:val="0"/>
              <w:spacing w:line="400" w:lineRule="exact"/>
              <w:rPr>
                <w:rFonts w:ascii="Arial" w:hAnsi="Arial" w:cs="Arial"/>
                <w:szCs w:val="21"/>
              </w:rPr>
            </w:pPr>
            <w:r>
              <w:rPr>
                <w:rFonts w:ascii="宋体" w:hAnsi="Arial" w:cs="Arial"/>
                <w:szCs w:val="21"/>
              </w:rPr>
              <w:t>委托代理人（签字）：</w:t>
            </w:r>
          </w:p>
          <w:p w14:paraId="120BC63E">
            <w:pPr>
              <w:spacing w:line="400" w:lineRule="exact"/>
              <w:rPr>
                <w:rFonts w:ascii="Arial" w:hAnsi="Arial" w:cs="Arial"/>
                <w:szCs w:val="21"/>
              </w:rPr>
            </w:pPr>
            <w:r>
              <w:rPr>
                <w:rFonts w:ascii="宋体" w:hAnsi="Arial" w:cs="Arial"/>
                <w:szCs w:val="21"/>
              </w:rPr>
              <w:t xml:space="preserve">电话： </w:t>
            </w:r>
          </w:p>
          <w:p w14:paraId="68C0FD88">
            <w:pPr>
              <w:spacing w:line="400" w:lineRule="exact"/>
              <w:rPr>
                <w:rFonts w:ascii="Arial" w:hAnsi="Arial" w:cs="Arial"/>
                <w:szCs w:val="21"/>
              </w:rPr>
            </w:pPr>
            <w:r>
              <w:rPr>
                <w:rFonts w:ascii="宋体" w:hAnsi="Arial" w:cs="Arial"/>
                <w:szCs w:val="21"/>
              </w:rPr>
              <w:t xml:space="preserve">传真： </w:t>
            </w:r>
          </w:p>
          <w:p w14:paraId="4ECB2F69">
            <w:pPr>
              <w:spacing w:line="400" w:lineRule="exact"/>
              <w:rPr>
                <w:rFonts w:ascii="Arial" w:hAnsi="Arial" w:cs="Arial"/>
                <w:szCs w:val="21"/>
              </w:rPr>
            </w:pPr>
            <w:r>
              <w:rPr>
                <w:rFonts w:ascii="宋体" w:hAnsi="Arial" w:cs="Arial"/>
                <w:szCs w:val="21"/>
              </w:rPr>
              <w:t xml:space="preserve">开户银行： </w:t>
            </w:r>
          </w:p>
          <w:p w14:paraId="63E6A34A">
            <w:pPr>
              <w:spacing w:line="400" w:lineRule="exact"/>
              <w:rPr>
                <w:rFonts w:ascii="Arial" w:hAnsi="Arial" w:cs="Arial"/>
                <w:szCs w:val="21"/>
              </w:rPr>
            </w:pPr>
            <w:r>
              <w:rPr>
                <w:rFonts w:ascii="宋体" w:hAnsi="Arial" w:cs="Arial"/>
                <w:szCs w:val="21"/>
              </w:rPr>
              <w:t xml:space="preserve">帐号： </w:t>
            </w:r>
          </w:p>
          <w:p w14:paraId="2213270D">
            <w:pPr>
              <w:spacing w:line="400" w:lineRule="exact"/>
              <w:rPr>
                <w:rFonts w:ascii="Arial" w:hAnsi="Arial" w:cs="Arial"/>
                <w:szCs w:val="21"/>
              </w:rPr>
            </w:pPr>
            <w:r>
              <w:rPr>
                <w:rFonts w:ascii="宋体" w:hAnsi="Arial" w:cs="Arial"/>
                <w:szCs w:val="21"/>
              </w:rPr>
              <w:t xml:space="preserve">税号： </w:t>
            </w:r>
          </w:p>
          <w:p w14:paraId="53CDD70B">
            <w:pPr>
              <w:adjustRightInd w:val="0"/>
              <w:snapToGrid w:val="0"/>
              <w:spacing w:line="400" w:lineRule="exact"/>
              <w:rPr>
                <w:rFonts w:ascii="宋体" w:hAnsi="Arial" w:cs="Arial"/>
                <w:szCs w:val="21"/>
              </w:rPr>
            </w:pPr>
          </w:p>
          <w:p w14:paraId="1ABF991D">
            <w:pPr>
              <w:adjustRightInd w:val="0"/>
              <w:snapToGrid w:val="0"/>
              <w:spacing w:line="400" w:lineRule="exact"/>
              <w:rPr>
                <w:rFonts w:ascii="Arial" w:hAnsi="Arial" w:cs="Arial"/>
                <w:szCs w:val="21"/>
              </w:rPr>
            </w:pPr>
            <w:r>
              <w:rPr>
                <w:rFonts w:ascii="宋体" w:hAnsi="Arial" w:cs="Arial"/>
                <w:szCs w:val="21"/>
              </w:rPr>
              <w:t>签订日期：         年     月    日</w:t>
            </w:r>
          </w:p>
        </w:tc>
      </w:tr>
    </w:tbl>
    <w:p w14:paraId="16EB996A">
      <w:pPr>
        <w:pStyle w:val="39"/>
        <w:ind w:firstLine="240"/>
        <w:rPr>
          <w:rFonts w:hint="eastAsia" w:ascii="宋体" w:hAnsi="宋体"/>
          <w:sz w:val="24"/>
        </w:rPr>
      </w:pPr>
    </w:p>
    <w:p w14:paraId="67693D1D">
      <w:pPr>
        <w:pStyle w:val="40"/>
        <w:ind w:firstLine="480"/>
        <w:rPr>
          <w:sz w:val="24"/>
        </w:rPr>
      </w:pPr>
    </w:p>
    <w:p w14:paraId="4B5A77EC">
      <w:pPr>
        <w:rPr>
          <w:rFonts w:hint="eastAsia" w:ascii="宋体" w:hAnsi="宋体"/>
          <w:sz w:val="24"/>
        </w:rPr>
      </w:pPr>
    </w:p>
    <w:p w14:paraId="68B77246">
      <w:pPr>
        <w:pStyle w:val="39"/>
        <w:ind w:firstLine="240"/>
        <w:rPr>
          <w:rFonts w:hint="eastAsia" w:ascii="宋体" w:hAnsi="宋体"/>
          <w:sz w:val="24"/>
        </w:rPr>
      </w:pPr>
    </w:p>
    <w:p w14:paraId="60A7C397">
      <w:pPr>
        <w:pStyle w:val="40"/>
        <w:ind w:firstLine="480"/>
        <w:rPr>
          <w:sz w:val="24"/>
        </w:rPr>
      </w:pPr>
    </w:p>
    <w:p w14:paraId="1F0761BB"/>
    <w:p w14:paraId="793D0FA8">
      <w:pPr>
        <w:widowControl/>
        <w:spacing w:line="360" w:lineRule="auto"/>
        <w:rPr>
          <w:rFonts w:hint="eastAsia" w:ascii="宋体" w:hAnsi="宋体"/>
          <w:sz w:val="24"/>
        </w:rPr>
      </w:pPr>
    </w:p>
    <w:p w14:paraId="368EA03C">
      <w:pPr>
        <w:widowControl/>
        <w:spacing w:line="400" w:lineRule="exact"/>
        <w:ind w:right="-1052" w:rightChars="-501"/>
        <w:rPr>
          <w:rFonts w:hint="eastAsia" w:ascii="宋体" w:hAnsi="宋体" w:cs="宋体"/>
          <w:color w:val="000000"/>
          <w:kern w:val="0"/>
          <w:sz w:val="24"/>
        </w:rPr>
      </w:pPr>
    </w:p>
    <w:p w14:paraId="18A5EF8C">
      <w:pPr>
        <w:widowControl/>
        <w:spacing w:line="400" w:lineRule="exact"/>
        <w:ind w:right="-1052" w:rightChars="-501"/>
        <w:rPr>
          <w:rFonts w:hint="eastAsia" w:ascii="宋体" w:hAnsi="宋体" w:cs="宋体"/>
          <w:color w:val="000000"/>
          <w:kern w:val="0"/>
          <w:sz w:val="24"/>
        </w:rPr>
      </w:pPr>
    </w:p>
    <w:p w14:paraId="30E387DB">
      <w:pPr>
        <w:pStyle w:val="50"/>
        <w:rPr>
          <w:rFonts w:hint="eastAsia" w:eastAsiaTheme="minorEastAsia"/>
          <w:lang w:eastAsia="zh-CN"/>
        </w:rPr>
      </w:pPr>
    </w:p>
    <w:p w14:paraId="23DFA6AA">
      <w:pPr>
        <w:pStyle w:val="50"/>
        <w:rPr>
          <w:rFonts w:hint="eastAsia" w:eastAsiaTheme="minorEastAsia"/>
          <w:lang w:eastAsia="zh-CN"/>
        </w:rPr>
      </w:pPr>
    </w:p>
    <w:p w14:paraId="560993E2">
      <w:pPr>
        <w:pStyle w:val="37"/>
      </w:pPr>
      <w:bookmarkStart w:id="124" w:name="_Toc163660780"/>
      <w:bookmarkStart w:id="125" w:name="_Toc61149622"/>
      <w:bookmarkStart w:id="126" w:name="_Toc23828480"/>
      <w:bookmarkStart w:id="127" w:name="_Toc26554097"/>
      <w:r>
        <w:rPr>
          <w:rFonts w:hint="eastAsia"/>
        </w:rPr>
        <w:t>第四章 项目需求</w:t>
      </w:r>
      <w:bookmarkEnd w:id="124"/>
    </w:p>
    <w:p w14:paraId="487B33EC">
      <w:pPr>
        <w:pStyle w:val="2"/>
        <w:rPr>
          <w:rFonts w:ascii="微软雅黑" w:eastAsia="微软雅黑" w:cs="微软雅黑"/>
          <w:b/>
          <w:sz w:val="24"/>
        </w:rPr>
      </w:pPr>
      <w:r>
        <w:rPr>
          <w:rFonts w:hint="eastAsia" w:ascii="微软雅黑" w:eastAsia="微软雅黑" w:cs="微软雅黑"/>
          <w:b/>
          <w:sz w:val="24"/>
        </w:rPr>
        <w:t>一、项目概况</w:t>
      </w:r>
    </w:p>
    <w:p w14:paraId="3983B103">
      <w:pPr>
        <w:spacing w:line="360" w:lineRule="auto"/>
        <w:ind w:firstLine="480" w:firstLineChars="200"/>
        <w:rPr>
          <w:rFonts w:hint="eastAsia" w:ascii="宋体" w:hAnsi="宋体" w:cs="宋体"/>
          <w:sz w:val="24"/>
        </w:rPr>
      </w:pPr>
      <w:r>
        <w:rPr>
          <w:rFonts w:hint="eastAsia" w:ascii="宋体" w:hAnsi="宋体" w:cs="宋体"/>
          <w:sz w:val="24"/>
        </w:rPr>
        <w:t>“十四五”期间，为瞄准建设“全国一流强院”的目标，全面提升技术能力、服务保障、科技创新能力，采购人对信息化系统的业务支撑能力和服务能力提出了更高的要求。同时，根据省发改委、省财政厅《关于进一步规范特种设备检验检测收费管理有关事项的通知》的要求，进一步完善检验检测自动计费模块，全面实现检验检测报告与收费一一对应，同时建设电子发票模块，打通苏智特检与电子发票系统，采购人拟委托第三方开展自动计费模块改造、电子发票业财系统对接服务。</w:t>
      </w:r>
    </w:p>
    <w:p w14:paraId="0C2A967C">
      <w:pPr>
        <w:spacing w:line="360" w:lineRule="auto"/>
        <w:rPr>
          <w:rFonts w:hint="eastAsia" w:ascii="宋体" w:hAnsi="宋体" w:cs="宋体"/>
          <w:b/>
          <w:sz w:val="24"/>
        </w:rPr>
      </w:pPr>
      <w:r>
        <w:rPr>
          <w:rFonts w:hint="eastAsia" w:ascii="微软雅黑" w:eastAsia="微软雅黑" w:cs="微软雅黑"/>
          <w:b/>
          <w:sz w:val="24"/>
        </w:rPr>
        <w:t>二、技术（服务）要求-业务平台功能需求（所有“技术（服务）要求”须在《技术（服务）条款响应及偏离表》中逐一明确是否满足、正偏离或负偏离）</w:t>
      </w:r>
    </w:p>
    <w:p w14:paraId="58DBD715">
      <w:pPr>
        <w:rPr>
          <w:rFonts w:hint="eastAsia" w:ascii="宋体" w:hAnsi="宋体"/>
          <w:b/>
          <w:bCs/>
          <w:sz w:val="24"/>
        </w:rPr>
      </w:pPr>
      <w:r>
        <w:rPr>
          <w:rFonts w:hint="eastAsia" w:ascii="宋体" w:hAnsi="宋体"/>
          <w:b/>
          <w:bCs/>
          <w:sz w:val="24"/>
        </w:rPr>
        <w:t>2.1升级法定检验（在册设备）自动计费模块</w:t>
      </w:r>
    </w:p>
    <w:p w14:paraId="04D717C6">
      <w:pPr>
        <w:rPr>
          <w:rFonts w:hint="eastAsia" w:ascii="宋体" w:hAnsi="宋体"/>
          <w:b/>
          <w:bCs/>
          <w:sz w:val="24"/>
        </w:rPr>
      </w:pPr>
      <w:r>
        <w:rPr>
          <w:rFonts w:hint="eastAsia" w:ascii="宋体" w:hAnsi="宋体"/>
          <w:b/>
          <w:bCs/>
          <w:sz w:val="24"/>
        </w:rPr>
        <w:t>2.1.1计费规则管理</w:t>
      </w:r>
    </w:p>
    <w:p w14:paraId="4AB7C3EC">
      <w:pPr>
        <w:rPr>
          <w:rFonts w:hint="eastAsia" w:ascii="宋体" w:hAnsi="宋体"/>
          <w:b/>
          <w:bCs/>
          <w:sz w:val="24"/>
        </w:rPr>
      </w:pPr>
      <w:r>
        <w:rPr>
          <w:rFonts w:hint="eastAsia" w:ascii="宋体" w:hAnsi="宋体"/>
          <w:b/>
          <w:bCs/>
          <w:sz w:val="24"/>
        </w:rPr>
        <w:t>2.1.1.1机电类规则更新调整</w:t>
      </w:r>
    </w:p>
    <w:p w14:paraId="06E40908">
      <w:pPr>
        <w:ind w:firstLine="480" w:firstLineChars="200"/>
        <w:rPr>
          <w:rFonts w:hint="eastAsia" w:ascii="宋体" w:hAnsi="宋体"/>
          <w:sz w:val="24"/>
        </w:rPr>
      </w:pPr>
      <w:r>
        <w:rPr>
          <w:rFonts w:hint="eastAsia" w:ascii="宋体" w:hAnsi="宋体"/>
          <w:sz w:val="24"/>
        </w:rPr>
        <w:t>按照苏发改收费发〔2024〕886号文，对机电类相关设备计费规则进行更新调整，同时前置到系统页面</w:t>
      </w:r>
    </w:p>
    <w:p w14:paraId="753B38A4">
      <w:pPr>
        <w:rPr>
          <w:rFonts w:hint="eastAsia" w:ascii="宋体" w:hAnsi="宋体"/>
          <w:b/>
          <w:bCs/>
          <w:sz w:val="24"/>
        </w:rPr>
      </w:pPr>
      <w:r>
        <w:rPr>
          <w:rFonts w:hint="eastAsia" w:ascii="宋体" w:hAnsi="宋体"/>
          <w:b/>
          <w:bCs/>
          <w:sz w:val="24"/>
        </w:rPr>
        <w:t>2.1.1.2承压类规则更新调整</w:t>
      </w:r>
    </w:p>
    <w:p w14:paraId="7BF8E961">
      <w:pPr>
        <w:ind w:firstLine="480" w:firstLineChars="200"/>
        <w:rPr>
          <w:rFonts w:hint="eastAsia" w:ascii="宋体" w:hAnsi="宋体"/>
          <w:sz w:val="24"/>
        </w:rPr>
      </w:pPr>
      <w:r>
        <w:rPr>
          <w:rFonts w:hint="eastAsia" w:ascii="宋体" w:hAnsi="宋体"/>
          <w:sz w:val="24"/>
        </w:rPr>
        <w:t>按照苏发改收费发2024〕886号文，对承压类相关设备计费规则（包含无损检测等）进行更新调整，同时前置到系统页面</w:t>
      </w:r>
    </w:p>
    <w:p w14:paraId="171E2D8B">
      <w:pPr>
        <w:rPr>
          <w:rFonts w:hint="eastAsia" w:ascii="宋体" w:hAnsi="宋体"/>
          <w:b/>
          <w:bCs/>
          <w:sz w:val="24"/>
        </w:rPr>
      </w:pPr>
      <w:r>
        <w:rPr>
          <w:rFonts w:hint="eastAsia" w:ascii="宋体" w:hAnsi="宋体"/>
          <w:b/>
          <w:bCs/>
          <w:sz w:val="24"/>
        </w:rPr>
        <w:t>2.1.1.3计费规则管理</w:t>
      </w:r>
    </w:p>
    <w:p w14:paraId="7BC5F859">
      <w:pPr>
        <w:ind w:firstLine="480" w:firstLineChars="200"/>
        <w:rPr>
          <w:rFonts w:hint="eastAsia" w:ascii="宋体" w:hAnsi="宋体"/>
          <w:sz w:val="24"/>
        </w:rPr>
      </w:pPr>
      <w:r>
        <w:rPr>
          <w:rFonts w:hint="eastAsia" w:ascii="宋体" w:hAnsi="宋体"/>
          <w:sz w:val="24"/>
        </w:rPr>
        <w:t>实现计费规则的配置、编辑修改、校验比对、重载生效等功能</w:t>
      </w:r>
    </w:p>
    <w:p w14:paraId="74D559C7">
      <w:pPr>
        <w:rPr>
          <w:rFonts w:hint="eastAsia" w:ascii="宋体" w:hAnsi="宋体"/>
          <w:b/>
          <w:bCs/>
          <w:sz w:val="24"/>
        </w:rPr>
      </w:pPr>
      <w:r>
        <w:rPr>
          <w:rFonts w:hint="eastAsia" w:ascii="宋体" w:hAnsi="宋体"/>
          <w:b/>
          <w:bCs/>
          <w:sz w:val="24"/>
        </w:rPr>
        <w:t>2.1.1.4计费规则停用</w:t>
      </w:r>
    </w:p>
    <w:p w14:paraId="37E2136A">
      <w:pPr>
        <w:ind w:firstLine="480" w:firstLineChars="200"/>
        <w:rPr>
          <w:rFonts w:hint="eastAsia" w:ascii="宋体" w:hAnsi="宋体"/>
          <w:sz w:val="24"/>
        </w:rPr>
      </w:pPr>
      <w:r>
        <w:rPr>
          <w:rFonts w:hint="eastAsia" w:ascii="宋体" w:hAnsi="宋体"/>
          <w:sz w:val="24"/>
        </w:rPr>
        <w:t>实现计费规则的停用、删除作废、重载生效等功能</w:t>
      </w:r>
    </w:p>
    <w:p w14:paraId="770FA78A">
      <w:pPr>
        <w:rPr>
          <w:rFonts w:hint="eastAsia" w:ascii="宋体" w:hAnsi="宋体"/>
          <w:b/>
          <w:bCs/>
          <w:sz w:val="24"/>
        </w:rPr>
      </w:pPr>
      <w:r>
        <w:rPr>
          <w:rFonts w:hint="eastAsia" w:ascii="宋体" w:hAnsi="宋体"/>
          <w:b/>
          <w:bCs/>
          <w:sz w:val="24"/>
        </w:rPr>
        <w:t>2.1.1.5计费规则查询</w:t>
      </w:r>
    </w:p>
    <w:p w14:paraId="2E9B57C3">
      <w:pPr>
        <w:ind w:firstLine="480" w:firstLineChars="200"/>
        <w:rPr>
          <w:rFonts w:hint="eastAsia" w:ascii="宋体" w:hAnsi="宋体"/>
          <w:sz w:val="24"/>
        </w:rPr>
      </w:pPr>
      <w:r>
        <w:rPr>
          <w:rFonts w:hint="eastAsia" w:ascii="宋体" w:hAnsi="宋体"/>
          <w:sz w:val="24"/>
        </w:rPr>
        <w:t>实现计费规则的查询、导出等功能。</w:t>
      </w:r>
    </w:p>
    <w:p w14:paraId="1882ACC8">
      <w:pPr>
        <w:rPr>
          <w:rFonts w:hint="eastAsia" w:ascii="宋体" w:hAnsi="宋体"/>
          <w:b/>
          <w:bCs/>
          <w:sz w:val="24"/>
        </w:rPr>
      </w:pPr>
      <w:r>
        <w:rPr>
          <w:rFonts w:hint="eastAsia" w:ascii="宋体" w:hAnsi="宋体"/>
          <w:b/>
          <w:bCs/>
          <w:sz w:val="24"/>
        </w:rPr>
        <w:t>2.1.2收费标准管理</w:t>
      </w:r>
    </w:p>
    <w:p w14:paraId="682B3F6F">
      <w:pPr>
        <w:rPr>
          <w:rFonts w:hint="eastAsia" w:ascii="宋体" w:hAnsi="宋体"/>
          <w:b/>
          <w:bCs/>
          <w:sz w:val="24"/>
        </w:rPr>
      </w:pPr>
      <w:r>
        <w:rPr>
          <w:rFonts w:hint="eastAsia" w:ascii="宋体" w:hAnsi="宋体"/>
          <w:b/>
          <w:bCs/>
          <w:sz w:val="24"/>
        </w:rPr>
        <w:t>2.1.2.1收费标准上传管理</w:t>
      </w:r>
    </w:p>
    <w:p w14:paraId="5E2D69CD">
      <w:pPr>
        <w:ind w:firstLine="480" w:firstLineChars="200"/>
        <w:rPr>
          <w:rFonts w:hint="eastAsia" w:ascii="宋体" w:hAnsi="宋体"/>
          <w:sz w:val="24"/>
        </w:rPr>
      </w:pPr>
      <w:r>
        <w:rPr>
          <w:rFonts w:hint="eastAsia" w:ascii="宋体" w:hAnsi="宋体"/>
          <w:sz w:val="24"/>
        </w:rPr>
        <w:t>实现收费标准的创建上传、编辑等功能</w:t>
      </w:r>
    </w:p>
    <w:p w14:paraId="0F40CD92">
      <w:pPr>
        <w:rPr>
          <w:rFonts w:hint="eastAsia" w:ascii="宋体" w:hAnsi="宋体"/>
          <w:b/>
          <w:bCs/>
          <w:sz w:val="24"/>
        </w:rPr>
      </w:pPr>
      <w:r>
        <w:rPr>
          <w:rFonts w:hint="eastAsia" w:ascii="宋体" w:hAnsi="宋体"/>
          <w:b/>
          <w:bCs/>
          <w:sz w:val="24"/>
        </w:rPr>
        <w:t>2.1.2.2收费标准作废管理</w:t>
      </w:r>
    </w:p>
    <w:p w14:paraId="441B0353">
      <w:pPr>
        <w:ind w:firstLine="480" w:firstLineChars="200"/>
        <w:rPr>
          <w:rFonts w:hint="eastAsia" w:ascii="宋体" w:hAnsi="宋体"/>
          <w:sz w:val="24"/>
        </w:rPr>
      </w:pPr>
      <w:r>
        <w:rPr>
          <w:rFonts w:hint="eastAsia" w:ascii="宋体" w:hAnsi="宋体"/>
          <w:sz w:val="24"/>
        </w:rPr>
        <w:t>实现收费标准的停用、作废等功能</w:t>
      </w:r>
    </w:p>
    <w:p w14:paraId="5B5B6436">
      <w:pPr>
        <w:rPr>
          <w:rFonts w:hint="eastAsia" w:ascii="宋体" w:hAnsi="宋体"/>
          <w:b/>
          <w:bCs/>
          <w:sz w:val="24"/>
        </w:rPr>
      </w:pPr>
      <w:r>
        <w:rPr>
          <w:rFonts w:hint="eastAsia" w:ascii="宋体" w:hAnsi="宋体"/>
          <w:b/>
          <w:bCs/>
          <w:sz w:val="24"/>
        </w:rPr>
        <w:t>2.1.2.3收费标准查阅</w:t>
      </w:r>
    </w:p>
    <w:p w14:paraId="5C205C62">
      <w:pPr>
        <w:ind w:firstLine="480" w:firstLineChars="200"/>
        <w:rPr>
          <w:rFonts w:hint="eastAsia" w:ascii="宋体" w:hAnsi="宋体"/>
          <w:sz w:val="24"/>
        </w:rPr>
      </w:pPr>
      <w:r>
        <w:rPr>
          <w:rFonts w:hint="eastAsia" w:ascii="宋体" w:hAnsi="宋体"/>
          <w:sz w:val="24"/>
        </w:rPr>
        <w:t>实现收费标准的在线预览、查询和导出等功能</w:t>
      </w:r>
    </w:p>
    <w:p w14:paraId="6085039A">
      <w:pPr>
        <w:rPr>
          <w:rFonts w:hint="eastAsia" w:ascii="宋体" w:hAnsi="宋体"/>
          <w:b/>
          <w:bCs/>
          <w:sz w:val="24"/>
        </w:rPr>
      </w:pPr>
      <w:r>
        <w:rPr>
          <w:rFonts w:hint="eastAsia" w:ascii="宋体" w:hAnsi="宋体"/>
          <w:b/>
          <w:bCs/>
          <w:sz w:val="24"/>
        </w:rPr>
        <w:t>2.1.3承压类计费工具</w:t>
      </w:r>
    </w:p>
    <w:p w14:paraId="69E80947">
      <w:pPr>
        <w:rPr>
          <w:rFonts w:hint="eastAsia" w:ascii="宋体" w:hAnsi="宋体"/>
          <w:b/>
          <w:bCs/>
          <w:sz w:val="24"/>
        </w:rPr>
      </w:pPr>
      <w:r>
        <w:rPr>
          <w:rFonts w:hint="eastAsia" w:ascii="宋体" w:hAnsi="宋体"/>
          <w:b/>
          <w:bCs/>
          <w:sz w:val="24"/>
        </w:rPr>
        <w:t>2.1.3.1锅炉计费工具</w:t>
      </w:r>
    </w:p>
    <w:p w14:paraId="05B8DCF0">
      <w:pPr>
        <w:ind w:firstLine="480" w:firstLineChars="200"/>
        <w:rPr>
          <w:rFonts w:hint="eastAsia" w:ascii="宋体" w:hAnsi="宋体"/>
          <w:sz w:val="24"/>
        </w:rPr>
      </w:pPr>
      <w:r>
        <w:rPr>
          <w:rFonts w:hint="eastAsia" w:ascii="宋体" w:hAnsi="宋体"/>
          <w:sz w:val="24"/>
        </w:rPr>
        <w:t>在任务报检、报告录入、报告校核环节，提供系统自动提取和手工录入两种方式，根据技术参数、检验项目等因素实现自动计算锅炉检验费用的工具，并展示费用明细</w:t>
      </w:r>
    </w:p>
    <w:p w14:paraId="20008522">
      <w:pPr>
        <w:rPr>
          <w:rFonts w:hint="eastAsia" w:ascii="宋体" w:hAnsi="宋体"/>
          <w:b/>
          <w:bCs/>
          <w:sz w:val="24"/>
        </w:rPr>
      </w:pPr>
      <w:r>
        <w:rPr>
          <w:rFonts w:hint="eastAsia" w:ascii="宋体" w:hAnsi="宋体"/>
          <w:b/>
          <w:bCs/>
          <w:sz w:val="24"/>
        </w:rPr>
        <w:t>2.1.3.2压力容器计费工具</w:t>
      </w:r>
    </w:p>
    <w:p w14:paraId="4F0027B1">
      <w:pPr>
        <w:ind w:firstLine="480" w:firstLineChars="200"/>
        <w:rPr>
          <w:rFonts w:hint="eastAsia" w:ascii="宋体" w:hAnsi="宋体"/>
          <w:sz w:val="24"/>
        </w:rPr>
      </w:pPr>
      <w:r>
        <w:rPr>
          <w:rFonts w:hint="eastAsia" w:ascii="宋体" w:hAnsi="宋体"/>
          <w:sz w:val="24"/>
        </w:rPr>
        <w:t>在任务报检、报告录入、报告校核环节，提供系统自动提取和手工录入两种方式，根据技术参数、检验项目等因素实现自动计算压力容器检验费用的工具，并展示费用明细</w:t>
      </w:r>
    </w:p>
    <w:p w14:paraId="53FF8FEF">
      <w:pPr>
        <w:rPr>
          <w:rFonts w:hint="eastAsia" w:ascii="宋体" w:hAnsi="宋体"/>
          <w:b/>
          <w:bCs/>
          <w:sz w:val="24"/>
        </w:rPr>
      </w:pPr>
      <w:r>
        <w:rPr>
          <w:rFonts w:hint="eastAsia" w:ascii="宋体" w:hAnsi="宋体"/>
          <w:b/>
          <w:bCs/>
          <w:sz w:val="24"/>
        </w:rPr>
        <w:t>2.1.3.3压力管道计费工具</w:t>
      </w:r>
    </w:p>
    <w:p w14:paraId="0E41AD7A">
      <w:pPr>
        <w:ind w:firstLine="480" w:firstLineChars="200"/>
        <w:rPr>
          <w:rFonts w:hint="eastAsia" w:ascii="宋体" w:hAnsi="宋体"/>
          <w:sz w:val="24"/>
        </w:rPr>
      </w:pPr>
      <w:r>
        <w:rPr>
          <w:rFonts w:hint="eastAsia" w:ascii="宋体" w:hAnsi="宋体"/>
          <w:sz w:val="24"/>
        </w:rPr>
        <w:t>在任务报检、报告录入、报告校核环节，提供系统自动提取和手工录入两种方式，根据技术参数、检验项目等因素实现自动计算压力管道检验费用的工具，并展示费用明细</w:t>
      </w:r>
    </w:p>
    <w:p w14:paraId="08A8D925">
      <w:pPr>
        <w:rPr>
          <w:rFonts w:hint="eastAsia" w:ascii="宋体" w:hAnsi="宋体"/>
          <w:b/>
          <w:bCs/>
          <w:sz w:val="24"/>
        </w:rPr>
      </w:pPr>
      <w:r>
        <w:rPr>
          <w:rFonts w:hint="eastAsia" w:ascii="宋体" w:hAnsi="宋体"/>
          <w:b/>
          <w:bCs/>
          <w:sz w:val="24"/>
        </w:rPr>
        <w:t>2.1.3.4安全阀计费工作</w:t>
      </w:r>
    </w:p>
    <w:p w14:paraId="509F2048">
      <w:pPr>
        <w:ind w:firstLine="480" w:firstLineChars="200"/>
        <w:rPr>
          <w:rFonts w:hint="eastAsia" w:ascii="宋体" w:hAnsi="宋体"/>
          <w:sz w:val="24"/>
        </w:rPr>
      </w:pPr>
      <w:r>
        <w:rPr>
          <w:rFonts w:hint="eastAsia" w:ascii="宋体" w:hAnsi="宋体"/>
          <w:sz w:val="24"/>
        </w:rPr>
        <w:t>在任务报检、报告录入、报告校核环节，提供系统自动提取和手工录入两种方式，根据技术参数、检验项目等因素实现自动计算安全阀检验费用的工具，并展示费用明细</w:t>
      </w:r>
    </w:p>
    <w:p w14:paraId="03A63AB5">
      <w:pPr>
        <w:rPr>
          <w:rFonts w:hint="eastAsia" w:ascii="宋体" w:hAnsi="宋体"/>
          <w:b/>
          <w:bCs/>
          <w:sz w:val="24"/>
        </w:rPr>
      </w:pPr>
      <w:r>
        <w:rPr>
          <w:rFonts w:hint="eastAsia" w:ascii="宋体" w:hAnsi="宋体"/>
          <w:b/>
          <w:bCs/>
          <w:sz w:val="24"/>
        </w:rPr>
        <w:t>2.1.3.5无损检查项目计费工具</w:t>
      </w:r>
    </w:p>
    <w:p w14:paraId="1B26EF59">
      <w:pPr>
        <w:ind w:firstLine="480" w:firstLineChars="200"/>
        <w:rPr>
          <w:rFonts w:hint="eastAsia" w:ascii="宋体" w:hAnsi="宋体"/>
          <w:sz w:val="24"/>
        </w:rPr>
      </w:pPr>
      <w:r>
        <w:rPr>
          <w:rFonts w:hint="eastAsia" w:ascii="宋体" w:hAnsi="宋体"/>
          <w:sz w:val="24"/>
        </w:rPr>
        <w:t>根据外径、高度、厚度等技术参数、通过系统自动提取报告中的值，实现无损检查项目自动计费。</w:t>
      </w:r>
    </w:p>
    <w:p w14:paraId="3FB8E8A6">
      <w:pPr>
        <w:rPr>
          <w:rFonts w:hint="eastAsia" w:ascii="宋体" w:hAnsi="宋体"/>
          <w:b/>
          <w:bCs/>
          <w:sz w:val="24"/>
        </w:rPr>
      </w:pPr>
      <w:r>
        <w:rPr>
          <w:rFonts w:hint="eastAsia" w:ascii="宋体" w:hAnsi="宋体"/>
          <w:b/>
          <w:bCs/>
          <w:sz w:val="24"/>
        </w:rPr>
        <w:t>2.2搭建委托检验自动计费模块</w:t>
      </w:r>
    </w:p>
    <w:p w14:paraId="33C1EE70">
      <w:pPr>
        <w:rPr>
          <w:rFonts w:hint="eastAsia" w:ascii="宋体" w:hAnsi="宋体"/>
          <w:b/>
          <w:bCs/>
          <w:sz w:val="24"/>
        </w:rPr>
      </w:pPr>
      <w:r>
        <w:rPr>
          <w:rFonts w:hint="eastAsia" w:ascii="宋体" w:hAnsi="宋体"/>
          <w:b/>
          <w:bCs/>
          <w:sz w:val="24"/>
        </w:rPr>
        <w:t>2.2.1委托检验计费规则管理</w:t>
      </w:r>
    </w:p>
    <w:p w14:paraId="31E51921">
      <w:pPr>
        <w:rPr>
          <w:rFonts w:hint="eastAsia" w:ascii="宋体" w:hAnsi="宋体"/>
          <w:b/>
          <w:bCs/>
          <w:sz w:val="24"/>
        </w:rPr>
      </w:pPr>
      <w:r>
        <w:rPr>
          <w:rFonts w:hint="eastAsia" w:ascii="宋体" w:hAnsi="宋体"/>
          <w:b/>
          <w:bCs/>
          <w:sz w:val="24"/>
        </w:rPr>
        <w:t>2.2.1.1新建委托检验机电类规则</w:t>
      </w:r>
    </w:p>
    <w:p w14:paraId="3D01C3AE">
      <w:pPr>
        <w:ind w:firstLine="480" w:firstLineChars="200"/>
        <w:rPr>
          <w:rFonts w:hint="eastAsia" w:ascii="宋体" w:hAnsi="宋体"/>
          <w:sz w:val="24"/>
        </w:rPr>
      </w:pPr>
      <w:r>
        <w:rPr>
          <w:rFonts w:hint="eastAsia" w:ascii="宋体" w:hAnsi="宋体"/>
          <w:sz w:val="24"/>
        </w:rPr>
        <w:t>梳理委托检验机电类相关设备委托检验计费规则，同时前置到系统页面</w:t>
      </w:r>
    </w:p>
    <w:p w14:paraId="07BCC900">
      <w:pPr>
        <w:rPr>
          <w:rFonts w:hint="eastAsia" w:ascii="宋体" w:hAnsi="宋体"/>
          <w:b/>
          <w:bCs/>
          <w:sz w:val="24"/>
        </w:rPr>
      </w:pPr>
      <w:r>
        <w:rPr>
          <w:rFonts w:hint="eastAsia" w:ascii="宋体" w:hAnsi="宋体"/>
          <w:b/>
          <w:bCs/>
          <w:sz w:val="24"/>
        </w:rPr>
        <w:t>2.2.1.2新建委托检验承压类规则</w:t>
      </w:r>
    </w:p>
    <w:p w14:paraId="7077AFDB">
      <w:pPr>
        <w:ind w:firstLine="480" w:firstLineChars="200"/>
        <w:rPr>
          <w:rFonts w:hint="eastAsia" w:ascii="宋体" w:hAnsi="宋体"/>
          <w:sz w:val="24"/>
        </w:rPr>
      </w:pPr>
      <w:r>
        <w:rPr>
          <w:rFonts w:hint="eastAsia" w:ascii="宋体" w:hAnsi="宋体"/>
          <w:sz w:val="24"/>
        </w:rPr>
        <w:t>梳理委托检验机承压类相关设备委托检验计费规则，同时前置到系统页面</w:t>
      </w:r>
    </w:p>
    <w:p w14:paraId="3AA260DE">
      <w:pPr>
        <w:rPr>
          <w:rFonts w:hint="eastAsia" w:ascii="宋体" w:hAnsi="宋体"/>
          <w:b/>
          <w:bCs/>
          <w:sz w:val="24"/>
        </w:rPr>
      </w:pPr>
      <w:r>
        <w:rPr>
          <w:rFonts w:hint="eastAsia" w:ascii="宋体" w:hAnsi="宋体"/>
          <w:b/>
          <w:bCs/>
          <w:sz w:val="24"/>
        </w:rPr>
        <w:t>2.2.1.3计费规则管理</w:t>
      </w:r>
    </w:p>
    <w:p w14:paraId="026AE551">
      <w:pPr>
        <w:ind w:firstLine="480" w:firstLineChars="200"/>
        <w:rPr>
          <w:rFonts w:hint="eastAsia" w:ascii="宋体" w:hAnsi="宋体"/>
          <w:sz w:val="24"/>
        </w:rPr>
      </w:pPr>
      <w:r>
        <w:rPr>
          <w:rFonts w:hint="eastAsia" w:ascii="宋体" w:hAnsi="宋体"/>
          <w:sz w:val="24"/>
        </w:rPr>
        <w:t>实现委托检验机计费规则的配置、编辑修改、校验比对、重载生效等功能</w:t>
      </w:r>
    </w:p>
    <w:p w14:paraId="59EBFE89">
      <w:pPr>
        <w:rPr>
          <w:rFonts w:hint="eastAsia" w:ascii="宋体" w:hAnsi="宋体"/>
          <w:b/>
          <w:bCs/>
          <w:sz w:val="24"/>
        </w:rPr>
      </w:pPr>
      <w:r>
        <w:rPr>
          <w:rFonts w:hint="eastAsia" w:ascii="宋体" w:hAnsi="宋体"/>
          <w:b/>
          <w:bCs/>
          <w:sz w:val="24"/>
        </w:rPr>
        <w:t>2.2.1.4计费规则停用</w:t>
      </w:r>
    </w:p>
    <w:p w14:paraId="4D90AAC2">
      <w:pPr>
        <w:ind w:firstLine="480" w:firstLineChars="200"/>
        <w:rPr>
          <w:rFonts w:hint="eastAsia" w:ascii="宋体" w:hAnsi="宋体"/>
          <w:sz w:val="24"/>
        </w:rPr>
      </w:pPr>
      <w:r>
        <w:rPr>
          <w:rFonts w:hint="eastAsia" w:ascii="宋体" w:hAnsi="宋体"/>
          <w:sz w:val="24"/>
        </w:rPr>
        <w:t>实现委托检验机计费规则的停用、删除作废、重载生效等功能</w:t>
      </w:r>
    </w:p>
    <w:p w14:paraId="41F3AEEA">
      <w:pPr>
        <w:rPr>
          <w:rFonts w:hint="eastAsia" w:ascii="宋体" w:hAnsi="宋体"/>
          <w:b/>
          <w:bCs/>
          <w:sz w:val="24"/>
        </w:rPr>
      </w:pPr>
      <w:r>
        <w:rPr>
          <w:rFonts w:hint="eastAsia" w:ascii="宋体" w:hAnsi="宋体"/>
          <w:b/>
          <w:bCs/>
          <w:sz w:val="24"/>
        </w:rPr>
        <w:t>2.2.1.5计费规则查询</w:t>
      </w:r>
    </w:p>
    <w:p w14:paraId="3C8A2A10">
      <w:pPr>
        <w:ind w:firstLine="480" w:firstLineChars="200"/>
        <w:rPr>
          <w:rFonts w:hint="eastAsia" w:ascii="宋体" w:hAnsi="宋体"/>
          <w:sz w:val="24"/>
        </w:rPr>
      </w:pPr>
      <w:r>
        <w:rPr>
          <w:rFonts w:hint="eastAsia" w:ascii="宋体" w:hAnsi="宋体"/>
          <w:sz w:val="24"/>
        </w:rPr>
        <w:t>实现委托检验机计费规则的查询、导出等功能</w:t>
      </w:r>
    </w:p>
    <w:p w14:paraId="1B7C8699">
      <w:pPr>
        <w:rPr>
          <w:rFonts w:hint="eastAsia" w:ascii="宋体" w:hAnsi="宋体"/>
          <w:b/>
          <w:bCs/>
          <w:sz w:val="24"/>
        </w:rPr>
      </w:pPr>
      <w:r>
        <w:rPr>
          <w:rFonts w:hint="eastAsia" w:ascii="宋体" w:hAnsi="宋体"/>
          <w:b/>
          <w:bCs/>
          <w:sz w:val="24"/>
        </w:rPr>
        <w:t>2.2.2委托检验收费标准管理</w:t>
      </w:r>
    </w:p>
    <w:p w14:paraId="13446CCF">
      <w:pPr>
        <w:rPr>
          <w:rFonts w:hint="eastAsia" w:ascii="宋体" w:hAnsi="宋体"/>
          <w:b/>
          <w:bCs/>
          <w:sz w:val="24"/>
        </w:rPr>
      </w:pPr>
      <w:r>
        <w:rPr>
          <w:rFonts w:hint="eastAsia" w:ascii="宋体" w:hAnsi="宋体"/>
          <w:b/>
          <w:bCs/>
          <w:sz w:val="24"/>
        </w:rPr>
        <w:t>2.2.2.1委托检验收费标准上传管理</w:t>
      </w:r>
    </w:p>
    <w:p w14:paraId="430EF0C7">
      <w:pPr>
        <w:ind w:firstLine="480" w:firstLineChars="200"/>
        <w:rPr>
          <w:rFonts w:hint="eastAsia" w:ascii="宋体" w:hAnsi="宋体"/>
          <w:sz w:val="24"/>
        </w:rPr>
      </w:pPr>
      <w:r>
        <w:rPr>
          <w:rFonts w:hint="eastAsia" w:ascii="宋体" w:hAnsi="宋体"/>
          <w:sz w:val="24"/>
        </w:rPr>
        <w:t>实现委托检验收费标准的创建上传、编辑等功能</w:t>
      </w:r>
    </w:p>
    <w:p w14:paraId="2F37E93F">
      <w:pPr>
        <w:rPr>
          <w:rFonts w:hint="eastAsia" w:ascii="宋体" w:hAnsi="宋体"/>
          <w:b/>
          <w:bCs/>
          <w:sz w:val="24"/>
        </w:rPr>
      </w:pPr>
      <w:r>
        <w:rPr>
          <w:rFonts w:hint="eastAsia" w:ascii="宋体" w:hAnsi="宋体"/>
          <w:b/>
          <w:bCs/>
          <w:sz w:val="24"/>
        </w:rPr>
        <w:t>2.2.2.2委托检验收费标准作废管理</w:t>
      </w:r>
    </w:p>
    <w:p w14:paraId="0EFBDF65">
      <w:pPr>
        <w:ind w:firstLine="480" w:firstLineChars="200"/>
        <w:rPr>
          <w:rFonts w:hint="eastAsia" w:ascii="宋体" w:hAnsi="宋体"/>
          <w:sz w:val="24"/>
        </w:rPr>
      </w:pPr>
      <w:r>
        <w:rPr>
          <w:rFonts w:hint="eastAsia" w:ascii="宋体" w:hAnsi="宋体"/>
          <w:sz w:val="24"/>
        </w:rPr>
        <w:t>实现委托检验收费标准的停用、作废等功能</w:t>
      </w:r>
    </w:p>
    <w:p w14:paraId="6FB5E06F">
      <w:pPr>
        <w:rPr>
          <w:rFonts w:hint="eastAsia" w:ascii="宋体" w:hAnsi="宋体"/>
          <w:b/>
          <w:bCs/>
          <w:sz w:val="24"/>
        </w:rPr>
      </w:pPr>
      <w:r>
        <w:rPr>
          <w:rFonts w:hint="eastAsia" w:ascii="宋体" w:hAnsi="宋体"/>
          <w:b/>
          <w:bCs/>
          <w:sz w:val="24"/>
        </w:rPr>
        <w:t>2.2.2.3委托检验收费标准查阅</w:t>
      </w:r>
    </w:p>
    <w:p w14:paraId="2F6FEBC0">
      <w:pPr>
        <w:ind w:firstLine="480" w:firstLineChars="200"/>
        <w:rPr>
          <w:rFonts w:hint="eastAsia" w:ascii="宋体" w:hAnsi="宋体"/>
          <w:sz w:val="24"/>
        </w:rPr>
      </w:pPr>
      <w:r>
        <w:rPr>
          <w:rFonts w:hint="eastAsia" w:ascii="宋体" w:hAnsi="宋体"/>
          <w:sz w:val="24"/>
        </w:rPr>
        <w:t>实现委托检验收费标准的在线预览、查询和导出等功能</w:t>
      </w:r>
    </w:p>
    <w:p w14:paraId="73B3EE1A">
      <w:pPr>
        <w:rPr>
          <w:rFonts w:hint="eastAsia" w:ascii="宋体" w:hAnsi="宋体"/>
          <w:b/>
          <w:bCs/>
          <w:sz w:val="24"/>
        </w:rPr>
      </w:pPr>
      <w:r>
        <w:rPr>
          <w:rFonts w:hint="eastAsia" w:ascii="宋体" w:hAnsi="宋体"/>
          <w:b/>
          <w:bCs/>
          <w:sz w:val="24"/>
        </w:rPr>
        <w:t>2.2.3委托检验承压类计费工具</w:t>
      </w:r>
    </w:p>
    <w:p w14:paraId="58C254FA">
      <w:pPr>
        <w:rPr>
          <w:rFonts w:hint="eastAsia" w:ascii="宋体" w:hAnsi="宋体"/>
          <w:b/>
          <w:bCs/>
          <w:sz w:val="24"/>
        </w:rPr>
      </w:pPr>
      <w:r>
        <w:rPr>
          <w:rFonts w:hint="eastAsia" w:ascii="宋体" w:hAnsi="宋体"/>
          <w:b/>
          <w:bCs/>
          <w:sz w:val="24"/>
        </w:rPr>
        <w:t>2.2.3.1锅炉计费工具</w:t>
      </w:r>
    </w:p>
    <w:p w14:paraId="3242ECA3">
      <w:pPr>
        <w:ind w:firstLine="480" w:firstLineChars="200"/>
        <w:rPr>
          <w:rFonts w:hint="eastAsia" w:ascii="宋体" w:hAnsi="宋体"/>
          <w:sz w:val="24"/>
        </w:rPr>
      </w:pPr>
      <w:r>
        <w:rPr>
          <w:rFonts w:hint="eastAsia" w:ascii="宋体" w:hAnsi="宋体"/>
          <w:sz w:val="24"/>
        </w:rPr>
        <w:t>在任务报检、报告录入、报告校核环节，提供系统自动提取和手工录入两种方式，根据技术参数、检验项目等因素实现自动计算锅炉委托检验检验费用的工具，并展示费用明细</w:t>
      </w:r>
    </w:p>
    <w:p w14:paraId="4C7CFFAF">
      <w:pPr>
        <w:rPr>
          <w:rFonts w:hint="eastAsia" w:ascii="宋体" w:hAnsi="宋体"/>
          <w:b/>
          <w:bCs/>
          <w:sz w:val="24"/>
        </w:rPr>
      </w:pPr>
      <w:r>
        <w:rPr>
          <w:rFonts w:hint="eastAsia" w:ascii="宋体" w:hAnsi="宋体"/>
          <w:b/>
          <w:bCs/>
          <w:sz w:val="24"/>
        </w:rPr>
        <w:t>2.2.3.2压力容器计费工具</w:t>
      </w:r>
    </w:p>
    <w:p w14:paraId="7269A793">
      <w:pPr>
        <w:ind w:firstLine="480" w:firstLineChars="200"/>
        <w:rPr>
          <w:rFonts w:hint="eastAsia" w:ascii="宋体" w:hAnsi="宋体"/>
          <w:sz w:val="24"/>
        </w:rPr>
      </w:pPr>
      <w:r>
        <w:rPr>
          <w:rFonts w:hint="eastAsia" w:ascii="宋体" w:hAnsi="宋体"/>
          <w:sz w:val="24"/>
        </w:rPr>
        <w:t>在任务报检、报告录入、报告校核环节，提供系统自动提取和手工录入两种方式，根据技术参数、检验项目等因素实现自动计算压力容器委托检验检验费用的工具，并展示费用明细</w:t>
      </w:r>
    </w:p>
    <w:p w14:paraId="5A4EABC9">
      <w:pPr>
        <w:rPr>
          <w:rFonts w:hint="eastAsia" w:ascii="宋体" w:hAnsi="宋体"/>
          <w:b/>
          <w:bCs/>
          <w:sz w:val="24"/>
        </w:rPr>
      </w:pPr>
      <w:r>
        <w:rPr>
          <w:rFonts w:hint="eastAsia" w:ascii="宋体" w:hAnsi="宋体"/>
          <w:b/>
          <w:bCs/>
          <w:sz w:val="24"/>
        </w:rPr>
        <w:t>2.2.3.3压力管道计费工具</w:t>
      </w:r>
    </w:p>
    <w:p w14:paraId="172121C0">
      <w:pPr>
        <w:ind w:firstLine="480" w:firstLineChars="200"/>
        <w:rPr>
          <w:rFonts w:hint="eastAsia" w:ascii="宋体" w:hAnsi="宋体"/>
          <w:sz w:val="24"/>
        </w:rPr>
      </w:pPr>
      <w:r>
        <w:rPr>
          <w:rFonts w:hint="eastAsia" w:ascii="宋体" w:hAnsi="宋体"/>
          <w:sz w:val="24"/>
        </w:rPr>
        <w:t>在任务报检、报告录入、报告校核环节，提供系统自动提取和手工录入两种方式，根据技术参数、检验项目等因素实现自动计算压力管道委托检验检验费用的工具，并展示费用明细</w:t>
      </w:r>
    </w:p>
    <w:p w14:paraId="6D189385">
      <w:pPr>
        <w:rPr>
          <w:rFonts w:hint="eastAsia" w:ascii="宋体" w:hAnsi="宋体"/>
          <w:b/>
          <w:bCs/>
          <w:sz w:val="24"/>
        </w:rPr>
      </w:pPr>
      <w:r>
        <w:rPr>
          <w:rFonts w:hint="eastAsia" w:ascii="宋体" w:hAnsi="宋体"/>
          <w:b/>
          <w:bCs/>
          <w:sz w:val="24"/>
        </w:rPr>
        <w:t>2.2.3.4安全阀计费工作</w:t>
      </w:r>
    </w:p>
    <w:p w14:paraId="62E04E2D">
      <w:pPr>
        <w:ind w:firstLine="480" w:firstLineChars="200"/>
        <w:rPr>
          <w:rFonts w:hint="eastAsia" w:ascii="宋体" w:hAnsi="宋体"/>
          <w:sz w:val="24"/>
        </w:rPr>
      </w:pPr>
      <w:r>
        <w:rPr>
          <w:rFonts w:hint="eastAsia" w:ascii="宋体" w:hAnsi="宋体"/>
          <w:sz w:val="24"/>
        </w:rPr>
        <w:t>在任务报检、报告录入、报告校核环节，提供系统自动提取和手工录入两种方式，根据技术参数、检验项目等因素实现自动计算安全阀委托检验检验费用的工具，并展示费用明细</w:t>
      </w:r>
    </w:p>
    <w:p w14:paraId="5223EDBC">
      <w:pPr>
        <w:rPr>
          <w:rFonts w:hint="eastAsia" w:ascii="宋体" w:hAnsi="宋体"/>
          <w:b/>
          <w:bCs/>
          <w:sz w:val="24"/>
        </w:rPr>
      </w:pPr>
      <w:r>
        <w:rPr>
          <w:rFonts w:hint="eastAsia" w:ascii="宋体" w:hAnsi="宋体"/>
          <w:b/>
          <w:bCs/>
          <w:sz w:val="24"/>
        </w:rPr>
        <w:t>2.2.3.5无损检查项目计费工具</w:t>
      </w:r>
    </w:p>
    <w:p w14:paraId="476439E3">
      <w:pPr>
        <w:ind w:firstLine="480" w:firstLineChars="200"/>
        <w:rPr>
          <w:rFonts w:hint="eastAsia" w:ascii="宋体" w:hAnsi="宋体"/>
          <w:sz w:val="24"/>
        </w:rPr>
      </w:pPr>
      <w:r>
        <w:rPr>
          <w:rFonts w:hint="eastAsia" w:ascii="宋体" w:hAnsi="宋体"/>
          <w:sz w:val="24"/>
        </w:rPr>
        <w:t>根据外径、高度、厚度等技术参数、通过系统自动提取报告中的值，实现无损委托检验检查项目自动计费。</w:t>
      </w:r>
    </w:p>
    <w:p w14:paraId="6B0D8537">
      <w:pPr>
        <w:widowControl/>
        <w:rPr>
          <w:rFonts w:hint="eastAsia" w:ascii="宋体" w:hAnsi="宋体" w:cs="宋体"/>
          <w:b/>
          <w:bCs/>
          <w:color w:val="000000"/>
          <w:kern w:val="0"/>
          <w:sz w:val="24"/>
        </w:rPr>
      </w:pPr>
      <w:r>
        <w:rPr>
          <w:rFonts w:hint="eastAsia" w:ascii="宋体" w:hAnsi="宋体" w:cs="宋体"/>
          <w:b/>
          <w:bCs/>
          <w:color w:val="000000"/>
          <w:kern w:val="0"/>
          <w:sz w:val="24"/>
        </w:rPr>
        <w:t>2.3搭建</w:t>
      </w:r>
      <w:r>
        <w:rPr>
          <w:rFonts w:hint="eastAsia" w:ascii="宋体" w:hAnsi="宋体" w:cs="___WRD_EMBED_SUB_47"/>
          <w:b/>
          <w:bCs/>
          <w:color w:val="000000"/>
          <w:kern w:val="0"/>
          <w:sz w:val="24"/>
        </w:rPr>
        <w:t>制</w:t>
      </w:r>
      <w:r>
        <w:rPr>
          <w:rFonts w:hint="eastAsia" w:ascii="宋体" w:hAnsi="宋体" w:cs="宋体"/>
          <w:b/>
          <w:bCs/>
          <w:color w:val="000000"/>
          <w:kern w:val="0"/>
          <w:sz w:val="24"/>
        </w:rPr>
        <w:t>造</w:t>
      </w:r>
      <w:r>
        <w:rPr>
          <w:rFonts w:hint="eastAsia" w:ascii="宋体" w:hAnsi="宋体" w:cs="___WRD_EMBED_SUB_47"/>
          <w:b/>
          <w:bCs/>
          <w:color w:val="000000"/>
          <w:kern w:val="0"/>
          <w:sz w:val="24"/>
        </w:rPr>
        <w:t>监检自动计</w:t>
      </w:r>
      <w:r>
        <w:rPr>
          <w:rFonts w:hint="eastAsia" w:ascii="宋体" w:hAnsi="宋体" w:cs="宋体"/>
          <w:b/>
          <w:bCs/>
          <w:color w:val="000000"/>
          <w:kern w:val="0"/>
          <w:sz w:val="24"/>
        </w:rPr>
        <w:t>费模块</w:t>
      </w:r>
    </w:p>
    <w:p w14:paraId="00BC8153">
      <w:pPr>
        <w:widowControl/>
        <w:rPr>
          <w:rFonts w:hint="eastAsia" w:ascii="宋体" w:hAnsi="宋体" w:cs="宋体"/>
          <w:b/>
          <w:bCs/>
          <w:color w:val="000000"/>
          <w:kern w:val="0"/>
          <w:sz w:val="24"/>
        </w:rPr>
      </w:pPr>
      <w:r>
        <w:rPr>
          <w:rFonts w:hint="eastAsia" w:ascii="宋体" w:hAnsi="宋体" w:cs="宋体"/>
          <w:b/>
          <w:bCs/>
          <w:color w:val="000000"/>
          <w:kern w:val="0"/>
          <w:sz w:val="24"/>
        </w:rPr>
        <w:t>2.3.1制造</w:t>
      </w:r>
      <w:r>
        <w:rPr>
          <w:rFonts w:hint="eastAsia" w:ascii="宋体" w:hAnsi="宋体" w:cs="___WRD_EMBED_SUB_47"/>
          <w:b/>
          <w:bCs/>
          <w:color w:val="000000"/>
          <w:kern w:val="0"/>
          <w:sz w:val="24"/>
        </w:rPr>
        <w:t>监检计</w:t>
      </w:r>
      <w:r>
        <w:rPr>
          <w:rFonts w:hint="eastAsia" w:ascii="宋体" w:hAnsi="宋体" w:cs="宋体"/>
          <w:b/>
          <w:bCs/>
          <w:color w:val="000000"/>
          <w:kern w:val="0"/>
          <w:sz w:val="24"/>
        </w:rPr>
        <w:t>费</w:t>
      </w:r>
      <w:r>
        <w:rPr>
          <w:rFonts w:hint="eastAsia" w:ascii="宋体" w:hAnsi="宋体" w:cs="___WRD_EMBED_SUB_47"/>
          <w:b/>
          <w:bCs/>
          <w:color w:val="000000"/>
          <w:kern w:val="0"/>
          <w:sz w:val="24"/>
        </w:rPr>
        <w:t>规</w:t>
      </w:r>
      <w:r>
        <w:rPr>
          <w:rFonts w:hint="eastAsia" w:ascii="宋体" w:hAnsi="宋体" w:cs="宋体"/>
          <w:b/>
          <w:bCs/>
          <w:color w:val="000000"/>
          <w:kern w:val="0"/>
          <w:sz w:val="24"/>
        </w:rPr>
        <w:t>则</w:t>
      </w:r>
      <w:r>
        <w:rPr>
          <w:rFonts w:hint="eastAsia" w:ascii="宋体" w:hAnsi="宋体" w:cs="___WRD_EMBED_SUB_47"/>
          <w:b/>
          <w:bCs/>
          <w:color w:val="000000"/>
          <w:kern w:val="0"/>
          <w:sz w:val="24"/>
        </w:rPr>
        <w:t>管理</w:t>
      </w:r>
    </w:p>
    <w:p w14:paraId="5ABA07D2">
      <w:pPr>
        <w:rPr>
          <w:rFonts w:hint="eastAsia" w:ascii="宋体" w:hAnsi="宋体"/>
          <w:b/>
          <w:bCs/>
          <w:sz w:val="24"/>
        </w:rPr>
      </w:pPr>
      <w:r>
        <w:rPr>
          <w:rFonts w:hint="eastAsia" w:ascii="宋体" w:hAnsi="宋体" w:cs="宋体"/>
          <w:b/>
          <w:bCs/>
          <w:color w:val="000000"/>
          <w:kern w:val="0"/>
          <w:sz w:val="24"/>
        </w:rPr>
        <w:t>2.3.1.1</w:t>
      </w:r>
      <w:r>
        <w:rPr>
          <w:rFonts w:hint="eastAsia" w:ascii="宋体" w:hAnsi="宋体"/>
          <w:b/>
          <w:bCs/>
          <w:sz w:val="24"/>
        </w:rPr>
        <w:t>新建制造监检规则</w:t>
      </w:r>
    </w:p>
    <w:p w14:paraId="2DCAE5BF">
      <w:pPr>
        <w:ind w:firstLine="480" w:firstLineChars="200"/>
        <w:rPr>
          <w:rFonts w:hint="eastAsia" w:ascii="宋体" w:hAnsi="宋体"/>
          <w:sz w:val="24"/>
        </w:rPr>
      </w:pPr>
      <w:r>
        <w:rPr>
          <w:rFonts w:hint="eastAsia" w:ascii="宋体" w:hAnsi="宋体"/>
          <w:sz w:val="24"/>
        </w:rPr>
        <w:t>梳理制造监检相关设备委托检验计费规则，同时前置到系统页面</w:t>
      </w:r>
    </w:p>
    <w:p w14:paraId="5BDCA940">
      <w:pPr>
        <w:rPr>
          <w:rFonts w:hint="eastAsia" w:ascii="宋体" w:hAnsi="宋体"/>
          <w:b/>
          <w:bCs/>
          <w:sz w:val="24"/>
        </w:rPr>
      </w:pPr>
      <w:r>
        <w:rPr>
          <w:rFonts w:hint="eastAsia" w:ascii="宋体" w:hAnsi="宋体" w:cs="宋体"/>
          <w:b/>
          <w:bCs/>
          <w:color w:val="000000"/>
          <w:kern w:val="0"/>
          <w:sz w:val="24"/>
        </w:rPr>
        <w:t>2.3.1.2</w:t>
      </w:r>
      <w:r>
        <w:rPr>
          <w:rFonts w:hint="eastAsia" w:ascii="宋体" w:hAnsi="宋体"/>
          <w:b/>
          <w:bCs/>
          <w:sz w:val="24"/>
        </w:rPr>
        <w:t>制造监检计费规则管理</w:t>
      </w:r>
    </w:p>
    <w:p w14:paraId="3B55E66D">
      <w:pPr>
        <w:ind w:firstLine="480" w:firstLineChars="200"/>
        <w:rPr>
          <w:rFonts w:hint="eastAsia" w:ascii="宋体" w:hAnsi="宋体"/>
          <w:sz w:val="24"/>
        </w:rPr>
      </w:pPr>
      <w:r>
        <w:rPr>
          <w:rFonts w:hint="eastAsia" w:ascii="宋体" w:hAnsi="宋体"/>
          <w:sz w:val="24"/>
        </w:rPr>
        <w:t>实现制造监检计费规则的配置、编辑修改、校验比对、重载生效等功能</w:t>
      </w:r>
    </w:p>
    <w:p w14:paraId="6975A5D5">
      <w:pPr>
        <w:rPr>
          <w:rFonts w:hint="eastAsia" w:ascii="宋体" w:hAnsi="宋体"/>
          <w:b/>
          <w:bCs/>
          <w:sz w:val="24"/>
        </w:rPr>
      </w:pPr>
      <w:r>
        <w:rPr>
          <w:rFonts w:hint="eastAsia" w:ascii="宋体" w:hAnsi="宋体" w:cs="宋体"/>
          <w:b/>
          <w:bCs/>
          <w:color w:val="000000"/>
          <w:kern w:val="0"/>
          <w:sz w:val="24"/>
        </w:rPr>
        <w:t>2.3.1.3</w:t>
      </w:r>
      <w:r>
        <w:rPr>
          <w:rFonts w:hint="eastAsia" w:ascii="宋体" w:hAnsi="宋体"/>
          <w:b/>
          <w:bCs/>
          <w:sz w:val="24"/>
        </w:rPr>
        <w:t>计费规则停用</w:t>
      </w:r>
    </w:p>
    <w:p w14:paraId="6167CC18">
      <w:pPr>
        <w:ind w:firstLine="480" w:firstLineChars="200"/>
        <w:rPr>
          <w:rFonts w:hint="eastAsia" w:ascii="宋体" w:hAnsi="宋体"/>
          <w:sz w:val="24"/>
        </w:rPr>
      </w:pPr>
      <w:r>
        <w:rPr>
          <w:rFonts w:hint="eastAsia" w:ascii="宋体" w:hAnsi="宋体"/>
          <w:sz w:val="24"/>
        </w:rPr>
        <w:t>实现制造监检计费规则的停用、删除作废、重载生效等功能</w:t>
      </w:r>
    </w:p>
    <w:p w14:paraId="660DAE40">
      <w:pPr>
        <w:rPr>
          <w:rFonts w:hint="eastAsia" w:ascii="宋体" w:hAnsi="宋体"/>
          <w:b/>
          <w:bCs/>
          <w:sz w:val="24"/>
        </w:rPr>
      </w:pPr>
      <w:r>
        <w:rPr>
          <w:rFonts w:hint="eastAsia" w:ascii="宋体" w:hAnsi="宋体" w:cs="宋体"/>
          <w:b/>
          <w:bCs/>
          <w:color w:val="000000"/>
          <w:kern w:val="0"/>
          <w:sz w:val="24"/>
        </w:rPr>
        <w:t>2.3.1.4</w:t>
      </w:r>
      <w:r>
        <w:rPr>
          <w:rFonts w:hint="eastAsia" w:ascii="宋体" w:hAnsi="宋体"/>
          <w:b/>
          <w:bCs/>
          <w:sz w:val="24"/>
        </w:rPr>
        <w:t>计费规则查询</w:t>
      </w:r>
    </w:p>
    <w:p w14:paraId="35E2BEEB">
      <w:pPr>
        <w:ind w:firstLine="480" w:firstLineChars="200"/>
        <w:rPr>
          <w:rFonts w:hint="eastAsia" w:ascii="宋体" w:hAnsi="宋体"/>
          <w:sz w:val="24"/>
        </w:rPr>
      </w:pPr>
      <w:r>
        <w:rPr>
          <w:rFonts w:hint="eastAsia" w:ascii="宋体" w:hAnsi="宋体"/>
          <w:sz w:val="24"/>
        </w:rPr>
        <w:t>实现制造监检计费规则的查询、导出等功能</w:t>
      </w:r>
    </w:p>
    <w:p w14:paraId="56C305E7">
      <w:pPr>
        <w:rPr>
          <w:rFonts w:hint="eastAsia" w:ascii="宋体" w:hAnsi="宋体"/>
          <w:b/>
          <w:bCs/>
          <w:sz w:val="24"/>
        </w:rPr>
      </w:pPr>
      <w:r>
        <w:rPr>
          <w:rFonts w:hint="eastAsia" w:ascii="宋体" w:hAnsi="宋体"/>
          <w:b/>
          <w:bCs/>
          <w:sz w:val="24"/>
        </w:rPr>
        <w:t>2.3.2制造监检收费标准管理</w:t>
      </w:r>
    </w:p>
    <w:p w14:paraId="12C6422B">
      <w:pPr>
        <w:rPr>
          <w:rFonts w:hint="eastAsia" w:ascii="宋体" w:hAnsi="宋体"/>
          <w:b/>
          <w:bCs/>
          <w:sz w:val="24"/>
        </w:rPr>
      </w:pPr>
      <w:r>
        <w:rPr>
          <w:rFonts w:hint="eastAsia" w:ascii="宋体" w:hAnsi="宋体"/>
          <w:b/>
          <w:bCs/>
          <w:sz w:val="24"/>
        </w:rPr>
        <w:t>2.3.2.1收费标准上传管理</w:t>
      </w:r>
    </w:p>
    <w:p w14:paraId="5AE51787">
      <w:pPr>
        <w:ind w:firstLine="480" w:firstLineChars="200"/>
        <w:rPr>
          <w:rFonts w:hint="eastAsia" w:ascii="宋体" w:hAnsi="宋体"/>
          <w:sz w:val="24"/>
        </w:rPr>
      </w:pPr>
      <w:r>
        <w:rPr>
          <w:rFonts w:hint="eastAsia" w:ascii="宋体" w:hAnsi="宋体"/>
          <w:sz w:val="24"/>
        </w:rPr>
        <w:t>实现制造监检收费标准的创建上传、编辑等功能</w:t>
      </w:r>
    </w:p>
    <w:p w14:paraId="21C480D1">
      <w:pPr>
        <w:rPr>
          <w:rFonts w:hint="eastAsia" w:ascii="宋体" w:hAnsi="宋体"/>
          <w:b/>
          <w:bCs/>
          <w:sz w:val="24"/>
        </w:rPr>
      </w:pPr>
      <w:r>
        <w:rPr>
          <w:rFonts w:hint="eastAsia" w:ascii="宋体" w:hAnsi="宋体"/>
          <w:b/>
          <w:bCs/>
          <w:sz w:val="24"/>
        </w:rPr>
        <w:t>2.3.2.2收费标准作废管理</w:t>
      </w:r>
    </w:p>
    <w:p w14:paraId="0A8EA58D">
      <w:pPr>
        <w:ind w:firstLine="480" w:firstLineChars="200"/>
        <w:rPr>
          <w:rFonts w:hint="eastAsia" w:ascii="宋体" w:hAnsi="宋体"/>
          <w:sz w:val="24"/>
        </w:rPr>
      </w:pPr>
      <w:r>
        <w:rPr>
          <w:rFonts w:hint="eastAsia" w:ascii="宋体" w:hAnsi="宋体"/>
          <w:sz w:val="24"/>
        </w:rPr>
        <w:t>实现制造监检收费标准的停用、作废等功能</w:t>
      </w:r>
    </w:p>
    <w:p w14:paraId="1D71BA9D">
      <w:pPr>
        <w:rPr>
          <w:rFonts w:hint="eastAsia" w:ascii="宋体" w:hAnsi="宋体"/>
          <w:b/>
          <w:bCs/>
          <w:sz w:val="24"/>
        </w:rPr>
      </w:pPr>
      <w:r>
        <w:rPr>
          <w:rFonts w:hint="eastAsia" w:ascii="宋体" w:hAnsi="宋体"/>
          <w:b/>
          <w:bCs/>
          <w:sz w:val="24"/>
        </w:rPr>
        <w:t>2.3.2.3收费标准查阅</w:t>
      </w:r>
    </w:p>
    <w:p w14:paraId="2F10C8D7">
      <w:pPr>
        <w:ind w:firstLine="480" w:firstLineChars="200"/>
        <w:rPr>
          <w:rFonts w:hint="eastAsia" w:ascii="宋体" w:hAnsi="宋体"/>
          <w:sz w:val="24"/>
        </w:rPr>
      </w:pPr>
      <w:r>
        <w:rPr>
          <w:rFonts w:hint="eastAsia" w:ascii="宋体" w:hAnsi="宋体"/>
          <w:sz w:val="24"/>
        </w:rPr>
        <w:t>实现制造监检收费标准的在线预览、查询和导出等功能</w:t>
      </w:r>
    </w:p>
    <w:p w14:paraId="31F5B59A">
      <w:pPr>
        <w:rPr>
          <w:rFonts w:hint="eastAsia" w:ascii="宋体" w:hAnsi="宋体"/>
          <w:b/>
          <w:bCs/>
          <w:sz w:val="24"/>
        </w:rPr>
      </w:pPr>
      <w:r>
        <w:rPr>
          <w:rFonts w:hint="eastAsia" w:ascii="宋体" w:hAnsi="宋体"/>
          <w:b/>
          <w:bCs/>
          <w:sz w:val="24"/>
        </w:rPr>
        <w:t>2.3.3制造监检计费工具</w:t>
      </w:r>
    </w:p>
    <w:p w14:paraId="3A449216">
      <w:pPr>
        <w:rPr>
          <w:rFonts w:hint="eastAsia" w:ascii="宋体" w:hAnsi="宋体"/>
          <w:b/>
          <w:bCs/>
          <w:sz w:val="24"/>
        </w:rPr>
      </w:pPr>
      <w:r>
        <w:rPr>
          <w:rFonts w:hint="eastAsia" w:ascii="宋体" w:hAnsi="宋体"/>
          <w:b/>
          <w:bCs/>
          <w:sz w:val="24"/>
        </w:rPr>
        <w:t>2.3.3.1制造监检计费工具</w:t>
      </w:r>
    </w:p>
    <w:p w14:paraId="73A53838">
      <w:pPr>
        <w:ind w:firstLine="480" w:firstLineChars="200"/>
        <w:rPr>
          <w:rFonts w:hint="eastAsia" w:ascii="宋体" w:hAnsi="宋体"/>
          <w:sz w:val="24"/>
        </w:rPr>
      </w:pPr>
      <w:r>
        <w:rPr>
          <w:rFonts w:hint="eastAsia" w:ascii="宋体" w:hAnsi="宋体"/>
          <w:sz w:val="24"/>
        </w:rPr>
        <w:t>在任务报检、报告录入、报告校核环节，提供系统自动提取和手工录入两种方式，根据技术参数、检验项目等因素实现自动计算制造监检检验费用的工具，并展示费用明细</w:t>
      </w:r>
    </w:p>
    <w:p w14:paraId="246AC191">
      <w:pPr>
        <w:rPr>
          <w:rFonts w:hint="eastAsia" w:ascii="宋体" w:hAnsi="宋体"/>
          <w:b/>
          <w:bCs/>
          <w:sz w:val="24"/>
        </w:rPr>
      </w:pPr>
      <w:r>
        <w:rPr>
          <w:rFonts w:hint="eastAsia" w:ascii="宋体" w:hAnsi="宋体"/>
          <w:b/>
          <w:bCs/>
          <w:sz w:val="24"/>
        </w:rPr>
        <w:t>2.4发票管理</w:t>
      </w:r>
    </w:p>
    <w:p w14:paraId="2E90B005">
      <w:pPr>
        <w:rPr>
          <w:rFonts w:hint="eastAsia" w:ascii="宋体" w:hAnsi="宋体"/>
          <w:b/>
          <w:bCs/>
          <w:sz w:val="24"/>
        </w:rPr>
      </w:pPr>
      <w:r>
        <w:rPr>
          <w:rFonts w:hint="eastAsia" w:ascii="宋体" w:hAnsi="宋体"/>
          <w:b/>
          <w:bCs/>
          <w:sz w:val="24"/>
        </w:rPr>
        <w:t>2.4.1报检业务开票</w:t>
      </w:r>
    </w:p>
    <w:p w14:paraId="7FBD6935">
      <w:pPr>
        <w:rPr>
          <w:rFonts w:hint="eastAsia" w:ascii="宋体" w:hAnsi="宋体"/>
          <w:b/>
          <w:bCs/>
          <w:sz w:val="24"/>
        </w:rPr>
      </w:pPr>
      <w:r>
        <w:rPr>
          <w:rFonts w:hint="eastAsia" w:ascii="宋体" w:hAnsi="宋体"/>
          <w:b/>
          <w:bCs/>
          <w:sz w:val="24"/>
        </w:rPr>
        <w:t>2.4.1.1缴费确认开票申请</w:t>
      </w:r>
    </w:p>
    <w:p w14:paraId="207A1BB4">
      <w:pPr>
        <w:ind w:firstLine="480" w:firstLineChars="200"/>
        <w:rPr>
          <w:rFonts w:hint="eastAsia" w:ascii="宋体" w:hAnsi="宋体"/>
          <w:sz w:val="24"/>
        </w:rPr>
      </w:pPr>
      <w:r>
        <w:rPr>
          <w:rFonts w:hint="eastAsia" w:ascii="宋体" w:hAnsi="宋体"/>
          <w:sz w:val="24"/>
        </w:rPr>
        <w:t>支持报检缴费确认环节的在线开票申请，调用数电发票接口，实现自动开票，支持多任务单合并开票申请</w:t>
      </w:r>
    </w:p>
    <w:p w14:paraId="07858F34">
      <w:pPr>
        <w:rPr>
          <w:rFonts w:hint="eastAsia" w:ascii="宋体" w:hAnsi="宋体"/>
          <w:b/>
          <w:bCs/>
          <w:sz w:val="24"/>
        </w:rPr>
      </w:pPr>
      <w:r>
        <w:rPr>
          <w:rFonts w:hint="eastAsia" w:ascii="宋体" w:hAnsi="宋体"/>
          <w:b/>
          <w:bCs/>
          <w:sz w:val="24"/>
        </w:rPr>
        <w:t>2.4.1.2开票信息确认</w:t>
      </w:r>
    </w:p>
    <w:p w14:paraId="29D363F5">
      <w:pPr>
        <w:ind w:firstLine="480" w:firstLineChars="200"/>
        <w:rPr>
          <w:rFonts w:hint="eastAsia" w:ascii="宋体" w:hAnsi="宋体"/>
          <w:sz w:val="24"/>
        </w:rPr>
      </w:pPr>
      <w:r>
        <w:rPr>
          <w:rFonts w:hint="eastAsia" w:ascii="宋体" w:hAnsi="宋体"/>
          <w:sz w:val="24"/>
        </w:rPr>
        <w:t>支持开票人员对开票信息的二次核查确认</w:t>
      </w:r>
    </w:p>
    <w:p w14:paraId="2DAE6BF9">
      <w:pPr>
        <w:rPr>
          <w:rFonts w:hint="eastAsia" w:ascii="宋体" w:hAnsi="宋体"/>
          <w:b/>
          <w:bCs/>
          <w:sz w:val="24"/>
        </w:rPr>
      </w:pPr>
      <w:r>
        <w:rPr>
          <w:rFonts w:hint="eastAsia" w:ascii="宋体" w:hAnsi="宋体"/>
          <w:b/>
          <w:bCs/>
          <w:sz w:val="24"/>
        </w:rPr>
        <w:t>2.4.1.3发票信息更新</w:t>
      </w:r>
    </w:p>
    <w:p w14:paraId="1770EB41">
      <w:pPr>
        <w:ind w:firstLine="480" w:firstLineChars="200"/>
        <w:rPr>
          <w:rFonts w:hint="eastAsia" w:ascii="宋体" w:hAnsi="宋体"/>
          <w:sz w:val="24"/>
        </w:rPr>
      </w:pPr>
      <w:r>
        <w:rPr>
          <w:rFonts w:hint="eastAsia" w:ascii="宋体" w:hAnsi="宋体"/>
          <w:sz w:val="24"/>
        </w:rPr>
        <w:t>实现发票与任务单的自动关联及发票信息的自动更新</w:t>
      </w:r>
    </w:p>
    <w:p w14:paraId="61FDCE24">
      <w:pPr>
        <w:rPr>
          <w:rFonts w:hint="eastAsia" w:ascii="宋体" w:hAnsi="宋体"/>
          <w:b/>
          <w:bCs/>
          <w:sz w:val="24"/>
        </w:rPr>
      </w:pPr>
      <w:r>
        <w:rPr>
          <w:rFonts w:hint="eastAsia" w:ascii="宋体" w:hAnsi="宋体"/>
          <w:b/>
          <w:bCs/>
          <w:sz w:val="24"/>
        </w:rPr>
        <w:t>2.4.2合同协议开票</w:t>
      </w:r>
    </w:p>
    <w:p w14:paraId="60DA1763">
      <w:pPr>
        <w:rPr>
          <w:rFonts w:hint="eastAsia" w:ascii="宋体" w:hAnsi="宋体"/>
          <w:b/>
          <w:bCs/>
          <w:sz w:val="24"/>
        </w:rPr>
      </w:pPr>
      <w:r>
        <w:rPr>
          <w:rFonts w:hint="eastAsia" w:ascii="宋体" w:hAnsi="宋体"/>
          <w:b/>
          <w:bCs/>
          <w:sz w:val="24"/>
        </w:rPr>
        <w:t>2.4.2.1合同协议开票申请</w:t>
      </w:r>
    </w:p>
    <w:p w14:paraId="29C028C7">
      <w:pPr>
        <w:ind w:firstLine="480" w:firstLineChars="200"/>
        <w:rPr>
          <w:rFonts w:hint="eastAsia" w:ascii="宋体" w:hAnsi="宋体"/>
          <w:sz w:val="24"/>
        </w:rPr>
      </w:pPr>
      <w:r>
        <w:rPr>
          <w:rFonts w:hint="eastAsia" w:ascii="宋体" w:hAnsi="宋体"/>
          <w:sz w:val="24"/>
        </w:rPr>
        <w:t>合同协议管理增加发票的在线申请，调用数电发票接口，实现自动开票。</w:t>
      </w:r>
    </w:p>
    <w:p w14:paraId="4BE91EC7">
      <w:pPr>
        <w:rPr>
          <w:rFonts w:hint="eastAsia" w:ascii="宋体" w:hAnsi="宋体"/>
          <w:b/>
          <w:bCs/>
          <w:sz w:val="24"/>
        </w:rPr>
      </w:pPr>
      <w:r>
        <w:rPr>
          <w:rFonts w:hint="eastAsia" w:ascii="宋体" w:hAnsi="宋体"/>
          <w:b/>
          <w:bCs/>
          <w:sz w:val="24"/>
        </w:rPr>
        <w:t>2.4.2.2开票信息确认</w:t>
      </w:r>
    </w:p>
    <w:p w14:paraId="494E92E2">
      <w:pPr>
        <w:ind w:firstLine="480" w:firstLineChars="200"/>
        <w:rPr>
          <w:rFonts w:hint="eastAsia" w:ascii="宋体" w:hAnsi="宋体"/>
          <w:sz w:val="24"/>
        </w:rPr>
      </w:pPr>
      <w:r>
        <w:rPr>
          <w:rFonts w:hint="eastAsia" w:ascii="宋体" w:hAnsi="宋体"/>
          <w:sz w:val="24"/>
        </w:rPr>
        <w:t>支持开票人员对开票信息的二次核查确认</w:t>
      </w:r>
    </w:p>
    <w:p w14:paraId="6665B2BA">
      <w:pPr>
        <w:rPr>
          <w:rFonts w:hint="eastAsia" w:ascii="宋体" w:hAnsi="宋体"/>
          <w:b/>
          <w:bCs/>
          <w:sz w:val="24"/>
        </w:rPr>
      </w:pPr>
      <w:r>
        <w:rPr>
          <w:rFonts w:hint="eastAsia" w:ascii="宋体" w:hAnsi="宋体"/>
          <w:b/>
          <w:bCs/>
          <w:sz w:val="24"/>
        </w:rPr>
        <w:t>2.4.2.3发票信息更新</w:t>
      </w:r>
    </w:p>
    <w:p w14:paraId="66868679">
      <w:pPr>
        <w:ind w:firstLine="480" w:firstLineChars="200"/>
        <w:rPr>
          <w:rFonts w:hint="eastAsia" w:ascii="宋体" w:hAnsi="宋体"/>
          <w:sz w:val="24"/>
        </w:rPr>
      </w:pPr>
      <w:r>
        <w:rPr>
          <w:rFonts w:hint="eastAsia" w:ascii="宋体" w:hAnsi="宋体"/>
          <w:sz w:val="24"/>
        </w:rPr>
        <w:t>实现发票与合同的自动关联及发票信息的自动更新</w:t>
      </w:r>
    </w:p>
    <w:p w14:paraId="51E1C84B">
      <w:pPr>
        <w:rPr>
          <w:rFonts w:hint="eastAsia" w:ascii="宋体" w:hAnsi="宋体"/>
          <w:b/>
          <w:bCs/>
          <w:sz w:val="24"/>
        </w:rPr>
      </w:pPr>
      <w:r>
        <w:rPr>
          <w:rFonts w:hint="eastAsia" w:ascii="宋体" w:hAnsi="宋体"/>
          <w:b/>
          <w:bCs/>
          <w:sz w:val="24"/>
        </w:rPr>
        <w:t>2.4.3基础设置管理</w:t>
      </w:r>
    </w:p>
    <w:p w14:paraId="5DCDB425">
      <w:pPr>
        <w:rPr>
          <w:rFonts w:hint="eastAsia" w:ascii="宋体" w:hAnsi="宋体"/>
          <w:b/>
          <w:bCs/>
          <w:sz w:val="24"/>
        </w:rPr>
      </w:pPr>
      <w:r>
        <w:rPr>
          <w:rFonts w:hint="eastAsia" w:ascii="宋体" w:hAnsi="宋体"/>
          <w:b/>
          <w:bCs/>
          <w:sz w:val="24"/>
        </w:rPr>
        <w:t>2.4.3.1客户信息管理</w:t>
      </w:r>
    </w:p>
    <w:p w14:paraId="3784D38C">
      <w:pPr>
        <w:ind w:firstLine="480" w:firstLineChars="200"/>
        <w:rPr>
          <w:rFonts w:hint="eastAsia" w:ascii="宋体" w:hAnsi="宋体"/>
          <w:sz w:val="24"/>
        </w:rPr>
      </w:pPr>
      <w:r>
        <w:rPr>
          <w:rFonts w:hint="eastAsia" w:ascii="宋体" w:hAnsi="宋体"/>
          <w:sz w:val="24"/>
        </w:rPr>
        <w:t>对客户信息进行管理，支持查询、新增、删除、修改、导出每个客户信息</w:t>
      </w:r>
    </w:p>
    <w:p w14:paraId="7DB46F1B">
      <w:pPr>
        <w:rPr>
          <w:rFonts w:hint="eastAsia" w:ascii="宋体" w:hAnsi="宋体"/>
          <w:b/>
          <w:bCs/>
          <w:sz w:val="24"/>
        </w:rPr>
      </w:pPr>
      <w:r>
        <w:rPr>
          <w:rFonts w:hint="eastAsia" w:ascii="宋体" w:hAnsi="宋体"/>
          <w:b/>
          <w:bCs/>
          <w:sz w:val="24"/>
        </w:rPr>
        <w:t>2.4.3.2商品信息管理</w:t>
      </w:r>
    </w:p>
    <w:p w14:paraId="0E17696E">
      <w:pPr>
        <w:ind w:firstLine="480" w:firstLineChars="200"/>
        <w:rPr>
          <w:rFonts w:hint="eastAsia" w:ascii="宋体" w:hAnsi="宋体"/>
          <w:sz w:val="24"/>
        </w:rPr>
      </w:pPr>
      <w:r>
        <w:rPr>
          <w:rFonts w:hint="eastAsia" w:ascii="宋体" w:hAnsi="宋体"/>
          <w:sz w:val="24"/>
        </w:rPr>
        <w:t>维护企业内部商品信息，通过与税收分类编码对应，实现开票事项处理。同时支持对商品信息的新增、删除、启用、停用操作</w:t>
      </w:r>
    </w:p>
    <w:p w14:paraId="333455F0">
      <w:pPr>
        <w:rPr>
          <w:rFonts w:hint="eastAsia" w:ascii="宋体" w:hAnsi="宋体"/>
          <w:b/>
          <w:bCs/>
          <w:sz w:val="24"/>
        </w:rPr>
      </w:pPr>
      <w:r>
        <w:rPr>
          <w:rFonts w:hint="eastAsia" w:ascii="宋体" w:hAnsi="宋体"/>
          <w:b/>
          <w:bCs/>
          <w:sz w:val="24"/>
        </w:rPr>
        <w:t>2.4.3.3销货单位管理</w:t>
      </w:r>
    </w:p>
    <w:p w14:paraId="79D19BC5">
      <w:pPr>
        <w:ind w:firstLine="480" w:firstLineChars="200"/>
        <w:rPr>
          <w:rFonts w:hint="eastAsia" w:ascii="宋体" w:hAnsi="宋体"/>
          <w:sz w:val="24"/>
        </w:rPr>
      </w:pPr>
      <w:r>
        <w:rPr>
          <w:rFonts w:hint="eastAsia" w:ascii="宋体" w:hAnsi="宋体"/>
          <w:sz w:val="24"/>
        </w:rPr>
        <w:t>对销货单位信息进行新建、修改和删除操作，包含纳税人的基本信息和风险信息。支持通过菜单上的同步按钮实时调用乐企接口，获取纳税人最新的信息</w:t>
      </w:r>
    </w:p>
    <w:p w14:paraId="7951CE9F">
      <w:pPr>
        <w:rPr>
          <w:rFonts w:hint="eastAsia" w:ascii="宋体" w:hAnsi="宋体"/>
          <w:b/>
          <w:bCs/>
          <w:sz w:val="24"/>
        </w:rPr>
      </w:pPr>
      <w:r>
        <w:rPr>
          <w:rFonts w:hint="eastAsia" w:ascii="宋体" w:hAnsi="宋体"/>
          <w:b/>
          <w:bCs/>
          <w:sz w:val="24"/>
        </w:rPr>
        <w:t>2.4.3.4开票点管理</w:t>
      </w:r>
    </w:p>
    <w:p w14:paraId="5270A5EB">
      <w:pPr>
        <w:ind w:firstLine="480" w:firstLineChars="200"/>
        <w:rPr>
          <w:rFonts w:hint="eastAsia" w:ascii="宋体" w:hAnsi="宋体"/>
          <w:sz w:val="24"/>
        </w:rPr>
      </w:pPr>
      <w:r>
        <w:rPr>
          <w:rFonts w:hint="eastAsia" w:ascii="宋体" w:hAnsi="宋体"/>
          <w:sz w:val="24"/>
        </w:rPr>
        <w:t>对开票点信息进行管理，可查询、新增、修改开票点信息，并支持在开票点上配置开票员。支持按照开票点虚拟分配发票额度功能</w:t>
      </w:r>
    </w:p>
    <w:p w14:paraId="469A0176">
      <w:pPr>
        <w:rPr>
          <w:rFonts w:hint="eastAsia" w:ascii="宋体" w:hAnsi="宋体"/>
          <w:b/>
          <w:bCs/>
          <w:sz w:val="24"/>
        </w:rPr>
      </w:pPr>
      <w:r>
        <w:rPr>
          <w:rFonts w:hint="eastAsia" w:ascii="宋体" w:hAnsi="宋体"/>
          <w:b/>
          <w:bCs/>
          <w:sz w:val="24"/>
        </w:rPr>
        <w:t>2.4.3.5税目信息管理</w:t>
      </w:r>
    </w:p>
    <w:p w14:paraId="1D36E496">
      <w:pPr>
        <w:ind w:firstLine="480" w:firstLineChars="200"/>
        <w:rPr>
          <w:rFonts w:hint="eastAsia" w:ascii="宋体" w:hAnsi="宋体"/>
          <w:sz w:val="24"/>
        </w:rPr>
      </w:pPr>
      <w:r>
        <w:rPr>
          <w:rFonts w:hint="eastAsia" w:ascii="宋体" w:hAnsi="宋体"/>
          <w:sz w:val="24"/>
        </w:rPr>
        <w:t>对税目信息进行管理，可查询、新增、修改、删除税目记录</w:t>
      </w:r>
    </w:p>
    <w:p w14:paraId="5DEC045D">
      <w:pPr>
        <w:rPr>
          <w:rFonts w:hint="eastAsia" w:ascii="宋体" w:hAnsi="宋体"/>
          <w:b/>
          <w:bCs/>
          <w:sz w:val="24"/>
        </w:rPr>
      </w:pPr>
      <w:r>
        <w:rPr>
          <w:rFonts w:hint="eastAsia" w:ascii="宋体" w:hAnsi="宋体"/>
          <w:b/>
          <w:bCs/>
          <w:sz w:val="24"/>
        </w:rPr>
        <w:t>2.4.3.6预赋码管理</w:t>
      </w:r>
    </w:p>
    <w:p w14:paraId="427054A1">
      <w:pPr>
        <w:ind w:firstLine="480" w:firstLineChars="200"/>
        <w:rPr>
          <w:rFonts w:hint="eastAsia" w:ascii="宋体" w:hAnsi="宋体"/>
          <w:sz w:val="24"/>
        </w:rPr>
      </w:pPr>
      <w:r>
        <w:rPr>
          <w:rFonts w:hint="eastAsia" w:ascii="宋体" w:hAnsi="宋体"/>
          <w:sz w:val="24"/>
        </w:rPr>
        <w:t>查询本地未使用数电发票号码段，判断是否低于设定的阈值，如果低于阈值支持自动调用税局获取预赋码，也支持手工调用税务局端接口重新获取数电发票批量预赋码信息</w:t>
      </w:r>
    </w:p>
    <w:p w14:paraId="6A6B6D17">
      <w:pPr>
        <w:rPr>
          <w:rFonts w:hint="eastAsia" w:ascii="宋体" w:hAnsi="宋体"/>
          <w:b/>
          <w:bCs/>
          <w:sz w:val="24"/>
        </w:rPr>
      </w:pPr>
      <w:r>
        <w:rPr>
          <w:rFonts w:hint="eastAsia" w:ascii="宋体" w:hAnsi="宋体"/>
          <w:b/>
          <w:bCs/>
          <w:sz w:val="24"/>
        </w:rPr>
        <w:t>2.4.3.7授信额度管理</w:t>
      </w:r>
    </w:p>
    <w:p w14:paraId="36450BEF">
      <w:pPr>
        <w:ind w:firstLine="480" w:firstLineChars="200"/>
        <w:rPr>
          <w:rFonts w:hint="eastAsia" w:ascii="宋体" w:hAnsi="宋体"/>
          <w:sz w:val="24"/>
        </w:rPr>
      </w:pPr>
      <w:r>
        <w:rPr>
          <w:rFonts w:hint="eastAsia" w:ascii="宋体" w:hAnsi="宋体"/>
          <w:sz w:val="24"/>
        </w:rPr>
        <w:t>查询企业授信额度信息，包括本月可用额度、已下载未使用额度、额度有效期等信息。企业电子税局、企业增值税发票系统、数电发票平台系统将共享企业总发票授信额度。</w:t>
      </w:r>
    </w:p>
    <w:p w14:paraId="11E79DFA">
      <w:pPr>
        <w:rPr>
          <w:rFonts w:hint="eastAsia" w:ascii="宋体" w:hAnsi="宋体"/>
          <w:b/>
          <w:bCs/>
          <w:sz w:val="24"/>
        </w:rPr>
      </w:pPr>
      <w:r>
        <w:rPr>
          <w:rFonts w:hint="eastAsia" w:ascii="宋体" w:hAnsi="宋体"/>
          <w:b/>
          <w:bCs/>
          <w:sz w:val="24"/>
        </w:rPr>
        <w:t>2.4.4开票管理</w:t>
      </w:r>
    </w:p>
    <w:p w14:paraId="7DA4449A">
      <w:pPr>
        <w:rPr>
          <w:rFonts w:hint="eastAsia" w:ascii="宋体" w:hAnsi="宋体"/>
          <w:b/>
          <w:bCs/>
          <w:sz w:val="24"/>
        </w:rPr>
      </w:pPr>
      <w:r>
        <w:rPr>
          <w:rFonts w:hint="eastAsia" w:ascii="宋体" w:hAnsi="宋体"/>
          <w:b/>
          <w:bCs/>
          <w:sz w:val="24"/>
        </w:rPr>
        <w:t>2.4.4.1开票记录查询</w:t>
      </w:r>
    </w:p>
    <w:p w14:paraId="21E8BE69">
      <w:pPr>
        <w:ind w:firstLine="480" w:firstLineChars="200"/>
        <w:rPr>
          <w:rFonts w:hint="eastAsia" w:ascii="宋体" w:hAnsi="宋体"/>
          <w:sz w:val="24"/>
        </w:rPr>
      </w:pPr>
      <w:r>
        <w:rPr>
          <w:rFonts w:hint="eastAsia" w:ascii="宋体" w:hAnsi="宋体"/>
          <w:sz w:val="24"/>
        </w:rPr>
        <w:t>支持在任务单缴费确认页面或任务单详情页面中查看相关发票信息。</w:t>
      </w:r>
    </w:p>
    <w:p w14:paraId="78DD7C5C">
      <w:pPr>
        <w:rPr>
          <w:rFonts w:hint="eastAsia" w:ascii="宋体" w:hAnsi="宋体"/>
          <w:b/>
          <w:bCs/>
          <w:sz w:val="24"/>
        </w:rPr>
      </w:pPr>
      <w:r>
        <w:rPr>
          <w:rFonts w:hint="eastAsia" w:ascii="宋体" w:hAnsi="宋体"/>
          <w:b/>
          <w:bCs/>
          <w:sz w:val="24"/>
        </w:rPr>
        <w:t>2.4.4.2开票状态追踪</w:t>
      </w:r>
    </w:p>
    <w:p w14:paraId="63F8DACB">
      <w:pPr>
        <w:ind w:firstLine="480" w:firstLineChars="200"/>
        <w:rPr>
          <w:rFonts w:hint="eastAsia" w:ascii="宋体" w:hAnsi="宋体"/>
          <w:sz w:val="24"/>
        </w:rPr>
      </w:pPr>
      <w:r>
        <w:rPr>
          <w:rFonts w:hint="eastAsia" w:ascii="宋体" w:hAnsi="宋体"/>
          <w:sz w:val="24"/>
        </w:rPr>
        <w:t>支持显示发票的当前状态（如“已申请”“开票中”“开票完成”等），并允许追踪发票的进度</w:t>
      </w:r>
    </w:p>
    <w:p w14:paraId="5CEE83DF">
      <w:pPr>
        <w:rPr>
          <w:rFonts w:hint="eastAsia" w:ascii="宋体" w:hAnsi="宋体"/>
          <w:b/>
          <w:bCs/>
          <w:sz w:val="24"/>
        </w:rPr>
      </w:pPr>
      <w:r>
        <w:rPr>
          <w:rFonts w:hint="eastAsia" w:ascii="宋体" w:hAnsi="宋体"/>
          <w:b/>
          <w:bCs/>
          <w:sz w:val="24"/>
        </w:rPr>
        <w:t>2.4.4.3开票异常通知</w:t>
      </w:r>
    </w:p>
    <w:p w14:paraId="4545F1F4">
      <w:pPr>
        <w:ind w:firstLine="480" w:firstLineChars="200"/>
        <w:rPr>
          <w:rFonts w:hint="eastAsia" w:ascii="宋体" w:hAnsi="宋体"/>
          <w:sz w:val="24"/>
        </w:rPr>
      </w:pPr>
      <w:r>
        <w:rPr>
          <w:rFonts w:hint="eastAsia" w:ascii="宋体" w:hAnsi="宋体"/>
          <w:sz w:val="24"/>
        </w:rPr>
        <w:t>当开票过程中出现异常时，系统会通知相关用户，并在后台系统生成报警信息以便快速处理</w:t>
      </w:r>
    </w:p>
    <w:p w14:paraId="276005B8">
      <w:pPr>
        <w:rPr>
          <w:rFonts w:hint="eastAsia" w:ascii="宋体" w:hAnsi="宋体"/>
          <w:b/>
          <w:bCs/>
          <w:sz w:val="24"/>
        </w:rPr>
      </w:pPr>
      <w:r>
        <w:rPr>
          <w:rFonts w:hint="eastAsia" w:ascii="宋体" w:hAnsi="宋体"/>
          <w:b/>
          <w:bCs/>
          <w:sz w:val="24"/>
        </w:rPr>
        <w:t>2.4.4.4数电票手工开票</w:t>
      </w:r>
    </w:p>
    <w:p w14:paraId="29C822C9">
      <w:pPr>
        <w:ind w:firstLine="480" w:firstLineChars="200"/>
        <w:rPr>
          <w:rFonts w:hint="eastAsia" w:ascii="宋体" w:hAnsi="宋体"/>
          <w:sz w:val="24"/>
        </w:rPr>
      </w:pPr>
      <w:r>
        <w:rPr>
          <w:rFonts w:hint="eastAsia" w:ascii="宋体" w:hAnsi="宋体"/>
          <w:sz w:val="24"/>
        </w:rPr>
        <w:t>数电票手工开票功能，支持手工填写或者选择的方式录入购方信息，开票信息。手工开票数据填写完毕后支持票面预览、发票暂存。手工预制完成，可根据流程设置直接开票或者提交审核开票。</w:t>
      </w:r>
    </w:p>
    <w:p w14:paraId="7DEB42AC">
      <w:pPr>
        <w:rPr>
          <w:rFonts w:hint="eastAsia" w:ascii="宋体" w:hAnsi="宋体"/>
          <w:b/>
          <w:bCs/>
          <w:sz w:val="24"/>
        </w:rPr>
      </w:pPr>
      <w:r>
        <w:rPr>
          <w:rFonts w:hint="eastAsia" w:ascii="宋体" w:hAnsi="宋体"/>
          <w:b/>
          <w:bCs/>
          <w:sz w:val="24"/>
        </w:rPr>
        <w:t>2.4.4.5数电批量开票</w:t>
      </w:r>
    </w:p>
    <w:p w14:paraId="4569AF87">
      <w:pPr>
        <w:ind w:firstLine="480" w:firstLineChars="200"/>
        <w:rPr>
          <w:rFonts w:hint="eastAsia" w:ascii="宋体" w:hAnsi="宋体"/>
          <w:sz w:val="24"/>
        </w:rPr>
      </w:pPr>
      <w:r>
        <w:rPr>
          <w:rFonts w:hint="eastAsia" w:ascii="宋体" w:hAnsi="宋体"/>
          <w:sz w:val="24"/>
        </w:rPr>
        <w:t>提供数电批量开票功能，支持勾选单张订单或多张订单进行开票、删除等操作，支持对订单号、客户名称、税号、发票类型等字段进行筛选查询</w:t>
      </w:r>
    </w:p>
    <w:p w14:paraId="027FAF61">
      <w:pPr>
        <w:rPr>
          <w:rFonts w:hint="eastAsia" w:ascii="宋体" w:hAnsi="宋体"/>
          <w:b/>
          <w:bCs/>
          <w:sz w:val="24"/>
        </w:rPr>
      </w:pPr>
      <w:r>
        <w:rPr>
          <w:rFonts w:hint="eastAsia" w:ascii="宋体" w:hAnsi="宋体"/>
          <w:b/>
          <w:bCs/>
          <w:sz w:val="24"/>
        </w:rPr>
        <w:t>2.4.4.6数电票订单开票</w:t>
      </w:r>
    </w:p>
    <w:p w14:paraId="7777CDD6">
      <w:pPr>
        <w:ind w:firstLine="480" w:firstLineChars="200"/>
        <w:rPr>
          <w:rFonts w:hint="eastAsia" w:ascii="宋体" w:hAnsi="宋体"/>
          <w:sz w:val="24"/>
        </w:rPr>
      </w:pPr>
      <w:r>
        <w:rPr>
          <w:rFonts w:hint="eastAsia" w:ascii="宋体" w:hAnsi="宋体"/>
          <w:sz w:val="24"/>
        </w:rPr>
        <w:t>提供数电票订单开票功能，支持选择接口获取企业的开票订单发起开票，开票时，购方信息中开户行账号信息需跟随开票点对应的开户行账号自动填写</w:t>
      </w:r>
    </w:p>
    <w:p w14:paraId="4A209463">
      <w:pPr>
        <w:rPr>
          <w:rFonts w:hint="eastAsia" w:ascii="宋体" w:hAnsi="宋体"/>
          <w:b/>
          <w:bCs/>
          <w:sz w:val="24"/>
        </w:rPr>
      </w:pPr>
      <w:r>
        <w:rPr>
          <w:rFonts w:hint="eastAsia" w:ascii="宋体" w:hAnsi="宋体"/>
          <w:b/>
          <w:bCs/>
          <w:sz w:val="24"/>
        </w:rPr>
        <w:t>2.4.4.7红字确认单管理</w:t>
      </w:r>
    </w:p>
    <w:p w14:paraId="5EE97E4B">
      <w:pPr>
        <w:ind w:firstLine="480" w:firstLineChars="200"/>
        <w:rPr>
          <w:rFonts w:hint="eastAsia" w:ascii="宋体" w:hAnsi="宋体"/>
          <w:sz w:val="24"/>
        </w:rPr>
      </w:pPr>
      <w:r>
        <w:rPr>
          <w:rFonts w:hint="eastAsia" w:ascii="宋体" w:hAnsi="宋体"/>
          <w:sz w:val="24"/>
        </w:rPr>
        <w:t>提供红字确认单管理功能，支持发起红字确认单的申请，和对从税局同步收到的红字确认单处理</w:t>
      </w:r>
    </w:p>
    <w:p w14:paraId="3E9EE567">
      <w:pPr>
        <w:rPr>
          <w:rFonts w:hint="eastAsia" w:ascii="宋体" w:hAnsi="宋体"/>
          <w:b/>
          <w:bCs/>
          <w:sz w:val="24"/>
        </w:rPr>
      </w:pPr>
      <w:r>
        <w:rPr>
          <w:rFonts w:hint="eastAsia" w:ascii="宋体" w:hAnsi="宋体"/>
          <w:b/>
          <w:bCs/>
          <w:sz w:val="24"/>
        </w:rPr>
        <w:t>2.4.4.8数电票红冲</w:t>
      </w:r>
    </w:p>
    <w:p w14:paraId="70D3784E">
      <w:pPr>
        <w:ind w:firstLine="480" w:firstLineChars="200"/>
        <w:rPr>
          <w:rFonts w:hint="eastAsia" w:ascii="宋体" w:hAnsi="宋体"/>
          <w:sz w:val="24"/>
        </w:rPr>
      </w:pPr>
      <w:r>
        <w:rPr>
          <w:rFonts w:hint="eastAsia" w:ascii="宋体" w:hAnsi="宋体"/>
          <w:sz w:val="24"/>
        </w:rPr>
        <w:t>提供数电票红冲功能，支持通过定时任务自动获取红冲确认单信息，对状态为无需确认/购销方均已确认的红字确认单，支持手动或设置自动开具红字数电发票操作</w:t>
      </w:r>
    </w:p>
    <w:p w14:paraId="7BBB4B02">
      <w:pPr>
        <w:rPr>
          <w:rFonts w:hint="eastAsia" w:ascii="宋体" w:hAnsi="宋体"/>
          <w:b/>
          <w:bCs/>
          <w:sz w:val="24"/>
        </w:rPr>
      </w:pPr>
      <w:r>
        <w:rPr>
          <w:rFonts w:hint="eastAsia" w:ascii="宋体" w:hAnsi="宋体"/>
          <w:b/>
          <w:bCs/>
          <w:sz w:val="24"/>
        </w:rPr>
        <w:t>2.4.4.9版式模板设计和版式文件生成</w:t>
      </w:r>
    </w:p>
    <w:p w14:paraId="5B398389">
      <w:pPr>
        <w:rPr>
          <w:rFonts w:hint="eastAsia" w:ascii="宋体" w:hAnsi="宋体"/>
          <w:sz w:val="24"/>
        </w:rPr>
      </w:pPr>
      <w:r>
        <w:rPr>
          <w:rFonts w:hint="eastAsia" w:ascii="宋体" w:hAnsi="宋体"/>
          <w:sz w:val="24"/>
        </w:rPr>
        <w:t>提供数电发票PDF/OFD/XML版式模板设计和版式文件生成功能</w:t>
      </w:r>
    </w:p>
    <w:p w14:paraId="487809B1">
      <w:pPr>
        <w:rPr>
          <w:rFonts w:hint="eastAsia" w:ascii="宋体" w:hAnsi="宋体"/>
          <w:b/>
          <w:bCs/>
          <w:sz w:val="24"/>
        </w:rPr>
      </w:pPr>
      <w:r>
        <w:rPr>
          <w:rFonts w:hint="eastAsia" w:ascii="宋体" w:hAnsi="宋体"/>
          <w:b/>
          <w:bCs/>
          <w:sz w:val="24"/>
        </w:rPr>
        <w:t>2.4.4.10短信链接交付发票</w:t>
      </w:r>
    </w:p>
    <w:p w14:paraId="4018ACDC">
      <w:pPr>
        <w:ind w:firstLine="480" w:firstLineChars="200"/>
        <w:rPr>
          <w:rFonts w:hint="eastAsia" w:ascii="宋体" w:hAnsi="宋体"/>
          <w:sz w:val="24"/>
        </w:rPr>
      </w:pPr>
      <w:r>
        <w:rPr>
          <w:rFonts w:hint="eastAsia" w:ascii="宋体" w:hAnsi="宋体"/>
          <w:sz w:val="24"/>
        </w:rPr>
        <w:t>提供短信链接交付发票功能，发票开具完成后，系统自动通过短信平台发送给客户链接交付发票</w:t>
      </w:r>
    </w:p>
    <w:p w14:paraId="0DAC3A6F">
      <w:pPr>
        <w:rPr>
          <w:rFonts w:hint="eastAsia" w:ascii="宋体" w:hAnsi="宋体"/>
          <w:b/>
          <w:bCs/>
          <w:sz w:val="24"/>
        </w:rPr>
      </w:pPr>
      <w:r>
        <w:rPr>
          <w:rFonts w:hint="eastAsia" w:ascii="宋体" w:hAnsi="宋体"/>
          <w:b/>
          <w:bCs/>
          <w:sz w:val="24"/>
        </w:rPr>
        <w:t>2.5财务管理</w:t>
      </w:r>
    </w:p>
    <w:p w14:paraId="234A64E1">
      <w:pPr>
        <w:rPr>
          <w:rFonts w:hint="eastAsia" w:ascii="宋体" w:hAnsi="宋体"/>
          <w:b/>
          <w:bCs/>
          <w:sz w:val="24"/>
        </w:rPr>
      </w:pPr>
      <w:r>
        <w:rPr>
          <w:rFonts w:hint="eastAsia" w:ascii="宋体" w:hAnsi="宋体"/>
          <w:b/>
          <w:bCs/>
          <w:sz w:val="24"/>
        </w:rPr>
        <w:t>2.5.1财务记账与对账</w:t>
      </w:r>
    </w:p>
    <w:p w14:paraId="780CDA2F">
      <w:pPr>
        <w:rPr>
          <w:rFonts w:hint="eastAsia" w:ascii="宋体" w:hAnsi="宋体"/>
          <w:b/>
          <w:bCs/>
          <w:sz w:val="24"/>
        </w:rPr>
      </w:pPr>
      <w:r>
        <w:rPr>
          <w:rFonts w:hint="eastAsia" w:ascii="宋体" w:hAnsi="宋体"/>
          <w:b/>
          <w:bCs/>
          <w:sz w:val="24"/>
        </w:rPr>
        <w:t>2.5.1.1检验任务银行对账库</w:t>
      </w:r>
    </w:p>
    <w:p w14:paraId="201B4419">
      <w:pPr>
        <w:ind w:firstLine="480" w:firstLineChars="200"/>
        <w:rPr>
          <w:rFonts w:hint="eastAsia" w:ascii="宋体" w:hAnsi="宋体"/>
          <w:sz w:val="24"/>
        </w:rPr>
      </w:pPr>
      <w:r>
        <w:rPr>
          <w:rFonts w:hint="eastAsia" w:ascii="宋体" w:hAnsi="宋体"/>
          <w:sz w:val="24"/>
        </w:rPr>
        <w:t>建立检验任务银行对账库，连接检验业务平台，获取每日报检任务单信息，包括任务单缴费状态、报检单位信息、使用单位信息、单位银行账号、应缴费金额等数据，形成当日对账单。对接工行信息系统，获取工行反馈信息，包括缴费状态、缴费金额等数据</w:t>
      </w:r>
    </w:p>
    <w:p w14:paraId="511032D8">
      <w:pPr>
        <w:rPr>
          <w:rFonts w:hint="eastAsia" w:ascii="宋体" w:hAnsi="宋体"/>
          <w:b/>
          <w:bCs/>
          <w:sz w:val="24"/>
        </w:rPr>
      </w:pPr>
      <w:r>
        <w:rPr>
          <w:rFonts w:hint="eastAsia" w:ascii="宋体" w:hAnsi="宋体"/>
          <w:b/>
          <w:bCs/>
          <w:sz w:val="24"/>
        </w:rPr>
        <w:t>2.5.1.2对账单推送</w:t>
      </w:r>
    </w:p>
    <w:p w14:paraId="757B7869">
      <w:pPr>
        <w:ind w:firstLine="480" w:firstLineChars="200"/>
        <w:rPr>
          <w:rFonts w:hint="eastAsia" w:ascii="宋体" w:hAnsi="宋体"/>
          <w:sz w:val="24"/>
        </w:rPr>
      </w:pPr>
      <w:r>
        <w:rPr>
          <w:rFonts w:hint="eastAsia" w:ascii="宋体" w:hAnsi="宋体"/>
          <w:sz w:val="24"/>
        </w:rPr>
        <w:t>提供账单推送功能，形成检验任务单推送机制，定期（每天）向工行推送检验任务单信息，信息包括检验任务单号、使用单位名称、银行账号、应缴费金额等信息，同时记录推送日志</w:t>
      </w:r>
    </w:p>
    <w:p w14:paraId="1CC73C39">
      <w:pPr>
        <w:rPr>
          <w:rFonts w:hint="eastAsia" w:ascii="宋体" w:hAnsi="宋体"/>
          <w:b/>
          <w:bCs/>
          <w:sz w:val="24"/>
        </w:rPr>
      </w:pPr>
      <w:r>
        <w:rPr>
          <w:rFonts w:hint="eastAsia" w:ascii="宋体" w:hAnsi="宋体"/>
          <w:b/>
          <w:bCs/>
          <w:sz w:val="24"/>
        </w:rPr>
        <w:t>2.5.1.3人工推送</w:t>
      </w:r>
    </w:p>
    <w:p w14:paraId="225E15B9">
      <w:pPr>
        <w:ind w:firstLine="480" w:firstLineChars="200"/>
        <w:rPr>
          <w:rFonts w:hint="eastAsia" w:ascii="宋体" w:hAnsi="宋体"/>
          <w:sz w:val="24"/>
        </w:rPr>
      </w:pPr>
      <w:r>
        <w:rPr>
          <w:rFonts w:hint="eastAsia" w:ascii="宋体" w:hAnsi="宋体"/>
          <w:sz w:val="24"/>
        </w:rPr>
        <w:t>提供人工推送功能，系统支持人工推送任务单数据至工行，人工推送任务单数主要包含工行对账失败任务单和历史未推送任务单</w:t>
      </w:r>
    </w:p>
    <w:p w14:paraId="0E742AD5">
      <w:pPr>
        <w:rPr>
          <w:rFonts w:hint="eastAsia" w:ascii="宋体" w:hAnsi="宋体"/>
          <w:b/>
          <w:bCs/>
          <w:sz w:val="24"/>
        </w:rPr>
      </w:pPr>
      <w:r>
        <w:rPr>
          <w:rFonts w:hint="eastAsia" w:ascii="宋体" w:hAnsi="宋体"/>
          <w:b/>
          <w:bCs/>
          <w:sz w:val="24"/>
        </w:rPr>
        <w:t>2.5.1.4一键推送（未对账）</w:t>
      </w:r>
    </w:p>
    <w:p w14:paraId="199BF1F1">
      <w:pPr>
        <w:ind w:firstLine="480" w:firstLineChars="200"/>
        <w:rPr>
          <w:rFonts w:hint="eastAsia" w:ascii="宋体" w:hAnsi="宋体"/>
          <w:sz w:val="24"/>
        </w:rPr>
      </w:pPr>
      <w:r>
        <w:rPr>
          <w:rFonts w:hint="eastAsia" w:ascii="宋体" w:hAnsi="宋体"/>
          <w:sz w:val="24"/>
        </w:rPr>
        <w:t>提供一键推送（未对账）功能，系统支持一键推送（未对账）任务单数据至工行，一键推送（未对账）任务单数主要包含所有历史工行对账失败的任务单数据</w:t>
      </w:r>
    </w:p>
    <w:p w14:paraId="0E9D65BF">
      <w:pPr>
        <w:rPr>
          <w:rFonts w:hint="eastAsia" w:ascii="宋体" w:hAnsi="宋体"/>
          <w:sz w:val="24"/>
        </w:rPr>
      </w:pPr>
      <w:r>
        <w:rPr>
          <w:rFonts w:hint="eastAsia" w:ascii="宋体" w:hAnsi="宋体"/>
          <w:sz w:val="24"/>
        </w:rPr>
        <w:t>检验任务解绑银行自动对账信息</w:t>
      </w:r>
      <w:r>
        <w:rPr>
          <w:rFonts w:hint="eastAsia" w:ascii="宋体" w:hAnsi="宋体"/>
          <w:sz w:val="24"/>
        </w:rPr>
        <w:tab/>
      </w:r>
      <w:r>
        <w:rPr>
          <w:rFonts w:hint="eastAsia" w:ascii="宋体" w:hAnsi="宋体"/>
          <w:sz w:val="24"/>
        </w:rPr>
        <w:t>提供检验任务解绑银行自动对账功能，支持已完成对账的任务单，缴费状态变更为已缴费，从对账库删除，不再进行对账。</w:t>
      </w:r>
    </w:p>
    <w:p w14:paraId="475516E5">
      <w:pPr>
        <w:rPr>
          <w:rFonts w:hint="eastAsia" w:ascii="宋体" w:hAnsi="宋体"/>
          <w:b/>
          <w:bCs/>
          <w:sz w:val="24"/>
        </w:rPr>
      </w:pPr>
      <w:r>
        <w:rPr>
          <w:rFonts w:hint="eastAsia" w:ascii="宋体" w:hAnsi="宋体"/>
          <w:b/>
          <w:bCs/>
          <w:sz w:val="24"/>
        </w:rPr>
        <w:t>2.5.1.5检验任务历史对账日志</w:t>
      </w:r>
    </w:p>
    <w:p w14:paraId="265C261C">
      <w:pPr>
        <w:ind w:firstLine="480" w:firstLineChars="200"/>
        <w:rPr>
          <w:rFonts w:hint="eastAsia" w:ascii="宋体" w:hAnsi="宋体"/>
          <w:sz w:val="24"/>
        </w:rPr>
      </w:pPr>
      <w:r>
        <w:rPr>
          <w:rFonts w:hint="eastAsia" w:ascii="宋体" w:hAnsi="宋体"/>
          <w:sz w:val="24"/>
        </w:rPr>
        <w:t>提供检验任务历史对账日志功能，展示最新一条推送任务信息，任务信息包含使用单位、申请单位、任务单号、业务类型、联系人、联系电话、任务单金额、收费说明、任务单备注等，同时展示该任务单历史推送记录，支持每次推送日志的查询、查看</w:t>
      </w:r>
    </w:p>
    <w:p w14:paraId="382ECE9F">
      <w:pPr>
        <w:rPr>
          <w:rFonts w:hint="eastAsia" w:ascii="宋体" w:hAnsi="宋体"/>
          <w:b/>
          <w:bCs/>
          <w:sz w:val="24"/>
        </w:rPr>
      </w:pPr>
      <w:r>
        <w:rPr>
          <w:rFonts w:hint="eastAsia" w:ascii="宋体" w:hAnsi="宋体"/>
          <w:b/>
          <w:bCs/>
          <w:sz w:val="24"/>
        </w:rPr>
        <w:t>2.5.2银行当日到账流水</w:t>
      </w:r>
    </w:p>
    <w:p w14:paraId="76B98A6B">
      <w:pPr>
        <w:rPr>
          <w:rFonts w:hint="eastAsia" w:ascii="宋体" w:hAnsi="宋体"/>
          <w:b/>
          <w:bCs/>
          <w:sz w:val="24"/>
        </w:rPr>
      </w:pPr>
      <w:r>
        <w:rPr>
          <w:rFonts w:hint="eastAsia" w:ascii="宋体" w:hAnsi="宋体"/>
          <w:b/>
          <w:bCs/>
          <w:sz w:val="24"/>
        </w:rPr>
        <w:t>2.5.2.1银行到账流水库建立</w:t>
      </w:r>
    </w:p>
    <w:p w14:paraId="470010D9">
      <w:pPr>
        <w:ind w:firstLine="480" w:firstLineChars="200"/>
        <w:rPr>
          <w:rFonts w:hint="eastAsia" w:ascii="宋体" w:hAnsi="宋体"/>
          <w:sz w:val="24"/>
        </w:rPr>
      </w:pPr>
      <w:r>
        <w:rPr>
          <w:rFonts w:hint="eastAsia" w:ascii="宋体" w:hAnsi="宋体"/>
          <w:sz w:val="24"/>
        </w:rPr>
        <w:t>建立银行到账流水库，对接工行系统，接收工行反馈的待收费列表和当日到账列表等信息</w:t>
      </w:r>
    </w:p>
    <w:p w14:paraId="689336E9">
      <w:pPr>
        <w:rPr>
          <w:rFonts w:hint="eastAsia" w:ascii="宋体" w:hAnsi="宋体"/>
          <w:b/>
          <w:bCs/>
          <w:sz w:val="24"/>
        </w:rPr>
      </w:pPr>
      <w:r>
        <w:rPr>
          <w:rFonts w:hint="eastAsia" w:ascii="宋体" w:hAnsi="宋体"/>
          <w:b/>
          <w:bCs/>
          <w:sz w:val="24"/>
        </w:rPr>
        <w:t>2.5.2.2银行到账流水绑定任务单</w:t>
      </w:r>
    </w:p>
    <w:p w14:paraId="72AE7FED">
      <w:pPr>
        <w:ind w:firstLine="480" w:firstLineChars="200"/>
        <w:rPr>
          <w:rFonts w:hint="eastAsia" w:ascii="宋体" w:hAnsi="宋体"/>
          <w:sz w:val="24"/>
        </w:rPr>
      </w:pPr>
      <w:r>
        <w:rPr>
          <w:rFonts w:hint="eastAsia" w:ascii="宋体" w:hAnsi="宋体"/>
          <w:sz w:val="24"/>
        </w:rPr>
        <w:t>获取银行到账信息，根据银行开户人、金额、备注信息等内容匹配检验任务单号，形成对账单。</w:t>
      </w:r>
    </w:p>
    <w:p w14:paraId="2B6EADE5">
      <w:pPr>
        <w:rPr>
          <w:rFonts w:hint="eastAsia" w:ascii="宋体" w:hAnsi="宋体"/>
          <w:b/>
          <w:bCs/>
          <w:sz w:val="24"/>
        </w:rPr>
      </w:pPr>
      <w:r>
        <w:rPr>
          <w:rFonts w:hint="eastAsia" w:ascii="宋体" w:hAnsi="宋体"/>
          <w:b/>
          <w:bCs/>
          <w:sz w:val="24"/>
        </w:rPr>
        <w:t>2.5.2.3银行到账流水变更日志</w:t>
      </w:r>
    </w:p>
    <w:p w14:paraId="5011FB57">
      <w:pPr>
        <w:ind w:firstLine="480" w:firstLineChars="200"/>
        <w:rPr>
          <w:rFonts w:hint="eastAsia" w:ascii="宋体" w:hAnsi="宋体"/>
          <w:sz w:val="24"/>
        </w:rPr>
      </w:pPr>
      <w:r>
        <w:rPr>
          <w:rFonts w:hint="eastAsia" w:ascii="宋体" w:hAnsi="宋体"/>
          <w:sz w:val="24"/>
        </w:rPr>
        <w:t>展示最新一条银行到账流水信息，银行到账信息包含付款人全称、付款人账号、收款人全称、收款人账号、支付金额、支付结果、支付时间、支付备注等，同时展示该任务单历史银行到账流水接收记录，支持每次接收日志的查询、查看。</w:t>
      </w:r>
    </w:p>
    <w:p w14:paraId="5CE40794">
      <w:pPr>
        <w:rPr>
          <w:rFonts w:hint="eastAsia" w:ascii="宋体" w:hAnsi="宋体"/>
          <w:b/>
          <w:bCs/>
          <w:sz w:val="24"/>
        </w:rPr>
      </w:pPr>
      <w:r>
        <w:rPr>
          <w:rFonts w:hint="eastAsia" w:ascii="宋体" w:hAnsi="宋体"/>
          <w:b/>
          <w:bCs/>
          <w:sz w:val="24"/>
        </w:rPr>
        <w:t>2.5.3缴费管理</w:t>
      </w:r>
    </w:p>
    <w:p w14:paraId="3303A3D7">
      <w:pPr>
        <w:rPr>
          <w:rFonts w:hint="eastAsia" w:ascii="宋体" w:hAnsi="宋体"/>
          <w:b/>
          <w:bCs/>
          <w:sz w:val="24"/>
        </w:rPr>
      </w:pPr>
      <w:r>
        <w:rPr>
          <w:rFonts w:hint="eastAsia" w:ascii="宋体" w:hAnsi="宋体"/>
          <w:b/>
          <w:bCs/>
          <w:sz w:val="24"/>
        </w:rPr>
        <w:t>2.5.3.1对账信息展示</w:t>
      </w:r>
    </w:p>
    <w:p w14:paraId="2DB1383D">
      <w:pPr>
        <w:ind w:firstLine="480" w:firstLineChars="200"/>
        <w:rPr>
          <w:rFonts w:hint="eastAsia" w:ascii="宋体" w:hAnsi="宋体"/>
          <w:sz w:val="24"/>
        </w:rPr>
      </w:pPr>
      <w:r>
        <w:rPr>
          <w:rFonts w:hint="eastAsia" w:ascii="宋体" w:hAnsi="宋体"/>
          <w:sz w:val="24"/>
        </w:rPr>
        <w:t>展示自动对账信息和人工对账的信息，包含流水号、付款人、账号、收款人、账号、支付金额、支付结果等内容</w:t>
      </w:r>
    </w:p>
    <w:p w14:paraId="02C73A6E">
      <w:pPr>
        <w:rPr>
          <w:rFonts w:hint="eastAsia" w:ascii="宋体" w:hAnsi="宋体"/>
          <w:b/>
          <w:bCs/>
          <w:sz w:val="24"/>
        </w:rPr>
      </w:pPr>
      <w:r>
        <w:rPr>
          <w:rFonts w:hint="eastAsia" w:ascii="宋体" w:hAnsi="宋体"/>
          <w:b/>
          <w:bCs/>
          <w:sz w:val="24"/>
        </w:rPr>
        <w:t>2.5.3.2支持人工对账</w:t>
      </w:r>
    </w:p>
    <w:p w14:paraId="30193F44">
      <w:pPr>
        <w:ind w:firstLine="480" w:firstLineChars="200"/>
        <w:rPr>
          <w:rFonts w:hint="eastAsia" w:ascii="宋体" w:hAnsi="宋体"/>
          <w:sz w:val="24"/>
        </w:rPr>
      </w:pPr>
      <w:r>
        <w:rPr>
          <w:rFonts w:hint="eastAsia" w:ascii="宋体" w:hAnsi="宋体"/>
          <w:sz w:val="24"/>
        </w:rPr>
        <w:t>支持对待缴费管理中的未缴费任务单进行人工对账，根据银行到账流水库进行账单信息检索，实现任务单与银行流水绑定工作</w:t>
      </w:r>
    </w:p>
    <w:p w14:paraId="539CDB1C">
      <w:pPr>
        <w:rPr>
          <w:rFonts w:hint="eastAsia" w:ascii="宋体" w:hAnsi="宋体"/>
          <w:b/>
          <w:bCs/>
          <w:sz w:val="24"/>
        </w:rPr>
      </w:pPr>
      <w:r>
        <w:rPr>
          <w:rFonts w:hint="eastAsia" w:ascii="宋体" w:hAnsi="宋体"/>
          <w:b/>
          <w:bCs/>
          <w:sz w:val="24"/>
        </w:rPr>
        <w:t>2.5.3.3支持解绑银行自动对账信息</w:t>
      </w:r>
    </w:p>
    <w:p w14:paraId="438EB5FC">
      <w:pPr>
        <w:ind w:firstLine="480" w:firstLineChars="200"/>
        <w:rPr>
          <w:rFonts w:hint="eastAsia" w:ascii="宋体" w:hAnsi="宋体"/>
          <w:sz w:val="24"/>
        </w:rPr>
      </w:pPr>
      <w:r>
        <w:rPr>
          <w:rFonts w:hint="eastAsia" w:ascii="宋体" w:hAnsi="宋体"/>
          <w:sz w:val="24"/>
        </w:rPr>
        <w:t>支持对缴费管理中的已经缴费确认的任务单进行手工的对账及解绑工作</w:t>
      </w:r>
    </w:p>
    <w:p w14:paraId="54E86534">
      <w:pPr>
        <w:rPr>
          <w:rFonts w:hint="eastAsia" w:ascii="宋体" w:hAnsi="宋体"/>
          <w:b/>
          <w:bCs/>
          <w:sz w:val="24"/>
        </w:rPr>
      </w:pPr>
      <w:r>
        <w:rPr>
          <w:rFonts w:hint="eastAsia" w:ascii="宋体" w:hAnsi="宋体"/>
          <w:b/>
          <w:bCs/>
          <w:sz w:val="24"/>
        </w:rPr>
        <w:t>2.5.3.4对账详情展示</w:t>
      </w:r>
    </w:p>
    <w:p w14:paraId="727F61DE">
      <w:pPr>
        <w:ind w:firstLine="480" w:firstLineChars="200"/>
        <w:rPr>
          <w:rFonts w:hint="eastAsia" w:ascii="宋体" w:hAnsi="宋体"/>
          <w:sz w:val="24"/>
        </w:rPr>
      </w:pPr>
      <w:r>
        <w:rPr>
          <w:rFonts w:hint="eastAsia" w:ascii="宋体" w:hAnsi="宋体"/>
          <w:sz w:val="24"/>
        </w:rPr>
        <w:t>支持缴费管理中的任务单的人工对账和自动对账的对接信息详情的展示</w:t>
      </w:r>
    </w:p>
    <w:p w14:paraId="1BDA63A8">
      <w:pPr>
        <w:rPr>
          <w:rFonts w:hint="eastAsia" w:ascii="宋体" w:hAnsi="宋体"/>
          <w:b/>
          <w:bCs/>
          <w:sz w:val="24"/>
        </w:rPr>
      </w:pPr>
      <w:r>
        <w:rPr>
          <w:rFonts w:hint="eastAsia" w:ascii="宋体" w:hAnsi="宋体"/>
          <w:b/>
          <w:bCs/>
          <w:sz w:val="24"/>
        </w:rPr>
        <w:t>2.5.4管理驾驶舱</w:t>
      </w:r>
    </w:p>
    <w:p w14:paraId="242DEDFD">
      <w:pPr>
        <w:rPr>
          <w:rFonts w:hint="eastAsia" w:ascii="宋体" w:hAnsi="宋体"/>
          <w:b/>
          <w:bCs/>
          <w:sz w:val="24"/>
        </w:rPr>
      </w:pPr>
      <w:r>
        <w:rPr>
          <w:rFonts w:hint="eastAsia" w:ascii="宋体" w:hAnsi="宋体"/>
          <w:b/>
          <w:bCs/>
          <w:sz w:val="24"/>
        </w:rPr>
        <w:t>2.5.4.1检验收入趋势图</w:t>
      </w:r>
    </w:p>
    <w:p w14:paraId="110FC11B">
      <w:pPr>
        <w:ind w:firstLine="480" w:firstLineChars="200"/>
        <w:rPr>
          <w:rFonts w:hint="eastAsia" w:ascii="宋体" w:hAnsi="宋体"/>
          <w:sz w:val="24"/>
        </w:rPr>
      </w:pPr>
      <w:r>
        <w:rPr>
          <w:rFonts w:hint="eastAsia" w:ascii="宋体" w:hAnsi="宋体"/>
          <w:sz w:val="24"/>
        </w:rPr>
        <w:t>提供检验收入趋势分析功能，按时间维度展示检验收入，形成收入趋势图，支持法定检验、委托检验类型收入分析</w:t>
      </w:r>
    </w:p>
    <w:p w14:paraId="246FD325">
      <w:pPr>
        <w:rPr>
          <w:rFonts w:hint="eastAsia" w:ascii="宋体" w:hAnsi="宋体"/>
          <w:b/>
          <w:bCs/>
          <w:sz w:val="24"/>
        </w:rPr>
      </w:pPr>
      <w:r>
        <w:rPr>
          <w:rFonts w:hint="eastAsia" w:ascii="宋体" w:hAnsi="宋体"/>
          <w:b/>
          <w:bCs/>
          <w:sz w:val="24"/>
        </w:rPr>
        <w:t>2.5.4.2收入占比分析</w:t>
      </w:r>
    </w:p>
    <w:p w14:paraId="7103FDF7">
      <w:pPr>
        <w:ind w:firstLine="480" w:firstLineChars="200"/>
        <w:rPr>
          <w:rFonts w:hint="eastAsia" w:ascii="宋体" w:hAnsi="宋体"/>
          <w:sz w:val="24"/>
        </w:rPr>
      </w:pPr>
      <w:r>
        <w:rPr>
          <w:rFonts w:hint="eastAsia" w:ascii="宋体" w:hAnsi="宋体"/>
          <w:sz w:val="24"/>
        </w:rPr>
        <w:t>提供收入占比分析分析功能，从协议合同、报检受理维度统计收入金额，从网上报检、窗口报检、现场报检维度分析收入占比</w:t>
      </w:r>
    </w:p>
    <w:p w14:paraId="4132F088">
      <w:pPr>
        <w:rPr>
          <w:rFonts w:hint="eastAsia" w:ascii="宋体" w:hAnsi="宋体"/>
          <w:b/>
          <w:bCs/>
          <w:sz w:val="24"/>
        </w:rPr>
      </w:pPr>
      <w:r>
        <w:rPr>
          <w:rFonts w:hint="eastAsia" w:ascii="宋体" w:hAnsi="宋体"/>
          <w:b/>
          <w:bCs/>
          <w:sz w:val="24"/>
        </w:rPr>
        <w:t>2.5.4.3检验收费情况报表</w:t>
      </w:r>
    </w:p>
    <w:p w14:paraId="5A42585D">
      <w:pPr>
        <w:ind w:firstLine="480" w:firstLineChars="200"/>
        <w:rPr>
          <w:rFonts w:hint="eastAsia" w:ascii="宋体" w:hAnsi="宋体"/>
          <w:sz w:val="24"/>
        </w:rPr>
      </w:pPr>
      <w:r>
        <w:rPr>
          <w:rFonts w:hint="eastAsia" w:ascii="宋体" w:hAnsi="宋体"/>
          <w:sz w:val="24"/>
        </w:rPr>
        <w:t>提供检验收费情况报表分析功能，以报表形式展现收费类型、缴费金额</w:t>
      </w:r>
    </w:p>
    <w:p w14:paraId="3E44C226">
      <w:pPr>
        <w:rPr>
          <w:rFonts w:hint="eastAsia" w:ascii="宋体" w:hAnsi="宋体"/>
          <w:b/>
          <w:bCs/>
          <w:sz w:val="24"/>
        </w:rPr>
      </w:pPr>
      <w:r>
        <w:rPr>
          <w:rFonts w:hint="eastAsia" w:ascii="宋体" w:hAnsi="宋体"/>
          <w:b/>
          <w:bCs/>
          <w:sz w:val="24"/>
        </w:rPr>
        <w:t>2.5.4.4收入总额</w:t>
      </w:r>
    </w:p>
    <w:p w14:paraId="6ED907E4">
      <w:pPr>
        <w:ind w:firstLine="480" w:firstLineChars="200"/>
        <w:rPr>
          <w:rFonts w:hint="eastAsia" w:ascii="宋体" w:hAnsi="宋体"/>
          <w:sz w:val="24"/>
        </w:rPr>
      </w:pPr>
      <w:r>
        <w:rPr>
          <w:rFonts w:hint="eastAsia" w:ascii="宋体" w:hAnsi="宋体"/>
          <w:sz w:val="24"/>
        </w:rPr>
        <w:t>提供收入总额分析功能，统计收入总额，法定业务收入金额、委托业务收入金额</w:t>
      </w:r>
    </w:p>
    <w:p w14:paraId="171098BC">
      <w:pPr>
        <w:rPr>
          <w:rFonts w:hint="eastAsia" w:ascii="宋体" w:hAnsi="宋体"/>
          <w:b/>
          <w:bCs/>
          <w:sz w:val="24"/>
        </w:rPr>
      </w:pPr>
      <w:r>
        <w:rPr>
          <w:rFonts w:hint="eastAsia" w:ascii="宋体" w:hAnsi="宋体"/>
          <w:b/>
          <w:bCs/>
          <w:sz w:val="24"/>
        </w:rPr>
        <w:t>2.5.4.5检验业务收入分析</w:t>
      </w:r>
    </w:p>
    <w:p w14:paraId="72C03524">
      <w:pPr>
        <w:ind w:firstLine="480" w:firstLineChars="200"/>
        <w:rPr>
          <w:rFonts w:hint="eastAsia" w:ascii="宋体" w:hAnsi="宋体"/>
          <w:sz w:val="24"/>
        </w:rPr>
      </w:pPr>
      <w:r>
        <w:rPr>
          <w:rFonts w:hint="eastAsia" w:ascii="宋体" w:hAnsi="宋体"/>
          <w:sz w:val="24"/>
        </w:rPr>
        <w:t>提供检验业务收入分析功能，从时间维度统计检验业务收入，以折线图形式展现</w:t>
      </w:r>
    </w:p>
    <w:p w14:paraId="52C3A5E8">
      <w:pPr>
        <w:rPr>
          <w:rFonts w:hint="eastAsia" w:ascii="宋体" w:hAnsi="宋体"/>
          <w:b/>
          <w:bCs/>
          <w:sz w:val="24"/>
        </w:rPr>
      </w:pPr>
      <w:r>
        <w:rPr>
          <w:rFonts w:hint="eastAsia" w:ascii="宋体" w:hAnsi="宋体"/>
          <w:b/>
          <w:bCs/>
          <w:sz w:val="24"/>
        </w:rPr>
        <w:t>2.5.5统计查询</w:t>
      </w:r>
    </w:p>
    <w:p w14:paraId="36C08AA0">
      <w:pPr>
        <w:rPr>
          <w:rFonts w:hint="eastAsia" w:ascii="宋体" w:hAnsi="宋体"/>
          <w:b/>
          <w:bCs/>
          <w:sz w:val="24"/>
        </w:rPr>
      </w:pPr>
      <w:r>
        <w:rPr>
          <w:rFonts w:hint="eastAsia" w:ascii="宋体" w:hAnsi="宋体"/>
          <w:b/>
          <w:bCs/>
          <w:sz w:val="24"/>
        </w:rPr>
        <w:t>2.5.5.1订单查询</w:t>
      </w:r>
    </w:p>
    <w:p w14:paraId="1392F1B2">
      <w:pPr>
        <w:ind w:firstLine="480" w:firstLineChars="200"/>
        <w:rPr>
          <w:rFonts w:hint="eastAsia" w:ascii="宋体" w:hAnsi="宋体"/>
          <w:sz w:val="24"/>
        </w:rPr>
      </w:pPr>
      <w:r>
        <w:rPr>
          <w:rFonts w:hint="eastAsia" w:ascii="宋体" w:hAnsi="宋体"/>
          <w:sz w:val="24"/>
        </w:rPr>
        <w:t>通过订单列表，搜索查询所有订单信息、对应订单明细及对应发票信息</w:t>
      </w:r>
    </w:p>
    <w:p w14:paraId="074EFDC7">
      <w:pPr>
        <w:rPr>
          <w:rFonts w:hint="eastAsia" w:ascii="宋体" w:hAnsi="宋体"/>
          <w:b/>
          <w:bCs/>
          <w:sz w:val="24"/>
        </w:rPr>
      </w:pPr>
      <w:r>
        <w:rPr>
          <w:rFonts w:hint="eastAsia" w:ascii="宋体" w:hAnsi="宋体"/>
          <w:b/>
          <w:bCs/>
          <w:sz w:val="24"/>
        </w:rPr>
        <w:t>2.5.5.2开票申请查询</w:t>
      </w:r>
    </w:p>
    <w:p w14:paraId="7C6A7309">
      <w:pPr>
        <w:ind w:firstLine="480" w:firstLineChars="200"/>
        <w:rPr>
          <w:rFonts w:hint="eastAsia" w:ascii="宋体" w:hAnsi="宋体"/>
          <w:sz w:val="24"/>
        </w:rPr>
      </w:pPr>
      <w:r>
        <w:rPr>
          <w:rFonts w:hint="eastAsia" w:ascii="宋体" w:hAnsi="宋体"/>
          <w:sz w:val="24"/>
        </w:rPr>
        <w:t>通过开票申请列表，搜索查询所有开票请求、对应的订单明细、发票信息、及开票监控</w:t>
      </w:r>
    </w:p>
    <w:p w14:paraId="1ACC25DF">
      <w:pPr>
        <w:rPr>
          <w:rFonts w:hint="eastAsia" w:ascii="宋体" w:hAnsi="宋体"/>
          <w:b/>
          <w:bCs/>
          <w:sz w:val="24"/>
        </w:rPr>
      </w:pPr>
      <w:r>
        <w:rPr>
          <w:rFonts w:hint="eastAsia" w:ascii="宋体" w:hAnsi="宋体"/>
          <w:b/>
          <w:bCs/>
          <w:sz w:val="24"/>
        </w:rPr>
        <w:t>2.5.5.3已开发票查询</w:t>
      </w:r>
    </w:p>
    <w:p w14:paraId="24D58A65">
      <w:pPr>
        <w:ind w:firstLine="480" w:firstLineChars="200"/>
        <w:rPr>
          <w:rFonts w:hint="eastAsia" w:ascii="宋体" w:hAnsi="宋体"/>
          <w:sz w:val="24"/>
        </w:rPr>
      </w:pPr>
      <w:r>
        <w:rPr>
          <w:rFonts w:hint="eastAsia" w:ascii="宋体" w:hAnsi="宋体"/>
          <w:sz w:val="24"/>
        </w:rPr>
        <w:t>通过已开发票列表，搜索查询、预览、重推、同步、下载、导出所有已开发票及其对应订单明细</w:t>
      </w:r>
    </w:p>
    <w:p w14:paraId="2F2B08E1">
      <w:pPr>
        <w:rPr>
          <w:rFonts w:hint="eastAsia" w:ascii="宋体" w:hAnsi="宋体"/>
          <w:b/>
          <w:bCs/>
          <w:sz w:val="24"/>
        </w:rPr>
      </w:pPr>
      <w:r>
        <w:rPr>
          <w:rFonts w:hint="eastAsia" w:ascii="宋体" w:hAnsi="宋体"/>
          <w:b/>
          <w:bCs/>
          <w:sz w:val="24"/>
        </w:rPr>
        <w:t>2.5.5.4已开发票统计</w:t>
      </w:r>
    </w:p>
    <w:p w14:paraId="21005E75">
      <w:pPr>
        <w:ind w:firstLine="480" w:firstLineChars="200"/>
        <w:rPr>
          <w:rFonts w:hint="eastAsia" w:ascii="宋体" w:hAnsi="宋体"/>
          <w:sz w:val="24"/>
        </w:rPr>
      </w:pPr>
      <w:r>
        <w:rPr>
          <w:rFonts w:hint="eastAsia" w:ascii="宋体" w:hAnsi="宋体"/>
          <w:sz w:val="24"/>
        </w:rPr>
        <w:t>根据开票日期，按照开票单位维度汇总统计、根据开票员、特殊票种、开票点进行分类统计</w:t>
      </w:r>
    </w:p>
    <w:p w14:paraId="26346341">
      <w:pPr>
        <w:rPr>
          <w:rFonts w:hint="eastAsia" w:ascii="宋体" w:hAnsi="宋体"/>
          <w:b/>
          <w:bCs/>
          <w:sz w:val="24"/>
        </w:rPr>
      </w:pPr>
      <w:r>
        <w:rPr>
          <w:rFonts w:hint="eastAsia" w:ascii="宋体" w:hAnsi="宋体"/>
          <w:b/>
          <w:bCs/>
          <w:sz w:val="24"/>
        </w:rPr>
        <w:t>2.5.5.5推送结果查询</w:t>
      </w:r>
    </w:p>
    <w:p w14:paraId="42D089A8">
      <w:pPr>
        <w:ind w:firstLine="480" w:firstLineChars="200"/>
        <w:rPr>
          <w:rFonts w:hint="eastAsia" w:ascii="宋体" w:hAnsi="宋体"/>
          <w:sz w:val="24"/>
        </w:rPr>
      </w:pPr>
      <w:r>
        <w:rPr>
          <w:rFonts w:hint="eastAsia" w:ascii="宋体" w:hAnsi="宋体"/>
          <w:sz w:val="24"/>
        </w:rPr>
        <w:t>发票开具完成后，系统会自动对有手机号或者邮箱的发票进行推送。通过该菜单可以查看所有发票具体的推送结果</w:t>
      </w:r>
    </w:p>
    <w:p w14:paraId="553DD217">
      <w:pPr>
        <w:rPr>
          <w:rFonts w:hint="eastAsia" w:ascii="宋体" w:hAnsi="宋体"/>
          <w:b/>
          <w:bCs/>
          <w:sz w:val="24"/>
        </w:rPr>
      </w:pPr>
      <w:r>
        <w:rPr>
          <w:rFonts w:hint="eastAsia" w:ascii="宋体" w:hAnsi="宋体"/>
          <w:b/>
          <w:bCs/>
          <w:sz w:val="24"/>
        </w:rPr>
        <w:t>2.5.5.6发票汇总确认管理</w:t>
      </w:r>
    </w:p>
    <w:p w14:paraId="3FB190F3">
      <w:pPr>
        <w:ind w:firstLine="480" w:firstLineChars="200"/>
        <w:rPr>
          <w:rFonts w:hint="eastAsia" w:ascii="宋体" w:hAnsi="宋体"/>
          <w:sz w:val="24"/>
        </w:rPr>
      </w:pPr>
      <w:r>
        <w:rPr>
          <w:rFonts w:hint="eastAsia" w:ascii="宋体" w:hAnsi="宋体"/>
          <w:sz w:val="24"/>
        </w:rPr>
        <w:t>发票汇总确认管理功能，按照税局要求，按月完成发票汇总确认操作，并支持查询历史发票汇总结果</w:t>
      </w:r>
    </w:p>
    <w:p w14:paraId="1A1296E4">
      <w:pPr>
        <w:rPr>
          <w:rFonts w:hint="eastAsia" w:ascii="宋体" w:hAnsi="宋体"/>
          <w:b/>
          <w:bCs/>
          <w:sz w:val="24"/>
        </w:rPr>
      </w:pPr>
      <w:r>
        <w:rPr>
          <w:rFonts w:hint="eastAsia" w:ascii="宋体" w:hAnsi="宋体"/>
          <w:b/>
          <w:bCs/>
          <w:sz w:val="24"/>
        </w:rPr>
        <w:t>2.5.5.7数电票订单稽核管理</w:t>
      </w:r>
    </w:p>
    <w:p w14:paraId="56336FC9">
      <w:pPr>
        <w:ind w:firstLine="480" w:firstLineChars="200"/>
        <w:rPr>
          <w:rFonts w:hint="eastAsia" w:ascii="宋体" w:hAnsi="宋体"/>
          <w:sz w:val="24"/>
        </w:rPr>
      </w:pPr>
      <w:r>
        <w:rPr>
          <w:rFonts w:hint="eastAsia" w:ascii="宋体" w:hAnsi="宋体"/>
          <w:sz w:val="24"/>
        </w:rPr>
        <w:t>对订单和开票情况进行定期稽核，并将稽核结果展示，支持对稽核结果进行确认操作</w:t>
      </w:r>
    </w:p>
    <w:p w14:paraId="0E544C63">
      <w:pPr>
        <w:rPr>
          <w:rFonts w:hint="eastAsia" w:ascii="宋体" w:hAnsi="宋体"/>
          <w:b/>
          <w:bCs/>
          <w:sz w:val="24"/>
        </w:rPr>
      </w:pPr>
      <w:r>
        <w:rPr>
          <w:rFonts w:hint="eastAsia" w:ascii="宋体" w:hAnsi="宋体"/>
          <w:b/>
          <w:bCs/>
          <w:sz w:val="24"/>
        </w:rPr>
        <w:t>2.5.5.8税控票归集查询</w:t>
      </w:r>
    </w:p>
    <w:p w14:paraId="530327B0">
      <w:pPr>
        <w:ind w:firstLine="480" w:firstLineChars="200"/>
        <w:rPr>
          <w:rFonts w:hint="eastAsia" w:ascii="宋体" w:hAnsi="宋体"/>
          <w:sz w:val="24"/>
        </w:rPr>
      </w:pPr>
      <w:r>
        <w:rPr>
          <w:rFonts w:hint="eastAsia" w:ascii="宋体" w:hAnsi="宋体"/>
          <w:sz w:val="24"/>
        </w:rPr>
        <w:t>查询从增值税系统归集来的税控发票，包括发票号码、开票日期、金额、税额等详细数据，归集入已开票发票池进行统一管理</w:t>
      </w:r>
    </w:p>
    <w:p w14:paraId="3B166DD8">
      <w:pPr>
        <w:rPr>
          <w:rFonts w:hint="eastAsia" w:ascii="宋体" w:hAnsi="宋体"/>
          <w:b/>
          <w:bCs/>
          <w:sz w:val="24"/>
        </w:rPr>
      </w:pPr>
      <w:r>
        <w:rPr>
          <w:rFonts w:hint="eastAsia" w:ascii="宋体" w:hAnsi="宋体"/>
          <w:b/>
          <w:bCs/>
          <w:sz w:val="24"/>
        </w:rPr>
        <w:t>2.6发票自助服务</w:t>
      </w:r>
    </w:p>
    <w:p w14:paraId="6680C850">
      <w:pPr>
        <w:rPr>
          <w:rFonts w:hint="eastAsia" w:ascii="宋体" w:hAnsi="宋体"/>
          <w:b/>
          <w:bCs/>
          <w:sz w:val="24"/>
        </w:rPr>
      </w:pPr>
      <w:r>
        <w:rPr>
          <w:rFonts w:hint="eastAsia" w:ascii="宋体" w:hAnsi="宋体"/>
          <w:b/>
          <w:bCs/>
          <w:sz w:val="24"/>
        </w:rPr>
        <w:t>2.6.1企业服务平台</w:t>
      </w:r>
    </w:p>
    <w:p w14:paraId="7591A4E3">
      <w:pPr>
        <w:rPr>
          <w:rFonts w:hint="eastAsia" w:ascii="宋体" w:hAnsi="宋体"/>
          <w:b/>
          <w:bCs/>
          <w:sz w:val="24"/>
        </w:rPr>
      </w:pPr>
      <w:r>
        <w:rPr>
          <w:rFonts w:hint="eastAsia" w:ascii="宋体" w:hAnsi="宋体"/>
          <w:b/>
          <w:bCs/>
          <w:sz w:val="24"/>
        </w:rPr>
        <w:t>2.6.1.1开票信息管理</w:t>
      </w:r>
    </w:p>
    <w:p w14:paraId="6F6F9405">
      <w:pPr>
        <w:ind w:firstLine="480" w:firstLineChars="200"/>
        <w:rPr>
          <w:rFonts w:hint="eastAsia" w:ascii="宋体" w:hAnsi="宋体"/>
          <w:sz w:val="24"/>
        </w:rPr>
      </w:pPr>
      <w:r>
        <w:rPr>
          <w:rFonts w:hint="eastAsia" w:ascii="宋体" w:hAnsi="宋体"/>
          <w:sz w:val="24"/>
        </w:rPr>
        <w:t>提供开票信息管理功能，支持企业用户通过企业服务平台管理开票信息</w:t>
      </w:r>
    </w:p>
    <w:p w14:paraId="268E71E3">
      <w:pPr>
        <w:rPr>
          <w:rFonts w:hint="eastAsia" w:ascii="宋体" w:hAnsi="宋体"/>
          <w:b/>
          <w:bCs/>
          <w:sz w:val="24"/>
        </w:rPr>
      </w:pPr>
      <w:r>
        <w:rPr>
          <w:rFonts w:hint="eastAsia" w:ascii="宋体" w:hAnsi="宋体"/>
          <w:b/>
          <w:bCs/>
          <w:sz w:val="24"/>
        </w:rPr>
        <w:t>2.6.1.2开票申请</w:t>
      </w:r>
    </w:p>
    <w:p w14:paraId="41B3E4DC">
      <w:pPr>
        <w:ind w:firstLine="480" w:firstLineChars="200"/>
        <w:rPr>
          <w:rFonts w:hint="eastAsia" w:ascii="宋体" w:hAnsi="宋体"/>
          <w:sz w:val="24"/>
        </w:rPr>
      </w:pPr>
      <w:r>
        <w:rPr>
          <w:rFonts w:hint="eastAsia" w:ascii="宋体" w:hAnsi="宋体"/>
          <w:sz w:val="24"/>
        </w:rPr>
        <w:t>提供开票申请功能，支持企业用户通过企业服务平台，根据报检订单发起开票申请</w:t>
      </w:r>
    </w:p>
    <w:p w14:paraId="2D5FAC22">
      <w:pPr>
        <w:rPr>
          <w:rFonts w:hint="eastAsia" w:ascii="宋体" w:hAnsi="宋体"/>
          <w:b/>
          <w:bCs/>
          <w:sz w:val="24"/>
        </w:rPr>
      </w:pPr>
      <w:r>
        <w:rPr>
          <w:rFonts w:hint="eastAsia" w:ascii="宋体" w:hAnsi="宋体"/>
          <w:b/>
          <w:bCs/>
          <w:sz w:val="24"/>
        </w:rPr>
        <w:t>2.6.1.3我的发票</w:t>
      </w:r>
    </w:p>
    <w:p w14:paraId="4A5B5085">
      <w:pPr>
        <w:ind w:firstLine="480" w:firstLineChars="200"/>
        <w:rPr>
          <w:rFonts w:hint="eastAsia" w:ascii="宋体" w:hAnsi="宋体"/>
          <w:sz w:val="24"/>
        </w:rPr>
      </w:pPr>
      <w:r>
        <w:rPr>
          <w:rFonts w:hint="eastAsia" w:ascii="宋体" w:hAnsi="宋体"/>
          <w:sz w:val="24"/>
        </w:rPr>
        <w:t>提供我的发票功能，支持企业用户通过企业服务平台查看已申请和已开具的发票，同时支持发票的在线预览和下载</w:t>
      </w:r>
    </w:p>
    <w:p w14:paraId="2C2CD2B0">
      <w:pPr>
        <w:rPr>
          <w:rFonts w:hint="eastAsia" w:ascii="宋体" w:hAnsi="宋体"/>
          <w:b/>
          <w:bCs/>
          <w:sz w:val="24"/>
        </w:rPr>
      </w:pPr>
      <w:r>
        <w:rPr>
          <w:rFonts w:hint="eastAsia" w:ascii="宋体" w:hAnsi="宋体"/>
          <w:b/>
          <w:bCs/>
          <w:sz w:val="24"/>
        </w:rPr>
        <w:t>2.6.2门户网站</w:t>
      </w:r>
    </w:p>
    <w:p w14:paraId="4E9B71A5">
      <w:pPr>
        <w:rPr>
          <w:rFonts w:hint="eastAsia" w:ascii="宋体" w:hAnsi="宋体"/>
          <w:b/>
          <w:bCs/>
          <w:sz w:val="24"/>
        </w:rPr>
      </w:pPr>
      <w:r>
        <w:rPr>
          <w:rFonts w:hint="eastAsia" w:ascii="宋体" w:hAnsi="宋体"/>
          <w:b/>
          <w:bCs/>
          <w:sz w:val="24"/>
        </w:rPr>
        <w:t>2.6.2.1开票信息管理</w:t>
      </w:r>
    </w:p>
    <w:p w14:paraId="3C639A43">
      <w:pPr>
        <w:ind w:firstLine="480" w:firstLineChars="200"/>
        <w:rPr>
          <w:rFonts w:hint="eastAsia" w:ascii="宋体" w:hAnsi="宋体"/>
          <w:sz w:val="24"/>
        </w:rPr>
      </w:pPr>
      <w:r>
        <w:rPr>
          <w:rFonts w:hint="eastAsia" w:ascii="宋体" w:hAnsi="宋体"/>
          <w:sz w:val="24"/>
        </w:rPr>
        <w:t>提供开票信息管理功能，支持企业用户通过门户网站管理开票信息</w:t>
      </w:r>
    </w:p>
    <w:p w14:paraId="5421D594">
      <w:pPr>
        <w:rPr>
          <w:rFonts w:hint="eastAsia" w:ascii="宋体" w:hAnsi="宋体"/>
          <w:b/>
          <w:bCs/>
          <w:sz w:val="24"/>
        </w:rPr>
      </w:pPr>
      <w:r>
        <w:rPr>
          <w:rFonts w:hint="eastAsia" w:ascii="宋体" w:hAnsi="宋体"/>
          <w:b/>
          <w:bCs/>
          <w:sz w:val="24"/>
        </w:rPr>
        <w:t>2.6.2.2开票申请</w:t>
      </w:r>
    </w:p>
    <w:p w14:paraId="310B756B">
      <w:pPr>
        <w:ind w:firstLine="480" w:firstLineChars="200"/>
        <w:rPr>
          <w:rFonts w:hint="eastAsia" w:ascii="宋体" w:hAnsi="宋体"/>
          <w:sz w:val="24"/>
        </w:rPr>
      </w:pPr>
      <w:r>
        <w:rPr>
          <w:rFonts w:hint="eastAsia" w:ascii="宋体" w:hAnsi="宋体"/>
          <w:sz w:val="24"/>
        </w:rPr>
        <w:t>提供开票申请功能，支持企业用户通过门户网站，根据报检订单发起开票申请</w:t>
      </w:r>
    </w:p>
    <w:p w14:paraId="1FA45DDE">
      <w:pPr>
        <w:rPr>
          <w:rFonts w:hint="eastAsia" w:ascii="宋体" w:hAnsi="宋体"/>
          <w:b/>
          <w:bCs/>
          <w:sz w:val="24"/>
        </w:rPr>
      </w:pPr>
      <w:r>
        <w:rPr>
          <w:rFonts w:hint="eastAsia" w:ascii="宋体" w:hAnsi="宋体"/>
          <w:b/>
          <w:bCs/>
          <w:sz w:val="24"/>
        </w:rPr>
        <w:t>2.6.2.3我的发票</w:t>
      </w:r>
    </w:p>
    <w:p w14:paraId="7FB1D8DF">
      <w:pPr>
        <w:ind w:firstLine="480" w:firstLineChars="200"/>
        <w:rPr>
          <w:rFonts w:hint="eastAsia" w:ascii="宋体" w:hAnsi="宋体"/>
          <w:sz w:val="24"/>
        </w:rPr>
      </w:pPr>
      <w:r>
        <w:rPr>
          <w:rFonts w:hint="eastAsia" w:ascii="宋体" w:hAnsi="宋体"/>
          <w:sz w:val="24"/>
        </w:rPr>
        <w:t>提供我的发票功能，支持企业用户通过门户网站查看已申请和已开具的发票，同时支持发票的在线预览和下载</w:t>
      </w:r>
    </w:p>
    <w:p w14:paraId="64D9F14C">
      <w:pPr>
        <w:rPr>
          <w:rFonts w:hint="eastAsia" w:ascii="宋体" w:hAnsi="宋体"/>
          <w:b/>
          <w:bCs/>
          <w:sz w:val="24"/>
        </w:rPr>
      </w:pPr>
      <w:r>
        <w:rPr>
          <w:rFonts w:hint="eastAsia" w:ascii="宋体" w:hAnsi="宋体"/>
          <w:b/>
          <w:bCs/>
          <w:sz w:val="24"/>
        </w:rPr>
        <w:t>2.6.3微信公众号</w:t>
      </w:r>
    </w:p>
    <w:p w14:paraId="180AEE6B">
      <w:pPr>
        <w:rPr>
          <w:rFonts w:hint="eastAsia" w:ascii="宋体" w:hAnsi="宋体"/>
          <w:b/>
          <w:bCs/>
          <w:sz w:val="24"/>
        </w:rPr>
      </w:pPr>
      <w:r>
        <w:rPr>
          <w:rFonts w:hint="eastAsia" w:ascii="宋体" w:hAnsi="宋体"/>
          <w:b/>
          <w:bCs/>
          <w:sz w:val="24"/>
        </w:rPr>
        <w:t>2.6.3.1开票信息管理</w:t>
      </w:r>
    </w:p>
    <w:p w14:paraId="7669315F">
      <w:pPr>
        <w:ind w:firstLine="480" w:firstLineChars="200"/>
        <w:rPr>
          <w:rFonts w:hint="eastAsia" w:ascii="宋体" w:hAnsi="宋体"/>
          <w:sz w:val="24"/>
        </w:rPr>
      </w:pPr>
      <w:r>
        <w:rPr>
          <w:rFonts w:hint="eastAsia" w:ascii="宋体" w:hAnsi="宋体"/>
          <w:sz w:val="24"/>
        </w:rPr>
        <w:t>提供开票信息管理功能，支持企业用户通过微信公众号管理开票信息</w:t>
      </w:r>
    </w:p>
    <w:p w14:paraId="3C97F3B0">
      <w:pPr>
        <w:rPr>
          <w:rFonts w:hint="eastAsia" w:ascii="宋体" w:hAnsi="宋体"/>
          <w:b/>
          <w:bCs/>
          <w:sz w:val="24"/>
        </w:rPr>
      </w:pPr>
      <w:r>
        <w:rPr>
          <w:rFonts w:hint="eastAsia" w:ascii="宋体" w:hAnsi="宋体"/>
          <w:b/>
          <w:bCs/>
          <w:sz w:val="24"/>
        </w:rPr>
        <w:t>2.6.3.2开票申请</w:t>
      </w:r>
    </w:p>
    <w:p w14:paraId="2C6C6940">
      <w:pPr>
        <w:ind w:firstLine="480" w:firstLineChars="200"/>
        <w:rPr>
          <w:rFonts w:hint="eastAsia" w:ascii="宋体" w:hAnsi="宋体"/>
          <w:sz w:val="24"/>
        </w:rPr>
      </w:pPr>
      <w:r>
        <w:rPr>
          <w:rFonts w:hint="eastAsia" w:ascii="宋体" w:hAnsi="宋体"/>
          <w:sz w:val="24"/>
        </w:rPr>
        <w:t>提供开票申请功能，支持企业用户通过微信公众号，根据报检订单发起开票申请</w:t>
      </w:r>
    </w:p>
    <w:p w14:paraId="560E8C92">
      <w:pPr>
        <w:rPr>
          <w:rFonts w:hint="eastAsia" w:ascii="宋体" w:hAnsi="宋体"/>
          <w:b/>
          <w:bCs/>
          <w:sz w:val="24"/>
        </w:rPr>
      </w:pPr>
      <w:r>
        <w:rPr>
          <w:rFonts w:hint="eastAsia" w:ascii="宋体" w:hAnsi="宋体"/>
          <w:b/>
          <w:bCs/>
          <w:sz w:val="24"/>
        </w:rPr>
        <w:t>2.6.3.3我的发票</w:t>
      </w:r>
    </w:p>
    <w:p w14:paraId="0733B275">
      <w:pPr>
        <w:ind w:firstLine="480" w:firstLineChars="200"/>
        <w:rPr>
          <w:rFonts w:hint="eastAsia" w:ascii="宋体" w:hAnsi="宋体"/>
          <w:sz w:val="24"/>
        </w:rPr>
      </w:pPr>
      <w:r>
        <w:rPr>
          <w:rFonts w:hint="eastAsia" w:ascii="宋体" w:hAnsi="宋体"/>
          <w:sz w:val="24"/>
        </w:rPr>
        <w:t>提供我的发票功能，支持企业用户通过微信公众号查看已申请和已开具的发票，同时支持发票的在线预览和下载</w:t>
      </w:r>
    </w:p>
    <w:p w14:paraId="6551D7D1">
      <w:pPr>
        <w:rPr>
          <w:rFonts w:hint="eastAsia" w:ascii="宋体" w:hAnsi="宋体"/>
          <w:b/>
          <w:bCs/>
          <w:sz w:val="24"/>
        </w:rPr>
      </w:pPr>
      <w:r>
        <w:rPr>
          <w:rFonts w:hint="eastAsia" w:ascii="宋体" w:hAnsi="宋体"/>
          <w:b/>
          <w:bCs/>
          <w:sz w:val="24"/>
        </w:rPr>
        <w:t>2.7系统集成对接</w:t>
      </w:r>
    </w:p>
    <w:p w14:paraId="0FD1584D">
      <w:pPr>
        <w:rPr>
          <w:rFonts w:hint="eastAsia" w:ascii="宋体" w:hAnsi="宋体"/>
          <w:b/>
          <w:bCs/>
          <w:sz w:val="24"/>
        </w:rPr>
      </w:pPr>
      <w:r>
        <w:rPr>
          <w:rFonts w:hint="eastAsia" w:ascii="宋体" w:hAnsi="宋体"/>
          <w:b/>
          <w:bCs/>
          <w:sz w:val="24"/>
        </w:rPr>
        <w:t>2.7.1苏智特检平台</w:t>
      </w:r>
    </w:p>
    <w:p w14:paraId="6D35409C">
      <w:pPr>
        <w:rPr>
          <w:rFonts w:hint="eastAsia" w:ascii="宋体" w:hAnsi="宋体"/>
          <w:b/>
          <w:bCs/>
          <w:sz w:val="24"/>
        </w:rPr>
      </w:pPr>
      <w:r>
        <w:rPr>
          <w:rFonts w:hint="eastAsia" w:ascii="宋体" w:hAnsi="宋体"/>
          <w:b/>
          <w:bCs/>
          <w:sz w:val="24"/>
        </w:rPr>
        <w:t>2.7.1.1登录授权</w:t>
      </w:r>
    </w:p>
    <w:p w14:paraId="2EFC9B2E">
      <w:pPr>
        <w:ind w:firstLine="480" w:firstLineChars="200"/>
        <w:rPr>
          <w:rFonts w:hint="eastAsia" w:ascii="宋体" w:hAnsi="宋体"/>
          <w:sz w:val="24"/>
        </w:rPr>
      </w:pPr>
      <w:r>
        <w:rPr>
          <w:rFonts w:hint="eastAsia" w:ascii="宋体" w:hAnsi="宋体"/>
          <w:sz w:val="24"/>
        </w:rPr>
        <w:t>实现统一身份认证和单点登录</w:t>
      </w:r>
    </w:p>
    <w:p w14:paraId="2BDA0CF4">
      <w:pPr>
        <w:rPr>
          <w:rFonts w:hint="eastAsia" w:ascii="宋体" w:hAnsi="宋体"/>
          <w:b/>
          <w:bCs/>
          <w:sz w:val="24"/>
        </w:rPr>
      </w:pPr>
      <w:r>
        <w:rPr>
          <w:rFonts w:hint="eastAsia" w:ascii="宋体" w:hAnsi="宋体"/>
          <w:b/>
          <w:bCs/>
          <w:sz w:val="24"/>
        </w:rPr>
        <w:t>2.7.1.2数电发票对接</w:t>
      </w:r>
    </w:p>
    <w:p w14:paraId="672FACED">
      <w:pPr>
        <w:ind w:firstLine="480" w:firstLineChars="200"/>
        <w:rPr>
          <w:rFonts w:hint="eastAsia" w:ascii="宋体" w:hAnsi="宋体"/>
          <w:sz w:val="24"/>
        </w:rPr>
      </w:pPr>
      <w:r>
        <w:rPr>
          <w:rFonts w:hint="eastAsia" w:ascii="宋体" w:hAnsi="宋体"/>
          <w:sz w:val="24"/>
        </w:rPr>
        <w:t>实现发票开具申请接口、发票批量开具申请接口、发票取消申请接口、发票批量取消申请接口、发票接受申请接口、发票批量接受申请接口、发票查询申请接口。</w:t>
      </w:r>
    </w:p>
    <w:p w14:paraId="2B09FA75">
      <w:pPr>
        <w:rPr>
          <w:rFonts w:hint="eastAsia" w:ascii="宋体" w:hAnsi="宋体"/>
          <w:b/>
          <w:bCs/>
          <w:sz w:val="24"/>
        </w:rPr>
      </w:pPr>
      <w:r>
        <w:rPr>
          <w:rFonts w:hint="eastAsia" w:ascii="宋体" w:hAnsi="宋体"/>
          <w:b/>
          <w:bCs/>
          <w:sz w:val="24"/>
        </w:rPr>
        <w:t>2.7.1.3功能菜单、快捷入口接入</w:t>
      </w:r>
    </w:p>
    <w:p w14:paraId="38DA25BC">
      <w:pPr>
        <w:ind w:firstLine="480" w:firstLineChars="200"/>
        <w:rPr>
          <w:rFonts w:hint="eastAsia" w:ascii="宋体" w:hAnsi="宋体"/>
          <w:sz w:val="24"/>
        </w:rPr>
      </w:pPr>
      <w:r>
        <w:rPr>
          <w:rFonts w:hint="eastAsia" w:ascii="宋体" w:hAnsi="宋体"/>
          <w:sz w:val="24"/>
        </w:rPr>
        <w:t>在苏智特检平台中嵌入数电发票平台的相关功能菜单，同时在一体化门户配置数电发票平台的快捷入口</w:t>
      </w:r>
    </w:p>
    <w:p w14:paraId="23E65EDC">
      <w:pPr>
        <w:rPr>
          <w:rFonts w:hint="eastAsia" w:ascii="宋体" w:hAnsi="宋体"/>
          <w:b/>
          <w:bCs/>
          <w:sz w:val="24"/>
        </w:rPr>
      </w:pPr>
      <w:r>
        <w:rPr>
          <w:rFonts w:hint="eastAsia" w:ascii="宋体" w:hAnsi="宋体"/>
          <w:b/>
          <w:bCs/>
          <w:sz w:val="24"/>
        </w:rPr>
        <w:t>2.7.2乐企平台</w:t>
      </w:r>
    </w:p>
    <w:p w14:paraId="57D1F54A">
      <w:pPr>
        <w:rPr>
          <w:rFonts w:hint="eastAsia" w:ascii="宋体" w:hAnsi="宋体"/>
          <w:b/>
          <w:bCs/>
          <w:sz w:val="24"/>
        </w:rPr>
      </w:pPr>
      <w:r>
        <w:rPr>
          <w:rFonts w:hint="eastAsia" w:ascii="宋体" w:hAnsi="宋体"/>
          <w:b/>
          <w:bCs/>
          <w:sz w:val="24"/>
        </w:rPr>
        <w:t>2.7.2.1接口对接</w:t>
      </w:r>
    </w:p>
    <w:p w14:paraId="2CBBE9C8">
      <w:pPr>
        <w:ind w:firstLine="480" w:firstLineChars="200"/>
        <w:rPr>
          <w:rFonts w:hint="eastAsia" w:ascii="宋体" w:hAnsi="宋体"/>
          <w:sz w:val="24"/>
        </w:rPr>
      </w:pPr>
      <w:r>
        <w:rPr>
          <w:rFonts w:hint="eastAsia" w:ascii="宋体" w:hAnsi="宋体"/>
          <w:sz w:val="24"/>
        </w:rPr>
        <w:t>系统支持与税局乐企平台进行接口对接，完成与税局系统基础开票、信息同步、直连开票、发票归集、发票认证抵扣等操作</w:t>
      </w:r>
    </w:p>
    <w:p w14:paraId="40046596">
      <w:pPr>
        <w:rPr>
          <w:rFonts w:hint="eastAsia" w:ascii="宋体" w:hAnsi="宋体"/>
          <w:b/>
          <w:bCs/>
          <w:sz w:val="24"/>
        </w:rPr>
      </w:pPr>
      <w:r>
        <w:rPr>
          <w:rFonts w:hint="eastAsia" w:ascii="宋体" w:hAnsi="宋体"/>
          <w:b/>
          <w:bCs/>
          <w:sz w:val="24"/>
        </w:rPr>
        <w:t>2.7.3短信网关平台</w:t>
      </w:r>
    </w:p>
    <w:p w14:paraId="03BA13B9">
      <w:pPr>
        <w:rPr>
          <w:rFonts w:hint="eastAsia" w:ascii="宋体" w:hAnsi="宋体"/>
          <w:b/>
          <w:bCs/>
          <w:sz w:val="24"/>
        </w:rPr>
      </w:pPr>
      <w:r>
        <w:rPr>
          <w:rFonts w:hint="eastAsia" w:ascii="宋体" w:hAnsi="宋体"/>
          <w:b/>
          <w:bCs/>
          <w:sz w:val="24"/>
        </w:rPr>
        <w:t>2.7.3.1短信接口对接</w:t>
      </w:r>
    </w:p>
    <w:p w14:paraId="149346B9">
      <w:pPr>
        <w:spacing w:line="360" w:lineRule="auto"/>
        <w:ind w:firstLine="480" w:firstLineChars="200"/>
        <w:rPr>
          <w:rFonts w:hint="eastAsia" w:ascii="宋体" w:hAnsi="宋体" w:cs="宋体"/>
          <w:b/>
          <w:sz w:val="24"/>
        </w:rPr>
      </w:pPr>
      <w:r>
        <w:rPr>
          <w:rFonts w:hint="eastAsia" w:ascii="宋体" w:hAnsi="宋体"/>
          <w:sz w:val="24"/>
        </w:rPr>
        <w:t>通过与短信平台交互，实现系统版式文件短信推送功能</w:t>
      </w:r>
    </w:p>
    <w:p w14:paraId="710CE89E">
      <w:pPr>
        <w:spacing w:before="57" w:beforeLines="20" w:after="57" w:afterLines="20" w:line="360" w:lineRule="auto"/>
        <w:rPr>
          <w:b/>
          <w:bCs/>
          <w:sz w:val="24"/>
        </w:rPr>
      </w:pPr>
      <w:r>
        <w:rPr>
          <w:rFonts w:hint="eastAsia"/>
          <w:b/>
          <w:bCs/>
          <w:sz w:val="24"/>
        </w:rPr>
        <w:t>2.8人员要求</w:t>
      </w:r>
    </w:p>
    <w:p w14:paraId="1744E532">
      <w:pPr>
        <w:spacing w:before="57" w:beforeLines="20" w:after="57" w:afterLines="20" w:line="360" w:lineRule="auto"/>
        <w:ind w:firstLine="482" w:firstLineChars="200"/>
        <w:rPr>
          <w:sz w:val="24"/>
        </w:rPr>
      </w:pPr>
      <w:r>
        <w:rPr>
          <w:rFonts w:hint="eastAsia"/>
          <w:b/>
          <w:bCs/>
          <w:sz w:val="24"/>
        </w:rPr>
        <w:t>2.8.1</w:t>
      </w:r>
      <w:r>
        <w:rPr>
          <w:rFonts w:hint="eastAsia"/>
          <w:sz w:val="24"/>
        </w:rPr>
        <w:t>供应商应组建专门技术服务团队，提供实施投标项目的组织机构和人员配置管理计划，除项目经理以外人数不少于</w:t>
      </w:r>
      <w:r>
        <w:rPr>
          <w:sz w:val="24"/>
        </w:rPr>
        <w:t>4</w:t>
      </w:r>
      <w:r>
        <w:rPr>
          <w:rFonts w:hint="eastAsia"/>
          <w:sz w:val="24"/>
        </w:rPr>
        <w:t>人，在组织机构中应明确各岗位的职责、任职资格，确保项目顺利实施。需明确</w:t>
      </w:r>
      <w:r>
        <w:rPr>
          <w:sz w:val="24"/>
        </w:rPr>
        <w:t>1</w:t>
      </w:r>
      <w:r>
        <w:rPr>
          <w:rFonts w:hint="eastAsia"/>
          <w:sz w:val="24"/>
        </w:rPr>
        <w:t>名项目负责人，应同时具有高级信息系统项目管理师和软件设计师证书，负责协调整个项目实施全过程，与采购人沟通联络，贯彻落实采购人各项需求。</w:t>
      </w:r>
    </w:p>
    <w:p w14:paraId="491962F0">
      <w:pPr>
        <w:spacing w:before="57" w:beforeLines="20" w:after="57" w:afterLines="20" w:line="360" w:lineRule="auto"/>
        <w:ind w:firstLine="482" w:firstLineChars="200"/>
        <w:rPr>
          <w:sz w:val="24"/>
        </w:rPr>
      </w:pPr>
      <w:r>
        <w:rPr>
          <w:rFonts w:hint="eastAsia"/>
          <w:b/>
          <w:bCs/>
          <w:sz w:val="24"/>
        </w:rPr>
        <w:t>2.8.2</w:t>
      </w:r>
      <w:r>
        <w:rPr>
          <w:rFonts w:hint="eastAsia"/>
          <w:sz w:val="24"/>
        </w:rPr>
        <w:t>服务团队成员为供应商自有员工，要求具有：系统架构设计师，</w:t>
      </w:r>
      <w:r>
        <w:rPr>
          <w:sz w:val="24"/>
        </w:rPr>
        <w:t xml:space="preserve"> HCIP</w:t>
      </w:r>
      <w:r>
        <w:rPr>
          <w:rFonts w:hint="eastAsia"/>
          <w:sz w:val="24"/>
        </w:rPr>
        <w:t>（</w:t>
      </w:r>
      <w:r>
        <w:rPr>
          <w:sz w:val="24"/>
        </w:rPr>
        <w:t>HCNP</w:t>
      </w:r>
      <w:r>
        <w:rPr>
          <w:rFonts w:hint="eastAsia"/>
          <w:sz w:val="24"/>
        </w:rPr>
        <w:t>）或</w:t>
      </w:r>
      <w:r>
        <w:rPr>
          <w:sz w:val="24"/>
        </w:rPr>
        <w:t>H3CNE</w:t>
      </w:r>
      <w:r>
        <w:rPr>
          <w:rFonts w:hint="eastAsia"/>
          <w:sz w:val="24"/>
        </w:rPr>
        <w:t>或</w:t>
      </w:r>
      <w:r>
        <w:rPr>
          <w:sz w:val="24"/>
        </w:rPr>
        <w:t>CCNP</w:t>
      </w:r>
      <w:r>
        <w:rPr>
          <w:rFonts w:hint="eastAsia"/>
          <w:sz w:val="24"/>
        </w:rPr>
        <w:t>或同等级别，注册信息安全专业人员（</w:t>
      </w:r>
      <w:r>
        <w:rPr>
          <w:sz w:val="24"/>
        </w:rPr>
        <w:t>CISP</w:t>
      </w:r>
      <w:r>
        <w:rPr>
          <w:rFonts w:hint="eastAsia"/>
          <w:sz w:val="24"/>
        </w:rPr>
        <w:t>或</w:t>
      </w:r>
      <w:r>
        <w:rPr>
          <w:sz w:val="24"/>
        </w:rPr>
        <w:t>CISSP</w:t>
      </w:r>
      <w:r>
        <w:rPr>
          <w:rFonts w:hint="eastAsia"/>
          <w:sz w:val="24"/>
        </w:rPr>
        <w:t>），</w:t>
      </w:r>
      <w:r>
        <w:rPr>
          <w:sz w:val="24"/>
        </w:rPr>
        <w:t>IT</w:t>
      </w:r>
      <w:r>
        <w:rPr>
          <w:rFonts w:hint="eastAsia"/>
          <w:sz w:val="24"/>
        </w:rPr>
        <w:t>服务工程师（</w:t>
      </w:r>
      <w:r>
        <w:rPr>
          <w:sz w:val="24"/>
        </w:rPr>
        <w:t>ITSS</w:t>
      </w:r>
      <w:r>
        <w:rPr>
          <w:rFonts w:hint="eastAsia"/>
          <w:sz w:val="24"/>
        </w:rPr>
        <w:t>）证书。团队成员应分工明确，职责明晰，有较高的专业技术能力，有明确的内部管理制度。</w:t>
      </w:r>
    </w:p>
    <w:p w14:paraId="6DF57EBB">
      <w:pPr>
        <w:spacing w:before="57" w:beforeLines="20" w:after="57" w:afterLines="20" w:line="360" w:lineRule="auto"/>
        <w:ind w:firstLine="480" w:firstLineChars="200"/>
        <w:rPr>
          <w:sz w:val="24"/>
        </w:rPr>
      </w:pPr>
      <w:r>
        <w:rPr>
          <w:rFonts w:hint="eastAsia"/>
          <w:sz w:val="24"/>
        </w:rPr>
        <w:t>2.8.3供应商应提供服务团队成员名单、职称或职业资格证书复印件，同步提供由供应商为其投保的2</w:t>
      </w:r>
      <w:r>
        <w:rPr>
          <w:sz w:val="24"/>
        </w:rPr>
        <w:t>024</w:t>
      </w:r>
      <w:r>
        <w:rPr>
          <w:rFonts w:hint="eastAsia"/>
          <w:sz w:val="24"/>
        </w:rPr>
        <w:t>年0</w:t>
      </w:r>
      <w:r>
        <w:rPr>
          <w:sz w:val="24"/>
        </w:rPr>
        <w:t>7</w:t>
      </w:r>
      <w:r>
        <w:rPr>
          <w:rFonts w:hint="eastAsia"/>
          <w:sz w:val="24"/>
        </w:rPr>
        <w:t>月至</w:t>
      </w:r>
      <w:r>
        <w:rPr>
          <w:sz w:val="24"/>
        </w:rPr>
        <w:t>10</w:t>
      </w:r>
      <w:r>
        <w:rPr>
          <w:rFonts w:hint="eastAsia"/>
          <w:sz w:val="24"/>
        </w:rPr>
        <w:t>月任意一月社保缴纳证明文件。服务团队成员未经采购人同意原则上不得调整。</w:t>
      </w:r>
    </w:p>
    <w:p w14:paraId="7E0BBB33">
      <w:pPr>
        <w:spacing w:before="57" w:beforeLines="20" w:after="57" w:afterLines="20" w:line="360" w:lineRule="auto"/>
        <w:rPr>
          <w:b/>
          <w:bCs/>
          <w:sz w:val="24"/>
        </w:rPr>
      </w:pPr>
      <w:r>
        <w:rPr>
          <w:rFonts w:hint="eastAsia"/>
          <w:b/>
          <w:bCs/>
          <w:sz w:val="24"/>
        </w:rPr>
        <w:t>2.9整体技术方案要求</w:t>
      </w:r>
    </w:p>
    <w:p w14:paraId="231989B1">
      <w:pPr>
        <w:spacing w:line="360" w:lineRule="auto"/>
        <w:ind w:firstLine="480" w:firstLineChars="200"/>
        <w:rPr>
          <w:rFonts w:hint="eastAsia" w:ascii="宋体" w:hAnsi="宋体"/>
          <w:sz w:val="24"/>
        </w:rPr>
      </w:pPr>
      <w:r>
        <w:rPr>
          <w:rFonts w:hint="eastAsia" w:ascii="宋体" w:hAnsi="宋体"/>
          <w:sz w:val="24"/>
        </w:rPr>
        <w:t>供应商需拟定详细的整体技术方案，包含但不限于以下内容:</w:t>
      </w:r>
    </w:p>
    <w:p w14:paraId="25C41003">
      <w:pPr>
        <w:spacing w:line="360" w:lineRule="auto"/>
        <w:ind w:firstLine="482" w:firstLineChars="200"/>
        <w:rPr>
          <w:rFonts w:hint="eastAsia" w:ascii="宋体" w:hAnsi="宋体"/>
          <w:sz w:val="24"/>
        </w:rPr>
      </w:pPr>
      <w:r>
        <w:rPr>
          <w:rFonts w:hint="eastAsia" w:ascii="宋体" w:hAnsi="宋体"/>
          <w:b/>
          <w:bCs/>
          <w:sz w:val="24"/>
        </w:rPr>
        <w:t>2.9.1项目理解及需求分析</w:t>
      </w:r>
      <w:r>
        <w:rPr>
          <w:rFonts w:hint="eastAsia" w:ascii="宋体" w:hAnsi="宋体"/>
          <w:sz w:val="24"/>
        </w:rPr>
        <w:t>：供应商充分了解本项目背景，对模块功能建设要求和总体思路、本项目采购需求等方面的理解情况进行阐述；对项目总体建设思路、建设要求、技术要求、技术规范和业务规范等有一定理解，整体论述较为完整，重难点分析较为准确的。</w:t>
      </w:r>
    </w:p>
    <w:p w14:paraId="6DA70C38">
      <w:pPr>
        <w:spacing w:line="360" w:lineRule="auto"/>
        <w:ind w:firstLine="482" w:firstLineChars="200"/>
        <w:rPr>
          <w:rFonts w:hint="eastAsia" w:ascii="宋体" w:hAnsi="宋体"/>
          <w:sz w:val="24"/>
        </w:rPr>
      </w:pPr>
      <w:r>
        <w:rPr>
          <w:rFonts w:hint="eastAsia" w:ascii="宋体" w:hAnsi="宋体"/>
          <w:b/>
          <w:bCs/>
          <w:sz w:val="24"/>
        </w:rPr>
        <w:t>2.9.2总体设计方案</w:t>
      </w:r>
      <w:r>
        <w:rPr>
          <w:rFonts w:hint="eastAsia" w:ascii="宋体" w:hAnsi="宋体"/>
          <w:sz w:val="24"/>
        </w:rPr>
        <w:t>：供应商需遵循平台总体设计思路，结合本项目采购需求，提供总体设计方案（至少包括总体架构、业务架构、数据架构等设计）。</w:t>
      </w:r>
    </w:p>
    <w:p w14:paraId="3C8CA4F9">
      <w:pPr>
        <w:spacing w:line="360" w:lineRule="auto"/>
        <w:ind w:firstLine="482" w:firstLineChars="200"/>
        <w:rPr>
          <w:rFonts w:hint="eastAsia" w:ascii="宋体" w:hAnsi="宋体"/>
          <w:sz w:val="24"/>
        </w:rPr>
      </w:pPr>
      <w:r>
        <w:rPr>
          <w:rFonts w:hint="eastAsia" w:ascii="宋体" w:hAnsi="宋体"/>
          <w:b/>
          <w:bCs/>
          <w:sz w:val="24"/>
        </w:rPr>
        <w:t>2.9.3性能和技术设计方案</w:t>
      </w:r>
      <w:r>
        <w:rPr>
          <w:rFonts w:hint="eastAsia" w:ascii="宋体" w:hAnsi="宋体"/>
          <w:sz w:val="24"/>
        </w:rPr>
        <w:t>：供应商结合项目特点，提供性能和技术方案（至少包括性能要求设计、软件技术要求设计等)</w:t>
      </w:r>
    </w:p>
    <w:p w14:paraId="7AA1BC32">
      <w:pPr>
        <w:spacing w:line="360" w:lineRule="auto"/>
        <w:ind w:firstLine="482" w:firstLineChars="200"/>
        <w:rPr>
          <w:rFonts w:hint="eastAsia" w:ascii="宋体" w:hAnsi="宋体"/>
          <w:sz w:val="24"/>
        </w:rPr>
      </w:pPr>
      <w:r>
        <w:rPr>
          <w:rFonts w:hint="eastAsia" w:ascii="宋体" w:hAnsi="宋体"/>
          <w:b/>
          <w:bCs/>
          <w:sz w:val="24"/>
        </w:rPr>
        <w:t>2.9.4数据对接方案</w:t>
      </w:r>
      <w:r>
        <w:rPr>
          <w:rFonts w:hint="eastAsia" w:ascii="宋体" w:hAnsi="宋体"/>
          <w:sz w:val="24"/>
        </w:rPr>
        <w:t>：实现与苏智特检综合服务云平台、电子发票业财系统的数据对接，要求设计方案详细、数据对接保证及时性和准确性，同时具备可行性。</w:t>
      </w:r>
    </w:p>
    <w:p w14:paraId="29BDBEE7">
      <w:pPr>
        <w:spacing w:before="57" w:beforeLines="20" w:after="57" w:afterLines="20" w:line="360" w:lineRule="auto"/>
        <w:ind w:firstLine="482" w:firstLineChars="200"/>
        <w:rPr>
          <w:rFonts w:hint="eastAsia" w:ascii="宋体" w:hAnsi="宋体"/>
          <w:b/>
          <w:bCs/>
          <w:sz w:val="24"/>
        </w:rPr>
      </w:pPr>
      <w:r>
        <w:rPr>
          <w:rFonts w:hint="eastAsia" w:ascii="宋体" w:hAnsi="宋体"/>
          <w:b/>
          <w:bCs/>
          <w:sz w:val="24"/>
        </w:rPr>
        <w:t>2.9.5模块功能设计方案</w:t>
      </w:r>
    </w:p>
    <w:p w14:paraId="6F517DC1">
      <w:pPr>
        <w:pStyle w:val="62"/>
        <w:ind w:firstLine="480" w:firstLineChars="200"/>
        <w:rPr>
          <w:rFonts w:hint="eastAsia" w:ascii="宋体"/>
          <w:sz w:val="24"/>
        </w:rPr>
      </w:pPr>
      <w:r>
        <w:rPr>
          <w:rFonts w:hint="eastAsia" w:ascii="宋体"/>
          <w:sz w:val="24"/>
        </w:rPr>
        <w:t>供应商应针对该项目提供详细设计方案，具备相关功能模块，要求功能完整、符合采购需求。</w:t>
      </w:r>
    </w:p>
    <w:p w14:paraId="24524D27">
      <w:pPr>
        <w:spacing w:before="57" w:beforeLines="20" w:after="57" w:afterLines="20" w:line="360" w:lineRule="auto"/>
        <w:ind w:firstLine="482" w:firstLineChars="200"/>
        <w:jc w:val="left"/>
        <w:rPr>
          <w:rFonts w:hint="eastAsia" w:ascii="宋体" w:hAnsi="宋体"/>
          <w:b/>
          <w:bCs/>
          <w:sz w:val="24"/>
        </w:rPr>
      </w:pPr>
      <w:r>
        <w:rPr>
          <w:rFonts w:hint="eastAsia" w:ascii="宋体" w:hAnsi="宋体"/>
          <w:b/>
          <w:bCs/>
          <w:sz w:val="24"/>
        </w:rPr>
        <w:t>2.9.5.1承压类计费工具</w:t>
      </w:r>
    </w:p>
    <w:p w14:paraId="04668459">
      <w:pPr>
        <w:spacing w:before="57" w:beforeLines="20" w:after="57" w:afterLines="20" w:line="360" w:lineRule="auto"/>
        <w:ind w:firstLine="480" w:firstLineChars="200"/>
        <w:jc w:val="left"/>
        <w:rPr>
          <w:rFonts w:hint="eastAsia" w:ascii="宋体" w:hAnsi="宋体"/>
          <w:sz w:val="24"/>
        </w:rPr>
      </w:pPr>
      <w:r>
        <w:rPr>
          <w:rFonts w:hint="eastAsia" w:ascii="宋体" w:hAnsi="宋体"/>
          <w:sz w:val="24"/>
        </w:rPr>
        <w:t>（1）提供压力容器计费工具功能，在报告录入或者报告校核环节，提供系统自动提取和手工录入两种方式，根据技术参数、检验项目等因素实现自动计算压力容器检验费用的工具，并展示费用明细；</w:t>
      </w:r>
    </w:p>
    <w:p w14:paraId="6BF00021">
      <w:pPr>
        <w:widowControl/>
        <w:spacing w:before="57" w:beforeLines="20" w:after="57" w:afterLines="20" w:line="360" w:lineRule="auto"/>
        <w:ind w:firstLine="480" w:firstLineChars="200"/>
        <w:rPr>
          <w:rFonts w:hint="eastAsia" w:ascii="宋体" w:hAnsi="宋体"/>
          <w:sz w:val="24"/>
        </w:rPr>
      </w:pPr>
      <w:r>
        <w:rPr>
          <w:rFonts w:hint="eastAsia" w:ascii="宋体" w:hAnsi="宋体"/>
          <w:sz w:val="24"/>
        </w:rPr>
        <w:t>（2）提供无损检查项目计费工具功能，根据外径、高度、厚度等技术参数、通过系统自动提取报告中的值，实现无损检查项目自动计费。</w:t>
      </w:r>
    </w:p>
    <w:p w14:paraId="7141DBDC">
      <w:pPr>
        <w:spacing w:before="57" w:beforeLines="20" w:after="57" w:afterLines="20" w:line="360" w:lineRule="auto"/>
        <w:ind w:firstLine="482" w:firstLineChars="200"/>
        <w:jc w:val="left"/>
        <w:rPr>
          <w:rFonts w:hint="eastAsia" w:ascii="宋体" w:hAnsi="宋体"/>
          <w:b/>
          <w:bCs/>
          <w:sz w:val="24"/>
        </w:rPr>
      </w:pPr>
      <w:r>
        <w:rPr>
          <w:rFonts w:hint="eastAsia" w:ascii="宋体" w:hAnsi="宋体"/>
          <w:b/>
          <w:bCs/>
          <w:sz w:val="24"/>
        </w:rPr>
        <w:t>2.9.5.2 发票管理</w:t>
      </w:r>
    </w:p>
    <w:p w14:paraId="069C7A17">
      <w:pPr>
        <w:spacing w:before="57" w:beforeLines="20" w:after="57" w:afterLines="20" w:line="360" w:lineRule="auto"/>
        <w:ind w:firstLine="480" w:firstLineChars="200"/>
        <w:jc w:val="left"/>
        <w:rPr>
          <w:rFonts w:hint="eastAsia" w:ascii="宋体" w:hAnsi="宋体"/>
          <w:sz w:val="24"/>
        </w:rPr>
      </w:pPr>
      <w:r>
        <w:rPr>
          <w:rFonts w:hint="eastAsia" w:ascii="宋体" w:hAnsi="宋体"/>
          <w:sz w:val="24"/>
        </w:rPr>
        <w:t>（1）提供缴费确认开票申请功能，支持报检缴费确认环节的在线开票申请，调用数电发票接口，实现自动开票；</w:t>
      </w:r>
    </w:p>
    <w:p w14:paraId="3C047EE0">
      <w:pPr>
        <w:spacing w:before="57" w:beforeLines="20" w:after="57" w:afterLines="20" w:line="360" w:lineRule="auto"/>
        <w:ind w:firstLine="480" w:firstLineChars="200"/>
        <w:jc w:val="left"/>
        <w:rPr>
          <w:rFonts w:hint="eastAsia" w:ascii="宋体" w:hAnsi="宋体"/>
          <w:sz w:val="24"/>
        </w:rPr>
      </w:pPr>
      <w:r>
        <w:rPr>
          <w:rFonts w:hint="eastAsia" w:ascii="宋体" w:hAnsi="宋体"/>
          <w:sz w:val="24"/>
        </w:rPr>
        <w:t>（2）提供合同协议开票申请功能，合同协议管理增加发票的在线申请，调用数电发票接口，实现自动开票；</w:t>
      </w:r>
    </w:p>
    <w:p w14:paraId="13842BE6">
      <w:pPr>
        <w:spacing w:before="57" w:beforeLines="20" w:after="57" w:afterLines="20" w:line="360" w:lineRule="auto"/>
        <w:ind w:firstLine="480" w:firstLineChars="200"/>
        <w:jc w:val="left"/>
        <w:rPr>
          <w:rFonts w:hint="eastAsia" w:ascii="宋体" w:hAnsi="宋体"/>
          <w:sz w:val="24"/>
        </w:rPr>
      </w:pPr>
      <w:r>
        <w:rPr>
          <w:rFonts w:hint="eastAsia" w:ascii="宋体" w:hAnsi="宋体"/>
          <w:sz w:val="24"/>
        </w:rPr>
        <w:t>（3）提供开票记录查询功能，支持在任务单缴费确认页面或任务单详情页面中查看相关发票信息；</w:t>
      </w:r>
    </w:p>
    <w:p w14:paraId="5094C5D5">
      <w:pPr>
        <w:spacing w:before="57" w:beforeLines="20" w:after="57" w:afterLines="20" w:line="360" w:lineRule="auto"/>
        <w:ind w:firstLine="482" w:firstLineChars="200"/>
        <w:jc w:val="left"/>
        <w:rPr>
          <w:rFonts w:hint="eastAsia" w:ascii="宋体" w:hAnsi="宋体"/>
          <w:b/>
          <w:bCs/>
          <w:sz w:val="24"/>
        </w:rPr>
      </w:pPr>
      <w:r>
        <w:rPr>
          <w:rFonts w:hint="eastAsia" w:ascii="宋体" w:hAnsi="宋体"/>
          <w:b/>
          <w:bCs/>
          <w:sz w:val="24"/>
        </w:rPr>
        <w:t>2.9.5.3财务记账与对账</w:t>
      </w:r>
    </w:p>
    <w:p w14:paraId="76766DD1">
      <w:pPr>
        <w:spacing w:before="57" w:beforeLines="20" w:after="57" w:afterLines="20" w:line="360" w:lineRule="auto"/>
        <w:ind w:firstLine="480" w:firstLineChars="200"/>
        <w:jc w:val="left"/>
        <w:rPr>
          <w:rFonts w:hint="eastAsia" w:ascii="宋体" w:hAnsi="宋体"/>
          <w:sz w:val="24"/>
        </w:rPr>
      </w:pPr>
      <w:r>
        <w:rPr>
          <w:rFonts w:hint="eastAsia" w:ascii="宋体" w:hAnsi="宋体"/>
          <w:sz w:val="24"/>
        </w:rPr>
        <w:t>（1）提供人工推送功能，支持人工推送任务单数据至工行，人工推送任务单数主要包含工行对账失败任务单和历史未推送任务单；</w:t>
      </w:r>
    </w:p>
    <w:p w14:paraId="385FEB47">
      <w:pPr>
        <w:spacing w:before="57" w:beforeLines="20" w:after="57" w:afterLines="20" w:line="360" w:lineRule="auto"/>
        <w:ind w:firstLine="480" w:firstLineChars="200"/>
        <w:jc w:val="left"/>
        <w:rPr>
          <w:rFonts w:hint="eastAsia" w:ascii="宋体" w:hAnsi="宋体"/>
          <w:sz w:val="24"/>
        </w:rPr>
      </w:pPr>
      <w:r>
        <w:rPr>
          <w:rFonts w:hint="eastAsia" w:ascii="宋体" w:hAnsi="宋体"/>
          <w:sz w:val="24"/>
        </w:rPr>
        <w:t>（2） 提供检验任务解绑银行自动对账信息查看功能，支持已完成对账的任务单，缴费状态变更为已缴费，从对账库删除，不再进行对账；</w:t>
      </w:r>
    </w:p>
    <w:p w14:paraId="52D1E27A">
      <w:pPr>
        <w:spacing w:before="57" w:beforeLines="20" w:after="57" w:afterLines="20" w:line="360" w:lineRule="auto"/>
        <w:ind w:firstLine="480" w:firstLineChars="200"/>
        <w:jc w:val="left"/>
        <w:rPr>
          <w:rFonts w:hint="eastAsia" w:ascii="宋体" w:hAnsi="宋体"/>
          <w:sz w:val="24"/>
        </w:rPr>
      </w:pPr>
      <w:r>
        <w:rPr>
          <w:rFonts w:hint="eastAsia" w:ascii="宋体" w:hAnsi="宋体"/>
          <w:sz w:val="24"/>
        </w:rPr>
        <w:t>（3）提供检验任务历史对账日志功能，展示最新一条推送任务信息，任务信息包含使用单位、申请单位、任务单号、业务类型、联系人、联系电话、任务单金额、收费说明、任务单备注等，同时展示该任务单历史推送记录，支持每次推送日志的查询、查看。</w:t>
      </w:r>
    </w:p>
    <w:p w14:paraId="58EA3A6F">
      <w:pPr>
        <w:spacing w:before="57" w:beforeLines="20" w:after="57" w:afterLines="20" w:line="360" w:lineRule="auto"/>
        <w:ind w:firstLine="482" w:firstLineChars="200"/>
        <w:jc w:val="left"/>
        <w:rPr>
          <w:rFonts w:hint="eastAsia" w:ascii="宋体" w:hAnsi="宋体"/>
          <w:b/>
          <w:bCs/>
          <w:sz w:val="24"/>
        </w:rPr>
      </w:pPr>
      <w:r>
        <w:rPr>
          <w:rFonts w:hint="eastAsia" w:ascii="宋体" w:hAnsi="宋体"/>
          <w:b/>
          <w:bCs/>
          <w:sz w:val="24"/>
        </w:rPr>
        <w:t>2.9.5.4缴费管理</w:t>
      </w:r>
    </w:p>
    <w:p w14:paraId="2CD0A58B">
      <w:pPr>
        <w:spacing w:before="57" w:beforeLines="20" w:after="57" w:afterLines="20" w:line="360" w:lineRule="auto"/>
        <w:ind w:firstLine="480" w:firstLineChars="200"/>
        <w:jc w:val="left"/>
        <w:rPr>
          <w:rFonts w:hint="eastAsia" w:ascii="宋体" w:hAnsi="宋体"/>
          <w:sz w:val="24"/>
        </w:rPr>
      </w:pPr>
      <w:r>
        <w:rPr>
          <w:rFonts w:hint="eastAsia" w:ascii="宋体" w:hAnsi="宋体"/>
          <w:sz w:val="24"/>
        </w:rPr>
        <w:t>（1）提供对账信息展示功能，展示自动对账信息和人工对账的信息，包含流水号、付款人、账号、收款人、账号、支付金额、支付结果等内容；（2分）</w:t>
      </w:r>
    </w:p>
    <w:p w14:paraId="5B6B8A94">
      <w:pPr>
        <w:spacing w:before="57" w:beforeLines="20" w:after="57" w:afterLines="20" w:line="360" w:lineRule="auto"/>
        <w:ind w:firstLine="480" w:firstLineChars="200"/>
        <w:jc w:val="left"/>
        <w:rPr>
          <w:rFonts w:hint="eastAsia" w:ascii="宋体" w:hAnsi="宋体"/>
          <w:sz w:val="24"/>
        </w:rPr>
      </w:pPr>
      <w:r>
        <w:rPr>
          <w:rFonts w:hint="eastAsia" w:ascii="宋体" w:hAnsi="宋体"/>
          <w:sz w:val="24"/>
        </w:rPr>
        <w:t>（2）提供人工对账功能，支持对待缴费管理中的未缴费任务单进行人工对账，根据银行到账流水库进行账单信息检索，实现任务单与银行流水绑定工作。（2分）</w:t>
      </w:r>
    </w:p>
    <w:p w14:paraId="47B03BBD">
      <w:pPr>
        <w:spacing w:before="57" w:beforeLines="20" w:after="57" w:afterLines="20" w:line="360" w:lineRule="auto"/>
        <w:ind w:firstLine="480" w:firstLineChars="200"/>
        <w:jc w:val="left"/>
        <w:rPr>
          <w:rFonts w:hint="eastAsia" w:ascii="宋体" w:hAnsi="宋体"/>
          <w:sz w:val="24"/>
        </w:rPr>
      </w:pPr>
      <w:r>
        <w:rPr>
          <w:rFonts w:hint="eastAsia" w:ascii="宋体" w:hAnsi="宋体"/>
          <w:sz w:val="24"/>
        </w:rPr>
        <w:t>（3）提供解绑银行自动对账信息功能，支持对缴费管理中的已经缴费确认的任务单进行手工的对账及解绑工作；（2分）</w:t>
      </w:r>
    </w:p>
    <w:p w14:paraId="4EF091AF">
      <w:pPr>
        <w:spacing w:before="57" w:beforeLines="20" w:after="57" w:afterLines="20" w:line="360" w:lineRule="auto"/>
        <w:ind w:firstLine="482" w:firstLineChars="200"/>
        <w:jc w:val="left"/>
        <w:rPr>
          <w:rFonts w:hint="eastAsia" w:ascii="宋体" w:hAnsi="宋体"/>
          <w:b/>
          <w:bCs/>
          <w:sz w:val="24"/>
        </w:rPr>
      </w:pPr>
      <w:r>
        <w:rPr>
          <w:rFonts w:hint="eastAsia" w:ascii="宋体" w:hAnsi="宋体"/>
          <w:b/>
          <w:bCs/>
          <w:sz w:val="24"/>
        </w:rPr>
        <w:t>2.9.5.5管理驾驶舱</w:t>
      </w:r>
    </w:p>
    <w:p w14:paraId="7E11C01C">
      <w:pPr>
        <w:spacing w:before="57" w:beforeLines="20" w:after="57" w:afterLines="20" w:line="360" w:lineRule="auto"/>
        <w:ind w:firstLine="480" w:firstLineChars="200"/>
        <w:jc w:val="left"/>
        <w:rPr>
          <w:rFonts w:hint="eastAsia" w:ascii="宋体" w:hAnsi="宋体"/>
          <w:sz w:val="24"/>
        </w:rPr>
      </w:pPr>
      <w:r>
        <w:rPr>
          <w:rFonts w:hint="eastAsia" w:ascii="宋体" w:hAnsi="宋体"/>
          <w:sz w:val="24"/>
        </w:rPr>
        <w:t>（1）提供检验收入趋势分析功能，按时间维度展示检验收入，形成收入趋势图，支持法定检验、委托检验类型收入分析。</w:t>
      </w:r>
    </w:p>
    <w:p w14:paraId="0A03F4B3">
      <w:pPr>
        <w:spacing w:before="57" w:beforeLines="20" w:after="57" w:afterLines="20" w:line="360" w:lineRule="auto"/>
        <w:ind w:firstLine="480" w:firstLineChars="200"/>
        <w:jc w:val="left"/>
        <w:rPr>
          <w:rFonts w:hint="eastAsia" w:ascii="宋体" w:hAnsi="宋体"/>
          <w:sz w:val="24"/>
        </w:rPr>
      </w:pPr>
      <w:r>
        <w:rPr>
          <w:rFonts w:hint="eastAsia" w:ascii="宋体" w:hAnsi="宋体"/>
          <w:sz w:val="24"/>
        </w:rPr>
        <w:t>（2）提供收入占比分析分析功能，从协议合同、报检受理维度统计收入金额，从网上报检、窗口报检、现场报检维度分析收入占比。</w:t>
      </w:r>
    </w:p>
    <w:p w14:paraId="54CF3AB0">
      <w:pPr>
        <w:spacing w:before="57" w:beforeLines="20" w:after="57" w:afterLines="20" w:line="360" w:lineRule="auto"/>
        <w:ind w:firstLine="480" w:firstLineChars="200"/>
        <w:rPr>
          <w:rFonts w:hint="eastAsia" w:ascii="宋体" w:hAnsi="宋体"/>
          <w:sz w:val="24"/>
        </w:rPr>
      </w:pPr>
      <w:r>
        <w:rPr>
          <w:rFonts w:hint="eastAsia" w:ascii="宋体" w:hAnsi="宋体"/>
          <w:sz w:val="24"/>
        </w:rPr>
        <w:t>（3）提供检验收费情况报表分析功能，以报表形式展现收费类型、缴费金额。</w:t>
      </w:r>
    </w:p>
    <w:p w14:paraId="2D0B4C9A">
      <w:pPr>
        <w:spacing w:before="57" w:beforeLines="20" w:after="57" w:afterLines="20" w:line="360" w:lineRule="auto"/>
        <w:rPr>
          <w:rFonts w:hint="eastAsia" w:ascii="宋体" w:hAnsi="宋体"/>
          <w:b/>
          <w:bCs/>
          <w:sz w:val="24"/>
        </w:rPr>
      </w:pPr>
      <w:r>
        <w:rPr>
          <w:rFonts w:hint="eastAsia" w:ascii="宋体" w:hAnsi="宋体"/>
          <w:b/>
          <w:bCs/>
          <w:sz w:val="24"/>
        </w:rPr>
        <w:t>2.10项目实施及售后服务</w:t>
      </w:r>
    </w:p>
    <w:p w14:paraId="2586818B">
      <w:pPr>
        <w:spacing w:before="57" w:beforeLines="20" w:after="57" w:afterLines="20" w:line="360" w:lineRule="auto"/>
        <w:ind w:firstLine="480" w:firstLineChars="200"/>
      </w:pPr>
      <w:r>
        <w:rPr>
          <w:rFonts w:hint="eastAsia" w:ascii="宋体" w:hAnsi="宋体"/>
          <w:sz w:val="24"/>
        </w:rPr>
        <w:t>供应商需拟定详细的项目实施及售后服务，包含但不限于以下内容:</w:t>
      </w:r>
      <w:r>
        <w:rPr>
          <w:rFonts w:hint="eastAsia"/>
        </w:rPr>
        <w:t xml:space="preserve"> </w:t>
      </w:r>
    </w:p>
    <w:p w14:paraId="342483EB">
      <w:pPr>
        <w:spacing w:before="57" w:beforeLines="20" w:after="57" w:afterLines="20" w:line="360" w:lineRule="auto"/>
        <w:ind w:firstLine="482" w:firstLineChars="200"/>
        <w:rPr>
          <w:rFonts w:hint="eastAsia" w:ascii="宋体" w:hAnsi="宋体"/>
          <w:sz w:val="24"/>
        </w:rPr>
      </w:pPr>
      <w:r>
        <w:rPr>
          <w:rFonts w:hint="eastAsia" w:ascii="宋体" w:hAnsi="宋体"/>
          <w:b/>
          <w:bCs/>
          <w:sz w:val="24"/>
        </w:rPr>
        <w:t>2.10.1组织实施方案</w:t>
      </w:r>
      <w:r>
        <w:rPr>
          <w:rFonts w:hint="eastAsia" w:ascii="宋体" w:hAnsi="宋体"/>
          <w:sz w:val="24"/>
        </w:rPr>
        <w:t>：供应商针对该项目提供组织实施方案，要求包含项目团队组织、驻场安排、进度计划、工作机制及流程等方面。</w:t>
      </w:r>
    </w:p>
    <w:p w14:paraId="77E5A0B7">
      <w:pPr>
        <w:spacing w:before="57" w:beforeLines="20" w:after="57" w:afterLines="20" w:line="360" w:lineRule="auto"/>
        <w:ind w:firstLine="482" w:firstLineChars="200"/>
        <w:rPr>
          <w:rFonts w:hint="eastAsia" w:ascii="宋体" w:hAnsi="宋体"/>
          <w:sz w:val="24"/>
        </w:rPr>
      </w:pPr>
      <w:r>
        <w:rPr>
          <w:rFonts w:hint="eastAsia" w:ascii="宋体" w:hAnsi="宋体"/>
          <w:b/>
          <w:bCs/>
          <w:sz w:val="24"/>
        </w:rPr>
        <w:t>2.10.2培训方案</w:t>
      </w:r>
      <w:r>
        <w:rPr>
          <w:rFonts w:hint="eastAsia" w:ascii="宋体" w:hAnsi="宋体"/>
          <w:sz w:val="24"/>
        </w:rPr>
        <w:t>：供应商针对该项目提供培训方案，针对本项目做出完整详细的培训目标、任务、计划、组织等实施方面。</w:t>
      </w:r>
    </w:p>
    <w:p w14:paraId="3F537E39">
      <w:pPr>
        <w:spacing w:before="57" w:beforeLines="20" w:after="57" w:afterLines="20" w:line="360" w:lineRule="auto"/>
        <w:ind w:firstLine="482" w:firstLineChars="200"/>
        <w:rPr>
          <w:rFonts w:hint="eastAsia" w:ascii="宋体" w:hAnsi="宋体"/>
          <w:sz w:val="24"/>
        </w:rPr>
      </w:pPr>
      <w:r>
        <w:rPr>
          <w:rFonts w:hint="eastAsia" w:ascii="宋体" w:hAnsi="宋体"/>
          <w:b/>
          <w:bCs/>
          <w:sz w:val="24"/>
        </w:rPr>
        <w:t>2.10.3售后服务</w:t>
      </w:r>
      <w:r>
        <w:rPr>
          <w:rFonts w:hint="eastAsia" w:ascii="宋体" w:hAnsi="宋体"/>
          <w:sz w:val="24"/>
        </w:rPr>
        <w:t>：供应商具有完善的售后服务保障体系，并针对本项目有详细的运行维护与售后服务方案。</w:t>
      </w:r>
    </w:p>
    <w:p w14:paraId="011E205C">
      <w:pPr>
        <w:spacing w:line="360" w:lineRule="auto"/>
        <w:rPr>
          <w:rFonts w:ascii="微软雅黑" w:eastAsia="微软雅黑" w:cs="微软雅黑"/>
          <w:b/>
          <w:sz w:val="24"/>
        </w:rPr>
      </w:pPr>
      <w:r>
        <w:rPr>
          <w:rFonts w:hint="eastAsia" w:ascii="微软雅黑" w:eastAsia="微软雅黑" w:cs="微软雅黑"/>
          <w:b/>
          <w:sz w:val="24"/>
        </w:rPr>
        <w:t>三、商务要求（所有“商务要求”须在《商务条款响应及偏离表》中逐一明确是否响应或偏离）</w:t>
      </w:r>
    </w:p>
    <w:p w14:paraId="7BCC201E">
      <w:pPr>
        <w:autoSpaceDE w:val="0"/>
        <w:autoSpaceDN w:val="0"/>
        <w:adjustRightInd w:val="0"/>
        <w:spacing w:line="360" w:lineRule="auto"/>
        <w:rPr>
          <w:rFonts w:hint="eastAsia" w:ascii="宋体" w:hAnsi="宋体" w:cs="宋体"/>
          <w:b/>
          <w:bCs/>
          <w:sz w:val="24"/>
        </w:rPr>
      </w:pPr>
      <w:r>
        <w:rPr>
          <w:rFonts w:hint="eastAsia" w:ascii="宋体" w:hAnsi="宋体" w:cs="宋体"/>
          <w:b/>
          <w:bCs/>
          <w:sz w:val="24"/>
        </w:rPr>
        <w:t>3.1合同履行期限</w:t>
      </w:r>
    </w:p>
    <w:p w14:paraId="60F90FAA">
      <w:pPr>
        <w:autoSpaceDE w:val="0"/>
        <w:autoSpaceDN w:val="0"/>
        <w:adjustRightInd w:val="0"/>
        <w:spacing w:line="360" w:lineRule="auto"/>
        <w:ind w:firstLine="480" w:firstLineChars="200"/>
        <w:rPr>
          <w:sz w:val="24"/>
        </w:rPr>
      </w:pPr>
      <w:r>
        <w:rPr>
          <w:rFonts w:hint="eastAsia" w:ascii="宋体" w:hAnsi="宋体" w:cs="宋体"/>
          <w:sz w:val="24"/>
        </w:rPr>
        <w:t>3.1.1 合同履行期限：自合同签订之日起90日内完成系统模块开发工作，项目验收合格后免费质保</w:t>
      </w:r>
      <w:r>
        <w:rPr>
          <w:rFonts w:ascii="宋体" w:hAnsi="宋体" w:cs="宋体"/>
          <w:sz w:val="24"/>
        </w:rPr>
        <w:t>1</w:t>
      </w:r>
      <w:r>
        <w:rPr>
          <w:rFonts w:hint="eastAsia" w:ascii="宋体" w:hAnsi="宋体" w:cs="宋体"/>
          <w:sz w:val="24"/>
        </w:rPr>
        <w:t>年。</w:t>
      </w:r>
    </w:p>
    <w:p w14:paraId="4DDAE05F">
      <w:pPr>
        <w:autoSpaceDE w:val="0"/>
        <w:autoSpaceDN w:val="0"/>
        <w:adjustRightInd w:val="0"/>
        <w:spacing w:line="360" w:lineRule="auto"/>
        <w:ind w:firstLine="480" w:firstLineChars="200"/>
        <w:rPr>
          <w:rFonts w:hint="eastAsia" w:ascii="宋体" w:hAnsi="宋体" w:cs="宋体"/>
          <w:sz w:val="24"/>
        </w:rPr>
      </w:pPr>
      <w:r>
        <w:rPr>
          <w:rFonts w:hint="eastAsia" w:ascii="宋体" w:hAnsi="宋体" w:cs="宋体"/>
          <w:sz w:val="24"/>
        </w:rPr>
        <w:t>3.1.2 履约地点：采购人指定地点。</w:t>
      </w:r>
    </w:p>
    <w:p w14:paraId="60DE80C4">
      <w:pPr>
        <w:spacing w:line="360" w:lineRule="auto"/>
        <w:ind w:firstLine="480" w:firstLineChars="200"/>
        <w:rPr>
          <w:rFonts w:hint="eastAsia" w:ascii="宋体" w:hAnsi="宋体" w:cs="宋体"/>
          <w:sz w:val="24"/>
        </w:rPr>
      </w:pPr>
      <w:r>
        <w:rPr>
          <w:rFonts w:hint="eastAsia" w:ascii="宋体" w:hAnsi="宋体" w:cs="宋体"/>
          <w:sz w:val="24"/>
        </w:rPr>
        <w:t>3.1.3 按照采购人指定时间、地点现场交付，其所有费用包含在供应商报价总价中，供应商在交付验收时应随货同步提供详细的操作说明、技术资料以及第三方网络安全测试报告。在双方约定的期限内提供技术培训，直至确保采购方人员能够熟练使用。</w:t>
      </w:r>
    </w:p>
    <w:p w14:paraId="52FEBA64">
      <w:pPr>
        <w:spacing w:line="360" w:lineRule="auto"/>
        <w:rPr>
          <w:rFonts w:hint="eastAsia" w:ascii="宋体" w:hAnsi="宋体"/>
          <w:b/>
          <w:sz w:val="24"/>
        </w:rPr>
      </w:pPr>
      <w:r>
        <w:rPr>
          <w:rFonts w:hint="eastAsia" w:ascii="宋体" w:hAnsi="宋体"/>
          <w:b/>
          <w:sz w:val="24"/>
        </w:rPr>
        <w:t>★3.2履约形式</w:t>
      </w:r>
    </w:p>
    <w:p w14:paraId="11416A58">
      <w:pPr>
        <w:spacing w:line="360" w:lineRule="auto"/>
        <w:ind w:firstLine="480" w:firstLineChars="200"/>
        <w:rPr>
          <w:sz w:val="24"/>
        </w:rPr>
      </w:pPr>
      <w:r>
        <w:rPr>
          <w:rFonts w:hint="eastAsia"/>
          <w:sz w:val="24"/>
        </w:rPr>
        <w:t>签订合同后，成交供应商不得将任何履约服务内容进行转包。未经采购人同意，成交供应商也不得采用分包的形式履行合同，否则采购人有权终止合同。转包或分包造成采购人损失的，成交供应商应承担相应赔偿与法律责任。</w:t>
      </w:r>
    </w:p>
    <w:p w14:paraId="1599678C">
      <w:pPr>
        <w:pStyle w:val="50"/>
        <w:ind w:firstLine="482"/>
        <w:rPr>
          <w:rFonts w:hint="eastAsia" w:eastAsia="宋体" w:cs="宋体"/>
          <w:b/>
          <w:bCs/>
          <w:lang w:eastAsia="zh-CN"/>
        </w:rPr>
      </w:pPr>
      <w:r>
        <w:rPr>
          <w:rFonts w:hint="eastAsia" w:eastAsia="宋体" w:cs="宋体"/>
          <w:b/>
          <w:bCs/>
          <w:lang w:eastAsia="zh-CN"/>
        </w:rPr>
        <w:t>供应商按采购文件要求的内容提供不予分包转包书面承诺函原件并加盖公章。</w:t>
      </w:r>
    </w:p>
    <w:p w14:paraId="39261477">
      <w:pPr>
        <w:spacing w:line="360" w:lineRule="auto"/>
        <w:rPr>
          <w:rFonts w:hint="eastAsia" w:ascii="宋体" w:hAnsi="宋体"/>
          <w:b/>
          <w:sz w:val="24"/>
        </w:rPr>
      </w:pPr>
      <w:r>
        <w:rPr>
          <w:rFonts w:hint="eastAsia" w:ascii="宋体" w:hAnsi="宋体"/>
          <w:b/>
          <w:sz w:val="24"/>
        </w:rPr>
        <w:t>3.3验收标准（验收方式）</w:t>
      </w:r>
    </w:p>
    <w:p w14:paraId="04EBF253">
      <w:pPr>
        <w:spacing w:line="360" w:lineRule="auto"/>
        <w:ind w:firstLine="482" w:firstLineChars="200"/>
        <w:rPr>
          <w:rFonts w:hint="eastAsia" w:ascii="宋体" w:hAnsi="宋体" w:cs="宋体"/>
          <w:sz w:val="24"/>
        </w:rPr>
      </w:pPr>
      <w:r>
        <w:rPr>
          <w:rFonts w:hint="eastAsia" w:ascii="宋体" w:hAnsi="宋体" w:cs="宋体"/>
          <w:b/>
          <w:bCs/>
          <w:sz w:val="24"/>
        </w:rPr>
        <w:t>3.3.1</w:t>
      </w:r>
      <w:r>
        <w:rPr>
          <w:rFonts w:hint="eastAsia" w:ascii="宋体" w:hAnsi="宋体" w:cs="宋体"/>
          <w:sz w:val="24"/>
        </w:rPr>
        <w:t>根据采购文件、成交供应商的响应文件及服务承诺、国家有关的质量标准、行业标准对供应商提供的服务进行验收（包括人员素质、服务质量等）。采购人将组织验收小组按照采购文件中所规定的各项技术要求进行项目验收工作，对验收工作中发现的不满足功能项成交供应商应在采购人指定的时限内完成整改、优化或完善工作，并重新申请验收，直至满足采购人在响应文件中所承诺的所有功能项。</w:t>
      </w:r>
    </w:p>
    <w:p w14:paraId="6ABC0C80">
      <w:pPr>
        <w:spacing w:line="360" w:lineRule="auto"/>
        <w:ind w:firstLine="482" w:firstLineChars="200"/>
        <w:rPr>
          <w:sz w:val="24"/>
        </w:rPr>
      </w:pPr>
      <w:r>
        <w:rPr>
          <w:rFonts w:hint="eastAsia" w:ascii="宋体" w:hAnsi="宋体" w:cs="宋体"/>
          <w:b/>
          <w:bCs/>
          <w:sz w:val="24"/>
        </w:rPr>
        <w:t>3.3.2</w:t>
      </w:r>
      <w:r>
        <w:rPr>
          <w:rFonts w:hint="eastAsia" w:ascii="宋体" w:hAnsi="宋体" w:cs="宋体"/>
          <w:sz w:val="24"/>
        </w:rPr>
        <w:t xml:space="preserve"> 验收时发现不符合服务技术要求，供应商须无条件予以重新建设完善，因此发生的费用均由供应商自行承担，且不影响合同的正常履行，因此造成的不能按时履约属于供应商违约。如在验收中发现双方均无法认定的争议，可聘请双方认可的具有国家认可检测资质的第三方检测机构予以检测，费用按双方约定处理。</w:t>
      </w:r>
    </w:p>
    <w:p w14:paraId="4B388D1A">
      <w:pPr>
        <w:spacing w:line="360" w:lineRule="auto"/>
        <w:jc w:val="left"/>
        <w:rPr>
          <w:rFonts w:hint="eastAsia" w:ascii="宋体" w:hAnsi="宋体"/>
          <w:b/>
          <w:sz w:val="24"/>
        </w:rPr>
      </w:pPr>
      <w:r>
        <w:rPr>
          <w:rFonts w:hint="eastAsia" w:ascii="宋体" w:hAnsi="宋体"/>
          <w:b/>
          <w:sz w:val="24"/>
        </w:rPr>
        <w:t>★3.4质保及售后要求</w:t>
      </w:r>
    </w:p>
    <w:p w14:paraId="5389E8EC">
      <w:pPr>
        <w:autoSpaceDE w:val="0"/>
        <w:autoSpaceDN w:val="0"/>
        <w:adjustRightInd w:val="0"/>
        <w:spacing w:line="560" w:lineRule="exact"/>
        <w:ind w:firstLine="482" w:firstLineChars="200"/>
        <w:rPr>
          <w:rFonts w:hint="eastAsia" w:ascii="宋体" w:hAnsi="宋体"/>
          <w:kern w:val="0"/>
          <w:sz w:val="24"/>
          <w:shd w:val="clear" w:color="auto" w:fill="FFFFFF"/>
        </w:rPr>
      </w:pPr>
      <w:bookmarkStart w:id="128" w:name="_Hlk56501161"/>
      <w:bookmarkStart w:id="129" w:name="_Hlk90645185"/>
      <w:r>
        <w:rPr>
          <w:rFonts w:hint="eastAsia" w:ascii="宋体" w:hAnsi="宋体" w:cs="宋体"/>
          <w:b/>
          <w:bCs/>
          <w:sz w:val="24"/>
        </w:rPr>
        <w:t>3.4.1</w:t>
      </w:r>
      <w:r>
        <w:rPr>
          <w:rFonts w:hint="eastAsia" w:ascii="宋体" w:hAnsi="宋体" w:cs="宋体"/>
          <w:sz w:val="24"/>
        </w:rPr>
        <w:t xml:space="preserve"> </w:t>
      </w:r>
      <w:bookmarkEnd w:id="128"/>
      <w:bookmarkEnd w:id="129"/>
      <w:r>
        <w:rPr>
          <w:rFonts w:hint="eastAsia"/>
          <w:sz w:val="24"/>
        </w:rPr>
        <w:t>自综合验收合格之日起提1年免费质保服务，确保系统稳定运行</w:t>
      </w:r>
      <w:r>
        <w:rPr>
          <w:rFonts w:hint="eastAsia" w:ascii="宋体" w:hAnsi="宋体"/>
          <w:kern w:val="0"/>
          <w:sz w:val="24"/>
          <w:shd w:val="clear" w:color="auto" w:fill="FFFFFF"/>
        </w:rPr>
        <w:t>。</w:t>
      </w:r>
    </w:p>
    <w:p w14:paraId="6CB994B3">
      <w:pPr>
        <w:autoSpaceDE w:val="0"/>
        <w:autoSpaceDN w:val="0"/>
        <w:adjustRightInd w:val="0"/>
        <w:spacing w:line="360" w:lineRule="auto"/>
        <w:ind w:firstLine="482" w:firstLineChars="200"/>
        <w:rPr>
          <w:rFonts w:hint="eastAsia" w:ascii="宋体" w:hAnsi="宋体"/>
          <w:sz w:val="24"/>
          <w:shd w:val="clear" w:color="auto" w:fill="FFFFFF"/>
        </w:rPr>
      </w:pPr>
      <w:r>
        <w:rPr>
          <w:rFonts w:hint="eastAsia" w:ascii="宋体" w:hAnsi="宋体"/>
          <w:b/>
          <w:bCs/>
          <w:sz w:val="24"/>
          <w:shd w:val="clear" w:color="auto" w:fill="FFFFFF"/>
        </w:rPr>
        <w:t>3.4</w:t>
      </w:r>
      <w:r>
        <w:rPr>
          <w:rFonts w:ascii="宋体" w:hAnsi="宋体"/>
          <w:b/>
          <w:bCs/>
          <w:sz w:val="24"/>
          <w:shd w:val="clear" w:color="auto" w:fill="FFFFFF"/>
        </w:rPr>
        <w:t>.2</w:t>
      </w:r>
      <w:r>
        <w:rPr>
          <w:rFonts w:hint="eastAsia" w:ascii="宋体" w:hAnsi="宋体"/>
          <w:sz w:val="24"/>
          <w:shd w:val="clear" w:color="auto" w:fill="FFFFFF"/>
        </w:rPr>
        <w:t xml:space="preserve"> 质保期内，对其提供的货物进行维修更换，对软件系统进行免费无限次升级维护，不再收取任何费用；但由于人为原因（过流，过压，过载，或者人为操作不当造成的原因）和不可抗力（如火灾、雷击等）造成的故障除外。</w:t>
      </w:r>
    </w:p>
    <w:p w14:paraId="268A979B">
      <w:pPr>
        <w:autoSpaceDE w:val="0"/>
        <w:autoSpaceDN w:val="0"/>
        <w:adjustRightInd w:val="0"/>
        <w:spacing w:line="360" w:lineRule="auto"/>
        <w:ind w:firstLine="482" w:firstLineChars="200"/>
        <w:rPr>
          <w:rFonts w:hint="eastAsia" w:ascii="宋体" w:hAnsi="宋体"/>
          <w:sz w:val="24"/>
          <w:shd w:val="clear" w:color="auto" w:fill="FFFFFF"/>
        </w:rPr>
      </w:pPr>
      <w:r>
        <w:rPr>
          <w:rFonts w:hint="eastAsia" w:ascii="宋体" w:hAnsi="宋体"/>
          <w:b/>
          <w:bCs/>
          <w:sz w:val="24"/>
          <w:shd w:val="clear" w:color="auto" w:fill="FFFFFF"/>
        </w:rPr>
        <w:t>3.4.3</w:t>
      </w:r>
      <w:r>
        <w:rPr>
          <w:rFonts w:hint="eastAsia" w:ascii="宋体" w:hAnsi="宋体"/>
          <w:sz w:val="24"/>
          <w:shd w:val="clear" w:color="auto" w:fill="FFFFFF"/>
        </w:rPr>
        <w:t xml:space="preserve"> 质保期内，提供7×24小时电话支持服务。采购人故障报修后，供应商应在接到保修电话后12小时内响应，48小时内到达故障现场处置。一般问题在72小时内解决，严重问题及时提出可接受的解决方案和服务承诺。</w:t>
      </w:r>
    </w:p>
    <w:p w14:paraId="2DE6E376">
      <w:pPr>
        <w:pStyle w:val="19"/>
        <w:spacing w:line="360" w:lineRule="auto"/>
        <w:ind w:firstLine="482" w:firstLineChars="200"/>
        <w:rPr>
          <w:rFonts w:hint="eastAsia" w:hAnsi="宋体" w:cs="仿宋"/>
          <w:b/>
          <w:bCs/>
          <w:color w:val="000000"/>
          <w:sz w:val="24"/>
        </w:rPr>
      </w:pPr>
      <w:r>
        <w:rPr>
          <w:rFonts w:hint="eastAsia" w:hAnsi="宋体" w:cs="仿宋"/>
          <w:b/>
          <w:bCs/>
          <w:color w:val="000000"/>
          <w:sz w:val="24"/>
        </w:rPr>
        <w:t>针对此项质保及售后要求内容，供应商须提供书面承诺函原件并加盖公章，格式自拟，</w:t>
      </w:r>
      <w:r>
        <w:rPr>
          <w:rFonts w:hint="eastAsia" w:hAnsi="宋体"/>
          <w:b/>
          <w:bCs/>
          <w:kern w:val="0"/>
          <w:sz w:val="24"/>
          <w:szCs w:val="24"/>
          <w:shd w:val="clear" w:color="auto" w:fill="FFFFFF"/>
        </w:rPr>
        <w:t>内容须完全包含采购人要求的服务内容</w:t>
      </w:r>
      <w:r>
        <w:rPr>
          <w:rFonts w:hint="eastAsia" w:hAnsi="宋体" w:cs="仿宋"/>
          <w:b/>
          <w:bCs/>
          <w:color w:val="000000"/>
          <w:sz w:val="24"/>
        </w:rPr>
        <w:t>。</w:t>
      </w:r>
    </w:p>
    <w:p w14:paraId="0DB0EAA8">
      <w:pPr>
        <w:spacing w:line="360" w:lineRule="auto"/>
        <w:jc w:val="left"/>
        <w:rPr>
          <w:rFonts w:hint="eastAsia" w:ascii="宋体" w:hAnsi="宋体"/>
          <w:b/>
          <w:sz w:val="24"/>
        </w:rPr>
      </w:pPr>
      <w:r>
        <w:rPr>
          <w:rFonts w:hint="eastAsia" w:ascii="宋体" w:hAnsi="宋体"/>
          <w:b/>
          <w:sz w:val="24"/>
        </w:rPr>
        <w:t>★3.5知识产权要求</w:t>
      </w:r>
    </w:p>
    <w:p w14:paraId="5726D8C4">
      <w:pPr>
        <w:spacing w:line="360" w:lineRule="auto"/>
        <w:ind w:firstLine="482" w:firstLineChars="200"/>
        <w:rPr>
          <w:rFonts w:hint="eastAsia" w:ascii="宋体" w:hAnsi="宋体" w:cs="仿宋"/>
          <w:color w:val="000000"/>
          <w:sz w:val="24"/>
        </w:rPr>
      </w:pPr>
      <w:r>
        <w:rPr>
          <w:rFonts w:hint="eastAsia" w:ascii="宋体" w:hAnsi="宋体" w:cs="仿宋"/>
          <w:b/>
          <w:bCs/>
          <w:color w:val="000000"/>
          <w:sz w:val="24"/>
        </w:rPr>
        <w:t>3.5.1</w:t>
      </w:r>
      <w:r>
        <w:rPr>
          <w:rFonts w:hint="eastAsia" w:ascii="宋体" w:hAnsi="宋体" w:cs="仿宋"/>
          <w:color w:val="000000"/>
          <w:sz w:val="24"/>
        </w:rPr>
        <w:t xml:space="preserve"> 所有技术服务产生的知识产权均归属采购人所有。</w:t>
      </w:r>
    </w:p>
    <w:p w14:paraId="0856B7B7">
      <w:pPr>
        <w:spacing w:line="360" w:lineRule="auto"/>
        <w:ind w:firstLine="482" w:firstLineChars="200"/>
        <w:rPr>
          <w:rFonts w:hint="eastAsia" w:ascii="宋体" w:hAnsi="宋体" w:cs="仿宋"/>
          <w:color w:val="000000"/>
          <w:sz w:val="24"/>
        </w:rPr>
      </w:pPr>
      <w:r>
        <w:rPr>
          <w:rFonts w:hint="eastAsia" w:ascii="宋体" w:hAnsi="宋体" w:cs="仿宋"/>
          <w:b/>
          <w:bCs/>
          <w:color w:val="000000"/>
          <w:sz w:val="24"/>
        </w:rPr>
        <w:t>3.5.2</w:t>
      </w:r>
      <w:r>
        <w:rPr>
          <w:rFonts w:hint="eastAsia" w:ascii="宋体" w:hAnsi="宋体" w:cs="仿宋"/>
          <w:color w:val="000000"/>
          <w:sz w:val="24"/>
        </w:rPr>
        <w:t xml:space="preserve"> 供应商应确保提供服务过程中不侵犯任何第三方知识产权。</w:t>
      </w:r>
    </w:p>
    <w:p w14:paraId="01D29929">
      <w:pPr>
        <w:spacing w:line="360" w:lineRule="auto"/>
        <w:ind w:firstLine="482" w:firstLineChars="200"/>
        <w:rPr>
          <w:rFonts w:hint="eastAsia" w:ascii="宋体" w:hAnsi="宋体" w:cs="仿宋"/>
          <w:color w:val="000000"/>
          <w:sz w:val="24"/>
        </w:rPr>
      </w:pPr>
      <w:r>
        <w:rPr>
          <w:rFonts w:hint="eastAsia" w:ascii="宋体" w:hAnsi="宋体" w:cs="仿宋"/>
          <w:b/>
          <w:bCs/>
          <w:color w:val="000000"/>
          <w:sz w:val="24"/>
        </w:rPr>
        <w:t>3.5.3</w:t>
      </w:r>
      <w:r>
        <w:rPr>
          <w:rFonts w:hint="eastAsia" w:ascii="宋体" w:hAnsi="宋体" w:cs="仿宋"/>
          <w:color w:val="000000"/>
          <w:sz w:val="24"/>
        </w:rPr>
        <w:t xml:space="preserve"> 供应商应保证采购人在使用其成交后的响应产品、服务或其任何一部分时不受第三方提出侵犯其知识产权（如专利权、版权、商标权、著作权或其他权利）的主张或起诉。一旦出现被主张或认定侵权而引起的法律和经济纠纷，供应商应承担所有法律责任带来的全部最终不利后果。</w:t>
      </w:r>
    </w:p>
    <w:p w14:paraId="074A7DC9">
      <w:pPr>
        <w:pStyle w:val="19"/>
        <w:spacing w:line="360" w:lineRule="auto"/>
        <w:ind w:firstLine="482" w:firstLineChars="200"/>
        <w:rPr>
          <w:sz w:val="24"/>
        </w:rPr>
      </w:pPr>
      <w:r>
        <w:rPr>
          <w:rFonts w:hint="eastAsia" w:hAnsi="宋体" w:cs="仿宋"/>
          <w:b/>
          <w:bCs/>
          <w:color w:val="000000"/>
          <w:sz w:val="24"/>
        </w:rPr>
        <w:t>针对此项知识产权要求内容，供应商须提供书面承诺函原件并加盖公章，格式自拟。</w:t>
      </w:r>
    </w:p>
    <w:p w14:paraId="4FC82ADD">
      <w:pPr>
        <w:spacing w:line="360" w:lineRule="auto"/>
        <w:jc w:val="left"/>
        <w:rPr>
          <w:rFonts w:hint="eastAsia" w:ascii="宋体" w:hAnsi="宋体"/>
          <w:b/>
          <w:sz w:val="24"/>
        </w:rPr>
      </w:pPr>
      <w:r>
        <w:rPr>
          <w:rFonts w:hint="eastAsia" w:ascii="宋体" w:hAnsi="宋体"/>
          <w:b/>
          <w:sz w:val="24"/>
        </w:rPr>
        <w:t>★3.6数据保密要求</w:t>
      </w:r>
    </w:p>
    <w:p w14:paraId="4D213C83">
      <w:pPr>
        <w:pStyle w:val="51"/>
        <w:spacing w:line="360" w:lineRule="auto"/>
        <w:ind w:firstLine="482" w:firstLineChars="0"/>
        <w:rPr>
          <w:rFonts w:hint="eastAsia" w:ascii="宋体" w:hAnsi="宋体"/>
          <w:b/>
          <w:sz w:val="24"/>
        </w:rPr>
      </w:pPr>
      <w:r>
        <w:rPr>
          <w:rFonts w:hint="eastAsia" w:ascii="宋体" w:hAnsi="宋体"/>
          <w:bCs/>
          <w:sz w:val="24"/>
        </w:rPr>
        <w:t>供应商在履行服务期间，必须严格对所从事的服务内容进行保密，与团队人员签订保密协议；所有参与本项目服务技术人员必须签订个人数据保密承诺。未经采购人许可，不得将相关信息泄露给第三方，否则，采购人有权终止服务，并依法追究供应商的经济和法律责任。</w:t>
      </w:r>
      <w:r>
        <w:rPr>
          <w:rFonts w:ascii="宋体" w:hAnsi="宋体"/>
          <w:bCs/>
          <w:sz w:val="24"/>
        </w:rPr>
        <w:t>供应商</w:t>
      </w:r>
      <w:r>
        <w:rPr>
          <w:rFonts w:hint="eastAsia" w:ascii="宋体" w:hAnsi="宋体"/>
          <w:bCs/>
          <w:sz w:val="24"/>
        </w:rPr>
        <w:t>在履行合同期间</w:t>
      </w:r>
      <w:r>
        <w:rPr>
          <w:rFonts w:ascii="宋体" w:hAnsi="宋体"/>
          <w:bCs/>
          <w:sz w:val="24"/>
        </w:rPr>
        <w:t>遇到任何问题需及时向采购人进行报备</w:t>
      </w:r>
      <w:r>
        <w:rPr>
          <w:rFonts w:hint="eastAsia" w:ascii="宋体" w:hAnsi="宋体"/>
          <w:bCs/>
          <w:sz w:val="24"/>
        </w:rPr>
        <w:t>。</w:t>
      </w:r>
      <w:r>
        <w:rPr>
          <w:rFonts w:hint="eastAsia" w:ascii="宋体" w:hAnsi="宋体"/>
          <w:b/>
          <w:sz w:val="24"/>
        </w:rPr>
        <w:t>针对此项数据保密要求内容，供应商须提供书面承诺函原件并加盖公章，格式自拟。</w:t>
      </w:r>
    </w:p>
    <w:p w14:paraId="0F1B4F26">
      <w:pPr>
        <w:spacing w:line="360" w:lineRule="auto"/>
        <w:jc w:val="left"/>
        <w:rPr>
          <w:rFonts w:hint="eastAsia" w:ascii="宋体" w:hAnsi="宋体"/>
          <w:b/>
          <w:sz w:val="24"/>
        </w:rPr>
      </w:pPr>
      <w:r>
        <w:rPr>
          <w:rFonts w:hint="eastAsia" w:ascii="宋体" w:hAnsi="宋体"/>
          <w:b/>
          <w:sz w:val="24"/>
        </w:rPr>
        <w:t>3.7软件网络安全测试要求</w:t>
      </w:r>
    </w:p>
    <w:p w14:paraId="25B82B50">
      <w:pPr>
        <w:pStyle w:val="51"/>
        <w:spacing w:line="360" w:lineRule="auto"/>
        <w:ind w:firstLine="482" w:firstLineChars="0"/>
        <w:rPr>
          <w:rFonts w:hint="eastAsia" w:ascii="宋体" w:hAnsi="宋体"/>
          <w:bCs/>
          <w:sz w:val="24"/>
        </w:rPr>
      </w:pPr>
      <w:r>
        <w:rPr>
          <w:rFonts w:hint="eastAsia" w:ascii="宋体" w:hAnsi="宋体"/>
          <w:bCs/>
          <w:sz w:val="24"/>
        </w:rPr>
        <w:t>项目正式上线前，需请有相关资质的第三方单位对项目进行软件网络安全测试，并提供相关测试报告。</w:t>
      </w:r>
      <w:bookmarkStart w:id="133" w:name="_GoBack"/>
      <w:bookmarkEnd w:id="133"/>
    </w:p>
    <w:p w14:paraId="256272FB">
      <w:pPr>
        <w:spacing w:line="360" w:lineRule="auto"/>
        <w:jc w:val="left"/>
        <w:rPr>
          <w:rFonts w:hint="eastAsia" w:ascii="宋体" w:hAnsi="宋体"/>
          <w:b/>
          <w:sz w:val="24"/>
        </w:rPr>
      </w:pPr>
      <w:r>
        <w:rPr>
          <w:rFonts w:hint="eastAsia" w:ascii="宋体" w:hAnsi="宋体"/>
          <w:b/>
          <w:sz w:val="24"/>
        </w:rPr>
        <w:t>3.8付款方式</w:t>
      </w:r>
    </w:p>
    <w:p w14:paraId="733E8728">
      <w:pPr>
        <w:pStyle w:val="15"/>
        <w:ind w:firstLine="480" w:firstLineChars="200"/>
        <w:rPr>
          <w:rFonts w:hint="eastAsia" w:ascii="宋体" w:hAnsi="宋体" w:eastAsia="宋体"/>
          <w:b/>
          <w:sz w:val="24"/>
          <w:szCs w:val="22"/>
        </w:rPr>
      </w:pPr>
      <w:r>
        <w:rPr>
          <w:rFonts w:hint="eastAsia" w:ascii="宋体" w:hAnsi="宋体" w:eastAsia="宋体" w:cs="宋体"/>
          <w:bCs/>
          <w:sz w:val="24"/>
          <w:szCs w:val="22"/>
        </w:rPr>
        <w:t>合同签订生效后，甲方在收到发票30日内，支付合同金额的70%，完成系统基本功能开发后，乙方提供合同金额10%的履约保函，甲方在收到履约保函和发票后，向乙方支付合同总价30%的合同款，系统开发完成后，乙方完成合同履约并出具运行报告，甲方管理部门对工作量及服务质量进行评估，评估合格后将保函退回，如乙方未能履行合同规定的义务，甲方有权从保函中取得赔偿</w:t>
      </w:r>
      <w:r>
        <w:rPr>
          <w:rFonts w:hint="eastAsia" w:ascii="宋体" w:hAnsi="宋体" w:eastAsia="宋体" w:cs="宋体"/>
          <w:bCs/>
          <w:sz w:val="24"/>
          <w:szCs w:val="22"/>
          <w:lang w:eastAsia="zh-CN"/>
        </w:rPr>
        <w:t>。</w:t>
      </w:r>
    </w:p>
    <w:p w14:paraId="0ECD8883">
      <w:pPr>
        <w:pStyle w:val="15"/>
        <w:ind w:firstLine="482" w:firstLineChars="200"/>
        <w:rPr>
          <w:rFonts w:hint="eastAsia" w:ascii="宋体" w:hAnsi="宋体" w:eastAsia="宋体"/>
          <w:b/>
          <w:bCs/>
          <w:color w:val="000000"/>
          <w:sz w:val="28"/>
          <w:szCs w:val="28"/>
        </w:rPr>
      </w:pPr>
      <w:r>
        <w:rPr>
          <w:rFonts w:hint="eastAsia" w:ascii="宋体" w:hAnsi="宋体" w:eastAsia="宋体"/>
          <w:b/>
          <w:sz w:val="24"/>
          <w:szCs w:val="22"/>
        </w:rPr>
        <w:t>供应商需在响应文件商务条款偏离表中对付款方式予以完全响应。</w:t>
      </w:r>
    </w:p>
    <w:p w14:paraId="7DFAC933">
      <w:pPr>
        <w:spacing w:line="360" w:lineRule="auto"/>
        <w:jc w:val="left"/>
        <w:rPr>
          <w:rFonts w:hint="eastAsia" w:ascii="宋体" w:hAnsi="宋体"/>
          <w:b/>
          <w:sz w:val="24"/>
        </w:rPr>
      </w:pPr>
      <w:r>
        <w:rPr>
          <w:rFonts w:hint="eastAsia" w:ascii="宋体" w:hAnsi="宋体"/>
          <w:b/>
          <w:sz w:val="24"/>
        </w:rPr>
        <w:t>3.9关于报价</w:t>
      </w:r>
    </w:p>
    <w:p w14:paraId="1905B1E6">
      <w:pPr>
        <w:pStyle w:val="50"/>
        <w:rPr>
          <w:lang w:eastAsia="zh-CN"/>
        </w:rPr>
      </w:pPr>
      <w:r>
        <w:rPr>
          <w:rFonts w:hint="eastAsia"/>
          <w:lang w:eastAsia="zh-CN"/>
        </w:rPr>
        <w:t>该项目预算为全口径预算，包含了本项目所需的产品或服务提供过程中可能发生的所有费用，包括但不限于项目实施费用以及相关人员工资（含各类保险、加班费、交通费、过节费、福利等所有与人员相关费用）、劳务费、设备及其安装调试费用、运行维护费用、全部税金、培训、售后服务等以及采购人项目预算已包含的项目论证、评审等各项相关费用。</w:t>
      </w:r>
    </w:p>
    <w:p w14:paraId="0A868E83">
      <w:pPr>
        <w:pStyle w:val="50"/>
        <w:rPr>
          <w:lang w:eastAsia="zh-CN"/>
        </w:rPr>
      </w:pPr>
      <w:r>
        <w:rPr>
          <w:rFonts w:hint="eastAsia"/>
          <w:lang w:eastAsia="zh-CN"/>
        </w:rPr>
        <w:t>本次采购响应供应商的报价应包括为完成本项目发生的上述所有费用及采购代理服务费用，成交后采购人除按成交价格支付采购资金以外，不再另行支付任何费用。本采购文件中另有规定的除外。</w:t>
      </w:r>
    </w:p>
    <w:p w14:paraId="6715F5C7">
      <w:pPr>
        <w:rPr>
          <w:rFonts w:ascii="微软雅黑" w:eastAsia="微软雅黑" w:cs="微软雅黑"/>
          <w:b/>
          <w:sz w:val="24"/>
        </w:rPr>
      </w:pPr>
      <w:r>
        <w:rPr>
          <w:rFonts w:hint="eastAsia" w:ascii="微软雅黑" w:eastAsia="微软雅黑" w:cs="微软雅黑"/>
          <w:b/>
          <w:sz w:val="24"/>
        </w:rPr>
        <w:t>四、综合服务能力要求</w:t>
      </w:r>
    </w:p>
    <w:p w14:paraId="5082CA5A">
      <w:pPr>
        <w:spacing w:line="360" w:lineRule="auto"/>
        <w:ind w:firstLine="482" w:firstLineChars="200"/>
        <w:jc w:val="left"/>
        <w:rPr>
          <w:b/>
          <w:bCs/>
          <w:sz w:val="24"/>
        </w:rPr>
      </w:pPr>
      <w:r>
        <w:rPr>
          <w:rFonts w:hint="eastAsia"/>
          <w:b/>
          <w:bCs/>
          <w:sz w:val="24"/>
        </w:rPr>
        <w:t>4.1类似业绩</w:t>
      </w:r>
    </w:p>
    <w:p w14:paraId="4499D096">
      <w:pPr>
        <w:spacing w:line="360" w:lineRule="auto"/>
        <w:ind w:firstLine="480" w:firstLineChars="200"/>
        <w:jc w:val="left"/>
        <w:rPr>
          <w:sz w:val="24"/>
        </w:rPr>
      </w:pPr>
      <w:r>
        <w:rPr>
          <w:rFonts w:hint="eastAsia"/>
          <w:sz w:val="24"/>
        </w:rPr>
        <w:t>供应商自2021年01月01日起至递交响应文件截止之日（以合同签订日期为准）具有同类信息化项目业绩。须提供合同关键页复印件（每份业绩合同须清晰体现合同的甲乙双方、采购内容、双方盖章及签订时间）。同一甲方的多个业绩只计1个。</w:t>
      </w:r>
    </w:p>
    <w:p w14:paraId="5BE3E7ED">
      <w:pPr>
        <w:spacing w:line="360" w:lineRule="auto"/>
        <w:ind w:firstLine="482" w:firstLineChars="200"/>
        <w:jc w:val="left"/>
        <w:rPr>
          <w:b/>
          <w:bCs/>
          <w:sz w:val="24"/>
        </w:rPr>
      </w:pPr>
      <w:r>
        <w:rPr>
          <w:rFonts w:hint="eastAsia"/>
          <w:b/>
          <w:bCs/>
          <w:sz w:val="24"/>
        </w:rPr>
        <w:t>4</w:t>
      </w:r>
      <w:r>
        <w:rPr>
          <w:b/>
          <w:bCs/>
          <w:sz w:val="24"/>
        </w:rPr>
        <w:t>.</w:t>
      </w:r>
      <w:r>
        <w:rPr>
          <w:rFonts w:hint="eastAsia"/>
          <w:b/>
          <w:bCs/>
          <w:sz w:val="24"/>
        </w:rPr>
        <w:t>2</w:t>
      </w:r>
      <w:r>
        <w:rPr>
          <w:b/>
          <w:bCs/>
          <w:sz w:val="24"/>
        </w:rPr>
        <w:t xml:space="preserve"> </w:t>
      </w:r>
      <w:r>
        <w:rPr>
          <w:rFonts w:hint="eastAsia"/>
          <w:b/>
          <w:bCs/>
          <w:sz w:val="24"/>
        </w:rPr>
        <w:t>供应商资质</w:t>
      </w:r>
    </w:p>
    <w:p w14:paraId="51455C58">
      <w:pPr>
        <w:pStyle w:val="40"/>
        <w:ind w:firstLine="480" w:firstLineChars="0"/>
        <w:jc w:val="left"/>
        <w:rPr>
          <w:rFonts w:ascii="Times New Roman" w:hAnsi="Times New Roman" w:eastAsia="宋体"/>
          <w:sz w:val="24"/>
          <w:szCs w:val="24"/>
        </w:rPr>
      </w:pPr>
      <w:r>
        <w:rPr>
          <w:rFonts w:hint="eastAsia" w:eastAsia="宋体"/>
          <w:b/>
          <w:bCs/>
          <w:sz w:val="24"/>
          <w:szCs w:val="24"/>
        </w:rPr>
        <w:t>4.2.1</w:t>
      </w:r>
      <w:r>
        <w:rPr>
          <w:rFonts w:hint="eastAsia" w:ascii="Times New Roman" w:hAnsi="Times New Roman" w:eastAsia="宋体"/>
          <w:sz w:val="24"/>
          <w:szCs w:val="24"/>
        </w:rPr>
        <w:t>供应商同时具备有效期内的</w:t>
      </w:r>
      <w:r>
        <w:rPr>
          <w:rFonts w:ascii="Times New Roman" w:hAnsi="Times New Roman" w:eastAsia="宋体"/>
          <w:sz w:val="24"/>
          <w:szCs w:val="24"/>
        </w:rPr>
        <w:t>ISO20000</w:t>
      </w:r>
      <w:r>
        <w:rPr>
          <w:rFonts w:hint="eastAsia" w:ascii="Times New Roman" w:hAnsi="Times New Roman" w:eastAsia="宋体"/>
          <w:sz w:val="24"/>
          <w:szCs w:val="24"/>
        </w:rPr>
        <w:t>信息技术服务管理体系认证、</w:t>
      </w:r>
      <w:r>
        <w:rPr>
          <w:rFonts w:ascii="Times New Roman" w:hAnsi="Times New Roman" w:eastAsia="宋体"/>
          <w:sz w:val="24"/>
          <w:szCs w:val="24"/>
        </w:rPr>
        <w:t>ISO/IEC27001</w:t>
      </w:r>
      <w:r>
        <w:rPr>
          <w:rFonts w:hint="eastAsia" w:ascii="Times New Roman" w:hAnsi="Times New Roman" w:eastAsia="宋体"/>
          <w:sz w:val="24"/>
          <w:szCs w:val="24"/>
        </w:rPr>
        <w:t>信息安全管理体系认证，要求提供证书复印件并加盖供应商公章，证书中的单位名称需与响应供应商名称一致。</w:t>
      </w:r>
    </w:p>
    <w:p w14:paraId="6CF46F5D">
      <w:pPr>
        <w:pStyle w:val="40"/>
        <w:ind w:firstLine="480" w:firstLineChars="0"/>
        <w:jc w:val="left"/>
        <w:rPr>
          <w:rFonts w:ascii="Times New Roman" w:hAnsi="Times New Roman" w:eastAsia="宋体"/>
          <w:sz w:val="24"/>
          <w:szCs w:val="24"/>
        </w:rPr>
      </w:pPr>
      <w:r>
        <w:rPr>
          <w:rFonts w:hint="eastAsia" w:eastAsia="宋体"/>
          <w:b/>
          <w:bCs/>
          <w:sz w:val="24"/>
          <w:szCs w:val="24"/>
        </w:rPr>
        <w:t>4.</w:t>
      </w:r>
      <w:r>
        <w:rPr>
          <w:rFonts w:eastAsia="宋体"/>
          <w:b/>
          <w:bCs/>
          <w:sz w:val="24"/>
          <w:szCs w:val="24"/>
        </w:rPr>
        <w:t>2.</w:t>
      </w:r>
      <w:r>
        <w:rPr>
          <w:rFonts w:hint="eastAsia" w:eastAsia="宋体"/>
          <w:b/>
          <w:bCs/>
          <w:sz w:val="24"/>
          <w:szCs w:val="24"/>
        </w:rPr>
        <w:t>2</w:t>
      </w:r>
      <w:r>
        <w:rPr>
          <w:rFonts w:hint="eastAsia" w:ascii="Times New Roman" w:hAnsi="Times New Roman" w:eastAsia="宋体"/>
          <w:sz w:val="24"/>
          <w:szCs w:val="24"/>
        </w:rPr>
        <w:t>供应商具有</w:t>
      </w:r>
      <w:r>
        <w:rPr>
          <w:rFonts w:ascii="Times New Roman" w:hAnsi="Times New Roman" w:eastAsia="宋体"/>
          <w:sz w:val="24"/>
          <w:szCs w:val="24"/>
        </w:rPr>
        <w:t>综合业务管理、数据采集、数据复制、综合分析相关方面</w:t>
      </w:r>
      <w:r>
        <w:rPr>
          <w:rFonts w:hint="eastAsia" w:ascii="Times New Roman" w:hAnsi="Times New Roman" w:eastAsia="宋体"/>
          <w:sz w:val="24"/>
          <w:szCs w:val="24"/>
        </w:rPr>
        <w:t>的软件著作权或相关专利证书，要求提供证书复印件并加盖供应商公章，证书中的单位名称需与响应供应商名称一致。</w:t>
      </w:r>
    </w:p>
    <w:p w14:paraId="786122FD">
      <w:bookmarkStart w:id="130" w:name="_Toc163660781"/>
      <w:r>
        <w:rPr>
          <w:rFonts w:hint="eastAsia"/>
        </w:rPr>
        <w:br w:type="page"/>
      </w:r>
    </w:p>
    <w:p w14:paraId="41884CCE">
      <w:pPr>
        <w:pStyle w:val="37"/>
        <w:rPr>
          <w:color w:val="FF0000"/>
        </w:rPr>
      </w:pPr>
      <w:r>
        <w:rPr>
          <w:rFonts w:hint="eastAsia"/>
        </w:rPr>
        <w:t>第五章 评审方法和评审标准</w:t>
      </w:r>
      <w:bookmarkEnd w:id="130"/>
    </w:p>
    <w:p w14:paraId="24F74F48">
      <w:pPr>
        <w:adjustRightInd w:val="0"/>
        <w:spacing w:before="120" w:after="120" w:line="360" w:lineRule="auto"/>
        <w:ind w:firstLine="422" w:firstLineChars="200"/>
        <w:jc w:val="left"/>
        <w:textAlignment w:val="baseline"/>
        <w:rPr>
          <w:rFonts w:ascii="Arial" w:hAnsi="Arial" w:cs="Arial"/>
          <w:kern w:val="0"/>
          <w:sz w:val="22"/>
          <w:szCs w:val="22"/>
        </w:rPr>
      </w:pPr>
      <w:r>
        <w:rPr>
          <w:rFonts w:hint="eastAsia" w:ascii="宋体" w:hAnsi="宋体"/>
          <w:b/>
          <w:szCs w:val="21"/>
        </w:rPr>
        <w:t xml:space="preserve">  </w:t>
      </w:r>
      <w:r>
        <w:rPr>
          <w:rFonts w:hint="eastAsia" w:ascii="Arial" w:hAnsi="Arial" w:cs="Arial"/>
          <w:kern w:val="0"/>
          <w:sz w:val="22"/>
          <w:szCs w:val="22"/>
        </w:rPr>
        <w:t>本项目</w:t>
      </w:r>
      <w:r>
        <w:rPr>
          <w:rFonts w:ascii="Arial" w:hAnsi="Arial" w:cs="Arial"/>
          <w:kern w:val="0"/>
          <w:sz w:val="22"/>
          <w:szCs w:val="22"/>
        </w:rPr>
        <w:t>采用综合评分法，</w:t>
      </w:r>
      <w:r>
        <w:rPr>
          <w:rFonts w:hint="eastAsia" w:ascii="Arial" w:hAnsi="Arial" w:cs="Arial"/>
          <w:kern w:val="0"/>
          <w:sz w:val="22"/>
          <w:szCs w:val="22"/>
        </w:rPr>
        <w:t>总分为100分。</w:t>
      </w:r>
      <w:r>
        <w:rPr>
          <w:rFonts w:ascii="Arial" w:hAnsi="Arial" w:cs="Arial"/>
          <w:kern w:val="0"/>
          <w:sz w:val="22"/>
          <w:szCs w:val="22"/>
        </w:rPr>
        <w:t>评</w:t>
      </w:r>
      <w:r>
        <w:rPr>
          <w:rFonts w:hint="eastAsia" w:ascii="Arial" w:hAnsi="Arial" w:cs="Arial"/>
          <w:kern w:val="0"/>
          <w:sz w:val="22"/>
          <w:szCs w:val="22"/>
        </w:rPr>
        <w:t>审</w:t>
      </w:r>
      <w:r>
        <w:rPr>
          <w:rFonts w:ascii="Arial" w:hAnsi="Arial" w:cs="Arial"/>
          <w:kern w:val="0"/>
          <w:sz w:val="22"/>
          <w:szCs w:val="22"/>
        </w:rPr>
        <w:t>结果按评审后得分由高到低顺序排列。得分相同的，按</w:t>
      </w:r>
      <w:r>
        <w:rPr>
          <w:rFonts w:hint="eastAsia" w:ascii="Arial" w:hAnsi="Arial" w:cs="Arial"/>
          <w:kern w:val="0"/>
          <w:sz w:val="22"/>
          <w:szCs w:val="22"/>
        </w:rPr>
        <w:t>响应</w:t>
      </w:r>
      <w:r>
        <w:rPr>
          <w:rFonts w:ascii="Arial" w:hAnsi="Arial" w:cs="Arial"/>
          <w:kern w:val="0"/>
          <w:sz w:val="22"/>
          <w:szCs w:val="22"/>
        </w:rPr>
        <w:t>报价由低到高顺序排列。得分且</w:t>
      </w:r>
      <w:r>
        <w:rPr>
          <w:rFonts w:hint="eastAsia" w:ascii="Arial" w:hAnsi="Arial" w:cs="Arial"/>
          <w:kern w:val="0"/>
          <w:sz w:val="22"/>
          <w:szCs w:val="22"/>
        </w:rPr>
        <w:t>响应</w:t>
      </w:r>
      <w:r>
        <w:rPr>
          <w:rFonts w:ascii="Arial" w:hAnsi="Arial" w:cs="Arial"/>
          <w:kern w:val="0"/>
          <w:sz w:val="22"/>
          <w:szCs w:val="22"/>
        </w:rPr>
        <w:t>报价相同的</w:t>
      </w:r>
      <w:r>
        <w:rPr>
          <w:rFonts w:hint="eastAsia" w:ascii="Arial" w:hAnsi="Arial" w:cs="Arial"/>
          <w:kern w:val="0"/>
          <w:sz w:val="22"/>
          <w:szCs w:val="22"/>
        </w:rPr>
        <w:t>，按主要技术指标优劣顺序排列，由评审委员会确定成交候选人。</w:t>
      </w:r>
    </w:p>
    <w:tbl>
      <w:tblPr>
        <w:tblStyle w:val="41"/>
        <w:tblW w:w="5121"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57" w:type="dxa"/>
          <w:left w:w="108" w:type="dxa"/>
          <w:bottom w:w="57" w:type="dxa"/>
          <w:right w:w="108" w:type="dxa"/>
        </w:tblCellMar>
      </w:tblPr>
      <w:tblGrid>
        <w:gridCol w:w="669"/>
        <w:gridCol w:w="1685"/>
        <w:gridCol w:w="7008"/>
        <w:gridCol w:w="753"/>
      </w:tblGrid>
      <w:tr w14:paraId="565793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57" w:type="dxa"/>
            <w:right w:w="108" w:type="dxa"/>
          </w:tblCellMar>
        </w:tblPrEx>
        <w:trPr>
          <w:trHeight w:val="28" w:hRule="atLeast"/>
          <w:tblHeader/>
          <w:jc w:val="center"/>
        </w:trPr>
        <w:tc>
          <w:tcPr>
            <w:tcW w:w="331" w:type="pct"/>
            <w:tcBorders>
              <w:top w:val="single" w:color="auto" w:sz="4" w:space="0"/>
              <w:left w:val="single" w:color="auto" w:sz="4" w:space="0"/>
              <w:bottom w:val="single" w:color="auto" w:sz="4" w:space="0"/>
              <w:right w:val="single" w:color="auto" w:sz="4" w:space="0"/>
            </w:tcBorders>
            <w:shd w:val="clear" w:color="auto" w:fill="FFFFFF"/>
            <w:vAlign w:val="center"/>
          </w:tcPr>
          <w:p w14:paraId="3EA94BD5">
            <w:pPr>
              <w:autoSpaceDE w:val="0"/>
              <w:autoSpaceDN w:val="0"/>
              <w:adjustRightInd w:val="0"/>
              <w:jc w:val="center"/>
              <w:rPr>
                <w:rFonts w:hint="eastAsia" w:ascii="宋体" w:hAnsi="宋体"/>
                <w:b/>
                <w:bCs/>
                <w:kern w:val="0"/>
                <w:szCs w:val="22"/>
              </w:rPr>
            </w:pPr>
            <w:r>
              <w:rPr>
                <w:rFonts w:hint="eastAsia" w:ascii="宋体" w:hAnsi="宋体"/>
                <w:b/>
                <w:bCs/>
                <w:kern w:val="0"/>
                <w:szCs w:val="22"/>
              </w:rPr>
              <w:t>序号</w:t>
            </w:r>
          </w:p>
        </w:tc>
        <w:tc>
          <w:tcPr>
            <w:tcW w:w="833" w:type="pct"/>
            <w:tcBorders>
              <w:top w:val="single" w:color="auto" w:sz="4" w:space="0"/>
              <w:left w:val="single" w:color="auto" w:sz="4" w:space="0"/>
              <w:bottom w:val="single" w:color="auto" w:sz="4" w:space="0"/>
              <w:right w:val="single" w:color="auto" w:sz="4" w:space="0"/>
            </w:tcBorders>
            <w:shd w:val="clear" w:color="auto" w:fill="FFFFFF"/>
            <w:vAlign w:val="center"/>
          </w:tcPr>
          <w:p w14:paraId="7FCEF993">
            <w:pPr>
              <w:tabs>
                <w:tab w:val="center" w:pos="4153"/>
                <w:tab w:val="right" w:pos="8306"/>
              </w:tabs>
              <w:autoSpaceDE w:val="0"/>
              <w:autoSpaceDN w:val="0"/>
              <w:adjustRightInd w:val="0"/>
              <w:snapToGrid w:val="0"/>
              <w:jc w:val="center"/>
              <w:rPr>
                <w:rFonts w:hint="eastAsia" w:ascii="宋体" w:hAnsi="宋体"/>
                <w:b/>
                <w:bCs/>
                <w:kern w:val="0"/>
                <w:szCs w:val="22"/>
              </w:rPr>
            </w:pPr>
            <w:r>
              <w:rPr>
                <w:rFonts w:hint="eastAsia" w:ascii="宋体" w:hAnsi="宋体"/>
                <w:b/>
                <w:bCs/>
                <w:kern w:val="0"/>
                <w:szCs w:val="22"/>
              </w:rPr>
              <w:t>评审</w:t>
            </w:r>
            <w:r>
              <w:rPr>
                <w:rFonts w:ascii="宋体" w:hAnsi="宋体"/>
                <w:b/>
                <w:bCs/>
                <w:kern w:val="0"/>
                <w:szCs w:val="22"/>
              </w:rPr>
              <w:t>因素</w:t>
            </w:r>
          </w:p>
        </w:tc>
        <w:tc>
          <w:tcPr>
            <w:tcW w:w="3464" w:type="pct"/>
            <w:tcBorders>
              <w:top w:val="single" w:color="auto" w:sz="4" w:space="0"/>
              <w:left w:val="single" w:color="auto" w:sz="4" w:space="0"/>
              <w:bottom w:val="single" w:color="auto" w:sz="4" w:space="0"/>
              <w:right w:val="single" w:color="auto" w:sz="4" w:space="0"/>
            </w:tcBorders>
            <w:shd w:val="clear" w:color="auto" w:fill="FFFFFF"/>
            <w:vAlign w:val="center"/>
          </w:tcPr>
          <w:p w14:paraId="42497C61">
            <w:pPr>
              <w:tabs>
                <w:tab w:val="center" w:pos="4153"/>
                <w:tab w:val="right" w:pos="8306"/>
              </w:tabs>
              <w:autoSpaceDE w:val="0"/>
              <w:autoSpaceDN w:val="0"/>
              <w:adjustRightInd w:val="0"/>
              <w:snapToGrid w:val="0"/>
              <w:jc w:val="center"/>
              <w:rPr>
                <w:rFonts w:hint="eastAsia" w:ascii="宋体" w:hAnsi="宋体"/>
                <w:b/>
                <w:bCs/>
                <w:kern w:val="0"/>
                <w:szCs w:val="22"/>
              </w:rPr>
            </w:pPr>
            <w:r>
              <w:rPr>
                <w:rFonts w:hint="eastAsia" w:ascii="宋体" w:hAnsi="宋体"/>
                <w:b/>
                <w:bCs/>
                <w:kern w:val="0"/>
                <w:szCs w:val="22"/>
              </w:rPr>
              <w:t>评分标准</w:t>
            </w:r>
          </w:p>
        </w:tc>
        <w:tc>
          <w:tcPr>
            <w:tcW w:w="372" w:type="pct"/>
            <w:tcBorders>
              <w:top w:val="single" w:color="auto" w:sz="4" w:space="0"/>
              <w:left w:val="single" w:color="auto" w:sz="4" w:space="0"/>
              <w:bottom w:val="single" w:color="auto" w:sz="4" w:space="0"/>
              <w:right w:val="single" w:color="auto" w:sz="4" w:space="0"/>
            </w:tcBorders>
            <w:shd w:val="clear" w:color="auto" w:fill="FFFFFF"/>
            <w:vAlign w:val="center"/>
          </w:tcPr>
          <w:p w14:paraId="1835785F">
            <w:pPr>
              <w:tabs>
                <w:tab w:val="center" w:pos="4153"/>
                <w:tab w:val="right" w:pos="8306"/>
              </w:tabs>
              <w:autoSpaceDE w:val="0"/>
              <w:autoSpaceDN w:val="0"/>
              <w:adjustRightInd w:val="0"/>
              <w:snapToGrid w:val="0"/>
              <w:jc w:val="center"/>
              <w:rPr>
                <w:rFonts w:hint="eastAsia" w:ascii="宋体" w:hAnsi="宋体"/>
                <w:b/>
                <w:bCs/>
                <w:kern w:val="0"/>
                <w:szCs w:val="22"/>
              </w:rPr>
            </w:pPr>
            <w:r>
              <w:rPr>
                <w:rFonts w:hint="eastAsia" w:ascii="宋体" w:hAnsi="宋体"/>
                <w:b/>
                <w:bCs/>
                <w:kern w:val="0"/>
                <w:szCs w:val="22"/>
              </w:rPr>
              <w:t>满分</w:t>
            </w:r>
          </w:p>
        </w:tc>
      </w:tr>
      <w:tr w14:paraId="2472E0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57" w:type="dxa"/>
            <w:right w:w="108" w:type="dxa"/>
          </w:tblCellMar>
        </w:tblPrEx>
        <w:trPr>
          <w:jc w:val="center"/>
        </w:trPr>
        <w:tc>
          <w:tcPr>
            <w:tcW w:w="5000" w:type="pct"/>
            <w:gridSpan w:val="4"/>
            <w:tcBorders>
              <w:top w:val="single" w:color="auto" w:sz="4" w:space="0"/>
              <w:left w:val="single" w:color="auto" w:sz="4" w:space="0"/>
              <w:bottom w:val="single" w:color="auto" w:sz="4" w:space="0"/>
              <w:right w:val="single" w:color="auto" w:sz="4" w:space="0"/>
            </w:tcBorders>
            <w:vAlign w:val="center"/>
          </w:tcPr>
          <w:p w14:paraId="78D1D204">
            <w:pPr>
              <w:tabs>
                <w:tab w:val="center" w:pos="4153"/>
                <w:tab w:val="right" w:pos="8306"/>
              </w:tabs>
              <w:autoSpaceDE w:val="0"/>
              <w:autoSpaceDN w:val="0"/>
              <w:adjustRightInd w:val="0"/>
              <w:snapToGrid w:val="0"/>
              <w:jc w:val="left"/>
              <w:rPr>
                <w:rFonts w:hint="eastAsia" w:ascii="宋体" w:hAnsi="宋体"/>
                <w:b/>
                <w:bCs/>
                <w:kern w:val="0"/>
                <w:szCs w:val="22"/>
              </w:rPr>
            </w:pPr>
            <w:r>
              <w:rPr>
                <w:rFonts w:hint="eastAsia" w:ascii="宋体" w:hAnsi="宋体"/>
                <w:b/>
                <w:bCs/>
                <w:kern w:val="0"/>
                <w:szCs w:val="22"/>
              </w:rPr>
              <w:t>一、价格部分（</w:t>
            </w:r>
            <w:r>
              <w:rPr>
                <w:rFonts w:ascii="宋体" w:hAnsi="宋体"/>
                <w:b/>
                <w:bCs/>
                <w:kern w:val="0"/>
                <w:szCs w:val="22"/>
              </w:rPr>
              <w:t>10</w:t>
            </w:r>
            <w:r>
              <w:rPr>
                <w:rFonts w:hint="eastAsia" w:ascii="宋体" w:hAnsi="宋体"/>
                <w:b/>
                <w:bCs/>
                <w:kern w:val="0"/>
                <w:szCs w:val="22"/>
              </w:rPr>
              <w:t>分）</w:t>
            </w:r>
          </w:p>
        </w:tc>
      </w:tr>
      <w:tr w14:paraId="1451CE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57" w:type="dxa"/>
            <w:right w:w="108" w:type="dxa"/>
          </w:tblCellMar>
        </w:tblPrEx>
        <w:trPr>
          <w:trHeight w:val="140" w:hRule="atLeast"/>
          <w:jc w:val="center"/>
        </w:trPr>
        <w:tc>
          <w:tcPr>
            <w:tcW w:w="331" w:type="pct"/>
            <w:tcBorders>
              <w:top w:val="single" w:color="auto" w:sz="4" w:space="0"/>
              <w:left w:val="single" w:color="auto" w:sz="4" w:space="0"/>
              <w:bottom w:val="single" w:color="auto" w:sz="4" w:space="0"/>
              <w:right w:val="single" w:color="auto" w:sz="4" w:space="0"/>
            </w:tcBorders>
            <w:vAlign w:val="center"/>
          </w:tcPr>
          <w:p w14:paraId="660D5BC8">
            <w:pPr>
              <w:tabs>
                <w:tab w:val="center" w:pos="4153"/>
                <w:tab w:val="right" w:pos="8306"/>
              </w:tabs>
              <w:autoSpaceDE w:val="0"/>
              <w:autoSpaceDN w:val="0"/>
              <w:adjustRightInd w:val="0"/>
              <w:snapToGrid w:val="0"/>
              <w:jc w:val="center"/>
              <w:rPr>
                <w:rFonts w:hint="eastAsia" w:ascii="宋体" w:hAnsi="宋体"/>
                <w:bCs/>
                <w:kern w:val="0"/>
                <w:szCs w:val="22"/>
              </w:rPr>
            </w:pPr>
            <w:r>
              <w:rPr>
                <w:rFonts w:hint="eastAsia" w:ascii="宋体" w:hAnsi="宋体"/>
                <w:kern w:val="0"/>
                <w:szCs w:val="22"/>
              </w:rPr>
              <w:t>1</w:t>
            </w:r>
          </w:p>
        </w:tc>
        <w:tc>
          <w:tcPr>
            <w:tcW w:w="833" w:type="pct"/>
            <w:tcBorders>
              <w:top w:val="single" w:color="auto" w:sz="4" w:space="0"/>
              <w:left w:val="single" w:color="auto" w:sz="4" w:space="0"/>
              <w:bottom w:val="single" w:color="auto" w:sz="4" w:space="0"/>
              <w:right w:val="single" w:color="auto" w:sz="4" w:space="0"/>
            </w:tcBorders>
            <w:vAlign w:val="center"/>
          </w:tcPr>
          <w:p w14:paraId="2986E2EC">
            <w:pPr>
              <w:tabs>
                <w:tab w:val="center" w:pos="4153"/>
                <w:tab w:val="right" w:pos="8306"/>
              </w:tabs>
              <w:autoSpaceDE w:val="0"/>
              <w:autoSpaceDN w:val="0"/>
              <w:adjustRightInd w:val="0"/>
              <w:snapToGrid w:val="0"/>
              <w:jc w:val="left"/>
              <w:rPr>
                <w:rFonts w:hint="eastAsia" w:ascii="宋体" w:hAnsi="宋体"/>
                <w:bCs/>
                <w:kern w:val="0"/>
                <w:szCs w:val="22"/>
              </w:rPr>
            </w:pPr>
            <w:r>
              <w:rPr>
                <w:rFonts w:hint="eastAsia" w:ascii="宋体" w:hAnsi="宋体"/>
                <w:kern w:val="0"/>
                <w:szCs w:val="22"/>
              </w:rPr>
              <w:t>价格分(满分</w:t>
            </w:r>
            <w:r>
              <w:rPr>
                <w:rFonts w:ascii="宋体" w:hAnsi="宋体"/>
                <w:kern w:val="0"/>
                <w:szCs w:val="22"/>
              </w:rPr>
              <w:t>10</w:t>
            </w:r>
            <w:r>
              <w:rPr>
                <w:rFonts w:hint="eastAsia" w:ascii="宋体" w:hAnsi="宋体"/>
                <w:kern w:val="0"/>
                <w:szCs w:val="22"/>
              </w:rPr>
              <w:t>分)</w:t>
            </w:r>
          </w:p>
        </w:tc>
        <w:tc>
          <w:tcPr>
            <w:tcW w:w="3464" w:type="pct"/>
            <w:tcBorders>
              <w:top w:val="single" w:color="auto" w:sz="4" w:space="0"/>
              <w:left w:val="single" w:color="auto" w:sz="4" w:space="0"/>
              <w:bottom w:val="single" w:color="auto" w:sz="4" w:space="0"/>
              <w:right w:val="single" w:color="auto" w:sz="4" w:space="0"/>
            </w:tcBorders>
            <w:vAlign w:val="center"/>
          </w:tcPr>
          <w:p w14:paraId="36BC345A">
            <w:pPr>
              <w:ind w:firstLine="420" w:firstLineChars="200"/>
              <w:rPr>
                <w:rFonts w:hint="eastAsia" w:ascii="宋体" w:hAnsi="宋体" w:cs="宋体"/>
                <w:bCs/>
                <w:szCs w:val="21"/>
              </w:rPr>
            </w:pPr>
            <w:r>
              <w:rPr>
                <w:rFonts w:hint="eastAsia" w:ascii="宋体" w:hAnsi="宋体" w:cs="宋体"/>
                <w:bCs/>
                <w:szCs w:val="21"/>
              </w:rPr>
              <w:t>价格分采用低价优先法计算。磋商后满足磋商文件要求的最终评审报价最低的为评标基准价，其价格为</w:t>
            </w:r>
            <w:r>
              <w:rPr>
                <w:rFonts w:ascii="宋体" w:hAnsi="宋体" w:cs="宋体"/>
                <w:bCs/>
                <w:szCs w:val="21"/>
              </w:rPr>
              <w:t>1</w:t>
            </w:r>
            <w:r>
              <w:rPr>
                <w:rFonts w:hint="eastAsia" w:ascii="宋体" w:hAnsi="宋体" w:cs="宋体"/>
                <w:bCs/>
                <w:szCs w:val="21"/>
              </w:rPr>
              <w:t>0分。其他供应商的价格分统一按照下列公式计算:评标基准价/最终评审报价。</w:t>
            </w:r>
          </w:p>
        </w:tc>
        <w:tc>
          <w:tcPr>
            <w:tcW w:w="372" w:type="pct"/>
            <w:tcBorders>
              <w:top w:val="single" w:color="auto" w:sz="4" w:space="0"/>
              <w:left w:val="single" w:color="auto" w:sz="4" w:space="0"/>
              <w:bottom w:val="single" w:color="auto" w:sz="4" w:space="0"/>
              <w:right w:val="single" w:color="auto" w:sz="4" w:space="0"/>
            </w:tcBorders>
            <w:vAlign w:val="center"/>
          </w:tcPr>
          <w:p w14:paraId="6D313882">
            <w:pPr>
              <w:tabs>
                <w:tab w:val="center" w:pos="4153"/>
                <w:tab w:val="right" w:pos="8306"/>
              </w:tabs>
              <w:autoSpaceDE w:val="0"/>
              <w:autoSpaceDN w:val="0"/>
              <w:adjustRightInd w:val="0"/>
              <w:snapToGrid w:val="0"/>
              <w:jc w:val="center"/>
              <w:rPr>
                <w:rFonts w:hint="eastAsia" w:ascii="宋体" w:hAnsi="宋体"/>
                <w:bCs/>
                <w:kern w:val="0"/>
                <w:szCs w:val="22"/>
              </w:rPr>
            </w:pPr>
            <w:r>
              <w:rPr>
                <w:rFonts w:ascii="宋体" w:hAnsi="宋体"/>
                <w:bCs/>
                <w:kern w:val="0"/>
                <w:szCs w:val="22"/>
              </w:rPr>
              <w:t>10</w:t>
            </w:r>
          </w:p>
        </w:tc>
      </w:tr>
      <w:tr w14:paraId="3FBFD2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57" w:type="dxa"/>
            <w:right w:w="108" w:type="dxa"/>
          </w:tblCellMar>
        </w:tblPrEx>
        <w:trPr>
          <w:jc w:val="center"/>
        </w:trPr>
        <w:tc>
          <w:tcPr>
            <w:tcW w:w="5000" w:type="pct"/>
            <w:gridSpan w:val="4"/>
            <w:tcBorders>
              <w:top w:val="single" w:color="auto" w:sz="4" w:space="0"/>
              <w:left w:val="single" w:color="auto" w:sz="4" w:space="0"/>
              <w:bottom w:val="single" w:color="auto" w:sz="4" w:space="0"/>
              <w:right w:val="single" w:color="auto" w:sz="4" w:space="0"/>
            </w:tcBorders>
            <w:vAlign w:val="center"/>
          </w:tcPr>
          <w:p w14:paraId="217C7C78">
            <w:pPr>
              <w:tabs>
                <w:tab w:val="center" w:pos="4153"/>
                <w:tab w:val="right" w:pos="8306"/>
              </w:tabs>
              <w:autoSpaceDE w:val="0"/>
              <w:autoSpaceDN w:val="0"/>
              <w:adjustRightInd w:val="0"/>
              <w:snapToGrid w:val="0"/>
              <w:jc w:val="left"/>
              <w:rPr>
                <w:rFonts w:hint="eastAsia" w:ascii="宋体" w:hAnsi="宋体"/>
                <w:bCs/>
                <w:kern w:val="0"/>
                <w:szCs w:val="22"/>
              </w:rPr>
            </w:pPr>
            <w:r>
              <w:rPr>
                <w:rFonts w:hint="eastAsia" w:ascii="宋体" w:hAnsi="宋体"/>
                <w:b/>
                <w:bCs/>
                <w:kern w:val="0"/>
                <w:szCs w:val="22"/>
              </w:rPr>
              <w:t>二、商务部分（30分）</w:t>
            </w:r>
          </w:p>
        </w:tc>
      </w:tr>
      <w:tr w14:paraId="28731D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57" w:type="dxa"/>
            <w:right w:w="108" w:type="dxa"/>
          </w:tblCellMar>
        </w:tblPrEx>
        <w:trPr>
          <w:trHeight w:val="87" w:hRule="atLeast"/>
          <w:jc w:val="center"/>
        </w:trPr>
        <w:tc>
          <w:tcPr>
            <w:tcW w:w="331" w:type="pct"/>
            <w:tcBorders>
              <w:top w:val="single" w:color="auto" w:sz="4" w:space="0"/>
              <w:left w:val="single" w:color="auto" w:sz="4" w:space="0"/>
              <w:right w:val="single" w:color="auto" w:sz="4" w:space="0"/>
            </w:tcBorders>
            <w:vAlign w:val="center"/>
          </w:tcPr>
          <w:p w14:paraId="3D01EA79">
            <w:pPr>
              <w:tabs>
                <w:tab w:val="center" w:pos="4153"/>
                <w:tab w:val="right" w:pos="8306"/>
              </w:tabs>
              <w:autoSpaceDE w:val="0"/>
              <w:autoSpaceDN w:val="0"/>
              <w:adjustRightInd w:val="0"/>
              <w:snapToGrid w:val="0"/>
              <w:jc w:val="center"/>
              <w:rPr>
                <w:rFonts w:hint="eastAsia" w:ascii="宋体" w:hAnsi="宋体"/>
                <w:bCs/>
                <w:kern w:val="0"/>
                <w:szCs w:val="22"/>
              </w:rPr>
            </w:pPr>
            <w:r>
              <w:rPr>
                <w:rFonts w:hint="eastAsia" w:ascii="宋体" w:hAnsi="宋体"/>
                <w:kern w:val="0"/>
                <w:szCs w:val="22"/>
              </w:rPr>
              <w:t>2</w:t>
            </w:r>
          </w:p>
        </w:tc>
        <w:tc>
          <w:tcPr>
            <w:tcW w:w="833" w:type="pct"/>
            <w:tcBorders>
              <w:top w:val="single" w:color="auto" w:sz="4" w:space="0"/>
              <w:left w:val="single" w:color="auto" w:sz="4" w:space="0"/>
              <w:right w:val="single" w:color="auto" w:sz="4" w:space="0"/>
            </w:tcBorders>
            <w:vAlign w:val="center"/>
          </w:tcPr>
          <w:p w14:paraId="0D8D0392">
            <w:pPr>
              <w:tabs>
                <w:tab w:val="center" w:pos="4153"/>
                <w:tab w:val="right" w:pos="8306"/>
              </w:tabs>
              <w:autoSpaceDE w:val="0"/>
              <w:autoSpaceDN w:val="0"/>
              <w:adjustRightInd w:val="0"/>
              <w:snapToGrid w:val="0"/>
              <w:jc w:val="left"/>
              <w:rPr>
                <w:rFonts w:hint="eastAsia" w:ascii="宋体" w:hAnsi="宋体"/>
                <w:kern w:val="0"/>
                <w:szCs w:val="22"/>
              </w:rPr>
            </w:pPr>
            <w:r>
              <w:rPr>
                <w:rFonts w:hint="eastAsia" w:ascii="宋体" w:hAnsi="宋体"/>
                <w:kern w:val="0"/>
                <w:szCs w:val="22"/>
              </w:rPr>
              <w:t>资质证书(</w:t>
            </w:r>
            <w:r>
              <w:rPr>
                <w:rFonts w:hint="eastAsia" w:ascii="宋体" w:hAnsi="宋体"/>
                <w:bCs/>
                <w:kern w:val="0"/>
                <w:szCs w:val="22"/>
              </w:rPr>
              <w:t>4</w:t>
            </w:r>
            <w:r>
              <w:rPr>
                <w:rFonts w:hint="eastAsia" w:ascii="宋体" w:hAnsi="宋体"/>
                <w:kern w:val="0"/>
                <w:szCs w:val="22"/>
              </w:rPr>
              <w:t>分</w:t>
            </w:r>
            <w:r>
              <w:rPr>
                <w:rFonts w:ascii="宋体" w:hAnsi="宋体"/>
                <w:kern w:val="0"/>
                <w:szCs w:val="22"/>
              </w:rPr>
              <w:t>）</w:t>
            </w:r>
          </w:p>
        </w:tc>
        <w:tc>
          <w:tcPr>
            <w:tcW w:w="3464" w:type="pct"/>
            <w:tcBorders>
              <w:top w:val="single" w:color="auto" w:sz="4" w:space="0"/>
              <w:left w:val="single" w:color="auto" w:sz="4" w:space="0"/>
              <w:bottom w:val="single" w:color="auto" w:sz="4" w:space="0"/>
              <w:right w:val="single" w:color="auto" w:sz="4" w:space="0"/>
            </w:tcBorders>
            <w:vAlign w:val="center"/>
          </w:tcPr>
          <w:p w14:paraId="75CEA2D2">
            <w:pPr>
              <w:tabs>
                <w:tab w:val="center" w:pos="4153"/>
                <w:tab w:val="right" w:pos="8306"/>
              </w:tabs>
              <w:autoSpaceDE w:val="0"/>
              <w:autoSpaceDN w:val="0"/>
              <w:adjustRightInd w:val="0"/>
              <w:snapToGrid w:val="0"/>
              <w:jc w:val="left"/>
              <w:rPr>
                <w:rFonts w:ascii="宋体"/>
                <w:kern w:val="0"/>
                <w:szCs w:val="22"/>
              </w:rPr>
            </w:pPr>
            <w:r>
              <w:rPr>
                <w:rFonts w:hint="eastAsia" w:ascii="宋体"/>
                <w:kern w:val="0"/>
                <w:szCs w:val="22"/>
              </w:rPr>
              <w:t>供应商同时具有ISO20000信息技术服务管理体系认证、ISO/IEC27001信息安全管理体系认证得4分，否则不得分。</w:t>
            </w:r>
          </w:p>
          <w:p w14:paraId="134947A1">
            <w:pPr>
              <w:tabs>
                <w:tab w:val="center" w:pos="4153"/>
                <w:tab w:val="right" w:pos="8306"/>
              </w:tabs>
              <w:autoSpaceDE w:val="0"/>
              <w:autoSpaceDN w:val="0"/>
              <w:adjustRightInd w:val="0"/>
              <w:snapToGrid w:val="0"/>
              <w:jc w:val="left"/>
              <w:rPr>
                <w:rFonts w:ascii="宋体"/>
                <w:kern w:val="0"/>
                <w:szCs w:val="22"/>
              </w:rPr>
            </w:pPr>
            <w:r>
              <w:rPr>
                <w:rFonts w:hint="eastAsia" w:ascii="宋体"/>
                <w:b/>
                <w:bCs/>
                <w:kern w:val="0"/>
                <w:szCs w:val="22"/>
              </w:rPr>
              <w:t>注：</w:t>
            </w:r>
            <w:r>
              <w:rPr>
                <w:rFonts w:hint="eastAsia" w:ascii="宋体"/>
                <w:kern w:val="0"/>
                <w:szCs w:val="22"/>
              </w:rPr>
              <w:t>供应商须提供上述证明文件复印件并加盖供应商公章，不符合上述要求或未按要求提供有效证明文件的不得分。</w:t>
            </w:r>
          </w:p>
        </w:tc>
        <w:tc>
          <w:tcPr>
            <w:tcW w:w="372" w:type="pct"/>
            <w:tcBorders>
              <w:top w:val="single" w:color="auto" w:sz="4" w:space="0"/>
              <w:left w:val="single" w:color="auto" w:sz="4" w:space="0"/>
              <w:bottom w:val="single" w:color="auto" w:sz="4" w:space="0"/>
              <w:right w:val="single" w:color="auto" w:sz="4" w:space="0"/>
            </w:tcBorders>
            <w:vAlign w:val="center"/>
          </w:tcPr>
          <w:p w14:paraId="7D4DB058">
            <w:pPr>
              <w:tabs>
                <w:tab w:val="center" w:pos="4153"/>
                <w:tab w:val="right" w:pos="8306"/>
              </w:tabs>
              <w:autoSpaceDE w:val="0"/>
              <w:autoSpaceDN w:val="0"/>
              <w:adjustRightInd w:val="0"/>
              <w:snapToGrid w:val="0"/>
              <w:jc w:val="center"/>
              <w:rPr>
                <w:rFonts w:ascii="宋体"/>
                <w:kern w:val="0"/>
                <w:szCs w:val="22"/>
              </w:rPr>
            </w:pPr>
            <w:r>
              <w:rPr>
                <w:rFonts w:hint="eastAsia" w:ascii="宋体"/>
                <w:kern w:val="0"/>
                <w:szCs w:val="22"/>
              </w:rPr>
              <w:t>4</w:t>
            </w:r>
          </w:p>
        </w:tc>
      </w:tr>
      <w:tr w14:paraId="159B03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57" w:type="dxa"/>
            <w:right w:w="108" w:type="dxa"/>
          </w:tblCellMar>
        </w:tblPrEx>
        <w:trPr>
          <w:trHeight w:val="1825" w:hRule="atLeast"/>
          <w:jc w:val="center"/>
        </w:trPr>
        <w:tc>
          <w:tcPr>
            <w:tcW w:w="331" w:type="pct"/>
            <w:tcBorders>
              <w:top w:val="single" w:color="auto" w:sz="4" w:space="0"/>
              <w:left w:val="single" w:color="auto" w:sz="4" w:space="0"/>
              <w:bottom w:val="single" w:color="auto" w:sz="4" w:space="0"/>
              <w:right w:val="single" w:color="auto" w:sz="4" w:space="0"/>
            </w:tcBorders>
            <w:vAlign w:val="center"/>
          </w:tcPr>
          <w:p w14:paraId="633BAE97">
            <w:pPr>
              <w:tabs>
                <w:tab w:val="center" w:pos="4153"/>
                <w:tab w:val="right" w:pos="8306"/>
              </w:tabs>
              <w:autoSpaceDE w:val="0"/>
              <w:autoSpaceDN w:val="0"/>
              <w:adjustRightInd w:val="0"/>
              <w:snapToGrid w:val="0"/>
              <w:jc w:val="center"/>
              <w:rPr>
                <w:rFonts w:hint="eastAsia" w:ascii="宋体" w:hAnsi="宋体"/>
                <w:bCs/>
                <w:kern w:val="0"/>
                <w:szCs w:val="22"/>
              </w:rPr>
            </w:pPr>
            <w:r>
              <w:rPr>
                <w:rFonts w:hint="eastAsia" w:ascii="宋体" w:hAnsi="宋体"/>
                <w:bCs/>
                <w:kern w:val="0"/>
                <w:szCs w:val="22"/>
              </w:rPr>
              <w:t>3</w:t>
            </w:r>
          </w:p>
        </w:tc>
        <w:tc>
          <w:tcPr>
            <w:tcW w:w="833" w:type="pct"/>
            <w:tcBorders>
              <w:top w:val="single" w:color="auto" w:sz="4" w:space="0"/>
              <w:left w:val="single" w:color="auto" w:sz="4" w:space="0"/>
              <w:bottom w:val="single" w:color="auto" w:sz="4" w:space="0"/>
              <w:right w:val="single" w:color="auto" w:sz="4" w:space="0"/>
            </w:tcBorders>
            <w:vAlign w:val="center"/>
          </w:tcPr>
          <w:p w14:paraId="03A5BD36">
            <w:pPr>
              <w:autoSpaceDE w:val="0"/>
              <w:autoSpaceDN w:val="0"/>
              <w:adjustRightInd w:val="0"/>
              <w:snapToGrid w:val="0"/>
              <w:jc w:val="left"/>
              <w:rPr>
                <w:rFonts w:hint="eastAsia" w:ascii="宋体" w:hAnsi="宋体"/>
                <w:kern w:val="0"/>
                <w:szCs w:val="22"/>
              </w:rPr>
            </w:pPr>
            <w:r>
              <w:rPr>
                <w:rFonts w:hint="eastAsia" w:ascii="宋体" w:hAnsi="宋体"/>
                <w:kern w:val="0"/>
                <w:szCs w:val="22"/>
              </w:rPr>
              <w:t>供应商业绩</w:t>
            </w:r>
          </w:p>
          <w:p w14:paraId="085878BE">
            <w:pPr>
              <w:autoSpaceDE w:val="0"/>
              <w:autoSpaceDN w:val="0"/>
              <w:adjustRightInd w:val="0"/>
              <w:snapToGrid w:val="0"/>
              <w:jc w:val="left"/>
              <w:rPr>
                <w:rFonts w:hint="eastAsia" w:ascii="宋体" w:hAnsi="宋体"/>
                <w:kern w:val="0"/>
                <w:szCs w:val="22"/>
              </w:rPr>
            </w:pPr>
            <w:r>
              <w:rPr>
                <w:rFonts w:hint="eastAsia" w:ascii="宋体" w:hAnsi="宋体"/>
                <w:kern w:val="0"/>
                <w:szCs w:val="22"/>
              </w:rPr>
              <w:t>（</w:t>
            </w:r>
            <w:r>
              <w:rPr>
                <w:rFonts w:hint="eastAsia" w:ascii="宋体" w:hAnsi="宋体"/>
                <w:bCs/>
                <w:kern w:val="0"/>
                <w:szCs w:val="22"/>
              </w:rPr>
              <w:t>10</w:t>
            </w:r>
            <w:r>
              <w:rPr>
                <w:rFonts w:hint="eastAsia" w:ascii="宋体" w:hAnsi="宋体"/>
                <w:kern w:val="0"/>
                <w:szCs w:val="22"/>
              </w:rPr>
              <w:t>分</w:t>
            </w:r>
            <w:r>
              <w:rPr>
                <w:rFonts w:ascii="宋体" w:hAnsi="宋体"/>
                <w:kern w:val="0"/>
                <w:szCs w:val="22"/>
              </w:rPr>
              <w:t>）</w:t>
            </w:r>
          </w:p>
        </w:tc>
        <w:tc>
          <w:tcPr>
            <w:tcW w:w="3464" w:type="pct"/>
            <w:tcBorders>
              <w:top w:val="single" w:color="auto" w:sz="4" w:space="0"/>
              <w:left w:val="single" w:color="auto" w:sz="4" w:space="0"/>
              <w:bottom w:val="single" w:color="auto" w:sz="4" w:space="0"/>
              <w:right w:val="single" w:color="auto" w:sz="4" w:space="0"/>
            </w:tcBorders>
            <w:vAlign w:val="center"/>
          </w:tcPr>
          <w:p w14:paraId="451CC65F">
            <w:pPr>
              <w:jc w:val="left"/>
              <w:rPr>
                <w:rFonts w:ascii="宋体"/>
                <w:kern w:val="0"/>
                <w:szCs w:val="22"/>
              </w:rPr>
            </w:pPr>
            <w:r>
              <w:rPr>
                <w:rFonts w:hint="eastAsia" w:ascii="宋体"/>
                <w:kern w:val="0"/>
                <w:szCs w:val="22"/>
              </w:rPr>
              <w:t>供应商自2021年1月1日起（以合同签订日期为准）建设过同类信息化项目案例，每提供1个得2分，最高得10分。</w:t>
            </w:r>
          </w:p>
          <w:p w14:paraId="7BF310EF">
            <w:pPr>
              <w:rPr>
                <w:rFonts w:hint="eastAsia" w:ascii="宋体" w:hAnsi="宋体" w:cs="宋体"/>
                <w:bCs/>
                <w:szCs w:val="21"/>
              </w:rPr>
            </w:pPr>
            <w:r>
              <w:rPr>
                <w:rFonts w:hint="eastAsia" w:ascii="宋体"/>
                <w:b/>
                <w:bCs/>
                <w:kern w:val="0"/>
                <w:szCs w:val="22"/>
              </w:rPr>
              <w:t>注：</w:t>
            </w:r>
            <w:r>
              <w:rPr>
                <w:rFonts w:hint="eastAsia" w:ascii="宋体" w:hAnsi="宋体" w:cs="宋体"/>
                <w:bCs/>
                <w:szCs w:val="21"/>
              </w:rPr>
              <w:t>（1）需要提供合同复印件加盖供应商公章，合同复印件至少包括合同的甲乙双方、采购内容、双方签章及生效时间，并对真实性负责；同个甲方单位多份业绩只能按一份计算。</w:t>
            </w:r>
          </w:p>
          <w:p w14:paraId="36DDACA4">
            <w:pPr>
              <w:jc w:val="left"/>
              <w:rPr>
                <w:rFonts w:hint="eastAsia" w:ascii="宋体" w:hAnsi="宋体"/>
                <w:kern w:val="0"/>
                <w:szCs w:val="22"/>
              </w:rPr>
            </w:pPr>
            <w:r>
              <w:rPr>
                <w:rFonts w:hint="eastAsia" w:ascii="宋体" w:hAnsi="宋体" w:cs="宋体"/>
                <w:bCs/>
                <w:szCs w:val="21"/>
              </w:rPr>
              <w:t>（2）未按要求提供或提供信息不全的业绩，不得分；</w:t>
            </w:r>
          </w:p>
        </w:tc>
        <w:tc>
          <w:tcPr>
            <w:tcW w:w="372" w:type="pct"/>
            <w:tcBorders>
              <w:top w:val="single" w:color="auto" w:sz="4" w:space="0"/>
              <w:left w:val="single" w:color="auto" w:sz="4" w:space="0"/>
              <w:bottom w:val="single" w:color="auto" w:sz="4" w:space="0"/>
              <w:right w:val="single" w:color="auto" w:sz="4" w:space="0"/>
            </w:tcBorders>
            <w:vAlign w:val="center"/>
          </w:tcPr>
          <w:p w14:paraId="7134E751">
            <w:pPr>
              <w:tabs>
                <w:tab w:val="center" w:pos="4153"/>
                <w:tab w:val="right" w:pos="8306"/>
              </w:tabs>
              <w:autoSpaceDE w:val="0"/>
              <w:autoSpaceDN w:val="0"/>
              <w:adjustRightInd w:val="0"/>
              <w:snapToGrid w:val="0"/>
              <w:jc w:val="center"/>
              <w:rPr>
                <w:rFonts w:hint="eastAsia" w:ascii="宋体" w:hAnsi="宋体"/>
                <w:kern w:val="0"/>
                <w:szCs w:val="22"/>
              </w:rPr>
            </w:pPr>
            <w:r>
              <w:rPr>
                <w:rFonts w:hint="eastAsia" w:ascii="宋体" w:hAnsi="宋体"/>
                <w:kern w:val="0"/>
                <w:szCs w:val="22"/>
              </w:rPr>
              <w:t>10</w:t>
            </w:r>
          </w:p>
        </w:tc>
      </w:tr>
      <w:tr w14:paraId="1FC3FE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57" w:type="dxa"/>
            <w:right w:w="108" w:type="dxa"/>
          </w:tblCellMar>
        </w:tblPrEx>
        <w:trPr>
          <w:trHeight w:val="258" w:hRule="atLeast"/>
          <w:jc w:val="center"/>
        </w:trPr>
        <w:tc>
          <w:tcPr>
            <w:tcW w:w="331" w:type="pct"/>
            <w:tcBorders>
              <w:top w:val="single" w:color="auto" w:sz="4" w:space="0"/>
              <w:left w:val="single" w:color="auto" w:sz="4" w:space="0"/>
              <w:right w:val="single" w:color="auto" w:sz="4" w:space="0"/>
            </w:tcBorders>
            <w:vAlign w:val="center"/>
          </w:tcPr>
          <w:p w14:paraId="76D53C18">
            <w:pPr>
              <w:tabs>
                <w:tab w:val="center" w:pos="4153"/>
                <w:tab w:val="right" w:pos="8306"/>
              </w:tabs>
              <w:autoSpaceDE w:val="0"/>
              <w:autoSpaceDN w:val="0"/>
              <w:adjustRightInd w:val="0"/>
              <w:snapToGrid w:val="0"/>
              <w:jc w:val="center"/>
              <w:rPr>
                <w:rFonts w:hint="eastAsia" w:ascii="宋体" w:hAnsi="宋体"/>
                <w:bCs/>
                <w:kern w:val="0"/>
                <w:szCs w:val="22"/>
              </w:rPr>
            </w:pPr>
            <w:r>
              <w:rPr>
                <w:rFonts w:hint="eastAsia" w:ascii="宋体" w:hAnsi="宋体"/>
                <w:bCs/>
                <w:kern w:val="0"/>
                <w:szCs w:val="22"/>
              </w:rPr>
              <w:t>4</w:t>
            </w:r>
          </w:p>
        </w:tc>
        <w:tc>
          <w:tcPr>
            <w:tcW w:w="833" w:type="pct"/>
            <w:tcBorders>
              <w:top w:val="single" w:color="auto" w:sz="4" w:space="0"/>
              <w:left w:val="single" w:color="auto" w:sz="4" w:space="0"/>
              <w:right w:val="single" w:color="auto" w:sz="4" w:space="0"/>
            </w:tcBorders>
            <w:vAlign w:val="center"/>
          </w:tcPr>
          <w:p w14:paraId="6D6F5CC0">
            <w:pPr>
              <w:autoSpaceDE w:val="0"/>
              <w:autoSpaceDN w:val="0"/>
              <w:adjustRightInd w:val="0"/>
              <w:snapToGrid w:val="0"/>
              <w:spacing w:line="276" w:lineRule="auto"/>
              <w:jc w:val="left"/>
              <w:rPr>
                <w:rFonts w:hint="eastAsia" w:ascii="宋体" w:hAnsi="宋体"/>
                <w:kern w:val="0"/>
                <w:szCs w:val="22"/>
              </w:rPr>
            </w:pPr>
            <w:r>
              <w:rPr>
                <w:rFonts w:hint="eastAsia" w:ascii="宋体" w:hAnsi="宋体"/>
                <w:kern w:val="0"/>
                <w:szCs w:val="22"/>
              </w:rPr>
              <w:t>专利或著</w:t>
            </w:r>
            <w:r>
              <w:rPr>
                <w:rFonts w:ascii="宋体" w:hAnsi="宋体"/>
                <w:kern w:val="0"/>
                <w:szCs w:val="22"/>
              </w:rPr>
              <w:t>作权</w:t>
            </w:r>
          </w:p>
          <w:p w14:paraId="644631A7">
            <w:pPr>
              <w:autoSpaceDE w:val="0"/>
              <w:autoSpaceDN w:val="0"/>
              <w:adjustRightInd w:val="0"/>
              <w:snapToGrid w:val="0"/>
              <w:jc w:val="left"/>
              <w:rPr>
                <w:rFonts w:hint="eastAsia" w:ascii="宋体" w:hAnsi="宋体"/>
                <w:kern w:val="0"/>
                <w:szCs w:val="22"/>
              </w:rPr>
            </w:pPr>
            <w:r>
              <w:rPr>
                <w:rFonts w:hint="eastAsia" w:ascii="宋体" w:hAnsi="宋体"/>
                <w:kern w:val="0"/>
                <w:szCs w:val="22"/>
              </w:rPr>
              <w:t>（8分</w:t>
            </w:r>
            <w:r>
              <w:rPr>
                <w:rFonts w:ascii="宋体" w:hAnsi="宋体"/>
                <w:kern w:val="0"/>
                <w:szCs w:val="22"/>
              </w:rPr>
              <w:t>）</w:t>
            </w:r>
          </w:p>
        </w:tc>
        <w:tc>
          <w:tcPr>
            <w:tcW w:w="3464" w:type="pct"/>
            <w:tcBorders>
              <w:top w:val="single" w:color="auto" w:sz="4" w:space="0"/>
              <w:left w:val="single" w:color="auto" w:sz="4" w:space="0"/>
              <w:bottom w:val="single" w:color="auto" w:sz="4" w:space="0"/>
              <w:right w:val="single" w:color="auto" w:sz="4" w:space="0"/>
            </w:tcBorders>
            <w:vAlign w:val="center"/>
          </w:tcPr>
          <w:p w14:paraId="73EBAFE7">
            <w:pPr>
              <w:tabs>
                <w:tab w:val="center" w:pos="4153"/>
                <w:tab w:val="right" w:pos="8306"/>
              </w:tabs>
              <w:autoSpaceDE w:val="0"/>
              <w:autoSpaceDN w:val="0"/>
              <w:adjustRightInd w:val="0"/>
              <w:snapToGrid w:val="0"/>
              <w:jc w:val="left"/>
              <w:rPr>
                <w:rFonts w:ascii="宋体"/>
                <w:kern w:val="0"/>
                <w:szCs w:val="22"/>
              </w:rPr>
            </w:pPr>
            <w:r>
              <w:rPr>
                <w:rFonts w:hint="eastAsia" w:ascii="宋体"/>
                <w:kern w:val="0"/>
                <w:szCs w:val="22"/>
              </w:rPr>
              <w:t>有综合业务管理、数据采集、数据复制、综合分析相关方面的软件著作权或相关专利证书，每个证书2分，满分8分。（提供证书复印件并加盖供应商公章。如处于换证期间的，请提供有效证明文件。不符合上述要求或未按要求提供有效证明文件的不得分。）</w:t>
            </w:r>
          </w:p>
        </w:tc>
        <w:tc>
          <w:tcPr>
            <w:tcW w:w="372" w:type="pct"/>
            <w:tcBorders>
              <w:top w:val="single" w:color="auto" w:sz="4" w:space="0"/>
              <w:left w:val="single" w:color="auto" w:sz="4" w:space="0"/>
              <w:bottom w:val="single" w:color="auto" w:sz="4" w:space="0"/>
              <w:right w:val="single" w:color="auto" w:sz="4" w:space="0"/>
            </w:tcBorders>
            <w:vAlign w:val="center"/>
          </w:tcPr>
          <w:p w14:paraId="33C821C3">
            <w:pPr>
              <w:tabs>
                <w:tab w:val="center" w:pos="4153"/>
                <w:tab w:val="right" w:pos="8306"/>
              </w:tabs>
              <w:autoSpaceDE w:val="0"/>
              <w:autoSpaceDN w:val="0"/>
              <w:adjustRightInd w:val="0"/>
              <w:snapToGrid w:val="0"/>
              <w:jc w:val="center"/>
              <w:rPr>
                <w:rFonts w:hint="eastAsia" w:ascii="宋体" w:hAnsi="宋体"/>
                <w:kern w:val="0"/>
                <w:szCs w:val="22"/>
              </w:rPr>
            </w:pPr>
            <w:r>
              <w:rPr>
                <w:rFonts w:hint="eastAsia" w:ascii="宋体" w:hAnsi="宋体"/>
                <w:kern w:val="0"/>
                <w:szCs w:val="22"/>
              </w:rPr>
              <w:t>8</w:t>
            </w:r>
          </w:p>
        </w:tc>
      </w:tr>
      <w:tr w14:paraId="1C92AA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57" w:type="dxa"/>
            <w:right w:w="108" w:type="dxa"/>
          </w:tblCellMar>
        </w:tblPrEx>
        <w:trPr>
          <w:trHeight w:val="72" w:hRule="atLeast"/>
          <w:jc w:val="center"/>
        </w:trPr>
        <w:tc>
          <w:tcPr>
            <w:tcW w:w="331" w:type="pct"/>
            <w:vMerge w:val="restart"/>
            <w:tcBorders>
              <w:top w:val="single" w:color="auto" w:sz="4" w:space="0"/>
              <w:left w:val="single" w:color="auto" w:sz="4" w:space="0"/>
              <w:right w:val="single" w:color="auto" w:sz="4" w:space="0"/>
            </w:tcBorders>
            <w:vAlign w:val="center"/>
          </w:tcPr>
          <w:p w14:paraId="3D0AF55F">
            <w:pPr>
              <w:tabs>
                <w:tab w:val="center" w:pos="4153"/>
                <w:tab w:val="right" w:pos="8306"/>
              </w:tabs>
              <w:autoSpaceDE w:val="0"/>
              <w:autoSpaceDN w:val="0"/>
              <w:adjustRightInd w:val="0"/>
              <w:snapToGrid w:val="0"/>
              <w:jc w:val="center"/>
              <w:rPr>
                <w:rFonts w:hint="eastAsia" w:ascii="宋体" w:hAnsi="宋体"/>
                <w:bCs/>
                <w:kern w:val="0"/>
                <w:szCs w:val="22"/>
              </w:rPr>
            </w:pPr>
            <w:r>
              <w:rPr>
                <w:rFonts w:hint="eastAsia" w:ascii="宋体" w:hAnsi="宋体"/>
                <w:bCs/>
                <w:kern w:val="0"/>
                <w:szCs w:val="22"/>
              </w:rPr>
              <w:t>5</w:t>
            </w:r>
          </w:p>
        </w:tc>
        <w:tc>
          <w:tcPr>
            <w:tcW w:w="833" w:type="pct"/>
            <w:vMerge w:val="restart"/>
            <w:tcBorders>
              <w:top w:val="single" w:color="auto" w:sz="4" w:space="0"/>
              <w:left w:val="single" w:color="auto" w:sz="4" w:space="0"/>
              <w:right w:val="single" w:color="auto" w:sz="4" w:space="0"/>
            </w:tcBorders>
            <w:vAlign w:val="center"/>
          </w:tcPr>
          <w:p w14:paraId="6874036B">
            <w:pPr>
              <w:autoSpaceDE w:val="0"/>
              <w:autoSpaceDN w:val="0"/>
              <w:adjustRightInd w:val="0"/>
              <w:jc w:val="left"/>
              <w:rPr>
                <w:rFonts w:hint="eastAsia" w:ascii="宋体" w:hAnsi="宋体"/>
                <w:kern w:val="0"/>
                <w:szCs w:val="22"/>
              </w:rPr>
            </w:pPr>
            <w:r>
              <w:rPr>
                <w:rFonts w:hint="eastAsia" w:ascii="宋体" w:hAnsi="宋体"/>
                <w:kern w:val="0"/>
                <w:szCs w:val="22"/>
              </w:rPr>
              <w:t>项目组人员资质（8分）</w:t>
            </w:r>
          </w:p>
        </w:tc>
        <w:tc>
          <w:tcPr>
            <w:tcW w:w="3464" w:type="pct"/>
            <w:tcBorders>
              <w:top w:val="single" w:color="auto" w:sz="4" w:space="0"/>
              <w:left w:val="single" w:color="auto" w:sz="4" w:space="0"/>
              <w:bottom w:val="single" w:color="auto" w:sz="4" w:space="0"/>
              <w:right w:val="single" w:color="auto" w:sz="4" w:space="0"/>
            </w:tcBorders>
            <w:vAlign w:val="center"/>
          </w:tcPr>
          <w:p w14:paraId="45B40BC5">
            <w:pPr>
              <w:tabs>
                <w:tab w:val="center" w:pos="4153"/>
                <w:tab w:val="right" w:pos="8306"/>
              </w:tabs>
              <w:autoSpaceDE w:val="0"/>
              <w:autoSpaceDN w:val="0"/>
              <w:adjustRightInd w:val="0"/>
              <w:snapToGrid w:val="0"/>
              <w:jc w:val="left"/>
              <w:rPr>
                <w:rFonts w:ascii="宋体"/>
                <w:kern w:val="0"/>
                <w:szCs w:val="22"/>
              </w:rPr>
            </w:pPr>
            <w:r>
              <w:rPr>
                <w:rFonts w:hint="eastAsia" w:ascii="宋体"/>
                <w:kern w:val="0"/>
                <w:szCs w:val="22"/>
              </w:rPr>
              <w:t>5.1项目经理：项目经理同时具备国家行政主管部门颁发的高级信息系统项目管理师证和软件设计师证书的得4分，否则不得分。</w:t>
            </w:r>
          </w:p>
        </w:tc>
        <w:tc>
          <w:tcPr>
            <w:tcW w:w="372" w:type="pct"/>
            <w:tcBorders>
              <w:top w:val="single" w:color="auto" w:sz="4" w:space="0"/>
              <w:left w:val="single" w:color="auto" w:sz="4" w:space="0"/>
              <w:bottom w:val="single" w:color="auto" w:sz="4" w:space="0"/>
              <w:right w:val="single" w:color="auto" w:sz="4" w:space="0"/>
            </w:tcBorders>
            <w:vAlign w:val="center"/>
          </w:tcPr>
          <w:p w14:paraId="27344DA0">
            <w:pPr>
              <w:tabs>
                <w:tab w:val="center" w:pos="4153"/>
                <w:tab w:val="right" w:pos="8306"/>
              </w:tabs>
              <w:autoSpaceDE w:val="0"/>
              <w:autoSpaceDN w:val="0"/>
              <w:adjustRightInd w:val="0"/>
              <w:snapToGrid w:val="0"/>
              <w:jc w:val="center"/>
              <w:rPr>
                <w:rFonts w:ascii="宋体"/>
                <w:kern w:val="0"/>
                <w:szCs w:val="22"/>
              </w:rPr>
            </w:pPr>
            <w:r>
              <w:rPr>
                <w:rFonts w:hint="eastAsia" w:ascii="宋体"/>
                <w:kern w:val="0"/>
                <w:szCs w:val="22"/>
              </w:rPr>
              <w:t>4</w:t>
            </w:r>
          </w:p>
        </w:tc>
      </w:tr>
      <w:tr w14:paraId="46849D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57" w:type="dxa"/>
            <w:right w:w="108" w:type="dxa"/>
          </w:tblCellMar>
        </w:tblPrEx>
        <w:trPr>
          <w:trHeight w:val="20" w:hRule="atLeast"/>
          <w:jc w:val="center"/>
        </w:trPr>
        <w:tc>
          <w:tcPr>
            <w:tcW w:w="331" w:type="pct"/>
            <w:vMerge w:val="continue"/>
            <w:tcBorders>
              <w:left w:val="single" w:color="auto" w:sz="4" w:space="0"/>
              <w:right w:val="single" w:color="auto" w:sz="4" w:space="0"/>
            </w:tcBorders>
            <w:vAlign w:val="center"/>
          </w:tcPr>
          <w:p w14:paraId="41A0CD06">
            <w:pPr>
              <w:tabs>
                <w:tab w:val="center" w:pos="4153"/>
                <w:tab w:val="right" w:pos="8306"/>
              </w:tabs>
              <w:autoSpaceDE w:val="0"/>
              <w:autoSpaceDN w:val="0"/>
              <w:adjustRightInd w:val="0"/>
              <w:snapToGrid w:val="0"/>
              <w:jc w:val="center"/>
              <w:rPr>
                <w:rFonts w:hint="eastAsia" w:ascii="宋体" w:hAnsi="宋体"/>
                <w:bCs/>
                <w:kern w:val="0"/>
                <w:szCs w:val="22"/>
              </w:rPr>
            </w:pPr>
          </w:p>
        </w:tc>
        <w:tc>
          <w:tcPr>
            <w:tcW w:w="833" w:type="pct"/>
            <w:vMerge w:val="continue"/>
            <w:tcBorders>
              <w:left w:val="single" w:color="auto" w:sz="4" w:space="0"/>
              <w:right w:val="single" w:color="auto" w:sz="4" w:space="0"/>
            </w:tcBorders>
            <w:vAlign w:val="center"/>
          </w:tcPr>
          <w:p w14:paraId="50E62636">
            <w:pPr>
              <w:autoSpaceDE w:val="0"/>
              <w:autoSpaceDN w:val="0"/>
              <w:adjustRightInd w:val="0"/>
              <w:jc w:val="left"/>
              <w:rPr>
                <w:rFonts w:hint="eastAsia" w:ascii="宋体" w:hAnsi="宋体"/>
                <w:kern w:val="0"/>
                <w:szCs w:val="22"/>
              </w:rPr>
            </w:pPr>
          </w:p>
        </w:tc>
        <w:tc>
          <w:tcPr>
            <w:tcW w:w="3464" w:type="pct"/>
            <w:tcBorders>
              <w:top w:val="single" w:color="auto" w:sz="4" w:space="0"/>
              <w:left w:val="single" w:color="auto" w:sz="4" w:space="0"/>
              <w:bottom w:val="single" w:color="auto" w:sz="4" w:space="0"/>
              <w:right w:val="single" w:color="auto" w:sz="4" w:space="0"/>
            </w:tcBorders>
            <w:vAlign w:val="center"/>
          </w:tcPr>
          <w:p w14:paraId="2854C6F3">
            <w:pPr>
              <w:tabs>
                <w:tab w:val="center" w:pos="4153"/>
                <w:tab w:val="right" w:pos="8306"/>
              </w:tabs>
              <w:autoSpaceDE w:val="0"/>
              <w:autoSpaceDN w:val="0"/>
              <w:adjustRightInd w:val="0"/>
              <w:snapToGrid w:val="0"/>
              <w:jc w:val="left"/>
              <w:rPr>
                <w:rFonts w:ascii="宋体"/>
                <w:kern w:val="0"/>
                <w:szCs w:val="22"/>
              </w:rPr>
            </w:pPr>
            <w:r>
              <w:rPr>
                <w:rFonts w:hint="eastAsia" w:ascii="宋体"/>
                <w:kern w:val="0"/>
                <w:szCs w:val="22"/>
              </w:rPr>
              <w:t>5.2项目实施研发团队：除项目经理以外项目实施研发团队不得</w:t>
            </w:r>
            <w:r>
              <w:rPr>
                <w:rFonts w:ascii="宋体"/>
                <w:kern w:val="0"/>
                <w:szCs w:val="22"/>
              </w:rPr>
              <w:t>少于4</w:t>
            </w:r>
            <w:r>
              <w:rPr>
                <w:rFonts w:hint="eastAsia" w:ascii="宋体"/>
                <w:kern w:val="0"/>
                <w:szCs w:val="22"/>
              </w:rPr>
              <w:t>人</w:t>
            </w:r>
            <w:r>
              <w:rPr>
                <w:rFonts w:ascii="宋体"/>
                <w:kern w:val="0"/>
                <w:szCs w:val="22"/>
              </w:rPr>
              <w:t>，</w:t>
            </w:r>
            <w:r>
              <w:rPr>
                <w:rFonts w:hint="eastAsia" w:ascii="宋体"/>
                <w:kern w:val="0"/>
                <w:szCs w:val="22"/>
              </w:rPr>
              <w:t>除项目经理以外的技术人员，持有系统架构设计师、网络工程师（HCIP（HCNP）或H3CNE或CCNP或同等级别）、注册信息安全专业人员（（CISP或CISSP））、IT服务工程师（ITSS），有两项得基本分1分，每多一项加1分，最高得4分（单项不重复累计，单人多证仅算一项，不累加）。</w:t>
            </w:r>
          </w:p>
        </w:tc>
        <w:tc>
          <w:tcPr>
            <w:tcW w:w="372" w:type="pct"/>
            <w:tcBorders>
              <w:top w:val="single" w:color="auto" w:sz="4" w:space="0"/>
              <w:left w:val="single" w:color="auto" w:sz="4" w:space="0"/>
              <w:bottom w:val="single" w:color="auto" w:sz="4" w:space="0"/>
              <w:right w:val="single" w:color="auto" w:sz="4" w:space="0"/>
            </w:tcBorders>
            <w:vAlign w:val="center"/>
          </w:tcPr>
          <w:p w14:paraId="5761303E">
            <w:pPr>
              <w:tabs>
                <w:tab w:val="center" w:pos="4153"/>
                <w:tab w:val="right" w:pos="8306"/>
              </w:tabs>
              <w:autoSpaceDE w:val="0"/>
              <w:autoSpaceDN w:val="0"/>
              <w:adjustRightInd w:val="0"/>
              <w:snapToGrid w:val="0"/>
              <w:jc w:val="center"/>
              <w:rPr>
                <w:rFonts w:ascii="宋体"/>
                <w:kern w:val="0"/>
                <w:szCs w:val="22"/>
              </w:rPr>
            </w:pPr>
            <w:r>
              <w:rPr>
                <w:rFonts w:hint="eastAsia" w:ascii="宋体"/>
                <w:kern w:val="0"/>
                <w:szCs w:val="22"/>
              </w:rPr>
              <w:t>4</w:t>
            </w:r>
          </w:p>
        </w:tc>
      </w:tr>
      <w:tr w14:paraId="3F8CDA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57" w:type="dxa"/>
            <w:right w:w="108" w:type="dxa"/>
          </w:tblCellMar>
        </w:tblPrEx>
        <w:trPr>
          <w:trHeight w:val="20" w:hRule="atLeast"/>
          <w:jc w:val="center"/>
        </w:trPr>
        <w:tc>
          <w:tcPr>
            <w:tcW w:w="331" w:type="pct"/>
            <w:vMerge w:val="continue"/>
            <w:tcBorders>
              <w:left w:val="single" w:color="auto" w:sz="4" w:space="0"/>
              <w:right w:val="single" w:color="auto" w:sz="4" w:space="0"/>
            </w:tcBorders>
            <w:vAlign w:val="center"/>
          </w:tcPr>
          <w:p w14:paraId="68A6B529">
            <w:pPr>
              <w:tabs>
                <w:tab w:val="center" w:pos="4153"/>
                <w:tab w:val="right" w:pos="8306"/>
              </w:tabs>
              <w:autoSpaceDE w:val="0"/>
              <w:autoSpaceDN w:val="0"/>
              <w:adjustRightInd w:val="0"/>
              <w:snapToGrid w:val="0"/>
              <w:jc w:val="center"/>
              <w:rPr>
                <w:rFonts w:hint="eastAsia" w:ascii="宋体" w:hAnsi="宋体"/>
                <w:bCs/>
                <w:kern w:val="0"/>
                <w:szCs w:val="22"/>
              </w:rPr>
            </w:pPr>
          </w:p>
        </w:tc>
        <w:tc>
          <w:tcPr>
            <w:tcW w:w="833" w:type="pct"/>
            <w:vMerge w:val="continue"/>
            <w:tcBorders>
              <w:left w:val="single" w:color="auto" w:sz="4" w:space="0"/>
              <w:right w:val="single" w:color="auto" w:sz="4" w:space="0"/>
            </w:tcBorders>
            <w:vAlign w:val="center"/>
          </w:tcPr>
          <w:p w14:paraId="5E80D11E">
            <w:pPr>
              <w:autoSpaceDE w:val="0"/>
              <w:autoSpaceDN w:val="0"/>
              <w:adjustRightInd w:val="0"/>
              <w:jc w:val="left"/>
              <w:rPr>
                <w:rFonts w:hint="eastAsia" w:ascii="宋体" w:hAnsi="宋体"/>
                <w:kern w:val="0"/>
                <w:szCs w:val="22"/>
              </w:rPr>
            </w:pPr>
          </w:p>
        </w:tc>
        <w:tc>
          <w:tcPr>
            <w:tcW w:w="3836" w:type="pct"/>
            <w:gridSpan w:val="2"/>
            <w:tcBorders>
              <w:top w:val="single" w:color="auto" w:sz="4" w:space="0"/>
              <w:left w:val="single" w:color="auto" w:sz="4" w:space="0"/>
              <w:bottom w:val="single" w:color="auto" w:sz="4" w:space="0"/>
              <w:right w:val="single" w:color="auto" w:sz="4" w:space="0"/>
            </w:tcBorders>
            <w:vAlign w:val="center"/>
          </w:tcPr>
          <w:p w14:paraId="0EE342F8">
            <w:pPr>
              <w:tabs>
                <w:tab w:val="center" w:pos="4153"/>
                <w:tab w:val="right" w:pos="8306"/>
              </w:tabs>
              <w:autoSpaceDE w:val="0"/>
              <w:autoSpaceDN w:val="0"/>
              <w:adjustRightInd w:val="0"/>
              <w:snapToGrid w:val="0"/>
              <w:jc w:val="left"/>
              <w:rPr>
                <w:rFonts w:ascii="宋体"/>
                <w:kern w:val="0"/>
                <w:szCs w:val="22"/>
              </w:rPr>
            </w:pPr>
            <w:r>
              <w:rPr>
                <w:rFonts w:hint="eastAsia" w:ascii="宋体"/>
                <w:kern w:val="0"/>
                <w:szCs w:val="22"/>
              </w:rPr>
              <w:t>注：上述5.1、5.2须提供成员名单、资格证书扫描件或复印件，同时提供由响应供应商为其缴纳的2024年07月至10月任意一月社保缴纳证明文件并加盖供应商公章，不符合上述要求或未按要求提供有效证明文件的不得分。</w:t>
            </w:r>
          </w:p>
        </w:tc>
      </w:tr>
      <w:tr w14:paraId="0BD8A8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57" w:type="dxa"/>
            <w:right w:w="108" w:type="dxa"/>
          </w:tblCellMar>
        </w:tblPrEx>
        <w:trPr>
          <w:jc w:val="center"/>
        </w:trPr>
        <w:tc>
          <w:tcPr>
            <w:tcW w:w="5000" w:type="pct"/>
            <w:gridSpan w:val="4"/>
            <w:tcBorders>
              <w:top w:val="single" w:color="auto" w:sz="4" w:space="0"/>
              <w:left w:val="single" w:color="auto" w:sz="4" w:space="0"/>
              <w:bottom w:val="single" w:color="auto" w:sz="4" w:space="0"/>
              <w:right w:val="single" w:color="auto" w:sz="4" w:space="0"/>
            </w:tcBorders>
            <w:vAlign w:val="center"/>
          </w:tcPr>
          <w:p w14:paraId="19988951">
            <w:pPr>
              <w:tabs>
                <w:tab w:val="center" w:pos="4153"/>
                <w:tab w:val="right" w:pos="8306"/>
              </w:tabs>
              <w:autoSpaceDE w:val="0"/>
              <w:autoSpaceDN w:val="0"/>
              <w:adjustRightInd w:val="0"/>
              <w:snapToGrid w:val="0"/>
              <w:jc w:val="left"/>
              <w:rPr>
                <w:rFonts w:hint="eastAsia" w:ascii="宋体" w:hAnsi="宋体"/>
                <w:b/>
                <w:bCs/>
                <w:kern w:val="0"/>
                <w:szCs w:val="22"/>
              </w:rPr>
            </w:pPr>
            <w:r>
              <w:rPr>
                <w:rFonts w:hint="eastAsia" w:ascii="宋体" w:hAnsi="宋体"/>
                <w:b/>
                <w:bCs/>
                <w:kern w:val="0"/>
                <w:szCs w:val="22"/>
              </w:rPr>
              <w:t>三、技术部分（</w:t>
            </w:r>
            <w:r>
              <w:rPr>
                <w:rFonts w:ascii="宋体" w:hAnsi="宋体"/>
                <w:b/>
                <w:bCs/>
                <w:kern w:val="0"/>
                <w:szCs w:val="22"/>
              </w:rPr>
              <w:t>55</w:t>
            </w:r>
            <w:r>
              <w:rPr>
                <w:rFonts w:hint="eastAsia" w:ascii="宋体" w:hAnsi="宋体"/>
                <w:b/>
                <w:bCs/>
                <w:kern w:val="0"/>
                <w:szCs w:val="22"/>
              </w:rPr>
              <w:t>分）</w:t>
            </w:r>
          </w:p>
        </w:tc>
      </w:tr>
      <w:tr w14:paraId="40E69E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57" w:type="dxa"/>
            <w:right w:w="108" w:type="dxa"/>
          </w:tblCellMar>
        </w:tblPrEx>
        <w:trPr>
          <w:trHeight w:val="175" w:hRule="atLeast"/>
          <w:jc w:val="center"/>
        </w:trPr>
        <w:tc>
          <w:tcPr>
            <w:tcW w:w="331" w:type="pct"/>
            <w:vMerge w:val="restart"/>
            <w:tcBorders>
              <w:top w:val="single" w:color="auto" w:sz="4" w:space="0"/>
              <w:left w:val="single" w:color="auto" w:sz="4" w:space="0"/>
              <w:right w:val="single" w:color="auto" w:sz="4" w:space="0"/>
            </w:tcBorders>
            <w:vAlign w:val="center"/>
          </w:tcPr>
          <w:p w14:paraId="11D02859">
            <w:pPr>
              <w:tabs>
                <w:tab w:val="center" w:pos="4153"/>
                <w:tab w:val="right" w:pos="8306"/>
              </w:tabs>
              <w:autoSpaceDE w:val="0"/>
              <w:autoSpaceDN w:val="0"/>
              <w:adjustRightInd w:val="0"/>
              <w:snapToGrid w:val="0"/>
              <w:jc w:val="center"/>
              <w:rPr>
                <w:rFonts w:hint="eastAsia" w:ascii="宋体" w:hAnsi="宋体"/>
                <w:bCs/>
                <w:kern w:val="0"/>
                <w:szCs w:val="22"/>
              </w:rPr>
            </w:pPr>
            <w:r>
              <w:rPr>
                <w:rFonts w:ascii="宋体" w:hAnsi="宋体"/>
                <w:bCs/>
                <w:kern w:val="0"/>
                <w:szCs w:val="22"/>
              </w:rPr>
              <w:t>6</w:t>
            </w:r>
          </w:p>
        </w:tc>
        <w:tc>
          <w:tcPr>
            <w:tcW w:w="833" w:type="pct"/>
            <w:vMerge w:val="restart"/>
            <w:tcBorders>
              <w:top w:val="single" w:color="auto" w:sz="4" w:space="0"/>
              <w:left w:val="single" w:color="auto" w:sz="4" w:space="0"/>
              <w:right w:val="single" w:color="auto" w:sz="4" w:space="0"/>
            </w:tcBorders>
            <w:vAlign w:val="center"/>
          </w:tcPr>
          <w:p w14:paraId="79A8A570">
            <w:pPr>
              <w:autoSpaceDE w:val="0"/>
              <w:autoSpaceDN w:val="0"/>
              <w:adjustRightInd w:val="0"/>
              <w:snapToGrid w:val="0"/>
              <w:jc w:val="center"/>
              <w:rPr>
                <w:rFonts w:hint="eastAsia" w:ascii="宋体" w:hAnsi="宋体"/>
                <w:kern w:val="0"/>
                <w:szCs w:val="22"/>
              </w:rPr>
            </w:pPr>
            <w:r>
              <w:rPr>
                <w:rFonts w:hint="eastAsia" w:ascii="宋体" w:hAnsi="宋体"/>
                <w:kern w:val="0"/>
                <w:szCs w:val="22"/>
              </w:rPr>
              <w:t>整体技术方案(</w:t>
            </w:r>
            <w:r>
              <w:rPr>
                <w:rFonts w:ascii="宋体" w:hAnsi="宋体"/>
                <w:kern w:val="0"/>
                <w:szCs w:val="22"/>
              </w:rPr>
              <w:t>5</w:t>
            </w:r>
            <w:r>
              <w:rPr>
                <w:rFonts w:hint="eastAsia" w:ascii="宋体" w:hAnsi="宋体"/>
                <w:kern w:val="0"/>
                <w:szCs w:val="22"/>
              </w:rPr>
              <w:t>5分</w:t>
            </w:r>
            <w:r>
              <w:rPr>
                <w:rFonts w:hint="eastAsia" w:ascii="宋体" w:hAnsi="宋体"/>
                <w:kern w:val="0"/>
                <w:sz w:val="22"/>
                <w:szCs w:val="22"/>
              </w:rPr>
              <w:t>)</w:t>
            </w:r>
          </w:p>
        </w:tc>
        <w:tc>
          <w:tcPr>
            <w:tcW w:w="3464" w:type="pct"/>
            <w:tcBorders>
              <w:top w:val="single" w:color="auto" w:sz="4" w:space="0"/>
              <w:left w:val="single" w:color="auto" w:sz="4" w:space="0"/>
              <w:bottom w:val="single" w:color="auto" w:sz="4" w:space="0"/>
              <w:right w:val="single" w:color="auto" w:sz="4" w:space="0"/>
            </w:tcBorders>
            <w:vAlign w:val="center"/>
          </w:tcPr>
          <w:p w14:paraId="55DFA1FD">
            <w:pPr>
              <w:tabs>
                <w:tab w:val="center" w:pos="4153"/>
                <w:tab w:val="right" w:pos="8306"/>
              </w:tabs>
              <w:autoSpaceDE w:val="0"/>
              <w:autoSpaceDN w:val="0"/>
              <w:adjustRightInd w:val="0"/>
              <w:snapToGrid w:val="0"/>
              <w:jc w:val="left"/>
              <w:rPr>
                <w:rFonts w:ascii="宋体"/>
                <w:kern w:val="0"/>
                <w:szCs w:val="22"/>
              </w:rPr>
            </w:pPr>
            <w:r>
              <w:rPr>
                <w:rFonts w:hint="eastAsia" w:ascii="宋体"/>
                <w:kern w:val="0"/>
                <w:szCs w:val="22"/>
              </w:rPr>
              <w:t>6.1项目理解及需求分析：供应商充分了解本项目背景，对模块功能建设要求和总体思路、本项目采购需求等方面的理解情况进行阐述；对项目总体建设思路、建设要求、技术要求、技术规范和业务规范等有一定理解，整体论述较为完整，重难点分析较为准确的。</w:t>
            </w:r>
          </w:p>
          <w:p w14:paraId="7F563AC0">
            <w:pPr>
              <w:tabs>
                <w:tab w:val="center" w:pos="4153"/>
                <w:tab w:val="right" w:pos="8306"/>
              </w:tabs>
              <w:autoSpaceDE w:val="0"/>
              <w:autoSpaceDN w:val="0"/>
              <w:adjustRightInd w:val="0"/>
              <w:snapToGrid w:val="0"/>
              <w:jc w:val="left"/>
              <w:rPr>
                <w:rFonts w:ascii="宋体"/>
                <w:kern w:val="0"/>
                <w:szCs w:val="22"/>
              </w:rPr>
            </w:pPr>
            <w:r>
              <w:rPr>
                <w:rFonts w:hint="eastAsia" w:ascii="宋体"/>
                <w:kern w:val="0"/>
                <w:szCs w:val="22"/>
              </w:rPr>
              <w:t>（1）方案包含上述全部要素，内容条理性和可操作性强，科学合理，得4分；</w:t>
            </w:r>
          </w:p>
          <w:p w14:paraId="2A18E1C5">
            <w:pPr>
              <w:tabs>
                <w:tab w:val="center" w:pos="4153"/>
                <w:tab w:val="right" w:pos="8306"/>
              </w:tabs>
              <w:autoSpaceDE w:val="0"/>
              <w:autoSpaceDN w:val="0"/>
              <w:adjustRightInd w:val="0"/>
              <w:snapToGrid w:val="0"/>
              <w:jc w:val="left"/>
              <w:rPr>
                <w:rFonts w:ascii="宋体"/>
                <w:kern w:val="0"/>
                <w:szCs w:val="22"/>
              </w:rPr>
            </w:pPr>
            <w:r>
              <w:rPr>
                <w:rFonts w:hint="eastAsia" w:ascii="宋体"/>
                <w:kern w:val="0"/>
                <w:szCs w:val="22"/>
              </w:rPr>
              <w:t>（2）方案包含上述全部要素，内容条理性和可操作性较强、较科学合理，得3分；</w:t>
            </w:r>
          </w:p>
          <w:p w14:paraId="179A0C86">
            <w:pPr>
              <w:tabs>
                <w:tab w:val="center" w:pos="4153"/>
                <w:tab w:val="right" w:pos="8306"/>
              </w:tabs>
              <w:autoSpaceDE w:val="0"/>
              <w:autoSpaceDN w:val="0"/>
              <w:adjustRightInd w:val="0"/>
              <w:snapToGrid w:val="0"/>
              <w:jc w:val="left"/>
              <w:rPr>
                <w:rFonts w:ascii="宋体"/>
                <w:kern w:val="0"/>
                <w:szCs w:val="22"/>
              </w:rPr>
            </w:pPr>
            <w:r>
              <w:rPr>
                <w:rFonts w:hint="eastAsia" w:ascii="宋体"/>
                <w:kern w:val="0"/>
                <w:szCs w:val="22"/>
              </w:rPr>
              <w:t>（3）方案未包含上述全部要素，内容条理性和可操作性有欠缺，需重新补充完善，得1分；</w:t>
            </w:r>
          </w:p>
          <w:p w14:paraId="0BDF2EE0">
            <w:pPr>
              <w:tabs>
                <w:tab w:val="center" w:pos="4153"/>
                <w:tab w:val="right" w:pos="8306"/>
              </w:tabs>
              <w:autoSpaceDE w:val="0"/>
              <w:autoSpaceDN w:val="0"/>
              <w:adjustRightInd w:val="0"/>
              <w:snapToGrid w:val="0"/>
              <w:jc w:val="left"/>
              <w:rPr>
                <w:rFonts w:ascii="宋体"/>
                <w:bCs/>
                <w:kern w:val="0"/>
                <w:szCs w:val="22"/>
              </w:rPr>
            </w:pPr>
            <w:r>
              <w:rPr>
                <w:rFonts w:hint="eastAsia" w:ascii="宋体"/>
                <w:kern w:val="0"/>
                <w:szCs w:val="22"/>
              </w:rPr>
              <w:t>（4）未提供者不得分。</w:t>
            </w:r>
          </w:p>
        </w:tc>
        <w:tc>
          <w:tcPr>
            <w:tcW w:w="372" w:type="pct"/>
            <w:tcBorders>
              <w:top w:val="single" w:color="auto" w:sz="4" w:space="0"/>
              <w:left w:val="single" w:color="auto" w:sz="4" w:space="0"/>
              <w:bottom w:val="single" w:color="auto" w:sz="4" w:space="0"/>
              <w:right w:val="single" w:color="auto" w:sz="4" w:space="0"/>
            </w:tcBorders>
            <w:vAlign w:val="center"/>
          </w:tcPr>
          <w:p w14:paraId="0C15F1B7">
            <w:pPr>
              <w:tabs>
                <w:tab w:val="center" w:pos="4153"/>
                <w:tab w:val="right" w:pos="8306"/>
              </w:tabs>
              <w:autoSpaceDE w:val="0"/>
              <w:autoSpaceDN w:val="0"/>
              <w:adjustRightInd w:val="0"/>
              <w:snapToGrid w:val="0"/>
              <w:jc w:val="center"/>
              <w:rPr>
                <w:rFonts w:ascii="宋体"/>
                <w:bCs/>
                <w:kern w:val="0"/>
                <w:szCs w:val="22"/>
              </w:rPr>
            </w:pPr>
            <w:r>
              <w:rPr>
                <w:rFonts w:hint="eastAsia" w:ascii="宋体"/>
                <w:bCs/>
                <w:kern w:val="0"/>
                <w:szCs w:val="22"/>
              </w:rPr>
              <w:t>4</w:t>
            </w:r>
          </w:p>
        </w:tc>
      </w:tr>
      <w:tr w14:paraId="47BBB1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57" w:type="dxa"/>
            <w:right w:w="108" w:type="dxa"/>
          </w:tblCellMar>
        </w:tblPrEx>
        <w:trPr>
          <w:trHeight w:val="90" w:hRule="atLeast"/>
          <w:jc w:val="center"/>
        </w:trPr>
        <w:tc>
          <w:tcPr>
            <w:tcW w:w="331" w:type="pct"/>
            <w:vMerge w:val="continue"/>
            <w:tcBorders>
              <w:top w:val="single" w:color="auto" w:sz="4" w:space="0"/>
              <w:left w:val="single" w:color="auto" w:sz="4" w:space="0"/>
              <w:right w:val="single" w:color="auto" w:sz="4" w:space="0"/>
            </w:tcBorders>
            <w:vAlign w:val="center"/>
          </w:tcPr>
          <w:p w14:paraId="6A60FD60">
            <w:pPr>
              <w:tabs>
                <w:tab w:val="center" w:pos="4153"/>
                <w:tab w:val="right" w:pos="8306"/>
              </w:tabs>
              <w:autoSpaceDE w:val="0"/>
              <w:autoSpaceDN w:val="0"/>
              <w:adjustRightInd w:val="0"/>
              <w:snapToGrid w:val="0"/>
              <w:jc w:val="center"/>
              <w:rPr>
                <w:rFonts w:hint="eastAsia" w:ascii="宋体" w:hAnsi="宋体"/>
                <w:bCs/>
                <w:kern w:val="0"/>
                <w:szCs w:val="22"/>
              </w:rPr>
            </w:pPr>
          </w:p>
        </w:tc>
        <w:tc>
          <w:tcPr>
            <w:tcW w:w="833" w:type="pct"/>
            <w:vMerge w:val="continue"/>
            <w:tcBorders>
              <w:top w:val="single" w:color="auto" w:sz="4" w:space="0"/>
              <w:left w:val="single" w:color="auto" w:sz="4" w:space="0"/>
              <w:right w:val="single" w:color="auto" w:sz="4" w:space="0"/>
            </w:tcBorders>
            <w:vAlign w:val="center"/>
          </w:tcPr>
          <w:p w14:paraId="25E5391F">
            <w:pPr>
              <w:autoSpaceDE w:val="0"/>
              <w:autoSpaceDN w:val="0"/>
              <w:adjustRightInd w:val="0"/>
              <w:snapToGrid w:val="0"/>
              <w:jc w:val="center"/>
              <w:rPr>
                <w:rFonts w:hint="eastAsia" w:ascii="宋体" w:hAnsi="宋体"/>
                <w:kern w:val="0"/>
                <w:sz w:val="22"/>
                <w:szCs w:val="22"/>
              </w:rPr>
            </w:pPr>
          </w:p>
        </w:tc>
        <w:tc>
          <w:tcPr>
            <w:tcW w:w="3464" w:type="pct"/>
            <w:tcBorders>
              <w:top w:val="single" w:color="auto" w:sz="4" w:space="0"/>
              <w:left w:val="single" w:color="auto" w:sz="4" w:space="0"/>
              <w:bottom w:val="single" w:color="auto" w:sz="4" w:space="0"/>
              <w:right w:val="single" w:color="auto" w:sz="4" w:space="0"/>
            </w:tcBorders>
            <w:vAlign w:val="center"/>
          </w:tcPr>
          <w:p w14:paraId="65CD2DA8">
            <w:pPr>
              <w:autoSpaceDE w:val="0"/>
              <w:autoSpaceDN w:val="0"/>
              <w:adjustRightInd w:val="0"/>
              <w:snapToGrid w:val="0"/>
              <w:jc w:val="left"/>
              <w:rPr>
                <w:rFonts w:ascii="宋体"/>
                <w:kern w:val="0"/>
                <w:szCs w:val="22"/>
              </w:rPr>
            </w:pPr>
            <w:r>
              <w:rPr>
                <w:rFonts w:hint="eastAsia" w:ascii="宋体"/>
                <w:kern w:val="0"/>
                <w:szCs w:val="22"/>
              </w:rPr>
              <w:t>6.2总体设计方案，供应商需遵循平台总体设计思路，结合本项目采购需求，提供总体设计方案（至少包括总体架构、业务架构、数据架构等设计）。</w:t>
            </w:r>
          </w:p>
          <w:p w14:paraId="0B5D663E">
            <w:pPr>
              <w:tabs>
                <w:tab w:val="center" w:pos="4153"/>
                <w:tab w:val="right" w:pos="8306"/>
              </w:tabs>
              <w:autoSpaceDE w:val="0"/>
              <w:autoSpaceDN w:val="0"/>
              <w:adjustRightInd w:val="0"/>
              <w:snapToGrid w:val="0"/>
              <w:jc w:val="left"/>
              <w:rPr>
                <w:rFonts w:ascii="宋体"/>
                <w:kern w:val="0"/>
                <w:szCs w:val="22"/>
              </w:rPr>
            </w:pPr>
            <w:r>
              <w:rPr>
                <w:rFonts w:hint="eastAsia" w:ascii="宋体"/>
                <w:kern w:val="0"/>
                <w:szCs w:val="22"/>
              </w:rPr>
              <w:t>（1）方案包含上述全部要素，内容条理性和可操作性强，科学合理，得4分；</w:t>
            </w:r>
          </w:p>
          <w:p w14:paraId="192814B2">
            <w:pPr>
              <w:tabs>
                <w:tab w:val="center" w:pos="4153"/>
                <w:tab w:val="right" w:pos="8306"/>
              </w:tabs>
              <w:autoSpaceDE w:val="0"/>
              <w:autoSpaceDN w:val="0"/>
              <w:adjustRightInd w:val="0"/>
              <w:snapToGrid w:val="0"/>
              <w:jc w:val="left"/>
              <w:rPr>
                <w:rFonts w:ascii="宋体"/>
                <w:kern w:val="0"/>
                <w:szCs w:val="22"/>
              </w:rPr>
            </w:pPr>
            <w:r>
              <w:rPr>
                <w:rFonts w:hint="eastAsia" w:ascii="宋体"/>
                <w:kern w:val="0"/>
                <w:szCs w:val="22"/>
              </w:rPr>
              <w:t>（2）方案包含上述全部要素，内容条理性和可操作性较强、较科学合理，得3分；</w:t>
            </w:r>
          </w:p>
          <w:p w14:paraId="31AE9EAC">
            <w:pPr>
              <w:tabs>
                <w:tab w:val="center" w:pos="4153"/>
                <w:tab w:val="right" w:pos="8306"/>
              </w:tabs>
              <w:autoSpaceDE w:val="0"/>
              <w:autoSpaceDN w:val="0"/>
              <w:adjustRightInd w:val="0"/>
              <w:snapToGrid w:val="0"/>
              <w:jc w:val="left"/>
              <w:rPr>
                <w:rFonts w:ascii="宋体"/>
                <w:kern w:val="0"/>
                <w:szCs w:val="22"/>
              </w:rPr>
            </w:pPr>
            <w:r>
              <w:rPr>
                <w:rFonts w:hint="eastAsia" w:ascii="宋体"/>
                <w:kern w:val="0"/>
                <w:szCs w:val="22"/>
              </w:rPr>
              <w:t>（3）方案未包含上述全部要素，内容条理性和可操作性有欠缺，需重新补充完善，得1分；</w:t>
            </w:r>
          </w:p>
          <w:p w14:paraId="1309F432">
            <w:pPr>
              <w:tabs>
                <w:tab w:val="center" w:pos="4153"/>
                <w:tab w:val="right" w:pos="8306"/>
              </w:tabs>
              <w:autoSpaceDE w:val="0"/>
              <w:autoSpaceDN w:val="0"/>
              <w:adjustRightInd w:val="0"/>
              <w:snapToGrid w:val="0"/>
              <w:jc w:val="left"/>
              <w:rPr>
                <w:rFonts w:ascii="宋体"/>
                <w:bCs/>
                <w:kern w:val="0"/>
                <w:szCs w:val="22"/>
              </w:rPr>
            </w:pPr>
            <w:r>
              <w:rPr>
                <w:rFonts w:hint="eastAsia" w:ascii="宋体"/>
                <w:kern w:val="0"/>
                <w:szCs w:val="22"/>
              </w:rPr>
              <w:t>（4）未提供者不得分。</w:t>
            </w:r>
          </w:p>
        </w:tc>
        <w:tc>
          <w:tcPr>
            <w:tcW w:w="372" w:type="pct"/>
            <w:tcBorders>
              <w:top w:val="single" w:color="auto" w:sz="4" w:space="0"/>
              <w:left w:val="single" w:color="auto" w:sz="4" w:space="0"/>
              <w:bottom w:val="single" w:color="auto" w:sz="4" w:space="0"/>
              <w:right w:val="single" w:color="auto" w:sz="4" w:space="0"/>
            </w:tcBorders>
            <w:vAlign w:val="center"/>
          </w:tcPr>
          <w:p w14:paraId="7FE9CF1E">
            <w:pPr>
              <w:tabs>
                <w:tab w:val="center" w:pos="4153"/>
                <w:tab w:val="right" w:pos="8306"/>
              </w:tabs>
              <w:autoSpaceDE w:val="0"/>
              <w:autoSpaceDN w:val="0"/>
              <w:adjustRightInd w:val="0"/>
              <w:snapToGrid w:val="0"/>
              <w:jc w:val="center"/>
              <w:rPr>
                <w:rFonts w:ascii="宋体"/>
                <w:bCs/>
                <w:kern w:val="0"/>
                <w:szCs w:val="22"/>
              </w:rPr>
            </w:pPr>
            <w:r>
              <w:rPr>
                <w:rFonts w:hint="eastAsia" w:ascii="宋体"/>
                <w:bCs/>
                <w:kern w:val="0"/>
                <w:szCs w:val="22"/>
              </w:rPr>
              <w:t>4</w:t>
            </w:r>
          </w:p>
        </w:tc>
      </w:tr>
      <w:tr w14:paraId="24A03D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57" w:type="dxa"/>
            <w:right w:w="108" w:type="dxa"/>
          </w:tblCellMar>
        </w:tblPrEx>
        <w:trPr>
          <w:trHeight w:val="20" w:hRule="atLeast"/>
          <w:jc w:val="center"/>
        </w:trPr>
        <w:tc>
          <w:tcPr>
            <w:tcW w:w="331" w:type="pct"/>
            <w:vMerge w:val="continue"/>
            <w:tcBorders>
              <w:left w:val="single" w:color="auto" w:sz="4" w:space="0"/>
              <w:right w:val="single" w:color="auto" w:sz="4" w:space="0"/>
            </w:tcBorders>
            <w:vAlign w:val="center"/>
          </w:tcPr>
          <w:p w14:paraId="0695623B">
            <w:pPr>
              <w:tabs>
                <w:tab w:val="center" w:pos="4153"/>
                <w:tab w:val="right" w:pos="8306"/>
              </w:tabs>
              <w:autoSpaceDE w:val="0"/>
              <w:autoSpaceDN w:val="0"/>
              <w:adjustRightInd w:val="0"/>
              <w:snapToGrid w:val="0"/>
              <w:jc w:val="center"/>
              <w:rPr>
                <w:rFonts w:hint="eastAsia" w:ascii="宋体" w:hAnsi="宋体"/>
                <w:bCs/>
                <w:kern w:val="0"/>
                <w:szCs w:val="22"/>
              </w:rPr>
            </w:pPr>
          </w:p>
        </w:tc>
        <w:tc>
          <w:tcPr>
            <w:tcW w:w="833" w:type="pct"/>
            <w:vMerge w:val="continue"/>
            <w:tcBorders>
              <w:left w:val="single" w:color="auto" w:sz="4" w:space="0"/>
              <w:right w:val="single" w:color="auto" w:sz="4" w:space="0"/>
            </w:tcBorders>
            <w:vAlign w:val="center"/>
          </w:tcPr>
          <w:p w14:paraId="2BE62609">
            <w:pPr>
              <w:autoSpaceDE w:val="0"/>
              <w:autoSpaceDN w:val="0"/>
              <w:adjustRightInd w:val="0"/>
              <w:snapToGrid w:val="0"/>
              <w:jc w:val="center"/>
              <w:rPr>
                <w:rFonts w:hint="eastAsia" w:ascii="宋体" w:hAnsi="宋体"/>
                <w:kern w:val="0"/>
                <w:sz w:val="22"/>
                <w:szCs w:val="22"/>
              </w:rPr>
            </w:pPr>
          </w:p>
        </w:tc>
        <w:tc>
          <w:tcPr>
            <w:tcW w:w="3464" w:type="pct"/>
            <w:tcBorders>
              <w:top w:val="single" w:color="auto" w:sz="4" w:space="0"/>
              <w:left w:val="single" w:color="auto" w:sz="4" w:space="0"/>
              <w:bottom w:val="single" w:color="auto" w:sz="4" w:space="0"/>
              <w:right w:val="single" w:color="auto" w:sz="4" w:space="0"/>
            </w:tcBorders>
            <w:vAlign w:val="center"/>
          </w:tcPr>
          <w:p w14:paraId="374DEE61">
            <w:pPr>
              <w:autoSpaceDE w:val="0"/>
              <w:autoSpaceDN w:val="0"/>
              <w:adjustRightInd w:val="0"/>
              <w:snapToGrid w:val="0"/>
              <w:jc w:val="left"/>
              <w:rPr>
                <w:rFonts w:ascii="宋体"/>
                <w:kern w:val="0"/>
                <w:szCs w:val="22"/>
              </w:rPr>
            </w:pPr>
            <w:r>
              <w:rPr>
                <w:rFonts w:hint="eastAsia" w:ascii="宋体"/>
                <w:kern w:val="0"/>
                <w:szCs w:val="22"/>
              </w:rPr>
              <w:t>6.3性能和技术设计，供应商结合项目特点，提供性能和技术方案（至少包括性能要求设计、软件技术要求设计等</w:t>
            </w:r>
            <w:r>
              <w:rPr>
                <w:rFonts w:ascii="宋体"/>
                <w:kern w:val="0"/>
                <w:szCs w:val="22"/>
              </w:rPr>
              <w:t>)</w:t>
            </w:r>
            <w:r>
              <w:rPr>
                <w:rFonts w:hint="eastAsia" w:ascii="宋体"/>
                <w:kern w:val="0"/>
                <w:szCs w:val="22"/>
              </w:rPr>
              <w:t>。</w:t>
            </w:r>
          </w:p>
          <w:p w14:paraId="43BEC12D">
            <w:pPr>
              <w:tabs>
                <w:tab w:val="center" w:pos="4153"/>
                <w:tab w:val="right" w:pos="8306"/>
              </w:tabs>
              <w:autoSpaceDE w:val="0"/>
              <w:autoSpaceDN w:val="0"/>
              <w:adjustRightInd w:val="0"/>
              <w:snapToGrid w:val="0"/>
              <w:jc w:val="left"/>
              <w:rPr>
                <w:rFonts w:ascii="宋体"/>
                <w:kern w:val="0"/>
                <w:szCs w:val="22"/>
              </w:rPr>
            </w:pPr>
            <w:r>
              <w:rPr>
                <w:rFonts w:hint="eastAsia" w:ascii="宋体"/>
                <w:kern w:val="0"/>
                <w:szCs w:val="22"/>
              </w:rPr>
              <w:t>（1）方案包含上述全部要素，内容条理性和可操作性强，科学合理，得4分；</w:t>
            </w:r>
          </w:p>
          <w:p w14:paraId="0805AF32">
            <w:pPr>
              <w:tabs>
                <w:tab w:val="center" w:pos="4153"/>
                <w:tab w:val="right" w:pos="8306"/>
              </w:tabs>
              <w:autoSpaceDE w:val="0"/>
              <w:autoSpaceDN w:val="0"/>
              <w:adjustRightInd w:val="0"/>
              <w:snapToGrid w:val="0"/>
              <w:jc w:val="left"/>
              <w:rPr>
                <w:rFonts w:ascii="宋体"/>
                <w:kern w:val="0"/>
                <w:szCs w:val="22"/>
              </w:rPr>
            </w:pPr>
            <w:r>
              <w:rPr>
                <w:rFonts w:hint="eastAsia" w:ascii="宋体"/>
                <w:kern w:val="0"/>
                <w:szCs w:val="22"/>
              </w:rPr>
              <w:t>（2）方案包含上述全部要素，内容条理性和可操作性较强、较科学合理，得3分；</w:t>
            </w:r>
          </w:p>
          <w:p w14:paraId="5D1ECE74">
            <w:pPr>
              <w:tabs>
                <w:tab w:val="center" w:pos="4153"/>
                <w:tab w:val="right" w:pos="8306"/>
              </w:tabs>
              <w:autoSpaceDE w:val="0"/>
              <w:autoSpaceDN w:val="0"/>
              <w:adjustRightInd w:val="0"/>
              <w:snapToGrid w:val="0"/>
              <w:jc w:val="left"/>
              <w:rPr>
                <w:rFonts w:ascii="宋体"/>
                <w:kern w:val="0"/>
                <w:szCs w:val="22"/>
              </w:rPr>
            </w:pPr>
            <w:r>
              <w:rPr>
                <w:rFonts w:hint="eastAsia" w:ascii="宋体"/>
                <w:kern w:val="0"/>
                <w:szCs w:val="22"/>
              </w:rPr>
              <w:t>（3）方案未包含上述全部要素，内容条理性和可操作性有欠缺，需重新补充完善，得1分；</w:t>
            </w:r>
          </w:p>
          <w:p w14:paraId="01E32850">
            <w:pPr>
              <w:tabs>
                <w:tab w:val="center" w:pos="4153"/>
                <w:tab w:val="right" w:pos="8306"/>
              </w:tabs>
              <w:autoSpaceDE w:val="0"/>
              <w:autoSpaceDN w:val="0"/>
              <w:adjustRightInd w:val="0"/>
              <w:snapToGrid w:val="0"/>
              <w:jc w:val="left"/>
              <w:rPr>
                <w:rFonts w:ascii="宋体"/>
                <w:bCs/>
                <w:kern w:val="0"/>
                <w:szCs w:val="22"/>
              </w:rPr>
            </w:pPr>
            <w:r>
              <w:rPr>
                <w:rFonts w:hint="eastAsia" w:ascii="宋体"/>
                <w:kern w:val="0"/>
                <w:szCs w:val="22"/>
              </w:rPr>
              <w:t>（4）未提供者不得分。</w:t>
            </w:r>
          </w:p>
        </w:tc>
        <w:tc>
          <w:tcPr>
            <w:tcW w:w="372" w:type="pct"/>
            <w:tcBorders>
              <w:top w:val="single" w:color="auto" w:sz="4" w:space="0"/>
              <w:left w:val="single" w:color="auto" w:sz="4" w:space="0"/>
              <w:bottom w:val="single" w:color="auto" w:sz="4" w:space="0"/>
              <w:right w:val="single" w:color="auto" w:sz="4" w:space="0"/>
            </w:tcBorders>
            <w:vAlign w:val="center"/>
          </w:tcPr>
          <w:p w14:paraId="028E3552">
            <w:pPr>
              <w:tabs>
                <w:tab w:val="center" w:pos="4153"/>
                <w:tab w:val="right" w:pos="8306"/>
              </w:tabs>
              <w:autoSpaceDE w:val="0"/>
              <w:autoSpaceDN w:val="0"/>
              <w:adjustRightInd w:val="0"/>
              <w:snapToGrid w:val="0"/>
              <w:jc w:val="center"/>
              <w:rPr>
                <w:rFonts w:ascii="宋体"/>
                <w:bCs/>
                <w:kern w:val="0"/>
                <w:szCs w:val="22"/>
              </w:rPr>
            </w:pPr>
            <w:r>
              <w:rPr>
                <w:rFonts w:hint="eastAsia" w:ascii="宋体"/>
                <w:bCs/>
                <w:kern w:val="0"/>
                <w:szCs w:val="22"/>
              </w:rPr>
              <w:t>4</w:t>
            </w:r>
          </w:p>
        </w:tc>
      </w:tr>
      <w:tr w14:paraId="3E0EAB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57" w:type="dxa"/>
            <w:right w:w="108" w:type="dxa"/>
          </w:tblCellMar>
        </w:tblPrEx>
        <w:trPr>
          <w:trHeight w:val="1470" w:hRule="atLeast"/>
          <w:jc w:val="center"/>
        </w:trPr>
        <w:tc>
          <w:tcPr>
            <w:tcW w:w="331" w:type="pct"/>
            <w:vMerge w:val="continue"/>
            <w:tcBorders>
              <w:left w:val="single" w:color="auto" w:sz="4" w:space="0"/>
              <w:right w:val="single" w:color="auto" w:sz="4" w:space="0"/>
            </w:tcBorders>
            <w:vAlign w:val="center"/>
          </w:tcPr>
          <w:p w14:paraId="325F20ED">
            <w:pPr>
              <w:tabs>
                <w:tab w:val="center" w:pos="4153"/>
                <w:tab w:val="right" w:pos="8306"/>
              </w:tabs>
              <w:autoSpaceDE w:val="0"/>
              <w:autoSpaceDN w:val="0"/>
              <w:adjustRightInd w:val="0"/>
              <w:snapToGrid w:val="0"/>
              <w:jc w:val="center"/>
              <w:rPr>
                <w:rFonts w:hint="eastAsia" w:ascii="宋体" w:hAnsi="宋体"/>
                <w:bCs/>
                <w:kern w:val="0"/>
                <w:szCs w:val="22"/>
              </w:rPr>
            </w:pPr>
          </w:p>
        </w:tc>
        <w:tc>
          <w:tcPr>
            <w:tcW w:w="833" w:type="pct"/>
            <w:vMerge w:val="continue"/>
            <w:tcBorders>
              <w:left w:val="single" w:color="auto" w:sz="4" w:space="0"/>
              <w:right w:val="single" w:color="auto" w:sz="4" w:space="0"/>
            </w:tcBorders>
            <w:vAlign w:val="center"/>
          </w:tcPr>
          <w:p w14:paraId="067EF7DF">
            <w:pPr>
              <w:autoSpaceDE w:val="0"/>
              <w:autoSpaceDN w:val="0"/>
              <w:adjustRightInd w:val="0"/>
              <w:snapToGrid w:val="0"/>
              <w:jc w:val="center"/>
              <w:rPr>
                <w:rFonts w:hint="eastAsia" w:ascii="宋体" w:hAnsi="宋体"/>
                <w:kern w:val="0"/>
                <w:sz w:val="22"/>
                <w:szCs w:val="22"/>
              </w:rPr>
            </w:pPr>
          </w:p>
        </w:tc>
        <w:tc>
          <w:tcPr>
            <w:tcW w:w="3464" w:type="pct"/>
            <w:tcBorders>
              <w:top w:val="single" w:color="auto" w:sz="4" w:space="0"/>
              <w:left w:val="single" w:color="auto" w:sz="4" w:space="0"/>
              <w:bottom w:val="single" w:color="auto" w:sz="4" w:space="0"/>
              <w:right w:val="single" w:color="auto" w:sz="4" w:space="0"/>
            </w:tcBorders>
            <w:vAlign w:val="center"/>
          </w:tcPr>
          <w:p w14:paraId="4FF7DC56">
            <w:pPr>
              <w:autoSpaceDE w:val="0"/>
              <w:autoSpaceDN w:val="0"/>
              <w:adjustRightInd w:val="0"/>
              <w:jc w:val="left"/>
              <w:rPr>
                <w:rFonts w:ascii="Lucida Sans Typewriter" w:hAnsi="Lucida Sans Typewriter" w:cs="Lucida Sans Typewriter"/>
                <w:kern w:val="0"/>
                <w:szCs w:val="21"/>
              </w:rPr>
            </w:pPr>
            <w:r>
              <w:rPr>
                <w:rFonts w:hint="eastAsia" w:ascii="宋体"/>
                <w:kern w:val="0"/>
                <w:szCs w:val="22"/>
              </w:rPr>
              <w:t>6.4实现与苏智特检综合服务云平台、电子发票业财系统的数据对接；供应商针对该项目提供详细的数据对接方案（要求设计方案详细、数据对接保证及时性和准确性，同时具备可行性）。</w:t>
            </w:r>
          </w:p>
          <w:p w14:paraId="72CC9D2A">
            <w:pPr>
              <w:tabs>
                <w:tab w:val="center" w:pos="4153"/>
                <w:tab w:val="right" w:pos="8306"/>
              </w:tabs>
              <w:autoSpaceDE w:val="0"/>
              <w:autoSpaceDN w:val="0"/>
              <w:adjustRightInd w:val="0"/>
              <w:snapToGrid w:val="0"/>
              <w:jc w:val="left"/>
              <w:rPr>
                <w:rFonts w:ascii="宋体"/>
                <w:kern w:val="0"/>
                <w:szCs w:val="22"/>
              </w:rPr>
            </w:pPr>
            <w:r>
              <w:rPr>
                <w:rFonts w:hint="eastAsia" w:ascii="宋体"/>
                <w:kern w:val="0"/>
                <w:szCs w:val="22"/>
              </w:rPr>
              <w:t>（1）方案包含上述全部要素，内容条理性和可操作性强，科学合理，得8分；</w:t>
            </w:r>
          </w:p>
          <w:p w14:paraId="2EB650DD">
            <w:pPr>
              <w:tabs>
                <w:tab w:val="center" w:pos="4153"/>
                <w:tab w:val="right" w:pos="8306"/>
              </w:tabs>
              <w:autoSpaceDE w:val="0"/>
              <w:autoSpaceDN w:val="0"/>
              <w:adjustRightInd w:val="0"/>
              <w:snapToGrid w:val="0"/>
              <w:jc w:val="left"/>
              <w:rPr>
                <w:rFonts w:ascii="宋体"/>
                <w:kern w:val="0"/>
                <w:szCs w:val="22"/>
              </w:rPr>
            </w:pPr>
            <w:r>
              <w:rPr>
                <w:rFonts w:hint="eastAsia" w:ascii="宋体"/>
                <w:kern w:val="0"/>
                <w:szCs w:val="22"/>
              </w:rPr>
              <w:t>（2）方案包含上述全部要素，内容条理性和可操作性较强、较科学合理，得5分；</w:t>
            </w:r>
          </w:p>
          <w:p w14:paraId="23490AD3">
            <w:pPr>
              <w:tabs>
                <w:tab w:val="center" w:pos="4153"/>
                <w:tab w:val="right" w:pos="8306"/>
              </w:tabs>
              <w:autoSpaceDE w:val="0"/>
              <w:autoSpaceDN w:val="0"/>
              <w:adjustRightInd w:val="0"/>
              <w:snapToGrid w:val="0"/>
              <w:jc w:val="left"/>
              <w:rPr>
                <w:rFonts w:ascii="宋体"/>
                <w:kern w:val="0"/>
                <w:szCs w:val="22"/>
              </w:rPr>
            </w:pPr>
            <w:r>
              <w:rPr>
                <w:rFonts w:hint="eastAsia" w:ascii="宋体"/>
                <w:kern w:val="0"/>
                <w:szCs w:val="22"/>
              </w:rPr>
              <w:t>（3）方案未包含上述全部要素，内容条理性和可操作性有欠缺，需重新补充完善，得2分；</w:t>
            </w:r>
          </w:p>
          <w:p w14:paraId="443100A4">
            <w:pPr>
              <w:tabs>
                <w:tab w:val="center" w:pos="4153"/>
                <w:tab w:val="right" w:pos="8306"/>
              </w:tabs>
              <w:autoSpaceDE w:val="0"/>
              <w:autoSpaceDN w:val="0"/>
              <w:adjustRightInd w:val="0"/>
              <w:snapToGrid w:val="0"/>
              <w:jc w:val="left"/>
              <w:rPr>
                <w:rFonts w:ascii="宋体"/>
                <w:bCs/>
                <w:kern w:val="0"/>
                <w:szCs w:val="22"/>
              </w:rPr>
            </w:pPr>
            <w:r>
              <w:rPr>
                <w:rFonts w:hint="eastAsia" w:ascii="宋体"/>
                <w:kern w:val="0"/>
                <w:szCs w:val="22"/>
              </w:rPr>
              <w:t>（4）未提供者不得分。</w:t>
            </w:r>
          </w:p>
        </w:tc>
        <w:tc>
          <w:tcPr>
            <w:tcW w:w="372" w:type="pct"/>
            <w:tcBorders>
              <w:top w:val="single" w:color="auto" w:sz="4" w:space="0"/>
              <w:left w:val="single" w:color="auto" w:sz="4" w:space="0"/>
              <w:bottom w:val="single" w:color="auto" w:sz="4" w:space="0"/>
              <w:right w:val="single" w:color="auto" w:sz="4" w:space="0"/>
            </w:tcBorders>
            <w:vAlign w:val="center"/>
          </w:tcPr>
          <w:p w14:paraId="26F27211">
            <w:pPr>
              <w:tabs>
                <w:tab w:val="center" w:pos="4153"/>
                <w:tab w:val="right" w:pos="8306"/>
              </w:tabs>
              <w:autoSpaceDE w:val="0"/>
              <w:autoSpaceDN w:val="0"/>
              <w:adjustRightInd w:val="0"/>
              <w:snapToGrid w:val="0"/>
              <w:jc w:val="center"/>
              <w:rPr>
                <w:rFonts w:ascii="宋体"/>
                <w:bCs/>
                <w:kern w:val="0"/>
                <w:szCs w:val="22"/>
              </w:rPr>
            </w:pPr>
            <w:r>
              <w:rPr>
                <w:rFonts w:hint="eastAsia" w:ascii="宋体"/>
                <w:bCs/>
                <w:kern w:val="0"/>
                <w:szCs w:val="22"/>
              </w:rPr>
              <w:t>8</w:t>
            </w:r>
          </w:p>
        </w:tc>
      </w:tr>
      <w:tr w14:paraId="413182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57" w:type="dxa"/>
            <w:right w:w="108" w:type="dxa"/>
          </w:tblCellMar>
        </w:tblPrEx>
        <w:trPr>
          <w:trHeight w:val="2399" w:hRule="atLeast"/>
          <w:jc w:val="center"/>
        </w:trPr>
        <w:tc>
          <w:tcPr>
            <w:tcW w:w="331" w:type="pct"/>
            <w:vMerge w:val="continue"/>
            <w:tcBorders>
              <w:left w:val="single" w:color="auto" w:sz="4" w:space="0"/>
              <w:bottom w:val="single" w:color="auto" w:sz="4" w:space="0"/>
              <w:right w:val="single" w:color="auto" w:sz="4" w:space="0"/>
            </w:tcBorders>
            <w:vAlign w:val="center"/>
          </w:tcPr>
          <w:p w14:paraId="53D71A1B">
            <w:pPr>
              <w:tabs>
                <w:tab w:val="center" w:pos="4153"/>
                <w:tab w:val="right" w:pos="8306"/>
              </w:tabs>
              <w:autoSpaceDE w:val="0"/>
              <w:autoSpaceDN w:val="0"/>
              <w:adjustRightInd w:val="0"/>
              <w:snapToGrid w:val="0"/>
              <w:jc w:val="center"/>
              <w:rPr>
                <w:rFonts w:hint="eastAsia" w:ascii="宋体" w:hAnsi="宋体"/>
                <w:bCs/>
                <w:kern w:val="0"/>
                <w:szCs w:val="22"/>
              </w:rPr>
            </w:pPr>
          </w:p>
        </w:tc>
        <w:tc>
          <w:tcPr>
            <w:tcW w:w="833" w:type="pct"/>
            <w:vMerge w:val="continue"/>
            <w:tcBorders>
              <w:left w:val="single" w:color="auto" w:sz="4" w:space="0"/>
              <w:bottom w:val="single" w:color="auto" w:sz="4" w:space="0"/>
              <w:right w:val="single" w:color="auto" w:sz="4" w:space="0"/>
            </w:tcBorders>
            <w:vAlign w:val="center"/>
          </w:tcPr>
          <w:p w14:paraId="7E116342">
            <w:pPr>
              <w:autoSpaceDE w:val="0"/>
              <w:autoSpaceDN w:val="0"/>
              <w:adjustRightInd w:val="0"/>
              <w:snapToGrid w:val="0"/>
              <w:jc w:val="center"/>
              <w:rPr>
                <w:rFonts w:hint="eastAsia" w:ascii="宋体" w:hAnsi="宋体"/>
                <w:kern w:val="0"/>
                <w:sz w:val="22"/>
                <w:szCs w:val="22"/>
              </w:rPr>
            </w:pPr>
          </w:p>
        </w:tc>
        <w:tc>
          <w:tcPr>
            <w:tcW w:w="3464" w:type="pct"/>
            <w:tcBorders>
              <w:top w:val="single" w:color="auto" w:sz="4" w:space="0"/>
              <w:left w:val="single" w:color="auto" w:sz="4" w:space="0"/>
              <w:bottom w:val="single" w:color="auto" w:sz="4" w:space="0"/>
              <w:right w:val="single" w:color="auto" w:sz="4" w:space="0"/>
            </w:tcBorders>
            <w:vAlign w:val="center"/>
          </w:tcPr>
          <w:p w14:paraId="7C19D8ED">
            <w:pPr>
              <w:tabs>
                <w:tab w:val="center" w:pos="4153"/>
                <w:tab w:val="right" w:pos="8306"/>
              </w:tabs>
              <w:autoSpaceDE w:val="0"/>
              <w:autoSpaceDN w:val="0"/>
              <w:adjustRightInd w:val="0"/>
              <w:snapToGrid w:val="0"/>
              <w:jc w:val="left"/>
              <w:rPr>
                <w:rFonts w:ascii="宋体"/>
                <w:kern w:val="0"/>
                <w:szCs w:val="22"/>
              </w:rPr>
            </w:pPr>
            <w:r>
              <w:rPr>
                <w:rFonts w:hint="eastAsia" w:ascii="宋体"/>
                <w:kern w:val="0"/>
                <w:szCs w:val="22"/>
              </w:rPr>
              <w:t>6.5模块功能设计方案：供应商根据对本项目中应用建设部分的理解程度，针对该项目提供详细设计方案，具备相关功能模块，要求功能完整、符合采购需求。满足功能要求的得分，不满足功能要求的不得分</w:t>
            </w:r>
            <w:r>
              <w:rPr>
                <w:rFonts w:ascii="宋体"/>
                <w:kern w:val="0"/>
                <w:szCs w:val="22"/>
              </w:rPr>
              <w:t>。</w:t>
            </w:r>
          </w:p>
          <w:p w14:paraId="06A40957">
            <w:pPr>
              <w:autoSpaceDE w:val="0"/>
              <w:autoSpaceDN w:val="0"/>
              <w:adjustRightInd w:val="0"/>
              <w:jc w:val="left"/>
              <w:rPr>
                <w:rFonts w:ascii="宋体"/>
                <w:b/>
                <w:bCs/>
                <w:kern w:val="0"/>
                <w:szCs w:val="22"/>
              </w:rPr>
            </w:pPr>
            <w:r>
              <w:rPr>
                <w:rFonts w:hint="eastAsia" w:ascii="宋体"/>
                <w:b/>
                <w:bCs/>
                <w:kern w:val="0"/>
                <w:szCs w:val="22"/>
              </w:rPr>
              <w:t>6.5.1承压类计费工具（6分）</w:t>
            </w:r>
          </w:p>
          <w:p w14:paraId="5E071137">
            <w:pPr>
              <w:autoSpaceDE w:val="0"/>
              <w:autoSpaceDN w:val="0"/>
              <w:adjustRightInd w:val="0"/>
              <w:ind w:firstLine="210" w:firstLineChars="100"/>
              <w:jc w:val="left"/>
              <w:rPr>
                <w:rFonts w:ascii="宋体"/>
                <w:kern w:val="0"/>
                <w:szCs w:val="22"/>
              </w:rPr>
            </w:pPr>
            <w:r>
              <w:rPr>
                <w:rFonts w:hint="eastAsia" w:ascii="宋体"/>
                <w:kern w:val="0"/>
                <w:szCs w:val="22"/>
              </w:rPr>
              <w:t>6.5.1.1提供压力容器计费工具功能，在报告录入或者报告校核环节，提供系统自动提取和手工录入两种方式，根据技术参数、检验项目等因素实现自动计算压力容器检验费用的工具，并展示费用明细；（3分）</w:t>
            </w:r>
          </w:p>
          <w:p w14:paraId="502C572D">
            <w:pPr>
              <w:widowControl/>
              <w:ind w:firstLine="210" w:firstLineChars="100"/>
              <w:rPr>
                <w:rFonts w:ascii="宋体"/>
                <w:kern w:val="0"/>
                <w:szCs w:val="22"/>
              </w:rPr>
            </w:pPr>
            <w:r>
              <w:rPr>
                <w:rFonts w:hint="eastAsia" w:ascii="宋体"/>
                <w:kern w:val="0"/>
                <w:szCs w:val="22"/>
              </w:rPr>
              <w:t>6.5.1.2提供无损检查项目计费工具功能，根据外径、高度、厚度等技术参数、通过系统自动提取报告中的值，实现无损检查项目自动计费。（3分）</w:t>
            </w:r>
          </w:p>
          <w:p w14:paraId="50193E47">
            <w:pPr>
              <w:autoSpaceDE w:val="0"/>
              <w:autoSpaceDN w:val="0"/>
              <w:adjustRightInd w:val="0"/>
              <w:jc w:val="left"/>
              <w:rPr>
                <w:rFonts w:ascii="宋体"/>
                <w:b/>
                <w:bCs/>
                <w:kern w:val="0"/>
                <w:szCs w:val="22"/>
              </w:rPr>
            </w:pPr>
            <w:r>
              <w:rPr>
                <w:rFonts w:hint="eastAsia" w:ascii="宋体"/>
                <w:b/>
                <w:bCs/>
                <w:kern w:val="0"/>
                <w:szCs w:val="22"/>
              </w:rPr>
              <w:t>6.5.2发票管理（8分）</w:t>
            </w:r>
          </w:p>
          <w:p w14:paraId="7376F6F7">
            <w:pPr>
              <w:autoSpaceDE w:val="0"/>
              <w:autoSpaceDN w:val="0"/>
              <w:adjustRightInd w:val="0"/>
              <w:ind w:firstLine="210" w:firstLineChars="100"/>
              <w:jc w:val="left"/>
              <w:rPr>
                <w:rFonts w:ascii="宋体"/>
                <w:kern w:val="0"/>
                <w:szCs w:val="22"/>
              </w:rPr>
            </w:pPr>
            <w:r>
              <w:rPr>
                <w:rFonts w:hint="eastAsia" w:ascii="宋体"/>
                <w:kern w:val="0"/>
                <w:szCs w:val="22"/>
              </w:rPr>
              <w:t>6.5.2.1提供缴费确认开票申请功能，支持报检缴费确认环节的在线开票申请，调用数电发票接口，实现自动开票；（3分）</w:t>
            </w:r>
          </w:p>
          <w:p w14:paraId="35ED6561">
            <w:pPr>
              <w:autoSpaceDE w:val="0"/>
              <w:autoSpaceDN w:val="0"/>
              <w:adjustRightInd w:val="0"/>
              <w:ind w:firstLine="210" w:firstLineChars="100"/>
              <w:jc w:val="left"/>
              <w:rPr>
                <w:rFonts w:ascii="宋体"/>
                <w:kern w:val="0"/>
                <w:szCs w:val="22"/>
              </w:rPr>
            </w:pPr>
            <w:r>
              <w:rPr>
                <w:rFonts w:hint="eastAsia" w:ascii="宋体"/>
                <w:kern w:val="0"/>
                <w:szCs w:val="22"/>
              </w:rPr>
              <w:t>6.5.2.2提供合同协议开票申请功能，合同协议管理增加发票的在线申请，调用数电发票接口，实现自动开票；（3分）</w:t>
            </w:r>
          </w:p>
          <w:p w14:paraId="6F57199F">
            <w:pPr>
              <w:autoSpaceDE w:val="0"/>
              <w:autoSpaceDN w:val="0"/>
              <w:adjustRightInd w:val="0"/>
              <w:ind w:firstLine="210" w:firstLineChars="100"/>
              <w:jc w:val="left"/>
              <w:rPr>
                <w:rFonts w:ascii="宋体"/>
                <w:kern w:val="0"/>
                <w:szCs w:val="22"/>
              </w:rPr>
            </w:pPr>
            <w:r>
              <w:rPr>
                <w:rFonts w:hint="eastAsia" w:ascii="宋体"/>
                <w:kern w:val="0"/>
                <w:szCs w:val="22"/>
              </w:rPr>
              <w:t>6.5.2.3提供开票记录查询功能，支持在任务单缴费确认页面或任务单详情页面中查看相关发票信息；（2分）</w:t>
            </w:r>
          </w:p>
          <w:p w14:paraId="7B7ECB5D">
            <w:pPr>
              <w:autoSpaceDE w:val="0"/>
              <w:autoSpaceDN w:val="0"/>
              <w:adjustRightInd w:val="0"/>
              <w:jc w:val="left"/>
              <w:rPr>
                <w:rFonts w:ascii="宋体"/>
                <w:b/>
                <w:bCs/>
                <w:kern w:val="0"/>
                <w:szCs w:val="22"/>
              </w:rPr>
            </w:pPr>
            <w:r>
              <w:rPr>
                <w:rFonts w:hint="eastAsia" w:ascii="宋体"/>
                <w:b/>
                <w:bCs/>
                <w:kern w:val="0"/>
                <w:szCs w:val="22"/>
              </w:rPr>
              <w:t>6.5.3财务记账与对账（9分）</w:t>
            </w:r>
          </w:p>
          <w:p w14:paraId="4A4CB07C">
            <w:pPr>
              <w:autoSpaceDE w:val="0"/>
              <w:autoSpaceDN w:val="0"/>
              <w:adjustRightInd w:val="0"/>
              <w:ind w:firstLine="210" w:firstLineChars="100"/>
              <w:jc w:val="left"/>
              <w:rPr>
                <w:rFonts w:ascii="宋体"/>
                <w:kern w:val="0"/>
                <w:szCs w:val="22"/>
              </w:rPr>
            </w:pPr>
            <w:r>
              <w:rPr>
                <w:rFonts w:hint="eastAsia" w:ascii="宋体"/>
                <w:kern w:val="0"/>
                <w:szCs w:val="22"/>
              </w:rPr>
              <w:t>6.5.3.1提供人工推送功能，支持人工推送任务单数据至工行，人工推送任务单数主要包含工行对账失败任务单和历史未推送任务单；（3分）</w:t>
            </w:r>
          </w:p>
          <w:p w14:paraId="7B1B6F11">
            <w:pPr>
              <w:autoSpaceDE w:val="0"/>
              <w:autoSpaceDN w:val="0"/>
              <w:adjustRightInd w:val="0"/>
              <w:ind w:firstLine="210" w:firstLineChars="100"/>
              <w:jc w:val="left"/>
              <w:rPr>
                <w:rFonts w:ascii="宋体"/>
                <w:kern w:val="0"/>
                <w:szCs w:val="22"/>
              </w:rPr>
            </w:pPr>
            <w:r>
              <w:rPr>
                <w:rFonts w:hint="eastAsia" w:ascii="宋体"/>
                <w:kern w:val="0"/>
                <w:szCs w:val="22"/>
              </w:rPr>
              <w:t>6.5.3.2提供检验任务解绑银行自动对账信息查看功能，支持已完成对账的任务单，缴费状态变更为已缴费，从对账库删除，不再进行对账；（3分）</w:t>
            </w:r>
          </w:p>
          <w:p w14:paraId="6680E033">
            <w:pPr>
              <w:autoSpaceDE w:val="0"/>
              <w:autoSpaceDN w:val="0"/>
              <w:adjustRightInd w:val="0"/>
              <w:ind w:firstLine="210" w:firstLineChars="100"/>
              <w:jc w:val="left"/>
              <w:rPr>
                <w:rFonts w:ascii="宋体"/>
                <w:kern w:val="0"/>
                <w:szCs w:val="22"/>
              </w:rPr>
            </w:pPr>
            <w:r>
              <w:rPr>
                <w:rFonts w:hint="eastAsia" w:ascii="宋体"/>
                <w:kern w:val="0"/>
                <w:szCs w:val="22"/>
              </w:rPr>
              <w:t>6.5.3.3提供检验任务历史对账日志功能，展示最新一条推送任务信息，任务信息包含使用单位、申请单位、任务单号、业务类型、联系人、联系电话、任务单金额、收费说明、任务单备注等，同时展示该任务单历史推送记录，支持每次推送日志的查询、查看（3分）</w:t>
            </w:r>
          </w:p>
          <w:p w14:paraId="7925FCA2">
            <w:pPr>
              <w:autoSpaceDE w:val="0"/>
              <w:autoSpaceDN w:val="0"/>
              <w:adjustRightInd w:val="0"/>
              <w:jc w:val="left"/>
              <w:rPr>
                <w:rFonts w:ascii="宋体"/>
                <w:b/>
                <w:bCs/>
                <w:kern w:val="0"/>
                <w:szCs w:val="22"/>
              </w:rPr>
            </w:pPr>
            <w:r>
              <w:rPr>
                <w:rFonts w:hint="eastAsia" w:ascii="宋体"/>
                <w:b/>
                <w:bCs/>
                <w:kern w:val="0"/>
                <w:szCs w:val="22"/>
              </w:rPr>
              <w:t>6.5.4缴费管理（6分）</w:t>
            </w:r>
          </w:p>
          <w:p w14:paraId="4159D993">
            <w:pPr>
              <w:autoSpaceDE w:val="0"/>
              <w:autoSpaceDN w:val="0"/>
              <w:adjustRightInd w:val="0"/>
              <w:ind w:firstLine="210" w:firstLineChars="100"/>
              <w:jc w:val="left"/>
              <w:rPr>
                <w:rFonts w:ascii="宋体"/>
                <w:kern w:val="0"/>
                <w:szCs w:val="22"/>
              </w:rPr>
            </w:pPr>
            <w:r>
              <w:rPr>
                <w:rFonts w:hint="eastAsia" w:ascii="宋体"/>
                <w:kern w:val="0"/>
                <w:szCs w:val="22"/>
              </w:rPr>
              <w:t>6.5.4.1提供对账信息展示功能，展示自动对账信息和人工对账的信息，包含流水号、付款人、账号、收款人、账号、支付金额、支付结果等内容；（2分）</w:t>
            </w:r>
          </w:p>
          <w:p w14:paraId="2EFCA6A8">
            <w:pPr>
              <w:autoSpaceDE w:val="0"/>
              <w:autoSpaceDN w:val="0"/>
              <w:adjustRightInd w:val="0"/>
              <w:ind w:firstLine="210" w:firstLineChars="100"/>
              <w:jc w:val="left"/>
              <w:rPr>
                <w:rFonts w:ascii="宋体"/>
                <w:kern w:val="0"/>
                <w:szCs w:val="22"/>
              </w:rPr>
            </w:pPr>
            <w:r>
              <w:rPr>
                <w:rFonts w:hint="eastAsia" w:ascii="宋体"/>
                <w:kern w:val="0"/>
                <w:szCs w:val="22"/>
              </w:rPr>
              <w:t>6.5.4.2提供人工对账功能，支持对待缴费管理中的未缴费任务单进行人工对账，根据银行到账流水库进行账单信息检索，实现任务单与银行流水绑定工作。（2分）</w:t>
            </w:r>
          </w:p>
          <w:p w14:paraId="2D925519">
            <w:pPr>
              <w:autoSpaceDE w:val="0"/>
              <w:autoSpaceDN w:val="0"/>
              <w:adjustRightInd w:val="0"/>
              <w:ind w:firstLine="210" w:firstLineChars="100"/>
              <w:jc w:val="left"/>
              <w:rPr>
                <w:rFonts w:ascii="宋体"/>
                <w:kern w:val="0"/>
                <w:szCs w:val="22"/>
              </w:rPr>
            </w:pPr>
            <w:r>
              <w:rPr>
                <w:rFonts w:hint="eastAsia" w:ascii="宋体"/>
                <w:kern w:val="0"/>
                <w:szCs w:val="22"/>
              </w:rPr>
              <w:t>6.5.4.3提供解绑银行自动对账信息功能，支持对缴费管理中的已经缴费确认的任务单进行手工的对账及解绑工作；（2分）</w:t>
            </w:r>
          </w:p>
          <w:p w14:paraId="61D7604B">
            <w:pPr>
              <w:autoSpaceDE w:val="0"/>
              <w:autoSpaceDN w:val="0"/>
              <w:adjustRightInd w:val="0"/>
              <w:jc w:val="left"/>
              <w:rPr>
                <w:rFonts w:ascii="宋体"/>
                <w:b/>
                <w:bCs/>
                <w:kern w:val="0"/>
                <w:szCs w:val="22"/>
              </w:rPr>
            </w:pPr>
            <w:r>
              <w:rPr>
                <w:rFonts w:hint="eastAsia" w:ascii="宋体"/>
                <w:b/>
                <w:bCs/>
                <w:kern w:val="0"/>
                <w:szCs w:val="22"/>
              </w:rPr>
              <w:t>6.5.5管理驾驶舱（6分）</w:t>
            </w:r>
          </w:p>
          <w:p w14:paraId="1E9610A3">
            <w:pPr>
              <w:autoSpaceDE w:val="0"/>
              <w:autoSpaceDN w:val="0"/>
              <w:adjustRightInd w:val="0"/>
              <w:ind w:firstLine="210" w:firstLineChars="100"/>
              <w:jc w:val="left"/>
              <w:rPr>
                <w:rFonts w:ascii="宋体"/>
                <w:kern w:val="0"/>
                <w:szCs w:val="22"/>
              </w:rPr>
            </w:pPr>
            <w:r>
              <w:rPr>
                <w:rFonts w:hint="eastAsia" w:ascii="宋体"/>
                <w:kern w:val="0"/>
                <w:szCs w:val="22"/>
              </w:rPr>
              <w:t>6.5.5.1提供检验收入趋势分析功能，按时间维度展示检验收入，形成收入趋势图，支持法定检验、委托检验类型收入分析。（2分）</w:t>
            </w:r>
          </w:p>
          <w:p w14:paraId="7E090C8F">
            <w:pPr>
              <w:autoSpaceDE w:val="0"/>
              <w:autoSpaceDN w:val="0"/>
              <w:adjustRightInd w:val="0"/>
              <w:ind w:firstLine="210" w:firstLineChars="100"/>
              <w:jc w:val="left"/>
              <w:rPr>
                <w:rFonts w:ascii="宋体"/>
                <w:kern w:val="0"/>
                <w:szCs w:val="22"/>
              </w:rPr>
            </w:pPr>
            <w:r>
              <w:rPr>
                <w:rFonts w:hint="eastAsia" w:ascii="宋体"/>
                <w:kern w:val="0"/>
                <w:szCs w:val="22"/>
              </w:rPr>
              <w:t>6.5.5.2提供收入占比分析分析功能，从协议合同、报检受理维度统计收入金额，从网上报检、窗口报检、现场报检维度分析收入占比（2分）</w:t>
            </w:r>
          </w:p>
          <w:p w14:paraId="3C33D7DD">
            <w:pPr>
              <w:tabs>
                <w:tab w:val="center" w:pos="4153"/>
                <w:tab w:val="right" w:pos="8306"/>
              </w:tabs>
              <w:autoSpaceDE w:val="0"/>
              <w:autoSpaceDN w:val="0"/>
              <w:adjustRightInd w:val="0"/>
              <w:snapToGrid w:val="0"/>
              <w:ind w:firstLine="210" w:firstLineChars="100"/>
              <w:jc w:val="left"/>
              <w:rPr>
                <w:rFonts w:ascii="宋体"/>
                <w:kern w:val="0"/>
                <w:szCs w:val="22"/>
              </w:rPr>
            </w:pPr>
            <w:r>
              <w:rPr>
                <w:rFonts w:hint="eastAsia" w:ascii="宋体"/>
                <w:kern w:val="0"/>
                <w:szCs w:val="22"/>
              </w:rPr>
              <w:t>6.5.5.3 提供检验收费情况报表分析功能，以报表形式展现收费类型、缴费金额（2分）</w:t>
            </w:r>
          </w:p>
        </w:tc>
        <w:tc>
          <w:tcPr>
            <w:tcW w:w="372" w:type="pct"/>
            <w:tcBorders>
              <w:top w:val="single" w:color="auto" w:sz="4" w:space="0"/>
              <w:left w:val="single" w:color="auto" w:sz="4" w:space="0"/>
              <w:bottom w:val="single" w:color="auto" w:sz="4" w:space="0"/>
              <w:right w:val="single" w:color="auto" w:sz="4" w:space="0"/>
            </w:tcBorders>
            <w:vAlign w:val="center"/>
          </w:tcPr>
          <w:p w14:paraId="2BED1453">
            <w:pPr>
              <w:tabs>
                <w:tab w:val="center" w:pos="4153"/>
                <w:tab w:val="right" w:pos="8306"/>
              </w:tabs>
              <w:autoSpaceDE w:val="0"/>
              <w:autoSpaceDN w:val="0"/>
              <w:adjustRightInd w:val="0"/>
              <w:snapToGrid w:val="0"/>
              <w:jc w:val="center"/>
              <w:rPr>
                <w:rFonts w:ascii="宋体"/>
                <w:bCs/>
                <w:kern w:val="0"/>
                <w:szCs w:val="22"/>
              </w:rPr>
            </w:pPr>
            <w:r>
              <w:rPr>
                <w:rFonts w:hint="eastAsia" w:ascii="宋体"/>
                <w:bCs/>
                <w:kern w:val="0"/>
                <w:szCs w:val="22"/>
              </w:rPr>
              <w:t>35</w:t>
            </w:r>
          </w:p>
        </w:tc>
      </w:tr>
      <w:tr w14:paraId="60E49E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57" w:type="dxa"/>
            <w:right w:w="108" w:type="dxa"/>
          </w:tblCellMar>
        </w:tblPrEx>
        <w:trPr>
          <w:cantSplit/>
          <w:jc w:val="center"/>
        </w:trPr>
        <w:tc>
          <w:tcPr>
            <w:tcW w:w="5000" w:type="pct"/>
            <w:gridSpan w:val="4"/>
            <w:tcBorders>
              <w:top w:val="single" w:color="auto" w:sz="4" w:space="0"/>
              <w:left w:val="single" w:color="auto" w:sz="4" w:space="0"/>
              <w:bottom w:val="single" w:color="auto" w:sz="4" w:space="0"/>
              <w:right w:val="single" w:color="auto" w:sz="4" w:space="0"/>
            </w:tcBorders>
            <w:vAlign w:val="center"/>
          </w:tcPr>
          <w:p w14:paraId="235DCF40">
            <w:pPr>
              <w:tabs>
                <w:tab w:val="center" w:pos="4153"/>
                <w:tab w:val="right" w:pos="8306"/>
              </w:tabs>
              <w:autoSpaceDE w:val="0"/>
              <w:autoSpaceDN w:val="0"/>
              <w:adjustRightInd w:val="0"/>
              <w:snapToGrid w:val="0"/>
              <w:jc w:val="left"/>
              <w:rPr>
                <w:rFonts w:hint="eastAsia" w:ascii="宋体" w:hAnsi="宋体"/>
                <w:b/>
                <w:bCs/>
                <w:kern w:val="0"/>
                <w:szCs w:val="22"/>
              </w:rPr>
            </w:pPr>
            <w:r>
              <w:rPr>
                <w:rFonts w:hint="eastAsia" w:ascii="宋体" w:hAnsi="宋体"/>
                <w:b/>
                <w:bCs/>
                <w:kern w:val="0"/>
                <w:szCs w:val="22"/>
              </w:rPr>
              <w:t>四、项目实施及售后服务方案（满分5分）</w:t>
            </w:r>
          </w:p>
        </w:tc>
      </w:tr>
      <w:tr w14:paraId="685776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57" w:type="dxa"/>
            <w:right w:w="108" w:type="dxa"/>
          </w:tblCellMar>
        </w:tblPrEx>
        <w:trPr>
          <w:trHeight w:val="468" w:hRule="atLeast"/>
          <w:jc w:val="center"/>
        </w:trPr>
        <w:tc>
          <w:tcPr>
            <w:tcW w:w="331" w:type="pct"/>
            <w:tcBorders>
              <w:top w:val="single" w:color="auto" w:sz="4" w:space="0"/>
              <w:left w:val="single" w:color="auto" w:sz="4" w:space="0"/>
              <w:bottom w:val="single" w:color="auto" w:sz="4" w:space="0"/>
              <w:right w:val="single" w:color="auto" w:sz="4" w:space="0"/>
            </w:tcBorders>
            <w:vAlign w:val="center"/>
          </w:tcPr>
          <w:p w14:paraId="3DA041BA">
            <w:pPr>
              <w:tabs>
                <w:tab w:val="center" w:pos="4153"/>
                <w:tab w:val="right" w:pos="8306"/>
              </w:tabs>
              <w:autoSpaceDE w:val="0"/>
              <w:autoSpaceDN w:val="0"/>
              <w:adjustRightInd w:val="0"/>
              <w:snapToGrid w:val="0"/>
              <w:jc w:val="center"/>
              <w:rPr>
                <w:rFonts w:hint="eastAsia" w:ascii="宋体" w:hAnsi="宋体"/>
                <w:bCs/>
                <w:kern w:val="0"/>
                <w:szCs w:val="22"/>
              </w:rPr>
            </w:pPr>
            <w:r>
              <w:rPr>
                <w:rFonts w:hint="eastAsia" w:ascii="宋体" w:hAnsi="宋体"/>
                <w:bCs/>
                <w:kern w:val="0"/>
                <w:szCs w:val="22"/>
              </w:rPr>
              <w:t>7</w:t>
            </w:r>
          </w:p>
        </w:tc>
        <w:tc>
          <w:tcPr>
            <w:tcW w:w="833" w:type="pct"/>
            <w:tcBorders>
              <w:top w:val="single" w:color="auto" w:sz="4" w:space="0"/>
              <w:left w:val="single" w:color="auto" w:sz="4" w:space="0"/>
              <w:bottom w:val="single" w:color="auto" w:sz="4" w:space="0"/>
              <w:right w:val="single" w:color="auto" w:sz="4" w:space="0"/>
            </w:tcBorders>
            <w:vAlign w:val="center"/>
          </w:tcPr>
          <w:p w14:paraId="48065822">
            <w:pPr>
              <w:tabs>
                <w:tab w:val="center" w:pos="4153"/>
                <w:tab w:val="right" w:pos="8306"/>
              </w:tabs>
              <w:autoSpaceDE w:val="0"/>
              <w:autoSpaceDN w:val="0"/>
              <w:adjustRightInd w:val="0"/>
              <w:snapToGrid w:val="0"/>
              <w:jc w:val="left"/>
              <w:rPr>
                <w:rFonts w:ascii="宋体"/>
                <w:bCs/>
                <w:kern w:val="0"/>
                <w:szCs w:val="22"/>
              </w:rPr>
            </w:pPr>
            <w:r>
              <w:rPr>
                <w:rFonts w:hint="eastAsia" w:ascii="宋体"/>
                <w:kern w:val="0"/>
                <w:szCs w:val="22"/>
              </w:rPr>
              <w:t>组织实施(</w:t>
            </w:r>
            <w:r>
              <w:rPr>
                <w:rFonts w:hint="eastAsia" w:ascii="宋体"/>
                <w:bCs/>
                <w:kern w:val="0"/>
                <w:szCs w:val="22"/>
              </w:rPr>
              <w:t>2</w:t>
            </w:r>
            <w:r>
              <w:rPr>
                <w:rFonts w:hint="eastAsia" w:ascii="宋体"/>
                <w:kern w:val="0"/>
                <w:szCs w:val="22"/>
              </w:rPr>
              <w:t>分)</w:t>
            </w:r>
          </w:p>
        </w:tc>
        <w:tc>
          <w:tcPr>
            <w:tcW w:w="3464" w:type="pct"/>
            <w:tcBorders>
              <w:top w:val="single" w:color="auto" w:sz="4" w:space="0"/>
              <w:left w:val="single" w:color="auto" w:sz="4" w:space="0"/>
              <w:bottom w:val="single" w:color="auto" w:sz="4" w:space="0"/>
              <w:right w:val="single" w:color="auto" w:sz="4" w:space="0"/>
            </w:tcBorders>
          </w:tcPr>
          <w:p w14:paraId="366FE8D8">
            <w:pPr>
              <w:autoSpaceDE w:val="0"/>
              <w:autoSpaceDN w:val="0"/>
              <w:adjustRightInd w:val="0"/>
              <w:snapToGrid w:val="0"/>
              <w:jc w:val="left"/>
              <w:rPr>
                <w:rFonts w:ascii="宋体"/>
                <w:kern w:val="0"/>
                <w:szCs w:val="22"/>
              </w:rPr>
            </w:pPr>
            <w:r>
              <w:rPr>
                <w:rFonts w:hint="eastAsia" w:ascii="宋体"/>
                <w:kern w:val="0"/>
                <w:szCs w:val="22"/>
              </w:rPr>
              <w:t>针对供应商项目团队组织、人员安排、进度计划、工作机制及流程等方面。</w:t>
            </w:r>
          </w:p>
          <w:p w14:paraId="7E446DCC">
            <w:pPr>
              <w:autoSpaceDE w:val="0"/>
              <w:autoSpaceDN w:val="0"/>
              <w:adjustRightInd w:val="0"/>
              <w:snapToGrid w:val="0"/>
              <w:jc w:val="left"/>
              <w:rPr>
                <w:rFonts w:ascii="宋体"/>
                <w:kern w:val="0"/>
                <w:szCs w:val="22"/>
              </w:rPr>
            </w:pPr>
            <w:r>
              <w:rPr>
                <w:rFonts w:hint="eastAsia" w:ascii="宋体"/>
                <w:kern w:val="0"/>
                <w:szCs w:val="22"/>
              </w:rPr>
              <w:t>（1）方案包含上述全部要素，内容条理性和可操作性强，科学合理，得</w:t>
            </w:r>
            <w:r>
              <w:rPr>
                <w:rFonts w:ascii="宋体"/>
                <w:kern w:val="0"/>
                <w:szCs w:val="22"/>
              </w:rPr>
              <w:t>2</w:t>
            </w:r>
            <w:r>
              <w:rPr>
                <w:rFonts w:hint="eastAsia" w:ascii="宋体"/>
                <w:kern w:val="0"/>
                <w:szCs w:val="22"/>
              </w:rPr>
              <w:t>分；</w:t>
            </w:r>
          </w:p>
          <w:p w14:paraId="22352851">
            <w:pPr>
              <w:autoSpaceDE w:val="0"/>
              <w:autoSpaceDN w:val="0"/>
              <w:adjustRightInd w:val="0"/>
              <w:snapToGrid w:val="0"/>
              <w:jc w:val="left"/>
              <w:rPr>
                <w:rFonts w:ascii="宋体"/>
                <w:kern w:val="0"/>
                <w:szCs w:val="22"/>
              </w:rPr>
            </w:pPr>
            <w:r>
              <w:rPr>
                <w:rFonts w:hint="eastAsia" w:ascii="宋体"/>
                <w:kern w:val="0"/>
                <w:szCs w:val="22"/>
              </w:rPr>
              <w:t>（2）方案包含上述全部要素，内容条理性和可操作性较强、较科学合理，得</w:t>
            </w:r>
            <w:r>
              <w:rPr>
                <w:rFonts w:ascii="宋体"/>
                <w:kern w:val="0"/>
                <w:szCs w:val="22"/>
              </w:rPr>
              <w:t>1</w:t>
            </w:r>
            <w:r>
              <w:rPr>
                <w:rFonts w:hint="eastAsia" w:ascii="宋体"/>
                <w:kern w:val="0"/>
                <w:szCs w:val="22"/>
              </w:rPr>
              <w:t>分；</w:t>
            </w:r>
          </w:p>
          <w:p w14:paraId="6C5872FB">
            <w:pPr>
              <w:autoSpaceDE w:val="0"/>
              <w:autoSpaceDN w:val="0"/>
              <w:adjustRightInd w:val="0"/>
              <w:snapToGrid w:val="0"/>
              <w:jc w:val="left"/>
              <w:rPr>
                <w:rFonts w:ascii="宋体"/>
                <w:bCs/>
                <w:kern w:val="0"/>
                <w:szCs w:val="22"/>
              </w:rPr>
            </w:pPr>
            <w:r>
              <w:rPr>
                <w:rFonts w:hint="eastAsia" w:ascii="宋体"/>
                <w:kern w:val="0"/>
                <w:szCs w:val="22"/>
              </w:rPr>
              <w:t>（</w:t>
            </w:r>
            <w:r>
              <w:rPr>
                <w:rFonts w:ascii="宋体"/>
                <w:kern w:val="0"/>
                <w:szCs w:val="22"/>
              </w:rPr>
              <w:t>3</w:t>
            </w:r>
            <w:r>
              <w:rPr>
                <w:rFonts w:hint="eastAsia" w:ascii="宋体"/>
                <w:kern w:val="0"/>
                <w:szCs w:val="22"/>
              </w:rPr>
              <w:t>）其他或未提供者不得分。</w:t>
            </w:r>
          </w:p>
        </w:tc>
        <w:tc>
          <w:tcPr>
            <w:tcW w:w="372" w:type="pct"/>
            <w:tcBorders>
              <w:top w:val="single" w:color="auto" w:sz="4" w:space="0"/>
              <w:left w:val="single" w:color="auto" w:sz="4" w:space="0"/>
              <w:bottom w:val="single" w:color="auto" w:sz="4" w:space="0"/>
              <w:right w:val="single" w:color="auto" w:sz="4" w:space="0"/>
            </w:tcBorders>
            <w:vAlign w:val="center"/>
          </w:tcPr>
          <w:p w14:paraId="183FF2EF">
            <w:pPr>
              <w:tabs>
                <w:tab w:val="center" w:pos="4153"/>
                <w:tab w:val="right" w:pos="8306"/>
              </w:tabs>
              <w:autoSpaceDE w:val="0"/>
              <w:autoSpaceDN w:val="0"/>
              <w:adjustRightInd w:val="0"/>
              <w:snapToGrid w:val="0"/>
              <w:jc w:val="center"/>
              <w:rPr>
                <w:rFonts w:ascii="宋体"/>
                <w:bCs/>
                <w:kern w:val="0"/>
                <w:szCs w:val="22"/>
              </w:rPr>
            </w:pPr>
            <w:r>
              <w:rPr>
                <w:rFonts w:hint="eastAsia" w:ascii="宋体"/>
                <w:bCs/>
                <w:kern w:val="0"/>
                <w:szCs w:val="22"/>
              </w:rPr>
              <w:t>2</w:t>
            </w:r>
          </w:p>
        </w:tc>
      </w:tr>
      <w:tr w14:paraId="64A514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57" w:type="dxa"/>
            <w:right w:w="108" w:type="dxa"/>
          </w:tblCellMar>
        </w:tblPrEx>
        <w:trPr>
          <w:trHeight w:val="601" w:hRule="atLeast"/>
          <w:jc w:val="center"/>
        </w:trPr>
        <w:tc>
          <w:tcPr>
            <w:tcW w:w="331" w:type="pct"/>
            <w:tcBorders>
              <w:top w:val="single" w:color="auto" w:sz="4" w:space="0"/>
              <w:left w:val="single" w:color="auto" w:sz="4" w:space="0"/>
              <w:bottom w:val="single" w:color="auto" w:sz="4" w:space="0"/>
              <w:right w:val="single" w:color="auto" w:sz="4" w:space="0"/>
            </w:tcBorders>
            <w:vAlign w:val="center"/>
          </w:tcPr>
          <w:p w14:paraId="7E5A4431">
            <w:pPr>
              <w:tabs>
                <w:tab w:val="center" w:pos="4153"/>
                <w:tab w:val="right" w:pos="8306"/>
              </w:tabs>
              <w:autoSpaceDE w:val="0"/>
              <w:autoSpaceDN w:val="0"/>
              <w:adjustRightInd w:val="0"/>
              <w:snapToGrid w:val="0"/>
              <w:jc w:val="center"/>
              <w:rPr>
                <w:rFonts w:hint="eastAsia" w:ascii="宋体" w:hAnsi="宋体"/>
                <w:bCs/>
                <w:kern w:val="0"/>
                <w:szCs w:val="22"/>
              </w:rPr>
            </w:pPr>
            <w:r>
              <w:rPr>
                <w:rFonts w:hint="eastAsia" w:ascii="宋体" w:hAnsi="宋体"/>
                <w:bCs/>
                <w:kern w:val="0"/>
                <w:szCs w:val="22"/>
              </w:rPr>
              <w:t>8</w:t>
            </w:r>
          </w:p>
        </w:tc>
        <w:tc>
          <w:tcPr>
            <w:tcW w:w="833" w:type="pct"/>
            <w:tcBorders>
              <w:top w:val="single" w:color="auto" w:sz="4" w:space="0"/>
              <w:left w:val="single" w:color="auto" w:sz="4" w:space="0"/>
              <w:bottom w:val="single" w:color="auto" w:sz="4" w:space="0"/>
              <w:right w:val="single" w:color="auto" w:sz="4" w:space="0"/>
            </w:tcBorders>
            <w:vAlign w:val="center"/>
          </w:tcPr>
          <w:p w14:paraId="67F704F5">
            <w:pPr>
              <w:tabs>
                <w:tab w:val="center" w:pos="4153"/>
                <w:tab w:val="right" w:pos="8306"/>
              </w:tabs>
              <w:autoSpaceDE w:val="0"/>
              <w:autoSpaceDN w:val="0"/>
              <w:adjustRightInd w:val="0"/>
              <w:snapToGrid w:val="0"/>
              <w:jc w:val="left"/>
              <w:rPr>
                <w:rFonts w:ascii="宋体"/>
                <w:bCs/>
                <w:kern w:val="0"/>
                <w:szCs w:val="22"/>
              </w:rPr>
            </w:pPr>
            <w:r>
              <w:rPr>
                <w:rFonts w:hint="eastAsia" w:ascii="宋体"/>
                <w:kern w:val="0"/>
                <w:szCs w:val="22"/>
              </w:rPr>
              <w:t>培训方案(</w:t>
            </w:r>
            <w:r>
              <w:rPr>
                <w:rFonts w:hint="eastAsia" w:ascii="宋体"/>
                <w:bCs/>
                <w:kern w:val="0"/>
                <w:szCs w:val="22"/>
              </w:rPr>
              <w:t>1</w:t>
            </w:r>
            <w:r>
              <w:rPr>
                <w:rFonts w:hint="eastAsia" w:ascii="宋体"/>
                <w:kern w:val="0"/>
                <w:szCs w:val="22"/>
              </w:rPr>
              <w:t>分)</w:t>
            </w:r>
          </w:p>
        </w:tc>
        <w:tc>
          <w:tcPr>
            <w:tcW w:w="3464" w:type="pct"/>
            <w:tcBorders>
              <w:top w:val="single" w:color="auto" w:sz="4" w:space="0"/>
              <w:left w:val="single" w:color="auto" w:sz="4" w:space="0"/>
              <w:bottom w:val="single" w:color="auto" w:sz="4" w:space="0"/>
              <w:right w:val="single" w:color="auto" w:sz="4" w:space="0"/>
            </w:tcBorders>
          </w:tcPr>
          <w:p w14:paraId="0A862045">
            <w:pPr>
              <w:autoSpaceDE w:val="0"/>
              <w:autoSpaceDN w:val="0"/>
              <w:adjustRightInd w:val="0"/>
              <w:snapToGrid w:val="0"/>
              <w:jc w:val="left"/>
              <w:rPr>
                <w:rFonts w:ascii="宋体"/>
                <w:kern w:val="0"/>
                <w:szCs w:val="22"/>
              </w:rPr>
            </w:pPr>
            <w:r>
              <w:rPr>
                <w:rFonts w:hint="eastAsia" w:ascii="宋体"/>
                <w:kern w:val="0"/>
                <w:szCs w:val="22"/>
              </w:rPr>
              <w:t>要求针对本项目做出完整详细的培训目标、任务、计划、组织等实施方案。</w:t>
            </w:r>
          </w:p>
          <w:p w14:paraId="5690B4CE">
            <w:pPr>
              <w:autoSpaceDE w:val="0"/>
              <w:autoSpaceDN w:val="0"/>
              <w:adjustRightInd w:val="0"/>
              <w:snapToGrid w:val="0"/>
              <w:jc w:val="left"/>
              <w:rPr>
                <w:rFonts w:ascii="宋体"/>
                <w:kern w:val="0"/>
                <w:szCs w:val="22"/>
              </w:rPr>
            </w:pPr>
            <w:r>
              <w:rPr>
                <w:rFonts w:hint="eastAsia" w:ascii="宋体"/>
                <w:kern w:val="0"/>
                <w:szCs w:val="22"/>
              </w:rPr>
              <w:t>（1）方案包含上述全部要素，内容条理性和可操作性较强、较科学合理，得1分；</w:t>
            </w:r>
          </w:p>
          <w:p w14:paraId="08753674">
            <w:pPr>
              <w:autoSpaceDE w:val="0"/>
              <w:autoSpaceDN w:val="0"/>
              <w:adjustRightInd w:val="0"/>
              <w:snapToGrid w:val="0"/>
              <w:jc w:val="left"/>
              <w:rPr>
                <w:rFonts w:ascii="宋体"/>
                <w:kern w:val="0"/>
                <w:szCs w:val="22"/>
              </w:rPr>
            </w:pPr>
            <w:r>
              <w:rPr>
                <w:rFonts w:hint="eastAsia" w:ascii="宋体"/>
                <w:kern w:val="0"/>
                <w:szCs w:val="22"/>
              </w:rPr>
              <w:t>（2）其他或未提供者不得分。</w:t>
            </w:r>
          </w:p>
        </w:tc>
        <w:tc>
          <w:tcPr>
            <w:tcW w:w="372" w:type="pct"/>
            <w:tcBorders>
              <w:top w:val="single" w:color="auto" w:sz="4" w:space="0"/>
              <w:left w:val="single" w:color="auto" w:sz="4" w:space="0"/>
              <w:bottom w:val="single" w:color="auto" w:sz="4" w:space="0"/>
              <w:right w:val="single" w:color="auto" w:sz="4" w:space="0"/>
            </w:tcBorders>
            <w:vAlign w:val="center"/>
          </w:tcPr>
          <w:p w14:paraId="13B6BE09">
            <w:pPr>
              <w:tabs>
                <w:tab w:val="center" w:pos="4153"/>
                <w:tab w:val="right" w:pos="8306"/>
              </w:tabs>
              <w:autoSpaceDE w:val="0"/>
              <w:autoSpaceDN w:val="0"/>
              <w:adjustRightInd w:val="0"/>
              <w:snapToGrid w:val="0"/>
              <w:jc w:val="center"/>
              <w:rPr>
                <w:rFonts w:ascii="宋体"/>
                <w:bCs/>
                <w:kern w:val="0"/>
                <w:szCs w:val="22"/>
              </w:rPr>
            </w:pPr>
            <w:r>
              <w:rPr>
                <w:rFonts w:hint="eastAsia" w:ascii="宋体"/>
                <w:bCs/>
                <w:kern w:val="0"/>
                <w:szCs w:val="22"/>
              </w:rPr>
              <w:t>1</w:t>
            </w:r>
          </w:p>
        </w:tc>
      </w:tr>
      <w:tr w14:paraId="5D9BDE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57" w:type="dxa"/>
            <w:right w:w="108" w:type="dxa"/>
          </w:tblCellMar>
        </w:tblPrEx>
        <w:trPr>
          <w:trHeight w:val="20" w:hRule="atLeast"/>
          <w:jc w:val="center"/>
        </w:trPr>
        <w:tc>
          <w:tcPr>
            <w:tcW w:w="331" w:type="pct"/>
            <w:tcBorders>
              <w:top w:val="single" w:color="auto" w:sz="4" w:space="0"/>
              <w:left w:val="single" w:color="auto" w:sz="4" w:space="0"/>
              <w:right w:val="single" w:color="auto" w:sz="4" w:space="0"/>
            </w:tcBorders>
            <w:vAlign w:val="center"/>
          </w:tcPr>
          <w:p w14:paraId="2C00B8BB">
            <w:pPr>
              <w:tabs>
                <w:tab w:val="center" w:pos="4153"/>
                <w:tab w:val="right" w:pos="8306"/>
              </w:tabs>
              <w:autoSpaceDE w:val="0"/>
              <w:autoSpaceDN w:val="0"/>
              <w:adjustRightInd w:val="0"/>
              <w:snapToGrid w:val="0"/>
              <w:jc w:val="center"/>
              <w:rPr>
                <w:rFonts w:hint="eastAsia" w:ascii="宋体" w:hAnsi="宋体"/>
                <w:bCs/>
                <w:kern w:val="0"/>
                <w:szCs w:val="22"/>
              </w:rPr>
            </w:pPr>
            <w:r>
              <w:rPr>
                <w:rFonts w:hint="eastAsia" w:ascii="宋体" w:hAnsi="宋体"/>
                <w:bCs/>
                <w:kern w:val="0"/>
                <w:szCs w:val="22"/>
              </w:rPr>
              <w:t>9</w:t>
            </w:r>
          </w:p>
        </w:tc>
        <w:tc>
          <w:tcPr>
            <w:tcW w:w="833" w:type="pct"/>
            <w:tcBorders>
              <w:top w:val="single" w:color="auto" w:sz="4" w:space="0"/>
              <w:left w:val="single" w:color="auto" w:sz="4" w:space="0"/>
              <w:right w:val="single" w:color="auto" w:sz="4" w:space="0"/>
            </w:tcBorders>
            <w:vAlign w:val="center"/>
          </w:tcPr>
          <w:p w14:paraId="32BBB9DF">
            <w:pPr>
              <w:tabs>
                <w:tab w:val="center" w:pos="4153"/>
                <w:tab w:val="right" w:pos="8306"/>
              </w:tabs>
              <w:autoSpaceDE w:val="0"/>
              <w:autoSpaceDN w:val="0"/>
              <w:adjustRightInd w:val="0"/>
              <w:snapToGrid w:val="0"/>
              <w:jc w:val="left"/>
              <w:rPr>
                <w:rFonts w:ascii="宋体"/>
                <w:bCs/>
                <w:kern w:val="0"/>
                <w:szCs w:val="22"/>
              </w:rPr>
            </w:pPr>
            <w:r>
              <w:rPr>
                <w:rFonts w:hint="eastAsia" w:ascii="宋体"/>
                <w:kern w:val="0"/>
                <w:szCs w:val="22"/>
              </w:rPr>
              <w:t>售后服务(</w:t>
            </w:r>
            <w:r>
              <w:rPr>
                <w:rFonts w:hint="eastAsia" w:ascii="宋体"/>
                <w:bCs/>
                <w:kern w:val="0"/>
                <w:szCs w:val="22"/>
              </w:rPr>
              <w:t>2</w:t>
            </w:r>
            <w:r>
              <w:rPr>
                <w:rFonts w:hint="eastAsia" w:ascii="宋体"/>
                <w:kern w:val="0"/>
                <w:szCs w:val="22"/>
              </w:rPr>
              <w:t>分)</w:t>
            </w:r>
          </w:p>
        </w:tc>
        <w:tc>
          <w:tcPr>
            <w:tcW w:w="3464" w:type="pct"/>
            <w:tcBorders>
              <w:top w:val="single" w:color="auto" w:sz="4" w:space="0"/>
              <w:left w:val="single" w:color="auto" w:sz="4" w:space="0"/>
              <w:bottom w:val="single" w:color="auto" w:sz="4" w:space="0"/>
              <w:right w:val="single" w:color="auto" w:sz="4" w:space="0"/>
            </w:tcBorders>
          </w:tcPr>
          <w:p w14:paraId="66D674FA">
            <w:pPr>
              <w:autoSpaceDE w:val="0"/>
              <w:autoSpaceDN w:val="0"/>
              <w:adjustRightInd w:val="0"/>
              <w:snapToGrid w:val="0"/>
              <w:jc w:val="left"/>
              <w:rPr>
                <w:rFonts w:ascii="宋体"/>
                <w:kern w:val="0"/>
                <w:szCs w:val="22"/>
                <w:lang w:val="zh-CN"/>
              </w:rPr>
            </w:pPr>
            <w:r>
              <w:rPr>
                <w:rFonts w:hint="eastAsia" w:ascii="宋体"/>
                <w:kern w:val="0"/>
                <w:szCs w:val="22"/>
                <w:lang w:val="zh-CN"/>
              </w:rPr>
              <w:t>售后服务方案：供应商具有完善的售后服务保障体系，并针对本项目有详细的运行维护与售后服务方案。</w:t>
            </w:r>
          </w:p>
          <w:p w14:paraId="4C529A46">
            <w:pPr>
              <w:autoSpaceDE w:val="0"/>
              <w:autoSpaceDN w:val="0"/>
              <w:adjustRightInd w:val="0"/>
              <w:snapToGrid w:val="0"/>
              <w:jc w:val="left"/>
              <w:rPr>
                <w:rFonts w:ascii="宋体"/>
                <w:kern w:val="0"/>
                <w:szCs w:val="22"/>
              </w:rPr>
            </w:pPr>
            <w:r>
              <w:rPr>
                <w:rFonts w:hint="eastAsia" w:ascii="宋体"/>
                <w:kern w:val="0"/>
                <w:szCs w:val="22"/>
              </w:rPr>
              <w:t>（1）方案包含上述全部要素，内容条理性和可操作性强，科学合理，得2分；</w:t>
            </w:r>
          </w:p>
          <w:p w14:paraId="17F54826">
            <w:pPr>
              <w:autoSpaceDE w:val="0"/>
              <w:autoSpaceDN w:val="0"/>
              <w:adjustRightInd w:val="0"/>
              <w:snapToGrid w:val="0"/>
              <w:jc w:val="left"/>
              <w:rPr>
                <w:rFonts w:ascii="宋体"/>
                <w:kern w:val="0"/>
                <w:szCs w:val="22"/>
              </w:rPr>
            </w:pPr>
            <w:r>
              <w:rPr>
                <w:rFonts w:hint="eastAsia" w:ascii="宋体"/>
                <w:kern w:val="0"/>
                <w:szCs w:val="22"/>
              </w:rPr>
              <w:t>（2）方案包含上述全部要素，内容条理性和可操作性较强、较科学合理，得1分；</w:t>
            </w:r>
          </w:p>
          <w:p w14:paraId="37DD8FAE">
            <w:pPr>
              <w:autoSpaceDE w:val="0"/>
              <w:autoSpaceDN w:val="0"/>
              <w:adjustRightInd w:val="0"/>
              <w:snapToGrid w:val="0"/>
              <w:jc w:val="left"/>
              <w:rPr>
                <w:rFonts w:ascii="宋体"/>
                <w:bCs/>
                <w:kern w:val="0"/>
                <w:szCs w:val="22"/>
              </w:rPr>
            </w:pPr>
            <w:r>
              <w:rPr>
                <w:rFonts w:hint="eastAsia" w:ascii="宋体"/>
                <w:kern w:val="0"/>
                <w:szCs w:val="22"/>
              </w:rPr>
              <w:t>（3）其他或未提供者不得分。</w:t>
            </w:r>
          </w:p>
        </w:tc>
        <w:tc>
          <w:tcPr>
            <w:tcW w:w="372" w:type="pct"/>
            <w:tcBorders>
              <w:top w:val="single" w:color="auto" w:sz="4" w:space="0"/>
              <w:left w:val="single" w:color="auto" w:sz="4" w:space="0"/>
              <w:right w:val="single" w:color="auto" w:sz="4" w:space="0"/>
            </w:tcBorders>
            <w:vAlign w:val="center"/>
          </w:tcPr>
          <w:p w14:paraId="49DDD0B0">
            <w:pPr>
              <w:tabs>
                <w:tab w:val="center" w:pos="4153"/>
                <w:tab w:val="right" w:pos="8306"/>
              </w:tabs>
              <w:autoSpaceDE w:val="0"/>
              <w:autoSpaceDN w:val="0"/>
              <w:adjustRightInd w:val="0"/>
              <w:snapToGrid w:val="0"/>
              <w:jc w:val="center"/>
              <w:rPr>
                <w:rFonts w:ascii="宋体"/>
                <w:bCs/>
                <w:kern w:val="0"/>
                <w:szCs w:val="22"/>
              </w:rPr>
            </w:pPr>
            <w:r>
              <w:rPr>
                <w:rFonts w:hint="eastAsia" w:ascii="宋体"/>
                <w:bCs/>
                <w:kern w:val="0"/>
                <w:szCs w:val="22"/>
              </w:rPr>
              <w:t>2</w:t>
            </w:r>
          </w:p>
        </w:tc>
      </w:tr>
    </w:tbl>
    <w:p w14:paraId="3FC3447F">
      <w:pPr>
        <w:adjustRightInd w:val="0"/>
        <w:spacing w:before="120" w:after="120" w:line="360" w:lineRule="auto"/>
        <w:jc w:val="left"/>
        <w:textAlignment w:val="baseline"/>
        <w:rPr>
          <w:rFonts w:ascii="Arial" w:hAnsi="Arial" w:cs="Arial"/>
          <w:kern w:val="0"/>
          <w:sz w:val="24"/>
        </w:rPr>
      </w:pPr>
      <w:r>
        <w:rPr>
          <w:rFonts w:hint="eastAsia" w:ascii="Arial" w:hAnsi="Arial" w:cs="Arial"/>
          <w:kern w:val="0"/>
          <w:sz w:val="24"/>
        </w:rPr>
        <w:t>说明：</w:t>
      </w:r>
    </w:p>
    <w:p w14:paraId="41278A4A">
      <w:pPr>
        <w:adjustRightInd w:val="0"/>
        <w:spacing w:before="120" w:after="120" w:line="360" w:lineRule="auto"/>
        <w:jc w:val="left"/>
        <w:textAlignment w:val="baseline"/>
        <w:rPr>
          <w:rFonts w:ascii="Arial" w:hAnsi="Arial" w:cs="Arial"/>
          <w:kern w:val="0"/>
          <w:sz w:val="24"/>
        </w:rPr>
      </w:pPr>
      <w:r>
        <w:rPr>
          <w:rFonts w:hint="eastAsia" w:ascii="Arial" w:hAnsi="Arial" w:cs="Arial"/>
          <w:kern w:val="0"/>
          <w:sz w:val="24"/>
        </w:rPr>
        <w:t>1、小微型企业价格扣除</w:t>
      </w:r>
    </w:p>
    <w:p w14:paraId="24F0FDAB">
      <w:pPr>
        <w:adjustRightInd w:val="0"/>
        <w:spacing w:before="120" w:after="120" w:line="360" w:lineRule="auto"/>
        <w:ind w:firstLine="480" w:firstLineChars="200"/>
        <w:jc w:val="left"/>
        <w:textAlignment w:val="baseline"/>
        <w:rPr>
          <w:rFonts w:ascii="宋体" w:hAnsi="Arial"/>
          <w:sz w:val="24"/>
        </w:rPr>
      </w:pPr>
      <w:r>
        <w:rPr>
          <w:rFonts w:hint="eastAsia" w:ascii="宋体" w:hAnsi="Arial"/>
          <w:sz w:val="24"/>
        </w:rPr>
        <w:t>（1）对小型和微型企业提供的产品（或服务）在价格上给予10%的扣除，工程项目为5%的扣除，用扣除后的价格参与评审。</w:t>
      </w:r>
    </w:p>
    <w:p w14:paraId="4C405938">
      <w:pPr>
        <w:adjustRightInd w:val="0"/>
        <w:spacing w:before="120" w:after="120" w:line="360" w:lineRule="auto"/>
        <w:ind w:firstLine="480" w:firstLineChars="200"/>
        <w:jc w:val="left"/>
        <w:textAlignment w:val="baseline"/>
        <w:rPr>
          <w:rFonts w:ascii="宋体" w:hAnsi="Arial"/>
          <w:sz w:val="24"/>
        </w:rPr>
      </w:pPr>
      <w:r>
        <w:rPr>
          <w:rFonts w:hint="eastAsia" w:ascii="宋体" w:hAnsi="Arial"/>
          <w:sz w:val="24"/>
        </w:rPr>
        <w:t>（2）供应商需按照采购文件的要求提供相应的《中小企业声明函》。</w:t>
      </w:r>
    </w:p>
    <w:p w14:paraId="5BAB99DA">
      <w:pPr>
        <w:adjustRightInd w:val="0"/>
        <w:spacing w:before="120" w:after="120" w:line="360" w:lineRule="auto"/>
        <w:ind w:firstLine="480" w:firstLineChars="200"/>
        <w:jc w:val="left"/>
        <w:textAlignment w:val="baseline"/>
        <w:rPr>
          <w:rFonts w:ascii="宋体" w:hAnsi="Arial"/>
          <w:sz w:val="24"/>
        </w:rPr>
      </w:pPr>
      <w:r>
        <w:rPr>
          <w:rFonts w:hint="eastAsia" w:ascii="宋体" w:hAnsi="Arial"/>
          <w:sz w:val="24"/>
        </w:rPr>
        <w:t>（3）企业标准请参照《关于印发中小企业划型标准规定的通知》（工信部联企业【2011】300号）文件规定自行填写。</w:t>
      </w:r>
    </w:p>
    <w:p w14:paraId="613A183C">
      <w:pPr>
        <w:adjustRightInd w:val="0"/>
        <w:spacing w:before="120" w:after="120" w:line="400" w:lineRule="exact"/>
        <w:jc w:val="left"/>
        <w:textAlignment w:val="baseline"/>
        <w:rPr>
          <w:rFonts w:ascii="宋体" w:hAnsi="Arial"/>
          <w:sz w:val="24"/>
        </w:rPr>
      </w:pPr>
      <w:r>
        <w:rPr>
          <w:rFonts w:hint="eastAsia" w:ascii="宋体" w:hAnsi="Arial"/>
          <w:sz w:val="24"/>
        </w:rPr>
        <w:t>2、残疾人福利单位价格扣除</w:t>
      </w:r>
    </w:p>
    <w:p w14:paraId="0CC0A00C">
      <w:pPr>
        <w:adjustRightInd w:val="0"/>
        <w:spacing w:before="120" w:after="120" w:line="360" w:lineRule="auto"/>
        <w:ind w:firstLine="480" w:firstLineChars="200"/>
        <w:jc w:val="left"/>
        <w:textAlignment w:val="baseline"/>
        <w:rPr>
          <w:rFonts w:ascii="宋体" w:hAnsi="Arial"/>
          <w:sz w:val="24"/>
        </w:rPr>
      </w:pPr>
      <w:r>
        <w:rPr>
          <w:rFonts w:hint="eastAsia" w:ascii="宋体" w:hAnsi="Arial"/>
          <w:sz w:val="24"/>
        </w:rPr>
        <w:t>（1）本项目对残疾人福利性单位视同小型、微型企业，给予10%的价格扣除，用扣除后的价格参与评审。</w:t>
      </w:r>
    </w:p>
    <w:p w14:paraId="54C8B590">
      <w:pPr>
        <w:adjustRightInd w:val="0"/>
        <w:spacing w:before="120" w:after="120" w:line="360" w:lineRule="auto"/>
        <w:ind w:firstLine="480" w:firstLineChars="200"/>
        <w:jc w:val="left"/>
        <w:textAlignment w:val="baseline"/>
        <w:rPr>
          <w:rFonts w:ascii="宋体" w:hAnsi="Arial"/>
          <w:sz w:val="24"/>
        </w:rPr>
      </w:pPr>
      <w:r>
        <w:rPr>
          <w:rFonts w:hint="eastAsia" w:ascii="宋体" w:hAnsi="Arial"/>
          <w:sz w:val="24"/>
        </w:rPr>
        <w:t>（2）残疾人福利单位需按照采购文件的要求提供《残疾人福利性单位声明函》。</w:t>
      </w:r>
    </w:p>
    <w:p w14:paraId="32EA40E9">
      <w:pPr>
        <w:adjustRightInd w:val="0"/>
        <w:spacing w:before="120" w:after="120" w:line="360" w:lineRule="auto"/>
        <w:ind w:firstLine="480" w:firstLineChars="200"/>
        <w:jc w:val="left"/>
        <w:textAlignment w:val="baseline"/>
        <w:rPr>
          <w:rFonts w:ascii="宋体" w:hAnsi="Arial"/>
          <w:sz w:val="24"/>
        </w:rPr>
      </w:pPr>
      <w:r>
        <w:rPr>
          <w:rFonts w:hint="eastAsia" w:ascii="宋体" w:hAnsi="Arial"/>
          <w:sz w:val="24"/>
        </w:rPr>
        <w:t>（3）残疾人福利单位标准请参照《关于促进残疾人就业政府采购政策的通知》（财库〔2017〕141号）。</w:t>
      </w:r>
    </w:p>
    <w:p w14:paraId="5FC8FE30">
      <w:pPr>
        <w:adjustRightInd w:val="0"/>
        <w:spacing w:before="120" w:after="120" w:line="400" w:lineRule="exact"/>
        <w:jc w:val="left"/>
        <w:textAlignment w:val="baseline"/>
        <w:rPr>
          <w:rFonts w:ascii="宋体" w:hAnsi="Arial"/>
          <w:sz w:val="24"/>
        </w:rPr>
      </w:pPr>
      <w:r>
        <w:rPr>
          <w:rFonts w:hint="eastAsia" w:ascii="宋体" w:hAnsi="Arial"/>
          <w:sz w:val="24"/>
        </w:rPr>
        <w:t>3、监狱和戒毒企业价格扣除</w:t>
      </w:r>
    </w:p>
    <w:p w14:paraId="3CCC6595">
      <w:pPr>
        <w:adjustRightInd w:val="0"/>
        <w:spacing w:before="120" w:after="120" w:line="360" w:lineRule="auto"/>
        <w:ind w:firstLine="480" w:firstLineChars="200"/>
        <w:jc w:val="left"/>
        <w:textAlignment w:val="baseline"/>
        <w:rPr>
          <w:rFonts w:ascii="宋体" w:hAnsi="Arial"/>
          <w:sz w:val="24"/>
        </w:rPr>
      </w:pPr>
      <w:r>
        <w:rPr>
          <w:rFonts w:hint="eastAsia" w:ascii="宋体" w:hAnsi="Arial"/>
          <w:sz w:val="24"/>
        </w:rPr>
        <w:t>（1）本项目对监狱和戒毒企业（简称监狱企业）视同小型、微型企业，给予10%的价格扣除，用扣除后的价格参与评审。</w:t>
      </w:r>
    </w:p>
    <w:p w14:paraId="0861DF6C">
      <w:pPr>
        <w:adjustRightInd w:val="0"/>
        <w:spacing w:before="120" w:after="120" w:line="360" w:lineRule="auto"/>
        <w:ind w:firstLine="480" w:firstLineChars="200"/>
        <w:jc w:val="left"/>
        <w:textAlignment w:val="baseline"/>
        <w:rPr>
          <w:rFonts w:ascii="宋体" w:hAnsi="Arial"/>
          <w:sz w:val="24"/>
        </w:rPr>
      </w:pPr>
      <w:r>
        <w:rPr>
          <w:rFonts w:hint="eastAsia" w:ascii="宋体" w:hAnsi="Arial"/>
          <w:sz w:val="24"/>
        </w:rPr>
        <w:t>（2）监狱企业参加政府采购活动时，需提供由省级以上监狱管理局、戒毒管理局(含新疆生产建设兵团)出具的属于监狱企业的证明文件。供应商如不提供上述证明文件，价格将不做相应扣除。</w:t>
      </w:r>
    </w:p>
    <w:p w14:paraId="2DC4E0FE">
      <w:pPr>
        <w:adjustRightInd w:val="0"/>
        <w:spacing w:before="120" w:after="120" w:line="360" w:lineRule="auto"/>
        <w:ind w:firstLine="480" w:firstLineChars="200"/>
        <w:jc w:val="left"/>
        <w:textAlignment w:val="baseline"/>
        <w:rPr>
          <w:rFonts w:ascii="宋体" w:hAnsi="Arial"/>
          <w:sz w:val="24"/>
        </w:rPr>
      </w:pPr>
      <w:r>
        <w:rPr>
          <w:rFonts w:hint="eastAsia" w:ascii="宋体" w:hAnsi="Arial"/>
          <w:sz w:val="24"/>
        </w:rPr>
        <w:t>（3）监狱企业标准请参照《关于政府采购支持监狱企业发展有关问题的通知》（财库[2014]68号）。</w:t>
      </w:r>
    </w:p>
    <w:p w14:paraId="74F830EF">
      <w:pPr>
        <w:adjustRightInd w:val="0"/>
        <w:spacing w:before="120" w:after="120" w:line="400" w:lineRule="exact"/>
        <w:jc w:val="left"/>
        <w:textAlignment w:val="baseline"/>
        <w:rPr>
          <w:rFonts w:ascii="宋体" w:hAnsi="Arial"/>
          <w:sz w:val="24"/>
        </w:rPr>
      </w:pPr>
      <w:r>
        <w:rPr>
          <w:rFonts w:hint="eastAsia" w:ascii="宋体" w:hAnsi="Arial"/>
          <w:sz w:val="24"/>
        </w:rPr>
        <w:t>4、残疾人福利单位、监狱企业属于小型、微型企业的，不重复享受政策。</w:t>
      </w:r>
    </w:p>
    <w:p w14:paraId="707A37A8">
      <w:pPr>
        <w:adjustRightInd w:val="0"/>
        <w:spacing w:before="120" w:after="120" w:line="400" w:lineRule="exact"/>
        <w:jc w:val="left"/>
        <w:textAlignment w:val="baseline"/>
        <w:rPr>
          <w:rFonts w:ascii="宋体" w:hAnsi="Arial"/>
          <w:sz w:val="24"/>
        </w:rPr>
      </w:pPr>
      <w:r>
        <w:rPr>
          <w:rFonts w:hint="eastAsia" w:ascii="宋体" w:hAnsi="Arial"/>
          <w:sz w:val="24"/>
        </w:rPr>
        <w:t>5、采购节能产品、环境标志产品相关政策</w:t>
      </w:r>
    </w:p>
    <w:p w14:paraId="1BB62B88">
      <w:pPr>
        <w:adjustRightInd w:val="0"/>
        <w:spacing w:before="120" w:after="120" w:line="360" w:lineRule="auto"/>
        <w:ind w:firstLine="480" w:firstLineChars="200"/>
        <w:jc w:val="left"/>
        <w:textAlignment w:val="baseline"/>
        <w:rPr>
          <w:rFonts w:ascii="宋体" w:hAnsi="Arial"/>
          <w:sz w:val="24"/>
        </w:rPr>
      </w:pPr>
      <w:r>
        <w:rPr>
          <w:rFonts w:hint="eastAsia" w:ascii="宋体" w:hAnsi="Arial"/>
          <w:sz w:val="24"/>
        </w:rPr>
        <w:t>5.1为发挥政府采购的政策导向作用，根据《财政部发展改革委生态环境部市场监管总局关于调整优化节能产品 环境标志产品 政府采购执行机制的通知》 （财库〔2019〕9 号）的规定，若投标产品属于“关于印发节能产品政府采购品目清单的通知财库（〔2019〕19 号）”中强制采购的节能产品，实行强制采购；若投标产品属于“节能产品政府采购品目清单”中优先采购的节能产品，在技术、服务等指标满足采购需求的前提下，实行优先采购。投标人须提供有效期内的中国节能产品认证证书复印件及“节能产品政府采购品目清单”中投标产品所在清单页并加盖投标人公章。节能产品政府采购品目清单在中国政府采购网（http：//www.ccgp.gov .cn/）上发布。</w:t>
      </w:r>
    </w:p>
    <w:p w14:paraId="36B0D1DB">
      <w:pPr>
        <w:adjustRightInd w:val="0"/>
        <w:spacing w:before="120" w:after="120" w:line="360" w:lineRule="auto"/>
        <w:ind w:firstLine="480" w:firstLineChars="200"/>
        <w:jc w:val="left"/>
        <w:textAlignment w:val="baseline"/>
        <w:rPr>
          <w:rFonts w:ascii="宋体" w:hAnsi="Arial"/>
          <w:sz w:val="24"/>
        </w:rPr>
      </w:pPr>
      <w:r>
        <w:rPr>
          <w:rFonts w:hint="eastAsia" w:ascii="宋体" w:hAnsi="Arial"/>
          <w:sz w:val="24"/>
        </w:rPr>
        <w:t>5.2为发挥政府采购的环境保护政策功能，根据《财政部发展改革委生态环境部市场监管总局关于调整优化节能产品环境标志产品政府采购执行机制的通知》（财库〔2019〕9号）的规定，若投标产品属于“环境标志产品政府采购品目清单”中的产品，在性能、技术、服务等指标同等条件下，应当优先采购清单中的产品。投标人须提供有效期内的中国环境标志产品认证证书复印件及“环境标志产品政府采购品目清单”中投标产品所在清单页并加盖投标人公章。环境标志产品政府采购品目清单在中国政府采购网（http://www.ccgp.gov.cn/）上发布。</w:t>
      </w:r>
    </w:p>
    <w:p w14:paraId="386F830B">
      <w:pPr>
        <w:adjustRightInd w:val="0"/>
        <w:spacing w:before="120" w:after="120" w:line="360" w:lineRule="auto"/>
        <w:ind w:firstLine="480" w:firstLineChars="200"/>
        <w:jc w:val="left"/>
        <w:textAlignment w:val="baseline"/>
        <w:rPr>
          <w:rFonts w:ascii="宋体" w:hAnsi="Arial"/>
          <w:sz w:val="24"/>
        </w:rPr>
      </w:pPr>
      <w:r>
        <w:rPr>
          <w:rFonts w:hint="eastAsia" w:ascii="宋体" w:hAnsi="Arial"/>
          <w:sz w:val="24"/>
        </w:rPr>
        <w:t xml:space="preserve">5.3节能产品、环境标志产品价格扣除 </w:t>
      </w:r>
    </w:p>
    <w:p w14:paraId="29031796">
      <w:pPr>
        <w:adjustRightInd w:val="0"/>
        <w:spacing w:before="120" w:after="120" w:line="360" w:lineRule="auto"/>
        <w:ind w:firstLine="480" w:firstLineChars="200"/>
        <w:jc w:val="left"/>
        <w:textAlignment w:val="baseline"/>
        <w:rPr>
          <w:rFonts w:ascii="宋体" w:hAnsi="Arial"/>
          <w:sz w:val="24"/>
        </w:rPr>
      </w:pPr>
      <w:r>
        <w:rPr>
          <w:rFonts w:hint="eastAsia" w:ascii="宋体" w:hAnsi="Arial"/>
          <w:sz w:val="24"/>
        </w:rPr>
        <w:t xml:space="preserve">a、投标人所投产品被列入优先采购的节能产品政府采购品目清单中产品，其投标报价将给予 1%的价格扣除(强制采购节能产品除外)。 </w:t>
      </w:r>
    </w:p>
    <w:p w14:paraId="76ACA01E">
      <w:pPr>
        <w:adjustRightInd w:val="0"/>
        <w:spacing w:before="120" w:after="120" w:line="360" w:lineRule="auto"/>
        <w:ind w:firstLine="480" w:firstLineChars="200"/>
        <w:jc w:val="left"/>
        <w:textAlignment w:val="baseline"/>
        <w:rPr>
          <w:rFonts w:ascii="宋体" w:hAnsi="Arial"/>
          <w:sz w:val="24"/>
        </w:rPr>
      </w:pPr>
      <w:r>
        <w:rPr>
          <w:rFonts w:hint="eastAsia" w:ascii="宋体" w:hAnsi="Arial"/>
          <w:sz w:val="24"/>
        </w:rPr>
        <w:t>评标委员会根据投标人提供的投标产品在中国政府采购网公布的“节能产品政府采购品目清单”所在清单页截图及《节能产品认证证书》认定其是否属于节能产品价格扣除的优惠政策。</w:t>
      </w:r>
    </w:p>
    <w:p w14:paraId="57879BCE">
      <w:pPr>
        <w:adjustRightInd w:val="0"/>
        <w:spacing w:before="120" w:after="120" w:line="360" w:lineRule="auto"/>
        <w:ind w:firstLine="480" w:firstLineChars="200"/>
        <w:jc w:val="left"/>
        <w:textAlignment w:val="baseline"/>
        <w:rPr>
          <w:rFonts w:ascii="宋体" w:hAnsi="Arial"/>
          <w:sz w:val="24"/>
        </w:rPr>
      </w:pPr>
      <w:r>
        <w:rPr>
          <w:rFonts w:hint="eastAsia" w:ascii="宋体" w:hAnsi="Arial"/>
          <w:sz w:val="24"/>
        </w:rPr>
        <w:t xml:space="preserve"> b、投标人所投产品被列入优先采购的环境标志产品政府采购品目清单中产品，其投标报价将给予 1%的价格扣除。</w:t>
      </w:r>
    </w:p>
    <w:p w14:paraId="0870FFE3">
      <w:pPr>
        <w:adjustRightInd w:val="0"/>
        <w:spacing w:before="120" w:after="120" w:line="360" w:lineRule="auto"/>
        <w:ind w:firstLine="480" w:firstLineChars="200"/>
        <w:jc w:val="left"/>
        <w:textAlignment w:val="baseline"/>
        <w:rPr>
          <w:rFonts w:ascii="宋体" w:hAnsi="Arial"/>
          <w:sz w:val="24"/>
        </w:rPr>
      </w:pPr>
      <w:r>
        <w:rPr>
          <w:rFonts w:hint="eastAsia" w:ascii="宋体" w:hAnsi="Arial"/>
          <w:sz w:val="24"/>
        </w:rPr>
        <w:t>评标委员会根据投标人提供的投标产品在中国政府采购网公布的“环境标志产品政府采购品目清单”所在清单页截图及《环境标志产品认证证书》认定其是否属于环境标志产品价格扣除的优惠政策。</w:t>
      </w:r>
    </w:p>
    <w:p w14:paraId="721556F7">
      <w:pPr>
        <w:adjustRightInd w:val="0"/>
        <w:spacing w:before="120" w:after="120" w:line="400" w:lineRule="exact"/>
        <w:ind w:firstLine="480" w:firstLineChars="200"/>
        <w:jc w:val="left"/>
        <w:textAlignment w:val="baseline"/>
        <w:rPr>
          <w:rFonts w:ascii="宋体" w:hAnsi="Arial"/>
          <w:sz w:val="24"/>
        </w:rPr>
      </w:pPr>
      <w:r>
        <w:rPr>
          <w:rFonts w:hint="eastAsia" w:ascii="宋体" w:hAnsi="Arial"/>
          <w:sz w:val="24"/>
        </w:rPr>
        <w:t>6、所有认证、证明或业绩均以有效的证明文件的复印件并加盖公章为依据，原件备查。</w:t>
      </w:r>
      <w:bookmarkStart w:id="131" w:name="_Hlk105476002"/>
    </w:p>
    <w:bookmarkEnd w:id="131"/>
    <w:p w14:paraId="37B64814">
      <w:pPr>
        <w:pStyle w:val="37"/>
      </w:pPr>
      <w:r>
        <w:rPr>
          <w:rFonts w:hint="eastAsia"/>
        </w:rPr>
        <w:br w:type="page"/>
      </w:r>
      <w:bookmarkStart w:id="132" w:name="_Toc163660782"/>
    </w:p>
    <w:p w14:paraId="66F7F4F7">
      <w:pPr>
        <w:pStyle w:val="37"/>
      </w:pPr>
      <w:r>
        <w:rPr>
          <w:rFonts w:hint="eastAsia"/>
        </w:rPr>
        <w:t>第六章  响应文件的组成和格式</w:t>
      </w:r>
    </w:p>
    <w:p w14:paraId="517D8F6E">
      <w:pPr>
        <w:jc w:val="center"/>
        <w:rPr>
          <w:rFonts w:hint="eastAsia" w:ascii="宋体" w:hAnsi="宋体"/>
          <w:b/>
          <w:sz w:val="72"/>
          <w:szCs w:val="21"/>
        </w:rPr>
      </w:pPr>
      <w:r>
        <w:rPr>
          <w:rFonts w:hint="eastAsia" w:ascii="宋体" w:hAnsi="宋体"/>
          <w:b/>
          <w:sz w:val="72"/>
          <w:szCs w:val="21"/>
        </w:rPr>
        <w:t xml:space="preserve"> </w:t>
      </w:r>
    </w:p>
    <w:p w14:paraId="58F457C9">
      <w:pPr>
        <w:jc w:val="center"/>
        <w:rPr>
          <w:rFonts w:hint="eastAsia" w:ascii="黑体" w:hAnsi="黑体" w:eastAsia="黑体"/>
          <w:b/>
          <w:sz w:val="72"/>
          <w:szCs w:val="21"/>
        </w:rPr>
      </w:pPr>
      <w:r>
        <w:rPr>
          <w:rFonts w:hint="eastAsia" w:ascii="黑体" w:hAnsi="黑体" w:eastAsia="黑体"/>
          <w:b/>
          <w:sz w:val="72"/>
          <w:szCs w:val="21"/>
        </w:rPr>
        <w:t>竞争性磋商响应文件</w:t>
      </w:r>
    </w:p>
    <w:p w14:paraId="30D89848">
      <w:pPr>
        <w:pStyle w:val="76"/>
        <w:ind w:firstLine="0"/>
        <w:jc w:val="center"/>
        <w:rPr>
          <w:rFonts w:hint="eastAsia" w:ascii="黑体" w:hAnsi="黑体" w:eastAsia="黑体"/>
          <w:b/>
          <w:bCs/>
          <w:sz w:val="32"/>
        </w:rPr>
      </w:pPr>
    </w:p>
    <w:p w14:paraId="0056C8F8">
      <w:pPr>
        <w:ind w:firstLine="1084" w:firstLineChars="300"/>
        <w:rPr>
          <w:rFonts w:hint="eastAsia" w:ascii="黑体" w:hAnsi="黑体" w:eastAsia="黑体"/>
          <w:b/>
          <w:sz w:val="36"/>
          <w:szCs w:val="21"/>
        </w:rPr>
      </w:pPr>
      <w:r>
        <w:rPr>
          <w:rFonts w:hint="eastAsia" w:ascii="黑体" w:hAnsi="黑体" w:eastAsia="黑体"/>
          <w:b/>
          <w:sz w:val="36"/>
          <w:szCs w:val="21"/>
        </w:rPr>
        <w:t xml:space="preserve">              （正或副本）</w:t>
      </w:r>
    </w:p>
    <w:p w14:paraId="1C687829">
      <w:pPr>
        <w:ind w:firstLine="1084" w:firstLineChars="300"/>
        <w:rPr>
          <w:rFonts w:hint="eastAsia" w:ascii="黑体" w:hAnsi="黑体" w:eastAsia="黑体"/>
          <w:b/>
          <w:sz w:val="36"/>
          <w:szCs w:val="21"/>
        </w:rPr>
      </w:pPr>
    </w:p>
    <w:p w14:paraId="6ED67ADC">
      <w:pPr>
        <w:ind w:firstLine="1084" w:firstLineChars="300"/>
        <w:rPr>
          <w:rFonts w:hint="eastAsia" w:ascii="黑体" w:hAnsi="黑体" w:eastAsia="黑体"/>
          <w:b/>
          <w:sz w:val="36"/>
          <w:szCs w:val="21"/>
        </w:rPr>
      </w:pPr>
    </w:p>
    <w:p w14:paraId="35343A77">
      <w:pPr>
        <w:ind w:firstLine="1084" w:firstLineChars="300"/>
        <w:rPr>
          <w:rFonts w:hint="eastAsia" w:ascii="黑体" w:hAnsi="黑体" w:eastAsia="黑体"/>
          <w:b/>
          <w:sz w:val="36"/>
        </w:rPr>
      </w:pPr>
      <w:r>
        <w:rPr>
          <w:rFonts w:hint="eastAsia" w:ascii="黑体" w:hAnsi="黑体" w:eastAsia="黑体"/>
          <w:b/>
          <w:sz w:val="36"/>
        </w:rPr>
        <w:t>项 目 名 称：</w:t>
      </w:r>
    </w:p>
    <w:p w14:paraId="2FB3BA7A">
      <w:pPr>
        <w:ind w:firstLine="1084" w:firstLineChars="300"/>
        <w:rPr>
          <w:rFonts w:hint="eastAsia" w:ascii="黑体" w:hAnsi="黑体" w:eastAsia="黑体"/>
          <w:b/>
          <w:bCs/>
          <w:sz w:val="36"/>
          <w:szCs w:val="36"/>
        </w:rPr>
      </w:pPr>
      <w:r>
        <w:rPr>
          <w:rFonts w:hint="eastAsia" w:ascii="黑体" w:hAnsi="黑体" w:eastAsia="黑体"/>
          <w:b/>
          <w:sz w:val="36"/>
        </w:rPr>
        <w:t>项 目 编 号：</w:t>
      </w:r>
    </w:p>
    <w:p w14:paraId="1D05AC98">
      <w:pPr>
        <w:ind w:firstLine="1084" w:firstLineChars="300"/>
        <w:rPr>
          <w:rFonts w:hint="eastAsia" w:ascii="黑体" w:hAnsi="黑体" w:eastAsia="黑体"/>
          <w:b/>
          <w:sz w:val="36"/>
        </w:rPr>
      </w:pPr>
      <w:r>
        <w:rPr>
          <w:rFonts w:hint="eastAsia" w:ascii="黑体" w:hAnsi="黑体" w:eastAsia="黑体"/>
          <w:b/>
          <w:sz w:val="36"/>
        </w:rPr>
        <w:t>磋商供应商名称（公章）：</w:t>
      </w:r>
    </w:p>
    <w:p w14:paraId="7DBB07A0">
      <w:pPr>
        <w:ind w:firstLine="1084" w:firstLineChars="300"/>
        <w:rPr>
          <w:rFonts w:hint="eastAsia" w:ascii="黑体" w:hAnsi="黑体" w:eastAsia="黑体"/>
          <w:b/>
          <w:sz w:val="36"/>
        </w:rPr>
      </w:pPr>
      <w:r>
        <w:rPr>
          <w:rFonts w:hint="eastAsia" w:ascii="黑体" w:hAnsi="黑体" w:eastAsia="黑体"/>
          <w:b/>
          <w:sz w:val="36"/>
        </w:rPr>
        <w:t xml:space="preserve">法人代表或授权代表（签名）：               </w:t>
      </w:r>
    </w:p>
    <w:p w14:paraId="0B207F1D">
      <w:pPr>
        <w:rPr>
          <w:rFonts w:hint="eastAsia" w:ascii="黑体" w:hAnsi="黑体" w:eastAsia="黑体"/>
          <w:b/>
          <w:sz w:val="36"/>
        </w:rPr>
      </w:pPr>
      <w:r>
        <w:rPr>
          <w:rFonts w:hint="eastAsia" w:ascii="黑体" w:hAnsi="黑体" w:eastAsia="黑体"/>
          <w:b/>
          <w:sz w:val="36"/>
        </w:rPr>
        <w:t xml:space="preserve">      日       期：</w:t>
      </w:r>
    </w:p>
    <w:p w14:paraId="78B923EB">
      <w:pPr>
        <w:jc w:val="center"/>
        <w:rPr>
          <w:rFonts w:hint="eastAsia" w:ascii="黑体" w:hAnsi="黑体" w:eastAsia="黑体"/>
          <w:b/>
          <w:bCs/>
          <w:sz w:val="32"/>
          <w:szCs w:val="32"/>
        </w:rPr>
      </w:pPr>
      <w:r>
        <w:rPr>
          <w:rFonts w:ascii="宋体" w:hAnsi="宋体"/>
          <w:b/>
          <w:color w:val="000000"/>
          <w:sz w:val="32"/>
          <w:szCs w:val="32"/>
        </w:rPr>
        <w:br w:type="page"/>
      </w:r>
      <w:r>
        <w:rPr>
          <w:rFonts w:hint="eastAsia" w:ascii="黑体" w:hAnsi="黑体" w:eastAsia="黑体"/>
          <w:b/>
          <w:bCs/>
          <w:sz w:val="32"/>
          <w:szCs w:val="32"/>
        </w:rPr>
        <w:t>响应文件主要目录</w:t>
      </w:r>
    </w:p>
    <w:p w14:paraId="71A3EAE6">
      <w:pPr>
        <w:spacing w:line="560" w:lineRule="exact"/>
        <w:jc w:val="center"/>
        <w:rPr>
          <w:rFonts w:hint="eastAsia" w:ascii="宋体" w:hAnsi="宋体"/>
          <w:b/>
          <w:bCs/>
          <w:sz w:val="24"/>
        </w:rPr>
      </w:pPr>
    </w:p>
    <w:p w14:paraId="38777590">
      <w:pPr>
        <w:spacing w:line="560" w:lineRule="exact"/>
        <w:ind w:firstLine="480" w:firstLineChars="200"/>
        <w:rPr>
          <w:rFonts w:hint="eastAsia" w:ascii="宋体" w:hAnsi="宋体"/>
          <w:sz w:val="24"/>
        </w:rPr>
      </w:pPr>
      <w:r>
        <w:rPr>
          <w:rFonts w:hint="eastAsia" w:ascii="宋体" w:hAnsi="宋体"/>
          <w:sz w:val="24"/>
        </w:rPr>
        <w:t>一、评分索引表</w:t>
      </w:r>
      <w:r>
        <w:rPr>
          <w:rFonts w:ascii="宋体" w:hAnsi="宋体"/>
          <w:sz w:val="24"/>
        </w:rPr>
        <w:t>……………………………………………………………</w:t>
      </w:r>
      <w:r>
        <w:rPr>
          <w:rFonts w:hint="eastAsia" w:ascii="宋体" w:hAnsi="宋体"/>
          <w:sz w:val="24"/>
        </w:rPr>
        <w:t>页码（下同）</w:t>
      </w:r>
    </w:p>
    <w:p w14:paraId="59E5E077">
      <w:pPr>
        <w:spacing w:line="560" w:lineRule="exact"/>
        <w:ind w:firstLine="480" w:firstLineChars="200"/>
        <w:rPr>
          <w:rFonts w:hint="eastAsia" w:ascii="宋体" w:hAnsi="宋体"/>
          <w:sz w:val="24"/>
        </w:rPr>
      </w:pPr>
      <w:r>
        <w:rPr>
          <w:rFonts w:hint="eastAsia" w:ascii="宋体" w:hAnsi="宋体"/>
          <w:sz w:val="24"/>
        </w:rPr>
        <w:t>二、资格性和符合性检查响应对照表</w:t>
      </w:r>
    </w:p>
    <w:p w14:paraId="62E11630">
      <w:pPr>
        <w:spacing w:line="560" w:lineRule="exact"/>
        <w:ind w:firstLine="480" w:firstLineChars="200"/>
        <w:rPr>
          <w:rFonts w:hint="eastAsia" w:ascii="宋体" w:hAnsi="宋体"/>
          <w:sz w:val="24"/>
        </w:rPr>
      </w:pPr>
      <w:r>
        <w:rPr>
          <w:rFonts w:hint="eastAsia" w:ascii="宋体" w:hAnsi="宋体"/>
          <w:sz w:val="24"/>
        </w:rPr>
        <w:t>（一）资格性检查证明材料（自行添加子目录）</w:t>
      </w:r>
    </w:p>
    <w:p w14:paraId="701D0AEC">
      <w:pPr>
        <w:spacing w:line="560" w:lineRule="exact"/>
        <w:ind w:firstLine="480" w:firstLineChars="200"/>
        <w:rPr>
          <w:rFonts w:hint="eastAsia" w:ascii="宋体" w:hAnsi="宋体"/>
          <w:sz w:val="24"/>
        </w:rPr>
      </w:pPr>
      <w:r>
        <w:rPr>
          <w:rFonts w:hint="eastAsia" w:ascii="宋体" w:hAnsi="宋体"/>
          <w:sz w:val="24"/>
        </w:rPr>
        <w:t>1、</w:t>
      </w:r>
    </w:p>
    <w:p w14:paraId="2538F79F">
      <w:pPr>
        <w:spacing w:line="560" w:lineRule="exact"/>
        <w:ind w:firstLine="480" w:firstLineChars="200"/>
        <w:rPr>
          <w:rFonts w:hint="eastAsia" w:ascii="宋体" w:hAnsi="宋体"/>
          <w:sz w:val="24"/>
        </w:rPr>
      </w:pPr>
      <w:r>
        <w:rPr>
          <w:rFonts w:hint="eastAsia" w:ascii="宋体" w:hAnsi="宋体"/>
          <w:sz w:val="24"/>
        </w:rPr>
        <w:t>2、</w:t>
      </w:r>
    </w:p>
    <w:p w14:paraId="15805A38">
      <w:pPr>
        <w:spacing w:line="560" w:lineRule="exact"/>
        <w:ind w:firstLine="480" w:firstLineChars="200"/>
        <w:rPr>
          <w:rFonts w:hint="eastAsia" w:ascii="宋体" w:hAnsi="宋体"/>
          <w:sz w:val="24"/>
        </w:rPr>
      </w:pPr>
      <w:r>
        <w:rPr>
          <w:rFonts w:ascii="宋体" w:hAnsi="宋体"/>
          <w:sz w:val="24"/>
        </w:rPr>
        <w:t>…</w:t>
      </w:r>
    </w:p>
    <w:p w14:paraId="7811C672">
      <w:pPr>
        <w:spacing w:line="560" w:lineRule="exact"/>
        <w:ind w:firstLine="480" w:firstLineChars="200"/>
        <w:rPr>
          <w:rFonts w:hint="eastAsia" w:ascii="宋体" w:hAnsi="宋体"/>
          <w:sz w:val="24"/>
        </w:rPr>
      </w:pPr>
      <w:r>
        <w:rPr>
          <w:rFonts w:hint="eastAsia" w:ascii="宋体" w:hAnsi="宋体"/>
          <w:sz w:val="24"/>
        </w:rPr>
        <w:t>（二）符合性检查证明材料</w:t>
      </w:r>
      <w:r>
        <w:rPr>
          <w:rFonts w:ascii="宋体" w:hAnsi="宋体"/>
          <w:sz w:val="24"/>
        </w:rPr>
        <w:t>(</w:t>
      </w:r>
      <w:r>
        <w:rPr>
          <w:rFonts w:hint="eastAsia" w:ascii="宋体" w:hAnsi="宋体"/>
          <w:sz w:val="24"/>
        </w:rPr>
        <w:t>自行添加子目录)</w:t>
      </w:r>
    </w:p>
    <w:p w14:paraId="5CF6F4C7">
      <w:pPr>
        <w:spacing w:line="560" w:lineRule="exact"/>
        <w:ind w:firstLine="480" w:firstLineChars="200"/>
        <w:rPr>
          <w:rFonts w:hint="eastAsia" w:ascii="宋体" w:hAnsi="宋体"/>
          <w:sz w:val="24"/>
        </w:rPr>
      </w:pPr>
      <w:r>
        <w:rPr>
          <w:rFonts w:hint="eastAsia" w:ascii="宋体" w:hAnsi="宋体"/>
          <w:sz w:val="24"/>
        </w:rPr>
        <w:t>1、</w:t>
      </w:r>
    </w:p>
    <w:p w14:paraId="09196FC1">
      <w:pPr>
        <w:spacing w:line="560" w:lineRule="exact"/>
        <w:ind w:firstLine="480" w:firstLineChars="200"/>
        <w:rPr>
          <w:rFonts w:hint="eastAsia" w:ascii="宋体" w:hAnsi="宋体"/>
          <w:sz w:val="24"/>
        </w:rPr>
      </w:pPr>
      <w:r>
        <w:rPr>
          <w:rFonts w:hint="eastAsia" w:ascii="宋体" w:hAnsi="宋体"/>
          <w:sz w:val="24"/>
        </w:rPr>
        <w:t>2、</w:t>
      </w:r>
    </w:p>
    <w:p w14:paraId="2FE10373">
      <w:pPr>
        <w:spacing w:line="560" w:lineRule="exact"/>
        <w:ind w:firstLine="480" w:firstLineChars="200"/>
        <w:rPr>
          <w:rFonts w:hint="eastAsia" w:ascii="宋体" w:hAnsi="宋体"/>
          <w:sz w:val="24"/>
        </w:rPr>
      </w:pPr>
      <w:r>
        <w:rPr>
          <w:rFonts w:ascii="宋体" w:hAnsi="宋体"/>
          <w:sz w:val="24"/>
        </w:rPr>
        <w:t>…</w:t>
      </w:r>
    </w:p>
    <w:p w14:paraId="664E1F6D">
      <w:pPr>
        <w:spacing w:line="560" w:lineRule="exact"/>
        <w:ind w:firstLine="480" w:firstLineChars="200"/>
        <w:rPr>
          <w:rFonts w:hint="eastAsia" w:ascii="宋体" w:hAnsi="宋体"/>
          <w:sz w:val="24"/>
        </w:rPr>
      </w:pPr>
      <w:r>
        <w:rPr>
          <w:rFonts w:hint="eastAsia" w:ascii="宋体" w:hAnsi="宋体"/>
          <w:sz w:val="24"/>
        </w:rPr>
        <w:t>三、非实质性资信证明文件目录</w:t>
      </w:r>
    </w:p>
    <w:p w14:paraId="5E1891D5">
      <w:pPr>
        <w:spacing w:line="560" w:lineRule="exact"/>
        <w:ind w:firstLine="480" w:firstLineChars="200"/>
        <w:rPr>
          <w:rFonts w:hint="eastAsia" w:ascii="宋体" w:hAnsi="宋体"/>
          <w:sz w:val="24"/>
        </w:rPr>
      </w:pPr>
      <w:r>
        <w:rPr>
          <w:rFonts w:hint="eastAsia" w:ascii="宋体" w:hAnsi="宋体"/>
          <w:sz w:val="24"/>
        </w:rPr>
        <w:t>1、</w:t>
      </w:r>
    </w:p>
    <w:p w14:paraId="6F9F6E2B">
      <w:pPr>
        <w:spacing w:line="560" w:lineRule="exact"/>
        <w:ind w:firstLine="480" w:firstLineChars="200"/>
        <w:rPr>
          <w:rFonts w:hint="eastAsia" w:ascii="宋体" w:hAnsi="宋体"/>
          <w:sz w:val="24"/>
        </w:rPr>
      </w:pPr>
      <w:r>
        <w:rPr>
          <w:rFonts w:hint="eastAsia" w:ascii="宋体" w:hAnsi="宋体"/>
          <w:sz w:val="24"/>
        </w:rPr>
        <w:t>2、</w:t>
      </w:r>
    </w:p>
    <w:p w14:paraId="52526700">
      <w:pPr>
        <w:spacing w:line="560" w:lineRule="exact"/>
        <w:ind w:firstLine="480" w:firstLineChars="200"/>
      </w:pPr>
      <w:r>
        <w:rPr>
          <w:rFonts w:ascii="宋体" w:hAnsi="宋体"/>
          <w:sz w:val="24"/>
        </w:rPr>
        <w:t>…</w:t>
      </w:r>
    </w:p>
    <w:p w14:paraId="3E463CBF">
      <w:pPr>
        <w:spacing w:line="560" w:lineRule="exact"/>
        <w:ind w:firstLine="480" w:firstLineChars="200"/>
        <w:rPr>
          <w:rFonts w:hint="eastAsia" w:ascii="宋体" w:hAnsi="宋体"/>
          <w:sz w:val="24"/>
        </w:rPr>
      </w:pPr>
      <w:r>
        <w:rPr>
          <w:rFonts w:hint="eastAsia" w:ascii="宋体" w:hAnsi="宋体"/>
          <w:sz w:val="24"/>
        </w:rPr>
        <w:t>四、磋商响应报价表</w:t>
      </w:r>
    </w:p>
    <w:p w14:paraId="27954BBF">
      <w:pPr>
        <w:spacing w:line="440" w:lineRule="exact"/>
        <w:ind w:firstLine="480" w:firstLineChars="200"/>
        <w:rPr>
          <w:rFonts w:hint="eastAsia" w:ascii="宋体" w:hAnsi="宋体"/>
          <w:sz w:val="24"/>
        </w:rPr>
      </w:pPr>
      <w:r>
        <w:rPr>
          <w:rFonts w:hint="eastAsia" w:ascii="宋体" w:hAnsi="宋体"/>
          <w:sz w:val="24"/>
        </w:rPr>
        <w:t>五、投入人员一览表</w:t>
      </w:r>
    </w:p>
    <w:p w14:paraId="2587A87E">
      <w:pPr>
        <w:spacing w:line="440" w:lineRule="exact"/>
        <w:ind w:firstLine="480" w:firstLineChars="200"/>
        <w:rPr>
          <w:rFonts w:hint="eastAsia" w:ascii="宋体" w:hAnsi="宋体"/>
          <w:sz w:val="24"/>
        </w:rPr>
      </w:pPr>
      <w:r>
        <w:rPr>
          <w:rFonts w:hint="eastAsia" w:ascii="宋体" w:hAnsi="宋体"/>
          <w:sz w:val="24"/>
        </w:rPr>
        <w:t>六、技术（服务）条款响应及偏离表</w:t>
      </w:r>
    </w:p>
    <w:p w14:paraId="6057B5E6">
      <w:pPr>
        <w:spacing w:line="440" w:lineRule="exact"/>
        <w:ind w:firstLine="480" w:firstLineChars="200"/>
        <w:rPr>
          <w:rFonts w:hint="eastAsia" w:ascii="宋体" w:hAnsi="宋体"/>
          <w:sz w:val="24"/>
        </w:rPr>
      </w:pPr>
      <w:r>
        <w:rPr>
          <w:rFonts w:hint="eastAsia" w:ascii="宋体" w:hAnsi="宋体"/>
          <w:sz w:val="24"/>
        </w:rPr>
        <w:t>七、商务条款响应及偏离表</w:t>
      </w:r>
    </w:p>
    <w:p w14:paraId="1FEA2760">
      <w:pPr>
        <w:spacing w:line="440" w:lineRule="exact"/>
        <w:ind w:firstLine="480" w:firstLineChars="200"/>
        <w:rPr>
          <w:rFonts w:hint="eastAsia" w:ascii="宋体" w:hAnsi="宋体"/>
          <w:sz w:val="24"/>
        </w:rPr>
      </w:pPr>
      <w:r>
        <w:rPr>
          <w:rFonts w:hint="eastAsia" w:ascii="宋体" w:hAnsi="宋体"/>
          <w:sz w:val="24"/>
        </w:rPr>
        <w:t>八、项目需求响应方案</w:t>
      </w:r>
    </w:p>
    <w:p w14:paraId="74F55A26">
      <w:pPr>
        <w:spacing w:line="440" w:lineRule="exact"/>
        <w:ind w:firstLine="480" w:firstLineChars="200"/>
        <w:rPr>
          <w:rFonts w:hint="eastAsia" w:ascii="宋体" w:hAnsi="宋体"/>
          <w:sz w:val="24"/>
        </w:rPr>
      </w:pPr>
      <w:r>
        <w:rPr>
          <w:rFonts w:hint="eastAsia" w:ascii="宋体" w:hAnsi="宋体"/>
          <w:sz w:val="24"/>
        </w:rPr>
        <w:t>九、供应商认为需提供或采购文件要求的其他证明材料或实施方案</w:t>
      </w:r>
    </w:p>
    <w:p w14:paraId="03906090">
      <w:pPr>
        <w:spacing w:line="440" w:lineRule="exact"/>
        <w:ind w:firstLine="480" w:firstLineChars="200"/>
        <w:rPr>
          <w:rFonts w:hint="eastAsia" w:ascii="宋体" w:hAnsi="宋体"/>
          <w:sz w:val="24"/>
        </w:rPr>
      </w:pPr>
      <w:r>
        <w:rPr>
          <w:rFonts w:hint="eastAsia" w:ascii="宋体" w:hAnsi="宋体"/>
          <w:sz w:val="24"/>
        </w:rPr>
        <w:t>1、</w:t>
      </w:r>
    </w:p>
    <w:p w14:paraId="54D5386C">
      <w:pPr>
        <w:spacing w:line="440" w:lineRule="exact"/>
        <w:ind w:firstLine="480" w:firstLineChars="200"/>
        <w:rPr>
          <w:rFonts w:hint="eastAsia" w:ascii="宋体" w:hAnsi="宋体"/>
          <w:sz w:val="24"/>
        </w:rPr>
      </w:pPr>
      <w:r>
        <w:rPr>
          <w:rFonts w:hint="eastAsia" w:ascii="宋体" w:hAnsi="宋体"/>
          <w:sz w:val="24"/>
        </w:rPr>
        <w:t>2、</w:t>
      </w:r>
      <w:r>
        <w:rPr>
          <w:rFonts w:ascii="宋体" w:hAnsi="宋体"/>
          <w:sz w:val="24"/>
        </w:rPr>
        <w:t>…</w:t>
      </w:r>
    </w:p>
    <w:p w14:paraId="12E26559">
      <w:pPr>
        <w:jc w:val="center"/>
      </w:pPr>
    </w:p>
    <w:p w14:paraId="1256C035">
      <w:pPr>
        <w:jc w:val="center"/>
        <w:rPr>
          <w:rFonts w:hint="eastAsia" w:ascii="黑体" w:hAnsi="黑体" w:eastAsia="黑体"/>
          <w:b/>
          <w:sz w:val="32"/>
          <w:szCs w:val="32"/>
        </w:rPr>
      </w:pPr>
      <w:r>
        <w:rPr>
          <w:rFonts w:hint="eastAsia"/>
        </w:rPr>
        <w:br w:type="page"/>
      </w:r>
      <w:r>
        <w:rPr>
          <w:rFonts w:hint="eastAsia"/>
        </w:rPr>
        <w:t xml:space="preserve"> </w:t>
      </w:r>
      <w:r>
        <w:rPr>
          <w:rFonts w:hint="eastAsia" w:ascii="黑体" w:hAnsi="黑体" w:eastAsia="黑体"/>
          <w:b/>
          <w:color w:val="000000"/>
          <w:sz w:val="32"/>
          <w:szCs w:val="32"/>
        </w:rPr>
        <w:t>一、</w:t>
      </w:r>
      <w:r>
        <w:rPr>
          <w:rFonts w:hint="eastAsia" w:ascii="黑体" w:hAnsi="黑体" w:eastAsia="黑体"/>
          <w:b/>
          <w:sz w:val="32"/>
          <w:szCs w:val="32"/>
        </w:rPr>
        <w:t>评分索引表</w:t>
      </w:r>
    </w:p>
    <w:tbl>
      <w:tblPr>
        <w:tblStyle w:val="41"/>
        <w:tblW w:w="9240"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10"/>
        <w:gridCol w:w="4560"/>
        <w:gridCol w:w="3570"/>
      </w:tblGrid>
      <w:tr w14:paraId="04E8AD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0" w:hRule="atLeast"/>
        </w:trPr>
        <w:tc>
          <w:tcPr>
            <w:tcW w:w="1110" w:type="dxa"/>
          </w:tcPr>
          <w:p w14:paraId="25185F90">
            <w:pPr>
              <w:widowControl/>
              <w:shd w:val="clear" w:color="auto" w:fill="FFFFFF"/>
              <w:spacing w:line="265" w:lineRule="atLeast"/>
              <w:contextualSpacing/>
              <w:jc w:val="center"/>
              <w:rPr>
                <w:rFonts w:hint="eastAsia" w:ascii="宋体" w:hAnsi="宋体"/>
                <w:b/>
                <w:bCs/>
                <w:kern w:val="0"/>
                <w:sz w:val="24"/>
                <w:lang w:bidi="en-US"/>
              </w:rPr>
            </w:pPr>
            <w:r>
              <w:rPr>
                <w:rFonts w:hint="eastAsia" w:ascii="宋体" w:hAnsi="宋体" w:cs="宋体"/>
                <w:b/>
                <w:bCs/>
                <w:kern w:val="0"/>
                <w:sz w:val="24"/>
                <w:lang w:bidi="en-US"/>
              </w:rPr>
              <w:t>序号</w:t>
            </w:r>
          </w:p>
        </w:tc>
        <w:tc>
          <w:tcPr>
            <w:tcW w:w="4560" w:type="dxa"/>
          </w:tcPr>
          <w:p w14:paraId="3316D488">
            <w:pPr>
              <w:widowControl/>
              <w:shd w:val="clear" w:color="auto" w:fill="FFFFFF"/>
              <w:spacing w:line="265" w:lineRule="atLeast"/>
              <w:contextualSpacing/>
              <w:jc w:val="center"/>
              <w:rPr>
                <w:rFonts w:hint="eastAsia" w:ascii="宋体" w:hAnsi="宋体"/>
                <w:b/>
                <w:bCs/>
                <w:kern w:val="0"/>
                <w:sz w:val="24"/>
                <w:lang w:bidi="en-US"/>
              </w:rPr>
            </w:pPr>
            <w:r>
              <w:rPr>
                <w:rFonts w:hint="eastAsia" w:ascii="宋体" w:hAnsi="宋体"/>
                <w:b/>
                <w:kern w:val="0"/>
                <w:sz w:val="24"/>
                <w:lang w:eastAsia="en-US" w:bidi="en-US"/>
              </w:rPr>
              <w:t>评分项目</w:t>
            </w:r>
          </w:p>
        </w:tc>
        <w:tc>
          <w:tcPr>
            <w:tcW w:w="3570" w:type="dxa"/>
          </w:tcPr>
          <w:p w14:paraId="0DE4283F">
            <w:pPr>
              <w:jc w:val="center"/>
              <w:rPr>
                <w:rFonts w:hint="eastAsia" w:ascii="宋体" w:hAnsi="宋体"/>
                <w:b/>
                <w:sz w:val="24"/>
              </w:rPr>
            </w:pPr>
            <w:r>
              <w:rPr>
                <w:rFonts w:hint="eastAsia" w:ascii="宋体" w:hAnsi="宋体"/>
                <w:b/>
                <w:kern w:val="0"/>
                <w:sz w:val="24"/>
                <w:lang w:bidi="en-US"/>
              </w:rPr>
              <w:t>证明材料或方案内容在响应文件中的页码位置</w:t>
            </w:r>
          </w:p>
        </w:tc>
      </w:tr>
      <w:tr w14:paraId="014F69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6" w:hRule="atLeast"/>
        </w:trPr>
        <w:tc>
          <w:tcPr>
            <w:tcW w:w="1110" w:type="dxa"/>
          </w:tcPr>
          <w:p w14:paraId="6D4BBBE7">
            <w:pPr>
              <w:widowControl/>
              <w:shd w:val="clear" w:color="auto" w:fill="FFFFFF"/>
              <w:spacing w:line="265" w:lineRule="atLeast"/>
              <w:ind w:left="420"/>
              <w:contextualSpacing/>
              <w:rPr>
                <w:rFonts w:hint="eastAsia" w:ascii="宋体" w:hAnsi="宋体"/>
                <w:b/>
                <w:kern w:val="0"/>
                <w:sz w:val="24"/>
                <w:lang w:bidi="en-US"/>
              </w:rPr>
            </w:pPr>
            <w:r>
              <w:rPr>
                <w:rFonts w:hint="eastAsia" w:ascii="宋体" w:hAnsi="宋体"/>
                <w:b/>
                <w:kern w:val="0"/>
                <w:sz w:val="24"/>
                <w:lang w:bidi="en-US"/>
              </w:rPr>
              <w:t>1</w:t>
            </w:r>
          </w:p>
        </w:tc>
        <w:tc>
          <w:tcPr>
            <w:tcW w:w="4560" w:type="dxa"/>
          </w:tcPr>
          <w:p w14:paraId="0D748196">
            <w:pPr>
              <w:widowControl/>
              <w:shd w:val="clear" w:color="auto" w:fill="FFFFFF"/>
              <w:spacing w:line="265" w:lineRule="atLeast"/>
              <w:ind w:left="420"/>
              <w:contextualSpacing/>
              <w:rPr>
                <w:rFonts w:hint="eastAsia" w:ascii="宋体" w:hAnsi="宋体"/>
                <w:b/>
                <w:kern w:val="0"/>
                <w:sz w:val="24"/>
                <w:lang w:bidi="en-US"/>
              </w:rPr>
            </w:pPr>
          </w:p>
        </w:tc>
        <w:tc>
          <w:tcPr>
            <w:tcW w:w="3570" w:type="dxa"/>
          </w:tcPr>
          <w:p w14:paraId="499C03ED">
            <w:pPr>
              <w:widowControl/>
              <w:ind w:left="720"/>
              <w:contextualSpacing/>
              <w:jc w:val="left"/>
              <w:rPr>
                <w:rFonts w:hint="eastAsia" w:ascii="宋体" w:hAnsi="宋体"/>
                <w:b/>
                <w:kern w:val="0"/>
                <w:sz w:val="24"/>
                <w:lang w:bidi="en-US"/>
              </w:rPr>
            </w:pPr>
          </w:p>
        </w:tc>
      </w:tr>
      <w:tr w14:paraId="739B77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0" w:hRule="atLeast"/>
        </w:trPr>
        <w:tc>
          <w:tcPr>
            <w:tcW w:w="1110" w:type="dxa"/>
          </w:tcPr>
          <w:p w14:paraId="5E9F5FDE">
            <w:pPr>
              <w:widowControl/>
              <w:shd w:val="clear" w:color="auto" w:fill="FFFFFF"/>
              <w:spacing w:line="265" w:lineRule="atLeast"/>
              <w:ind w:left="420"/>
              <w:contextualSpacing/>
              <w:jc w:val="left"/>
              <w:rPr>
                <w:rFonts w:hint="eastAsia" w:ascii="宋体" w:hAnsi="宋体"/>
                <w:kern w:val="0"/>
                <w:sz w:val="24"/>
                <w:lang w:bidi="en-US"/>
              </w:rPr>
            </w:pPr>
            <w:r>
              <w:rPr>
                <w:rFonts w:hint="eastAsia" w:ascii="宋体" w:hAnsi="宋体"/>
                <w:kern w:val="0"/>
                <w:sz w:val="24"/>
                <w:lang w:bidi="en-US"/>
              </w:rPr>
              <w:t>2</w:t>
            </w:r>
          </w:p>
        </w:tc>
        <w:tc>
          <w:tcPr>
            <w:tcW w:w="4560" w:type="dxa"/>
          </w:tcPr>
          <w:p w14:paraId="232DBF63">
            <w:pPr>
              <w:widowControl/>
              <w:shd w:val="clear" w:color="auto" w:fill="FFFFFF"/>
              <w:spacing w:line="265" w:lineRule="atLeast"/>
              <w:ind w:left="420"/>
              <w:contextualSpacing/>
              <w:jc w:val="left"/>
              <w:rPr>
                <w:rFonts w:hint="eastAsia" w:ascii="宋体" w:hAnsi="宋体"/>
                <w:kern w:val="0"/>
                <w:sz w:val="24"/>
                <w:lang w:bidi="en-US"/>
              </w:rPr>
            </w:pPr>
          </w:p>
        </w:tc>
        <w:tc>
          <w:tcPr>
            <w:tcW w:w="3570" w:type="dxa"/>
          </w:tcPr>
          <w:p w14:paraId="2D1401F2">
            <w:pPr>
              <w:widowControl/>
              <w:ind w:left="720"/>
              <w:contextualSpacing/>
              <w:jc w:val="left"/>
              <w:rPr>
                <w:rFonts w:hint="eastAsia" w:ascii="宋体" w:hAnsi="宋体"/>
                <w:kern w:val="0"/>
                <w:sz w:val="24"/>
                <w:lang w:bidi="en-US"/>
              </w:rPr>
            </w:pPr>
          </w:p>
        </w:tc>
      </w:tr>
      <w:tr w14:paraId="4AE3D7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trPr>
        <w:tc>
          <w:tcPr>
            <w:tcW w:w="1110" w:type="dxa"/>
          </w:tcPr>
          <w:p w14:paraId="2E485538">
            <w:pPr>
              <w:widowControl/>
              <w:shd w:val="clear" w:color="auto" w:fill="FFFFFF"/>
              <w:spacing w:line="265" w:lineRule="atLeast"/>
              <w:ind w:left="420"/>
              <w:contextualSpacing/>
              <w:jc w:val="left"/>
              <w:rPr>
                <w:rFonts w:hint="eastAsia" w:ascii="宋体" w:hAnsi="宋体"/>
                <w:kern w:val="0"/>
                <w:sz w:val="24"/>
                <w:lang w:bidi="en-US"/>
              </w:rPr>
            </w:pPr>
            <w:r>
              <w:rPr>
                <w:rFonts w:hint="eastAsia" w:ascii="宋体" w:hAnsi="宋体"/>
                <w:kern w:val="0"/>
                <w:sz w:val="24"/>
                <w:lang w:bidi="en-US"/>
              </w:rPr>
              <w:t>3</w:t>
            </w:r>
          </w:p>
        </w:tc>
        <w:tc>
          <w:tcPr>
            <w:tcW w:w="4560" w:type="dxa"/>
          </w:tcPr>
          <w:p w14:paraId="27FA0C01">
            <w:pPr>
              <w:widowControl/>
              <w:shd w:val="clear" w:color="auto" w:fill="FFFFFF"/>
              <w:spacing w:line="265" w:lineRule="atLeast"/>
              <w:ind w:left="420"/>
              <w:contextualSpacing/>
              <w:jc w:val="left"/>
              <w:rPr>
                <w:rFonts w:hint="eastAsia" w:ascii="宋体" w:hAnsi="宋体"/>
                <w:kern w:val="0"/>
                <w:sz w:val="24"/>
                <w:lang w:bidi="en-US"/>
              </w:rPr>
            </w:pPr>
          </w:p>
        </w:tc>
        <w:tc>
          <w:tcPr>
            <w:tcW w:w="3570" w:type="dxa"/>
          </w:tcPr>
          <w:p w14:paraId="3EAB40DB">
            <w:pPr>
              <w:widowControl/>
              <w:ind w:left="720"/>
              <w:contextualSpacing/>
              <w:jc w:val="left"/>
              <w:rPr>
                <w:rFonts w:hint="eastAsia" w:ascii="宋体" w:hAnsi="宋体"/>
                <w:kern w:val="0"/>
                <w:sz w:val="24"/>
                <w:lang w:bidi="en-US"/>
              </w:rPr>
            </w:pPr>
          </w:p>
        </w:tc>
      </w:tr>
      <w:tr w14:paraId="5F411C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0" w:hRule="atLeast"/>
        </w:trPr>
        <w:tc>
          <w:tcPr>
            <w:tcW w:w="1110" w:type="dxa"/>
          </w:tcPr>
          <w:p w14:paraId="21D95B9D">
            <w:pPr>
              <w:widowControl/>
              <w:shd w:val="clear" w:color="auto" w:fill="FFFFFF"/>
              <w:spacing w:line="265" w:lineRule="atLeast"/>
              <w:ind w:left="420"/>
              <w:contextualSpacing/>
              <w:jc w:val="left"/>
              <w:rPr>
                <w:rFonts w:hint="eastAsia" w:ascii="宋体" w:hAnsi="宋体"/>
                <w:kern w:val="0"/>
                <w:sz w:val="24"/>
                <w:lang w:bidi="en-US"/>
              </w:rPr>
            </w:pPr>
            <w:r>
              <w:rPr>
                <w:rFonts w:ascii="宋体" w:hAnsi="宋体"/>
                <w:kern w:val="0"/>
                <w:sz w:val="24"/>
                <w:lang w:bidi="en-US"/>
              </w:rPr>
              <w:t>…</w:t>
            </w:r>
          </w:p>
        </w:tc>
        <w:tc>
          <w:tcPr>
            <w:tcW w:w="4560" w:type="dxa"/>
          </w:tcPr>
          <w:p w14:paraId="2A9C4E9C">
            <w:pPr>
              <w:widowControl/>
              <w:shd w:val="clear" w:color="auto" w:fill="FFFFFF"/>
              <w:spacing w:line="265" w:lineRule="atLeast"/>
              <w:ind w:left="420"/>
              <w:contextualSpacing/>
              <w:jc w:val="left"/>
              <w:rPr>
                <w:rFonts w:hint="eastAsia" w:ascii="宋体" w:hAnsi="宋体"/>
                <w:kern w:val="0"/>
                <w:sz w:val="24"/>
                <w:lang w:bidi="en-US"/>
              </w:rPr>
            </w:pPr>
          </w:p>
        </w:tc>
        <w:tc>
          <w:tcPr>
            <w:tcW w:w="3570" w:type="dxa"/>
          </w:tcPr>
          <w:p w14:paraId="49806F78">
            <w:pPr>
              <w:widowControl/>
              <w:ind w:left="720"/>
              <w:contextualSpacing/>
              <w:jc w:val="left"/>
              <w:rPr>
                <w:rFonts w:hint="eastAsia" w:ascii="宋体" w:hAnsi="宋体"/>
                <w:kern w:val="0"/>
                <w:sz w:val="24"/>
                <w:lang w:bidi="en-US"/>
              </w:rPr>
            </w:pPr>
          </w:p>
        </w:tc>
      </w:tr>
      <w:tr w14:paraId="1762B0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0" w:hRule="atLeast"/>
        </w:trPr>
        <w:tc>
          <w:tcPr>
            <w:tcW w:w="1110" w:type="dxa"/>
          </w:tcPr>
          <w:p w14:paraId="5FE750F2">
            <w:pPr>
              <w:widowControl/>
              <w:shd w:val="clear" w:color="auto" w:fill="FFFFFF"/>
              <w:spacing w:line="265" w:lineRule="atLeast"/>
              <w:ind w:left="420"/>
              <w:contextualSpacing/>
              <w:jc w:val="left"/>
              <w:rPr>
                <w:rFonts w:hint="eastAsia" w:ascii="宋体" w:hAnsi="宋体"/>
                <w:kern w:val="0"/>
                <w:sz w:val="24"/>
                <w:lang w:bidi="en-US"/>
              </w:rPr>
            </w:pPr>
          </w:p>
        </w:tc>
        <w:tc>
          <w:tcPr>
            <w:tcW w:w="4560" w:type="dxa"/>
          </w:tcPr>
          <w:p w14:paraId="48193CBD">
            <w:pPr>
              <w:widowControl/>
              <w:shd w:val="clear" w:color="auto" w:fill="FFFFFF"/>
              <w:spacing w:line="265" w:lineRule="atLeast"/>
              <w:ind w:left="420"/>
              <w:contextualSpacing/>
              <w:jc w:val="left"/>
              <w:rPr>
                <w:rFonts w:hint="eastAsia" w:ascii="宋体" w:hAnsi="宋体"/>
                <w:kern w:val="0"/>
                <w:sz w:val="24"/>
                <w:lang w:bidi="en-US"/>
              </w:rPr>
            </w:pPr>
          </w:p>
        </w:tc>
        <w:tc>
          <w:tcPr>
            <w:tcW w:w="3570" w:type="dxa"/>
          </w:tcPr>
          <w:p w14:paraId="0B3BFCEC">
            <w:pPr>
              <w:widowControl/>
              <w:ind w:left="720"/>
              <w:contextualSpacing/>
              <w:jc w:val="left"/>
              <w:rPr>
                <w:rFonts w:hint="eastAsia" w:ascii="宋体" w:hAnsi="宋体"/>
                <w:kern w:val="0"/>
                <w:sz w:val="24"/>
                <w:lang w:bidi="en-US"/>
              </w:rPr>
            </w:pPr>
          </w:p>
        </w:tc>
      </w:tr>
      <w:tr w14:paraId="64F06F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trPr>
        <w:tc>
          <w:tcPr>
            <w:tcW w:w="1110" w:type="dxa"/>
          </w:tcPr>
          <w:p w14:paraId="401B90EC">
            <w:pPr>
              <w:widowControl/>
              <w:shd w:val="clear" w:color="auto" w:fill="FFFFFF"/>
              <w:spacing w:line="265" w:lineRule="atLeast"/>
              <w:ind w:left="420"/>
              <w:contextualSpacing/>
              <w:jc w:val="left"/>
              <w:rPr>
                <w:rFonts w:hint="eastAsia" w:ascii="宋体" w:hAnsi="宋体"/>
                <w:kern w:val="0"/>
                <w:sz w:val="24"/>
                <w:lang w:bidi="en-US"/>
              </w:rPr>
            </w:pPr>
          </w:p>
        </w:tc>
        <w:tc>
          <w:tcPr>
            <w:tcW w:w="4560" w:type="dxa"/>
          </w:tcPr>
          <w:p w14:paraId="7C93920F">
            <w:pPr>
              <w:widowControl/>
              <w:shd w:val="clear" w:color="auto" w:fill="FFFFFF"/>
              <w:spacing w:line="265" w:lineRule="atLeast"/>
              <w:ind w:left="420"/>
              <w:contextualSpacing/>
              <w:jc w:val="left"/>
              <w:rPr>
                <w:rFonts w:hint="eastAsia" w:ascii="宋体" w:hAnsi="宋体"/>
                <w:kern w:val="0"/>
                <w:sz w:val="24"/>
                <w:lang w:bidi="en-US"/>
              </w:rPr>
            </w:pPr>
          </w:p>
        </w:tc>
        <w:tc>
          <w:tcPr>
            <w:tcW w:w="3570" w:type="dxa"/>
          </w:tcPr>
          <w:p w14:paraId="445751F8">
            <w:pPr>
              <w:widowControl/>
              <w:ind w:left="720"/>
              <w:contextualSpacing/>
              <w:jc w:val="left"/>
              <w:rPr>
                <w:rFonts w:hint="eastAsia" w:ascii="宋体" w:hAnsi="宋体"/>
                <w:kern w:val="0"/>
                <w:sz w:val="24"/>
                <w:lang w:bidi="en-US"/>
              </w:rPr>
            </w:pPr>
          </w:p>
        </w:tc>
      </w:tr>
      <w:tr w14:paraId="245F59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1110" w:type="dxa"/>
          </w:tcPr>
          <w:p w14:paraId="76E45599">
            <w:pPr>
              <w:widowControl/>
              <w:shd w:val="clear" w:color="auto" w:fill="FFFFFF"/>
              <w:spacing w:line="265" w:lineRule="atLeast"/>
              <w:ind w:left="420"/>
              <w:contextualSpacing/>
              <w:jc w:val="left"/>
              <w:rPr>
                <w:rFonts w:hint="eastAsia" w:ascii="宋体" w:hAnsi="宋体"/>
                <w:kern w:val="0"/>
                <w:sz w:val="24"/>
                <w:lang w:bidi="en-US"/>
              </w:rPr>
            </w:pPr>
          </w:p>
        </w:tc>
        <w:tc>
          <w:tcPr>
            <w:tcW w:w="4560" w:type="dxa"/>
          </w:tcPr>
          <w:p w14:paraId="30B4BE27">
            <w:pPr>
              <w:widowControl/>
              <w:shd w:val="clear" w:color="auto" w:fill="FFFFFF"/>
              <w:spacing w:line="265" w:lineRule="atLeast"/>
              <w:ind w:left="420"/>
              <w:contextualSpacing/>
              <w:jc w:val="left"/>
              <w:rPr>
                <w:rFonts w:hint="eastAsia" w:ascii="宋体" w:hAnsi="宋体"/>
                <w:kern w:val="0"/>
                <w:sz w:val="24"/>
                <w:lang w:bidi="en-US"/>
              </w:rPr>
            </w:pPr>
          </w:p>
        </w:tc>
        <w:tc>
          <w:tcPr>
            <w:tcW w:w="3570" w:type="dxa"/>
          </w:tcPr>
          <w:p w14:paraId="20EFA37B">
            <w:pPr>
              <w:widowControl/>
              <w:ind w:left="720"/>
              <w:contextualSpacing/>
              <w:jc w:val="left"/>
              <w:rPr>
                <w:rFonts w:hint="eastAsia" w:ascii="宋体" w:hAnsi="宋体"/>
                <w:kern w:val="0"/>
                <w:sz w:val="24"/>
                <w:lang w:bidi="en-US"/>
              </w:rPr>
            </w:pPr>
          </w:p>
        </w:tc>
      </w:tr>
      <w:tr w14:paraId="7C58EA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0" w:hRule="atLeast"/>
        </w:trPr>
        <w:tc>
          <w:tcPr>
            <w:tcW w:w="1110" w:type="dxa"/>
          </w:tcPr>
          <w:p w14:paraId="79062A66">
            <w:pPr>
              <w:widowControl/>
              <w:shd w:val="clear" w:color="auto" w:fill="FFFFFF"/>
              <w:spacing w:line="265" w:lineRule="atLeast"/>
              <w:ind w:left="420"/>
              <w:contextualSpacing/>
              <w:jc w:val="left"/>
              <w:rPr>
                <w:rFonts w:hint="eastAsia" w:ascii="宋体" w:hAnsi="宋体"/>
                <w:kern w:val="0"/>
                <w:sz w:val="24"/>
                <w:lang w:bidi="en-US"/>
              </w:rPr>
            </w:pPr>
          </w:p>
        </w:tc>
        <w:tc>
          <w:tcPr>
            <w:tcW w:w="4560" w:type="dxa"/>
          </w:tcPr>
          <w:p w14:paraId="7C958C14">
            <w:pPr>
              <w:widowControl/>
              <w:shd w:val="clear" w:color="auto" w:fill="FFFFFF"/>
              <w:spacing w:line="265" w:lineRule="atLeast"/>
              <w:ind w:left="420"/>
              <w:contextualSpacing/>
              <w:jc w:val="left"/>
              <w:rPr>
                <w:rFonts w:hint="eastAsia" w:ascii="宋体" w:hAnsi="宋体"/>
                <w:kern w:val="0"/>
                <w:sz w:val="24"/>
                <w:lang w:bidi="en-US"/>
              </w:rPr>
            </w:pPr>
          </w:p>
        </w:tc>
        <w:tc>
          <w:tcPr>
            <w:tcW w:w="3570" w:type="dxa"/>
          </w:tcPr>
          <w:p w14:paraId="102BD361">
            <w:pPr>
              <w:widowControl/>
              <w:ind w:left="720"/>
              <w:contextualSpacing/>
              <w:jc w:val="left"/>
              <w:rPr>
                <w:rFonts w:hint="eastAsia" w:ascii="宋体" w:hAnsi="宋体"/>
                <w:kern w:val="0"/>
                <w:sz w:val="24"/>
                <w:lang w:bidi="en-US"/>
              </w:rPr>
            </w:pPr>
          </w:p>
        </w:tc>
      </w:tr>
      <w:tr w14:paraId="06BE94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9" w:hRule="atLeast"/>
        </w:trPr>
        <w:tc>
          <w:tcPr>
            <w:tcW w:w="1110" w:type="dxa"/>
          </w:tcPr>
          <w:p w14:paraId="7A21A9C5">
            <w:pPr>
              <w:widowControl/>
              <w:shd w:val="clear" w:color="auto" w:fill="FFFFFF"/>
              <w:spacing w:line="265" w:lineRule="atLeast"/>
              <w:ind w:left="420"/>
              <w:contextualSpacing/>
              <w:jc w:val="left"/>
              <w:rPr>
                <w:rFonts w:hint="eastAsia" w:ascii="宋体" w:hAnsi="宋体"/>
                <w:kern w:val="0"/>
                <w:sz w:val="24"/>
                <w:lang w:bidi="en-US"/>
              </w:rPr>
            </w:pPr>
          </w:p>
        </w:tc>
        <w:tc>
          <w:tcPr>
            <w:tcW w:w="4560" w:type="dxa"/>
          </w:tcPr>
          <w:p w14:paraId="787AD915">
            <w:pPr>
              <w:widowControl/>
              <w:shd w:val="clear" w:color="auto" w:fill="FFFFFF"/>
              <w:spacing w:line="265" w:lineRule="atLeast"/>
              <w:ind w:left="420"/>
              <w:contextualSpacing/>
              <w:jc w:val="left"/>
              <w:rPr>
                <w:rFonts w:hint="eastAsia" w:ascii="宋体" w:hAnsi="宋体"/>
                <w:kern w:val="0"/>
                <w:sz w:val="24"/>
                <w:lang w:bidi="en-US"/>
              </w:rPr>
            </w:pPr>
          </w:p>
        </w:tc>
        <w:tc>
          <w:tcPr>
            <w:tcW w:w="3570" w:type="dxa"/>
          </w:tcPr>
          <w:p w14:paraId="1BE6F7D6">
            <w:pPr>
              <w:widowControl/>
              <w:ind w:left="720"/>
              <w:contextualSpacing/>
              <w:jc w:val="left"/>
              <w:rPr>
                <w:rFonts w:hint="eastAsia" w:ascii="宋体" w:hAnsi="宋体"/>
                <w:kern w:val="0"/>
                <w:sz w:val="24"/>
                <w:lang w:bidi="en-US"/>
              </w:rPr>
            </w:pPr>
          </w:p>
        </w:tc>
      </w:tr>
      <w:tr w14:paraId="1AD2FB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8" w:hRule="atLeast"/>
        </w:trPr>
        <w:tc>
          <w:tcPr>
            <w:tcW w:w="1110" w:type="dxa"/>
          </w:tcPr>
          <w:p w14:paraId="584C135B">
            <w:pPr>
              <w:widowControl/>
              <w:shd w:val="clear" w:color="auto" w:fill="FFFFFF"/>
              <w:spacing w:line="265" w:lineRule="atLeast"/>
              <w:ind w:left="420"/>
              <w:contextualSpacing/>
              <w:jc w:val="left"/>
              <w:rPr>
                <w:rFonts w:hint="eastAsia" w:ascii="宋体" w:hAnsi="宋体"/>
                <w:kern w:val="0"/>
                <w:sz w:val="24"/>
                <w:lang w:bidi="en-US"/>
              </w:rPr>
            </w:pPr>
          </w:p>
        </w:tc>
        <w:tc>
          <w:tcPr>
            <w:tcW w:w="4560" w:type="dxa"/>
          </w:tcPr>
          <w:p w14:paraId="798F6B8A">
            <w:pPr>
              <w:widowControl/>
              <w:shd w:val="clear" w:color="auto" w:fill="FFFFFF"/>
              <w:spacing w:line="265" w:lineRule="atLeast"/>
              <w:ind w:left="420"/>
              <w:contextualSpacing/>
              <w:jc w:val="left"/>
              <w:rPr>
                <w:rFonts w:hint="eastAsia" w:ascii="宋体" w:hAnsi="宋体"/>
                <w:kern w:val="0"/>
                <w:sz w:val="24"/>
                <w:lang w:bidi="en-US"/>
              </w:rPr>
            </w:pPr>
          </w:p>
        </w:tc>
        <w:tc>
          <w:tcPr>
            <w:tcW w:w="3570" w:type="dxa"/>
          </w:tcPr>
          <w:p w14:paraId="0E1D730A">
            <w:pPr>
              <w:widowControl/>
              <w:ind w:left="720"/>
              <w:contextualSpacing/>
              <w:jc w:val="left"/>
              <w:rPr>
                <w:rFonts w:hint="eastAsia" w:ascii="宋体" w:hAnsi="宋体"/>
                <w:kern w:val="0"/>
                <w:sz w:val="24"/>
                <w:lang w:bidi="en-US"/>
              </w:rPr>
            </w:pPr>
          </w:p>
        </w:tc>
      </w:tr>
      <w:tr w14:paraId="44C139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9" w:hRule="atLeast"/>
        </w:trPr>
        <w:tc>
          <w:tcPr>
            <w:tcW w:w="1110" w:type="dxa"/>
          </w:tcPr>
          <w:p w14:paraId="2AFFD3C7">
            <w:pPr>
              <w:widowControl/>
              <w:shd w:val="clear" w:color="auto" w:fill="FFFFFF"/>
              <w:spacing w:line="265" w:lineRule="atLeast"/>
              <w:ind w:left="420"/>
              <w:contextualSpacing/>
              <w:jc w:val="left"/>
              <w:rPr>
                <w:rFonts w:hint="eastAsia" w:ascii="宋体" w:hAnsi="宋体"/>
                <w:kern w:val="0"/>
                <w:sz w:val="24"/>
                <w:lang w:bidi="en-US"/>
              </w:rPr>
            </w:pPr>
          </w:p>
        </w:tc>
        <w:tc>
          <w:tcPr>
            <w:tcW w:w="4560" w:type="dxa"/>
          </w:tcPr>
          <w:p w14:paraId="336C371C">
            <w:pPr>
              <w:widowControl/>
              <w:shd w:val="clear" w:color="auto" w:fill="FFFFFF"/>
              <w:spacing w:line="265" w:lineRule="atLeast"/>
              <w:ind w:left="420"/>
              <w:contextualSpacing/>
              <w:jc w:val="left"/>
              <w:rPr>
                <w:rFonts w:hint="eastAsia" w:ascii="宋体" w:hAnsi="宋体"/>
                <w:kern w:val="0"/>
                <w:sz w:val="24"/>
                <w:lang w:bidi="en-US"/>
              </w:rPr>
            </w:pPr>
          </w:p>
        </w:tc>
        <w:tc>
          <w:tcPr>
            <w:tcW w:w="3570" w:type="dxa"/>
          </w:tcPr>
          <w:p w14:paraId="598B0164">
            <w:pPr>
              <w:widowControl/>
              <w:ind w:left="720"/>
              <w:contextualSpacing/>
              <w:jc w:val="left"/>
              <w:rPr>
                <w:rFonts w:hint="eastAsia" w:ascii="宋体" w:hAnsi="宋体"/>
                <w:kern w:val="0"/>
                <w:sz w:val="24"/>
                <w:lang w:bidi="en-US"/>
              </w:rPr>
            </w:pPr>
          </w:p>
        </w:tc>
      </w:tr>
      <w:tr w14:paraId="2D4C0C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0" w:hRule="atLeast"/>
        </w:trPr>
        <w:tc>
          <w:tcPr>
            <w:tcW w:w="1110" w:type="dxa"/>
          </w:tcPr>
          <w:p w14:paraId="43C63F6E">
            <w:pPr>
              <w:widowControl/>
              <w:shd w:val="clear" w:color="auto" w:fill="FFFFFF"/>
              <w:spacing w:line="265" w:lineRule="atLeast"/>
              <w:ind w:left="420"/>
              <w:contextualSpacing/>
              <w:jc w:val="left"/>
              <w:rPr>
                <w:rFonts w:hint="eastAsia" w:ascii="宋体" w:hAnsi="宋体"/>
                <w:b/>
                <w:bCs/>
                <w:kern w:val="0"/>
                <w:sz w:val="24"/>
                <w:lang w:bidi="en-US"/>
              </w:rPr>
            </w:pPr>
          </w:p>
        </w:tc>
        <w:tc>
          <w:tcPr>
            <w:tcW w:w="4560" w:type="dxa"/>
          </w:tcPr>
          <w:p w14:paraId="277C3774">
            <w:pPr>
              <w:widowControl/>
              <w:shd w:val="clear" w:color="auto" w:fill="FFFFFF"/>
              <w:spacing w:line="265" w:lineRule="atLeast"/>
              <w:ind w:left="420"/>
              <w:contextualSpacing/>
              <w:jc w:val="left"/>
              <w:rPr>
                <w:rFonts w:hint="eastAsia" w:ascii="宋体" w:hAnsi="宋体"/>
                <w:b/>
                <w:bCs/>
                <w:kern w:val="0"/>
                <w:sz w:val="24"/>
                <w:lang w:bidi="en-US"/>
              </w:rPr>
            </w:pPr>
          </w:p>
        </w:tc>
        <w:tc>
          <w:tcPr>
            <w:tcW w:w="3570" w:type="dxa"/>
          </w:tcPr>
          <w:p w14:paraId="63682478">
            <w:pPr>
              <w:widowControl/>
              <w:ind w:left="720"/>
              <w:contextualSpacing/>
              <w:jc w:val="left"/>
              <w:rPr>
                <w:rFonts w:hint="eastAsia" w:ascii="宋体" w:hAnsi="宋体"/>
                <w:kern w:val="0"/>
                <w:sz w:val="24"/>
                <w:lang w:bidi="en-US"/>
              </w:rPr>
            </w:pPr>
          </w:p>
        </w:tc>
      </w:tr>
      <w:tr w14:paraId="2C26A1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trPr>
        <w:tc>
          <w:tcPr>
            <w:tcW w:w="1110" w:type="dxa"/>
          </w:tcPr>
          <w:p w14:paraId="5993DBF4">
            <w:pPr>
              <w:widowControl/>
              <w:shd w:val="clear" w:color="auto" w:fill="FFFFFF"/>
              <w:spacing w:line="265" w:lineRule="atLeast"/>
              <w:ind w:left="420"/>
              <w:contextualSpacing/>
              <w:jc w:val="left"/>
              <w:rPr>
                <w:rFonts w:hint="eastAsia" w:ascii="宋体" w:hAnsi="宋体"/>
                <w:kern w:val="0"/>
                <w:sz w:val="24"/>
                <w:lang w:bidi="en-US"/>
              </w:rPr>
            </w:pPr>
          </w:p>
        </w:tc>
        <w:tc>
          <w:tcPr>
            <w:tcW w:w="4560" w:type="dxa"/>
          </w:tcPr>
          <w:p w14:paraId="186A046C">
            <w:pPr>
              <w:widowControl/>
              <w:shd w:val="clear" w:color="auto" w:fill="FFFFFF"/>
              <w:spacing w:line="265" w:lineRule="atLeast"/>
              <w:ind w:left="420"/>
              <w:contextualSpacing/>
              <w:jc w:val="left"/>
              <w:rPr>
                <w:rFonts w:hint="eastAsia" w:ascii="宋体" w:hAnsi="宋体"/>
                <w:kern w:val="0"/>
                <w:sz w:val="24"/>
                <w:lang w:bidi="en-US"/>
              </w:rPr>
            </w:pPr>
          </w:p>
        </w:tc>
        <w:tc>
          <w:tcPr>
            <w:tcW w:w="3570" w:type="dxa"/>
          </w:tcPr>
          <w:p w14:paraId="3638627A">
            <w:pPr>
              <w:widowControl/>
              <w:ind w:left="720"/>
              <w:contextualSpacing/>
              <w:jc w:val="left"/>
              <w:rPr>
                <w:rFonts w:hint="eastAsia" w:ascii="宋体" w:hAnsi="宋体"/>
                <w:kern w:val="0"/>
                <w:sz w:val="24"/>
                <w:lang w:bidi="en-US"/>
              </w:rPr>
            </w:pPr>
          </w:p>
        </w:tc>
      </w:tr>
      <w:tr w14:paraId="7B9CEB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0" w:hRule="atLeast"/>
        </w:trPr>
        <w:tc>
          <w:tcPr>
            <w:tcW w:w="1110" w:type="dxa"/>
          </w:tcPr>
          <w:p w14:paraId="610DF09B">
            <w:pPr>
              <w:widowControl/>
              <w:shd w:val="clear" w:color="auto" w:fill="FFFFFF"/>
              <w:spacing w:line="265" w:lineRule="atLeast"/>
              <w:ind w:left="420"/>
              <w:contextualSpacing/>
              <w:jc w:val="left"/>
              <w:rPr>
                <w:rFonts w:hint="eastAsia" w:ascii="宋体" w:hAnsi="宋体"/>
                <w:b/>
                <w:bCs/>
                <w:kern w:val="0"/>
                <w:sz w:val="24"/>
                <w:lang w:bidi="en-US"/>
              </w:rPr>
            </w:pPr>
          </w:p>
        </w:tc>
        <w:tc>
          <w:tcPr>
            <w:tcW w:w="4560" w:type="dxa"/>
          </w:tcPr>
          <w:p w14:paraId="6ED44CFD">
            <w:pPr>
              <w:widowControl/>
              <w:shd w:val="clear" w:color="auto" w:fill="FFFFFF"/>
              <w:spacing w:line="265" w:lineRule="atLeast"/>
              <w:ind w:left="420"/>
              <w:contextualSpacing/>
              <w:jc w:val="left"/>
              <w:rPr>
                <w:rFonts w:hint="eastAsia" w:ascii="宋体" w:hAnsi="宋体"/>
                <w:b/>
                <w:bCs/>
                <w:kern w:val="0"/>
                <w:sz w:val="24"/>
                <w:lang w:bidi="en-US"/>
              </w:rPr>
            </w:pPr>
          </w:p>
        </w:tc>
        <w:tc>
          <w:tcPr>
            <w:tcW w:w="3570" w:type="dxa"/>
          </w:tcPr>
          <w:p w14:paraId="619A6837">
            <w:pPr>
              <w:widowControl/>
              <w:ind w:left="720"/>
              <w:contextualSpacing/>
              <w:jc w:val="left"/>
              <w:rPr>
                <w:rFonts w:hint="eastAsia" w:ascii="宋体" w:hAnsi="宋体"/>
                <w:kern w:val="0"/>
                <w:sz w:val="24"/>
                <w:lang w:bidi="en-US"/>
              </w:rPr>
            </w:pPr>
          </w:p>
        </w:tc>
      </w:tr>
      <w:tr w14:paraId="3DC7F5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0" w:hRule="atLeast"/>
        </w:trPr>
        <w:tc>
          <w:tcPr>
            <w:tcW w:w="1110" w:type="dxa"/>
          </w:tcPr>
          <w:p w14:paraId="4E0F3845">
            <w:pPr>
              <w:widowControl/>
              <w:shd w:val="clear" w:color="auto" w:fill="FFFFFF"/>
              <w:spacing w:line="265" w:lineRule="atLeast"/>
              <w:ind w:firstLine="480" w:firstLineChars="200"/>
              <w:contextualSpacing/>
              <w:jc w:val="left"/>
              <w:rPr>
                <w:rFonts w:hint="eastAsia" w:ascii="宋体" w:hAnsi="宋体"/>
                <w:kern w:val="0"/>
                <w:sz w:val="24"/>
                <w:lang w:bidi="en-US"/>
              </w:rPr>
            </w:pPr>
          </w:p>
        </w:tc>
        <w:tc>
          <w:tcPr>
            <w:tcW w:w="4560" w:type="dxa"/>
          </w:tcPr>
          <w:p w14:paraId="38EE816A">
            <w:pPr>
              <w:widowControl/>
              <w:shd w:val="clear" w:color="auto" w:fill="FFFFFF"/>
              <w:spacing w:line="265" w:lineRule="atLeast"/>
              <w:ind w:firstLine="480" w:firstLineChars="200"/>
              <w:contextualSpacing/>
              <w:jc w:val="left"/>
              <w:rPr>
                <w:rFonts w:hint="eastAsia" w:ascii="宋体" w:hAnsi="宋体"/>
                <w:kern w:val="0"/>
                <w:sz w:val="24"/>
                <w:lang w:bidi="en-US"/>
              </w:rPr>
            </w:pPr>
          </w:p>
        </w:tc>
        <w:tc>
          <w:tcPr>
            <w:tcW w:w="3570" w:type="dxa"/>
          </w:tcPr>
          <w:p w14:paraId="30E78AE3">
            <w:pPr>
              <w:widowControl/>
              <w:ind w:left="720"/>
              <w:contextualSpacing/>
              <w:jc w:val="left"/>
              <w:rPr>
                <w:rFonts w:hint="eastAsia" w:ascii="宋体" w:hAnsi="宋体"/>
                <w:kern w:val="0"/>
                <w:sz w:val="24"/>
                <w:lang w:bidi="en-US"/>
              </w:rPr>
            </w:pPr>
          </w:p>
        </w:tc>
      </w:tr>
      <w:tr w14:paraId="76C7D7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0" w:hRule="atLeast"/>
        </w:trPr>
        <w:tc>
          <w:tcPr>
            <w:tcW w:w="1110" w:type="dxa"/>
            <w:tcBorders>
              <w:bottom w:val="single" w:color="auto" w:sz="4" w:space="0"/>
            </w:tcBorders>
          </w:tcPr>
          <w:p w14:paraId="3B33D3DB">
            <w:pPr>
              <w:widowControl/>
              <w:shd w:val="clear" w:color="auto" w:fill="FFFFFF"/>
              <w:spacing w:line="265" w:lineRule="atLeast"/>
              <w:ind w:firstLine="480" w:firstLineChars="200"/>
              <w:contextualSpacing/>
              <w:jc w:val="left"/>
              <w:rPr>
                <w:rFonts w:hint="eastAsia" w:ascii="宋体" w:hAnsi="宋体"/>
                <w:kern w:val="0"/>
                <w:sz w:val="24"/>
                <w:lang w:bidi="en-US"/>
              </w:rPr>
            </w:pPr>
          </w:p>
        </w:tc>
        <w:tc>
          <w:tcPr>
            <w:tcW w:w="4560" w:type="dxa"/>
            <w:tcBorders>
              <w:bottom w:val="single" w:color="auto" w:sz="4" w:space="0"/>
            </w:tcBorders>
          </w:tcPr>
          <w:p w14:paraId="4E534B34">
            <w:pPr>
              <w:widowControl/>
              <w:shd w:val="clear" w:color="auto" w:fill="FFFFFF"/>
              <w:spacing w:line="265" w:lineRule="atLeast"/>
              <w:ind w:firstLine="480" w:firstLineChars="200"/>
              <w:contextualSpacing/>
              <w:jc w:val="left"/>
              <w:rPr>
                <w:rFonts w:hint="eastAsia" w:ascii="宋体" w:hAnsi="宋体"/>
                <w:kern w:val="0"/>
                <w:sz w:val="24"/>
                <w:lang w:bidi="en-US"/>
              </w:rPr>
            </w:pPr>
          </w:p>
        </w:tc>
        <w:tc>
          <w:tcPr>
            <w:tcW w:w="3570" w:type="dxa"/>
            <w:tcBorders>
              <w:bottom w:val="single" w:color="auto" w:sz="4" w:space="0"/>
            </w:tcBorders>
          </w:tcPr>
          <w:p w14:paraId="6C78F124">
            <w:pPr>
              <w:widowControl/>
              <w:ind w:left="720"/>
              <w:contextualSpacing/>
              <w:jc w:val="left"/>
              <w:rPr>
                <w:rFonts w:hint="eastAsia" w:ascii="宋体" w:hAnsi="宋体"/>
                <w:kern w:val="0"/>
                <w:sz w:val="24"/>
                <w:lang w:bidi="en-US"/>
              </w:rPr>
            </w:pPr>
          </w:p>
        </w:tc>
      </w:tr>
    </w:tbl>
    <w:p w14:paraId="6BA17433">
      <w:r>
        <w:rPr>
          <w:rFonts w:hint="eastAsia" w:ascii="宋体" w:hAnsi="宋体"/>
          <w:bCs/>
          <w:color w:val="000000"/>
          <w:sz w:val="28"/>
          <w:szCs w:val="28"/>
        </w:rPr>
        <w:t>请供应商仔细阅读采购文件，根据采购文件评分要求填写至上表并标注评审所需要的证明材料或方案内容的具体页码。</w:t>
      </w:r>
    </w:p>
    <w:p w14:paraId="2BF3BA7F">
      <w:pPr>
        <w:jc w:val="center"/>
        <w:rPr>
          <w:rFonts w:hint="eastAsia" w:ascii="黑体" w:hAnsi="黑体" w:eastAsia="黑体"/>
          <w:color w:val="000000"/>
          <w:sz w:val="30"/>
          <w:szCs w:val="30"/>
        </w:rPr>
      </w:pPr>
      <w:r>
        <w:rPr>
          <w:rFonts w:ascii="宋体" w:hAnsi="宋体"/>
          <w:sz w:val="32"/>
          <w:szCs w:val="32"/>
        </w:rPr>
        <w:br w:type="page"/>
      </w:r>
      <w:r>
        <w:rPr>
          <w:rFonts w:hint="eastAsia" w:ascii="黑体" w:hAnsi="黑体" w:eastAsia="黑体"/>
          <w:color w:val="000000"/>
          <w:sz w:val="30"/>
          <w:szCs w:val="30"/>
        </w:rPr>
        <w:t>二、资格性和符合性检查响应对照表</w:t>
      </w:r>
    </w:p>
    <w:tbl>
      <w:tblPr>
        <w:tblStyle w:val="41"/>
        <w:tblW w:w="955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17"/>
        <w:gridCol w:w="5954"/>
        <w:gridCol w:w="1417"/>
        <w:gridCol w:w="1370"/>
      </w:tblGrid>
      <w:tr w14:paraId="45E038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882" w:hRule="atLeast"/>
        </w:trPr>
        <w:tc>
          <w:tcPr>
            <w:tcW w:w="817" w:type="dxa"/>
            <w:vAlign w:val="center"/>
          </w:tcPr>
          <w:p w14:paraId="40465841">
            <w:pPr>
              <w:snapToGrid w:val="0"/>
              <w:spacing w:line="240" w:lineRule="atLeast"/>
              <w:jc w:val="center"/>
              <w:rPr>
                <w:rFonts w:hint="eastAsia" w:ascii="宋体" w:hAnsi="宋体"/>
                <w:color w:val="000000"/>
                <w:sz w:val="24"/>
              </w:rPr>
            </w:pPr>
            <w:r>
              <w:rPr>
                <w:rFonts w:hint="eastAsia" w:ascii="宋体" w:hAnsi="宋体"/>
                <w:color w:val="000000"/>
                <w:sz w:val="24"/>
              </w:rPr>
              <w:t>序号</w:t>
            </w:r>
          </w:p>
        </w:tc>
        <w:tc>
          <w:tcPr>
            <w:tcW w:w="5954" w:type="dxa"/>
            <w:vAlign w:val="center"/>
          </w:tcPr>
          <w:p w14:paraId="65B47F57">
            <w:pPr>
              <w:snapToGrid w:val="0"/>
              <w:spacing w:line="240" w:lineRule="atLeast"/>
              <w:jc w:val="center"/>
              <w:rPr>
                <w:rFonts w:hint="eastAsia" w:ascii="宋体" w:hAnsi="宋体"/>
                <w:color w:val="000000"/>
                <w:sz w:val="24"/>
              </w:rPr>
            </w:pPr>
            <w:r>
              <w:rPr>
                <w:rFonts w:hint="eastAsia" w:ascii="宋体" w:hAnsi="宋体"/>
                <w:color w:val="000000"/>
                <w:sz w:val="24"/>
              </w:rPr>
              <w:t>资格和符合性检查响应内容</w:t>
            </w:r>
          </w:p>
        </w:tc>
        <w:tc>
          <w:tcPr>
            <w:tcW w:w="1417" w:type="dxa"/>
            <w:vAlign w:val="center"/>
          </w:tcPr>
          <w:p w14:paraId="5886229E">
            <w:pPr>
              <w:snapToGrid w:val="0"/>
              <w:spacing w:line="240" w:lineRule="atLeast"/>
              <w:jc w:val="center"/>
              <w:rPr>
                <w:rFonts w:hint="eastAsia" w:ascii="宋体" w:hAnsi="宋体"/>
                <w:color w:val="000000"/>
                <w:sz w:val="24"/>
              </w:rPr>
            </w:pPr>
            <w:r>
              <w:rPr>
                <w:rFonts w:hint="eastAsia" w:ascii="宋体" w:hAnsi="宋体"/>
                <w:color w:val="000000"/>
                <w:sz w:val="24"/>
              </w:rPr>
              <w:t>是否响应</w:t>
            </w:r>
          </w:p>
          <w:p w14:paraId="2CEAE476">
            <w:pPr>
              <w:snapToGrid w:val="0"/>
              <w:spacing w:line="240" w:lineRule="atLeast"/>
              <w:jc w:val="center"/>
              <w:rPr>
                <w:rFonts w:hint="eastAsia" w:ascii="宋体" w:hAnsi="宋体"/>
                <w:color w:val="000000"/>
                <w:sz w:val="24"/>
              </w:rPr>
            </w:pPr>
            <w:r>
              <w:rPr>
                <w:rFonts w:hint="eastAsia" w:ascii="宋体" w:hAnsi="宋体"/>
                <w:color w:val="000000"/>
                <w:sz w:val="24"/>
              </w:rPr>
              <w:t>（填“是”或者“否”）</w:t>
            </w:r>
          </w:p>
        </w:tc>
        <w:tc>
          <w:tcPr>
            <w:tcW w:w="1370" w:type="dxa"/>
            <w:vAlign w:val="center"/>
          </w:tcPr>
          <w:p w14:paraId="4A4B4D45">
            <w:pPr>
              <w:snapToGrid w:val="0"/>
              <w:spacing w:line="240" w:lineRule="atLeast"/>
              <w:jc w:val="center"/>
              <w:rPr>
                <w:rFonts w:hint="eastAsia" w:ascii="宋体" w:hAnsi="宋体"/>
                <w:color w:val="000000"/>
                <w:sz w:val="24"/>
              </w:rPr>
            </w:pPr>
            <w:r>
              <w:rPr>
                <w:rFonts w:hint="eastAsia" w:ascii="宋体" w:hAnsi="宋体"/>
                <w:color w:val="000000"/>
                <w:sz w:val="24"/>
              </w:rPr>
              <w:t>响应文件中的页码位置</w:t>
            </w:r>
          </w:p>
        </w:tc>
      </w:tr>
      <w:tr w14:paraId="67D9E9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5" w:hRule="atLeast"/>
        </w:trPr>
        <w:tc>
          <w:tcPr>
            <w:tcW w:w="9558" w:type="dxa"/>
            <w:gridSpan w:val="4"/>
            <w:vAlign w:val="center"/>
          </w:tcPr>
          <w:p w14:paraId="45D3C283">
            <w:pPr>
              <w:rPr>
                <w:rFonts w:hint="eastAsia" w:ascii="宋体" w:hAnsi="宋体"/>
                <w:color w:val="000000"/>
                <w:sz w:val="24"/>
              </w:rPr>
            </w:pPr>
            <w:r>
              <w:rPr>
                <w:rFonts w:hint="eastAsia" w:ascii="宋体" w:hAnsi="宋体" w:cs="Arial"/>
                <w:sz w:val="28"/>
                <w:szCs w:val="36"/>
              </w:rPr>
              <w:t>（一）资格性检查主要内容（根据政府采购法律法规及采购文件要求需满足的资格条件）</w:t>
            </w:r>
          </w:p>
        </w:tc>
      </w:tr>
      <w:tr w14:paraId="48D4DF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5" w:hRule="atLeast"/>
        </w:trPr>
        <w:tc>
          <w:tcPr>
            <w:tcW w:w="817" w:type="dxa"/>
            <w:vAlign w:val="center"/>
          </w:tcPr>
          <w:p w14:paraId="2DDA8375">
            <w:pPr>
              <w:rPr>
                <w:rFonts w:hint="eastAsia" w:ascii="宋体" w:hAnsi="宋体"/>
                <w:iCs/>
                <w:color w:val="000000"/>
                <w:sz w:val="24"/>
              </w:rPr>
            </w:pPr>
            <w:r>
              <w:rPr>
                <w:rFonts w:hint="eastAsia" w:ascii="宋体" w:hAnsi="宋体"/>
                <w:iCs/>
                <w:color w:val="000000"/>
                <w:sz w:val="24"/>
              </w:rPr>
              <w:t>1</w:t>
            </w:r>
          </w:p>
        </w:tc>
        <w:tc>
          <w:tcPr>
            <w:tcW w:w="5954" w:type="dxa"/>
            <w:vAlign w:val="center"/>
          </w:tcPr>
          <w:p w14:paraId="32F1DDD8">
            <w:pPr>
              <w:snapToGrid w:val="0"/>
              <w:spacing w:line="360" w:lineRule="exact"/>
              <w:rPr>
                <w:rFonts w:hint="eastAsia" w:ascii="宋体" w:hAnsi="宋体"/>
                <w:color w:val="000000"/>
                <w:sz w:val="24"/>
              </w:rPr>
            </w:pPr>
            <w:r>
              <w:rPr>
                <w:rFonts w:hint="eastAsia" w:ascii="宋体" w:hAnsi="宋体"/>
                <w:color w:val="000000"/>
                <w:sz w:val="24"/>
              </w:rPr>
              <w:t>法人或者其他组织的营业执照（事业单位法人登记证书，社会团体法人登记证书）等证明文件（复印件并加盖公章）；自然人投标需提供自然人的身份证明（复印件并加盖公章）；非独立法人独立参加投标需提供法人授权其独立参加投标并承诺承担全部责任与风险的授权书原件、非独立法人营业执照复印件等证明文件（加盖公章）</w:t>
            </w:r>
          </w:p>
        </w:tc>
        <w:tc>
          <w:tcPr>
            <w:tcW w:w="1417" w:type="dxa"/>
            <w:vAlign w:val="center"/>
          </w:tcPr>
          <w:p w14:paraId="03D8861B">
            <w:pPr>
              <w:rPr>
                <w:rFonts w:hint="eastAsia" w:ascii="宋体" w:hAnsi="宋体"/>
                <w:color w:val="000000"/>
                <w:sz w:val="24"/>
              </w:rPr>
            </w:pPr>
          </w:p>
        </w:tc>
        <w:tc>
          <w:tcPr>
            <w:tcW w:w="1370" w:type="dxa"/>
            <w:vAlign w:val="center"/>
          </w:tcPr>
          <w:p w14:paraId="249D7D19">
            <w:pPr>
              <w:rPr>
                <w:rFonts w:hint="eastAsia" w:ascii="宋体" w:hAnsi="宋体"/>
                <w:color w:val="000000"/>
                <w:sz w:val="24"/>
              </w:rPr>
            </w:pPr>
          </w:p>
        </w:tc>
      </w:tr>
      <w:tr w14:paraId="0D0565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5" w:hRule="atLeast"/>
        </w:trPr>
        <w:tc>
          <w:tcPr>
            <w:tcW w:w="817" w:type="dxa"/>
            <w:vAlign w:val="center"/>
          </w:tcPr>
          <w:p w14:paraId="299E871F">
            <w:pPr>
              <w:rPr>
                <w:rFonts w:hint="eastAsia" w:ascii="宋体" w:hAnsi="宋体"/>
                <w:iCs/>
                <w:color w:val="000000"/>
                <w:sz w:val="24"/>
              </w:rPr>
            </w:pPr>
            <w:r>
              <w:rPr>
                <w:rFonts w:hint="eastAsia" w:ascii="宋体" w:hAnsi="宋体"/>
                <w:iCs/>
                <w:color w:val="000000"/>
                <w:sz w:val="24"/>
              </w:rPr>
              <w:t>2</w:t>
            </w:r>
          </w:p>
        </w:tc>
        <w:tc>
          <w:tcPr>
            <w:tcW w:w="5954" w:type="dxa"/>
            <w:vAlign w:val="center"/>
          </w:tcPr>
          <w:p w14:paraId="41B280CF">
            <w:pPr>
              <w:snapToGrid w:val="0"/>
              <w:spacing w:line="360" w:lineRule="exact"/>
              <w:rPr>
                <w:rFonts w:hint="eastAsia" w:ascii="宋体" w:hAnsi="宋体"/>
                <w:color w:val="000000"/>
                <w:sz w:val="24"/>
              </w:rPr>
            </w:pPr>
            <w:r>
              <w:rPr>
                <w:rFonts w:hint="eastAsia" w:ascii="宋体" w:hAnsi="宋体"/>
                <w:color w:val="000000"/>
                <w:sz w:val="24"/>
              </w:rPr>
              <w:t>2023年度财务状况报告（复印件并加盖公章，成立不满一年仅需提供提交响应文件截止之日前一个月的会计报表）</w:t>
            </w:r>
          </w:p>
        </w:tc>
        <w:tc>
          <w:tcPr>
            <w:tcW w:w="1417" w:type="dxa"/>
            <w:vAlign w:val="center"/>
          </w:tcPr>
          <w:p w14:paraId="78046927">
            <w:pPr>
              <w:rPr>
                <w:rFonts w:hint="eastAsia" w:ascii="宋体" w:hAnsi="宋体"/>
                <w:color w:val="000000"/>
                <w:sz w:val="24"/>
              </w:rPr>
            </w:pPr>
          </w:p>
        </w:tc>
        <w:tc>
          <w:tcPr>
            <w:tcW w:w="1370" w:type="dxa"/>
            <w:vAlign w:val="center"/>
          </w:tcPr>
          <w:p w14:paraId="5C42E2D8">
            <w:pPr>
              <w:rPr>
                <w:rFonts w:hint="eastAsia" w:ascii="宋体" w:hAnsi="宋体"/>
                <w:color w:val="000000"/>
                <w:sz w:val="24"/>
              </w:rPr>
            </w:pPr>
          </w:p>
        </w:tc>
      </w:tr>
      <w:tr w14:paraId="084A82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5" w:hRule="atLeast"/>
        </w:trPr>
        <w:tc>
          <w:tcPr>
            <w:tcW w:w="817" w:type="dxa"/>
            <w:vAlign w:val="center"/>
          </w:tcPr>
          <w:p w14:paraId="2302120B">
            <w:pPr>
              <w:rPr>
                <w:rFonts w:hint="eastAsia" w:ascii="宋体" w:hAnsi="宋体"/>
                <w:iCs/>
                <w:color w:val="000000"/>
                <w:sz w:val="24"/>
              </w:rPr>
            </w:pPr>
            <w:r>
              <w:rPr>
                <w:rFonts w:hint="eastAsia" w:ascii="宋体" w:hAnsi="宋体"/>
                <w:iCs/>
                <w:color w:val="000000"/>
                <w:sz w:val="24"/>
              </w:rPr>
              <w:t>3</w:t>
            </w:r>
          </w:p>
        </w:tc>
        <w:tc>
          <w:tcPr>
            <w:tcW w:w="5954" w:type="dxa"/>
            <w:vAlign w:val="center"/>
          </w:tcPr>
          <w:p w14:paraId="217AE892">
            <w:pPr>
              <w:snapToGrid w:val="0"/>
              <w:spacing w:line="360" w:lineRule="exact"/>
              <w:rPr>
                <w:rFonts w:hint="eastAsia" w:ascii="宋体" w:hAnsi="宋体"/>
                <w:color w:val="000000"/>
                <w:sz w:val="24"/>
              </w:rPr>
            </w:pPr>
            <w:r>
              <w:rPr>
                <w:rFonts w:hint="eastAsia" w:ascii="宋体" w:hAnsi="宋体"/>
                <w:color w:val="000000"/>
                <w:sz w:val="24"/>
              </w:rPr>
              <w:t>依法缴纳税收的相关材料（距提交响应文件截止之日前的一年内任意一个月的相关证明材料复印件并加盖公章）</w:t>
            </w:r>
          </w:p>
        </w:tc>
        <w:tc>
          <w:tcPr>
            <w:tcW w:w="1417" w:type="dxa"/>
            <w:vAlign w:val="center"/>
          </w:tcPr>
          <w:p w14:paraId="0338E1D7">
            <w:pPr>
              <w:rPr>
                <w:rFonts w:hint="eastAsia" w:ascii="宋体" w:hAnsi="宋体"/>
                <w:color w:val="000000"/>
                <w:sz w:val="24"/>
              </w:rPr>
            </w:pPr>
          </w:p>
        </w:tc>
        <w:tc>
          <w:tcPr>
            <w:tcW w:w="1370" w:type="dxa"/>
            <w:vAlign w:val="center"/>
          </w:tcPr>
          <w:p w14:paraId="383C9C72">
            <w:pPr>
              <w:rPr>
                <w:rFonts w:hint="eastAsia" w:ascii="宋体" w:hAnsi="宋体"/>
                <w:color w:val="000000"/>
                <w:sz w:val="24"/>
              </w:rPr>
            </w:pPr>
          </w:p>
        </w:tc>
      </w:tr>
      <w:tr w14:paraId="53E23C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5" w:hRule="atLeast"/>
        </w:trPr>
        <w:tc>
          <w:tcPr>
            <w:tcW w:w="817" w:type="dxa"/>
            <w:vAlign w:val="center"/>
          </w:tcPr>
          <w:p w14:paraId="2D86FF94">
            <w:pPr>
              <w:rPr>
                <w:rFonts w:hint="eastAsia" w:ascii="宋体" w:hAnsi="宋体" w:cs="Arial"/>
                <w:sz w:val="28"/>
                <w:szCs w:val="36"/>
              </w:rPr>
            </w:pPr>
            <w:r>
              <w:rPr>
                <w:rFonts w:ascii="宋体" w:hAnsi="宋体"/>
                <w:iCs/>
                <w:color w:val="000000"/>
                <w:sz w:val="24"/>
              </w:rPr>
              <w:t>4</w:t>
            </w:r>
          </w:p>
        </w:tc>
        <w:tc>
          <w:tcPr>
            <w:tcW w:w="5954" w:type="dxa"/>
            <w:vAlign w:val="center"/>
          </w:tcPr>
          <w:p w14:paraId="2F07A5F6">
            <w:pPr>
              <w:snapToGrid w:val="0"/>
              <w:spacing w:line="360" w:lineRule="exact"/>
              <w:rPr>
                <w:rFonts w:hint="eastAsia" w:ascii="宋体" w:hAnsi="宋体"/>
                <w:color w:val="000000"/>
                <w:sz w:val="24"/>
              </w:rPr>
            </w:pPr>
            <w:r>
              <w:rPr>
                <w:rFonts w:hint="eastAsia" w:ascii="宋体" w:hAnsi="宋体"/>
                <w:color w:val="000000"/>
                <w:sz w:val="24"/>
              </w:rPr>
              <w:t>依法缴纳社会保障资金的相关材料（距提交响应文件截止之日前的一年内任意一个月的相关证明材料复印件并加盖公章）</w:t>
            </w:r>
          </w:p>
        </w:tc>
        <w:tc>
          <w:tcPr>
            <w:tcW w:w="1417" w:type="dxa"/>
            <w:vAlign w:val="center"/>
          </w:tcPr>
          <w:p w14:paraId="537695FF">
            <w:pPr>
              <w:rPr>
                <w:rFonts w:hint="eastAsia" w:ascii="宋体" w:hAnsi="宋体"/>
                <w:color w:val="000000"/>
                <w:sz w:val="24"/>
              </w:rPr>
            </w:pPr>
          </w:p>
        </w:tc>
        <w:tc>
          <w:tcPr>
            <w:tcW w:w="1370" w:type="dxa"/>
            <w:vAlign w:val="center"/>
          </w:tcPr>
          <w:p w14:paraId="07654A5B">
            <w:pPr>
              <w:rPr>
                <w:rFonts w:hint="eastAsia" w:ascii="宋体" w:hAnsi="宋体"/>
                <w:color w:val="000000"/>
                <w:sz w:val="24"/>
              </w:rPr>
            </w:pPr>
          </w:p>
        </w:tc>
      </w:tr>
      <w:tr w14:paraId="283330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9" w:hRule="atLeast"/>
        </w:trPr>
        <w:tc>
          <w:tcPr>
            <w:tcW w:w="817" w:type="dxa"/>
            <w:vAlign w:val="center"/>
          </w:tcPr>
          <w:p w14:paraId="2926CB5D">
            <w:pPr>
              <w:rPr>
                <w:rFonts w:hint="eastAsia" w:ascii="宋体" w:hAnsi="宋体"/>
                <w:iCs/>
                <w:color w:val="000000"/>
                <w:sz w:val="24"/>
              </w:rPr>
            </w:pPr>
            <w:r>
              <w:rPr>
                <w:rFonts w:ascii="宋体" w:hAnsi="宋体"/>
                <w:iCs/>
                <w:color w:val="000000"/>
                <w:sz w:val="24"/>
              </w:rPr>
              <w:t>5</w:t>
            </w:r>
          </w:p>
        </w:tc>
        <w:tc>
          <w:tcPr>
            <w:tcW w:w="5954" w:type="dxa"/>
            <w:vAlign w:val="center"/>
          </w:tcPr>
          <w:p w14:paraId="5054864D">
            <w:pPr>
              <w:snapToGrid w:val="0"/>
              <w:spacing w:line="360" w:lineRule="exact"/>
              <w:rPr>
                <w:rFonts w:hint="eastAsia" w:ascii="宋体" w:hAnsi="宋体"/>
                <w:color w:val="000000"/>
                <w:sz w:val="24"/>
              </w:rPr>
            </w:pPr>
            <w:r>
              <w:rPr>
                <w:rFonts w:hint="eastAsia" w:ascii="宋体" w:hAnsi="宋体"/>
                <w:color w:val="000000"/>
                <w:sz w:val="24"/>
              </w:rPr>
              <w:t>具备履行合同所必需的设备和专业技术能力的书面声明（原件并加盖公章）</w:t>
            </w:r>
          </w:p>
        </w:tc>
        <w:tc>
          <w:tcPr>
            <w:tcW w:w="1417" w:type="dxa"/>
            <w:vAlign w:val="center"/>
          </w:tcPr>
          <w:p w14:paraId="55B117CE">
            <w:pPr>
              <w:rPr>
                <w:rFonts w:hint="eastAsia" w:ascii="宋体" w:hAnsi="宋体"/>
                <w:color w:val="000000"/>
                <w:sz w:val="24"/>
              </w:rPr>
            </w:pPr>
          </w:p>
        </w:tc>
        <w:tc>
          <w:tcPr>
            <w:tcW w:w="1370" w:type="dxa"/>
            <w:vAlign w:val="center"/>
          </w:tcPr>
          <w:p w14:paraId="05EB1FE4">
            <w:pPr>
              <w:rPr>
                <w:rFonts w:hint="eastAsia" w:ascii="宋体" w:hAnsi="宋体"/>
                <w:color w:val="000000"/>
                <w:sz w:val="24"/>
              </w:rPr>
            </w:pPr>
          </w:p>
        </w:tc>
      </w:tr>
      <w:tr w14:paraId="32DBDD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99" w:hRule="atLeast"/>
        </w:trPr>
        <w:tc>
          <w:tcPr>
            <w:tcW w:w="817" w:type="dxa"/>
            <w:vAlign w:val="center"/>
          </w:tcPr>
          <w:p w14:paraId="4ED624E2">
            <w:pPr>
              <w:rPr>
                <w:rFonts w:hint="eastAsia" w:ascii="宋体" w:hAnsi="宋体"/>
                <w:iCs/>
                <w:color w:val="000000"/>
                <w:sz w:val="24"/>
              </w:rPr>
            </w:pPr>
            <w:r>
              <w:rPr>
                <w:rFonts w:ascii="宋体" w:hAnsi="宋体"/>
                <w:iCs/>
                <w:color w:val="000000"/>
                <w:sz w:val="24"/>
              </w:rPr>
              <w:t>6</w:t>
            </w:r>
          </w:p>
        </w:tc>
        <w:tc>
          <w:tcPr>
            <w:tcW w:w="5954" w:type="dxa"/>
            <w:vAlign w:val="center"/>
          </w:tcPr>
          <w:p w14:paraId="0851D709">
            <w:pPr>
              <w:snapToGrid w:val="0"/>
              <w:spacing w:line="360" w:lineRule="exact"/>
              <w:rPr>
                <w:rFonts w:hint="eastAsia" w:ascii="宋体" w:hAnsi="宋体"/>
                <w:color w:val="000000"/>
                <w:sz w:val="24"/>
              </w:rPr>
            </w:pPr>
            <w:r>
              <w:rPr>
                <w:rFonts w:hint="eastAsia" w:ascii="宋体" w:hAnsi="宋体"/>
                <w:color w:val="000000"/>
                <w:sz w:val="24"/>
              </w:rPr>
              <w:t>参加政府采购活动前3年内（距提交响应文件截止之日前）在经营活动中没有重大违法记录的书面声明（原件并加盖公章）</w:t>
            </w:r>
          </w:p>
        </w:tc>
        <w:tc>
          <w:tcPr>
            <w:tcW w:w="1417" w:type="dxa"/>
            <w:vAlign w:val="center"/>
          </w:tcPr>
          <w:p w14:paraId="46B31B15">
            <w:pPr>
              <w:rPr>
                <w:rFonts w:hint="eastAsia" w:ascii="宋体" w:hAnsi="宋体"/>
                <w:color w:val="000000"/>
                <w:sz w:val="24"/>
              </w:rPr>
            </w:pPr>
          </w:p>
        </w:tc>
        <w:tc>
          <w:tcPr>
            <w:tcW w:w="1370" w:type="dxa"/>
            <w:vAlign w:val="center"/>
          </w:tcPr>
          <w:p w14:paraId="6022D1EA">
            <w:pPr>
              <w:rPr>
                <w:rFonts w:hint="eastAsia" w:ascii="宋体" w:hAnsi="宋体"/>
                <w:color w:val="000000"/>
                <w:sz w:val="24"/>
              </w:rPr>
            </w:pPr>
          </w:p>
        </w:tc>
      </w:tr>
      <w:tr w14:paraId="590D39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0" w:hRule="atLeast"/>
        </w:trPr>
        <w:tc>
          <w:tcPr>
            <w:tcW w:w="817" w:type="dxa"/>
            <w:vAlign w:val="center"/>
          </w:tcPr>
          <w:p w14:paraId="37C64810">
            <w:pPr>
              <w:rPr>
                <w:rFonts w:hint="eastAsia" w:ascii="宋体" w:hAnsi="宋体" w:cs="Arial"/>
                <w:sz w:val="28"/>
                <w:szCs w:val="36"/>
              </w:rPr>
            </w:pPr>
            <w:r>
              <w:rPr>
                <w:rFonts w:ascii="宋体" w:hAnsi="宋体"/>
                <w:iCs/>
                <w:color w:val="000000"/>
                <w:sz w:val="24"/>
              </w:rPr>
              <w:t>7</w:t>
            </w:r>
          </w:p>
        </w:tc>
        <w:tc>
          <w:tcPr>
            <w:tcW w:w="5954" w:type="dxa"/>
            <w:vAlign w:val="center"/>
          </w:tcPr>
          <w:p w14:paraId="4CC76D45">
            <w:pPr>
              <w:snapToGrid w:val="0"/>
              <w:spacing w:line="360" w:lineRule="exact"/>
              <w:rPr>
                <w:rFonts w:hint="eastAsia" w:ascii="宋体" w:hAnsi="宋体"/>
                <w:color w:val="000000"/>
                <w:sz w:val="24"/>
              </w:rPr>
            </w:pPr>
            <w:r>
              <w:rPr>
                <w:rFonts w:hint="eastAsia" w:ascii="宋体" w:hAnsi="宋体"/>
                <w:color w:val="000000"/>
                <w:sz w:val="24"/>
              </w:rPr>
              <w:t>具备法律、行政法规规定的其他条件的证明材料</w:t>
            </w:r>
            <w:r>
              <w:rPr>
                <w:rFonts w:hint="eastAsia" w:ascii="宋体" w:hAnsi="宋体"/>
                <w:iCs/>
                <w:color w:val="000000"/>
                <w:sz w:val="24"/>
              </w:rPr>
              <w:t>（如有）</w:t>
            </w:r>
          </w:p>
        </w:tc>
        <w:tc>
          <w:tcPr>
            <w:tcW w:w="1417" w:type="dxa"/>
            <w:vAlign w:val="center"/>
          </w:tcPr>
          <w:p w14:paraId="19B7D9A5">
            <w:pPr>
              <w:rPr>
                <w:rFonts w:hint="eastAsia" w:ascii="宋体" w:hAnsi="宋体"/>
                <w:color w:val="000000"/>
                <w:sz w:val="24"/>
              </w:rPr>
            </w:pPr>
          </w:p>
        </w:tc>
        <w:tc>
          <w:tcPr>
            <w:tcW w:w="1370" w:type="dxa"/>
            <w:vAlign w:val="center"/>
          </w:tcPr>
          <w:p w14:paraId="3D253FCC">
            <w:pPr>
              <w:rPr>
                <w:rFonts w:hint="eastAsia" w:ascii="宋体" w:hAnsi="宋体"/>
                <w:color w:val="000000"/>
                <w:sz w:val="24"/>
              </w:rPr>
            </w:pPr>
          </w:p>
        </w:tc>
      </w:tr>
      <w:tr w14:paraId="4A7779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8" w:hRule="atLeast"/>
        </w:trPr>
        <w:tc>
          <w:tcPr>
            <w:tcW w:w="817" w:type="dxa"/>
            <w:vAlign w:val="center"/>
          </w:tcPr>
          <w:p w14:paraId="6B5337B6">
            <w:pPr>
              <w:rPr>
                <w:rFonts w:hint="eastAsia" w:ascii="宋体" w:hAnsi="宋体"/>
                <w:iCs/>
                <w:color w:val="000000"/>
                <w:sz w:val="24"/>
              </w:rPr>
            </w:pPr>
            <w:r>
              <w:rPr>
                <w:rFonts w:hint="eastAsia" w:ascii="宋体" w:hAnsi="宋体"/>
                <w:iCs/>
                <w:color w:val="000000"/>
                <w:sz w:val="24"/>
              </w:rPr>
              <w:t>8</w:t>
            </w:r>
          </w:p>
        </w:tc>
        <w:tc>
          <w:tcPr>
            <w:tcW w:w="5954" w:type="dxa"/>
            <w:vAlign w:val="center"/>
          </w:tcPr>
          <w:p w14:paraId="728D2897">
            <w:pPr>
              <w:snapToGrid w:val="0"/>
              <w:spacing w:line="560" w:lineRule="exact"/>
              <w:jc w:val="left"/>
              <w:rPr>
                <w:rFonts w:hint="eastAsia" w:ascii="宋体" w:hAnsi="宋体"/>
                <w:color w:val="000000"/>
                <w:sz w:val="24"/>
              </w:rPr>
            </w:pPr>
            <w:r>
              <w:rPr>
                <w:rFonts w:hint="eastAsia" w:ascii="宋体" w:hAnsi="宋体"/>
                <w:color w:val="000000"/>
                <w:sz w:val="24"/>
              </w:rPr>
              <w:t>本项目的特定资格要求（如有）</w:t>
            </w:r>
          </w:p>
        </w:tc>
        <w:tc>
          <w:tcPr>
            <w:tcW w:w="1417" w:type="dxa"/>
            <w:vAlign w:val="center"/>
          </w:tcPr>
          <w:p w14:paraId="2C5B2337">
            <w:pPr>
              <w:rPr>
                <w:rFonts w:hint="eastAsia" w:ascii="宋体" w:hAnsi="宋体"/>
                <w:color w:val="000000"/>
                <w:sz w:val="24"/>
              </w:rPr>
            </w:pPr>
          </w:p>
        </w:tc>
        <w:tc>
          <w:tcPr>
            <w:tcW w:w="1370" w:type="dxa"/>
            <w:vAlign w:val="center"/>
          </w:tcPr>
          <w:p w14:paraId="3F62C049">
            <w:pPr>
              <w:rPr>
                <w:rFonts w:hint="eastAsia" w:ascii="宋体" w:hAnsi="宋体"/>
                <w:color w:val="000000"/>
                <w:sz w:val="24"/>
              </w:rPr>
            </w:pPr>
          </w:p>
        </w:tc>
      </w:tr>
      <w:tr w14:paraId="29E43C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1" w:hRule="atLeast"/>
        </w:trPr>
        <w:tc>
          <w:tcPr>
            <w:tcW w:w="817" w:type="dxa"/>
            <w:vAlign w:val="center"/>
          </w:tcPr>
          <w:p w14:paraId="646BBAF7">
            <w:pPr>
              <w:rPr>
                <w:rFonts w:hint="eastAsia" w:ascii="宋体" w:hAnsi="宋体"/>
                <w:iCs/>
                <w:color w:val="000000"/>
                <w:sz w:val="24"/>
              </w:rPr>
            </w:pPr>
            <w:r>
              <w:rPr>
                <w:rFonts w:ascii="宋体" w:hAnsi="宋体"/>
                <w:iCs/>
                <w:color w:val="000000"/>
                <w:sz w:val="24"/>
              </w:rPr>
              <w:t>9</w:t>
            </w:r>
          </w:p>
        </w:tc>
        <w:tc>
          <w:tcPr>
            <w:tcW w:w="5954" w:type="dxa"/>
            <w:vAlign w:val="center"/>
          </w:tcPr>
          <w:p w14:paraId="13F08E5E">
            <w:pPr>
              <w:snapToGrid w:val="0"/>
              <w:spacing w:line="360" w:lineRule="exact"/>
              <w:rPr>
                <w:rFonts w:hint="eastAsia" w:ascii="宋体" w:hAnsi="宋体"/>
                <w:color w:val="000000"/>
                <w:sz w:val="24"/>
              </w:rPr>
            </w:pPr>
            <w:r>
              <w:rPr>
                <w:rFonts w:hint="eastAsia" w:ascii="宋体" w:hAnsi="宋体"/>
                <w:color w:val="000000"/>
                <w:sz w:val="24"/>
              </w:rPr>
              <w:t>其他资格要求：（如有）……(请根据采购文件是否提出其他资格性要求自行添加删减序号与内容)</w:t>
            </w:r>
          </w:p>
        </w:tc>
        <w:tc>
          <w:tcPr>
            <w:tcW w:w="1417" w:type="dxa"/>
            <w:vAlign w:val="center"/>
          </w:tcPr>
          <w:p w14:paraId="0E927090">
            <w:pPr>
              <w:rPr>
                <w:rFonts w:hint="eastAsia" w:ascii="宋体" w:hAnsi="宋体"/>
                <w:color w:val="000000"/>
                <w:sz w:val="24"/>
              </w:rPr>
            </w:pPr>
          </w:p>
        </w:tc>
        <w:tc>
          <w:tcPr>
            <w:tcW w:w="1370" w:type="dxa"/>
            <w:vAlign w:val="center"/>
          </w:tcPr>
          <w:p w14:paraId="22F4F192">
            <w:pPr>
              <w:rPr>
                <w:rFonts w:hint="eastAsia" w:ascii="宋体" w:hAnsi="宋体"/>
                <w:color w:val="000000"/>
                <w:sz w:val="24"/>
              </w:rPr>
            </w:pPr>
          </w:p>
        </w:tc>
      </w:tr>
      <w:tr w14:paraId="084BE1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8" w:hRule="atLeast"/>
        </w:trPr>
        <w:tc>
          <w:tcPr>
            <w:tcW w:w="9558" w:type="dxa"/>
            <w:gridSpan w:val="4"/>
            <w:vAlign w:val="center"/>
          </w:tcPr>
          <w:p w14:paraId="33FCE78D">
            <w:pPr>
              <w:rPr>
                <w:rFonts w:hint="eastAsia" w:ascii="宋体" w:hAnsi="宋体"/>
                <w:color w:val="000000"/>
                <w:sz w:val="24"/>
              </w:rPr>
            </w:pPr>
            <w:r>
              <w:rPr>
                <w:rFonts w:ascii="宋体" w:hAnsi="宋体"/>
                <w:color w:val="000000"/>
                <w:sz w:val="24"/>
              </w:rPr>
              <w:t>……(</w:t>
            </w:r>
            <w:r>
              <w:rPr>
                <w:rFonts w:hint="eastAsia" w:ascii="宋体" w:hAnsi="宋体"/>
                <w:color w:val="000000"/>
                <w:sz w:val="24"/>
              </w:rPr>
              <w:t>可根据需要自行添加行数)</w:t>
            </w:r>
          </w:p>
        </w:tc>
      </w:tr>
      <w:tr w14:paraId="5C4201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8" w:hRule="atLeast"/>
        </w:trPr>
        <w:tc>
          <w:tcPr>
            <w:tcW w:w="9558" w:type="dxa"/>
            <w:gridSpan w:val="4"/>
            <w:vAlign w:val="center"/>
          </w:tcPr>
          <w:p w14:paraId="621F0CFC">
            <w:pPr>
              <w:rPr>
                <w:rFonts w:hint="eastAsia" w:ascii="宋体" w:hAnsi="宋体"/>
                <w:color w:val="000000"/>
                <w:sz w:val="24"/>
              </w:rPr>
            </w:pPr>
            <w:r>
              <w:rPr>
                <w:rFonts w:hint="eastAsia" w:ascii="宋体" w:hAnsi="宋体"/>
                <w:color w:val="000000"/>
                <w:sz w:val="24"/>
              </w:rPr>
              <w:t>（二）符合性检查主要内容（根据政府采购法律法规及采购文件要求需满足的各项符合性、实质性要求，包括形式要求和内容要求。包括但不限于响应文件的有效性、完整性，采购文件要求的各类承诺函、声明函，采购文件标★的实质性要求所需的证明文件、证明材料或响应方案等。本采购文件的项目需求中技术服务条款和商务条款标★的实质性要求在“技术及服务条款响应偏离表”和“商务条款响应偏离表”中填写后，可无须在此重复填写，但无论在何处填写均不得缺失）</w:t>
            </w:r>
          </w:p>
        </w:tc>
      </w:tr>
      <w:tr w14:paraId="78E239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1" w:hRule="atLeast"/>
        </w:trPr>
        <w:tc>
          <w:tcPr>
            <w:tcW w:w="817" w:type="dxa"/>
            <w:vAlign w:val="bottom"/>
          </w:tcPr>
          <w:p w14:paraId="6B4B0E26">
            <w:pPr>
              <w:rPr>
                <w:rFonts w:hint="eastAsia" w:ascii="宋体" w:hAnsi="宋体" w:cs="Arial"/>
                <w:sz w:val="28"/>
                <w:szCs w:val="36"/>
              </w:rPr>
            </w:pPr>
            <w:r>
              <w:rPr>
                <w:rFonts w:hint="eastAsia" w:ascii="宋体" w:hAnsi="宋体" w:cs="Arial"/>
                <w:sz w:val="28"/>
                <w:szCs w:val="36"/>
              </w:rPr>
              <w:t>1</w:t>
            </w:r>
          </w:p>
        </w:tc>
        <w:tc>
          <w:tcPr>
            <w:tcW w:w="5954" w:type="dxa"/>
            <w:vAlign w:val="center"/>
          </w:tcPr>
          <w:p w14:paraId="396AC65C">
            <w:pPr>
              <w:snapToGrid w:val="0"/>
              <w:spacing w:line="590" w:lineRule="atLeast"/>
              <w:rPr>
                <w:rFonts w:hint="eastAsia" w:ascii="宋体" w:hAnsi="宋体"/>
                <w:color w:val="000000"/>
                <w:sz w:val="24"/>
              </w:rPr>
            </w:pPr>
            <w:r>
              <w:rPr>
                <w:rFonts w:hint="eastAsia" w:ascii="宋体" w:hAnsi="宋体"/>
                <w:color w:val="000000"/>
                <w:sz w:val="24"/>
              </w:rPr>
              <w:t>法人授权书（原件并加盖公章）</w:t>
            </w:r>
          </w:p>
        </w:tc>
        <w:tc>
          <w:tcPr>
            <w:tcW w:w="1417" w:type="dxa"/>
            <w:vAlign w:val="center"/>
          </w:tcPr>
          <w:p w14:paraId="50488951">
            <w:pPr>
              <w:rPr>
                <w:rFonts w:hint="eastAsia" w:ascii="宋体" w:hAnsi="宋体"/>
                <w:color w:val="000000"/>
                <w:sz w:val="24"/>
              </w:rPr>
            </w:pPr>
          </w:p>
        </w:tc>
        <w:tc>
          <w:tcPr>
            <w:tcW w:w="1370" w:type="dxa"/>
            <w:vAlign w:val="center"/>
          </w:tcPr>
          <w:p w14:paraId="09C8D6B9">
            <w:pPr>
              <w:rPr>
                <w:rFonts w:hint="eastAsia" w:ascii="宋体" w:hAnsi="宋体"/>
                <w:color w:val="000000"/>
                <w:sz w:val="24"/>
              </w:rPr>
            </w:pPr>
          </w:p>
        </w:tc>
      </w:tr>
      <w:tr w14:paraId="2352CB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4" w:hRule="atLeast"/>
        </w:trPr>
        <w:tc>
          <w:tcPr>
            <w:tcW w:w="817" w:type="dxa"/>
            <w:vAlign w:val="bottom"/>
          </w:tcPr>
          <w:p w14:paraId="19B4346B">
            <w:pPr>
              <w:rPr>
                <w:rFonts w:hint="eastAsia" w:ascii="宋体" w:hAnsi="宋体" w:cs="Arial"/>
                <w:sz w:val="28"/>
                <w:szCs w:val="36"/>
              </w:rPr>
            </w:pPr>
            <w:r>
              <w:rPr>
                <w:rFonts w:hint="eastAsia" w:ascii="宋体" w:hAnsi="宋体" w:cs="Arial"/>
                <w:sz w:val="28"/>
                <w:szCs w:val="36"/>
              </w:rPr>
              <w:t>2</w:t>
            </w:r>
          </w:p>
        </w:tc>
        <w:tc>
          <w:tcPr>
            <w:tcW w:w="5954" w:type="dxa"/>
            <w:vAlign w:val="center"/>
          </w:tcPr>
          <w:p w14:paraId="314BAE6F">
            <w:pPr>
              <w:snapToGrid w:val="0"/>
              <w:spacing w:line="590" w:lineRule="atLeast"/>
              <w:rPr>
                <w:rFonts w:hint="eastAsia" w:ascii="宋体" w:hAnsi="宋体"/>
                <w:color w:val="000000"/>
                <w:sz w:val="24"/>
              </w:rPr>
            </w:pPr>
            <w:r>
              <w:rPr>
                <w:rFonts w:hint="eastAsia" w:ascii="宋体" w:hAnsi="宋体"/>
                <w:color w:val="000000"/>
                <w:sz w:val="24"/>
              </w:rPr>
              <w:t>磋商响应函（原件并加盖公章）</w:t>
            </w:r>
          </w:p>
        </w:tc>
        <w:tc>
          <w:tcPr>
            <w:tcW w:w="1417" w:type="dxa"/>
            <w:vAlign w:val="center"/>
          </w:tcPr>
          <w:p w14:paraId="3F6FAFB1">
            <w:pPr>
              <w:rPr>
                <w:rFonts w:hint="eastAsia" w:ascii="宋体" w:hAnsi="宋体"/>
                <w:color w:val="000000"/>
                <w:sz w:val="24"/>
              </w:rPr>
            </w:pPr>
          </w:p>
        </w:tc>
        <w:tc>
          <w:tcPr>
            <w:tcW w:w="1370" w:type="dxa"/>
            <w:vAlign w:val="center"/>
          </w:tcPr>
          <w:p w14:paraId="3AB3EB33">
            <w:pPr>
              <w:rPr>
                <w:rFonts w:hint="eastAsia" w:ascii="宋体" w:hAnsi="宋体"/>
                <w:color w:val="000000"/>
                <w:sz w:val="24"/>
              </w:rPr>
            </w:pPr>
          </w:p>
        </w:tc>
      </w:tr>
      <w:tr w14:paraId="280F76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2" w:hRule="atLeast"/>
        </w:trPr>
        <w:tc>
          <w:tcPr>
            <w:tcW w:w="817" w:type="dxa"/>
            <w:vAlign w:val="bottom"/>
          </w:tcPr>
          <w:p w14:paraId="3A542FBB">
            <w:pPr>
              <w:rPr>
                <w:rFonts w:hint="eastAsia" w:ascii="宋体" w:hAnsi="宋体" w:cs="Arial"/>
                <w:sz w:val="28"/>
                <w:szCs w:val="36"/>
              </w:rPr>
            </w:pPr>
            <w:r>
              <w:rPr>
                <w:rFonts w:hint="eastAsia" w:ascii="宋体" w:hAnsi="宋体" w:cs="Arial"/>
                <w:sz w:val="28"/>
                <w:szCs w:val="36"/>
              </w:rPr>
              <w:t>3</w:t>
            </w:r>
          </w:p>
        </w:tc>
        <w:tc>
          <w:tcPr>
            <w:tcW w:w="5954" w:type="dxa"/>
            <w:vAlign w:val="center"/>
          </w:tcPr>
          <w:p w14:paraId="4AB7E5CF">
            <w:pPr>
              <w:snapToGrid w:val="0"/>
              <w:spacing w:line="360" w:lineRule="exact"/>
              <w:rPr>
                <w:rFonts w:hint="eastAsia" w:ascii="宋体" w:hAnsi="宋体"/>
                <w:color w:val="000000"/>
                <w:sz w:val="24"/>
              </w:rPr>
            </w:pPr>
            <w:r>
              <w:rPr>
                <w:rFonts w:hint="eastAsia" w:ascii="宋体" w:hAnsi="宋体"/>
                <w:color w:val="000000"/>
                <w:sz w:val="24"/>
              </w:rPr>
              <w:t>不予分包或转包的承诺函（原件并加盖公章，内容需满足采购文件要求）</w:t>
            </w:r>
          </w:p>
        </w:tc>
        <w:tc>
          <w:tcPr>
            <w:tcW w:w="1417" w:type="dxa"/>
            <w:vAlign w:val="center"/>
          </w:tcPr>
          <w:p w14:paraId="0BF81DFA">
            <w:pPr>
              <w:rPr>
                <w:rFonts w:hint="eastAsia" w:ascii="宋体" w:hAnsi="宋体"/>
                <w:color w:val="000000"/>
                <w:sz w:val="24"/>
              </w:rPr>
            </w:pPr>
          </w:p>
        </w:tc>
        <w:tc>
          <w:tcPr>
            <w:tcW w:w="1370" w:type="dxa"/>
            <w:vAlign w:val="center"/>
          </w:tcPr>
          <w:p w14:paraId="48A2C940">
            <w:pPr>
              <w:rPr>
                <w:rFonts w:hint="eastAsia" w:ascii="宋体" w:hAnsi="宋体"/>
                <w:color w:val="000000"/>
                <w:sz w:val="24"/>
              </w:rPr>
            </w:pPr>
          </w:p>
        </w:tc>
      </w:tr>
      <w:tr w14:paraId="78E981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1" w:hRule="atLeast"/>
        </w:trPr>
        <w:tc>
          <w:tcPr>
            <w:tcW w:w="817" w:type="dxa"/>
            <w:vAlign w:val="bottom"/>
          </w:tcPr>
          <w:p w14:paraId="743DA182">
            <w:pPr>
              <w:rPr>
                <w:rFonts w:hint="eastAsia" w:ascii="宋体" w:hAnsi="宋体" w:cs="Arial"/>
                <w:sz w:val="28"/>
                <w:szCs w:val="36"/>
              </w:rPr>
            </w:pPr>
            <w:r>
              <w:rPr>
                <w:rFonts w:ascii="宋体" w:hAnsi="宋体" w:cs="Arial"/>
                <w:sz w:val="28"/>
                <w:szCs w:val="36"/>
              </w:rPr>
              <w:t>4</w:t>
            </w:r>
          </w:p>
        </w:tc>
        <w:tc>
          <w:tcPr>
            <w:tcW w:w="5954" w:type="dxa"/>
            <w:vAlign w:val="center"/>
          </w:tcPr>
          <w:p w14:paraId="7B69E77E">
            <w:pPr>
              <w:snapToGrid w:val="0"/>
              <w:spacing w:line="360" w:lineRule="exact"/>
              <w:rPr>
                <w:rFonts w:hint="eastAsia" w:ascii="宋体" w:hAnsi="宋体"/>
                <w:color w:val="000000"/>
                <w:sz w:val="24"/>
              </w:rPr>
            </w:pPr>
            <w:r>
              <w:rPr>
                <w:rFonts w:hint="eastAsia" w:ascii="宋体" w:hAnsi="宋体"/>
                <w:color w:val="000000"/>
                <w:sz w:val="24"/>
              </w:rPr>
              <w:t>质保及售后要求书面承诺函（原件并加盖公章，内容需满足采购文件要求）</w:t>
            </w:r>
          </w:p>
        </w:tc>
        <w:tc>
          <w:tcPr>
            <w:tcW w:w="1417" w:type="dxa"/>
            <w:vAlign w:val="center"/>
          </w:tcPr>
          <w:p w14:paraId="28E2C2F0">
            <w:pPr>
              <w:rPr>
                <w:rFonts w:hint="eastAsia" w:ascii="宋体" w:hAnsi="宋体"/>
                <w:color w:val="000000"/>
                <w:sz w:val="24"/>
              </w:rPr>
            </w:pPr>
          </w:p>
        </w:tc>
        <w:tc>
          <w:tcPr>
            <w:tcW w:w="1370" w:type="dxa"/>
            <w:vAlign w:val="center"/>
          </w:tcPr>
          <w:p w14:paraId="1E5D35E6">
            <w:pPr>
              <w:rPr>
                <w:rFonts w:hint="eastAsia" w:ascii="宋体" w:hAnsi="宋体"/>
                <w:color w:val="000000"/>
                <w:sz w:val="24"/>
              </w:rPr>
            </w:pPr>
          </w:p>
        </w:tc>
      </w:tr>
      <w:tr w14:paraId="6CF8B0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1" w:hRule="atLeast"/>
        </w:trPr>
        <w:tc>
          <w:tcPr>
            <w:tcW w:w="817" w:type="dxa"/>
            <w:vAlign w:val="bottom"/>
          </w:tcPr>
          <w:p w14:paraId="3120FB34">
            <w:pPr>
              <w:rPr>
                <w:rFonts w:hint="eastAsia" w:ascii="宋体" w:hAnsi="宋体" w:cs="Arial"/>
                <w:sz w:val="28"/>
                <w:szCs w:val="36"/>
              </w:rPr>
            </w:pPr>
            <w:r>
              <w:rPr>
                <w:rFonts w:ascii="宋体" w:hAnsi="宋体" w:cs="Arial"/>
                <w:sz w:val="28"/>
                <w:szCs w:val="36"/>
              </w:rPr>
              <w:t>5</w:t>
            </w:r>
          </w:p>
        </w:tc>
        <w:tc>
          <w:tcPr>
            <w:tcW w:w="5954" w:type="dxa"/>
            <w:vAlign w:val="center"/>
          </w:tcPr>
          <w:p w14:paraId="5951D1A1">
            <w:pPr>
              <w:snapToGrid w:val="0"/>
              <w:spacing w:line="360" w:lineRule="exact"/>
              <w:rPr>
                <w:rFonts w:hint="eastAsia" w:ascii="宋体" w:hAnsi="宋体"/>
                <w:color w:val="000000"/>
                <w:sz w:val="24"/>
              </w:rPr>
            </w:pPr>
            <w:r>
              <w:rPr>
                <w:rFonts w:hint="eastAsia" w:ascii="宋体" w:hAnsi="宋体"/>
                <w:color w:val="000000"/>
                <w:sz w:val="24"/>
              </w:rPr>
              <w:t>知识产权要求书面承诺函（原件并加盖公章，内容需满足采购文件要求）</w:t>
            </w:r>
          </w:p>
        </w:tc>
        <w:tc>
          <w:tcPr>
            <w:tcW w:w="1417" w:type="dxa"/>
            <w:vAlign w:val="center"/>
          </w:tcPr>
          <w:p w14:paraId="32E4023A">
            <w:pPr>
              <w:rPr>
                <w:rFonts w:hint="eastAsia" w:ascii="宋体" w:hAnsi="宋体"/>
                <w:color w:val="000000"/>
                <w:sz w:val="24"/>
              </w:rPr>
            </w:pPr>
          </w:p>
        </w:tc>
        <w:tc>
          <w:tcPr>
            <w:tcW w:w="1370" w:type="dxa"/>
            <w:vAlign w:val="center"/>
          </w:tcPr>
          <w:p w14:paraId="703644C2">
            <w:pPr>
              <w:rPr>
                <w:rFonts w:hint="eastAsia" w:ascii="宋体" w:hAnsi="宋体"/>
                <w:color w:val="000000"/>
                <w:sz w:val="24"/>
              </w:rPr>
            </w:pPr>
          </w:p>
        </w:tc>
      </w:tr>
      <w:tr w14:paraId="3F4CE2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1" w:hRule="atLeast"/>
        </w:trPr>
        <w:tc>
          <w:tcPr>
            <w:tcW w:w="817" w:type="dxa"/>
            <w:vAlign w:val="bottom"/>
          </w:tcPr>
          <w:p w14:paraId="1B9AD909">
            <w:pPr>
              <w:rPr>
                <w:rFonts w:hint="eastAsia" w:ascii="宋体" w:hAnsi="宋体" w:cs="Arial"/>
                <w:sz w:val="28"/>
                <w:szCs w:val="36"/>
              </w:rPr>
            </w:pPr>
            <w:r>
              <w:rPr>
                <w:rFonts w:ascii="宋体" w:hAnsi="宋体" w:cs="Arial"/>
                <w:sz w:val="28"/>
                <w:szCs w:val="36"/>
              </w:rPr>
              <w:t>6</w:t>
            </w:r>
          </w:p>
        </w:tc>
        <w:tc>
          <w:tcPr>
            <w:tcW w:w="5954" w:type="dxa"/>
            <w:vAlign w:val="center"/>
          </w:tcPr>
          <w:p w14:paraId="1E84FBD3">
            <w:pPr>
              <w:snapToGrid w:val="0"/>
              <w:spacing w:line="360" w:lineRule="exact"/>
              <w:rPr>
                <w:rFonts w:hint="eastAsia" w:ascii="宋体" w:hAnsi="宋体"/>
                <w:color w:val="000000"/>
                <w:sz w:val="24"/>
              </w:rPr>
            </w:pPr>
            <w:r>
              <w:rPr>
                <w:rFonts w:hint="eastAsia" w:ascii="宋体" w:hAnsi="宋体"/>
                <w:color w:val="000000"/>
                <w:sz w:val="24"/>
              </w:rPr>
              <w:t>数据保密要求书面承诺函（原件并加盖公章，内容需满足采购文件要求）</w:t>
            </w:r>
          </w:p>
        </w:tc>
        <w:tc>
          <w:tcPr>
            <w:tcW w:w="1417" w:type="dxa"/>
            <w:vAlign w:val="center"/>
          </w:tcPr>
          <w:p w14:paraId="6EBD810D">
            <w:pPr>
              <w:rPr>
                <w:rFonts w:hint="eastAsia" w:ascii="宋体" w:hAnsi="宋体"/>
                <w:color w:val="000000"/>
                <w:sz w:val="24"/>
              </w:rPr>
            </w:pPr>
          </w:p>
        </w:tc>
        <w:tc>
          <w:tcPr>
            <w:tcW w:w="1370" w:type="dxa"/>
            <w:vAlign w:val="center"/>
          </w:tcPr>
          <w:p w14:paraId="770CC0C9">
            <w:pPr>
              <w:rPr>
                <w:rFonts w:hint="eastAsia" w:ascii="宋体" w:hAnsi="宋体"/>
                <w:color w:val="000000"/>
                <w:sz w:val="24"/>
              </w:rPr>
            </w:pPr>
          </w:p>
        </w:tc>
      </w:tr>
      <w:tr w14:paraId="47CF41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1" w:hRule="atLeast"/>
        </w:trPr>
        <w:tc>
          <w:tcPr>
            <w:tcW w:w="817" w:type="dxa"/>
            <w:vAlign w:val="bottom"/>
          </w:tcPr>
          <w:p w14:paraId="03AC18FE">
            <w:pPr>
              <w:rPr>
                <w:rFonts w:hint="eastAsia" w:ascii="宋体" w:hAnsi="宋体" w:cs="Arial"/>
                <w:sz w:val="28"/>
                <w:szCs w:val="36"/>
              </w:rPr>
            </w:pPr>
            <w:r>
              <w:rPr>
                <w:rFonts w:ascii="宋体" w:hAnsi="宋体" w:cs="Arial"/>
                <w:sz w:val="28"/>
                <w:szCs w:val="36"/>
              </w:rPr>
              <w:t>7</w:t>
            </w:r>
          </w:p>
        </w:tc>
        <w:tc>
          <w:tcPr>
            <w:tcW w:w="5954" w:type="dxa"/>
            <w:vAlign w:val="center"/>
          </w:tcPr>
          <w:p w14:paraId="7C477407">
            <w:pPr>
              <w:snapToGrid w:val="0"/>
              <w:spacing w:line="360" w:lineRule="exact"/>
              <w:rPr>
                <w:rFonts w:hint="eastAsia" w:ascii="宋体" w:hAnsi="宋体"/>
                <w:color w:val="000000"/>
                <w:sz w:val="24"/>
              </w:rPr>
            </w:pPr>
            <w:r>
              <w:rPr>
                <w:rFonts w:ascii="宋体" w:hAnsi="宋体"/>
                <w:color w:val="000000"/>
                <w:sz w:val="24"/>
              </w:rPr>
              <w:t>…</w:t>
            </w:r>
            <w:r>
              <w:rPr>
                <w:rFonts w:hint="eastAsia" w:ascii="宋体" w:hAnsi="宋体"/>
                <w:color w:val="000000"/>
                <w:sz w:val="24"/>
              </w:rPr>
              <w:t>（请</w:t>
            </w:r>
            <w:r>
              <w:rPr>
                <w:rFonts w:ascii="宋体" w:hAnsi="宋体"/>
                <w:color w:val="000000"/>
                <w:sz w:val="24"/>
              </w:rPr>
              <w:t>根据采购</w:t>
            </w:r>
            <w:r>
              <w:rPr>
                <w:rFonts w:hint="eastAsia" w:ascii="宋体" w:hAnsi="宋体"/>
                <w:color w:val="000000"/>
                <w:sz w:val="24"/>
              </w:rPr>
              <w:t>文件是否提出其他应具备的符合性要求或实质性要求自行添加删减序号与内容）</w:t>
            </w:r>
          </w:p>
        </w:tc>
        <w:tc>
          <w:tcPr>
            <w:tcW w:w="1417" w:type="dxa"/>
            <w:vAlign w:val="center"/>
          </w:tcPr>
          <w:p w14:paraId="5C3B33BE">
            <w:pPr>
              <w:rPr>
                <w:rFonts w:hint="eastAsia" w:ascii="宋体" w:hAnsi="宋体"/>
                <w:color w:val="000000"/>
                <w:sz w:val="24"/>
              </w:rPr>
            </w:pPr>
          </w:p>
        </w:tc>
        <w:tc>
          <w:tcPr>
            <w:tcW w:w="1370" w:type="dxa"/>
            <w:vAlign w:val="center"/>
          </w:tcPr>
          <w:p w14:paraId="663CDBF5">
            <w:pPr>
              <w:rPr>
                <w:rFonts w:hint="eastAsia" w:ascii="宋体" w:hAnsi="宋体"/>
                <w:color w:val="000000"/>
                <w:sz w:val="24"/>
              </w:rPr>
            </w:pPr>
          </w:p>
        </w:tc>
      </w:tr>
      <w:tr w14:paraId="2911EA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0" w:hRule="atLeast"/>
        </w:trPr>
        <w:tc>
          <w:tcPr>
            <w:tcW w:w="9558" w:type="dxa"/>
            <w:gridSpan w:val="4"/>
            <w:vAlign w:val="center"/>
          </w:tcPr>
          <w:p w14:paraId="750A5954">
            <w:pPr>
              <w:rPr>
                <w:rFonts w:hint="eastAsia" w:ascii="宋体" w:hAnsi="宋体"/>
                <w:color w:val="000000"/>
                <w:sz w:val="24"/>
              </w:rPr>
            </w:pPr>
            <w:r>
              <w:rPr>
                <w:rFonts w:ascii="宋体" w:hAnsi="宋体"/>
                <w:color w:val="000000"/>
                <w:sz w:val="24"/>
              </w:rPr>
              <w:t>……(可根据</w:t>
            </w:r>
            <w:r>
              <w:rPr>
                <w:rFonts w:hint="eastAsia" w:ascii="宋体" w:hAnsi="宋体"/>
                <w:color w:val="000000"/>
                <w:sz w:val="24"/>
              </w:rPr>
              <w:t>需要自行添加行数)</w:t>
            </w:r>
          </w:p>
        </w:tc>
      </w:tr>
    </w:tbl>
    <w:p w14:paraId="2F61A575">
      <w:pPr>
        <w:spacing w:line="440" w:lineRule="exact"/>
        <w:ind w:firstLine="482" w:firstLineChars="200"/>
        <w:rPr>
          <w:rFonts w:hint="eastAsia" w:ascii="宋体" w:hAnsi="宋体"/>
          <w:b/>
          <w:bCs/>
          <w:sz w:val="24"/>
        </w:rPr>
      </w:pPr>
      <w:r>
        <w:rPr>
          <w:rFonts w:hint="eastAsia" w:ascii="宋体" w:hAnsi="宋体"/>
          <w:b/>
          <w:bCs/>
          <w:sz w:val="24"/>
        </w:rPr>
        <w:t>注：上述表格是资格性和符合性检查的主要检查内容和基本格式，供响应供应商参照，不代表全部检查内容也不是最终表格，请供应商务必仔细阅读采购文件全文，按采购文件要求和上述表格格式完整列举填写所有资格性和符合性检查的内容，并在响应文件以下附件中提供相应支撑材料（以下系格式列举，实际制作响应文件时可按要求自行添加、填写具体内容材料或按提供的规定格式填写详细内容，每项证明材料可单独成一页）。</w:t>
      </w:r>
    </w:p>
    <w:p w14:paraId="501543FB">
      <w:pPr>
        <w:spacing w:line="360" w:lineRule="auto"/>
        <w:rPr>
          <w:rFonts w:hint="eastAsia" w:ascii="宋体" w:hAnsi="宋体"/>
          <w:b/>
          <w:sz w:val="28"/>
          <w:szCs w:val="28"/>
          <w:u w:val="single"/>
        </w:rPr>
      </w:pPr>
    </w:p>
    <w:p w14:paraId="5ADDE327">
      <w:pPr>
        <w:pStyle w:val="50"/>
        <w:ind w:firstLine="562"/>
        <w:rPr>
          <w:b/>
          <w:sz w:val="28"/>
          <w:szCs w:val="28"/>
          <w:u w:val="single"/>
          <w:lang w:eastAsia="zh-CN"/>
        </w:rPr>
      </w:pPr>
    </w:p>
    <w:p w14:paraId="0D602963">
      <w:pPr>
        <w:pStyle w:val="50"/>
        <w:ind w:firstLine="562"/>
        <w:rPr>
          <w:b/>
          <w:sz w:val="28"/>
          <w:szCs w:val="28"/>
          <w:u w:val="single"/>
          <w:lang w:eastAsia="zh-CN"/>
        </w:rPr>
      </w:pPr>
    </w:p>
    <w:p w14:paraId="3D2062C1">
      <w:pPr>
        <w:spacing w:line="360" w:lineRule="auto"/>
        <w:rPr>
          <w:rFonts w:hint="eastAsia" w:ascii="宋体" w:hAnsi="宋体"/>
          <w:b/>
          <w:sz w:val="28"/>
          <w:szCs w:val="28"/>
          <w:u w:val="single"/>
        </w:rPr>
      </w:pPr>
      <w:r>
        <w:rPr>
          <w:rFonts w:ascii="宋体" w:hAnsi="宋体"/>
          <w:b/>
          <w:sz w:val="28"/>
          <w:szCs w:val="28"/>
          <w:u w:val="single"/>
        </w:rPr>
        <w:br w:type="page"/>
      </w:r>
    </w:p>
    <w:p w14:paraId="1E794AE6">
      <w:pPr>
        <w:spacing w:line="360" w:lineRule="auto"/>
        <w:rPr>
          <w:rFonts w:hint="eastAsia" w:ascii="宋体" w:hAnsi="宋体"/>
          <w:b/>
          <w:sz w:val="28"/>
          <w:szCs w:val="28"/>
          <w:u w:val="single"/>
        </w:rPr>
      </w:pPr>
      <w:r>
        <w:rPr>
          <w:rFonts w:hint="eastAsia" w:ascii="宋体" w:hAnsi="宋体"/>
          <w:b/>
          <w:sz w:val="28"/>
          <w:szCs w:val="28"/>
          <w:u w:val="single"/>
        </w:rPr>
        <w:t>附件：(一</w:t>
      </w:r>
      <w:r>
        <w:rPr>
          <w:rFonts w:ascii="宋体" w:hAnsi="宋体"/>
          <w:b/>
          <w:sz w:val="28"/>
          <w:szCs w:val="28"/>
          <w:u w:val="single"/>
        </w:rPr>
        <w:t>)</w:t>
      </w:r>
      <w:r>
        <w:rPr>
          <w:rFonts w:hint="eastAsia" w:ascii="宋体" w:hAnsi="宋体"/>
          <w:b/>
          <w:sz w:val="28"/>
          <w:szCs w:val="28"/>
          <w:u w:val="single"/>
        </w:rPr>
        <w:t>资格性检查证明材料</w:t>
      </w:r>
    </w:p>
    <w:p w14:paraId="2E3B29A8">
      <w:pPr>
        <w:spacing w:line="360" w:lineRule="auto"/>
        <w:rPr>
          <w:rFonts w:hint="eastAsia" w:ascii="宋体" w:hAnsi="宋体"/>
          <w:b/>
          <w:sz w:val="28"/>
          <w:szCs w:val="28"/>
          <w:u w:val="single"/>
        </w:rPr>
      </w:pPr>
      <w:r>
        <w:rPr>
          <w:rFonts w:hint="eastAsia" w:ascii="宋体" w:hAnsi="宋体"/>
          <w:b/>
          <w:sz w:val="28"/>
          <w:szCs w:val="28"/>
          <w:u w:val="single"/>
        </w:rPr>
        <w:t>1、法人或者其他组织的营业执照（事业单位法人登记证书，社会团体法人登记证书）等证明文件（复印件并加盖公章）；自然人投标需提供自然人的身份证明（复印件并加盖公章）；非独立法人独立参加投标需提供法人授权其独立参加投标并承诺承担全部责任与风险的授权书原件、非独立法人营业执照复印件等证明文件（加盖公章）</w:t>
      </w:r>
    </w:p>
    <w:p w14:paraId="2EB9CC2D">
      <w:pPr>
        <w:spacing w:line="360" w:lineRule="auto"/>
        <w:rPr>
          <w:rFonts w:hint="eastAsia" w:ascii="宋体" w:hAnsi="宋体"/>
          <w:b/>
          <w:sz w:val="28"/>
          <w:szCs w:val="28"/>
          <w:u w:val="single"/>
        </w:rPr>
      </w:pPr>
      <w:r>
        <w:rPr>
          <w:rFonts w:ascii="宋体" w:hAnsi="宋体"/>
          <w:b/>
          <w:sz w:val="28"/>
          <w:szCs w:val="28"/>
          <w:u w:val="single"/>
        </w:rPr>
        <w:t>…</w:t>
      </w:r>
      <w:r>
        <w:rPr>
          <w:rFonts w:hint="eastAsia" w:ascii="宋体" w:hAnsi="宋体"/>
          <w:b/>
          <w:sz w:val="28"/>
          <w:szCs w:val="28"/>
          <w:u w:val="single"/>
        </w:rPr>
        <w:t>（自行添加内容）</w:t>
      </w:r>
    </w:p>
    <w:p w14:paraId="28DAB264">
      <w:pPr>
        <w:spacing w:line="360" w:lineRule="auto"/>
        <w:rPr>
          <w:rFonts w:hint="eastAsia" w:ascii="宋体" w:hAnsi="宋体"/>
          <w:b/>
          <w:sz w:val="28"/>
          <w:szCs w:val="28"/>
          <w:u w:val="single"/>
        </w:rPr>
      </w:pPr>
    </w:p>
    <w:p w14:paraId="68FA6A36">
      <w:pPr>
        <w:pStyle w:val="50"/>
        <w:ind w:firstLine="0" w:firstLineChars="0"/>
        <w:rPr>
          <w:lang w:eastAsia="zh-CN"/>
        </w:rPr>
      </w:pPr>
    </w:p>
    <w:p w14:paraId="69C9892F">
      <w:pPr>
        <w:spacing w:line="360" w:lineRule="auto"/>
        <w:rPr>
          <w:rFonts w:hint="eastAsia" w:ascii="宋体" w:hAnsi="宋体"/>
          <w:b/>
          <w:sz w:val="28"/>
          <w:szCs w:val="28"/>
          <w:u w:val="single"/>
        </w:rPr>
      </w:pPr>
      <w:r>
        <w:rPr>
          <w:rFonts w:hint="eastAsia" w:ascii="宋体" w:hAnsi="宋体"/>
          <w:b/>
          <w:sz w:val="28"/>
          <w:szCs w:val="28"/>
          <w:u w:val="single"/>
        </w:rPr>
        <w:t>2、2023年度财务状况报告（复印件并加盖公章，成立不满一年仅需提供提交响应文件截止之日前一个月的会计报表）</w:t>
      </w:r>
    </w:p>
    <w:p w14:paraId="73A0BBAB">
      <w:pPr>
        <w:spacing w:line="360" w:lineRule="auto"/>
        <w:rPr>
          <w:rFonts w:hint="eastAsia" w:ascii="宋体" w:hAnsi="宋体"/>
          <w:b/>
          <w:sz w:val="28"/>
          <w:szCs w:val="28"/>
          <w:u w:val="single"/>
        </w:rPr>
      </w:pPr>
      <w:r>
        <w:rPr>
          <w:rFonts w:ascii="宋体" w:hAnsi="宋体"/>
          <w:b/>
          <w:sz w:val="28"/>
          <w:szCs w:val="28"/>
          <w:u w:val="single"/>
        </w:rPr>
        <w:t>…（自行添加</w:t>
      </w:r>
      <w:r>
        <w:rPr>
          <w:rFonts w:hint="eastAsia" w:ascii="宋体" w:hAnsi="宋体"/>
          <w:b/>
          <w:sz w:val="28"/>
          <w:szCs w:val="28"/>
          <w:u w:val="single"/>
        </w:rPr>
        <w:t>内容</w:t>
      </w:r>
      <w:r>
        <w:rPr>
          <w:rFonts w:ascii="宋体" w:hAnsi="宋体"/>
          <w:b/>
          <w:sz w:val="28"/>
          <w:szCs w:val="28"/>
          <w:u w:val="single"/>
        </w:rPr>
        <w:t>）</w:t>
      </w:r>
    </w:p>
    <w:p w14:paraId="784C8907">
      <w:pPr>
        <w:spacing w:line="360" w:lineRule="auto"/>
        <w:rPr>
          <w:rFonts w:hint="eastAsia" w:ascii="宋体" w:hAnsi="宋体"/>
          <w:b/>
          <w:sz w:val="28"/>
          <w:szCs w:val="28"/>
          <w:u w:val="single"/>
        </w:rPr>
      </w:pPr>
    </w:p>
    <w:p w14:paraId="2B31BFC4">
      <w:pPr>
        <w:pStyle w:val="50"/>
        <w:rPr>
          <w:lang w:eastAsia="zh-CN"/>
        </w:rPr>
      </w:pPr>
    </w:p>
    <w:p w14:paraId="2E967D2C">
      <w:pPr>
        <w:spacing w:line="360" w:lineRule="auto"/>
        <w:rPr>
          <w:rFonts w:hint="eastAsia" w:ascii="宋体" w:hAnsi="宋体"/>
          <w:b/>
          <w:sz w:val="28"/>
          <w:szCs w:val="28"/>
          <w:u w:val="single"/>
        </w:rPr>
      </w:pPr>
      <w:r>
        <w:rPr>
          <w:rFonts w:hint="eastAsia" w:ascii="宋体" w:hAnsi="宋体"/>
          <w:b/>
          <w:sz w:val="28"/>
          <w:szCs w:val="28"/>
          <w:u w:val="single"/>
        </w:rPr>
        <w:t>3、依法缴纳税收的相关材料（距提交响应文件截止之日前的一年内任意一个月的相关证明材料复印件并加盖公章）</w:t>
      </w:r>
    </w:p>
    <w:p w14:paraId="5E4CD8F3">
      <w:pPr>
        <w:spacing w:line="360" w:lineRule="auto"/>
        <w:rPr>
          <w:rFonts w:hint="eastAsia" w:ascii="宋体" w:hAnsi="宋体"/>
          <w:b/>
          <w:sz w:val="28"/>
          <w:szCs w:val="28"/>
          <w:u w:val="single"/>
        </w:rPr>
      </w:pPr>
      <w:r>
        <w:rPr>
          <w:rFonts w:ascii="宋体" w:hAnsi="宋体"/>
          <w:b/>
          <w:sz w:val="28"/>
          <w:szCs w:val="28"/>
          <w:u w:val="single"/>
        </w:rPr>
        <w:t>…（自行添加</w:t>
      </w:r>
      <w:r>
        <w:rPr>
          <w:rFonts w:hint="eastAsia" w:ascii="宋体" w:hAnsi="宋体"/>
          <w:b/>
          <w:sz w:val="28"/>
          <w:szCs w:val="28"/>
          <w:u w:val="single"/>
        </w:rPr>
        <w:t>内容</w:t>
      </w:r>
      <w:r>
        <w:rPr>
          <w:rFonts w:ascii="宋体" w:hAnsi="宋体"/>
          <w:b/>
          <w:sz w:val="28"/>
          <w:szCs w:val="28"/>
          <w:u w:val="single"/>
        </w:rPr>
        <w:t>）</w:t>
      </w:r>
    </w:p>
    <w:p w14:paraId="452BC58F">
      <w:pPr>
        <w:spacing w:line="360" w:lineRule="auto"/>
        <w:rPr>
          <w:rFonts w:hint="eastAsia" w:ascii="宋体" w:hAnsi="宋体"/>
          <w:b/>
          <w:sz w:val="28"/>
          <w:szCs w:val="28"/>
          <w:u w:val="single"/>
        </w:rPr>
      </w:pPr>
    </w:p>
    <w:p w14:paraId="3B46CC47">
      <w:pPr>
        <w:spacing w:line="360" w:lineRule="auto"/>
        <w:rPr>
          <w:rFonts w:hint="eastAsia" w:ascii="宋体" w:hAnsi="宋体"/>
          <w:b/>
          <w:sz w:val="28"/>
          <w:szCs w:val="28"/>
          <w:u w:val="single"/>
        </w:rPr>
      </w:pPr>
    </w:p>
    <w:p w14:paraId="261784A7">
      <w:pPr>
        <w:pStyle w:val="50"/>
        <w:rPr>
          <w:lang w:eastAsia="zh-CN"/>
        </w:rPr>
      </w:pPr>
    </w:p>
    <w:p w14:paraId="6F48D1BB">
      <w:pPr>
        <w:spacing w:line="360" w:lineRule="auto"/>
        <w:rPr>
          <w:rFonts w:hint="eastAsia" w:ascii="宋体" w:hAnsi="宋体"/>
          <w:b/>
          <w:sz w:val="28"/>
          <w:szCs w:val="28"/>
          <w:u w:val="single"/>
        </w:rPr>
      </w:pPr>
      <w:r>
        <w:rPr>
          <w:rFonts w:hint="eastAsia" w:ascii="宋体" w:hAnsi="宋体"/>
          <w:b/>
          <w:sz w:val="28"/>
          <w:szCs w:val="28"/>
          <w:u w:val="single"/>
        </w:rPr>
        <w:t>4、依法缴纳社会保障资金的相关材料（距提交响应文件截止之日前的一年内任意一个月的相关证明材料复印件并加盖公章）</w:t>
      </w:r>
    </w:p>
    <w:p w14:paraId="57A2F5AF">
      <w:pPr>
        <w:spacing w:line="360" w:lineRule="auto"/>
        <w:rPr>
          <w:rFonts w:hint="eastAsia" w:ascii="宋体" w:hAnsi="宋体"/>
          <w:b/>
          <w:sz w:val="28"/>
          <w:szCs w:val="28"/>
          <w:u w:val="single"/>
        </w:rPr>
      </w:pPr>
      <w:r>
        <w:rPr>
          <w:rFonts w:ascii="宋体" w:hAnsi="宋体"/>
          <w:b/>
          <w:sz w:val="28"/>
          <w:szCs w:val="28"/>
          <w:u w:val="single"/>
        </w:rPr>
        <w:t>…</w:t>
      </w:r>
      <w:r>
        <w:rPr>
          <w:rFonts w:hint="eastAsia" w:ascii="宋体" w:hAnsi="宋体"/>
          <w:b/>
          <w:sz w:val="28"/>
          <w:szCs w:val="28"/>
          <w:u w:val="single"/>
        </w:rPr>
        <w:t>（自行添加内容）</w:t>
      </w:r>
    </w:p>
    <w:p w14:paraId="21B81311">
      <w:pPr>
        <w:spacing w:line="360" w:lineRule="auto"/>
        <w:rPr>
          <w:rFonts w:hint="eastAsia" w:ascii="宋体" w:hAnsi="宋体"/>
          <w:b/>
          <w:sz w:val="28"/>
          <w:szCs w:val="28"/>
          <w:u w:val="single"/>
        </w:rPr>
      </w:pPr>
    </w:p>
    <w:p w14:paraId="2DC03A82">
      <w:pPr>
        <w:pStyle w:val="50"/>
        <w:rPr>
          <w:lang w:eastAsia="zh-CN"/>
        </w:rPr>
      </w:pPr>
    </w:p>
    <w:p w14:paraId="42916412">
      <w:pPr>
        <w:spacing w:line="360" w:lineRule="auto"/>
        <w:rPr>
          <w:rFonts w:hint="eastAsia" w:ascii="宋体" w:hAnsi="宋体"/>
          <w:b/>
          <w:sz w:val="28"/>
          <w:szCs w:val="28"/>
          <w:u w:val="single"/>
        </w:rPr>
      </w:pPr>
      <w:r>
        <w:rPr>
          <w:rFonts w:hint="eastAsia" w:ascii="宋体" w:hAnsi="宋体"/>
          <w:b/>
          <w:sz w:val="28"/>
          <w:szCs w:val="28"/>
          <w:u w:val="single"/>
        </w:rPr>
        <w:t>5、具备履行合同所必需的设备和专业技术能力的书面声明（格式如下，请按要求填写，原件并加盖公章）</w:t>
      </w:r>
    </w:p>
    <w:p w14:paraId="5EB8CE05">
      <w:pPr>
        <w:snapToGrid w:val="0"/>
        <w:spacing w:before="50" w:after="50"/>
        <w:rPr>
          <w:b/>
          <w:sz w:val="30"/>
          <w:szCs w:val="30"/>
        </w:rPr>
      </w:pPr>
    </w:p>
    <w:p w14:paraId="72C47A98">
      <w:pPr>
        <w:snapToGrid w:val="0"/>
        <w:spacing w:before="50" w:after="50"/>
        <w:jc w:val="center"/>
        <w:rPr>
          <w:rFonts w:hint="eastAsia" w:ascii="宋体" w:hAnsi="宋体"/>
          <w:b/>
          <w:bCs/>
          <w:sz w:val="24"/>
        </w:rPr>
      </w:pPr>
      <w:r>
        <w:rPr>
          <w:rFonts w:hint="eastAsia"/>
          <w:b/>
          <w:sz w:val="30"/>
          <w:szCs w:val="30"/>
        </w:rPr>
        <w:t>具备履行合同所必需的设备和专业技术能力的书面声明</w:t>
      </w:r>
    </w:p>
    <w:p w14:paraId="769FFED2">
      <w:pPr>
        <w:jc w:val="center"/>
        <w:rPr>
          <w:rFonts w:hint="eastAsia" w:ascii="黑体" w:hAnsi="黑体" w:eastAsia="黑体"/>
          <w:sz w:val="30"/>
          <w:szCs w:val="30"/>
        </w:rPr>
      </w:pPr>
      <w:r>
        <w:rPr>
          <w:rFonts w:hint="eastAsia" w:ascii="黑体" w:hAnsi="黑体" w:eastAsia="黑体"/>
          <w:sz w:val="30"/>
          <w:szCs w:val="30"/>
        </w:rPr>
        <w:t>声  明</w:t>
      </w:r>
    </w:p>
    <w:p w14:paraId="72FFA3D0">
      <w:pPr>
        <w:spacing w:line="460" w:lineRule="exact"/>
        <w:ind w:firstLine="492"/>
        <w:rPr>
          <w:rFonts w:hint="eastAsia" w:ascii="宋体" w:hAnsi="宋体"/>
          <w:bCs/>
          <w:sz w:val="24"/>
          <w:szCs w:val="21"/>
        </w:rPr>
      </w:pPr>
      <w:r>
        <w:rPr>
          <w:rFonts w:hint="eastAsia" w:ascii="宋体" w:hAnsi="宋体"/>
          <w:bCs/>
          <w:sz w:val="24"/>
        </w:rPr>
        <w:t>我公司郑重声明：我公司</w:t>
      </w:r>
      <w:r>
        <w:rPr>
          <w:rFonts w:hint="eastAsia" w:ascii="宋体" w:hAnsi="宋体"/>
          <w:bCs/>
          <w:sz w:val="24"/>
          <w:szCs w:val="21"/>
        </w:rPr>
        <w:t>具备履行本项采购合同所必需的设备和专业技术能力，为履行本项采购合同我公司</w:t>
      </w:r>
      <w:r>
        <w:rPr>
          <w:rFonts w:hint="eastAsia" w:ascii="宋体" w:hAnsi="宋体"/>
          <w:bCs/>
          <w:sz w:val="24"/>
        </w:rPr>
        <w:t>具备</w:t>
      </w:r>
      <w:r>
        <w:rPr>
          <w:rFonts w:hint="eastAsia" w:ascii="宋体" w:hAnsi="宋体"/>
          <w:bCs/>
          <w:sz w:val="24"/>
          <w:szCs w:val="21"/>
        </w:rPr>
        <w:t>如下主要设备和主要专业技术能力：</w:t>
      </w:r>
    </w:p>
    <w:p w14:paraId="543C678F">
      <w:pPr>
        <w:spacing w:line="460" w:lineRule="exact"/>
        <w:ind w:firstLine="492"/>
        <w:rPr>
          <w:rFonts w:hint="eastAsia" w:ascii="宋体" w:hAnsi="宋体"/>
          <w:bCs/>
          <w:sz w:val="24"/>
        </w:rPr>
      </w:pPr>
      <w:r>
        <w:rPr>
          <w:rFonts w:hint="eastAsia" w:ascii="宋体" w:hAnsi="宋体"/>
          <w:bCs/>
          <w:sz w:val="24"/>
          <w:szCs w:val="21"/>
        </w:rPr>
        <w:t>主要设备有：</w:t>
      </w:r>
      <w:r>
        <w:rPr>
          <w:rFonts w:hint="eastAsia" w:ascii="宋体" w:hAnsi="宋体"/>
          <w:bCs/>
          <w:sz w:val="24"/>
          <w:szCs w:val="21"/>
          <w:u w:val="single"/>
        </w:rPr>
        <w:t xml:space="preserve">  </w:t>
      </w:r>
      <w:r>
        <w:rPr>
          <w:rFonts w:hint="eastAsia" w:ascii="宋体" w:hAnsi="宋体"/>
          <w:bCs/>
          <w:sz w:val="24"/>
        </w:rPr>
        <w:t>。</w:t>
      </w:r>
    </w:p>
    <w:p w14:paraId="2C5DC2AD">
      <w:pPr>
        <w:spacing w:line="460" w:lineRule="exact"/>
        <w:ind w:firstLine="492"/>
        <w:rPr>
          <w:rFonts w:hint="eastAsia" w:ascii="宋体" w:hAnsi="宋体"/>
          <w:bCs/>
          <w:sz w:val="24"/>
          <w:szCs w:val="21"/>
        </w:rPr>
      </w:pPr>
      <w:r>
        <w:rPr>
          <w:rFonts w:hint="eastAsia" w:ascii="宋体" w:hAnsi="宋体"/>
          <w:bCs/>
          <w:sz w:val="24"/>
          <w:szCs w:val="21"/>
        </w:rPr>
        <w:t>主要专业技术能力有：</w:t>
      </w:r>
      <w:r>
        <w:rPr>
          <w:rFonts w:hint="eastAsia" w:ascii="宋体" w:hAnsi="宋体"/>
          <w:bCs/>
          <w:sz w:val="24"/>
          <w:szCs w:val="21"/>
          <w:u w:val="single"/>
        </w:rPr>
        <w:t xml:space="preserve">   </w:t>
      </w:r>
      <w:r>
        <w:rPr>
          <w:rFonts w:hint="eastAsia" w:ascii="宋体" w:hAnsi="宋体"/>
          <w:bCs/>
          <w:sz w:val="24"/>
          <w:szCs w:val="21"/>
        </w:rPr>
        <w:t>。</w:t>
      </w:r>
    </w:p>
    <w:p w14:paraId="240225A4">
      <w:pPr>
        <w:spacing w:line="460" w:lineRule="exact"/>
        <w:ind w:firstLine="492"/>
        <w:rPr>
          <w:rFonts w:hint="eastAsia" w:ascii="宋体" w:hAnsi="宋体"/>
          <w:bCs/>
          <w:sz w:val="24"/>
          <w:szCs w:val="21"/>
        </w:rPr>
      </w:pPr>
      <w:r>
        <w:rPr>
          <w:rFonts w:hint="eastAsia" w:ascii="宋体" w:hAnsi="宋体"/>
          <w:bCs/>
          <w:sz w:val="24"/>
          <w:szCs w:val="21"/>
        </w:rPr>
        <w:t xml:space="preserve">                                                供应商名称：（盖章）</w:t>
      </w:r>
    </w:p>
    <w:p w14:paraId="016AC04D">
      <w:pPr>
        <w:spacing w:line="460" w:lineRule="exact"/>
        <w:jc w:val="right"/>
        <w:rPr>
          <w:rFonts w:hint="eastAsia" w:ascii="宋体" w:hAnsi="宋体"/>
          <w:bCs/>
          <w:sz w:val="24"/>
          <w:szCs w:val="21"/>
        </w:rPr>
      </w:pPr>
      <w:r>
        <w:rPr>
          <w:rFonts w:hint="eastAsia" w:ascii="宋体" w:hAnsi="宋体"/>
          <w:bCs/>
          <w:sz w:val="24"/>
          <w:szCs w:val="21"/>
        </w:rPr>
        <w:t>日期：</w:t>
      </w:r>
    </w:p>
    <w:p w14:paraId="775FF487">
      <w:pPr>
        <w:spacing w:line="360" w:lineRule="auto"/>
        <w:rPr>
          <w:rFonts w:hint="eastAsia" w:ascii="宋体" w:hAnsi="宋体"/>
          <w:b/>
          <w:sz w:val="30"/>
          <w:szCs w:val="30"/>
          <w:u w:val="single"/>
        </w:rPr>
      </w:pPr>
    </w:p>
    <w:p w14:paraId="3734E5D7">
      <w:pPr>
        <w:pStyle w:val="50"/>
        <w:rPr>
          <w:lang w:eastAsia="zh-CN"/>
        </w:rPr>
      </w:pPr>
    </w:p>
    <w:p w14:paraId="036245CC">
      <w:pPr>
        <w:spacing w:line="360" w:lineRule="auto"/>
        <w:rPr>
          <w:rFonts w:hint="eastAsia" w:ascii="宋体" w:hAnsi="宋体"/>
          <w:b/>
          <w:sz w:val="28"/>
          <w:szCs w:val="28"/>
          <w:u w:val="single"/>
        </w:rPr>
      </w:pPr>
      <w:r>
        <w:rPr>
          <w:rFonts w:hint="eastAsia" w:ascii="宋体" w:hAnsi="宋体"/>
          <w:b/>
          <w:sz w:val="28"/>
          <w:szCs w:val="28"/>
          <w:u w:val="single"/>
        </w:rPr>
        <w:t>6、参加政府采购活动前3年内（距提交响应文件截止之日前）在经营活动中没有重大违法记录的书面声明（格式如下，请按要求填写，原件并加盖公章）</w:t>
      </w:r>
    </w:p>
    <w:p w14:paraId="6C1C4AAB">
      <w:pPr>
        <w:spacing w:line="360" w:lineRule="auto"/>
        <w:rPr>
          <w:rFonts w:hint="eastAsia" w:ascii="宋体" w:hAnsi="宋体"/>
          <w:b/>
          <w:sz w:val="30"/>
          <w:szCs w:val="30"/>
          <w:u w:val="single"/>
        </w:rPr>
      </w:pPr>
      <w:r>
        <w:rPr>
          <w:rFonts w:hint="eastAsia" w:ascii="黑体" w:hAnsi="宋体" w:eastAsia="黑体"/>
          <w:bCs/>
          <w:sz w:val="30"/>
          <w:szCs w:val="30"/>
        </w:rPr>
        <w:t>参加政府采购活动前 3 年内在经营活动中没有重大违法记录的书面声明</w:t>
      </w:r>
    </w:p>
    <w:p w14:paraId="14697EBB">
      <w:pPr>
        <w:spacing w:line="560" w:lineRule="exact"/>
        <w:rPr>
          <w:rFonts w:hint="eastAsia" w:ascii="黑体" w:hAnsi="黑体" w:eastAsia="黑体"/>
          <w:b/>
          <w:bCs/>
          <w:sz w:val="30"/>
          <w:szCs w:val="30"/>
        </w:rPr>
      </w:pPr>
      <w:r>
        <w:rPr>
          <w:rFonts w:hint="eastAsia" w:ascii="宋体" w:hAnsi="宋体"/>
          <w:b/>
          <w:bCs/>
          <w:sz w:val="44"/>
          <w:szCs w:val="44"/>
        </w:rPr>
        <w:t xml:space="preserve">        </w:t>
      </w:r>
      <w:r>
        <w:rPr>
          <w:rFonts w:hint="eastAsia" w:ascii="宋体" w:hAnsi="宋体"/>
          <w:b/>
          <w:bCs/>
          <w:sz w:val="24"/>
        </w:rPr>
        <w:t xml:space="preserve">                      </w:t>
      </w:r>
      <w:r>
        <w:rPr>
          <w:rFonts w:hint="eastAsia" w:ascii="黑体" w:hAnsi="黑体" w:eastAsia="黑体"/>
          <w:b/>
          <w:bCs/>
          <w:sz w:val="30"/>
          <w:szCs w:val="30"/>
        </w:rPr>
        <w:t xml:space="preserve">声  明   </w:t>
      </w:r>
    </w:p>
    <w:p w14:paraId="2E2F821C">
      <w:pPr>
        <w:spacing w:line="560" w:lineRule="exact"/>
        <w:ind w:firstLine="495"/>
        <w:rPr>
          <w:rFonts w:hint="eastAsia" w:ascii="宋体" w:hAnsi="宋体"/>
          <w:bCs/>
          <w:sz w:val="24"/>
        </w:rPr>
      </w:pPr>
      <w:r>
        <w:rPr>
          <w:rFonts w:hint="eastAsia" w:ascii="宋体" w:hAnsi="宋体"/>
          <w:bCs/>
          <w:sz w:val="24"/>
        </w:rPr>
        <w:t>我单位郑重声明：参加本次政府采购活动前 3 年内，我单位在经营活动中没有因违法经营受到刑事处罚或者责令停产停业、吊销许可证或者执照、较大数额罚款等行政处罚。</w:t>
      </w:r>
    </w:p>
    <w:p w14:paraId="6F9F2C28">
      <w:pPr>
        <w:spacing w:line="560" w:lineRule="exact"/>
        <w:rPr>
          <w:rFonts w:hint="eastAsia" w:ascii="宋体" w:hAnsi="宋体"/>
          <w:bCs/>
          <w:sz w:val="24"/>
        </w:rPr>
      </w:pPr>
    </w:p>
    <w:p w14:paraId="486DFF61">
      <w:pPr>
        <w:spacing w:line="460" w:lineRule="exact"/>
        <w:ind w:firstLine="492"/>
        <w:rPr>
          <w:rFonts w:hint="eastAsia" w:ascii="宋体" w:hAnsi="宋体"/>
          <w:bCs/>
          <w:sz w:val="24"/>
          <w:szCs w:val="21"/>
        </w:rPr>
      </w:pPr>
      <w:r>
        <w:rPr>
          <w:rFonts w:hint="eastAsia" w:ascii="宋体" w:hAnsi="宋体"/>
          <w:bCs/>
          <w:sz w:val="24"/>
        </w:rPr>
        <w:t xml:space="preserve">                                               </w:t>
      </w:r>
      <w:r>
        <w:rPr>
          <w:rFonts w:hint="eastAsia" w:ascii="宋体" w:hAnsi="宋体"/>
          <w:bCs/>
          <w:sz w:val="24"/>
          <w:szCs w:val="21"/>
        </w:rPr>
        <w:t>供应商名称：（盖章）</w:t>
      </w:r>
    </w:p>
    <w:p w14:paraId="3EEB0807">
      <w:pPr>
        <w:spacing w:line="460" w:lineRule="exact"/>
        <w:ind w:firstLine="6720" w:firstLineChars="2800"/>
        <w:rPr>
          <w:rFonts w:hint="eastAsia" w:ascii="宋体" w:hAnsi="宋体"/>
          <w:bCs/>
          <w:sz w:val="24"/>
          <w:szCs w:val="21"/>
        </w:rPr>
      </w:pPr>
      <w:r>
        <w:rPr>
          <w:rFonts w:hint="eastAsia" w:ascii="宋体" w:hAnsi="宋体"/>
          <w:bCs/>
          <w:sz w:val="24"/>
          <w:szCs w:val="21"/>
        </w:rPr>
        <w:t>日期：</w:t>
      </w:r>
    </w:p>
    <w:p w14:paraId="599FBB93">
      <w:pPr>
        <w:spacing w:line="360" w:lineRule="auto"/>
        <w:rPr>
          <w:rFonts w:hint="eastAsia" w:ascii="宋体" w:hAnsi="宋体"/>
          <w:b/>
          <w:sz w:val="30"/>
          <w:szCs w:val="30"/>
        </w:rPr>
      </w:pPr>
    </w:p>
    <w:p w14:paraId="5FEBD7BC">
      <w:pPr>
        <w:spacing w:line="360" w:lineRule="auto"/>
        <w:rPr>
          <w:rFonts w:hint="eastAsia" w:ascii="宋体" w:hAnsi="宋体"/>
          <w:b/>
          <w:sz w:val="28"/>
          <w:szCs w:val="28"/>
          <w:u w:val="single"/>
        </w:rPr>
      </w:pPr>
      <w:r>
        <w:rPr>
          <w:rFonts w:ascii="宋体" w:hAnsi="宋体"/>
          <w:b/>
          <w:sz w:val="30"/>
          <w:szCs w:val="30"/>
        </w:rPr>
        <w:br w:type="page"/>
      </w:r>
      <w:r>
        <w:rPr>
          <w:rFonts w:hint="eastAsia" w:ascii="宋体" w:hAnsi="宋体"/>
          <w:b/>
          <w:sz w:val="28"/>
          <w:szCs w:val="28"/>
          <w:u w:val="single"/>
        </w:rPr>
        <w:t>7、具备法律、行政法规规定的其他条件的证明材料</w:t>
      </w:r>
      <w:r>
        <w:rPr>
          <w:rFonts w:hint="eastAsia" w:ascii="宋体" w:hAnsi="宋体"/>
          <w:b/>
          <w:iCs/>
          <w:sz w:val="28"/>
          <w:szCs w:val="28"/>
          <w:u w:val="single"/>
        </w:rPr>
        <w:t>（如有）</w:t>
      </w:r>
    </w:p>
    <w:p w14:paraId="75C01F42">
      <w:pPr>
        <w:spacing w:line="360" w:lineRule="auto"/>
        <w:rPr>
          <w:rFonts w:hint="eastAsia" w:ascii="宋体" w:hAnsi="宋体"/>
          <w:b/>
          <w:sz w:val="30"/>
          <w:szCs w:val="30"/>
        </w:rPr>
      </w:pPr>
      <w:r>
        <w:rPr>
          <w:rFonts w:hint="eastAsia" w:ascii="宋体" w:hAnsi="宋体"/>
          <w:b/>
          <w:sz w:val="30"/>
          <w:szCs w:val="30"/>
        </w:rPr>
        <w:t>…（自行添加内容）</w:t>
      </w:r>
    </w:p>
    <w:p w14:paraId="667C309E"/>
    <w:p w14:paraId="4562112A"/>
    <w:p w14:paraId="5E394415"/>
    <w:p w14:paraId="55F5D2F0"/>
    <w:p w14:paraId="52AA1DF3"/>
    <w:p w14:paraId="634BC82B"/>
    <w:p w14:paraId="6D4B121A"/>
    <w:p w14:paraId="740272A4"/>
    <w:p w14:paraId="1CF4FFE2"/>
    <w:p w14:paraId="7E092FC7"/>
    <w:p w14:paraId="417AEBB7"/>
    <w:p w14:paraId="23B1A03A"/>
    <w:p w14:paraId="705C9541"/>
    <w:p w14:paraId="2AD6C3B1"/>
    <w:p w14:paraId="0C1E387E">
      <w:pPr>
        <w:spacing w:line="360" w:lineRule="auto"/>
        <w:rPr>
          <w:rFonts w:hint="eastAsia" w:ascii="宋体" w:hAnsi="宋体"/>
          <w:b/>
          <w:sz w:val="28"/>
          <w:szCs w:val="28"/>
          <w:u w:val="single"/>
        </w:rPr>
      </w:pPr>
      <w:r>
        <w:rPr>
          <w:rFonts w:hint="eastAsia" w:ascii="宋体" w:hAnsi="宋体"/>
          <w:b/>
          <w:sz w:val="28"/>
          <w:szCs w:val="28"/>
          <w:u w:val="single"/>
        </w:rPr>
        <w:t>8、本项目的特定资格要求（如有）</w:t>
      </w:r>
    </w:p>
    <w:p w14:paraId="7E69EF6B">
      <w:pPr>
        <w:spacing w:line="360" w:lineRule="auto"/>
        <w:rPr>
          <w:rFonts w:hint="eastAsia" w:ascii="宋体" w:hAnsi="宋体"/>
          <w:b/>
          <w:sz w:val="28"/>
          <w:szCs w:val="28"/>
          <w:u w:val="single"/>
        </w:rPr>
      </w:pPr>
      <w:r>
        <w:rPr>
          <w:rFonts w:hint="eastAsia" w:ascii="宋体" w:hAnsi="宋体"/>
          <w:b/>
          <w:sz w:val="28"/>
          <w:szCs w:val="28"/>
          <w:u w:val="single"/>
        </w:rPr>
        <w:t>…（自行添加内容）</w:t>
      </w:r>
    </w:p>
    <w:p w14:paraId="4112DE2C">
      <w:pPr>
        <w:spacing w:line="360" w:lineRule="auto"/>
        <w:rPr>
          <w:rFonts w:hint="eastAsia" w:ascii="宋体" w:hAnsi="宋体"/>
          <w:b/>
          <w:sz w:val="28"/>
          <w:szCs w:val="28"/>
          <w:u w:val="single"/>
        </w:rPr>
      </w:pPr>
    </w:p>
    <w:p w14:paraId="0BE21308">
      <w:pPr>
        <w:spacing w:line="360" w:lineRule="auto"/>
        <w:rPr>
          <w:rFonts w:hint="eastAsia" w:ascii="宋体" w:hAnsi="宋体"/>
          <w:b/>
          <w:sz w:val="28"/>
          <w:szCs w:val="28"/>
          <w:u w:val="single"/>
        </w:rPr>
      </w:pPr>
    </w:p>
    <w:p w14:paraId="7B00D399">
      <w:pPr>
        <w:pStyle w:val="50"/>
        <w:ind w:firstLine="562"/>
        <w:rPr>
          <w:b/>
          <w:sz w:val="28"/>
          <w:szCs w:val="28"/>
          <w:u w:val="single"/>
          <w:lang w:eastAsia="zh-CN"/>
        </w:rPr>
      </w:pPr>
    </w:p>
    <w:p w14:paraId="69C28F8A">
      <w:pPr>
        <w:pStyle w:val="50"/>
        <w:ind w:firstLine="562"/>
        <w:rPr>
          <w:b/>
          <w:sz w:val="28"/>
          <w:szCs w:val="28"/>
          <w:u w:val="single"/>
          <w:lang w:eastAsia="zh-CN"/>
        </w:rPr>
      </w:pPr>
    </w:p>
    <w:p w14:paraId="68097DD1">
      <w:pPr>
        <w:pStyle w:val="50"/>
        <w:ind w:firstLine="562"/>
        <w:rPr>
          <w:b/>
          <w:sz w:val="28"/>
          <w:szCs w:val="28"/>
          <w:u w:val="single"/>
          <w:lang w:eastAsia="zh-CN"/>
        </w:rPr>
      </w:pPr>
    </w:p>
    <w:p w14:paraId="4F2CAF37">
      <w:pPr>
        <w:pStyle w:val="50"/>
        <w:ind w:firstLine="562"/>
        <w:rPr>
          <w:b/>
          <w:sz w:val="28"/>
          <w:szCs w:val="28"/>
          <w:u w:val="single"/>
          <w:lang w:eastAsia="zh-CN"/>
        </w:rPr>
      </w:pPr>
    </w:p>
    <w:p w14:paraId="004AA73A">
      <w:pPr>
        <w:spacing w:line="460" w:lineRule="exact"/>
        <w:rPr>
          <w:rFonts w:hint="eastAsia" w:ascii="宋体" w:hAnsi="宋体"/>
          <w:b/>
          <w:sz w:val="28"/>
          <w:szCs w:val="28"/>
        </w:rPr>
      </w:pPr>
    </w:p>
    <w:p w14:paraId="4AFE122B">
      <w:pPr>
        <w:spacing w:line="460" w:lineRule="exact"/>
        <w:rPr>
          <w:rFonts w:hint="eastAsia" w:ascii="宋体" w:hAnsi="宋体"/>
          <w:b/>
          <w:sz w:val="28"/>
          <w:szCs w:val="28"/>
        </w:rPr>
      </w:pPr>
    </w:p>
    <w:p w14:paraId="100BDB02">
      <w:pPr>
        <w:spacing w:line="460" w:lineRule="exact"/>
        <w:rPr>
          <w:rFonts w:hint="eastAsia" w:ascii="宋体" w:hAnsi="宋体"/>
          <w:b/>
          <w:sz w:val="28"/>
          <w:szCs w:val="28"/>
        </w:rPr>
      </w:pPr>
    </w:p>
    <w:p w14:paraId="31DDA65B">
      <w:pPr>
        <w:spacing w:line="460" w:lineRule="exact"/>
        <w:rPr>
          <w:rFonts w:hint="eastAsia" w:ascii="宋体" w:hAnsi="宋体"/>
          <w:b/>
          <w:sz w:val="28"/>
          <w:szCs w:val="28"/>
        </w:rPr>
      </w:pPr>
    </w:p>
    <w:p w14:paraId="1F43C79A">
      <w:pPr>
        <w:spacing w:line="460" w:lineRule="exact"/>
        <w:rPr>
          <w:rFonts w:hint="eastAsia" w:ascii="宋体" w:hAnsi="宋体"/>
          <w:b/>
          <w:sz w:val="28"/>
          <w:szCs w:val="28"/>
        </w:rPr>
      </w:pPr>
    </w:p>
    <w:p w14:paraId="064D30EC">
      <w:pPr>
        <w:spacing w:line="460" w:lineRule="exact"/>
        <w:rPr>
          <w:rFonts w:hint="eastAsia" w:ascii="宋体" w:hAnsi="宋体"/>
          <w:b/>
          <w:sz w:val="28"/>
          <w:szCs w:val="28"/>
        </w:rPr>
      </w:pPr>
    </w:p>
    <w:p w14:paraId="5A5A7645">
      <w:pPr>
        <w:spacing w:line="460" w:lineRule="exact"/>
        <w:rPr>
          <w:rFonts w:hint="eastAsia" w:ascii="宋体" w:hAnsi="宋体"/>
          <w:b/>
          <w:sz w:val="28"/>
          <w:szCs w:val="28"/>
        </w:rPr>
      </w:pPr>
    </w:p>
    <w:p w14:paraId="5B78192B">
      <w:pPr>
        <w:spacing w:line="460" w:lineRule="exact"/>
        <w:rPr>
          <w:rFonts w:hint="eastAsia" w:ascii="宋体" w:hAnsi="宋体"/>
          <w:b/>
          <w:sz w:val="28"/>
          <w:szCs w:val="28"/>
        </w:rPr>
      </w:pPr>
    </w:p>
    <w:p w14:paraId="296A7A3D">
      <w:pPr>
        <w:spacing w:line="460" w:lineRule="exact"/>
        <w:rPr>
          <w:rFonts w:hint="eastAsia" w:ascii="宋体" w:hAnsi="宋体"/>
          <w:b/>
          <w:sz w:val="28"/>
          <w:szCs w:val="28"/>
        </w:rPr>
      </w:pPr>
    </w:p>
    <w:p w14:paraId="74E0340C">
      <w:pPr>
        <w:spacing w:line="460" w:lineRule="exact"/>
        <w:rPr>
          <w:rFonts w:hint="eastAsia" w:ascii="宋体" w:hAnsi="宋体"/>
          <w:b/>
          <w:sz w:val="28"/>
          <w:szCs w:val="28"/>
        </w:rPr>
      </w:pPr>
    </w:p>
    <w:p w14:paraId="5839B1E9">
      <w:pPr>
        <w:spacing w:line="460" w:lineRule="exact"/>
        <w:rPr>
          <w:rFonts w:hint="eastAsia" w:ascii="宋体" w:hAnsi="宋体"/>
          <w:b/>
          <w:sz w:val="28"/>
          <w:szCs w:val="28"/>
        </w:rPr>
      </w:pPr>
      <w:r>
        <w:rPr>
          <w:rFonts w:hint="eastAsia" w:ascii="宋体" w:hAnsi="宋体"/>
          <w:b/>
          <w:sz w:val="28"/>
          <w:szCs w:val="28"/>
        </w:rPr>
        <w:t>附件（二）符合性检查证明材料</w:t>
      </w:r>
    </w:p>
    <w:p w14:paraId="386B13BB">
      <w:pPr>
        <w:spacing w:line="460" w:lineRule="exact"/>
        <w:ind w:firstLine="562" w:firstLineChars="200"/>
        <w:rPr>
          <w:rFonts w:hint="eastAsia" w:ascii="宋体" w:hAnsi="宋体"/>
          <w:b/>
          <w:sz w:val="28"/>
          <w:szCs w:val="28"/>
        </w:rPr>
      </w:pPr>
    </w:p>
    <w:p w14:paraId="7EE0CFD6">
      <w:pPr>
        <w:spacing w:line="460" w:lineRule="exact"/>
        <w:ind w:firstLine="562" w:firstLineChars="200"/>
        <w:rPr>
          <w:rFonts w:hint="eastAsia" w:ascii="宋体" w:hAnsi="宋体"/>
          <w:bCs/>
          <w:sz w:val="24"/>
        </w:rPr>
      </w:pPr>
      <w:r>
        <w:rPr>
          <w:rFonts w:hint="eastAsia" w:ascii="宋体" w:hAnsi="宋体"/>
          <w:b/>
          <w:sz w:val="28"/>
          <w:szCs w:val="28"/>
        </w:rPr>
        <w:t>1、法人授权书（格式如下，请按要求填写，原件并加盖公章）</w:t>
      </w:r>
      <w:r>
        <w:rPr>
          <w:rFonts w:hint="eastAsia" w:ascii="宋体" w:hAnsi="宋体"/>
          <w:bCs/>
          <w:sz w:val="24"/>
        </w:rPr>
        <w:tab/>
      </w:r>
      <w:r>
        <w:rPr>
          <w:rFonts w:hint="eastAsia" w:ascii="宋体" w:hAnsi="宋体"/>
          <w:bCs/>
          <w:sz w:val="24"/>
        </w:rPr>
        <w:tab/>
      </w:r>
    </w:p>
    <w:p w14:paraId="11923BF5">
      <w:pPr>
        <w:jc w:val="center"/>
        <w:rPr>
          <w:rFonts w:hint="eastAsia" w:ascii="黑体" w:hAnsi="黑体" w:eastAsia="黑体"/>
          <w:sz w:val="30"/>
          <w:szCs w:val="30"/>
        </w:rPr>
      </w:pPr>
      <w:r>
        <w:rPr>
          <w:rFonts w:hint="eastAsia" w:ascii="黑体" w:hAnsi="黑体" w:eastAsia="黑体"/>
          <w:sz w:val="30"/>
          <w:szCs w:val="30"/>
        </w:rPr>
        <w:t>法人授权书</w:t>
      </w:r>
    </w:p>
    <w:p w14:paraId="3212D92E">
      <w:pPr>
        <w:tabs>
          <w:tab w:val="left" w:pos="360"/>
        </w:tabs>
        <w:ind w:firstLine="561"/>
        <w:jc w:val="left"/>
        <w:rPr>
          <w:sz w:val="24"/>
          <w:u w:val="single"/>
        </w:rPr>
      </w:pPr>
      <w:r>
        <w:rPr>
          <w:rFonts w:hint="eastAsia"/>
          <w:sz w:val="24"/>
          <w:u w:val="single"/>
        </w:rPr>
        <w:t>本授权书声明：____________（供应商名称）授权________________（被授权人的姓名）为我方就NJXYS-        号项目采购活动的合法代理人，以本公司名义全权处理一切</w:t>
      </w:r>
    </w:p>
    <w:p w14:paraId="182295E0">
      <w:pPr>
        <w:tabs>
          <w:tab w:val="left" w:pos="360"/>
        </w:tabs>
        <w:ind w:firstLine="561"/>
        <w:jc w:val="left"/>
        <w:rPr>
          <w:sz w:val="24"/>
          <w:u w:val="single"/>
        </w:rPr>
      </w:pPr>
      <w:r>
        <w:rPr>
          <w:rFonts w:hint="eastAsia"/>
          <w:sz w:val="24"/>
          <w:u w:val="single"/>
        </w:rPr>
        <w:t>与该项目采购有关的事务。</w:t>
      </w:r>
    </w:p>
    <w:p w14:paraId="01DC75E4">
      <w:pPr>
        <w:tabs>
          <w:tab w:val="left" w:pos="360"/>
        </w:tabs>
        <w:ind w:firstLine="561"/>
        <w:jc w:val="left"/>
        <w:rPr>
          <w:sz w:val="24"/>
          <w:u w:val="single"/>
        </w:rPr>
      </w:pPr>
      <w:r>
        <w:rPr>
          <w:rFonts w:hint="eastAsia"/>
          <w:sz w:val="24"/>
          <w:u w:val="single"/>
        </w:rPr>
        <w:t>本授权书于______年____月____日起生效，特此声明。</w:t>
      </w:r>
    </w:p>
    <w:p w14:paraId="01A35232">
      <w:pPr>
        <w:tabs>
          <w:tab w:val="left" w:pos="360"/>
        </w:tabs>
        <w:ind w:firstLine="561"/>
        <w:jc w:val="left"/>
        <w:rPr>
          <w:sz w:val="24"/>
          <w:u w:val="single"/>
        </w:rPr>
      </w:pPr>
      <w:r>
        <w:rPr>
          <w:rFonts w:ascii="Segoe UI Symbol" w:hAnsi="Segoe UI Symbol" w:cs="Segoe UI Symbol"/>
          <w:iCs/>
          <w:sz w:val="28"/>
          <w:u w:val="single"/>
        </w:rPr>
        <w:t>★</w:t>
      </w:r>
      <w:r>
        <w:rPr>
          <w:rFonts w:hint="eastAsia"/>
          <w:iCs/>
          <w:sz w:val="24"/>
          <w:u w:val="single"/>
        </w:rPr>
        <w:t>代理人（被授权人）签字：</w:t>
      </w:r>
      <w:r>
        <w:rPr>
          <w:rFonts w:hint="eastAsia"/>
          <w:sz w:val="24"/>
          <w:u w:val="single"/>
        </w:rPr>
        <w:t>_______________________</w:t>
      </w:r>
    </w:p>
    <w:p w14:paraId="7194FBA4">
      <w:pPr>
        <w:tabs>
          <w:tab w:val="left" w:pos="360"/>
        </w:tabs>
        <w:ind w:firstLine="561"/>
        <w:jc w:val="left"/>
        <w:rPr>
          <w:sz w:val="24"/>
          <w:u w:val="single"/>
        </w:rPr>
      </w:pPr>
      <w:r>
        <w:rPr>
          <w:rFonts w:hint="eastAsia"/>
          <w:sz w:val="24"/>
          <w:u w:val="single"/>
        </w:rPr>
        <w:t xml:space="preserve">身份证号码：                              </w:t>
      </w:r>
    </w:p>
    <w:p w14:paraId="7B86AB3E">
      <w:pPr>
        <w:tabs>
          <w:tab w:val="left" w:pos="360"/>
        </w:tabs>
        <w:ind w:firstLine="561"/>
        <w:jc w:val="left"/>
        <w:rPr>
          <w:sz w:val="24"/>
          <w:u w:val="single"/>
        </w:rPr>
      </w:pPr>
      <w:r>
        <w:rPr>
          <w:rFonts w:hint="eastAsia"/>
          <w:sz w:val="24"/>
          <w:u w:val="single"/>
        </w:rPr>
        <w:t xml:space="preserve"> 联系电话：（手机）                          </w:t>
      </w:r>
    </w:p>
    <w:p w14:paraId="78647377">
      <w:pPr>
        <w:tabs>
          <w:tab w:val="left" w:pos="360"/>
        </w:tabs>
        <w:ind w:firstLine="561"/>
        <w:jc w:val="left"/>
        <w:rPr>
          <w:sz w:val="24"/>
          <w:u w:val="single"/>
        </w:rPr>
      </w:pPr>
      <w:r>
        <w:rPr>
          <w:rFonts w:hint="eastAsia"/>
          <w:sz w:val="24"/>
          <w:u w:val="single"/>
        </w:rPr>
        <w:t>单位名称：_____________________________________</w:t>
      </w:r>
    </w:p>
    <w:p w14:paraId="40AE8581">
      <w:pPr>
        <w:tabs>
          <w:tab w:val="left" w:pos="360"/>
        </w:tabs>
        <w:ind w:firstLine="561"/>
        <w:jc w:val="left"/>
        <w:rPr>
          <w:sz w:val="24"/>
          <w:u w:val="single"/>
        </w:rPr>
      </w:pPr>
      <w:r>
        <w:rPr>
          <w:rFonts w:hint="eastAsia"/>
          <w:sz w:val="24"/>
          <w:u w:val="single"/>
        </w:rPr>
        <w:t xml:space="preserve"> </w:t>
      </w:r>
      <w:r>
        <w:rPr>
          <w:rFonts w:ascii="Segoe UI Symbol" w:hAnsi="Segoe UI Symbol" w:cs="Segoe UI Symbol"/>
          <w:sz w:val="28"/>
          <w:u w:val="single"/>
        </w:rPr>
        <w:t>★</w:t>
      </w:r>
      <w:r>
        <w:rPr>
          <w:rFonts w:hint="eastAsia"/>
          <w:sz w:val="24"/>
          <w:u w:val="single"/>
        </w:rPr>
        <w:t>授权单位（公章）</w:t>
      </w:r>
      <w:r>
        <w:rPr>
          <w:rFonts w:hint="eastAsia"/>
          <w:iCs/>
          <w:sz w:val="24"/>
          <w:u w:val="single"/>
        </w:rPr>
        <w:t>：</w:t>
      </w:r>
      <w:r>
        <w:rPr>
          <w:rFonts w:hint="eastAsia"/>
          <w:sz w:val="24"/>
          <w:u w:val="single"/>
        </w:rPr>
        <w:t>_________________________________</w:t>
      </w:r>
    </w:p>
    <w:p w14:paraId="024487A6">
      <w:pPr>
        <w:tabs>
          <w:tab w:val="left" w:pos="360"/>
        </w:tabs>
        <w:ind w:firstLine="561"/>
        <w:jc w:val="left"/>
        <w:rPr>
          <w:sz w:val="24"/>
          <w:u w:val="single"/>
        </w:rPr>
      </w:pPr>
      <w:r>
        <w:rPr>
          <w:rFonts w:hint="eastAsia"/>
          <w:sz w:val="24"/>
          <w:u w:val="single"/>
        </w:rPr>
        <w:t>单位名称：_____________________________________</w:t>
      </w:r>
    </w:p>
    <w:p w14:paraId="1A14A05B">
      <w:pPr>
        <w:tabs>
          <w:tab w:val="left" w:pos="360"/>
        </w:tabs>
        <w:ind w:firstLine="561"/>
        <w:jc w:val="left"/>
        <w:rPr>
          <w:sz w:val="24"/>
          <w:u w:val="single"/>
        </w:rPr>
      </w:pPr>
      <w:r>
        <w:rPr>
          <w:rFonts w:hint="eastAsia"/>
          <w:sz w:val="24"/>
          <w:u w:val="single"/>
        </w:rPr>
        <w:t xml:space="preserve">地址：                                         </w:t>
      </w:r>
    </w:p>
    <w:p w14:paraId="24588D9E">
      <w:pPr>
        <w:tabs>
          <w:tab w:val="left" w:pos="360"/>
        </w:tabs>
        <w:ind w:firstLine="5520" w:firstLineChars="2300"/>
        <w:jc w:val="left"/>
        <w:rPr>
          <w:sz w:val="24"/>
          <w:u w:val="single"/>
        </w:rPr>
      </w:pPr>
      <w:r>
        <w:rPr>
          <w:rFonts w:hint="eastAsia"/>
          <w:sz w:val="24"/>
          <w:u w:val="single"/>
        </w:rPr>
        <w:t>日期：   年   月   日</w:t>
      </w:r>
    </w:p>
    <w:p w14:paraId="743DA69C">
      <w:pPr>
        <w:ind w:firstLine="420"/>
        <w:rPr>
          <w:szCs w:val="20"/>
        </w:rPr>
      </w:pPr>
    </w:p>
    <w:p w14:paraId="7C2DA20F">
      <w:pPr>
        <w:ind w:firstLine="420"/>
        <w:rPr>
          <w:sz w:val="32"/>
          <w:szCs w:val="32"/>
        </w:rPr>
      </w:pPr>
      <w:r>
        <w:rPr>
          <w:rFonts w:hint="eastAsia"/>
          <w:sz w:val="32"/>
          <w:szCs w:val="32"/>
        </w:rPr>
        <w:t>被授权人身份证复印件：</w:t>
      </w:r>
    </w:p>
    <w:p w14:paraId="7DAF0F28">
      <w:pPr>
        <w:spacing w:line="460" w:lineRule="exact"/>
        <w:ind w:firstLine="420" w:firstLineChars="200"/>
        <w:rPr>
          <w:rFonts w:hint="eastAsia" w:ascii="宋体" w:hAnsi="宋体"/>
          <w:b/>
          <w:sz w:val="28"/>
          <w:szCs w:val="28"/>
        </w:rPr>
      </w:pPr>
      <w:r>
        <w:rPr>
          <w:rFonts w:ascii="宋体" w:hAnsi="宋体"/>
          <w:bCs/>
          <w:szCs w:val="21"/>
        </w:rPr>
        <w:br w:type="page"/>
      </w:r>
      <w:r>
        <w:rPr>
          <w:rFonts w:hint="eastAsia" w:ascii="宋体" w:hAnsi="宋体"/>
          <w:b/>
          <w:sz w:val="28"/>
          <w:szCs w:val="28"/>
        </w:rPr>
        <w:t>2、磋商响应函（格式如下，请按要求填写，原件并加盖公章）。</w:t>
      </w:r>
      <w:r>
        <w:rPr>
          <w:rFonts w:hint="eastAsia" w:ascii="宋体" w:hAnsi="宋体"/>
          <w:b/>
          <w:sz w:val="28"/>
          <w:szCs w:val="28"/>
        </w:rPr>
        <w:tab/>
      </w:r>
      <w:r>
        <w:rPr>
          <w:rFonts w:hint="eastAsia" w:ascii="宋体" w:hAnsi="宋体"/>
          <w:b/>
          <w:sz w:val="28"/>
          <w:szCs w:val="28"/>
        </w:rPr>
        <w:tab/>
      </w:r>
    </w:p>
    <w:p w14:paraId="3FE57F85">
      <w:pPr>
        <w:jc w:val="center"/>
        <w:rPr>
          <w:rFonts w:hint="eastAsia" w:ascii="黑体" w:hAnsi="黑体" w:eastAsia="黑体"/>
          <w:bCs/>
          <w:sz w:val="30"/>
          <w:szCs w:val="30"/>
        </w:rPr>
      </w:pPr>
      <w:r>
        <w:rPr>
          <w:rFonts w:hint="eastAsia" w:ascii="黑体" w:hAnsi="黑体" w:eastAsia="黑体"/>
          <w:sz w:val="30"/>
          <w:szCs w:val="30"/>
        </w:rPr>
        <w:t>磋商响应函</w:t>
      </w:r>
    </w:p>
    <w:p w14:paraId="6259F33F">
      <w:pPr>
        <w:tabs>
          <w:tab w:val="left" w:pos="360"/>
        </w:tabs>
        <w:ind w:firstLine="561"/>
        <w:jc w:val="left"/>
        <w:rPr>
          <w:sz w:val="24"/>
          <w:u w:val="single"/>
        </w:rPr>
      </w:pPr>
      <w:r>
        <w:rPr>
          <w:rFonts w:hint="eastAsia"/>
          <w:sz w:val="24"/>
          <w:u w:val="single"/>
        </w:rPr>
        <w:t>致：南京小旸树招标代理有限公司</w:t>
      </w:r>
    </w:p>
    <w:p w14:paraId="2FD5A13D">
      <w:pPr>
        <w:tabs>
          <w:tab w:val="left" w:pos="360"/>
        </w:tabs>
        <w:ind w:firstLine="561"/>
        <w:jc w:val="left"/>
        <w:rPr>
          <w:sz w:val="24"/>
          <w:u w:val="single"/>
        </w:rPr>
      </w:pPr>
      <w:r>
        <w:rPr>
          <w:rFonts w:hint="eastAsia"/>
          <w:sz w:val="24"/>
          <w:u w:val="single"/>
        </w:rPr>
        <w:t xml:space="preserve">    根据贵方的       号磋商文件，正式授权下述签字人_________ (姓名和职务)代表我方______________（供应商的名称），全权处理本次项目磋商采购的有关事宜。</w:t>
      </w:r>
    </w:p>
    <w:p w14:paraId="31976379">
      <w:pPr>
        <w:tabs>
          <w:tab w:val="left" w:pos="360"/>
        </w:tabs>
        <w:ind w:firstLine="561"/>
        <w:jc w:val="left"/>
        <w:rPr>
          <w:sz w:val="24"/>
          <w:u w:val="single"/>
        </w:rPr>
      </w:pPr>
      <w:r>
        <w:rPr>
          <w:rFonts w:hint="eastAsia"/>
          <w:sz w:val="24"/>
          <w:u w:val="single"/>
        </w:rPr>
        <w:t>据此函，__________（签字人）兹宣布同意如下：</w:t>
      </w:r>
    </w:p>
    <w:p w14:paraId="17CFE948">
      <w:pPr>
        <w:tabs>
          <w:tab w:val="left" w:pos="360"/>
        </w:tabs>
        <w:ind w:firstLine="561"/>
        <w:jc w:val="left"/>
        <w:rPr>
          <w:sz w:val="24"/>
          <w:u w:val="single"/>
        </w:rPr>
      </w:pPr>
      <w:r>
        <w:rPr>
          <w:rFonts w:hint="eastAsia"/>
          <w:sz w:val="24"/>
          <w:u w:val="single"/>
        </w:rPr>
        <w:t>1.按磋商文件规定的各项要求，向买方提供所需服务。</w:t>
      </w:r>
    </w:p>
    <w:p w14:paraId="1E353E35">
      <w:pPr>
        <w:tabs>
          <w:tab w:val="left" w:pos="360"/>
        </w:tabs>
        <w:ind w:firstLine="480" w:firstLineChars="200"/>
        <w:jc w:val="left"/>
        <w:rPr>
          <w:sz w:val="24"/>
          <w:u w:val="single"/>
        </w:rPr>
      </w:pPr>
      <w:r>
        <w:rPr>
          <w:rFonts w:hint="eastAsia"/>
          <w:sz w:val="24"/>
          <w:u w:val="single"/>
        </w:rPr>
        <w:t>2.我们已详细审核全部磋商文件及其有效补充文件，我们知道必须放弃提出含糊</w:t>
      </w:r>
    </w:p>
    <w:p w14:paraId="7BA042EE">
      <w:pPr>
        <w:tabs>
          <w:tab w:val="left" w:pos="360"/>
        </w:tabs>
        <w:ind w:firstLine="561"/>
        <w:jc w:val="left"/>
        <w:rPr>
          <w:sz w:val="24"/>
          <w:u w:val="single"/>
        </w:rPr>
      </w:pPr>
      <w:r>
        <w:rPr>
          <w:rFonts w:hint="eastAsia"/>
          <w:sz w:val="24"/>
          <w:u w:val="single"/>
        </w:rPr>
        <w:t>不清或误解问题的权利。</w:t>
      </w:r>
    </w:p>
    <w:p w14:paraId="4E348FD5">
      <w:pPr>
        <w:tabs>
          <w:tab w:val="left" w:pos="360"/>
        </w:tabs>
        <w:ind w:firstLine="480" w:firstLineChars="200"/>
        <w:jc w:val="left"/>
        <w:rPr>
          <w:sz w:val="24"/>
          <w:u w:val="single"/>
        </w:rPr>
      </w:pPr>
      <w:r>
        <w:rPr>
          <w:rFonts w:hint="eastAsia"/>
          <w:sz w:val="24"/>
          <w:u w:val="single"/>
        </w:rPr>
        <w:t>3.我们同意从规定的</w:t>
      </w:r>
      <w:r>
        <w:rPr>
          <w:rFonts w:hint="eastAsia" w:ascii="宋体" w:hAnsi="宋体"/>
          <w:color w:val="000000"/>
          <w:sz w:val="24"/>
          <w:u w:val="single"/>
        </w:rPr>
        <w:t>响应文件接收截止时间</w:t>
      </w:r>
      <w:r>
        <w:rPr>
          <w:rFonts w:hint="eastAsia"/>
          <w:sz w:val="24"/>
          <w:u w:val="single"/>
        </w:rPr>
        <w:t>起遵循本响应文件，并在规定的磋商、</w:t>
      </w:r>
    </w:p>
    <w:p w14:paraId="517EC375">
      <w:pPr>
        <w:tabs>
          <w:tab w:val="left" w:pos="360"/>
        </w:tabs>
        <w:ind w:firstLine="561"/>
        <w:jc w:val="left"/>
        <w:rPr>
          <w:sz w:val="24"/>
          <w:u w:val="single"/>
        </w:rPr>
      </w:pPr>
      <w:r>
        <w:rPr>
          <w:rFonts w:hint="eastAsia"/>
          <w:sz w:val="24"/>
          <w:u w:val="single"/>
        </w:rPr>
        <w:t>有效期期满之前均具有约束力。</w:t>
      </w:r>
    </w:p>
    <w:p w14:paraId="071D3A9F">
      <w:pPr>
        <w:tabs>
          <w:tab w:val="left" w:pos="360"/>
        </w:tabs>
        <w:ind w:firstLine="480" w:firstLineChars="200"/>
        <w:jc w:val="left"/>
        <w:rPr>
          <w:sz w:val="24"/>
          <w:u w:val="single"/>
        </w:rPr>
      </w:pPr>
      <w:r>
        <w:rPr>
          <w:rFonts w:hint="eastAsia"/>
          <w:sz w:val="24"/>
          <w:u w:val="single"/>
        </w:rPr>
        <w:t>4.如果在</w:t>
      </w:r>
      <w:r>
        <w:rPr>
          <w:rFonts w:hint="eastAsia" w:ascii="宋体" w:hAnsi="宋体"/>
          <w:color w:val="000000"/>
          <w:sz w:val="24"/>
          <w:u w:val="single"/>
        </w:rPr>
        <w:t>响应文件接收截止时间</w:t>
      </w:r>
      <w:r>
        <w:rPr>
          <w:rFonts w:hint="eastAsia"/>
          <w:sz w:val="24"/>
          <w:u w:val="single"/>
        </w:rPr>
        <w:t>后规定的磋商有效期内撤回响应文件或成交后拒</w:t>
      </w:r>
    </w:p>
    <w:p w14:paraId="075E9472">
      <w:pPr>
        <w:tabs>
          <w:tab w:val="left" w:pos="360"/>
        </w:tabs>
        <w:ind w:firstLine="561"/>
        <w:jc w:val="left"/>
        <w:rPr>
          <w:sz w:val="24"/>
          <w:u w:val="single"/>
        </w:rPr>
      </w:pPr>
      <w:r>
        <w:rPr>
          <w:rFonts w:hint="eastAsia"/>
          <w:sz w:val="24"/>
          <w:u w:val="single"/>
        </w:rPr>
        <w:t>绝签订合同，我们的磋商保证金（如有）可被贵方没收。</w:t>
      </w:r>
    </w:p>
    <w:p w14:paraId="5271931C">
      <w:pPr>
        <w:tabs>
          <w:tab w:val="left" w:pos="360"/>
        </w:tabs>
        <w:ind w:firstLine="480" w:firstLineChars="200"/>
        <w:jc w:val="left"/>
        <w:rPr>
          <w:sz w:val="24"/>
          <w:u w:val="single"/>
        </w:rPr>
      </w:pPr>
      <w:r>
        <w:rPr>
          <w:rFonts w:hint="eastAsia"/>
          <w:sz w:val="24"/>
          <w:u w:val="single"/>
        </w:rPr>
        <w:t>5.同意向贵方提供贵方可能另外要求的与磋商采购有关的任何证据或资料，并保</w:t>
      </w:r>
    </w:p>
    <w:p w14:paraId="6A256DC3">
      <w:pPr>
        <w:tabs>
          <w:tab w:val="left" w:pos="360"/>
        </w:tabs>
        <w:ind w:firstLine="561"/>
        <w:jc w:val="left"/>
        <w:rPr>
          <w:sz w:val="24"/>
          <w:u w:val="single"/>
        </w:rPr>
      </w:pPr>
      <w:r>
        <w:rPr>
          <w:rFonts w:hint="eastAsia"/>
          <w:sz w:val="24"/>
          <w:u w:val="single"/>
        </w:rPr>
        <w:t>证我方已提供和将要提供的文件是真实的、准确的。</w:t>
      </w:r>
    </w:p>
    <w:p w14:paraId="38F0D4D1">
      <w:pPr>
        <w:tabs>
          <w:tab w:val="left" w:pos="360"/>
        </w:tabs>
        <w:ind w:firstLine="480" w:firstLineChars="200"/>
        <w:jc w:val="left"/>
        <w:rPr>
          <w:sz w:val="24"/>
          <w:u w:val="single"/>
        </w:rPr>
      </w:pPr>
      <w:r>
        <w:rPr>
          <w:rFonts w:hint="eastAsia"/>
          <w:sz w:val="24"/>
          <w:u w:val="single"/>
        </w:rPr>
        <w:t>6.一旦我方成交，我方将根据磋商文件的规定，严格履行合同的责任和义务，并</w:t>
      </w:r>
    </w:p>
    <w:p w14:paraId="0A211CE3">
      <w:pPr>
        <w:tabs>
          <w:tab w:val="left" w:pos="360"/>
        </w:tabs>
        <w:ind w:firstLine="561"/>
        <w:jc w:val="left"/>
        <w:rPr>
          <w:sz w:val="24"/>
          <w:u w:val="single"/>
        </w:rPr>
      </w:pPr>
      <w:r>
        <w:rPr>
          <w:rFonts w:hint="eastAsia"/>
          <w:sz w:val="24"/>
          <w:u w:val="single"/>
        </w:rPr>
        <w:t>保证在磋商文件规定的时间完成项目，交付买方验收、使用。</w:t>
      </w:r>
    </w:p>
    <w:p w14:paraId="335DE477">
      <w:pPr>
        <w:tabs>
          <w:tab w:val="left" w:pos="360"/>
        </w:tabs>
        <w:ind w:firstLine="480" w:firstLineChars="200"/>
        <w:jc w:val="left"/>
        <w:rPr>
          <w:sz w:val="24"/>
          <w:u w:val="single"/>
        </w:rPr>
      </w:pPr>
      <w:r>
        <w:rPr>
          <w:rFonts w:hint="eastAsia"/>
          <w:sz w:val="24"/>
          <w:u w:val="single"/>
        </w:rPr>
        <w:t>7.遵守磋商文件中要求的收费项目和标准。</w:t>
      </w:r>
    </w:p>
    <w:p w14:paraId="34128552">
      <w:pPr>
        <w:tabs>
          <w:tab w:val="left" w:pos="360"/>
        </w:tabs>
        <w:ind w:firstLine="480" w:firstLineChars="200"/>
        <w:jc w:val="left"/>
        <w:rPr>
          <w:sz w:val="24"/>
          <w:u w:val="single"/>
        </w:rPr>
      </w:pPr>
      <w:r>
        <w:rPr>
          <w:rFonts w:hint="eastAsia"/>
          <w:sz w:val="24"/>
          <w:u w:val="single"/>
        </w:rPr>
        <w:t>8.与本磋商采购有关的正式通讯地址为：</w:t>
      </w:r>
    </w:p>
    <w:p w14:paraId="45915755">
      <w:pPr>
        <w:tabs>
          <w:tab w:val="left" w:pos="360"/>
        </w:tabs>
        <w:ind w:firstLine="561"/>
        <w:jc w:val="left"/>
        <w:rPr>
          <w:sz w:val="24"/>
          <w:u w:val="single"/>
        </w:rPr>
      </w:pPr>
      <w:r>
        <w:rPr>
          <w:rFonts w:hint="eastAsia"/>
          <w:sz w:val="24"/>
          <w:u w:val="single"/>
        </w:rPr>
        <w:t>地 址：                         邮 编：</w:t>
      </w:r>
    </w:p>
    <w:p w14:paraId="73D028B9">
      <w:pPr>
        <w:tabs>
          <w:tab w:val="left" w:pos="360"/>
        </w:tabs>
        <w:ind w:firstLine="561"/>
        <w:jc w:val="left"/>
        <w:rPr>
          <w:sz w:val="24"/>
          <w:u w:val="single"/>
        </w:rPr>
      </w:pPr>
      <w:r>
        <w:rPr>
          <w:rFonts w:hint="eastAsia"/>
          <w:sz w:val="24"/>
          <w:u w:val="single"/>
        </w:rPr>
        <w:t>电 话：                         传 真：</w:t>
      </w:r>
    </w:p>
    <w:p w14:paraId="13B7410A">
      <w:pPr>
        <w:tabs>
          <w:tab w:val="left" w:pos="360"/>
        </w:tabs>
        <w:ind w:firstLine="561"/>
        <w:jc w:val="left"/>
        <w:rPr>
          <w:sz w:val="24"/>
          <w:u w:val="single"/>
        </w:rPr>
      </w:pPr>
      <w:r>
        <w:rPr>
          <w:rFonts w:hint="eastAsia"/>
          <w:sz w:val="24"/>
          <w:u w:val="single"/>
        </w:rPr>
        <w:t xml:space="preserve">供应商开户行：                  账 户： </w:t>
      </w:r>
    </w:p>
    <w:p w14:paraId="7846CB9C">
      <w:pPr>
        <w:tabs>
          <w:tab w:val="left" w:pos="360"/>
        </w:tabs>
        <w:ind w:firstLine="561"/>
        <w:jc w:val="left"/>
        <w:rPr>
          <w:sz w:val="24"/>
          <w:u w:val="single"/>
        </w:rPr>
      </w:pPr>
      <w:r>
        <w:rPr>
          <w:rFonts w:hint="eastAsia"/>
          <w:sz w:val="24"/>
          <w:u w:val="single"/>
        </w:rPr>
        <w:t xml:space="preserve">供应商名称（公章）：            </w:t>
      </w:r>
    </w:p>
    <w:p w14:paraId="4EFE1B9A">
      <w:pPr>
        <w:tabs>
          <w:tab w:val="left" w:pos="360"/>
        </w:tabs>
        <w:ind w:firstLine="561"/>
        <w:jc w:val="left"/>
        <w:rPr>
          <w:sz w:val="24"/>
          <w:u w:val="single"/>
        </w:rPr>
      </w:pPr>
      <w:r>
        <w:rPr>
          <w:rFonts w:hint="eastAsia"/>
          <w:sz w:val="24"/>
          <w:u w:val="single"/>
        </w:rPr>
        <w:t>日 期：________年____月____日</w:t>
      </w:r>
    </w:p>
    <w:p w14:paraId="0575CD92">
      <w:pPr>
        <w:spacing w:line="460" w:lineRule="exact"/>
        <w:ind w:firstLine="602" w:firstLineChars="200"/>
        <w:rPr>
          <w:rFonts w:hint="eastAsia" w:ascii="宋体" w:hAnsi="宋体"/>
          <w:b/>
          <w:sz w:val="30"/>
          <w:szCs w:val="30"/>
          <w:u w:val="single"/>
        </w:rPr>
      </w:pPr>
    </w:p>
    <w:p w14:paraId="135C1FBA">
      <w:pPr>
        <w:spacing w:line="460" w:lineRule="exact"/>
        <w:ind w:firstLine="492"/>
        <w:rPr>
          <w:rFonts w:hint="eastAsia" w:ascii="宋体" w:hAnsi="宋体"/>
          <w:b/>
          <w:sz w:val="28"/>
          <w:szCs w:val="28"/>
        </w:rPr>
      </w:pPr>
      <w:r>
        <w:rPr>
          <w:rFonts w:hint="eastAsia" w:ascii="宋体" w:hAnsi="宋体"/>
          <w:b/>
          <w:sz w:val="28"/>
          <w:szCs w:val="28"/>
        </w:rPr>
        <w:tab/>
      </w:r>
      <w:r>
        <w:rPr>
          <w:rFonts w:hint="eastAsia" w:ascii="宋体" w:hAnsi="宋体"/>
          <w:b/>
          <w:sz w:val="28"/>
          <w:szCs w:val="28"/>
        </w:rPr>
        <w:tab/>
      </w:r>
    </w:p>
    <w:p w14:paraId="5039D333">
      <w:pPr>
        <w:spacing w:line="460" w:lineRule="exact"/>
        <w:ind w:firstLine="562" w:firstLineChars="200"/>
        <w:rPr>
          <w:rFonts w:hint="eastAsia" w:ascii="宋体" w:hAnsi="宋体"/>
          <w:b/>
          <w:sz w:val="28"/>
          <w:szCs w:val="28"/>
        </w:rPr>
      </w:pPr>
      <w:r>
        <w:rPr>
          <w:rFonts w:hint="eastAsia" w:ascii="宋体" w:hAnsi="宋体"/>
          <w:b/>
          <w:sz w:val="28"/>
          <w:szCs w:val="28"/>
        </w:rPr>
        <w:t>3、不予分包或转包的承诺函（原件并加盖公章，内容需满足采购文件要求）</w:t>
      </w:r>
    </w:p>
    <w:p w14:paraId="556820F2">
      <w:pPr>
        <w:spacing w:line="460" w:lineRule="exact"/>
        <w:ind w:left="420"/>
        <w:rPr>
          <w:rFonts w:hint="eastAsia" w:ascii="宋体" w:hAnsi="宋体"/>
          <w:b/>
          <w:sz w:val="28"/>
          <w:szCs w:val="28"/>
        </w:rPr>
      </w:pPr>
      <w:r>
        <w:rPr>
          <w:rFonts w:hint="eastAsia" w:ascii="宋体" w:hAnsi="宋体"/>
          <w:b/>
          <w:sz w:val="28"/>
          <w:szCs w:val="28"/>
        </w:rPr>
        <w:t>…（自行添加内容）</w:t>
      </w:r>
    </w:p>
    <w:p w14:paraId="16C4C074">
      <w:pPr>
        <w:pStyle w:val="50"/>
        <w:rPr>
          <w:lang w:eastAsia="zh-CN"/>
        </w:rPr>
      </w:pPr>
    </w:p>
    <w:p w14:paraId="1517E222">
      <w:pPr>
        <w:pStyle w:val="50"/>
        <w:ind w:firstLine="562"/>
        <w:rPr>
          <w:b/>
          <w:sz w:val="28"/>
          <w:szCs w:val="28"/>
          <w:lang w:eastAsia="zh-CN"/>
        </w:rPr>
      </w:pPr>
      <w:r>
        <w:rPr>
          <w:rFonts w:hint="eastAsia"/>
          <w:b/>
          <w:sz w:val="28"/>
          <w:szCs w:val="28"/>
          <w:lang w:eastAsia="zh-CN"/>
        </w:rPr>
        <w:t>4</w:t>
      </w:r>
      <w:r>
        <w:rPr>
          <w:rFonts w:hint="eastAsia" w:eastAsia="宋体" w:cs="宋体"/>
          <w:b/>
          <w:sz w:val="28"/>
          <w:szCs w:val="28"/>
          <w:lang w:eastAsia="zh-CN"/>
        </w:rPr>
        <w:t>、质</w:t>
      </w:r>
      <w:r>
        <w:rPr>
          <w:rFonts w:hint="eastAsia"/>
          <w:b/>
          <w:sz w:val="28"/>
          <w:szCs w:val="28"/>
          <w:lang w:eastAsia="zh-CN"/>
        </w:rPr>
        <w:t>保及售后要求书面承诺函（原件并加盖公章，内容需满足采购文件要求）</w:t>
      </w:r>
    </w:p>
    <w:p w14:paraId="504AEA79">
      <w:pPr>
        <w:pStyle w:val="50"/>
        <w:ind w:firstLine="562"/>
        <w:rPr>
          <w:b/>
          <w:sz w:val="28"/>
          <w:szCs w:val="28"/>
          <w:lang w:eastAsia="zh-CN"/>
        </w:rPr>
      </w:pPr>
      <w:r>
        <w:rPr>
          <w:rFonts w:hint="eastAsia"/>
          <w:b/>
          <w:sz w:val="28"/>
          <w:szCs w:val="28"/>
          <w:lang w:eastAsia="zh-CN"/>
        </w:rPr>
        <w:t>…（自行添加内容）</w:t>
      </w:r>
    </w:p>
    <w:p w14:paraId="6511FFAB">
      <w:pPr>
        <w:pStyle w:val="50"/>
        <w:ind w:firstLine="0" w:firstLineChars="0"/>
        <w:rPr>
          <w:b/>
          <w:sz w:val="28"/>
          <w:szCs w:val="28"/>
          <w:lang w:eastAsia="zh-CN"/>
        </w:rPr>
      </w:pPr>
    </w:p>
    <w:p w14:paraId="7E8A298B">
      <w:pPr>
        <w:pStyle w:val="50"/>
        <w:ind w:firstLine="562"/>
        <w:rPr>
          <w:b/>
          <w:sz w:val="28"/>
          <w:szCs w:val="28"/>
          <w:lang w:eastAsia="zh-CN"/>
        </w:rPr>
      </w:pPr>
      <w:r>
        <w:rPr>
          <w:b/>
          <w:sz w:val="28"/>
          <w:szCs w:val="28"/>
          <w:lang w:eastAsia="zh-CN"/>
        </w:rPr>
        <w:t>5</w:t>
      </w:r>
      <w:r>
        <w:rPr>
          <w:rFonts w:hint="eastAsia"/>
          <w:b/>
          <w:sz w:val="28"/>
          <w:szCs w:val="28"/>
          <w:lang w:eastAsia="zh-CN"/>
        </w:rPr>
        <w:t>、知识产权要求书面承诺函（原件并加盖公章，内容需满足采购文件要求）</w:t>
      </w:r>
    </w:p>
    <w:p w14:paraId="1568C551">
      <w:pPr>
        <w:pStyle w:val="50"/>
        <w:ind w:firstLine="562"/>
        <w:rPr>
          <w:b/>
          <w:sz w:val="28"/>
          <w:szCs w:val="28"/>
          <w:lang w:eastAsia="zh-CN"/>
        </w:rPr>
      </w:pPr>
      <w:r>
        <w:rPr>
          <w:rFonts w:hint="eastAsia"/>
          <w:b/>
          <w:sz w:val="28"/>
          <w:szCs w:val="28"/>
          <w:lang w:eastAsia="zh-CN"/>
        </w:rPr>
        <w:t>…（自行添加内容）</w:t>
      </w:r>
    </w:p>
    <w:p w14:paraId="6F6665CD">
      <w:pPr>
        <w:pStyle w:val="50"/>
        <w:ind w:firstLine="0" w:firstLineChars="0"/>
        <w:rPr>
          <w:b/>
          <w:sz w:val="28"/>
          <w:szCs w:val="28"/>
          <w:lang w:eastAsia="zh-CN"/>
        </w:rPr>
      </w:pPr>
    </w:p>
    <w:p w14:paraId="465C5E36">
      <w:pPr>
        <w:pStyle w:val="50"/>
        <w:ind w:firstLine="562"/>
        <w:rPr>
          <w:b/>
          <w:sz w:val="28"/>
          <w:szCs w:val="28"/>
          <w:lang w:eastAsia="zh-CN"/>
        </w:rPr>
      </w:pPr>
      <w:r>
        <w:rPr>
          <w:b/>
          <w:sz w:val="28"/>
          <w:szCs w:val="28"/>
          <w:lang w:eastAsia="zh-CN"/>
        </w:rPr>
        <w:t>6</w:t>
      </w:r>
      <w:r>
        <w:rPr>
          <w:rFonts w:hint="eastAsia"/>
          <w:b/>
          <w:sz w:val="28"/>
          <w:szCs w:val="28"/>
          <w:lang w:eastAsia="zh-CN"/>
        </w:rPr>
        <w:t>、数据保密要求书面承诺函（原件并加盖公章，内容需满足采购文件要求）</w:t>
      </w:r>
    </w:p>
    <w:p w14:paraId="60971774">
      <w:pPr>
        <w:pStyle w:val="50"/>
        <w:ind w:firstLine="562"/>
        <w:rPr>
          <w:b/>
          <w:sz w:val="28"/>
          <w:szCs w:val="28"/>
          <w:lang w:eastAsia="zh-CN"/>
        </w:rPr>
      </w:pPr>
      <w:r>
        <w:rPr>
          <w:rFonts w:hint="eastAsia"/>
          <w:b/>
          <w:sz w:val="28"/>
          <w:szCs w:val="28"/>
          <w:lang w:eastAsia="zh-CN"/>
        </w:rPr>
        <w:t>…（自行添加内容）</w:t>
      </w:r>
    </w:p>
    <w:p w14:paraId="1F6BB52E">
      <w:pPr>
        <w:pStyle w:val="50"/>
        <w:rPr>
          <w:lang w:eastAsia="zh-CN"/>
        </w:rPr>
      </w:pPr>
    </w:p>
    <w:p w14:paraId="021258BE">
      <w:pPr>
        <w:spacing w:line="460" w:lineRule="exact"/>
        <w:ind w:firstLine="562" w:firstLineChars="200"/>
        <w:rPr>
          <w:rFonts w:hint="eastAsia" w:ascii="宋体" w:hAnsi="宋体"/>
          <w:b/>
          <w:sz w:val="28"/>
          <w:szCs w:val="28"/>
        </w:rPr>
      </w:pPr>
      <w:r>
        <w:rPr>
          <w:rFonts w:ascii="宋体" w:hAnsi="宋体"/>
          <w:b/>
          <w:sz w:val="28"/>
          <w:szCs w:val="28"/>
        </w:rPr>
        <w:t>7</w:t>
      </w:r>
      <w:r>
        <w:rPr>
          <w:rFonts w:hint="eastAsia" w:ascii="宋体" w:hAnsi="宋体"/>
          <w:b/>
          <w:sz w:val="28"/>
          <w:szCs w:val="28"/>
        </w:rPr>
        <w:t>、…（请根据采购文件是否提出其他应具备的符合性要求或实质性要求自行添加序号与内容）</w:t>
      </w:r>
    </w:p>
    <w:p w14:paraId="14E318E3">
      <w:pPr>
        <w:pStyle w:val="13"/>
        <w:ind w:firstLine="562" w:firstLineChars="200"/>
        <w:rPr>
          <w:rFonts w:hint="eastAsia" w:ascii="宋体" w:hAnsi="宋体" w:eastAsia="宋体"/>
        </w:rPr>
      </w:pPr>
      <w:r>
        <w:rPr>
          <w:rFonts w:hint="eastAsia" w:ascii="宋体" w:hAnsi="宋体" w:eastAsia="宋体"/>
          <w:b/>
        </w:rPr>
        <w:t>…（自行添加内容）</w:t>
      </w:r>
    </w:p>
    <w:p w14:paraId="673E8838">
      <w:pPr>
        <w:jc w:val="center"/>
        <w:rPr>
          <w:rFonts w:hint="eastAsia" w:ascii="黑体" w:hAnsi="黑体" w:eastAsia="黑体"/>
          <w:color w:val="000000"/>
          <w:sz w:val="30"/>
          <w:szCs w:val="30"/>
        </w:rPr>
      </w:pPr>
      <w:r>
        <w:rPr>
          <w:rFonts w:hint="eastAsia" w:ascii="黑体" w:hAnsi="黑体" w:eastAsia="黑体"/>
          <w:color w:val="000000"/>
          <w:sz w:val="30"/>
          <w:szCs w:val="30"/>
        </w:rPr>
        <w:br w:type="page"/>
      </w:r>
      <w:r>
        <w:rPr>
          <w:rFonts w:hint="eastAsia" w:ascii="黑体" w:hAnsi="黑体" w:eastAsia="黑体"/>
          <w:color w:val="000000"/>
          <w:sz w:val="30"/>
          <w:szCs w:val="30"/>
        </w:rPr>
        <w:t>三、非实质性资信证明文件目录</w:t>
      </w:r>
    </w:p>
    <w:p w14:paraId="64FCAF52">
      <w:pPr>
        <w:rPr>
          <w:rFonts w:hint="eastAsia" w:ascii="宋体" w:hAnsi="宋体"/>
          <w:b/>
          <w:bCs/>
          <w:sz w:val="28"/>
          <w:szCs w:val="28"/>
        </w:rPr>
      </w:pPr>
      <w:r>
        <w:rPr>
          <w:rFonts w:hint="eastAsia"/>
          <w:sz w:val="44"/>
        </w:rPr>
        <w:t xml:space="preserve"> </w:t>
      </w:r>
      <w:r>
        <w:rPr>
          <w:rFonts w:hint="eastAsia" w:ascii="宋体" w:hAnsi="宋体"/>
          <w:b/>
          <w:bCs/>
          <w:sz w:val="28"/>
          <w:szCs w:val="28"/>
        </w:rPr>
        <w:t xml:space="preserve"> </w:t>
      </w:r>
      <w:r>
        <w:rPr>
          <w:rFonts w:ascii="宋体" w:hAnsi="宋体"/>
          <w:b/>
          <w:bCs/>
          <w:sz w:val="28"/>
          <w:szCs w:val="28"/>
        </w:rPr>
        <w:t>1</w:t>
      </w:r>
      <w:r>
        <w:rPr>
          <w:rFonts w:hint="eastAsia" w:ascii="宋体" w:hAnsi="宋体"/>
          <w:b/>
          <w:bCs/>
          <w:sz w:val="28"/>
          <w:szCs w:val="28"/>
        </w:rPr>
        <w:t>、《中小企业声明函》（格式如下，原件并加盖公章）</w:t>
      </w:r>
    </w:p>
    <w:p w14:paraId="4CDEDAF8">
      <w:pPr>
        <w:pStyle w:val="50"/>
        <w:ind w:firstLine="562"/>
        <w:jc w:val="center"/>
        <w:rPr>
          <w:rFonts w:hint="eastAsia" w:eastAsia="宋体"/>
          <w:b/>
          <w:bCs/>
          <w:kern w:val="2"/>
          <w:sz w:val="28"/>
          <w:szCs w:val="28"/>
          <w:lang w:eastAsia="zh-CN"/>
        </w:rPr>
      </w:pPr>
      <w:r>
        <w:rPr>
          <w:rFonts w:hint="eastAsia" w:eastAsia="宋体"/>
          <w:b/>
          <w:bCs/>
          <w:kern w:val="2"/>
          <w:sz w:val="28"/>
          <w:szCs w:val="28"/>
          <w:lang w:eastAsia="zh-CN"/>
        </w:rPr>
        <w:t>中小企业声明函</w:t>
      </w:r>
    </w:p>
    <w:p w14:paraId="1C833171">
      <w:pPr>
        <w:ind w:firstLine="480" w:firstLineChars="200"/>
        <w:rPr>
          <w:rFonts w:hint="eastAsia" w:ascii="宋体" w:hAnsi="宋体" w:cs="宋体"/>
          <w:sz w:val="24"/>
          <w:szCs w:val="32"/>
        </w:rPr>
      </w:pPr>
      <w:r>
        <w:rPr>
          <w:rFonts w:hint="eastAsia" w:ascii="宋体" w:hAnsi="宋体" w:cs="宋体"/>
          <w:sz w:val="24"/>
          <w:szCs w:val="32"/>
        </w:rPr>
        <w:t>本公司（联合体）郑重声明，根据《政府采购促进中小企业发展管理办法》（财库﹝2020﹞46 号）的规定，本公司（联合体）参加（</w:t>
      </w:r>
      <w:r>
        <w:rPr>
          <w:rFonts w:hint="eastAsia" w:ascii="宋体" w:hAnsi="宋体" w:cs="宋体"/>
          <w:i/>
          <w:iCs/>
          <w:sz w:val="24"/>
          <w:szCs w:val="32"/>
          <w:u w:val="single"/>
        </w:rPr>
        <w:t>单位名称</w:t>
      </w:r>
      <w:r>
        <w:rPr>
          <w:rFonts w:hint="eastAsia" w:ascii="宋体" w:hAnsi="宋体" w:cs="宋体"/>
          <w:sz w:val="24"/>
          <w:szCs w:val="32"/>
        </w:rPr>
        <w:t>）的（</w:t>
      </w:r>
      <w:r>
        <w:rPr>
          <w:rFonts w:hint="eastAsia" w:ascii="宋体" w:hAnsi="宋体" w:cs="宋体"/>
          <w:i/>
          <w:iCs/>
          <w:sz w:val="24"/>
          <w:szCs w:val="32"/>
          <w:u w:val="single"/>
        </w:rPr>
        <w:t>项目名称</w:t>
      </w:r>
      <w:r>
        <w:rPr>
          <w:rFonts w:hint="eastAsia" w:ascii="宋体" w:hAnsi="宋体" w:cs="宋体"/>
          <w:sz w:val="24"/>
          <w:szCs w:val="32"/>
        </w:rPr>
        <w:t xml:space="preserve">）采购活动，工程的施工单位全部为符合政策要求的中小企业（或者：服务全部由符合政策要求的中小企业承接）。相关企业（含联合体中的中小企业、签订分包意向协议的中小企业）的具体情况如下：  </w:t>
      </w:r>
    </w:p>
    <w:p w14:paraId="700C6B41">
      <w:pPr>
        <w:ind w:firstLine="480" w:firstLineChars="200"/>
        <w:jc w:val="left"/>
        <w:rPr>
          <w:rFonts w:hint="eastAsia" w:ascii="宋体" w:hAnsi="宋体" w:cs="宋体"/>
          <w:sz w:val="24"/>
          <w:szCs w:val="32"/>
        </w:rPr>
      </w:pPr>
      <w:r>
        <w:rPr>
          <w:rFonts w:hint="eastAsia" w:ascii="宋体" w:hAnsi="宋体" w:cs="宋体"/>
          <w:sz w:val="24"/>
          <w:szCs w:val="32"/>
        </w:rPr>
        <w:t>1.</w:t>
      </w:r>
      <w:r>
        <w:rPr>
          <w:rFonts w:ascii="宋体" w:hAnsi="宋体" w:cs="宋体"/>
          <w:sz w:val="24"/>
          <w:szCs w:val="32"/>
        </w:rPr>
        <w:t xml:space="preserve"> </w:t>
      </w:r>
      <w:r>
        <w:rPr>
          <w:rFonts w:ascii="宋体" w:hAnsi="宋体" w:cs="宋体"/>
          <w:sz w:val="24"/>
          <w:szCs w:val="32"/>
          <w:u w:val="single"/>
        </w:rPr>
        <w:t xml:space="preserve">   </w:t>
      </w:r>
      <w:r>
        <w:rPr>
          <w:rFonts w:hint="eastAsia" w:ascii="宋体" w:hAnsi="宋体" w:cs="宋体"/>
          <w:i/>
          <w:iCs/>
          <w:sz w:val="24"/>
          <w:szCs w:val="32"/>
          <w:u w:val="single"/>
        </w:rPr>
        <w:t>（标的名称）</w:t>
      </w:r>
      <w:r>
        <w:rPr>
          <w:rFonts w:hint="eastAsia" w:ascii="宋体" w:hAnsi="宋体" w:cs="宋体"/>
          <w:sz w:val="24"/>
          <w:szCs w:val="32"/>
        </w:rPr>
        <w:t xml:space="preserve"> ，属于</w:t>
      </w:r>
      <w:r>
        <w:rPr>
          <w:rFonts w:hint="eastAsia" w:ascii="宋体" w:hAnsi="宋体" w:cs="宋体"/>
          <w:sz w:val="24"/>
          <w:szCs w:val="32"/>
          <w:u w:val="single"/>
        </w:rPr>
        <w:t xml:space="preserve"> </w:t>
      </w:r>
      <w:r>
        <w:rPr>
          <w:rFonts w:ascii="宋体" w:hAnsi="宋体" w:cs="宋体"/>
          <w:sz w:val="24"/>
          <w:szCs w:val="32"/>
          <w:u w:val="single"/>
        </w:rPr>
        <w:t xml:space="preserve">  </w:t>
      </w:r>
      <w:r>
        <w:rPr>
          <w:rFonts w:hint="eastAsia" w:ascii="宋体" w:hAnsi="宋体" w:cs="宋体"/>
          <w:i/>
          <w:iCs/>
          <w:sz w:val="24"/>
          <w:szCs w:val="32"/>
          <w:u w:val="single"/>
        </w:rPr>
        <w:t>（软件和信息技术服务业）</w:t>
      </w:r>
      <w:r>
        <w:rPr>
          <w:rFonts w:hint="eastAsia" w:ascii="宋体" w:hAnsi="宋体" w:cs="宋体"/>
          <w:sz w:val="24"/>
          <w:szCs w:val="32"/>
        </w:rPr>
        <w:t>；承建（承接）企业为</w:t>
      </w:r>
    </w:p>
    <w:p w14:paraId="277B8717">
      <w:pPr>
        <w:jc w:val="left"/>
        <w:rPr>
          <w:rFonts w:hint="eastAsia" w:ascii="宋体" w:hAnsi="宋体" w:cs="宋体"/>
          <w:sz w:val="24"/>
          <w:szCs w:val="32"/>
        </w:rPr>
      </w:pPr>
      <w:r>
        <w:rPr>
          <w:rFonts w:hint="eastAsia" w:ascii="宋体" w:hAnsi="宋体" w:cs="宋体"/>
          <w:i/>
          <w:iCs/>
          <w:sz w:val="24"/>
          <w:szCs w:val="32"/>
          <w:u w:val="single"/>
        </w:rPr>
        <w:t xml:space="preserve"> </w:t>
      </w:r>
      <w:r>
        <w:rPr>
          <w:rFonts w:ascii="宋体" w:hAnsi="宋体" w:cs="宋体"/>
          <w:i/>
          <w:iCs/>
          <w:sz w:val="24"/>
          <w:szCs w:val="32"/>
          <w:u w:val="single"/>
        </w:rPr>
        <w:t xml:space="preserve">   </w:t>
      </w:r>
      <w:r>
        <w:rPr>
          <w:rFonts w:hint="eastAsia" w:ascii="宋体" w:hAnsi="宋体" w:cs="宋体"/>
          <w:i/>
          <w:iCs/>
          <w:sz w:val="24"/>
          <w:szCs w:val="32"/>
          <w:u w:val="single"/>
        </w:rPr>
        <w:t>（企业名称）</w:t>
      </w:r>
      <w:r>
        <w:rPr>
          <w:rFonts w:hint="eastAsia" w:ascii="宋体" w:hAnsi="宋体" w:cs="宋体"/>
          <w:sz w:val="24"/>
          <w:szCs w:val="32"/>
        </w:rPr>
        <w:t>，从业人员</w:t>
      </w:r>
      <w:r>
        <w:rPr>
          <w:rFonts w:hint="eastAsia" w:ascii="宋体" w:hAnsi="宋体" w:cs="宋体"/>
          <w:sz w:val="24"/>
          <w:szCs w:val="32"/>
          <w:u w:val="single"/>
        </w:rPr>
        <w:t xml:space="preserve">   </w:t>
      </w:r>
      <w:r>
        <w:rPr>
          <w:rFonts w:hint="eastAsia" w:ascii="宋体" w:hAnsi="宋体" w:cs="宋体"/>
          <w:sz w:val="24"/>
          <w:szCs w:val="32"/>
        </w:rPr>
        <w:t>人，营业收入为</w:t>
      </w:r>
      <w:r>
        <w:rPr>
          <w:rFonts w:hint="eastAsia" w:ascii="宋体" w:hAnsi="宋体" w:cs="宋体"/>
          <w:sz w:val="24"/>
          <w:szCs w:val="32"/>
          <w:u w:val="single"/>
        </w:rPr>
        <w:t xml:space="preserve">         </w:t>
      </w:r>
      <w:r>
        <w:rPr>
          <w:rFonts w:hint="eastAsia" w:ascii="宋体" w:hAnsi="宋体" w:cs="宋体"/>
          <w:sz w:val="24"/>
          <w:szCs w:val="32"/>
        </w:rPr>
        <w:t>万元，资产总额为</w:t>
      </w:r>
      <w:r>
        <w:rPr>
          <w:rFonts w:hint="eastAsia" w:ascii="宋体" w:hAnsi="宋体" w:cs="宋体"/>
          <w:sz w:val="24"/>
          <w:szCs w:val="32"/>
          <w:u w:val="single"/>
        </w:rPr>
        <w:t xml:space="preserve">     </w:t>
      </w:r>
      <w:r>
        <w:rPr>
          <w:rFonts w:hint="eastAsia" w:ascii="宋体" w:hAnsi="宋体" w:cs="宋体"/>
          <w:sz w:val="24"/>
          <w:szCs w:val="32"/>
        </w:rPr>
        <w:t xml:space="preserve">万元，属于 </w:t>
      </w:r>
      <w:r>
        <w:rPr>
          <w:rFonts w:hint="eastAsia" w:ascii="宋体" w:hAnsi="宋体" w:cs="宋体"/>
          <w:sz w:val="24"/>
          <w:szCs w:val="32"/>
          <w:u w:val="single"/>
        </w:rPr>
        <w:t xml:space="preserve">         </w:t>
      </w:r>
      <w:r>
        <w:rPr>
          <w:rFonts w:hint="eastAsia" w:ascii="宋体" w:hAnsi="宋体" w:cs="宋体"/>
          <w:i/>
          <w:iCs/>
          <w:sz w:val="24"/>
          <w:szCs w:val="32"/>
          <w:u w:val="single"/>
        </w:rPr>
        <w:t>（中型企业、小型企业、微型企业）</w:t>
      </w:r>
      <w:r>
        <w:rPr>
          <w:rFonts w:hint="eastAsia" w:ascii="宋体" w:hAnsi="宋体" w:cs="宋体"/>
          <w:sz w:val="24"/>
          <w:szCs w:val="32"/>
        </w:rPr>
        <w:t xml:space="preserve">； </w:t>
      </w:r>
    </w:p>
    <w:p w14:paraId="48FA352D">
      <w:pPr>
        <w:ind w:firstLine="480" w:firstLineChars="200"/>
        <w:jc w:val="left"/>
        <w:rPr>
          <w:rFonts w:hint="eastAsia" w:ascii="宋体" w:hAnsi="宋体" w:cs="宋体"/>
          <w:i/>
          <w:iCs/>
          <w:sz w:val="24"/>
          <w:szCs w:val="32"/>
          <w:u w:val="single"/>
        </w:rPr>
      </w:pPr>
      <w:r>
        <w:rPr>
          <w:rFonts w:hint="eastAsia" w:ascii="宋体" w:hAnsi="宋体" w:cs="宋体"/>
          <w:sz w:val="24"/>
          <w:szCs w:val="32"/>
        </w:rPr>
        <w:t>2.</w:t>
      </w:r>
      <w:r>
        <w:rPr>
          <w:rFonts w:hint="eastAsia" w:ascii="宋体" w:hAnsi="宋体" w:cs="宋体"/>
          <w:i/>
          <w:iCs/>
          <w:sz w:val="24"/>
          <w:szCs w:val="32"/>
          <w:u w:val="single"/>
        </w:rPr>
        <w:t xml:space="preserve"> （标的名称） </w:t>
      </w:r>
      <w:r>
        <w:rPr>
          <w:rFonts w:hint="eastAsia" w:ascii="宋体" w:hAnsi="宋体" w:cs="宋体"/>
          <w:sz w:val="24"/>
          <w:szCs w:val="32"/>
        </w:rPr>
        <w:t>，属于</w:t>
      </w:r>
      <w:r>
        <w:rPr>
          <w:rFonts w:hint="eastAsia" w:ascii="宋体" w:hAnsi="宋体" w:cs="宋体"/>
          <w:i/>
          <w:iCs/>
          <w:sz w:val="24"/>
          <w:szCs w:val="32"/>
          <w:u w:val="single"/>
        </w:rPr>
        <w:t>（软件和信息技术服务业）</w:t>
      </w:r>
      <w:r>
        <w:rPr>
          <w:rFonts w:hint="eastAsia" w:ascii="宋体" w:hAnsi="宋体" w:cs="宋体"/>
          <w:sz w:val="24"/>
          <w:szCs w:val="32"/>
        </w:rPr>
        <w:t>；承建（承接）企业为</w:t>
      </w:r>
      <w:r>
        <w:rPr>
          <w:rFonts w:hint="eastAsia" w:ascii="宋体" w:hAnsi="宋体" w:cs="宋体"/>
          <w:i/>
          <w:iCs/>
          <w:sz w:val="24"/>
          <w:szCs w:val="32"/>
          <w:u w:val="single"/>
        </w:rPr>
        <w:t>（企业名称）</w:t>
      </w:r>
      <w:r>
        <w:rPr>
          <w:rFonts w:hint="eastAsia" w:ascii="宋体" w:hAnsi="宋体" w:cs="宋体"/>
          <w:sz w:val="24"/>
          <w:szCs w:val="32"/>
        </w:rPr>
        <w:t>，从业人员</w:t>
      </w:r>
      <w:r>
        <w:rPr>
          <w:rFonts w:hint="eastAsia" w:ascii="宋体" w:hAnsi="宋体" w:cs="宋体"/>
          <w:sz w:val="24"/>
          <w:szCs w:val="32"/>
          <w:u w:val="single"/>
        </w:rPr>
        <w:t xml:space="preserve">    </w:t>
      </w:r>
      <w:r>
        <w:rPr>
          <w:rFonts w:hint="eastAsia" w:ascii="宋体" w:hAnsi="宋体" w:cs="宋体"/>
          <w:sz w:val="24"/>
          <w:szCs w:val="32"/>
        </w:rPr>
        <w:t>人，营业收入为</w:t>
      </w:r>
      <w:r>
        <w:rPr>
          <w:rFonts w:hint="eastAsia" w:ascii="宋体" w:hAnsi="宋体" w:cs="宋体"/>
          <w:sz w:val="24"/>
          <w:szCs w:val="32"/>
          <w:u w:val="single"/>
        </w:rPr>
        <w:t xml:space="preserve">       </w:t>
      </w:r>
      <w:r>
        <w:rPr>
          <w:rFonts w:hint="eastAsia" w:ascii="宋体" w:hAnsi="宋体" w:cs="宋体"/>
          <w:sz w:val="24"/>
          <w:szCs w:val="32"/>
        </w:rPr>
        <w:t>万元，资产总额为</w:t>
      </w:r>
      <w:r>
        <w:rPr>
          <w:rFonts w:hint="eastAsia" w:ascii="宋体" w:hAnsi="宋体" w:cs="宋体"/>
          <w:sz w:val="24"/>
          <w:szCs w:val="32"/>
          <w:u w:val="single"/>
        </w:rPr>
        <w:t xml:space="preserve">     </w:t>
      </w:r>
      <w:r>
        <w:rPr>
          <w:rFonts w:hint="eastAsia" w:ascii="宋体" w:hAnsi="宋体" w:cs="宋体"/>
          <w:sz w:val="24"/>
          <w:szCs w:val="32"/>
        </w:rPr>
        <w:t>万元，属于</w:t>
      </w:r>
      <w:r>
        <w:rPr>
          <w:rFonts w:hint="eastAsia" w:ascii="宋体" w:hAnsi="宋体" w:cs="宋体"/>
          <w:sz w:val="24"/>
          <w:szCs w:val="32"/>
          <w:u w:val="single"/>
        </w:rPr>
        <w:t xml:space="preserve">           </w:t>
      </w:r>
      <w:r>
        <w:rPr>
          <w:rFonts w:hint="eastAsia" w:ascii="宋体" w:hAnsi="宋体" w:cs="宋体"/>
          <w:i/>
          <w:iCs/>
          <w:sz w:val="24"/>
          <w:szCs w:val="32"/>
          <w:u w:val="single"/>
        </w:rPr>
        <w:t>（中型企业、小型企业、微型企业）；</w:t>
      </w:r>
    </w:p>
    <w:p w14:paraId="41D6E58D">
      <w:pPr>
        <w:rPr>
          <w:rFonts w:hint="eastAsia" w:ascii="宋体" w:hAnsi="宋体" w:cs="宋体"/>
          <w:sz w:val="24"/>
          <w:szCs w:val="32"/>
        </w:rPr>
      </w:pPr>
      <w:r>
        <w:rPr>
          <w:rFonts w:hint="eastAsia" w:ascii="宋体" w:hAnsi="宋体" w:cs="宋体"/>
          <w:sz w:val="24"/>
          <w:szCs w:val="32"/>
        </w:rPr>
        <w:t xml:space="preserve">    ……</w:t>
      </w:r>
    </w:p>
    <w:p w14:paraId="6C3122C5">
      <w:pPr>
        <w:rPr>
          <w:rFonts w:hint="eastAsia" w:ascii="宋体" w:hAnsi="宋体" w:cs="宋体"/>
          <w:sz w:val="24"/>
          <w:szCs w:val="32"/>
        </w:rPr>
      </w:pPr>
      <w:r>
        <w:rPr>
          <w:rFonts w:hint="eastAsia" w:ascii="宋体" w:hAnsi="宋体" w:cs="宋体"/>
          <w:sz w:val="24"/>
          <w:szCs w:val="32"/>
        </w:rPr>
        <w:t xml:space="preserve">    以上企业，不属于大企业的分支机构，不存在控股股东为大企业的情形，也不存在与大企业的负责人为同一人的情形。</w:t>
      </w:r>
    </w:p>
    <w:p w14:paraId="340FC386">
      <w:pPr>
        <w:ind w:firstLine="480" w:firstLineChars="200"/>
        <w:rPr>
          <w:rFonts w:hint="eastAsia" w:ascii="宋体" w:hAnsi="宋体" w:cs="宋体"/>
          <w:sz w:val="24"/>
          <w:szCs w:val="32"/>
        </w:rPr>
      </w:pPr>
      <w:r>
        <w:rPr>
          <w:rFonts w:hint="eastAsia" w:ascii="宋体" w:hAnsi="宋体" w:cs="宋体"/>
          <w:sz w:val="24"/>
          <w:szCs w:val="32"/>
        </w:rPr>
        <w:t xml:space="preserve">本企业对上述声明内容的真实性负责。如有虚假，将依法承担相应责任。                            </w:t>
      </w:r>
    </w:p>
    <w:p w14:paraId="5BCCAB25">
      <w:pPr>
        <w:ind w:firstLine="4320" w:firstLineChars="1800"/>
        <w:rPr>
          <w:rFonts w:hint="eastAsia" w:ascii="宋体" w:hAnsi="宋体" w:cs="宋体"/>
          <w:sz w:val="24"/>
          <w:szCs w:val="32"/>
        </w:rPr>
      </w:pPr>
    </w:p>
    <w:p w14:paraId="55CE7E83">
      <w:pPr>
        <w:ind w:firstLine="4320" w:firstLineChars="1800"/>
        <w:rPr>
          <w:rFonts w:hint="eastAsia" w:ascii="宋体" w:hAnsi="宋体" w:cs="宋体"/>
          <w:sz w:val="24"/>
          <w:szCs w:val="32"/>
        </w:rPr>
      </w:pPr>
      <w:r>
        <w:rPr>
          <w:rFonts w:hint="eastAsia" w:ascii="宋体" w:hAnsi="宋体" w:cs="宋体"/>
          <w:sz w:val="24"/>
          <w:szCs w:val="32"/>
        </w:rPr>
        <w:t>企业名称（盖章）：</w:t>
      </w:r>
    </w:p>
    <w:p w14:paraId="6DD839C9">
      <w:pPr>
        <w:ind w:firstLine="4320" w:firstLineChars="1800"/>
        <w:rPr>
          <w:rFonts w:hint="eastAsia" w:ascii="宋体" w:hAnsi="宋体" w:cs="宋体"/>
          <w:sz w:val="24"/>
          <w:szCs w:val="32"/>
        </w:rPr>
      </w:pPr>
      <w:r>
        <w:rPr>
          <w:rFonts w:hint="eastAsia" w:ascii="宋体" w:hAnsi="宋体" w:cs="宋体"/>
          <w:sz w:val="24"/>
          <w:szCs w:val="32"/>
        </w:rPr>
        <w:t>日 期：</w:t>
      </w:r>
    </w:p>
    <w:p w14:paraId="1B2DB7D4">
      <w:pPr>
        <w:spacing w:line="560" w:lineRule="exact"/>
        <w:ind w:firstLine="180" w:firstLineChars="100"/>
        <w:rPr>
          <w:rFonts w:hint="eastAsia" w:ascii="宋体" w:hAnsi="宋体"/>
          <w:sz w:val="24"/>
        </w:rPr>
      </w:pPr>
      <w:r>
        <w:rPr>
          <w:rFonts w:hint="eastAsia"/>
          <w:sz w:val="18"/>
          <w:szCs w:val="21"/>
        </w:rPr>
        <w:t>从业人员、营业收入、资产总额填报上一年度数据，无上一年度数据的新成立企业可不填报。</w:t>
      </w:r>
    </w:p>
    <w:p w14:paraId="43F1F165">
      <w:pPr>
        <w:spacing w:line="560" w:lineRule="exact"/>
        <w:rPr>
          <w:rFonts w:hint="eastAsia" w:ascii="宋体" w:hAnsi="宋体"/>
          <w:sz w:val="24"/>
        </w:rPr>
      </w:pPr>
      <w:r>
        <w:rPr>
          <w:rFonts w:hint="eastAsia" w:ascii="宋体" w:hAnsi="宋体"/>
          <w:sz w:val="24"/>
        </w:rPr>
        <w:t>（备注：1、供应商如不提供此声明函，价格将不做相应扣除。2、服务提供商必须是小型、微型企业方可享受价格折扣，否则不予享受。3、此声明函将随成交结果同时公告，接受社会监督。）</w:t>
      </w:r>
    </w:p>
    <w:p w14:paraId="33C67E11">
      <w:pPr>
        <w:spacing w:line="560" w:lineRule="exact"/>
        <w:rPr>
          <w:rFonts w:hint="eastAsia" w:ascii="黑体" w:hAnsi="黑体" w:eastAsia="黑体"/>
          <w:b/>
          <w:bCs/>
          <w:color w:val="4BACC6"/>
          <w:sz w:val="28"/>
          <w:szCs w:val="28"/>
        </w:rPr>
      </w:pPr>
      <w:r>
        <w:rPr>
          <w:rFonts w:hint="eastAsia" w:ascii="宋体" w:hAnsi="宋体" w:cs="宋体"/>
          <w:b/>
          <w:bCs/>
          <w:kern w:val="0"/>
          <w:sz w:val="28"/>
          <w:szCs w:val="28"/>
        </w:rPr>
        <w:br w:type="page"/>
      </w:r>
      <w:r>
        <w:rPr>
          <w:rFonts w:hint="eastAsia" w:ascii="宋体" w:hAnsi="宋体" w:cs="宋体"/>
          <w:b/>
          <w:bCs/>
          <w:kern w:val="0"/>
          <w:sz w:val="28"/>
          <w:szCs w:val="28"/>
        </w:rPr>
        <w:t>2、《残疾人福利性单位声明函》（格式如下，请按要求填写，原件并加盖公章）</w:t>
      </w:r>
    </w:p>
    <w:p w14:paraId="60DF2BDD">
      <w:pPr>
        <w:tabs>
          <w:tab w:val="left" w:pos="360"/>
        </w:tabs>
        <w:ind w:firstLine="643" w:firstLineChars="200"/>
        <w:jc w:val="center"/>
        <w:rPr>
          <w:rFonts w:hint="eastAsia" w:ascii="黑体" w:hAnsi="黑体" w:eastAsia="黑体"/>
          <w:b/>
          <w:sz w:val="32"/>
          <w:szCs w:val="32"/>
        </w:rPr>
      </w:pPr>
      <w:r>
        <w:rPr>
          <w:rFonts w:hint="eastAsia" w:ascii="黑体" w:hAnsi="黑体" w:eastAsia="黑体"/>
          <w:b/>
          <w:sz w:val="32"/>
          <w:szCs w:val="32"/>
        </w:rPr>
        <w:t>残疾人福利性单位声明函</w:t>
      </w:r>
    </w:p>
    <w:p w14:paraId="6CA2A762">
      <w:pPr>
        <w:rPr>
          <w:szCs w:val="21"/>
        </w:rPr>
      </w:pPr>
    </w:p>
    <w:p w14:paraId="36FC3C3C">
      <w:pPr>
        <w:spacing w:line="588" w:lineRule="exact"/>
        <w:ind w:firstLine="480" w:firstLineChars="200"/>
        <w:rPr>
          <w:rFonts w:hint="eastAsia" w:ascii="宋体" w:hAnsi="宋体"/>
          <w:sz w:val="24"/>
          <w:szCs w:val="21"/>
        </w:rPr>
      </w:pPr>
      <w:r>
        <w:rPr>
          <w:rFonts w:hint="eastAsia" w:ascii="宋体" w:hAnsi="宋体"/>
          <w:sz w:val="24"/>
          <w:szCs w:val="21"/>
        </w:rPr>
        <w:t>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sz w:val="24"/>
          <w:szCs w:val="21"/>
          <w:u w:val="single"/>
        </w:rPr>
        <w:t xml:space="preserve">       </w:t>
      </w:r>
      <w:r>
        <w:rPr>
          <w:rFonts w:hint="eastAsia" w:ascii="宋体" w:hAnsi="宋体"/>
          <w:sz w:val="24"/>
          <w:szCs w:val="21"/>
        </w:rPr>
        <w:t>项目采购活动提供本单位制造的货物（由本单位承担工程/提供服务），或者提供其他残疾人福利性单位制造的货物（不包括使用非残疾人福利性单位注册商标的货物）。</w:t>
      </w:r>
    </w:p>
    <w:p w14:paraId="059F975A">
      <w:pPr>
        <w:spacing w:line="588" w:lineRule="exact"/>
        <w:ind w:firstLine="480" w:firstLineChars="200"/>
        <w:rPr>
          <w:rFonts w:hint="eastAsia" w:ascii="宋体" w:hAnsi="宋体"/>
          <w:sz w:val="24"/>
          <w:szCs w:val="21"/>
        </w:rPr>
      </w:pPr>
      <w:r>
        <w:rPr>
          <w:rFonts w:hint="eastAsia" w:ascii="宋体" w:hAnsi="宋体"/>
          <w:sz w:val="24"/>
          <w:szCs w:val="21"/>
        </w:rPr>
        <w:t>本单位在本次政府采购活动中提供的残疾人福利单位产品报价合计为人民币（大写）</w:t>
      </w:r>
      <w:r>
        <w:rPr>
          <w:rFonts w:hint="eastAsia" w:ascii="宋体" w:hAnsi="宋体"/>
          <w:sz w:val="24"/>
          <w:szCs w:val="21"/>
          <w:u w:val="single"/>
        </w:rPr>
        <w:t xml:space="preserve">      </w:t>
      </w:r>
      <w:r>
        <w:rPr>
          <w:rFonts w:hint="eastAsia" w:ascii="宋体" w:hAnsi="宋体"/>
          <w:sz w:val="24"/>
          <w:szCs w:val="21"/>
        </w:rPr>
        <w:t>圆整（￥：     ）。</w:t>
      </w:r>
    </w:p>
    <w:p w14:paraId="567E0B18">
      <w:pPr>
        <w:spacing w:line="588" w:lineRule="exact"/>
        <w:ind w:firstLine="480" w:firstLineChars="200"/>
        <w:rPr>
          <w:rFonts w:hint="eastAsia" w:ascii="宋体" w:hAnsi="宋体"/>
          <w:sz w:val="24"/>
          <w:szCs w:val="21"/>
        </w:rPr>
      </w:pPr>
      <w:r>
        <w:rPr>
          <w:rFonts w:hint="eastAsia" w:ascii="宋体" w:hAnsi="宋体"/>
          <w:sz w:val="24"/>
          <w:szCs w:val="21"/>
        </w:rPr>
        <w:t>本单位对上述声明的真实性负责。如有虚假，将依法承担相应责任。</w:t>
      </w:r>
    </w:p>
    <w:p w14:paraId="3C7C88C9">
      <w:pPr>
        <w:spacing w:line="588" w:lineRule="exact"/>
        <w:ind w:firstLine="480" w:firstLineChars="200"/>
        <w:rPr>
          <w:rFonts w:hint="eastAsia" w:ascii="宋体" w:hAnsi="宋体"/>
          <w:sz w:val="24"/>
          <w:szCs w:val="21"/>
        </w:rPr>
      </w:pPr>
    </w:p>
    <w:p w14:paraId="10986489">
      <w:pPr>
        <w:spacing w:line="588" w:lineRule="exact"/>
        <w:ind w:firstLine="480" w:firstLineChars="200"/>
        <w:rPr>
          <w:rFonts w:hint="eastAsia" w:ascii="宋体" w:hAnsi="宋体"/>
          <w:sz w:val="24"/>
          <w:szCs w:val="21"/>
        </w:rPr>
      </w:pPr>
      <w:r>
        <w:rPr>
          <w:rFonts w:hint="eastAsia" w:ascii="宋体" w:hAnsi="宋体"/>
          <w:sz w:val="24"/>
          <w:szCs w:val="21"/>
        </w:rPr>
        <w:t>（备注：1、供应商如不提供此声明函，价格将不做相应扣除。2、中标供应商为残疾人福利单位的，此声明函将随中标结果同时公告，接受社会监督）</w:t>
      </w:r>
    </w:p>
    <w:p w14:paraId="41558342">
      <w:pPr>
        <w:spacing w:line="588" w:lineRule="exact"/>
        <w:ind w:firstLine="624" w:firstLineChars="200"/>
        <w:rPr>
          <w:rFonts w:ascii="仿宋_GB2312" w:eastAsia="仿宋_GB2312"/>
          <w:spacing w:val="6"/>
          <w:sz w:val="30"/>
          <w:szCs w:val="30"/>
        </w:rPr>
      </w:pPr>
    </w:p>
    <w:p w14:paraId="08994A41">
      <w:pPr>
        <w:tabs>
          <w:tab w:val="left" w:pos="4860"/>
        </w:tabs>
        <w:spacing w:line="588" w:lineRule="exact"/>
        <w:ind w:right="1560" w:firstLine="624" w:firstLineChars="200"/>
        <w:jc w:val="center"/>
        <w:rPr>
          <w:rFonts w:hint="eastAsia" w:ascii="宋体" w:hAnsi="宋体"/>
          <w:sz w:val="24"/>
          <w:szCs w:val="21"/>
        </w:rPr>
      </w:pPr>
      <w:r>
        <w:rPr>
          <w:rFonts w:hint="eastAsia" w:ascii="仿宋_GB2312" w:eastAsia="仿宋_GB2312"/>
          <w:spacing w:val="6"/>
          <w:sz w:val="30"/>
          <w:szCs w:val="30"/>
        </w:rPr>
        <w:t xml:space="preserve">          </w:t>
      </w:r>
      <w:r>
        <w:rPr>
          <w:rFonts w:hint="eastAsia" w:ascii="宋体" w:hAnsi="宋体"/>
          <w:sz w:val="24"/>
          <w:szCs w:val="21"/>
        </w:rPr>
        <w:t xml:space="preserve">            供应商全称（盖章）：</w:t>
      </w:r>
    </w:p>
    <w:p w14:paraId="7BC259D4">
      <w:pPr>
        <w:tabs>
          <w:tab w:val="left" w:pos="4860"/>
        </w:tabs>
        <w:spacing w:line="588" w:lineRule="exact"/>
        <w:ind w:right="1560" w:firstLine="480" w:firstLineChars="200"/>
        <w:jc w:val="center"/>
        <w:rPr>
          <w:rFonts w:hint="eastAsia" w:ascii="宋体" w:hAnsi="宋体"/>
          <w:sz w:val="24"/>
          <w:szCs w:val="21"/>
        </w:rPr>
      </w:pPr>
      <w:r>
        <w:rPr>
          <w:rFonts w:hint="eastAsia" w:ascii="宋体" w:hAnsi="宋体"/>
          <w:sz w:val="24"/>
          <w:szCs w:val="21"/>
        </w:rPr>
        <w:t xml:space="preserve">                              日  期：</w:t>
      </w:r>
    </w:p>
    <w:p w14:paraId="69FD1F63">
      <w:pPr>
        <w:snapToGrid w:val="0"/>
        <w:spacing w:before="50" w:after="50"/>
        <w:ind w:firstLine="482" w:firstLineChars="200"/>
        <w:rPr>
          <w:rFonts w:hint="eastAsia" w:ascii="宋体" w:hAnsi="宋体"/>
          <w:b/>
          <w:bCs/>
          <w:sz w:val="24"/>
        </w:rPr>
      </w:pPr>
    </w:p>
    <w:p w14:paraId="2EA9FF18">
      <w:pPr>
        <w:snapToGrid w:val="0"/>
        <w:spacing w:before="50" w:after="50"/>
        <w:ind w:firstLine="482" w:firstLineChars="200"/>
        <w:rPr>
          <w:rFonts w:hint="eastAsia" w:ascii="宋体" w:hAnsi="宋体"/>
          <w:b/>
          <w:bCs/>
          <w:sz w:val="24"/>
        </w:rPr>
      </w:pPr>
    </w:p>
    <w:p w14:paraId="4AAC054C">
      <w:pPr>
        <w:snapToGrid w:val="0"/>
        <w:spacing w:before="50" w:after="50"/>
        <w:ind w:firstLine="482" w:firstLineChars="200"/>
        <w:rPr>
          <w:rFonts w:hint="eastAsia" w:ascii="宋体" w:hAnsi="宋体"/>
          <w:b/>
          <w:bCs/>
          <w:sz w:val="24"/>
        </w:rPr>
      </w:pPr>
    </w:p>
    <w:p w14:paraId="44541CAF">
      <w:pPr>
        <w:snapToGrid w:val="0"/>
        <w:spacing w:before="50" w:after="50"/>
        <w:ind w:firstLine="482" w:firstLineChars="200"/>
        <w:rPr>
          <w:rFonts w:hint="eastAsia" w:ascii="宋体" w:hAnsi="宋体"/>
          <w:b/>
          <w:bCs/>
          <w:sz w:val="24"/>
        </w:rPr>
      </w:pPr>
    </w:p>
    <w:p w14:paraId="69DD4AE0">
      <w:pPr>
        <w:snapToGrid w:val="0"/>
        <w:spacing w:before="50" w:after="50"/>
        <w:ind w:firstLine="482" w:firstLineChars="200"/>
        <w:rPr>
          <w:rFonts w:hint="eastAsia" w:ascii="宋体" w:hAnsi="宋体"/>
          <w:b/>
          <w:bCs/>
          <w:sz w:val="24"/>
        </w:rPr>
      </w:pPr>
    </w:p>
    <w:p w14:paraId="698E6364">
      <w:pPr>
        <w:snapToGrid w:val="0"/>
        <w:spacing w:before="50" w:after="50"/>
        <w:ind w:firstLine="482" w:firstLineChars="200"/>
        <w:rPr>
          <w:rFonts w:hint="eastAsia" w:ascii="宋体" w:hAnsi="宋体"/>
          <w:b/>
          <w:bCs/>
          <w:sz w:val="24"/>
        </w:rPr>
      </w:pPr>
    </w:p>
    <w:p w14:paraId="1687E260">
      <w:pPr>
        <w:snapToGrid w:val="0"/>
        <w:spacing w:before="50" w:after="50"/>
        <w:ind w:firstLine="482" w:firstLineChars="200"/>
        <w:rPr>
          <w:rFonts w:hint="eastAsia" w:ascii="宋体" w:hAnsi="宋体"/>
          <w:b/>
          <w:bCs/>
          <w:sz w:val="24"/>
        </w:rPr>
      </w:pPr>
    </w:p>
    <w:p w14:paraId="760437B1">
      <w:pPr>
        <w:snapToGrid w:val="0"/>
        <w:spacing w:before="50" w:after="50"/>
        <w:ind w:firstLine="482" w:firstLineChars="200"/>
        <w:rPr>
          <w:rFonts w:hint="eastAsia" w:ascii="宋体" w:hAnsi="宋体"/>
          <w:b/>
          <w:bCs/>
          <w:sz w:val="24"/>
        </w:rPr>
      </w:pPr>
    </w:p>
    <w:p w14:paraId="1AD971B2">
      <w:pPr>
        <w:snapToGrid w:val="0"/>
        <w:spacing w:before="50" w:after="50"/>
        <w:ind w:firstLine="602" w:firstLineChars="200"/>
        <w:rPr>
          <w:b/>
          <w:sz w:val="30"/>
          <w:szCs w:val="30"/>
        </w:rPr>
      </w:pPr>
    </w:p>
    <w:p w14:paraId="22EB7ED3">
      <w:pPr>
        <w:snapToGrid w:val="0"/>
        <w:spacing w:before="50" w:after="50"/>
        <w:rPr>
          <w:rFonts w:hint="eastAsia" w:ascii="宋体" w:hAnsi="宋体"/>
          <w:b/>
          <w:bCs/>
          <w:sz w:val="24"/>
        </w:rPr>
      </w:pPr>
      <w:r>
        <w:rPr>
          <w:rFonts w:hint="eastAsia"/>
          <w:b/>
          <w:sz w:val="30"/>
          <w:szCs w:val="30"/>
        </w:rPr>
        <w:br w:type="page"/>
      </w:r>
      <w:r>
        <w:rPr>
          <w:rFonts w:hint="eastAsia"/>
          <w:b/>
          <w:sz w:val="30"/>
          <w:szCs w:val="30"/>
        </w:rPr>
        <w:t>3、其他非实质性资信证明文件（如有）</w:t>
      </w:r>
    </w:p>
    <w:p w14:paraId="3F6D313B">
      <w:pPr>
        <w:snapToGrid w:val="0"/>
        <w:spacing w:before="50" w:after="50"/>
        <w:ind w:firstLine="482" w:firstLineChars="200"/>
        <w:rPr>
          <w:rFonts w:hint="eastAsia" w:ascii="宋体" w:hAnsi="宋体"/>
          <w:b/>
          <w:bCs/>
          <w:sz w:val="24"/>
        </w:rPr>
      </w:pPr>
      <w:r>
        <w:rPr>
          <w:rFonts w:ascii="宋体" w:hAnsi="宋体"/>
          <w:b/>
          <w:bCs/>
          <w:sz w:val="24"/>
        </w:rPr>
        <w:t>…(</w:t>
      </w:r>
      <w:r>
        <w:rPr>
          <w:rFonts w:hint="eastAsia" w:ascii="宋体" w:hAnsi="宋体"/>
          <w:b/>
          <w:bCs/>
          <w:sz w:val="24"/>
        </w:rPr>
        <w:t>自行添加内容)</w:t>
      </w:r>
    </w:p>
    <w:p w14:paraId="5B067056">
      <w:pPr>
        <w:snapToGrid w:val="0"/>
        <w:spacing w:before="50" w:after="50"/>
        <w:ind w:firstLine="482" w:firstLineChars="200"/>
        <w:rPr>
          <w:rFonts w:hint="eastAsia" w:ascii="宋体" w:hAnsi="宋体"/>
          <w:b/>
          <w:bCs/>
          <w:sz w:val="24"/>
        </w:rPr>
      </w:pPr>
    </w:p>
    <w:p w14:paraId="21106D29">
      <w:pPr>
        <w:snapToGrid w:val="0"/>
        <w:spacing w:before="50" w:after="50"/>
        <w:ind w:firstLine="482" w:firstLineChars="200"/>
        <w:rPr>
          <w:rFonts w:hint="eastAsia" w:ascii="宋体" w:hAnsi="宋体"/>
          <w:b/>
          <w:bCs/>
          <w:sz w:val="24"/>
        </w:rPr>
      </w:pPr>
    </w:p>
    <w:p w14:paraId="0E38702D">
      <w:pPr>
        <w:snapToGrid w:val="0"/>
        <w:spacing w:before="50" w:after="50"/>
        <w:ind w:firstLine="482" w:firstLineChars="200"/>
        <w:rPr>
          <w:rFonts w:hint="eastAsia" w:ascii="宋体" w:hAnsi="宋体"/>
          <w:b/>
          <w:bCs/>
          <w:sz w:val="24"/>
        </w:rPr>
      </w:pPr>
    </w:p>
    <w:p w14:paraId="26341D41">
      <w:pPr>
        <w:snapToGrid w:val="0"/>
        <w:spacing w:before="50" w:after="50"/>
        <w:ind w:firstLine="482" w:firstLineChars="200"/>
        <w:rPr>
          <w:rFonts w:hint="eastAsia" w:ascii="宋体" w:hAnsi="宋体"/>
          <w:b/>
          <w:bCs/>
          <w:sz w:val="24"/>
        </w:rPr>
      </w:pPr>
    </w:p>
    <w:p w14:paraId="38531537">
      <w:pPr>
        <w:snapToGrid w:val="0"/>
        <w:spacing w:before="50" w:after="50"/>
        <w:ind w:firstLine="482" w:firstLineChars="200"/>
        <w:rPr>
          <w:rFonts w:hint="eastAsia" w:ascii="宋体" w:hAnsi="宋体"/>
          <w:b/>
          <w:bCs/>
          <w:sz w:val="24"/>
        </w:rPr>
      </w:pPr>
    </w:p>
    <w:p w14:paraId="6661A736">
      <w:pPr>
        <w:snapToGrid w:val="0"/>
        <w:spacing w:before="50" w:after="50"/>
        <w:rPr>
          <w:rFonts w:hint="eastAsia" w:ascii="宋体" w:hAnsi="宋体"/>
          <w:b/>
          <w:bCs/>
          <w:sz w:val="24"/>
        </w:rPr>
      </w:pPr>
    </w:p>
    <w:p w14:paraId="4B58A05A">
      <w:pPr>
        <w:snapToGrid w:val="0"/>
        <w:spacing w:before="50" w:after="50"/>
        <w:rPr>
          <w:iCs/>
          <w:color w:val="FF0000"/>
          <w:sz w:val="24"/>
          <w:u w:val="single"/>
        </w:rPr>
      </w:pPr>
    </w:p>
    <w:p w14:paraId="220C7F74">
      <w:pPr>
        <w:snapToGrid w:val="0"/>
        <w:spacing w:before="50" w:after="50"/>
        <w:rPr>
          <w:iCs/>
          <w:color w:val="FF0000"/>
          <w:sz w:val="24"/>
          <w:u w:val="single"/>
        </w:rPr>
      </w:pPr>
    </w:p>
    <w:p w14:paraId="5482480D">
      <w:pPr>
        <w:snapToGrid w:val="0"/>
        <w:spacing w:before="50" w:after="50"/>
        <w:rPr>
          <w:iCs/>
          <w:color w:val="FF0000"/>
          <w:sz w:val="24"/>
          <w:u w:val="single"/>
        </w:rPr>
      </w:pPr>
    </w:p>
    <w:p w14:paraId="2512FC6E">
      <w:pPr>
        <w:snapToGrid w:val="0"/>
        <w:spacing w:before="50" w:after="50"/>
        <w:rPr>
          <w:iCs/>
          <w:color w:val="FF0000"/>
          <w:sz w:val="24"/>
          <w:u w:val="single"/>
        </w:rPr>
      </w:pPr>
    </w:p>
    <w:p w14:paraId="646ADC67">
      <w:pPr>
        <w:snapToGrid w:val="0"/>
        <w:spacing w:before="50" w:after="50"/>
        <w:rPr>
          <w:iCs/>
          <w:color w:val="FF0000"/>
          <w:sz w:val="24"/>
          <w:u w:val="single"/>
        </w:rPr>
      </w:pPr>
    </w:p>
    <w:p w14:paraId="72965074">
      <w:pPr>
        <w:snapToGrid w:val="0"/>
        <w:spacing w:before="50" w:after="50"/>
        <w:rPr>
          <w:iCs/>
          <w:color w:val="FF0000"/>
          <w:sz w:val="24"/>
          <w:u w:val="single"/>
        </w:rPr>
      </w:pPr>
    </w:p>
    <w:p w14:paraId="0B9967B5">
      <w:pPr>
        <w:snapToGrid w:val="0"/>
        <w:spacing w:before="50" w:after="50"/>
        <w:rPr>
          <w:iCs/>
          <w:color w:val="FF0000"/>
          <w:sz w:val="24"/>
          <w:u w:val="single"/>
        </w:rPr>
      </w:pPr>
    </w:p>
    <w:p w14:paraId="172C3E15">
      <w:pPr>
        <w:snapToGrid w:val="0"/>
        <w:spacing w:before="50" w:after="50"/>
        <w:rPr>
          <w:iCs/>
          <w:color w:val="FF0000"/>
          <w:sz w:val="24"/>
          <w:u w:val="single"/>
        </w:rPr>
      </w:pPr>
    </w:p>
    <w:p w14:paraId="17566F5E">
      <w:pPr>
        <w:snapToGrid w:val="0"/>
        <w:spacing w:before="50" w:after="50"/>
        <w:rPr>
          <w:iCs/>
          <w:color w:val="FF0000"/>
          <w:sz w:val="24"/>
          <w:u w:val="single"/>
        </w:rPr>
      </w:pPr>
    </w:p>
    <w:p w14:paraId="69FB246A">
      <w:pPr>
        <w:snapToGrid w:val="0"/>
        <w:spacing w:before="50" w:after="50"/>
        <w:rPr>
          <w:iCs/>
          <w:color w:val="FF0000"/>
          <w:sz w:val="24"/>
          <w:u w:val="single"/>
        </w:rPr>
      </w:pPr>
    </w:p>
    <w:p w14:paraId="62B0EA58">
      <w:pPr>
        <w:snapToGrid w:val="0"/>
        <w:spacing w:before="50" w:after="50"/>
        <w:rPr>
          <w:iCs/>
          <w:color w:val="FF0000"/>
          <w:sz w:val="24"/>
          <w:u w:val="single"/>
        </w:rPr>
      </w:pPr>
    </w:p>
    <w:p w14:paraId="381B2B21">
      <w:pPr>
        <w:snapToGrid w:val="0"/>
        <w:spacing w:before="50" w:after="50"/>
        <w:rPr>
          <w:iCs/>
          <w:color w:val="FF0000"/>
          <w:sz w:val="24"/>
          <w:u w:val="single"/>
        </w:rPr>
      </w:pPr>
    </w:p>
    <w:p w14:paraId="05525FD1">
      <w:pPr>
        <w:snapToGrid w:val="0"/>
        <w:spacing w:before="50" w:after="50"/>
        <w:rPr>
          <w:iCs/>
          <w:color w:val="FF0000"/>
          <w:sz w:val="24"/>
          <w:u w:val="single"/>
        </w:rPr>
      </w:pPr>
    </w:p>
    <w:p w14:paraId="44328BB3">
      <w:pPr>
        <w:snapToGrid w:val="0"/>
        <w:spacing w:before="50" w:after="50"/>
        <w:rPr>
          <w:iCs/>
          <w:color w:val="FF0000"/>
          <w:sz w:val="24"/>
          <w:u w:val="single"/>
        </w:rPr>
      </w:pPr>
    </w:p>
    <w:p w14:paraId="62262366">
      <w:pPr>
        <w:snapToGrid w:val="0"/>
        <w:spacing w:before="50" w:after="50"/>
        <w:rPr>
          <w:iCs/>
          <w:color w:val="FF0000"/>
          <w:sz w:val="24"/>
          <w:u w:val="single"/>
        </w:rPr>
      </w:pPr>
    </w:p>
    <w:p w14:paraId="6C28E3EF">
      <w:pPr>
        <w:snapToGrid w:val="0"/>
        <w:spacing w:before="50" w:after="50"/>
        <w:rPr>
          <w:iCs/>
          <w:color w:val="FF0000"/>
          <w:sz w:val="24"/>
          <w:u w:val="single"/>
        </w:rPr>
      </w:pPr>
    </w:p>
    <w:p w14:paraId="77BD2688">
      <w:pPr>
        <w:snapToGrid w:val="0"/>
        <w:spacing w:before="50" w:after="50"/>
        <w:rPr>
          <w:iCs/>
          <w:color w:val="FF0000"/>
          <w:sz w:val="24"/>
          <w:u w:val="single"/>
        </w:rPr>
      </w:pPr>
    </w:p>
    <w:p w14:paraId="2E7C2006">
      <w:pPr>
        <w:snapToGrid w:val="0"/>
        <w:spacing w:before="50" w:after="50"/>
        <w:rPr>
          <w:iCs/>
          <w:color w:val="FF0000"/>
          <w:sz w:val="24"/>
          <w:u w:val="single"/>
        </w:rPr>
      </w:pPr>
    </w:p>
    <w:p w14:paraId="6AE56051">
      <w:pPr>
        <w:snapToGrid w:val="0"/>
        <w:spacing w:before="50" w:after="50"/>
        <w:rPr>
          <w:iCs/>
          <w:color w:val="FF0000"/>
          <w:sz w:val="24"/>
          <w:u w:val="single"/>
        </w:rPr>
      </w:pPr>
    </w:p>
    <w:p w14:paraId="7CACF0F8">
      <w:pPr>
        <w:snapToGrid w:val="0"/>
        <w:spacing w:before="50" w:after="50"/>
        <w:rPr>
          <w:iCs/>
          <w:color w:val="FF0000"/>
          <w:sz w:val="24"/>
          <w:u w:val="single"/>
        </w:rPr>
      </w:pPr>
    </w:p>
    <w:p w14:paraId="11A54984">
      <w:pPr>
        <w:snapToGrid w:val="0"/>
        <w:spacing w:before="50" w:after="50"/>
        <w:rPr>
          <w:iCs/>
          <w:color w:val="FF0000"/>
          <w:sz w:val="24"/>
          <w:u w:val="single"/>
        </w:rPr>
      </w:pPr>
    </w:p>
    <w:p w14:paraId="0D020454">
      <w:pPr>
        <w:snapToGrid w:val="0"/>
        <w:spacing w:before="50" w:after="50"/>
        <w:rPr>
          <w:iCs/>
          <w:color w:val="FF0000"/>
          <w:sz w:val="24"/>
          <w:u w:val="single"/>
        </w:rPr>
      </w:pPr>
    </w:p>
    <w:p w14:paraId="216CC6E9">
      <w:pPr>
        <w:snapToGrid w:val="0"/>
        <w:spacing w:before="50" w:after="50"/>
        <w:rPr>
          <w:iCs/>
          <w:color w:val="FF0000"/>
          <w:sz w:val="24"/>
          <w:u w:val="single"/>
        </w:rPr>
      </w:pPr>
    </w:p>
    <w:p w14:paraId="65179B8E">
      <w:pPr>
        <w:snapToGrid w:val="0"/>
        <w:spacing w:before="50" w:after="50"/>
        <w:rPr>
          <w:iCs/>
          <w:color w:val="FF0000"/>
          <w:sz w:val="24"/>
          <w:u w:val="single"/>
        </w:rPr>
      </w:pPr>
    </w:p>
    <w:p w14:paraId="55B7784B">
      <w:pPr>
        <w:snapToGrid w:val="0"/>
        <w:spacing w:before="50" w:after="50"/>
        <w:rPr>
          <w:iCs/>
          <w:color w:val="FF0000"/>
          <w:sz w:val="24"/>
          <w:u w:val="single"/>
        </w:rPr>
      </w:pPr>
    </w:p>
    <w:p w14:paraId="7A8EA9B0">
      <w:pPr>
        <w:snapToGrid w:val="0"/>
        <w:spacing w:before="50" w:after="50"/>
        <w:rPr>
          <w:iCs/>
          <w:color w:val="FF0000"/>
          <w:sz w:val="24"/>
          <w:u w:val="single"/>
        </w:rPr>
      </w:pPr>
    </w:p>
    <w:p w14:paraId="4E10B9FA">
      <w:pPr>
        <w:ind w:firstLine="420"/>
        <w:jc w:val="center"/>
        <w:rPr>
          <w:rFonts w:hint="eastAsia" w:ascii="黑体" w:hAnsi="黑体" w:eastAsia="黑体"/>
          <w:b/>
          <w:color w:val="000000"/>
          <w:sz w:val="32"/>
          <w:szCs w:val="32"/>
        </w:rPr>
      </w:pPr>
      <w:r>
        <w:rPr>
          <w:rFonts w:hint="eastAsia" w:ascii="黑体" w:hAnsi="黑体" w:eastAsia="黑体"/>
          <w:b/>
          <w:color w:val="000000"/>
          <w:sz w:val="32"/>
          <w:szCs w:val="32"/>
        </w:rPr>
        <w:br w:type="page"/>
      </w:r>
      <w:r>
        <w:rPr>
          <w:rFonts w:hint="eastAsia" w:ascii="黑体" w:hAnsi="黑体" w:eastAsia="黑体"/>
          <w:b/>
          <w:color w:val="000000"/>
          <w:sz w:val="32"/>
          <w:szCs w:val="32"/>
        </w:rPr>
        <w:t>四、磋商响应报价表</w:t>
      </w:r>
    </w:p>
    <w:p w14:paraId="72BB7B2B">
      <w:pPr>
        <w:spacing w:line="360" w:lineRule="auto"/>
        <w:rPr>
          <w:rFonts w:hint="eastAsia" w:ascii="宋体" w:hAnsi="宋体"/>
          <w:color w:val="000000"/>
          <w:sz w:val="24"/>
        </w:rPr>
      </w:pPr>
      <w:r>
        <w:rPr>
          <w:rFonts w:hint="eastAsia" w:ascii="宋体" w:hAnsi="宋体"/>
          <w:color w:val="000000"/>
          <w:sz w:val="24"/>
        </w:rPr>
        <w:t xml:space="preserve">项目名称： </w:t>
      </w:r>
    </w:p>
    <w:p w14:paraId="1D71082D">
      <w:pPr>
        <w:spacing w:line="360" w:lineRule="auto"/>
        <w:rPr>
          <w:rFonts w:hint="eastAsia" w:ascii="宋体" w:hAnsi="宋体"/>
          <w:color w:val="000000"/>
          <w:sz w:val="24"/>
        </w:rPr>
      </w:pPr>
      <w:r>
        <w:rPr>
          <w:rFonts w:hint="eastAsia" w:ascii="宋体" w:hAnsi="宋体"/>
          <w:color w:val="000000"/>
          <w:sz w:val="24"/>
        </w:rPr>
        <w:t xml:space="preserve">项目编号：                                  </w:t>
      </w:r>
    </w:p>
    <w:p w14:paraId="14535B06">
      <w:pPr>
        <w:spacing w:line="360" w:lineRule="auto"/>
        <w:rPr>
          <w:rFonts w:hint="eastAsia" w:ascii="宋体" w:hAnsi="宋体"/>
          <w:color w:val="000000"/>
          <w:sz w:val="24"/>
        </w:rPr>
      </w:pPr>
      <w:r>
        <w:rPr>
          <w:rFonts w:hint="eastAsia" w:ascii="宋体" w:hAnsi="宋体"/>
          <w:color w:val="000000"/>
          <w:sz w:val="24"/>
        </w:rPr>
        <w:t>供应商名称：（盖章）</w:t>
      </w:r>
    </w:p>
    <w:tbl>
      <w:tblPr>
        <w:tblStyle w:val="41"/>
        <w:tblW w:w="957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57"/>
        <w:gridCol w:w="2025"/>
        <w:gridCol w:w="1932"/>
        <w:gridCol w:w="1413"/>
        <w:gridCol w:w="1484"/>
        <w:gridCol w:w="1960"/>
      </w:tblGrid>
      <w:tr w14:paraId="36FA3E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00" w:hRule="atLeast"/>
        </w:trPr>
        <w:tc>
          <w:tcPr>
            <w:tcW w:w="757" w:type="dxa"/>
            <w:vAlign w:val="center"/>
          </w:tcPr>
          <w:p w14:paraId="5CD7C341">
            <w:pPr>
              <w:spacing w:line="560" w:lineRule="exact"/>
              <w:jc w:val="center"/>
              <w:rPr>
                <w:rFonts w:hint="eastAsia" w:ascii="宋体" w:hAnsi="宋体"/>
                <w:color w:val="000000"/>
                <w:sz w:val="24"/>
              </w:rPr>
            </w:pPr>
            <w:r>
              <w:rPr>
                <w:rFonts w:hint="eastAsia" w:ascii="宋体" w:hAnsi="宋体"/>
                <w:color w:val="000000"/>
                <w:sz w:val="24"/>
              </w:rPr>
              <w:t>序号</w:t>
            </w:r>
          </w:p>
        </w:tc>
        <w:tc>
          <w:tcPr>
            <w:tcW w:w="2025" w:type="dxa"/>
            <w:vAlign w:val="center"/>
          </w:tcPr>
          <w:p w14:paraId="5C6A78CA">
            <w:pPr>
              <w:spacing w:line="560" w:lineRule="exact"/>
              <w:jc w:val="center"/>
              <w:rPr>
                <w:rFonts w:hint="eastAsia" w:ascii="宋体" w:hAnsi="宋体"/>
                <w:color w:val="000000"/>
                <w:sz w:val="24"/>
              </w:rPr>
            </w:pPr>
            <w:r>
              <w:rPr>
                <w:rFonts w:hint="eastAsia" w:ascii="宋体" w:hAnsi="宋体"/>
                <w:color w:val="000000"/>
                <w:sz w:val="24"/>
              </w:rPr>
              <w:t>服务名称</w:t>
            </w:r>
          </w:p>
        </w:tc>
        <w:tc>
          <w:tcPr>
            <w:tcW w:w="1932" w:type="dxa"/>
            <w:vAlign w:val="center"/>
          </w:tcPr>
          <w:p w14:paraId="7BA8D7F6">
            <w:pPr>
              <w:spacing w:line="560" w:lineRule="exact"/>
              <w:jc w:val="center"/>
              <w:rPr>
                <w:rFonts w:hint="eastAsia" w:ascii="宋体" w:hAnsi="宋体"/>
                <w:color w:val="000000"/>
                <w:sz w:val="24"/>
              </w:rPr>
            </w:pPr>
            <w:r>
              <w:rPr>
                <w:rFonts w:hint="eastAsia" w:ascii="宋体" w:hAnsi="宋体"/>
                <w:color w:val="000000"/>
                <w:sz w:val="24"/>
              </w:rPr>
              <w:t>分项单位</w:t>
            </w:r>
          </w:p>
        </w:tc>
        <w:tc>
          <w:tcPr>
            <w:tcW w:w="1413" w:type="dxa"/>
            <w:vAlign w:val="center"/>
          </w:tcPr>
          <w:p w14:paraId="1771FEDE">
            <w:pPr>
              <w:spacing w:line="560" w:lineRule="exact"/>
              <w:jc w:val="center"/>
              <w:rPr>
                <w:rFonts w:hint="eastAsia" w:ascii="宋体" w:hAnsi="宋体"/>
                <w:color w:val="000000"/>
                <w:sz w:val="24"/>
              </w:rPr>
            </w:pPr>
            <w:r>
              <w:rPr>
                <w:rFonts w:hint="eastAsia" w:ascii="宋体" w:hAnsi="宋体"/>
                <w:color w:val="000000"/>
                <w:sz w:val="24"/>
              </w:rPr>
              <w:t>数量</w:t>
            </w:r>
          </w:p>
        </w:tc>
        <w:tc>
          <w:tcPr>
            <w:tcW w:w="1484" w:type="dxa"/>
            <w:vAlign w:val="center"/>
          </w:tcPr>
          <w:p w14:paraId="0B4B3FED">
            <w:pPr>
              <w:spacing w:line="560" w:lineRule="exact"/>
              <w:jc w:val="center"/>
              <w:rPr>
                <w:rFonts w:hint="eastAsia" w:ascii="宋体" w:hAnsi="宋体"/>
                <w:color w:val="000000"/>
                <w:sz w:val="24"/>
              </w:rPr>
            </w:pPr>
            <w:r>
              <w:rPr>
                <w:rFonts w:hint="eastAsia" w:ascii="宋体" w:hAnsi="宋体"/>
                <w:color w:val="000000"/>
                <w:sz w:val="24"/>
              </w:rPr>
              <w:t>单价</w:t>
            </w:r>
          </w:p>
          <w:p w14:paraId="60E02031">
            <w:pPr>
              <w:spacing w:line="560" w:lineRule="exact"/>
              <w:jc w:val="center"/>
              <w:rPr>
                <w:rFonts w:hint="eastAsia" w:ascii="宋体" w:hAnsi="宋体"/>
                <w:color w:val="000000"/>
                <w:sz w:val="24"/>
              </w:rPr>
            </w:pPr>
            <w:r>
              <w:rPr>
                <w:rFonts w:hint="eastAsia" w:ascii="宋体" w:hAnsi="宋体"/>
                <w:color w:val="000000"/>
                <w:sz w:val="24"/>
              </w:rPr>
              <w:t>（元）</w:t>
            </w:r>
          </w:p>
        </w:tc>
        <w:tc>
          <w:tcPr>
            <w:tcW w:w="1960" w:type="dxa"/>
            <w:vAlign w:val="center"/>
          </w:tcPr>
          <w:p w14:paraId="113FE161">
            <w:pPr>
              <w:spacing w:line="560" w:lineRule="exact"/>
              <w:jc w:val="center"/>
              <w:rPr>
                <w:rFonts w:hint="eastAsia" w:ascii="宋体" w:hAnsi="宋体"/>
                <w:color w:val="000000"/>
                <w:sz w:val="24"/>
              </w:rPr>
            </w:pPr>
            <w:r>
              <w:rPr>
                <w:rFonts w:hint="eastAsia" w:ascii="宋体" w:hAnsi="宋体"/>
                <w:color w:val="000000"/>
                <w:sz w:val="24"/>
              </w:rPr>
              <w:t>单项</w:t>
            </w:r>
          </w:p>
          <w:p w14:paraId="5AB5F717">
            <w:pPr>
              <w:spacing w:line="560" w:lineRule="exact"/>
              <w:jc w:val="center"/>
              <w:rPr>
                <w:rFonts w:hint="eastAsia" w:ascii="宋体" w:hAnsi="宋体"/>
                <w:color w:val="000000"/>
                <w:sz w:val="24"/>
              </w:rPr>
            </w:pPr>
            <w:r>
              <w:rPr>
                <w:rFonts w:hint="eastAsia" w:ascii="宋体" w:hAnsi="宋体"/>
                <w:color w:val="000000"/>
                <w:sz w:val="24"/>
              </w:rPr>
              <w:t>合计价</w:t>
            </w:r>
          </w:p>
          <w:p w14:paraId="11D517AF">
            <w:pPr>
              <w:spacing w:line="560" w:lineRule="exact"/>
              <w:jc w:val="center"/>
              <w:rPr>
                <w:rFonts w:hint="eastAsia" w:ascii="宋体" w:hAnsi="宋体"/>
                <w:color w:val="000000"/>
                <w:sz w:val="24"/>
              </w:rPr>
            </w:pPr>
            <w:r>
              <w:rPr>
                <w:rFonts w:hint="eastAsia" w:ascii="宋体" w:hAnsi="宋体"/>
                <w:color w:val="000000"/>
                <w:sz w:val="24"/>
              </w:rPr>
              <w:t>（元）</w:t>
            </w:r>
          </w:p>
        </w:tc>
      </w:tr>
      <w:tr w14:paraId="614DF6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00" w:hRule="atLeast"/>
        </w:trPr>
        <w:tc>
          <w:tcPr>
            <w:tcW w:w="757" w:type="dxa"/>
            <w:vAlign w:val="center"/>
          </w:tcPr>
          <w:p w14:paraId="39381D14">
            <w:pPr>
              <w:spacing w:line="560" w:lineRule="exact"/>
              <w:jc w:val="center"/>
              <w:rPr>
                <w:rFonts w:hint="eastAsia" w:ascii="宋体" w:hAnsi="宋体"/>
                <w:color w:val="000000"/>
                <w:sz w:val="24"/>
              </w:rPr>
            </w:pPr>
          </w:p>
        </w:tc>
        <w:tc>
          <w:tcPr>
            <w:tcW w:w="2025" w:type="dxa"/>
            <w:vAlign w:val="center"/>
          </w:tcPr>
          <w:p w14:paraId="38C05C30">
            <w:pPr>
              <w:spacing w:line="560" w:lineRule="exact"/>
              <w:jc w:val="center"/>
              <w:rPr>
                <w:rFonts w:hint="eastAsia" w:ascii="宋体" w:hAnsi="宋体"/>
                <w:color w:val="000000"/>
                <w:sz w:val="24"/>
              </w:rPr>
            </w:pPr>
          </w:p>
        </w:tc>
        <w:tc>
          <w:tcPr>
            <w:tcW w:w="1932" w:type="dxa"/>
            <w:vAlign w:val="center"/>
          </w:tcPr>
          <w:p w14:paraId="469D61B2">
            <w:pPr>
              <w:spacing w:line="560" w:lineRule="exact"/>
              <w:jc w:val="center"/>
              <w:rPr>
                <w:rFonts w:hint="eastAsia" w:ascii="宋体" w:hAnsi="宋体"/>
                <w:color w:val="000000"/>
                <w:sz w:val="24"/>
              </w:rPr>
            </w:pPr>
          </w:p>
        </w:tc>
        <w:tc>
          <w:tcPr>
            <w:tcW w:w="1413" w:type="dxa"/>
            <w:vAlign w:val="center"/>
          </w:tcPr>
          <w:p w14:paraId="1EB9D5B7">
            <w:pPr>
              <w:spacing w:line="560" w:lineRule="exact"/>
              <w:jc w:val="center"/>
              <w:rPr>
                <w:rFonts w:hint="eastAsia" w:ascii="宋体" w:hAnsi="宋体"/>
                <w:color w:val="000000"/>
                <w:sz w:val="24"/>
              </w:rPr>
            </w:pPr>
          </w:p>
        </w:tc>
        <w:tc>
          <w:tcPr>
            <w:tcW w:w="1484" w:type="dxa"/>
            <w:vAlign w:val="center"/>
          </w:tcPr>
          <w:p w14:paraId="5A487E1C">
            <w:pPr>
              <w:spacing w:line="560" w:lineRule="exact"/>
              <w:jc w:val="center"/>
              <w:rPr>
                <w:rFonts w:hint="eastAsia" w:ascii="宋体" w:hAnsi="宋体"/>
                <w:color w:val="000000"/>
                <w:sz w:val="24"/>
              </w:rPr>
            </w:pPr>
          </w:p>
        </w:tc>
        <w:tc>
          <w:tcPr>
            <w:tcW w:w="1960" w:type="dxa"/>
            <w:vAlign w:val="center"/>
          </w:tcPr>
          <w:p w14:paraId="2A1ACD97">
            <w:pPr>
              <w:spacing w:line="560" w:lineRule="exact"/>
              <w:jc w:val="center"/>
              <w:rPr>
                <w:rFonts w:hint="eastAsia" w:ascii="宋体" w:hAnsi="宋体"/>
                <w:color w:val="000000"/>
                <w:sz w:val="24"/>
              </w:rPr>
            </w:pPr>
          </w:p>
        </w:tc>
      </w:tr>
      <w:tr w14:paraId="4CBD6A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00" w:hRule="atLeast"/>
        </w:trPr>
        <w:tc>
          <w:tcPr>
            <w:tcW w:w="757" w:type="dxa"/>
            <w:vAlign w:val="center"/>
          </w:tcPr>
          <w:p w14:paraId="06F240AF">
            <w:pPr>
              <w:spacing w:line="560" w:lineRule="exact"/>
              <w:jc w:val="center"/>
              <w:rPr>
                <w:rFonts w:hint="eastAsia" w:ascii="宋体" w:hAnsi="宋体"/>
                <w:color w:val="000000"/>
                <w:sz w:val="24"/>
              </w:rPr>
            </w:pPr>
          </w:p>
        </w:tc>
        <w:tc>
          <w:tcPr>
            <w:tcW w:w="2025" w:type="dxa"/>
            <w:vAlign w:val="center"/>
          </w:tcPr>
          <w:p w14:paraId="16A831B3">
            <w:pPr>
              <w:spacing w:line="560" w:lineRule="exact"/>
              <w:jc w:val="center"/>
              <w:rPr>
                <w:rFonts w:hint="eastAsia" w:ascii="宋体" w:hAnsi="宋体"/>
                <w:color w:val="000000"/>
                <w:sz w:val="24"/>
              </w:rPr>
            </w:pPr>
          </w:p>
        </w:tc>
        <w:tc>
          <w:tcPr>
            <w:tcW w:w="1932" w:type="dxa"/>
            <w:vAlign w:val="center"/>
          </w:tcPr>
          <w:p w14:paraId="4D875560">
            <w:pPr>
              <w:spacing w:line="560" w:lineRule="exact"/>
              <w:jc w:val="center"/>
              <w:rPr>
                <w:rFonts w:hint="eastAsia" w:ascii="宋体" w:hAnsi="宋体"/>
                <w:color w:val="000000"/>
                <w:sz w:val="24"/>
              </w:rPr>
            </w:pPr>
          </w:p>
        </w:tc>
        <w:tc>
          <w:tcPr>
            <w:tcW w:w="1413" w:type="dxa"/>
            <w:vAlign w:val="center"/>
          </w:tcPr>
          <w:p w14:paraId="5BE32A4D">
            <w:pPr>
              <w:spacing w:line="560" w:lineRule="exact"/>
              <w:jc w:val="center"/>
              <w:rPr>
                <w:rFonts w:hint="eastAsia" w:ascii="宋体" w:hAnsi="宋体"/>
                <w:color w:val="000000"/>
                <w:sz w:val="24"/>
              </w:rPr>
            </w:pPr>
          </w:p>
        </w:tc>
        <w:tc>
          <w:tcPr>
            <w:tcW w:w="1484" w:type="dxa"/>
            <w:vAlign w:val="center"/>
          </w:tcPr>
          <w:p w14:paraId="34DAB16D">
            <w:pPr>
              <w:spacing w:line="560" w:lineRule="exact"/>
              <w:jc w:val="center"/>
              <w:rPr>
                <w:rFonts w:hint="eastAsia" w:ascii="宋体" w:hAnsi="宋体"/>
                <w:color w:val="000000"/>
                <w:sz w:val="24"/>
              </w:rPr>
            </w:pPr>
          </w:p>
        </w:tc>
        <w:tc>
          <w:tcPr>
            <w:tcW w:w="1960" w:type="dxa"/>
            <w:vAlign w:val="center"/>
          </w:tcPr>
          <w:p w14:paraId="44D57A30">
            <w:pPr>
              <w:spacing w:line="560" w:lineRule="exact"/>
              <w:jc w:val="center"/>
              <w:rPr>
                <w:rFonts w:hint="eastAsia" w:ascii="宋体" w:hAnsi="宋体"/>
                <w:color w:val="000000"/>
                <w:sz w:val="24"/>
              </w:rPr>
            </w:pPr>
          </w:p>
        </w:tc>
      </w:tr>
      <w:tr w14:paraId="515998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00" w:hRule="atLeast"/>
        </w:trPr>
        <w:tc>
          <w:tcPr>
            <w:tcW w:w="757" w:type="dxa"/>
            <w:vAlign w:val="center"/>
          </w:tcPr>
          <w:p w14:paraId="19A18818">
            <w:pPr>
              <w:spacing w:line="560" w:lineRule="exact"/>
              <w:jc w:val="center"/>
              <w:rPr>
                <w:rFonts w:hint="eastAsia" w:ascii="宋体" w:hAnsi="宋体"/>
                <w:color w:val="000000"/>
                <w:sz w:val="24"/>
              </w:rPr>
            </w:pPr>
          </w:p>
        </w:tc>
        <w:tc>
          <w:tcPr>
            <w:tcW w:w="2025" w:type="dxa"/>
            <w:vAlign w:val="center"/>
          </w:tcPr>
          <w:p w14:paraId="64EEC3B4">
            <w:pPr>
              <w:spacing w:line="560" w:lineRule="exact"/>
              <w:jc w:val="center"/>
              <w:rPr>
                <w:rFonts w:hint="eastAsia" w:ascii="宋体" w:hAnsi="宋体"/>
                <w:color w:val="000000"/>
                <w:sz w:val="24"/>
              </w:rPr>
            </w:pPr>
          </w:p>
        </w:tc>
        <w:tc>
          <w:tcPr>
            <w:tcW w:w="1932" w:type="dxa"/>
            <w:vAlign w:val="center"/>
          </w:tcPr>
          <w:p w14:paraId="36D6B911">
            <w:pPr>
              <w:spacing w:line="560" w:lineRule="exact"/>
              <w:jc w:val="center"/>
              <w:rPr>
                <w:rFonts w:hint="eastAsia" w:ascii="宋体" w:hAnsi="宋体"/>
                <w:color w:val="000000"/>
                <w:sz w:val="24"/>
              </w:rPr>
            </w:pPr>
          </w:p>
        </w:tc>
        <w:tc>
          <w:tcPr>
            <w:tcW w:w="1413" w:type="dxa"/>
            <w:vAlign w:val="center"/>
          </w:tcPr>
          <w:p w14:paraId="6686917F">
            <w:pPr>
              <w:spacing w:line="560" w:lineRule="exact"/>
              <w:jc w:val="center"/>
              <w:rPr>
                <w:rFonts w:hint="eastAsia" w:ascii="宋体" w:hAnsi="宋体"/>
                <w:color w:val="000000"/>
                <w:sz w:val="24"/>
              </w:rPr>
            </w:pPr>
          </w:p>
        </w:tc>
        <w:tc>
          <w:tcPr>
            <w:tcW w:w="1484" w:type="dxa"/>
            <w:vAlign w:val="center"/>
          </w:tcPr>
          <w:p w14:paraId="5388AA8C">
            <w:pPr>
              <w:spacing w:line="560" w:lineRule="exact"/>
              <w:jc w:val="center"/>
              <w:rPr>
                <w:rFonts w:hint="eastAsia" w:ascii="宋体" w:hAnsi="宋体"/>
                <w:color w:val="000000"/>
                <w:sz w:val="24"/>
              </w:rPr>
            </w:pPr>
          </w:p>
        </w:tc>
        <w:tc>
          <w:tcPr>
            <w:tcW w:w="1960" w:type="dxa"/>
            <w:vAlign w:val="center"/>
          </w:tcPr>
          <w:p w14:paraId="3D03AEE7">
            <w:pPr>
              <w:spacing w:line="560" w:lineRule="exact"/>
              <w:jc w:val="center"/>
              <w:rPr>
                <w:rFonts w:hint="eastAsia" w:ascii="宋体" w:hAnsi="宋体"/>
                <w:color w:val="000000"/>
                <w:sz w:val="24"/>
              </w:rPr>
            </w:pPr>
          </w:p>
        </w:tc>
      </w:tr>
      <w:tr w14:paraId="29855B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00" w:hRule="atLeast"/>
        </w:trPr>
        <w:tc>
          <w:tcPr>
            <w:tcW w:w="757" w:type="dxa"/>
            <w:vAlign w:val="center"/>
          </w:tcPr>
          <w:p w14:paraId="754CA119">
            <w:pPr>
              <w:spacing w:line="560" w:lineRule="exact"/>
              <w:jc w:val="center"/>
              <w:rPr>
                <w:rFonts w:hint="eastAsia" w:ascii="宋体" w:hAnsi="宋体"/>
                <w:color w:val="000000"/>
                <w:sz w:val="24"/>
              </w:rPr>
            </w:pPr>
          </w:p>
        </w:tc>
        <w:tc>
          <w:tcPr>
            <w:tcW w:w="2025" w:type="dxa"/>
            <w:vAlign w:val="center"/>
          </w:tcPr>
          <w:p w14:paraId="17CD3698">
            <w:pPr>
              <w:spacing w:line="560" w:lineRule="exact"/>
              <w:jc w:val="center"/>
              <w:rPr>
                <w:rFonts w:hint="eastAsia" w:ascii="宋体" w:hAnsi="宋体"/>
                <w:color w:val="000000"/>
                <w:sz w:val="24"/>
              </w:rPr>
            </w:pPr>
          </w:p>
        </w:tc>
        <w:tc>
          <w:tcPr>
            <w:tcW w:w="1932" w:type="dxa"/>
            <w:vAlign w:val="center"/>
          </w:tcPr>
          <w:p w14:paraId="36B41819">
            <w:pPr>
              <w:spacing w:line="560" w:lineRule="exact"/>
              <w:jc w:val="center"/>
              <w:rPr>
                <w:rFonts w:hint="eastAsia" w:ascii="宋体" w:hAnsi="宋体"/>
                <w:color w:val="000000"/>
                <w:sz w:val="24"/>
              </w:rPr>
            </w:pPr>
          </w:p>
        </w:tc>
        <w:tc>
          <w:tcPr>
            <w:tcW w:w="1413" w:type="dxa"/>
            <w:vAlign w:val="center"/>
          </w:tcPr>
          <w:p w14:paraId="360D375F">
            <w:pPr>
              <w:spacing w:line="560" w:lineRule="exact"/>
              <w:jc w:val="center"/>
              <w:rPr>
                <w:rFonts w:hint="eastAsia" w:ascii="宋体" w:hAnsi="宋体"/>
                <w:color w:val="000000"/>
                <w:sz w:val="24"/>
              </w:rPr>
            </w:pPr>
          </w:p>
        </w:tc>
        <w:tc>
          <w:tcPr>
            <w:tcW w:w="1484" w:type="dxa"/>
            <w:vAlign w:val="center"/>
          </w:tcPr>
          <w:p w14:paraId="34120B82">
            <w:pPr>
              <w:spacing w:line="560" w:lineRule="exact"/>
              <w:jc w:val="center"/>
              <w:rPr>
                <w:rFonts w:hint="eastAsia" w:ascii="宋体" w:hAnsi="宋体"/>
                <w:color w:val="000000"/>
                <w:sz w:val="24"/>
              </w:rPr>
            </w:pPr>
          </w:p>
        </w:tc>
        <w:tc>
          <w:tcPr>
            <w:tcW w:w="1960" w:type="dxa"/>
            <w:vAlign w:val="center"/>
          </w:tcPr>
          <w:p w14:paraId="33504575">
            <w:pPr>
              <w:spacing w:line="560" w:lineRule="exact"/>
              <w:jc w:val="center"/>
              <w:rPr>
                <w:rFonts w:hint="eastAsia" w:ascii="宋体" w:hAnsi="宋体"/>
                <w:color w:val="000000"/>
                <w:sz w:val="24"/>
              </w:rPr>
            </w:pPr>
          </w:p>
        </w:tc>
      </w:tr>
      <w:tr w14:paraId="3B44C7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00" w:hRule="atLeast"/>
        </w:trPr>
        <w:tc>
          <w:tcPr>
            <w:tcW w:w="757" w:type="dxa"/>
            <w:vAlign w:val="center"/>
          </w:tcPr>
          <w:p w14:paraId="7C03728A">
            <w:pPr>
              <w:spacing w:line="560" w:lineRule="exact"/>
              <w:jc w:val="center"/>
              <w:rPr>
                <w:rFonts w:hint="eastAsia" w:ascii="宋体" w:hAnsi="宋体"/>
                <w:color w:val="000000"/>
                <w:sz w:val="24"/>
              </w:rPr>
            </w:pPr>
          </w:p>
        </w:tc>
        <w:tc>
          <w:tcPr>
            <w:tcW w:w="2025" w:type="dxa"/>
            <w:vAlign w:val="center"/>
          </w:tcPr>
          <w:p w14:paraId="2B4E1065">
            <w:pPr>
              <w:spacing w:line="560" w:lineRule="exact"/>
              <w:jc w:val="center"/>
              <w:rPr>
                <w:rFonts w:hint="eastAsia" w:ascii="宋体" w:hAnsi="宋体"/>
                <w:color w:val="000000"/>
                <w:sz w:val="24"/>
              </w:rPr>
            </w:pPr>
          </w:p>
        </w:tc>
        <w:tc>
          <w:tcPr>
            <w:tcW w:w="1932" w:type="dxa"/>
            <w:vAlign w:val="center"/>
          </w:tcPr>
          <w:p w14:paraId="6CD7BAB2">
            <w:pPr>
              <w:spacing w:line="560" w:lineRule="exact"/>
              <w:jc w:val="center"/>
              <w:rPr>
                <w:rFonts w:hint="eastAsia" w:ascii="宋体" w:hAnsi="宋体"/>
                <w:color w:val="000000"/>
                <w:sz w:val="24"/>
              </w:rPr>
            </w:pPr>
          </w:p>
        </w:tc>
        <w:tc>
          <w:tcPr>
            <w:tcW w:w="1413" w:type="dxa"/>
            <w:vAlign w:val="center"/>
          </w:tcPr>
          <w:p w14:paraId="2B222DDC">
            <w:pPr>
              <w:spacing w:line="560" w:lineRule="exact"/>
              <w:jc w:val="center"/>
              <w:rPr>
                <w:rFonts w:hint="eastAsia" w:ascii="宋体" w:hAnsi="宋体"/>
                <w:color w:val="000000"/>
                <w:sz w:val="24"/>
              </w:rPr>
            </w:pPr>
          </w:p>
        </w:tc>
        <w:tc>
          <w:tcPr>
            <w:tcW w:w="1484" w:type="dxa"/>
            <w:vAlign w:val="center"/>
          </w:tcPr>
          <w:p w14:paraId="594619AD">
            <w:pPr>
              <w:spacing w:line="560" w:lineRule="exact"/>
              <w:jc w:val="center"/>
              <w:rPr>
                <w:rFonts w:hint="eastAsia" w:ascii="宋体" w:hAnsi="宋体"/>
                <w:color w:val="000000"/>
                <w:sz w:val="24"/>
              </w:rPr>
            </w:pPr>
          </w:p>
        </w:tc>
        <w:tc>
          <w:tcPr>
            <w:tcW w:w="1960" w:type="dxa"/>
            <w:vAlign w:val="center"/>
          </w:tcPr>
          <w:p w14:paraId="7153E9FF">
            <w:pPr>
              <w:spacing w:line="560" w:lineRule="exact"/>
              <w:jc w:val="center"/>
              <w:rPr>
                <w:rFonts w:hint="eastAsia" w:ascii="宋体" w:hAnsi="宋体"/>
                <w:color w:val="000000"/>
                <w:sz w:val="24"/>
              </w:rPr>
            </w:pPr>
          </w:p>
        </w:tc>
      </w:tr>
      <w:tr w14:paraId="4DB8A1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00" w:hRule="atLeast"/>
        </w:trPr>
        <w:tc>
          <w:tcPr>
            <w:tcW w:w="757" w:type="dxa"/>
            <w:vAlign w:val="center"/>
          </w:tcPr>
          <w:p w14:paraId="58B5FB40">
            <w:pPr>
              <w:spacing w:line="560" w:lineRule="exact"/>
              <w:jc w:val="center"/>
              <w:rPr>
                <w:rFonts w:hint="eastAsia" w:ascii="宋体" w:hAnsi="宋体"/>
                <w:color w:val="000000"/>
                <w:sz w:val="24"/>
              </w:rPr>
            </w:pPr>
          </w:p>
        </w:tc>
        <w:tc>
          <w:tcPr>
            <w:tcW w:w="2025" w:type="dxa"/>
            <w:vAlign w:val="center"/>
          </w:tcPr>
          <w:p w14:paraId="5874BCA3">
            <w:pPr>
              <w:spacing w:line="560" w:lineRule="exact"/>
              <w:jc w:val="center"/>
              <w:rPr>
                <w:rFonts w:hint="eastAsia" w:ascii="宋体" w:hAnsi="宋体"/>
                <w:color w:val="000000"/>
                <w:sz w:val="24"/>
              </w:rPr>
            </w:pPr>
          </w:p>
        </w:tc>
        <w:tc>
          <w:tcPr>
            <w:tcW w:w="1932" w:type="dxa"/>
            <w:vAlign w:val="center"/>
          </w:tcPr>
          <w:p w14:paraId="117592C2">
            <w:pPr>
              <w:spacing w:line="560" w:lineRule="exact"/>
              <w:jc w:val="center"/>
              <w:rPr>
                <w:rFonts w:hint="eastAsia" w:ascii="宋体" w:hAnsi="宋体"/>
                <w:color w:val="000000"/>
                <w:sz w:val="24"/>
              </w:rPr>
            </w:pPr>
          </w:p>
        </w:tc>
        <w:tc>
          <w:tcPr>
            <w:tcW w:w="1413" w:type="dxa"/>
            <w:vAlign w:val="center"/>
          </w:tcPr>
          <w:p w14:paraId="668BD246">
            <w:pPr>
              <w:spacing w:line="560" w:lineRule="exact"/>
              <w:jc w:val="center"/>
              <w:rPr>
                <w:rFonts w:hint="eastAsia" w:ascii="宋体" w:hAnsi="宋体"/>
                <w:color w:val="000000"/>
                <w:sz w:val="24"/>
              </w:rPr>
            </w:pPr>
          </w:p>
        </w:tc>
        <w:tc>
          <w:tcPr>
            <w:tcW w:w="1484" w:type="dxa"/>
            <w:vAlign w:val="center"/>
          </w:tcPr>
          <w:p w14:paraId="1D0EB14E">
            <w:pPr>
              <w:spacing w:line="560" w:lineRule="exact"/>
              <w:jc w:val="center"/>
              <w:rPr>
                <w:rFonts w:hint="eastAsia" w:ascii="宋体" w:hAnsi="宋体"/>
                <w:color w:val="000000"/>
                <w:sz w:val="24"/>
              </w:rPr>
            </w:pPr>
          </w:p>
        </w:tc>
        <w:tc>
          <w:tcPr>
            <w:tcW w:w="1960" w:type="dxa"/>
            <w:vAlign w:val="center"/>
          </w:tcPr>
          <w:p w14:paraId="57B4CA10">
            <w:pPr>
              <w:spacing w:line="560" w:lineRule="exact"/>
              <w:jc w:val="center"/>
              <w:rPr>
                <w:rFonts w:hint="eastAsia" w:ascii="宋体" w:hAnsi="宋体"/>
                <w:color w:val="000000"/>
                <w:sz w:val="24"/>
              </w:rPr>
            </w:pPr>
          </w:p>
        </w:tc>
      </w:tr>
      <w:tr w14:paraId="2E8240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00" w:hRule="atLeast"/>
        </w:trPr>
        <w:tc>
          <w:tcPr>
            <w:tcW w:w="4714" w:type="dxa"/>
            <w:gridSpan w:val="3"/>
            <w:vAlign w:val="center"/>
          </w:tcPr>
          <w:p w14:paraId="3F1E5557">
            <w:pPr>
              <w:spacing w:line="560" w:lineRule="exact"/>
              <w:jc w:val="center"/>
              <w:rPr>
                <w:rFonts w:hint="eastAsia" w:ascii="宋体" w:hAnsi="宋体"/>
                <w:color w:val="000000"/>
                <w:sz w:val="24"/>
              </w:rPr>
            </w:pPr>
            <w:r>
              <w:rPr>
                <w:rFonts w:hint="eastAsia" w:ascii="宋体" w:hAnsi="宋体"/>
                <w:color w:val="000000"/>
                <w:sz w:val="24"/>
              </w:rPr>
              <w:t>总报价</w:t>
            </w:r>
          </w:p>
        </w:tc>
        <w:tc>
          <w:tcPr>
            <w:tcW w:w="4857" w:type="dxa"/>
            <w:gridSpan w:val="3"/>
            <w:vAlign w:val="center"/>
          </w:tcPr>
          <w:p w14:paraId="09BCC400">
            <w:pPr>
              <w:spacing w:line="560" w:lineRule="exact"/>
              <w:rPr>
                <w:rFonts w:hint="eastAsia" w:ascii="宋体" w:hAnsi="宋体"/>
                <w:color w:val="000000"/>
                <w:sz w:val="24"/>
              </w:rPr>
            </w:pPr>
            <w:r>
              <w:rPr>
                <w:rFonts w:hint="eastAsia" w:ascii="宋体" w:hAnsi="宋体"/>
                <w:color w:val="000000"/>
                <w:sz w:val="24"/>
              </w:rPr>
              <w:t>人民币（大写）：</w:t>
            </w:r>
            <w:r>
              <w:rPr>
                <w:rFonts w:hint="eastAsia" w:ascii="宋体" w:hAnsi="宋体"/>
                <w:color w:val="000000"/>
                <w:sz w:val="24"/>
                <w:u w:val="single"/>
              </w:rPr>
              <w:t xml:space="preserve">       </w:t>
            </w:r>
          </w:p>
          <w:p w14:paraId="29B7DBDD">
            <w:pPr>
              <w:spacing w:line="560" w:lineRule="exact"/>
              <w:rPr>
                <w:rFonts w:hint="eastAsia" w:ascii="宋体" w:hAnsi="宋体"/>
                <w:color w:val="000000"/>
                <w:sz w:val="24"/>
                <w:u w:val="single"/>
              </w:rPr>
            </w:pPr>
            <w:r>
              <w:rPr>
                <w:rFonts w:hint="eastAsia" w:ascii="宋体" w:hAnsi="宋体"/>
                <w:color w:val="000000"/>
                <w:sz w:val="24"/>
              </w:rPr>
              <w:t>￥：</w:t>
            </w:r>
            <w:r>
              <w:rPr>
                <w:rFonts w:hint="eastAsia" w:ascii="宋体" w:hAnsi="宋体"/>
                <w:color w:val="000000"/>
                <w:sz w:val="24"/>
                <w:u w:val="single"/>
              </w:rPr>
              <w:t xml:space="preserve">           </w:t>
            </w:r>
          </w:p>
          <w:p w14:paraId="0D7A790B">
            <w:pPr>
              <w:spacing w:line="560" w:lineRule="exact"/>
              <w:rPr>
                <w:rFonts w:hint="eastAsia" w:ascii="宋体" w:hAnsi="宋体"/>
                <w:color w:val="000000"/>
                <w:sz w:val="24"/>
              </w:rPr>
            </w:pPr>
            <w:r>
              <w:rPr>
                <w:rFonts w:hint="eastAsia" w:ascii="宋体" w:hAnsi="宋体"/>
                <w:color w:val="000000"/>
                <w:sz w:val="24"/>
              </w:rPr>
              <w:t>是否声明小微企业：</w:t>
            </w:r>
            <w:r>
              <w:rPr>
                <w:rFonts w:hint="eastAsia" w:ascii="宋体" w:hAnsi="宋体"/>
                <w:color w:val="000000"/>
                <w:sz w:val="24"/>
                <w:u w:val="single"/>
              </w:rPr>
              <w:t xml:space="preserve">   </w:t>
            </w:r>
            <w:r>
              <w:rPr>
                <w:rFonts w:hint="eastAsia" w:ascii="宋体" w:hAnsi="宋体"/>
                <w:color w:val="000000"/>
                <w:sz w:val="24"/>
              </w:rPr>
              <w:t>（填“是”或“否”）</w:t>
            </w:r>
          </w:p>
        </w:tc>
      </w:tr>
    </w:tbl>
    <w:p w14:paraId="55F5818E">
      <w:pPr>
        <w:spacing w:line="360" w:lineRule="auto"/>
        <w:rPr>
          <w:rFonts w:hint="eastAsia" w:ascii="宋体" w:hAnsi="宋体"/>
          <w:b/>
          <w:sz w:val="24"/>
        </w:rPr>
      </w:pPr>
    </w:p>
    <w:p w14:paraId="4677F91B">
      <w:pPr>
        <w:spacing w:line="360" w:lineRule="auto"/>
        <w:rPr>
          <w:rFonts w:hint="eastAsia" w:ascii="宋体" w:hAnsi="宋体"/>
          <w:b/>
          <w:sz w:val="24"/>
        </w:rPr>
      </w:pPr>
      <w:r>
        <w:rPr>
          <w:rFonts w:hint="eastAsia" w:ascii="宋体" w:hAnsi="宋体"/>
          <w:b/>
          <w:sz w:val="24"/>
        </w:rPr>
        <w:t>价格构成或报价要求：</w:t>
      </w:r>
    </w:p>
    <w:p w14:paraId="039C5675">
      <w:pPr>
        <w:numPr>
          <w:ilvl w:val="0"/>
          <w:numId w:val="3"/>
        </w:numPr>
        <w:spacing w:line="360" w:lineRule="auto"/>
        <w:rPr>
          <w:rFonts w:hint="eastAsia" w:ascii="宋体" w:hAnsi="宋体"/>
          <w:color w:val="000000"/>
          <w:sz w:val="24"/>
        </w:rPr>
      </w:pPr>
      <w:r>
        <w:rPr>
          <w:rFonts w:hint="eastAsia" w:ascii="宋体" w:hAnsi="宋体"/>
          <w:color w:val="000000"/>
          <w:sz w:val="24"/>
        </w:rPr>
        <w:t>该表报价非本次磋商的最后报价。根据竞争性磋商采购方式的规则，在评审现场还需进行现场磋商后再次报价。</w:t>
      </w:r>
    </w:p>
    <w:p w14:paraId="1FAD6B39">
      <w:pPr>
        <w:spacing w:line="360" w:lineRule="auto"/>
        <w:rPr>
          <w:rFonts w:hint="eastAsia" w:ascii="宋体" w:hAnsi="宋体"/>
          <w:color w:val="000000"/>
          <w:sz w:val="24"/>
        </w:rPr>
      </w:pPr>
      <w:r>
        <w:rPr>
          <w:rFonts w:hint="eastAsia" w:ascii="宋体" w:hAnsi="宋体"/>
          <w:color w:val="000000"/>
          <w:sz w:val="24"/>
        </w:rPr>
        <w:t>2、对小型和微型企业产品或服务的价格给予10%的扣除，用扣除后的价格参与评审。</w:t>
      </w:r>
    </w:p>
    <w:p w14:paraId="5AF71D55"/>
    <w:p w14:paraId="552D257D"/>
    <w:p w14:paraId="4003FD8F"/>
    <w:p w14:paraId="742325EC"/>
    <w:p w14:paraId="0372B9D0"/>
    <w:p w14:paraId="634F0367"/>
    <w:p w14:paraId="69427203"/>
    <w:p w14:paraId="351CD700"/>
    <w:p w14:paraId="2E70E2C8"/>
    <w:p w14:paraId="3BB8ECF2">
      <w:pPr>
        <w:widowControl/>
        <w:jc w:val="center"/>
        <w:rPr>
          <w:rFonts w:hint="eastAsia" w:ascii="黑体" w:hAnsi="黑体" w:eastAsia="黑体"/>
          <w:b/>
          <w:sz w:val="32"/>
          <w:szCs w:val="32"/>
        </w:rPr>
      </w:pPr>
      <w:r>
        <w:rPr>
          <w:rFonts w:hint="eastAsia"/>
          <w:b/>
          <w:sz w:val="32"/>
          <w:szCs w:val="48"/>
        </w:rPr>
        <w:t>五、</w:t>
      </w:r>
      <w:r>
        <w:rPr>
          <w:rFonts w:hint="eastAsia" w:ascii="黑体" w:hAnsi="黑体" w:eastAsia="黑体"/>
          <w:b/>
          <w:sz w:val="32"/>
          <w:szCs w:val="32"/>
        </w:rPr>
        <w:t>服务人员一览表</w:t>
      </w:r>
    </w:p>
    <w:p w14:paraId="4066D508">
      <w:pPr>
        <w:spacing w:line="360" w:lineRule="auto"/>
        <w:jc w:val="center"/>
        <w:rPr>
          <w:rFonts w:hint="eastAsia" w:ascii="宋体" w:hAnsi="宋体"/>
          <w:color w:val="000000"/>
          <w:sz w:val="24"/>
        </w:rPr>
      </w:pPr>
    </w:p>
    <w:p w14:paraId="44077AEF">
      <w:pPr>
        <w:spacing w:line="360" w:lineRule="auto"/>
        <w:ind w:firstLine="480" w:firstLineChars="200"/>
        <w:rPr>
          <w:rFonts w:hint="eastAsia" w:ascii="宋体" w:hAnsi="宋体"/>
          <w:color w:val="000000"/>
          <w:sz w:val="24"/>
        </w:rPr>
      </w:pPr>
      <w:r>
        <w:rPr>
          <w:rFonts w:hint="eastAsia" w:ascii="宋体" w:hAnsi="宋体"/>
          <w:sz w:val="24"/>
        </w:rPr>
        <w:t xml:space="preserve">项目名称：   </w:t>
      </w:r>
      <w:r>
        <w:rPr>
          <w:rFonts w:hint="eastAsia" w:ascii="宋体" w:hAnsi="宋体"/>
          <w:color w:val="000000"/>
          <w:sz w:val="24"/>
        </w:rPr>
        <w:t xml:space="preserve">                       项目编号：</w:t>
      </w:r>
    </w:p>
    <w:tbl>
      <w:tblPr>
        <w:tblStyle w:val="41"/>
        <w:tblW w:w="943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01"/>
        <w:gridCol w:w="1833"/>
        <w:gridCol w:w="847"/>
        <w:gridCol w:w="1006"/>
        <w:gridCol w:w="2131"/>
        <w:gridCol w:w="1899"/>
        <w:gridCol w:w="1017"/>
      </w:tblGrid>
      <w:tr w14:paraId="4BFB30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43" w:hRule="atLeast"/>
          <w:jc w:val="center"/>
        </w:trPr>
        <w:tc>
          <w:tcPr>
            <w:tcW w:w="701" w:type="dxa"/>
            <w:vAlign w:val="center"/>
          </w:tcPr>
          <w:p w14:paraId="6E03F34B">
            <w:pPr>
              <w:autoSpaceDE w:val="0"/>
              <w:autoSpaceDN w:val="0"/>
              <w:adjustRightInd w:val="0"/>
              <w:spacing w:line="360" w:lineRule="auto"/>
              <w:jc w:val="center"/>
              <w:rPr>
                <w:rFonts w:hint="eastAsia" w:ascii="宋体" w:hAnsi="宋体"/>
                <w:b/>
                <w:sz w:val="24"/>
                <w:szCs w:val="22"/>
                <w:lang w:val="zh-CN"/>
              </w:rPr>
            </w:pPr>
            <w:r>
              <w:rPr>
                <w:rFonts w:hint="eastAsia" w:ascii="宋体" w:hAnsi="宋体"/>
                <w:b/>
                <w:sz w:val="24"/>
                <w:szCs w:val="22"/>
                <w:lang w:val="zh-CN"/>
              </w:rPr>
              <w:t>序号</w:t>
            </w:r>
          </w:p>
        </w:tc>
        <w:tc>
          <w:tcPr>
            <w:tcW w:w="1833" w:type="dxa"/>
            <w:vAlign w:val="center"/>
          </w:tcPr>
          <w:p w14:paraId="28998799">
            <w:pPr>
              <w:autoSpaceDE w:val="0"/>
              <w:autoSpaceDN w:val="0"/>
              <w:adjustRightInd w:val="0"/>
              <w:spacing w:line="360" w:lineRule="auto"/>
              <w:jc w:val="center"/>
              <w:rPr>
                <w:rFonts w:hint="eastAsia" w:ascii="宋体" w:hAnsi="宋体"/>
                <w:b/>
                <w:sz w:val="24"/>
                <w:szCs w:val="22"/>
                <w:lang w:val="zh-CN"/>
              </w:rPr>
            </w:pPr>
            <w:r>
              <w:rPr>
                <w:rFonts w:hint="eastAsia" w:ascii="宋体" w:hAnsi="宋体"/>
                <w:b/>
                <w:sz w:val="24"/>
                <w:szCs w:val="22"/>
                <w:lang w:val="zh-CN"/>
              </w:rPr>
              <w:t>姓名</w:t>
            </w:r>
          </w:p>
        </w:tc>
        <w:tc>
          <w:tcPr>
            <w:tcW w:w="847" w:type="dxa"/>
            <w:vAlign w:val="center"/>
          </w:tcPr>
          <w:p w14:paraId="24F3BC18">
            <w:pPr>
              <w:autoSpaceDE w:val="0"/>
              <w:autoSpaceDN w:val="0"/>
              <w:adjustRightInd w:val="0"/>
              <w:spacing w:line="360" w:lineRule="auto"/>
              <w:jc w:val="center"/>
              <w:rPr>
                <w:rFonts w:hint="eastAsia" w:ascii="宋体" w:hAnsi="宋体"/>
                <w:b/>
                <w:sz w:val="24"/>
                <w:szCs w:val="22"/>
                <w:lang w:val="zh-CN"/>
              </w:rPr>
            </w:pPr>
            <w:r>
              <w:rPr>
                <w:rFonts w:hint="eastAsia" w:ascii="宋体" w:hAnsi="宋体"/>
                <w:b/>
                <w:sz w:val="24"/>
                <w:szCs w:val="22"/>
                <w:lang w:val="zh-CN"/>
              </w:rPr>
              <w:t>学历</w:t>
            </w:r>
          </w:p>
        </w:tc>
        <w:tc>
          <w:tcPr>
            <w:tcW w:w="1006" w:type="dxa"/>
            <w:vAlign w:val="center"/>
          </w:tcPr>
          <w:p w14:paraId="3583B172">
            <w:pPr>
              <w:autoSpaceDE w:val="0"/>
              <w:autoSpaceDN w:val="0"/>
              <w:adjustRightInd w:val="0"/>
              <w:spacing w:line="360" w:lineRule="auto"/>
              <w:jc w:val="center"/>
              <w:rPr>
                <w:rFonts w:hint="eastAsia" w:ascii="宋体" w:hAnsi="宋体"/>
                <w:b/>
                <w:sz w:val="24"/>
                <w:szCs w:val="22"/>
                <w:lang w:val="zh-CN"/>
              </w:rPr>
            </w:pPr>
            <w:r>
              <w:rPr>
                <w:rFonts w:hint="eastAsia" w:ascii="宋体" w:hAnsi="宋体"/>
                <w:b/>
                <w:sz w:val="24"/>
                <w:szCs w:val="22"/>
                <w:lang w:val="zh-CN"/>
              </w:rPr>
              <w:t>专业</w:t>
            </w:r>
          </w:p>
        </w:tc>
        <w:tc>
          <w:tcPr>
            <w:tcW w:w="2131" w:type="dxa"/>
            <w:vAlign w:val="center"/>
          </w:tcPr>
          <w:p w14:paraId="183B3C41">
            <w:pPr>
              <w:autoSpaceDE w:val="0"/>
              <w:autoSpaceDN w:val="0"/>
              <w:adjustRightInd w:val="0"/>
              <w:spacing w:line="360" w:lineRule="auto"/>
              <w:jc w:val="center"/>
              <w:rPr>
                <w:rFonts w:hint="eastAsia" w:ascii="宋体" w:hAnsi="宋体"/>
                <w:b/>
                <w:sz w:val="24"/>
                <w:szCs w:val="22"/>
                <w:lang w:val="zh-CN"/>
              </w:rPr>
            </w:pPr>
            <w:r>
              <w:rPr>
                <w:rFonts w:hint="eastAsia" w:ascii="宋体" w:hAnsi="宋体"/>
                <w:b/>
                <w:sz w:val="24"/>
                <w:szCs w:val="22"/>
                <w:lang w:val="zh-CN"/>
              </w:rPr>
              <w:t>职称（资质）证书</w:t>
            </w:r>
          </w:p>
        </w:tc>
        <w:tc>
          <w:tcPr>
            <w:tcW w:w="1899" w:type="dxa"/>
            <w:vAlign w:val="center"/>
          </w:tcPr>
          <w:p w14:paraId="33835B49">
            <w:pPr>
              <w:autoSpaceDE w:val="0"/>
              <w:autoSpaceDN w:val="0"/>
              <w:adjustRightInd w:val="0"/>
              <w:spacing w:line="360" w:lineRule="auto"/>
              <w:jc w:val="center"/>
              <w:rPr>
                <w:rFonts w:hint="eastAsia" w:ascii="宋体" w:hAnsi="宋体"/>
                <w:b/>
                <w:sz w:val="24"/>
                <w:szCs w:val="22"/>
                <w:lang w:val="zh-CN"/>
              </w:rPr>
            </w:pPr>
            <w:r>
              <w:rPr>
                <w:rFonts w:hint="eastAsia" w:ascii="宋体" w:hAnsi="宋体"/>
                <w:b/>
                <w:sz w:val="24"/>
                <w:szCs w:val="22"/>
                <w:lang w:val="zh-CN"/>
              </w:rPr>
              <w:t>拟担任本项目何种工作</w:t>
            </w:r>
          </w:p>
        </w:tc>
        <w:tc>
          <w:tcPr>
            <w:tcW w:w="1017" w:type="dxa"/>
            <w:vAlign w:val="center"/>
          </w:tcPr>
          <w:p w14:paraId="5151D8E9">
            <w:pPr>
              <w:autoSpaceDE w:val="0"/>
              <w:autoSpaceDN w:val="0"/>
              <w:adjustRightInd w:val="0"/>
              <w:spacing w:line="360" w:lineRule="auto"/>
              <w:jc w:val="center"/>
              <w:rPr>
                <w:rFonts w:hint="eastAsia" w:ascii="宋体" w:hAnsi="宋体"/>
                <w:b/>
                <w:sz w:val="24"/>
                <w:szCs w:val="22"/>
                <w:lang w:val="zh-CN"/>
              </w:rPr>
            </w:pPr>
            <w:r>
              <w:rPr>
                <w:rFonts w:hint="eastAsia" w:ascii="宋体" w:hAnsi="宋体"/>
                <w:b/>
                <w:sz w:val="24"/>
                <w:szCs w:val="22"/>
                <w:lang w:val="zh-CN"/>
              </w:rPr>
              <w:t>备注</w:t>
            </w:r>
          </w:p>
        </w:tc>
      </w:tr>
      <w:tr w14:paraId="0DBDD1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jc w:val="center"/>
        </w:trPr>
        <w:tc>
          <w:tcPr>
            <w:tcW w:w="701" w:type="dxa"/>
          </w:tcPr>
          <w:p w14:paraId="7E8EA6C3">
            <w:pPr>
              <w:autoSpaceDE w:val="0"/>
              <w:autoSpaceDN w:val="0"/>
              <w:adjustRightInd w:val="0"/>
              <w:spacing w:line="360" w:lineRule="auto"/>
              <w:rPr>
                <w:rFonts w:hint="eastAsia" w:ascii="宋体" w:hAnsi="宋体"/>
                <w:sz w:val="24"/>
                <w:szCs w:val="22"/>
                <w:lang w:val="zh-CN"/>
              </w:rPr>
            </w:pPr>
          </w:p>
        </w:tc>
        <w:tc>
          <w:tcPr>
            <w:tcW w:w="1833" w:type="dxa"/>
          </w:tcPr>
          <w:p w14:paraId="41A0792E">
            <w:pPr>
              <w:autoSpaceDE w:val="0"/>
              <w:autoSpaceDN w:val="0"/>
              <w:adjustRightInd w:val="0"/>
              <w:spacing w:line="360" w:lineRule="auto"/>
              <w:rPr>
                <w:rFonts w:hint="eastAsia" w:ascii="宋体" w:hAnsi="宋体"/>
                <w:sz w:val="24"/>
                <w:szCs w:val="22"/>
                <w:lang w:val="zh-CN"/>
              </w:rPr>
            </w:pPr>
          </w:p>
        </w:tc>
        <w:tc>
          <w:tcPr>
            <w:tcW w:w="847" w:type="dxa"/>
          </w:tcPr>
          <w:p w14:paraId="4455BABE">
            <w:pPr>
              <w:autoSpaceDE w:val="0"/>
              <w:autoSpaceDN w:val="0"/>
              <w:adjustRightInd w:val="0"/>
              <w:spacing w:line="360" w:lineRule="auto"/>
              <w:rPr>
                <w:rFonts w:hint="eastAsia" w:ascii="宋体" w:hAnsi="宋体"/>
                <w:sz w:val="24"/>
                <w:szCs w:val="22"/>
                <w:lang w:val="zh-CN"/>
              </w:rPr>
            </w:pPr>
          </w:p>
        </w:tc>
        <w:tc>
          <w:tcPr>
            <w:tcW w:w="1006" w:type="dxa"/>
          </w:tcPr>
          <w:p w14:paraId="27E9ED7B">
            <w:pPr>
              <w:autoSpaceDE w:val="0"/>
              <w:autoSpaceDN w:val="0"/>
              <w:adjustRightInd w:val="0"/>
              <w:spacing w:line="360" w:lineRule="auto"/>
              <w:rPr>
                <w:rFonts w:hint="eastAsia" w:ascii="宋体" w:hAnsi="宋体"/>
                <w:sz w:val="24"/>
                <w:szCs w:val="22"/>
                <w:lang w:val="zh-CN"/>
              </w:rPr>
            </w:pPr>
          </w:p>
        </w:tc>
        <w:tc>
          <w:tcPr>
            <w:tcW w:w="2131" w:type="dxa"/>
          </w:tcPr>
          <w:p w14:paraId="54485515">
            <w:pPr>
              <w:autoSpaceDE w:val="0"/>
              <w:autoSpaceDN w:val="0"/>
              <w:adjustRightInd w:val="0"/>
              <w:spacing w:line="360" w:lineRule="auto"/>
              <w:rPr>
                <w:rFonts w:hint="eastAsia" w:ascii="宋体" w:hAnsi="宋体"/>
                <w:sz w:val="24"/>
                <w:szCs w:val="22"/>
                <w:lang w:val="zh-CN"/>
              </w:rPr>
            </w:pPr>
          </w:p>
        </w:tc>
        <w:tc>
          <w:tcPr>
            <w:tcW w:w="1899" w:type="dxa"/>
          </w:tcPr>
          <w:p w14:paraId="75F4F8D1">
            <w:pPr>
              <w:autoSpaceDE w:val="0"/>
              <w:autoSpaceDN w:val="0"/>
              <w:adjustRightInd w:val="0"/>
              <w:spacing w:line="360" w:lineRule="auto"/>
              <w:jc w:val="center"/>
              <w:rPr>
                <w:rFonts w:hint="eastAsia" w:ascii="宋体" w:hAnsi="宋体"/>
                <w:sz w:val="24"/>
                <w:szCs w:val="22"/>
              </w:rPr>
            </w:pPr>
            <w:r>
              <w:rPr>
                <w:rFonts w:hint="eastAsia" w:ascii="宋体" w:hAnsi="宋体"/>
                <w:sz w:val="24"/>
                <w:szCs w:val="22"/>
              </w:rPr>
              <w:t>项目负责人</w:t>
            </w:r>
          </w:p>
        </w:tc>
        <w:tc>
          <w:tcPr>
            <w:tcW w:w="1017" w:type="dxa"/>
          </w:tcPr>
          <w:p w14:paraId="51FA633C">
            <w:pPr>
              <w:autoSpaceDE w:val="0"/>
              <w:autoSpaceDN w:val="0"/>
              <w:adjustRightInd w:val="0"/>
              <w:spacing w:line="360" w:lineRule="auto"/>
              <w:rPr>
                <w:rFonts w:hint="eastAsia" w:ascii="宋体" w:hAnsi="宋体"/>
                <w:sz w:val="24"/>
                <w:szCs w:val="22"/>
                <w:lang w:val="zh-CN"/>
              </w:rPr>
            </w:pPr>
          </w:p>
        </w:tc>
      </w:tr>
      <w:tr w14:paraId="1AF228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2" w:hRule="atLeast"/>
          <w:jc w:val="center"/>
        </w:trPr>
        <w:tc>
          <w:tcPr>
            <w:tcW w:w="701" w:type="dxa"/>
          </w:tcPr>
          <w:p w14:paraId="46200FB7">
            <w:pPr>
              <w:autoSpaceDE w:val="0"/>
              <w:autoSpaceDN w:val="0"/>
              <w:adjustRightInd w:val="0"/>
              <w:spacing w:line="360" w:lineRule="auto"/>
              <w:rPr>
                <w:rFonts w:hint="eastAsia" w:ascii="宋体" w:hAnsi="宋体"/>
                <w:sz w:val="24"/>
                <w:szCs w:val="22"/>
                <w:lang w:val="zh-CN"/>
              </w:rPr>
            </w:pPr>
          </w:p>
        </w:tc>
        <w:tc>
          <w:tcPr>
            <w:tcW w:w="1833" w:type="dxa"/>
          </w:tcPr>
          <w:p w14:paraId="5707AD7B">
            <w:pPr>
              <w:autoSpaceDE w:val="0"/>
              <w:autoSpaceDN w:val="0"/>
              <w:adjustRightInd w:val="0"/>
              <w:spacing w:line="360" w:lineRule="auto"/>
              <w:rPr>
                <w:rFonts w:hint="eastAsia" w:ascii="宋体" w:hAnsi="宋体"/>
                <w:sz w:val="24"/>
                <w:szCs w:val="22"/>
                <w:lang w:val="zh-CN"/>
              </w:rPr>
            </w:pPr>
          </w:p>
        </w:tc>
        <w:tc>
          <w:tcPr>
            <w:tcW w:w="847" w:type="dxa"/>
          </w:tcPr>
          <w:p w14:paraId="5C9724E5">
            <w:pPr>
              <w:autoSpaceDE w:val="0"/>
              <w:autoSpaceDN w:val="0"/>
              <w:adjustRightInd w:val="0"/>
              <w:spacing w:line="360" w:lineRule="auto"/>
              <w:rPr>
                <w:rFonts w:hint="eastAsia" w:ascii="宋体" w:hAnsi="宋体"/>
                <w:sz w:val="24"/>
                <w:szCs w:val="22"/>
                <w:lang w:val="zh-CN"/>
              </w:rPr>
            </w:pPr>
          </w:p>
        </w:tc>
        <w:tc>
          <w:tcPr>
            <w:tcW w:w="1006" w:type="dxa"/>
          </w:tcPr>
          <w:p w14:paraId="2D6F3D89">
            <w:pPr>
              <w:autoSpaceDE w:val="0"/>
              <w:autoSpaceDN w:val="0"/>
              <w:adjustRightInd w:val="0"/>
              <w:spacing w:line="360" w:lineRule="auto"/>
              <w:rPr>
                <w:rFonts w:hint="eastAsia" w:ascii="宋体" w:hAnsi="宋体"/>
                <w:sz w:val="24"/>
                <w:szCs w:val="22"/>
                <w:lang w:val="zh-CN"/>
              </w:rPr>
            </w:pPr>
          </w:p>
        </w:tc>
        <w:tc>
          <w:tcPr>
            <w:tcW w:w="2131" w:type="dxa"/>
          </w:tcPr>
          <w:p w14:paraId="1F986A2B">
            <w:pPr>
              <w:autoSpaceDE w:val="0"/>
              <w:autoSpaceDN w:val="0"/>
              <w:adjustRightInd w:val="0"/>
              <w:spacing w:line="360" w:lineRule="auto"/>
              <w:rPr>
                <w:rFonts w:hint="eastAsia" w:ascii="宋体" w:hAnsi="宋体"/>
                <w:sz w:val="24"/>
                <w:szCs w:val="22"/>
                <w:lang w:val="zh-CN"/>
              </w:rPr>
            </w:pPr>
          </w:p>
        </w:tc>
        <w:tc>
          <w:tcPr>
            <w:tcW w:w="1899" w:type="dxa"/>
            <w:vAlign w:val="center"/>
          </w:tcPr>
          <w:p w14:paraId="352DAC58">
            <w:pPr>
              <w:autoSpaceDE w:val="0"/>
              <w:autoSpaceDN w:val="0"/>
              <w:adjustRightInd w:val="0"/>
              <w:spacing w:line="360" w:lineRule="auto"/>
              <w:rPr>
                <w:rFonts w:hint="eastAsia" w:ascii="宋体" w:hAnsi="宋体"/>
                <w:sz w:val="24"/>
                <w:szCs w:val="22"/>
                <w:lang w:val="zh-CN"/>
              </w:rPr>
            </w:pPr>
          </w:p>
        </w:tc>
        <w:tc>
          <w:tcPr>
            <w:tcW w:w="1017" w:type="dxa"/>
          </w:tcPr>
          <w:p w14:paraId="343972B4">
            <w:pPr>
              <w:autoSpaceDE w:val="0"/>
              <w:autoSpaceDN w:val="0"/>
              <w:adjustRightInd w:val="0"/>
              <w:spacing w:line="360" w:lineRule="auto"/>
              <w:rPr>
                <w:rFonts w:hint="eastAsia" w:ascii="宋体" w:hAnsi="宋体"/>
                <w:sz w:val="24"/>
                <w:szCs w:val="22"/>
                <w:lang w:val="zh-CN"/>
              </w:rPr>
            </w:pPr>
          </w:p>
        </w:tc>
      </w:tr>
      <w:tr w14:paraId="4877D4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jc w:val="center"/>
        </w:trPr>
        <w:tc>
          <w:tcPr>
            <w:tcW w:w="701" w:type="dxa"/>
          </w:tcPr>
          <w:p w14:paraId="5715F548">
            <w:pPr>
              <w:autoSpaceDE w:val="0"/>
              <w:autoSpaceDN w:val="0"/>
              <w:adjustRightInd w:val="0"/>
              <w:spacing w:line="360" w:lineRule="auto"/>
              <w:rPr>
                <w:rFonts w:hint="eastAsia" w:ascii="宋体" w:hAnsi="宋体"/>
                <w:sz w:val="24"/>
                <w:szCs w:val="22"/>
                <w:lang w:val="zh-CN"/>
              </w:rPr>
            </w:pPr>
          </w:p>
        </w:tc>
        <w:tc>
          <w:tcPr>
            <w:tcW w:w="1833" w:type="dxa"/>
          </w:tcPr>
          <w:p w14:paraId="006FACF1">
            <w:pPr>
              <w:autoSpaceDE w:val="0"/>
              <w:autoSpaceDN w:val="0"/>
              <w:adjustRightInd w:val="0"/>
              <w:spacing w:line="360" w:lineRule="auto"/>
              <w:rPr>
                <w:rFonts w:hint="eastAsia" w:ascii="宋体" w:hAnsi="宋体"/>
                <w:sz w:val="24"/>
                <w:szCs w:val="22"/>
                <w:lang w:val="zh-CN"/>
              </w:rPr>
            </w:pPr>
          </w:p>
        </w:tc>
        <w:tc>
          <w:tcPr>
            <w:tcW w:w="847" w:type="dxa"/>
          </w:tcPr>
          <w:p w14:paraId="574A4E99">
            <w:pPr>
              <w:autoSpaceDE w:val="0"/>
              <w:autoSpaceDN w:val="0"/>
              <w:adjustRightInd w:val="0"/>
              <w:spacing w:line="360" w:lineRule="auto"/>
              <w:rPr>
                <w:rFonts w:hint="eastAsia" w:ascii="宋体" w:hAnsi="宋体"/>
                <w:sz w:val="24"/>
                <w:szCs w:val="22"/>
                <w:lang w:val="zh-CN"/>
              </w:rPr>
            </w:pPr>
          </w:p>
        </w:tc>
        <w:tc>
          <w:tcPr>
            <w:tcW w:w="1006" w:type="dxa"/>
          </w:tcPr>
          <w:p w14:paraId="58B63480">
            <w:pPr>
              <w:autoSpaceDE w:val="0"/>
              <w:autoSpaceDN w:val="0"/>
              <w:adjustRightInd w:val="0"/>
              <w:spacing w:line="360" w:lineRule="auto"/>
              <w:rPr>
                <w:rFonts w:hint="eastAsia" w:ascii="宋体" w:hAnsi="宋体"/>
                <w:sz w:val="24"/>
                <w:szCs w:val="22"/>
                <w:lang w:val="zh-CN"/>
              </w:rPr>
            </w:pPr>
          </w:p>
        </w:tc>
        <w:tc>
          <w:tcPr>
            <w:tcW w:w="2131" w:type="dxa"/>
          </w:tcPr>
          <w:p w14:paraId="6108ED89">
            <w:pPr>
              <w:autoSpaceDE w:val="0"/>
              <w:autoSpaceDN w:val="0"/>
              <w:adjustRightInd w:val="0"/>
              <w:spacing w:line="360" w:lineRule="auto"/>
              <w:rPr>
                <w:rFonts w:hint="eastAsia" w:ascii="宋体" w:hAnsi="宋体"/>
                <w:sz w:val="24"/>
                <w:szCs w:val="22"/>
                <w:lang w:val="zh-CN"/>
              </w:rPr>
            </w:pPr>
          </w:p>
        </w:tc>
        <w:tc>
          <w:tcPr>
            <w:tcW w:w="1899" w:type="dxa"/>
          </w:tcPr>
          <w:p w14:paraId="2E8D9536">
            <w:pPr>
              <w:autoSpaceDE w:val="0"/>
              <w:autoSpaceDN w:val="0"/>
              <w:adjustRightInd w:val="0"/>
              <w:spacing w:line="360" w:lineRule="auto"/>
              <w:rPr>
                <w:rFonts w:hint="eastAsia" w:ascii="宋体" w:hAnsi="宋体"/>
                <w:sz w:val="24"/>
                <w:szCs w:val="22"/>
                <w:lang w:val="zh-CN"/>
              </w:rPr>
            </w:pPr>
          </w:p>
        </w:tc>
        <w:tc>
          <w:tcPr>
            <w:tcW w:w="1017" w:type="dxa"/>
          </w:tcPr>
          <w:p w14:paraId="08A1F670">
            <w:pPr>
              <w:autoSpaceDE w:val="0"/>
              <w:autoSpaceDN w:val="0"/>
              <w:adjustRightInd w:val="0"/>
              <w:spacing w:line="360" w:lineRule="auto"/>
              <w:rPr>
                <w:rFonts w:hint="eastAsia" w:ascii="宋体" w:hAnsi="宋体"/>
                <w:sz w:val="24"/>
                <w:szCs w:val="22"/>
                <w:lang w:val="zh-CN"/>
              </w:rPr>
            </w:pPr>
          </w:p>
        </w:tc>
      </w:tr>
      <w:tr w14:paraId="5E4662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2" w:hRule="atLeast"/>
          <w:jc w:val="center"/>
        </w:trPr>
        <w:tc>
          <w:tcPr>
            <w:tcW w:w="701" w:type="dxa"/>
          </w:tcPr>
          <w:p w14:paraId="3821B8A1">
            <w:pPr>
              <w:autoSpaceDE w:val="0"/>
              <w:autoSpaceDN w:val="0"/>
              <w:adjustRightInd w:val="0"/>
              <w:spacing w:line="360" w:lineRule="auto"/>
              <w:rPr>
                <w:rFonts w:hint="eastAsia" w:ascii="宋体" w:hAnsi="宋体"/>
                <w:sz w:val="24"/>
                <w:szCs w:val="22"/>
                <w:lang w:val="zh-CN"/>
              </w:rPr>
            </w:pPr>
          </w:p>
        </w:tc>
        <w:tc>
          <w:tcPr>
            <w:tcW w:w="1833" w:type="dxa"/>
          </w:tcPr>
          <w:p w14:paraId="00B4D40E">
            <w:pPr>
              <w:autoSpaceDE w:val="0"/>
              <w:autoSpaceDN w:val="0"/>
              <w:adjustRightInd w:val="0"/>
              <w:spacing w:line="360" w:lineRule="auto"/>
              <w:rPr>
                <w:rFonts w:hint="eastAsia" w:ascii="宋体" w:hAnsi="宋体"/>
                <w:sz w:val="24"/>
                <w:szCs w:val="22"/>
                <w:lang w:val="zh-CN"/>
              </w:rPr>
            </w:pPr>
          </w:p>
        </w:tc>
        <w:tc>
          <w:tcPr>
            <w:tcW w:w="847" w:type="dxa"/>
          </w:tcPr>
          <w:p w14:paraId="3437CF37">
            <w:pPr>
              <w:autoSpaceDE w:val="0"/>
              <w:autoSpaceDN w:val="0"/>
              <w:adjustRightInd w:val="0"/>
              <w:spacing w:line="360" w:lineRule="auto"/>
              <w:rPr>
                <w:rFonts w:hint="eastAsia" w:ascii="宋体" w:hAnsi="宋体"/>
                <w:sz w:val="24"/>
                <w:szCs w:val="22"/>
                <w:lang w:val="zh-CN"/>
              </w:rPr>
            </w:pPr>
          </w:p>
        </w:tc>
        <w:tc>
          <w:tcPr>
            <w:tcW w:w="1006" w:type="dxa"/>
          </w:tcPr>
          <w:p w14:paraId="5C153850">
            <w:pPr>
              <w:autoSpaceDE w:val="0"/>
              <w:autoSpaceDN w:val="0"/>
              <w:adjustRightInd w:val="0"/>
              <w:spacing w:line="360" w:lineRule="auto"/>
              <w:rPr>
                <w:rFonts w:hint="eastAsia" w:ascii="宋体" w:hAnsi="宋体"/>
                <w:sz w:val="24"/>
                <w:szCs w:val="22"/>
                <w:lang w:val="zh-CN"/>
              </w:rPr>
            </w:pPr>
          </w:p>
        </w:tc>
        <w:tc>
          <w:tcPr>
            <w:tcW w:w="2131" w:type="dxa"/>
          </w:tcPr>
          <w:p w14:paraId="351E3768">
            <w:pPr>
              <w:autoSpaceDE w:val="0"/>
              <w:autoSpaceDN w:val="0"/>
              <w:adjustRightInd w:val="0"/>
              <w:spacing w:line="360" w:lineRule="auto"/>
              <w:rPr>
                <w:rFonts w:hint="eastAsia" w:ascii="宋体" w:hAnsi="宋体"/>
                <w:sz w:val="24"/>
                <w:szCs w:val="22"/>
                <w:lang w:val="zh-CN"/>
              </w:rPr>
            </w:pPr>
          </w:p>
        </w:tc>
        <w:tc>
          <w:tcPr>
            <w:tcW w:w="1899" w:type="dxa"/>
          </w:tcPr>
          <w:p w14:paraId="634066F2">
            <w:pPr>
              <w:autoSpaceDE w:val="0"/>
              <w:autoSpaceDN w:val="0"/>
              <w:adjustRightInd w:val="0"/>
              <w:spacing w:line="360" w:lineRule="auto"/>
              <w:rPr>
                <w:rFonts w:hint="eastAsia" w:ascii="宋体" w:hAnsi="宋体"/>
                <w:sz w:val="24"/>
                <w:szCs w:val="22"/>
                <w:lang w:val="zh-CN"/>
              </w:rPr>
            </w:pPr>
          </w:p>
        </w:tc>
        <w:tc>
          <w:tcPr>
            <w:tcW w:w="1017" w:type="dxa"/>
          </w:tcPr>
          <w:p w14:paraId="38BA4DC5">
            <w:pPr>
              <w:autoSpaceDE w:val="0"/>
              <w:autoSpaceDN w:val="0"/>
              <w:adjustRightInd w:val="0"/>
              <w:spacing w:line="360" w:lineRule="auto"/>
              <w:rPr>
                <w:rFonts w:hint="eastAsia" w:ascii="宋体" w:hAnsi="宋体"/>
                <w:sz w:val="24"/>
                <w:szCs w:val="22"/>
                <w:lang w:val="zh-CN"/>
              </w:rPr>
            </w:pPr>
          </w:p>
        </w:tc>
      </w:tr>
      <w:tr w14:paraId="2DD7E9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jc w:val="center"/>
        </w:trPr>
        <w:tc>
          <w:tcPr>
            <w:tcW w:w="701" w:type="dxa"/>
          </w:tcPr>
          <w:p w14:paraId="4D2D2EC5">
            <w:pPr>
              <w:autoSpaceDE w:val="0"/>
              <w:autoSpaceDN w:val="0"/>
              <w:adjustRightInd w:val="0"/>
              <w:spacing w:line="360" w:lineRule="auto"/>
              <w:rPr>
                <w:rFonts w:hint="eastAsia" w:ascii="宋体" w:hAnsi="宋体"/>
                <w:sz w:val="24"/>
                <w:szCs w:val="22"/>
                <w:lang w:val="zh-CN"/>
              </w:rPr>
            </w:pPr>
          </w:p>
        </w:tc>
        <w:tc>
          <w:tcPr>
            <w:tcW w:w="1833" w:type="dxa"/>
          </w:tcPr>
          <w:p w14:paraId="59681A6D">
            <w:pPr>
              <w:autoSpaceDE w:val="0"/>
              <w:autoSpaceDN w:val="0"/>
              <w:adjustRightInd w:val="0"/>
              <w:spacing w:line="360" w:lineRule="auto"/>
              <w:rPr>
                <w:rFonts w:hint="eastAsia" w:ascii="宋体" w:hAnsi="宋体"/>
                <w:sz w:val="24"/>
                <w:szCs w:val="22"/>
                <w:lang w:val="zh-CN"/>
              </w:rPr>
            </w:pPr>
          </w:p>
        </w:tc>
        <w:tc>
          <w:tcPr>
            <w:tcW w:w="847" w:type="dxa"/>
          </w:tcPr>
          <w:p w14:paraId="09CA9FCB">
            <w:pPr>
              <w:autoSpaceDE w:val="0"/>
              <w:autoSpaceDN w:val="0"/>
              <w:adjustRightInd w:val="0"/>
              <w:spacing w:line="360" w:lineRule="auto"/>
              <w:rPr>
                <w:rFonts w:hint="eastAsia" w:ascii="宋体" w:hAnsi="宋体"/>
                <w:sz w:val="24"/>
                <w:szCs w:val="22"/>
                <w:lang w:val="zh-CN"/>
              </w:rPr>
            </w:pPr>
          </w:p>
        </w:tc>
        <w:tc>
          <w:tcPr>
            <w:tcW w:w="1006" w:type="dxa"/>
          </w:tcPr>
          <w:p w14:paraId="3D60DA34">
            <w:pPr>
              <w:autoSpaceDE w:val="0"/>
              <w:autoSpaceDN w:val="0"/>
              <w:adjustRightInd w:val="0"/>
              <w:spacing w:line="360" w:lineRule="auto"/>
              <w:rPr>
                <w:rFonts w:hint="eastAsia" w:ascii="宋体" w:hAnsi="宋体"/>
                <w:sz w:val="24"/>
                <w:szCs w:val="22"/>
                <w:lang w:val="zh-CN"/>
              </w:rPr>
            </w:pPr>
          </w:p>
        </w:tc>
        <w:tc>
          <w:tcPr>
            <w:tcW w:w="2131" w:type="dxa"/>
          </w:tcPr>
          <w:p w14:paraId="479FE437">
            <w:pPr>
              <w:autoSpaceDE w:val="0"/>
              <w:autoSpaceDN w:val="0"/>
              <w:adjustRightInd w:val="0"/>
              <w:spacing w:line="360" w:lineRule="auto"/>
              <w:rPr>
                <w:rFonts w:hint="eastAsia" w:ascii="宋体" w:hAnsi="宋体"/>
                <w:sz w:val="24"/>
                <w:szCs w:val="22"/>
                <w:lang w:val="zh-CN"/>
              </w:rPr>
            </w:pPr>
          </w:p>
        </w:tc>
        <w:tc>
          <w:tcPr>
            <w:tcW w:w="1899" w:type="dxa"/>
          </w:tcPr>
          <w:p w14:paraId="5C02FE53">
            <w:pPr>
              <w:autoSpaceDE w:val="0"/>
              <w:autoSpaceDN w:val="0"/>
              <w:adjustRightInd w:val="0"/>
              <w:spacing w:line="360" w:lineRule="auto"/>
              <w:rPr>
                <w:rFonts w:hint="eastAsia" w:ascii="宋体" w:hAnsi="宋体"/>
                <w:sz w:val="24"/>
                <w:szCs w:val="22"/>
                <w:lang w:val="zh-CN"/>
              </w:rPr>
            </w:pPr>
          </w:p>
        </w:tc>
        <w:tc>
          <w:tcPr>
            <w:tcW w:w="1017" w:type="dxa"/>
          </w:tcPr>
          <w:p w14:paraId="79E3A904">
            <w:pPr>
              <w:autoSpaceDE w:val="0"/>
              <w:autoSpaceDN w:val="0"/>
              <w:adjustRightInd w:val="0"/>
              <w:spacing w:line="360" w:lineRule="auto"/>
              <w:rPr>
                <w:rFonts w:hint="eastAsia" w:ascii="宋体" w:hAnsi="宋体"/>
                <w:sz w:val="24"/>
                <w:szCs w:val="22"/>
                <w:lang w:val="zh-CN"/>
              </w:rPr>
            </w:pPr>
          </w:p>
        </w:tc>
      </w:tr>
      <w:tr w14:paraId="54E93A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2" w:hRule="atLeast"/>
          <w:jc w:val="center"/>
        </w:trPr>
        <w:tc>
          <w:tcPr>
            <w:tcW w:w="701" w:type="dxa"/>
          </w:tcPr>
          <w:p w14:paraId="4F2F48C9">
            <w:pPr>
              <w:autoSpaceDE w:val="0"/>
              <w:autoSpaceDN w:val="0"/>
              <w:adjustRightInd w:val="0"/>
              <w:spacing w:line="360" w:lineRule="auto"/>
              <w:rPr>
                <w:rFonts w:hint="eastAsia" w:ascii="宋体" w:hAnsi="宋体"/>
                <w:sz w:val="24"/>
                <w:szCs w:val="22"/>
                <w:lang w:val="zh-CN"/>
              </w:rPr>
            </w:pPr>
          </w:p>
        </w:tc>
        <w:tc>
          <w:tcPr>
            <w:tcW w:w="1833" w:type="dxa"/>
          </w:tcPr>
          <w:p w14:paraId="64081F48">
            <w:pPr>
              <w:autoSpaceDE w:val="0"/>
              <w:autoSpaceDN w:val="0"/>
              <w:adjustRightInd w:val="0"/>
              <w:spacing w:line="360" w:lineRule="auto"/>
              <w:rPr>
                <w:rFonts w:hint="eastAsia" w:ascii="宋体" w:hAnsi="宋体"/>
                <w:sz w:val="24"/>
                <w:szCs w:val="22"/>
                <w:lang w:val="zh-CN"/>
              </w:rPr>
            </w:pPr>
          </w:p>
        </w:tc>
        <w:tc>
          <w:tcPr>
            <w:tcW w:w="847" w:type="dxa"/>
          </w:tcPr>
          <w:p w14:paraId="26A50C50">
            <w:pPr>
              <w:autoSpaceDE w:val="0"/>
              <w:autoSpaceDN w:val="0"/>
              <w:adjustRightInd w:val="0"/>
              <w:spacing w:line="360" w:lineRule="auto"/>
              <w:rPr>
                <w:rFonts w:hint="eastAsia" w:ascii="宋体" w:hAnsi="宋体"/>
                <w:sz w:val="24"/>
                <w:szCs w:val="22"/>
                <w:lang w:val="zh-CN"/>
              </w:rPr>
            </w:pPr>
          </w:p>
        </w:tc>
        <w:tc>
          <w:tcPr>
            <w:tcW w:w="1006" w:type="dxa"/>
          </w:tcPr>
          <w:p w14:paraId="24D615E8">
            <w:pPr>
              <w:autoSpaceDE w:val="0"/>
              <w:autoSpaceDN w:val="0"/>
              <w:adjustRightInd w:val="0"/>
              <w:spacing w:line="360" w:lineRule="auto"/>
              <w:rPr>
                <w:rFonts w:hint="eastAsia" w:ascii="宋体" w:hAnsi="宋体"/>
                <w:sz w:val="24"/>
                <w:szCs w:val="22"/>
                <w:lang w:val="zh-CN"/>
              </w:rPr>
            </w:pPr>
          </w:p>
        </w:tc>
        <w:tc>
          <w:tcPr>
            <w:tcW w:w="2131" w:type="dxa"/>
          </w:tcPr>
          <w:p w14:paraId="44132BA4">
            <w:pPr>
              <w:autoSpaceDE w:val="0"/>
              <w:autoSpaceDN w:val="0"/>
              <w:adjustRightInd w:val="0"/>
              <w:spacing w:line="360" w:lineRule="auto"/>
              <w:rPr>
                <w:rFonts w:hint="eastAsia" w:ascii="宋体" w:hAnsi="宋体"/>
                <w:sz w:val="24"/>
                <w:szCs w:val="22"/>
                <w:lang w:val="zh-CN"/>
              </w:rPr>
            </w:pPr>
          </w:p>
        </w:tc>
        <w:tc>
          <w:tcPr>
            <w:tcW w:w="1899" w:type="dxa"/>
          </w:tcPr>
          <w:p w14:paraId="2E7DFB8F">
            <w:pPr>
              <w:autoSpaceDE w:val="0"/>
              <w:autoSpaceDN w:val="0"/>
              <w:adjustRightInd w:val="0"/>
              <w:spacing w:line="360" w:lineRule="auto"/>
              <w:rPr>
                <w:rFonts w:hint="eastAsia" w:ascii="宋体" w:hAnsi="宋体"/>
                <w:sz w:val="24"/>
                <w:szCs w:val="22"/>
                <w:lang w:val="zh-CN"/>
              </w:rPr>
            </w:pPr>
          </w:p>
        </w:tc>
        <w:tc>
          <w:tcPr>
            <w:tcW w:w="1017" w:type="dxa"/>
          </w:tcPr>
          <w:p w14:paraId="322873A4">
            <w:pPr>
              <w:autoSpaceDE w:val="0"/>
              <w:autoSpaceDN w:val="0"/>
              <w:adjustRightInd w:val="0"/>
              <w:spacing w:line="360" w:lineRule="auto"/>
              <w:rPr>
                <w:rFonts w:hint="eastAsia" w:ascii="宋体" w:hAnsi="宋体"/>
                <w:sz w:val="24"/>
                <w:szCs w:val="22"/>
                <w:lang w:val="zh-CN"/>
              </w:rPr>
            </w:pPr>
          </w:p>
        </w:tc>
      </w:tr>
      <w:tr w14:paraId="7C8C79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jc w:val="center"/>
        </w:trPr>
        <w:tc>
          <w:tcPr>
            <w:tcW w:w="701" w:type="dxa"/>
          </w:tcPr>
          <w:p w14:paraId="12759412">
            <w:pPr>
              <w:autoSpaceDE w:val="0"/>
              <w:autoSpaceDN w:val="0"/>
              <w:adjustRightInd w:val="0"/>
              <w:spacing w:line="360" w:lineRule="auto"/>
              <w:rPr>
                <w:rFonts w:hint="eastAsia" w:ascii="宋体" w:hAnsi="宋体"/>
                <w:sz w:val="24"/>
                <w:szCs w:val="22"/>
                <w:lang w:val="zh-CN"/>
              </w:rPr>
            </w:pPr>
          </w:p>
        </w:tc>
        <w:tc>
          <w:tcPr>
            <w:tcW w:w="1833" w:type="dxa"/>
          </w:tcPr>
          <w:p w14:paraId="43BE3508">
            <w:pPr>
              <w:autoSpaceDE w:val="0"/>
              <w:autoSpaceDN w:val="0"/>
              <w:adjustRightInd w:val="0"/>
              <w:spacing w:line="360" w:lineRule="auto"/>
              <w:rPr>
                <w:rFonts w:hint="eastAsia" w:ascii="宋体" w:hAnsi="宋体"/>
                <w:sz w:val="24"/>
                <w:szCs w:val="22"/>
                <w:lang w:val="zh-CN"/>
              </w:rPr>
            </w:pPr>
          </w:p>
        </w:tc>
        <w:tc>
          <w:tcPr>
            <w:tcW w:w="847" w:type="dxa"/>
          </w:tcPr>
          <w:p w14:paraId="73053A1C">
            <w:pPr>
              <w:autoSpaceDE w:val="0"/>
              <w:autoSpaceDN w:val="0"/>
              <w:adjustRightInd w:val="0"/>
              <w:spacing w:line="360" w:lineRule="auto"/>
              <w:rPr>
                <w:rFonts w:hint="eastAsia" w:ascii="宋体" w:hAnsi="宋体"/>
                <w:sz w:val="24"/>
                <w:szCs w:val="22"/>
                <w:lang w:val="zh-CN"/>
              </w:rPr>
            </w:pPr>
          </w:p>
        </w:tc>
        <w:tc>
          <w:tcPr>
            <w:tcW w:w="1006" w:type="dxa"/>
          </w:tcPr>
          <w:p w14:paraId="2A934BF2">
            <w:pPr>
              <w:autoSpaceDE w:val="0"/>
              <w:autoSpaceDN w:val="0"/>
              <w:adjustRightInd w:val="0"/>
              <w:spacing w:line="360" w:lineRule="auto"/>
              <w:rPr>
                <w:rFonts w:hint="eastAsia" w:ascii="宋体" w:hAnsi="宋体"/>
                <w:sz w:val="24"/>
                <w:szCs w:val="22"/>
                <w:lang w:val="zh-CN"/>
              </w:rPr>
            </w:pPr>
          </w:p>
        </w:tc>
        <w:tc>
          <w:tcPr>
            <w:tcW w:w="2131" w:type="dxa"/>
          </w:tcPr>
          <w:p w14:paraId="6FD53B7B">
            <w:pPr>
              <w:autoSpaceDE w:val="0"/>
              <w:autoSpaceDN w:val="0"/>
              <w:adjustRightInd w:val="0"/>
              <w:spacing w:line="360" w:lineRule="auto"/>
              <w:rPr>
                <w:rFonts w:hint="eastAsia" w:ascii="宋体" w:hAnsi="宋体"/>
                <w:sz w:val="24"/>
                <w:szCs w:val="22"/>
                <w:lang w:val="zh-CN"/>
              </w:rPr>
            </w:pPr>
          </w:p>
        </w:tc>
        <w:tc>
          <w:tcPr>
            <w:tcW w:w="1899" w:type="dxa"/>
          </w:tcPr>
          <w:p w14:paraId="6257E334">
            <w:pPr>
              <w:autoSpaceDE w:val="0"/>
              <w:autoSpaceDN w:val="0"/>
              <w:adjustRightInd w:val="0"/>
              <w:spacing w:line="360" w:lineRule="auto"/>
              <w:rPr>
                <w:rFonts w:hint="eastAsia" w:ascii="宋体" w:hAnsi="宋体"/>
                <w:sz w:val="24"/>
                <w:szCs w:val="22"/>
                <w:lang w:val="zh-CN"/>
              </w:rPr>
            </w:pPr>
          </w:p>
        </w:tc>
        <w:tc>
          <w:tcPr>
            <w:tcW w:w="1017" w:type="dxa"/>
          </w:tcPr>
          <w:p w14:paraId="60B4361A">
            <w:pPr>
              <w:autoSpaceDE w:val="0"/>
              <w:autoSpaceDN w:val="0"/>
              <w:adjustRightInd w:val="0"/>
              <w:spacing w:line="360" w:lineRule="auto"/>
              <w:rPr>
                <w:rFonts w:hint="eastAsia" w:ascii="宋体" w:hAnsi="宋体"/>
                <w:sz w:val="24"/>
                <w:szCs w:val="22"/>
                <w:lang w:val="zh-CN"/>
              </w:rPr>
            </w:pPr>
          </w:p>
        </w:tc>
      </w:tr>
      <w:tr w14:paraId="1CAAA2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2" w:hRule="atLeast"/>
          <w:jc w:val="center"/>
        </w:trPr>
        <w:tc>
          <w:tcPr>
            <w:tcW w:w="701" w:type="dxa"/>
          </w:tcPr>
          <w:p w14:paraId="340DFB36">
            <w:pPr>
              <w:autoSpaceDE w:val="0"/>
              <w:autoSpaceDN w:val="0"/>
              <w:adjustRightInd w:val="0"/>
              <w:spacing w:line="360" w:lineRule="auto"/>
              <w:rPr>
                <w:rFonts w:hint="eastAsia" w:ascii="宋体" w:hAnsi="宋体"/>
                <w:sz w:val="24"/>
                <w:szCs w:val="22"/>
                <w:lang w:val="zh-CN"/>
              </w:rPr>
            </w:pPr>
          </w:p>
        </w:tc>
        <w:tc>
          <w:tcPr>
            <w:tcW w:w="1833" w:type="dxa"/>
          </w:tcPr>
          <w:p w14:paraId="176B25B4">
            <w:pPr>
              <w:autoSpaceDE w:val="0"/>
              <w:autoSpaceDN w:val="0"/>
              <w:adjustRightInd w:val="0"/>
              <w:spacing w:line="360" w:lineRule="auto"/>
              <w:rPr>
                <w:rFonts w:hint="eastAsia" w:ascii="宋体" w:hAnsi="宋体"/>
                <w:sz w:val="24"/>
                <w:szCs w:val="22"/>
                <w:lang w:val="zh-CN"/>
              </w:rPr>
            </w:pPr>
          </w:p>
        </w:tc>
        <w:tc>
          <w:tcPr>
            <w:tcW w:w="847" w:type="dxa"/>
          </w:tcPr>
          <w:p w14:paraId="04923120">
            <w:pPr>
              <w:autoSpaceDE w:val="0"/>
              <w:autoSpaceDN w:val="0"/>
              <w:adjustRightInd w:val="0"/>
              <w:spacing w:line="360" w:lineRule="auto"/>
              <w:rPr>
                <w:rFonts w:hint="eastAsia" w:ascii="宋体" w:hAnsi="宋体"/>
                <w:sz w:val="24"/>
                <w:szCs w:val="22"/>
                <w:lang w:val="zh-CN"/>
              </w:rPr>
            </w:pPr>
          </w:p>
        </w:tc>
        <w:tc>
          <w:tcPr>
            <w:tcW w:w="1006" w:type="dxa"/>
          </w:tcPr>
          <w:p w14:paraId="77735E15">
            <w:pPr>
              <w:autoSpaceDE w:val="0"/>
              <w:autoSpaceDN w:val="0"/>
              <w:adjustRightInd w:val="0"/>
              <w:spacing w:line="360" w:lineRule="auto"/>
              <w:rPr>
                <w:rFonts w:hint="eastAsia" w:ascii="宋体" w:hAnsi="宋体"/>
                <w:sz w:val="24"/>
                <w:szCs w:val="22"/>
                <w:lang w:val="zh-CN"/>
              </w:rPr>
            </w:pPr>
          </w:p>
        </w:tc>
        <w:tc>
          <w:tcPr>
            <w:tcW w:w="2131" w:type="dxa"/>
          </w:tcPr>
          <w:p w14:paraId="1FED3415">
            <w:pPr>
              <w:autoSpaceDE w:val="0"/>
              <w:autoSpaceDN w:val="0"/>
              <w:adjustRightInd w:val="0"/>
              <w:spacing w:line="360" w:lineRule="auto"/>
              <w:rPr>
                <w:rFonts w:hint="eastAsia" w:ascii="宋体" w:hAnsi="宋体"/>
                <w:sz w:val="24"/>
                <w:szCs w:val="22"/>
                <w:lang w:val="zh-CN"/>
              </w:rPr>
            </w:pPr>
          </w:p>
        </w:tc>
        <w:tc>
          <w:tcPr>
            <w:tcW w:w="1899" w:type="dxa"/>
          </w:tcPr>
          <w:p w14:paraId="69F3C532">
            <w:pPr>
              <w:autoSpaceDE w:val="0"/>
              <w:autoSpaceDN w:val="0"/>
              <w:adjustRightInd w:val="0"/>
              <w:spacing w:line="360" w:lineRule="auto"/>
              <w:rPr>
                <w:rFonts w:hint="eastAsia" w:ascii="宋体" w:hAnsi="宋体"/>
                <w:sz w:val="24"/>
                <w:szCs w:val="22"/>
                <w:lang w:val="zh-CN"/>
              </w:rPr>
            </w:pPr>
          </w:p>
        </w:tc>
        <w:tc>
          <w:tcPr>
            <w:tcW w:w="1017" w:type="dxa"/>
          </w:tcPr>
          <w:p w14:paraId="47E0F883">
            <w:pPr>
              <w:autoSpaceDE w:val="0"/>
              <w:autoSpaceDN w:val="0"/>
              <w:adjustRightInd w:val="0"/>
              <w:spacing w:line="360" w:lineRule="auto"/>
              <w:rPr>
                <w:rFonts w:hint="eastAsia" w:ascii="宋体" w:hAnsi="宋体"/>
                <w:sz w:val="24"/>
                <w:szCs w:val="22"/>
                <w:lang w:val="zh-CN"/>
              </w:rPr>
            </w:pPr>
          </w:p>
        </w:tc>
      </w:tr>
    </w:tbl>
    <w:p w14:paraId="591FDB06">
      <w:pPr>
        <w:autoSpaceDE w:val="0"/>
        <w:autoSpaceDN w:val="0"/>
        <w:adjustRightInd w:val="0"/>
        <w:spacing w:line="360" w:lineRule="auto"/>
        <w:rPr>
          <w:rFonts w:hint="eastAsia" w:ascii="宋体" w:hAnsi="宋体"/>
          <w:sz w:val="24"/>
          <w:lang w:val="zh-CN"/>
        </w:rPr>
      </w:pPr>
    </w:p>
    <w:p w14:paraId="36226A98">
      <w:pPr>
        <w:autoSpaceDE w:val="0"/>
        <w:autoSpaceDN w:val="0"/>
        <w:adjustRightInd w:val="0"/>
        <w:spacing w:line="360" w:lineRule="auto"/>
        <w:rPr>
          <w:rFonts w:hint="eastAsia" w:ascii="宋体" w:hAnsi="宋体"/>
          <w:sz w:val="24"/>
          <w:lang w:val="zh-CN"/>
        </w:rPr>
      </w:pPr>
      <w:r>
        <w:rPr>
          <w:rFonts w:hint="eastAsia" w:ascii="宋体" w:hAnsi="宋体"/>
          <w:sz w:val="24"/>
          <w:lang w:val="zh-CN"/>
        </w:rPr>
        <w:t>说明：如果行数不够，请自行增加。</w:t>
      </w:r>
    </w:p>
    <w:p w14:paraId="616014E5">
      <w:pPr>
        <w:autoSpaceDE w:val="0"/>
        <w:autoSpaceDN w:val="0"/>
        <w:adjustRightInd w:val="0"/>
        <w:spacing w:line="360" w:lineRule="auto"/>
        <w:rPr>
          <w:rFonts w:hint="eastAsia" w:ascii="宋体" w:hAnsi="宋体"/>
          <w:sz w:val="24"/>
          <w:lang w:val="zh-CN"/>
        </w:rPr>
      </w:pPr>
      <w:r>
        <w:rPr>
          <w:rFonts w:hint="eastAsia" w:ascii="宋体" w:hAnsi="宋体"/>
          <w:sz w:val="24"/>
          <w:lang w:val="zh-CN"/>
        </w:rPr>
        <w:t>供应商名称：</w:t>
      </w:r>
      <w:r>
        <w:rPr>
          <w:rFonts w:ascii="宋体" w:hAnsi="宋体"/>
          <w:sz w:val="24"/>
          <w:u w:val="single"/>
          <w:lang w:val="zh-CN"/>
        </w:rPr>
        <w:t xml:space="preserve">                                                    </w:t>
      </w:r>
      <w:r>
        <w:rPr>
          <w:rFonts w:hint="eastAsia" w:ascii="宋体" w:hAnsi="宋体"/>
          <w:sz w:val="24"/>
          <w:lang w:val="zh-CN"/>
        </w:rPr>
        <w:t>（公章）</w:t>
      </w:r>
    </w:p>
    <w:p w14:paraId="3E0E8090">
      <w:pPr>
        <w:spacing w:line="360" w:lineRule="auto"/>
        <w:jc w:val="center"/>
        <w:rPr>
          <w:rFonts w:hint="eastAsia" w:ascii="黑体" w:hAnsi="黑体" w:eastAsia="黑体"/>
          <w:b/>
          <w:sz w:val="32"/>
          <w:szCs w:val="32"/>
        </w:rPr>
      </w:pPr>
      <w:r>
        <w:rPr>
          <w:rFonts w:ascii="宋体" w:hAnsi="宋体" w:cs="宋体"/>
          <w:b/>
          <w:sz w:val="44"/>
        </w:rPr>
        <w:br w:type="page"/>
      </w:r>
      <w:r>
        <w:rPr>
          <w:rFonts w:hint="eastAsia" w:ascii="黑体" w:hAnsi="黑体" w:eastAsia="黑体"/>
          <w:b/>
          <w:sz w:val="32"/>
          <w:szCs w:val="32"/>
        </w:rPr>
        <w:t>六</w:t>
      </w:r>
      <w:r>
        <w:rPr>
          <w:rFonts w:ascii="黑体" w:hAnsi="黑体" w:eastAsia="黑体"/>
          <w:b/>
          <w:sz w:val="32"/>
          <w:szCs w:val="32"/>
        </w:rPr>
        <w:t>、技术</w:t>
      </w:r>
      <w:r>
        <w:rPr>
          <w:rFonts w:hint="eastAsia" w:ascii="黑体" w:hAnsi="黑体" w:eastAsia="黑体"/>
          <w:b/>
          <w:sz w:val="32"/>
          <w:szCs w:val="32"/>
        </w:rPr>
        <w:t>（</w:t>
      </w:r>
      <w:r>
        <w:rPr>
          <w:rFonts w:ascii="黑体" w:hAnsi="黑体" w:eastAsia="黑体"/>
          <w:b/>
          <w:sz w:val="32"/>
          <w:szCs w:val="32"/>
        </w:rPr>
        <w:t>服务</w:t>
      </w:r>
      <w:r>
        <w:rPr>
          <w:rFonts w:hint="eastAsia" w:ascii="黑体" w:hAnsi="黑体" w:eastAsia="黑体"/>
          <w:b/>
          <w:sz w:val="32"/>
          <w:szCs w:val="32"/>
        </w:rPr>
        <w:t>）</w:t>
      </w:r>
      <w:r>
        <w:rPr>
          <w:rFonts w:ascii="黑体" w:hAnsi="黑体" w:eastAsia="黑体"/>
          <w:b/>
          <w:sz w:val="32"/>
          <w:szCs w:val="32"/>
        </w:rPr>
        <w:t>条款</w:t>
      </w:r>
      <w:r>
        <w:rPr>
          <w:rFonts w:hint="eastAsia" w:ascii="黑体" w:hAnsi="黑体" w:eastAsia="黑体"/>
          <w:b/>
          <w:sz w:val="32"/>
          <w:szCs w:val="32"/>
        </w:rPr>
        <w:t>响应及</w:t>
      </w:r>
      <w:r>
        <w:rPr>
          <w:rFonts w:ascii="黑体" w:hAnsi="黑体" w:eastAsia="黑体"/>
          <w:b/>
          <w:sz w:val="32"/>
          <w:szCs w:val="32"/>
        </w:rPr>
        <w:t>偏离表</w:t>
      </w:r>
    </w:p>
    <w:p w14:paraId="4D66F951">
      <w:pPr>
        <w:spacing w:line="360" w:lineRule="auto"/>
        <w:ind w:firstLine="420"/>
        <w:rPr>
          <w:rFonts w:hint="eastAsia" w:ascii="宋体" w:hAnsi="宋体"/>
          <w:color w:val="000000"/>
          <w:sz w:val="24"/>
          <w:szCs w:val="20"/>
        </w:rPr>
      </w:pPr>
    </w:p>
    <w:tbl>
      <w:tblPr>
        <w:tblStyle w:val="41"/>
        <w:tblW w:w="10450" w:type="dxa"/>
        <w:jc w:val="center"/>
        <w:tblLayout w:type="fixed"/>
        <w:tblCellMar>
          <w:top w:w="0" w:type="dxa"/>
          <w:left w:w="10" w:type="dxa"/>
          <w:bottom w:w="0" w:type="dxa"/>
          <w:right w:w="10" w:type="dxa"/>
        </w:tblCellMar>
      </w:tblPr>
      <w:tblGrid>
        <w:gridCol w:w="665"/>
        <w:gridCol w:w="1781"/>
        <w:gridCol w:w="2634"/>
        <w:gridCol w:w="2508"/>
        <w:gridCol w:w="1824"/>
        <w:gridCol w:w="1038"/>
      </w:tblGrid>
      <w:tr w14:paraId="4CCE0893">
        <w:tblPrEx>
          <w:tblCellMar>
            <w:top w:w="0" w:type="dxa"/>
            <w:left w:w="10" w:type="dxa"/>
            <w:bottom w:w="0" w:type="dxa"/>
            <w:right w:w="10" w:type="dxa"/>
          </w:tblCellMar>
        </w:tblPrEx>
        <w:trPr>
          <w:trHeight w:val="284" w:hRule="atLeast"/>
          <w:jc w:val="center"/>
        </w:trPr>
        <w:tc>
          <w:tcPr>
            <w:tcW w:w="10450" w:type="dxa"/>
            <w:gridSpan w:val="6"/>
            <w:tcBorders>
              <w:bottom w:val="single" w:color="auto" w:sz="6" w:space="0"/>
            </w:tcBorders>
            <w:vAlign w:val="center"/>
          </w:tcPr>
          <w:p w14:paraId="02776C93">
            <w:pPr>
              <w:autoSpaceDE w:val="0"/>
              <w:autoSpaceDN w:val="0"/>
              <w:adjustRightInd w:val="0"/>
              <w:spacing w:line="360" w:lineRule="auto"/>
              <w:jc w:val="left"/>
              <w:rPr>
                <w:rFonts w:hint="eastAsia" w:ascii="宋体" w:hAnsi="宋体"/>
                <w:sz w:val="24"/>
                <w:lang w:val="zh-CN"/>
              </w:rPr>
            </w:pPr>
            <w:r>
              <w:rPr>
                <w:rFonts w:hint="eastAsia" w:ascii="宋体" w:hAnsi="宋体"/>
                <w:sz w:val="24"/>
                <w:lang w:val="zh-CN"/>
              </w:rPr>
              <w:t>项目名称：</w:t>
            </w:r>
          </w:p>
          <w:p w14:paraId="3A8CF634">
            <w:pPr>
              <w:autoSpaceDE w:val="0"/>
              <w:autoSpaceDN w:val="0"/>
              <w:adjustRightInd w:val="0"/>
              <w:spacing w:line="360" w:lineRule="auto"/>
              <w:jc w:val="left"/>
              <w:rPr>
                <w:rFonts w:hint="eastAsia" w:ascii="宋体" w:hAnsi="宋体"/>
                <w:sz w:val="24"/>
              </w:rPr>
            </w:pPr>
            <w:r>
              <w:rPr>
                <w:rFonts w:hint="eastAsia" w:ascii="宋体" w:hAnsi="宋体"/>
                <w:sz w:val="24"/>
                <w:lang w:val="zh-CN"/>
              </w:rPr>
              <w:t xml:space="preserve">项目编号： </w:t>
            </w:r>
            <w:r>
              <w:rPr>
                <w:rFonts w:ascii="宋体" w:hAnsi="宋体"/>
                <w:sz w:val="24"/>
                <w:lang w:val="zh-CN"/>
              </w:rPr>
              <w:t xml:space="preserve">                   </w:t>
            </w:r>
            <w:r>
              <w:rPr>
                <w:rFonts w:hint="eastAsia" w:ascii="宋体" w:hAnsi="宋体"/>
                <w:sz w:val="24"/>
              </w:rPr>
              <w:t xml:space="preserve">                                   </w:t>
            </w:r>
          </w:p>
        </w:tc>
      </w:tr>
      <w:tr w14:paraId="02DA1B0A">
        <w:tblPrEx>
          <w:tblCellMar>
            <w:top w:w="0" w:type="dxa"/>
            <w:left w:w="10" w:type="dxa"/>
            <w:bottom w:w="0" w:type="dxa"/>
            <w:right w:w="10" w:type="dxa"/>
          </w:tblCellMar>
        </w:tblPrEx>
        <w:trPr>
          <w:trHeight w:val="284" w:hRule="atLeast"/>
          <w:jc w:val="center"/>
        </w:trPr>
        <w:tc>
          <w:tcPr>
            <w:tcW w:w="665" w:type="dxa"/>
            <w:tcBorders>
              <w:top w:val="single" w:color="auto" w:sz="6" w:space="0"/>
              <w:left w:val="single" w:color="auto" w:sz="6" w:space="0"/>
              <w:bottom w:val="single" w:color="auto" w:sz="6" w:space="0"/>
              <w:right w:val="single" w:color="auto" w:sz="6" w:space="0"/>
            </w:tcBorders>
            <w:vAlign w:val="center"/>
          </w:tcPr>
          <w:p w14:paraId="172BDE86">
            <w:pPr>
              <w:autoSpaceDE w:val="0"/>
              <w:autoSpaceDN w:val="0"/>
              <w:adjustRightInd w:val="0"/>
              <w:spacing w:line="360" w:lineRule="auto"/>
              <w:jc w:val="center"/>
              <w:rPr>
                <w:rFonts w:hint="eastAsia" w:ascii="宋体" w:hAnsi="宋体"/>
                <w:sz w:val="24"/>
                <w:lang w:val="zh-CN"/>
              </w:rPr>
            </w:pPr>
            <w:r>
              <w:rPr>
                <w:rFonts w:hint="eastAsia" w:ascii="宋体" w:hAnsi="宋体"/>
                <w:sz w:val="24"/>
                <w:lang w:val="zh-CN"/>
              </w:rPr>
              <w:t>序号</w:t>
            </w:r>
          </w:p>
        </w:tc>
        <w:tc>
          <w:tcPr>
            <w:tcW w:w="1781" w:type="dxa"/>
            <w:tcBorders>
              <w:top w:val="single" w:color="auto" w:sz="6" w:space="0"/>
              <w:left w:val="single" w:color="auto" w:sz="6" w:space="0"/>
              <w:bottom w:val="single" w:color="auto" w:sz="6" w:space="0"/>
              <w:right w:val="single" w:color="auto" w:sz="6" w:space="0"/>
            </w:tcBorders>
            <w:vAlign w:val="center"/>
          </w:tcPr>
          <w:p w14:paraId="09047C78">
            <w:pPr>
              <w:autoSpaceDE w:val="0"/>
              <w:autoSpaceDN w:val="0"/>
              <w:adjustRightInd w:val="0"/>
              <w:spacing w:line="360" w:lineRule="auto"/>
              <w:jc w:val="center"/>
              <w:rPr>
                <w:rFonts w:hint="eastAsia" w:ascii="宋体" w:hAnsi="宋体"/>
                <w:sz w:val="24"/>
                <w:lang w:val="zh-CN"/>
              </w:rPr>
            </w:pPr>
            <w:r>
              <w:rPr>
                <w:rFonts w:hint="eastAsia" w:ascii="宋体" w:hAnsi="宋体"/>
                <w:sz w:val="24"/>
                <w:lang w:val="zh-CN"/>
              </w:rPr>
              <w:t>采购文件条目号</w:t>
            </w:r>
          </w:p>
        </w:tc>
        <w:tc>
          <w:tcPr>
            <w:tcW w:w="2634" w:type="dxa"/>
            <w:tcBorders>
              <w:top w:val="single" w:color="auto" w:sz="6" w:space="0"/>
              <w:left w:val="single" w:color="auto" w:sz="6" w:space="0"/>
              <w:bottom w:val="single" w:color="auto" w:sz="6" w:space="0"/>
              <w:right w:val="single" w:color="auto" w:sz="6" w:space="0"/>
            </w:tcBorders>
            <w:vAlign w:val="center"/>
          </w:tcPr>
          <w:p w14:paraId="0C27CD81">
            <w:pPr>
              <w:autoSpaceDE w:val="0"/>
              <w:autoSpaceDN w:val="0"/>
              <w:adjustRightInd w:val="0"/>
              <w:spacing w:line="360" w:lineRule="auto"/>
              <w:jc w:val="center"/>
              <w:rPr>
                <w:rFonts w:hint="eastAsia" w:ascii="宋体" w:hAnsi="宋体"/>
                <w:sz w:val="24"/>
                <w:lang w:val="zh-CN"/>
              </w:rPr>
            </w:pPr>
            <w:r>
              <w:rPr>
                <w:rFonts w:hint="eastAsia" w:ascii="宋体" w:hAnsi="宋体"/>
                <w:sz w:val="24"/>
                <w:lang w:val="zh-CN"/>
              </w:rPr>
              <w:t>采购文件要求的技术、</w:t>
            </w:r>
            <w:r>
              <w:rPr>
                <w:rFonts w:hint="eastAsia" w:ascii="宋体" w:hAnsi="宋体"/>
                <w:sz w:val="24"/>
              </w:rPr>
              <w:t>服务</w:t>
            </w:r>
            <w:r>
              <w:rPr>
                <w:rFonts w:hint="eastAsia" w:ascii="宋体" w:hAnsi="宋体"/>
                <w:sz w:val="24"/>
                <w:lang w:val="zh-CN"/>
              </w:rPr>
              <w:t>条款</w:t>
            </w:r>
          </w:p>
        </w:tc>
        <w:tc>
          <w:tcPr>
            <w:tcW w:w="2508" w:type="dxa"/>
            <w:tcBorders>
              <w:top w:val="single" w:color="auto" w:sz="6" w:space="0"/>
              <w:left w:val="single" w:color="auto" w:sz="6" w:space="0"/>
              <w:bottom w:val="single" w:color="auto" w:sz="6" w:space="0"/>
              <w:right w:val="single" w:color="auto" w:sz="6" w:space="0"/>
            </w:tcBorders>
            <w:vAlign w:val="center"/>
          </w:tcPr>
          <w:p w14:paraId="6E039365">
            <w:pPr>
              <w:autoSpaceDE w:val="0"/>
              <w:autoSpaceDN w:val="0"/>
              <w:adjustRightInd w:val="0"/>
              <w:spacing w:line="360" w:lineRule="auto"/>
              <w:jc w:val="center"/>
              <w:rPr>
                <w:rFonts w:hint="eastAsia" w:ascii="宋体" w:hAnsi="宋体"/>
                <w:sz w:val="24"/>
                <w:lang w:val="zh-CN"/>
              </w:rPr>
            </w:pPr>
            <w:r>
              <w:rPr>
                <w:rFonts w:hint="eastAsia" w:ascii="宋体" w:hAnsi="宋体"/>
                <w:sz w:val="24"/>
                <w:lang w:val="zh-CN"/>
              </w:rPr>
              <w:t>磋商响应内容</w:t>
            </w:r>
          </w:p>
        </w:tc>
        <w:tc>
          <w:tcPr>
            <w:tcW w:w="1824" w:type="dxa"/>
            <w:tcBorders>
              <w:top w:val="single" w:color="auto" w:sz="6" w:space="0"/>
              <w:left w:val="single" w:color="auto" w:sz="6" w:space="0"/>
              <w:bottom w:val="single" w:color="auto" w:sz="6" w:space="0"/>
              <w:right w:val="single" w:color="auto" w:sz="6" w:space="0"/>
            </w:tcBorders>
          </w:tcPr>
          <w:p w14:paraId="1A3A791D">
            <w:pPr>
              <w:autoSpaceDE w:val="0"/>
              <w:autoSpaceDN w:val="0"/>
              <w:adjustRightInd w:val="0"/>
              <w:spacing w:line="360" w:lineRule="auto"/>
              <w:rPr>
                <w:rFonts w:hint="eastAsia" w:ascii="宋体" w:hAnsi="宋体"/>
                <w:sz w:val="24"/>
                <w:lang w:val="zh-CN"/>
              </w:rPr>
            </w:pPr>
            <w:r>
              <w:rPr>
                <w:rFonts w:hint="eastAsia" w:ascii="宋体" w:hAnsi="宋体"/>
                <w:sz w:val="24"/>
                <w:lang w:val="zh-CN"/>
              </w:rPr>
              <w:t>证明材料在响应文件中的页码</w:t>
            </w:r>
          </w:p>
        </w:tc>
        <w:tc>
          <w:tcPr>
            <w:tcW w:w="1038" w:type="dxa"/>
            <w:tcBorders>
              <w:top w:val="single" w:color="auto" w:sz="6" w:space="0"/>
              <w:left w:val="single" w:color="auto" w:sz="6" w:space="0"/>
              <w:bottom w:val="single" w:color="auto" w:sz="6" w:space="0"/>
              <w:right w:val="single" w:color="auto" w:sz="6" w:space="0"/>
            </w:tcBorders>
            <w:vAlign w:val="center"/>
          </w:tcPr>
          <w:p w14:paraId="504504E8">
            <w:pPr>
              <w:autoSpaceDE w:val="0"/>
              <w:autoSpaceDN w:val="0"/>
              <w:adjustRightInd w:val="0"/>
              <w:spacing w:line="360" w:lineRule="auto"/>
              <w:jc w:val="center"/>
              <w:rPr>
                <w:rFonts w:hint="eastAsia" w:ascii="宋体" w:hAnsi="宋体"/>
                <w:sz w:val="24"/>
                <w:lang w:val="zh-CN"/>
              </w:rPr>
            </w:pPr>
            <w:r>
              <w:rPr>
                <w:rFonts w:hint="eastAsia" w:ascii="宋体" w:hAnsi="宋体"/>
                <w:sz w:val="24"/>
                <w:lang w:val="zh-CN"/>
              </w:rPr>
              <w:t>偏离说明</w:t>
            </w:r>
          </w:p>
        </w:tc>
      </w:tr>
      <w:tr w14:paraId="739ECA7C">
        <w:tblPrEx>
          <w:tblCellMar>
            <w:top w:w="0" w:type="dxa"/>
            <w:left w:w="10" w:type="dxa"/>
            <w:bottom w:w="0" w:type="dxa"/>
            <w:right w:w="10" w:type="dxa"/>
          </w:tblCellMar>
        </w:tblPrEx>
        <w:trPr>
          <w:trHeight w:val="284" w:hRule="atLeast"/>
          <w:jc w:val="center"/>
        </w:trPr>
        <w:tc>
          <w:tcPr>
            <w:tcW w:w="665" w:type="dxa"/>
            <w:tcBorders>
              <w:top w:val="single" w:color="auto" w:sz="6" w:space="0"/>
              <w:left w:val="single" w:color="auto" w:sz="6" w:space="0"/>
              <w:bottom w:val="single" w:color="auto" w:sz="6" w:space="0"/>
              <w:right w:val="single" w:color="auto" w:sz="6" w:space="0"/>
            </w:tcBorders>
            <w:vAlign w:val="center"/>
          </w:tcPr>
          <w:p w14:paraId="044C118C">
            <w:pPr>
              <w:autoSpaceDE w:val="0"/>
              <w:autoSpaceDN w:val="0"/>
              <w:adjustRightInd w:val="0"/>
              <w:spacing w:line="360" w:lineRule="auto"/>
              <w:jc w:val="center"/>
              <w:rPr>
                <w:rFonts w:hint="eastAsia" w:ascii="宋体" w:hAnsi="宋体"/>
                <w:sz w:val="24"/>
                <w:lang w:val="zh-CN"/>
              </w:rPr>
            </w:pPr>
          </w:p>
        </w:tc>
        <w:tc>
          <w:tcPr>
            <w:tcW w:w="1781" w:type="dxa"/>
            <w:tcBorders>
              <w:top w:val="single" w:color="auto" w:sz="6" w:space="0"/>
              <w:left w:val="single" w:color="auto" w:sz="6" w:space="0"/>
              <w:bottom w:val="single" w:color="auto" w:sz="6" w:space="0"/>
              <w:right w:val="single" w:color="auto" w:sz="6" w:space="0"/>
            </w:tcBorders>
            <w:vAlign w:val="center"/>
          </w:tcPr>
          <w:p w14:paraId="7549E334">
            <w:pPr>
              <w:autoSpaceDE w:val="0"/>
              <w:autoSpaceDN w:val="0"/>
              <w:adjustRightInd w:val="0"/>
              <w:spacing w:line="360" w:lineRule="auto"/>
              <w:jc w:val="center"/>
              <w:rPr>
                <w:rFonts w:hint="eastAsia" w:ascii="宋体" w:hAnsi="宋体"/>
                <w:sz w:val="24"/>
                <w:lang w:val="zh-CN"/>
              </w:rPr>
            </w:pPr>
          </w:p>
        </w:tc>
        <w:tc>
          <w:tcPr>
            <w:tcW w:w="2634" w:type="dxa"/>
            <w:tcBorders>
              <w:top w:val="single" w:color="auto" w:sz="6" w:space="0"/>
              <w:left w:val="single" w:color="auto" w:sz="6" w:space="0"/>
              <w:bottom w:val="single" w:color="auto" w:sz="6" w:space="0"/>
              <w:right w:val="single" w:color="auto" w:sz="6" w:space="0"/>
            </w:tcBorders>
            <w:vAlign w:val="center"/>
          </w:tcPr>
          <w:p w14:paraId="2E9E2D54">
            <w:pPr>
              <w:autoSpaceDE w:val="0"/>
              <w:autoSpaceDN w:val="0"/>
              <w:adjustRightInd w:val="0"/>
              <w:spacing w:line="360" w:lineRule="auto"/>
              <w:jc w:val="center"/>
              <w:rPr>
                <w:rFonts w:hint="eastAsia" w:ascii="宋体" w:hAnsi="宋体"/>
                <w:sz w:val="24"/>
                <w:lang w:val="zh-CN"/>
              </w:rPr>
            </w:pPr>
          </w:p>
        </w:tc>
        <w:tc>
          <w:tcPr>
            <w:tcW w:w="2508" w:type="dxa"/>
            <w:tcBorders>
              <w:top w:val="single" w:color="auto" w:sz="6" w:space="0"/>
              <w:left w:val="single" w:color="auto" w:sz="6" w:space="0"/>
              <w:bottom w:val="single" w:color="auto" w:sz="6" w:space="0"/>
              <w:right w:val="single" w:color="auto" w:sz="6" w:space="0"/>
            </w:tcBorders>
            <w:vAlign w:val="center"/>
          </w:tcPr>
          <w:p w14:paraId="053DCC5B">
            <w:pPr>
              <w:autoSpaceDE w:val="0"/>
              <w:autoSpaceDN w:val="0"/>
              <w:adjustRightInd w:val="0"/>
              <w:spacing w:line="360" w:lineRule="auto"/>
              <w:jc w:val="center"/>
              <w:rPr>
                <w:rFonts w:hint="eastAsia" w:ascii="宋体" w:hAnsi="宋体"/>
                <w:sz w:val="24"/>
                <w:lang w:val="zh-CN"/>
              </w:rPr>
            </w:pPr>
          </w:p>
        </w:tc>
        <w:tc>
          <w:tcPr>
            <w:tcW w:w="1824" w:type="dxa"/>
            <w:tcBorders>
              <w:top w:val="single" w:color="auto" w:sz="6" w:space="0"/>
              <w:left w:val="single" w:color="auto" w:sz="6" w:space="0"/>
              <w:bottom w:val="single" w:color="auto" w:sz="6" w:space="0"/>
              <w:right w:val="single" w:color="auto" w:sz="6" w:space="0"/>
            </w:tcBorders>
          </w:tcPr>
          <w:p w14:paraId="2ED5748F">
            <w:pPr>
              <w:autoSpaceDE w:val="0"/>
              <w:autoSpaceDN w:val="0"/>
              <w:adjustRightInd w:val="0"/>
              <w:spacing w:line="360" w:lineRule="auto"/>
              <w:jc w:val="center"/>
              <w:rPr>
                <w:rFonts w:hint="eastAsia" w:ascii="宋体" w:hAnsi="宋体"/>
                <w:sz w:val="24"/>
                <w:lang w:val="zh-CN"/>
              </w:rPr>
            </w:pPr>
          </w:p>
        </w:tc>
        <w:tc>
          <w:tcPr>
            <w:tcW w:w="1038" w:type="dxa"/>
            <w:tcBorders>
              <w:top w:val="single" w:color="auto" w:sz="6" w:space="0"/>
              <w:left w:val="single" w:color="auto" w:sz="6" w:space="0"/>
              <w:bottom w:val="single" w:color="auto" w:sz="6" w:space="0"/>
              <w:right w:val="single" w:color="auto" w:sz="6" w:space="0"/>
            </w:tcBorders>
            <w:vAlign w:val="center"/>
          </w:tcPr>
          <w:p w14:paraId="4DE55FF3">
            <w:pPr>
              <w:autoSpaceDE w:val="0"/>
              <w:autoSpaceDN w:val="0"/>
              <w:adjustRightInd w:val="0"/>
              <w:spacing w:line="360" w:lineRule="auto"/>
              <w:jc w:val="center"/>
              <w:rPr>
                <w:rFonts w:hint="eastAsia" w:ascii="宋体" w:hAnsi="宋体"/>
                <w:sz w:val="24"/>
                <w:lang w:val="zh-CN"/>
              </w:rPr>
            </w:pPr>
          </w:p>
        </w:tc>
      </w:tr>
      <w:tr w14:paraId="2C906D50">
        <w:tblPrEx>
          <w:tblCellMar>
            <w:top w:w="0" w:type="dxa"/>
            <w:left w:w="10" w:type="dxa"/>
            <w:bottom w:w="0" w:type="dxa"/>
            <w:right w:w="10" w:type="dxa"/>
          </w:tblCellMar>
        </w:tblPrEx>
        <w:trPr>
          <w:trHeight w:val="284" w:hRule="atLeast"/>
          <w:jc w:val="center"/>
        </w:trPr>
        <w:tc>
          <w:tcPr>
            <w:tcW w:w="665" w:type="dxa"/>
            <w:tcBorders>
              <w:top w:val="single" w:color="auto" w:sz="6" w:space="0"/>
              <w:left w:val="single" w:color="auto" w:sz="6" w:space="0"/>
              <w:bottom w:val="single" w:color="auto" w:sz="6" w:space="0"/>
              <w:right w:val="single" w:color="auto" w:sz="6" w:space="0"/>
            </w:tcBorders>
            <w:vAlign w:val="center"/>
          </w:tcPr>
          <w:p w14:paraId="2DCAF5C1">
            <w:pPr>
              <w:autoSpaceDE w:val="0"/>
              <w:autoSpaceDN w:val="0"/>
              <w:adjustRightInd w:val="0"/>
              <w:spacing w:line="360" w:lineRule="auto"/>
              <w:jc w:val="center"/>
              <w:rPr>
                <w:rFonts w:hint="eastAsia" w:ascii="宋体" w:hAnsi="宋体"/>
                <w:sz w:val="24"/>
                <w:lang w:val="zh-CN"/>
              </w:rPr>
            </w:pPr>
          </w:p>
        </w:tc>
        <w:tc>
          <w:tcPr>
            <w:tcW w:w="1781" w:type="dxa"/>
            <w:tcBorders>
              <w:top w:val="single" w:color="auto" w:sz="6" w:space="0"/>
              <w:left w:val="single" w:color="auto" w:sz="6" w:space="0"/>
              <w:bottom w:val="single" w:color="auto" w:sz="6" w:space="0"/>
              <w:right w:val="single" w:color="auto" w:sz="6" w:space="0"/>
            </w:tcBorders>
            <w:vAlign w:val="center"/>
          </w:tcPr>
          <w:p w14:paraId="5E42A695">
            <w:pPr>
              <w:autoSpaceDE w:val="0"/>
              <w:autoSpaceDN w:val="0"/>
              <w:adjustRightInd w:val="0"/>
              <w:spacing w:line="360" w:lineRule="auto"/>
              <w:jc w:val="center"/>
              <w:rPr>
                <w:rFonts w:hint="eastAsia" w:ascii="宋体" w:hAnsi="宋体"/>
                <w:sz w:val="24"/>
                <w:lang w:val="zh-CN"/>
              </w:rPr>
            </w:pPr>
          </w:p>
        </w:tc>
        <w:tc>
          <w:tcPr>
            <w:tcW w:w="2634" w:type="dxa"/>
            <w:tcBorders>
              <w:top w:val="single" w:color="auto" w:sz="6" w:space="0"/>
              <w:left w:val="single" w:color="auto" w:sz="6" w:space="0"/>
              <w:bottom w:val="single" w:color="auto" w:sz="6" w:space="0"/>
              <w:right w:val="single" w:color="auto" w:sz="6" w:space="0"/>
            </w:tcBorders>
            <w:vAlign w:val="center"/>
          </w:tcPr>
          <w:p w14:paraId="3DFD882F">
            <w:pPr>
              <w:autoSpaceDE w:val="0"/>
              <w:autoSpaceDN w:val="0"/>
              <w:adjustRightInd w:val="0"/>
              <w:spacing w:line="360" w:lineRule="auto"/>
              <w:jc w:val="center"/>
              <w:rPr>
                <w:rFonts w:hint="eastAsia" w:ascii="宋体" w:hAnsi="宋体"/>
                <w:sz w:val="24"/>
                <w:lang w:val="zh-CN"/>
              </w:rPr>
            </w:pPr>
          </w:p>
        </w:tc>
        <w:tc>
          <w:tcPr>
            <w:tcW w:w="2508" w:type="dxa"/>
            <w:tcBorders>
              <w:top w:val="single" w:color="auto" w:sz="6" w:space="0"/>
              <w:left w:val="single" w:color="auto" w:sz="6" w:space="0"/>
              <w:bottom w:val="single" w:color="auto" w:sz="6" w:space="0"/>
              <w:right w:val="single" w:color="auto" w:sz="6" w:space="0"/>
            </w:tcBorders>
            <w:vAlign w:val="center"/>
          </w:tcPr>
          <w:p w14:paraId="425E35B0">
            <w:pPr>
              <w:autoSpaceDE w:val="0"/>
              <w:autoSpaceDN w:val="0"/>
              <w:adjustRightInd w:val="0"/>
              <w:spacing w:line="360" w:lineRule="auto"/>
              <w:jc w:val="center"/>
              <w:rPr>
                <w:rFonts w:hint="eastAsia" w:ascii="宋体" w:hAnsi="宋体"/>
                <w:sz w:val="24"/>
                <w:lang w:val="zh-CN"/>
              </w:rPr>
            </w:pPr>
          </w:p>
        </w:tc>
        <w:tc>
          <w:tcPr>
            <w:tcW w:w="1824" w:type="dxa"/>
            <w:tcBorders>
              <w:top w:val="single" w:color="auto" w:sz="6" w:space="0"/>
              <w:left w:val="single" w:color="auto" w:sz="6" w:space="0"/>
              <w:bottom w:val="single" w:color="auto" w:sz="6" w:space="0"/>
              <w:right w:val="single" w:color="auto" w:sz="6" w:space="0"/>
            </w:tcBorders>
          </w:tcPr>
          <w:p w14:paraId="333E66C6">
            <w:pPr>
              <w:autoSpaceDE w:val="0"/>
              <w:autoSpaceDN w:val="0"/>
              <w:adjustRightInd w:val="0"/>
              <w:spacing w:line="360" w:lineRule="auto"/>
              <w:jc w:val="center"/>
              <w:rPr>
                <w:rFonts w:hint="eastAsia" w:ascii="宋体" w:hAnsi="宋体"/>
                <w:sz w:val="24"/>
                <w:lang w:val="zh-CN"/>
              </w:rPr>
            </w:pPr>
          </w:p>
        </w:tc>
        <w:tc>
          <w:tcPr>
            <w:tcW w:w="1038" w:type="dxa"/>
            <w:tcBorders>
              <w:top w:val="single" w:color="auto" w:sz="6" w:space="0"/>
              <w:left w:val="single" w:color="auto" w:sz="6" w:space="0"/>
              <w:bottom w:val="single" w:color="auto" w:sz="6" w:space="0"/>
              <w:right w:val="single" w:color="auto" w:sz="6" w:space="0"/>
            </w:tcBorders>
            <w:vAlign w:val="center"/>
          </w:tcPr>
          <w:p w14:paraId="7BF9787E">
            <w:pPr>
              <w:autoSpaceDE w:val="0"/>
              <w:autoSpaceDN w:val="0"/>
              <w:adjustRightInd w:val="0"/>
              <w:spacing w:line="360" w:lineRule="auto"/>
              <w:jc w:val="center"/>
              <w:rPr>
                <w:rFonts w:hint="eastAsia" w:ascii="宋体" w:hAnsi="宋体"/>
                <w:sz w:val="24"/>
                <w:lang w:val="zh-CN"/>
              </w:rPr>
            </w:pPr>
          </w:p>
        </w:tc>
      </w:tr>
      <w:tr w14:paraId="07418D18">
        <w:tblPrEx>
          <w:tblCellMar>
            <w:top w:w="0" w:type="dxa"/>
            <w:left w:w="10" w:type="dxa"/>
            <w:bottom w:w="0" w:type="dxa"/>
            <w:right w:w="10" w:type="dxa"/>
          </w:tblCellMar>
        </w:tblPrEx>
        <w:trPr>
          <w:trHeight w:val="284" w:hRule="atLeast"/>
          <w:jc w:val="center"/>
        </w:trPr>
        <w:tc>
          <w:tcPr>
            <w:tcW w:w="665" w:type="dxa"/>
            <w:tcBorders>
              <w:top w:val="single" w:color="auto" w:sz="6" w:space="0"/>
              <w:left w:val="single" w:color="auto" w:sz="6" w:space="0"/>
              <w:bottom w:val="single" w:color="auto" w:sz="6" w:space="0"/>
              <w:right w:val="single" w:color="auto" w:sz="6" w:space="0"/>
            </w:tcBorders>
            <w:vAlign w:val="center"/>
          </w:tcPr>
          <w:p w14:paraId="3BBE7380">
            <w:pPr>
              <w:autoSpaceDE w:val="0"/>
              <w:autoSpaceDN w:val="0"/>
              <w:adjustRightInd w:val="0"/>
              <w:spacing w:line="360" w:lineRule="auto"/>
              <w:jc w:val="center"/>
              <w:rPr>
                <w:rFonts w:hint="eastAsia" w:ascii="宋体" w:hAnsi="宋体"/>
                <w:sz w:val="24"/>
                <w:lang w:val="zh-CN"/>
              </w:rPr>
            </w:pPr>
          </w:p>
        </w:tc>
        <w:tc>
          <w:tcPr>
            <w:tcW w:w="1781" w:type="dxa"/>
            <w:tcBorders>
              <w:top w:val="single" w:color="auto" w:sz="6" w:space="0"/>
              <w:left w:val="single" w:color="auto" w:sz="6" w:space="0"/>
              <w:bottom w:val="single" w:color="auto" w:sz="6" w:space="0"/>
              <w:right w:val="single" w:color="auto" w:sz="6" w:space="0"/>
            </w:tcBorders>
            <w:vAlign w:val="center"/>
          </w:tcPr>
          <w:p w14:paraId="1461BC63">
            <w:pPr>
              <w:autoSpaceDE w:val="0"/>
              <w:autoSpaceDN w:val="0"/>
              <w:adjustRightInd w:val="0"/>
              <w:spacing w:line="360" w:lineRule="auto"/>
              <w:jc w:val="center"/>
              <w:rPr>
                <w:rFonts w:hint="eastAsia" w:ascii="宋体" w:hAnsi="宋体"/>
                <w:sz w:val="24"/>
                <w:lang w:val="zh-CN"/>
              </w:rPr>
            </w:pPr>
          </w:p>
        </w:tc>
        <w:tc>
          <w:tcPr>
            <w:tcW w:w="2634" w:type="dxa"/>
            <w:tcBorders>
              <w:top w:val="single" w:color="auto" w:sz="6" w:space="0"/>
              <w:left w:val="single" w:color="auto" w:sz="6" w:space="0"/>
              <w:bottom w:val="single" w:color="auto" w:sz="6" w:space="0"/>
              <w:right w:val="single" w:color="auto" w:sz="6" w:space="0"/>
            </w:tcBorders>
            <w:vAlign w:val="center"/>
          </w:tcPr>
          <w:p w14:paraId="0484CF00">
            <w:pPr>
              <w:autoSpaceDE w:val="0"/>
              <w:autoSpaceDN w:val="0"/>
              <w:adjustRightInd w:val="0"/>
              <w:spacing w:line="360" w:lineRule="auto"/>
              <w:jc w:val="center"/>
              <w:rPr>
                <w:rFonts w:hint="eastAsia" w:ascii="宋体" w:hAnsi="宋体"/>
                <w:sz w:val="24"/>
                <w:lang w:val="zh-CN"/>
              </w:rPr>
            </w:pPr>
          </w:p>
        </w:tc>
        <w:tc>
          <w:tcPr>
            <w:tcW w:w="2508" w:type="dxa"/>
            <w:tcBorders>
              <w:top w:val="single" w:color="auto" w:sz="6" w:space="0"/>
              <w:left w:val="single" w:color="auto" w:sz="6" w:space="0"/>
              <w:bottom w:val="single" w:color="auto" w:sz="6" w:space="0"/>
              <w:right w:val="single" w:color="auto" w:sz="6" w:space="0"/>
            </w:tcBorders>
            <w:vAlign w:val="center"/>
          </w:tcPr>
          <w:p w14:paraId="7605ECD7">
            <w:pPr>
              <w:autoSpaceDE w:val="0"/>
              <w:autoSpaceDN w:val="0"/>
              <w:adjustRightInd w:val="0"/>
              <w:spacing w:line="360" w:lineRule="auto"/>
              <w:jc w:val="center"/>
              <w:rPr>
                <w:rFonts w:hint="eastAsia" w:ascii="宋体" w:hAnsi="宋体"/>
                <w:sz w:val="24"/>
                <w:lang w:val="zh-CN"/>
              </w:rPr>
            </w:pPr>
          </w:p>
        </w:tc>
        <w:tc>
          <w:tcPr>
            <w:tcW w:w="1824" w:type="dxa"/>
            <w:tcBorders>
              <w:top w:val="single" w:color="auto" w:sz="6" w:space="0"/>
              <w:left w:val="single" w:color="auto" w:sz="6" w:space="0"/>
              <w:bottom w:val="single" w:color="auto" w:sz="6" w:space="0"/>
              <w:right w:val="single" w:color="auto" w:sz="6" w:space="0"/>
            </w:tcBorders>
          </w:tcPr>
          <w:p w14:paraId="5C5BFD00">
            <w:pPr>
              <w:autoSpaceDE w:val="0"/>
              <w:autoSpaceDN w:val="0"/>
              <w:adjustRightInd w:val="0"/>
              <w:spacing w:line="360" w:lineRule="auto"/>
              <w:jc w:val="center"/>
              <w:rPr>
                <w:rFonts w:hint="eastAsia" w:ascii="宋体" w:hAnsi="宋体"/>
                <w:sz w:val="24"/>
                <w:lang w:val="zh-CN"/>
              </w:rPr>
            </w:pPr>
          </w:p>
        </w:tc>
        <w:tc>
          <w:tcPr>
            <w:tcW w:w="1038" w:type="dxa"/>
            <w:tcBorders>
              <w:top w:val="single" w:color="auto" w:sz="6" w:space="0"/>
              <w:left w:val="single" w:color="auto" w:sz="6" w:space="0"/>
              <w:bottom w:val="single" w:color="auto" w:sz="6" w:space="0"/>
              <w:right w:val="single" w:color="auto" w:sz="6" w:space="0"/>
            </w:tcBorders>
            <w:vAlign w:val="center"/>
          </w:tcPr>
          <w:p w14:paraId="5005BD72">
            <w:pPr>
              <w:autoSpaceDE w:val="0"/>
              <w:autoSpaceDN w:val="0"/>
              <w:adjustRightInd w:val="0"/>
              <w:spacing w:line="360" w:lineRule="auto"/>
              <w:jc w:val="center"/>
              <w:rPr>
                <w:rFonts w:hint="eastAsia" w:ascii="宋体" w:hAnsi="宋体"/>
                <w:sz w:val="24"/>
                <w:lang w:val="zh-CN"/>
              </w:rPr>
            </w:pPr>
          </w:p>
        </w:tc>
      </w:tr>
      <w:tr w14:paraId="09AE1433">
        <w:tblPrEx>
          <w:tblCellMar>
            <w:top w:w="0" w:type="dxa"/>
            <w:left w:w="10" w:type="dxa"/>
            <w:bottom w:w="0" w:type="dxa"/>
            <w:right w:w="10" w:type="dxa"/>
          </w:tblCellMar>
        </w:tblPrEx>
        <w:trPr>
          <w:trHeight w:val="284" w:hRule="atLeast"/>
          <w:jc w:val="center"/>
        </w:trPr>
        <w:tc>
          <w:tcPr>
            <w:tcW w:w="665" w:type="dxa"/>
            <w:tcBorders>
              <w:top w:val="single" w:color="auto" w:sz="6" w:space="0"/>
              <w:left w:val="single" w:color="auto" w:sz="6" w:space="0"/>
              <w:bottom w:val="single" w:color="auto" w:sz="6" w:space="0"/>
              <w:right w:val="single" w:color="auto" w:sz="6" w:space="0"/>
            </w:tcBorders>
            <w:vAlign w:val="center"/>
          </w:tcPr>
          <w:p w14:paraId="78CE7A8D">
            <w:pPr>
              <w:autoSpaceDE w:val="0"/>
              <w:autoSpaceDN w:val="0"/>
              <w:adjustRightInd w:val="0"/>
              <w:spacing w:line="360" w:lineRule="auto"/>
              <w:jc w:val="center"/>
              <w:rPr>
                <w:rFonts w:hint="eastAsia" w:ascii="宋体" w:hAnsi="宋体"/>
                <w:sz w:val="24"/>
                <w:lang w:val="zh-CN"/>
              </w:rPr>
            </w:pPr>
          </w:p>
        </w:tc>
        <w:tc>
          <w:tcPr>
            <w:tcW w:w="1781" w:type="dxa"/>
            <w:tcBorders>
              <w:top w:val="single" w:color="auto" w:sz="6" w:space="0"/>
              <w:left w:val="single" w:color="auto" w:sz="6" w:space="0"/>
              <w:bottom w:val="single" w:color="auto" w:sz="6" w:space="0"/>
              <w:right w:val="single" w:color="auto" w:sz="6" w:space="0"/>
            </w:tcBorders>
            <w:vAlign w:val="center"/>
          </w:tcPr>
          <w:p w14:paraId="24407334">
            <w:pPr>
              <w:autoSpaceDE w:val="0"/>
              <w:autoSpaceDN w:val="0"/>
              <w:adjustRightInd w:val="0"/>
              <w:spacing w:line="360" w:lineRule="auto"/>
              <w:jc w:val="center"/>
              <w:rPr>
                <w:rFonts w:hint="eastAsia" w:ascii="宋体" w:hAnsi="宋体"/>
                <w:sz w:val="24"/>
                <w:lang w:val="zh-CN"/>
              </w:rPr>
            </w:pPr>
          </w:p>
        </w:tc>
        <w:tc>
          <w:tcPr>
            <w:tcW w:w="2634" w:type="dxa"/>
            <w:tcBorders>
              <w:top w:val="single" w:color="auto" w:sz="6" w:space="0"/>
              <w:left w:val="single" w:color="auto" w:sz="6" w:space="0"/>
              <w:bottom w:val="single" w:color="auto" w:sz="6" w:space="0"/>
              <w:right w:val="single" w:color="auto" w:sz="6" w:space="0"/>
            </w:tcBorders>
            <w:vAlign w:val="center"/>
          </w:tcPr>
          <w:p w14:paraId="57904EA8">
            <w:pPr>
              <w:autoSpaceDE w:val="0"/>
              <w:autoSpaceDN w:val="0"/>
              <w:adjustRightInd w:val="0"/>
              <w:spacing w:line="360" w:lineRule="auto"/>
              <w:jc w:val="center"/>
              <w:rPr>
                <w:rFonts w:hint="eastAsia" w:ascii="宋体" w:hAnsi="宋体"/>
                <w:sz w:val="24"/>
                <w:lang w:val="zh-CN"/>
              </w:rPr>
            </w:pPr>
          </w:p>
        </w:tc>
        <w:tc>
          <w:tcPr>
            <w:tcW w:w="2508" w:type="dxa"/>
            <w:tcBorders>
              <w:top w:val="single" w:color="auto" w:sz="6" w:space="0"/>
              <w:left w:val="single" w:color="auto" w:sz="6" w:space="0"/>
              <w:bottom w:val="single" w:color="auto" w:sz="6" w:space="0"/>
              <w:right w:val="single" w:color="auto" w:sz="6" w:space="0"/>
            </w:tcBorders>
            <w:vAlign w:val="center"/>
          </w:tcPr>
          <w:p w14:paraId="562668C8">
            <w:pPr>
              <w:autoSpaceDE w:val="0"/>
              <w:autoSpaceDN w:val="0"/>
              <w:adjustRightInd w:val="0"/>
              <w:spacing w:line="360" w:lineRule="auto"/>
              <w:jc w:val="center"/>
              <w:rPr>
                <w:rFonts w:hint="eastAsia" w:ascii="宋体" w:hAnsi="宋体"/>
                <w:sz w:val="24"/>
                <w:lang w:val="zh-CN"/>
              </w:rPr>
            </w:pPr>
          </w:p>
        </w:tc>
        <w:tc>
          <w:tcPr>
            <w:tcW w:w="1824" w:type="dxa"/>
            <w:tcBorders>
              <w:top w:val="single" w:color="auto" w:sz="6" w:space="0"/>
              <w:left w:val="single" w:color="auto" w:sz="6" w:space="0"/>
              <w:bottom w:val="single" w:color="auto" w:sz="6" w:space="0"/>
              <w:right w:val="single" w:color="auto" w:sz="6" w:space="0"/>
            </w:tcBorders>
          </w:tcPr>
          <w:p w14:paraId="1A8EB420">
            <w:pPr>
              <w:autoSpaceDE w:val="0"/>
              <w:autoSpaceDN w:val="0"/>
              <w:adjustRightInd w:val="0"/>
              <w:spacing w:line="360" w:lineRule="auto"/>
              <w:jc w:val="center"/>
              <w:rPr>
                <w:rFonts w:hint="eastAsia" w:ascii="宋体" w:hAnsi="宋体"/>
                <w:sz w:val="24"/>
                <w:lang w:val="zh-CN"/>
              </w:rPr>
            </w:pPr>
          </w:p>
        </w:tc>
        <w:tc>
          <w:tcPr>
            <w:tcW w:w="1038" w:type="dxa"/>
            <w:tcBorders>
              <w:top w:val="single" w:color="auto" w:sz="6" w:space="0"/>
              <w:left w:val="single" w:color="auto" w:sz="6" w:space="0"/>
              <w:bottom w:val="single" w:color="auto" w:sz="6" w:space="0"/>
              <w:right w:val="single" w:color="auto" w:sz="6" w:space="0"/>
            </w:tcBorders>
            <w:vAlign w:val="center"/>
          </w:tcPr>
          <w:p w14:paraId="6FA0DF94">
            <w:pPr>
              <w:autoSpaceDE w:val="0"/>
              <w:autoSpaceDN w:val="0"/>
              <w:adjustRightInd w:val="0"/>
              <w:spacing w:line="360" w:lineRule="auto"/>
              <w:jc w:val="center"/>
              <w:rPr>
                <w:rFonts w:hint="eastAsia" w:ascii="宋体" w:hAnsi="宋体"/>
                <w:sz w:val="24"/>
                <w:lang w:val="zh-CN"/>
              </w:rPr>
            </w:pPr>
          </w:p>
        </w:tc>
      </w:tr>
      <w:tr w14:paraId="2A62445A">
        <w:tblPrEx>
          <w:tblCellMar>
            <w:top w:w="0" w:type="dxa"/>
            <w:left w:w="10" w:type="dxa"/>
            <w:bottom w:w="0" w:type="dxa"/>
            <w:right w:w="10" w:type="dxa"/>
          </w:tblCellMar>
        </w:tblPrEx>
        <w:trPr>
          <w:trHeight w:val="284" w:hRule="atLeast"/>
          <w:jc w:val="center"/>
        </w:trPr>
        <w:tc>
          <w:tcPr>
            <w:tcW w:w="665" w:type="dxa"/>
            <w:tcBorders>
              <w:top w:val="single" w:color="auto" w:sz="6" w:space="0"/>
              <w:left w:val="single" w:color="auto" w:sz="6" w:space="0"/>
              <w:bottom w:val="single" w:color="auto" w:sz="6" w:space="0"/>
              <w:right w:val="single" w:color="auto" w:sz="6" w:space="0"/>
            </w:tcBorders>
            <w:vAlign w:val="center"/>
          </w:tcPr>
          <w:p w14:paraId="76499D80">
            <w:pPr>
              <w:autoSpaceDE w:val="0"/>
              <w:autoSpaceDN w:val="0"/>
              <w:adjustRightInd w:val="0"/>
              <w:spacing w:line="360" w:lineRule="auto"/>
              <w:jc w:val="center"/>
              <w:rPr>
                <w:rFonts w:hint="eastAsia" w:ascii="宋体" w:hAnsi="宋体"/>
                <w:sz w:val="24"/>
                <w:lang w:val="zh-CN"/>
              </w:rPr>
            </w:pPr>
          </w:p>
        </w:tc>
        <w:tc>
          <w:tcPr>
            <w:tcW w:w="1781" w:type="dxa"/>
            <w:tcBorders>
              <w:top w:val="single" w:color="auto" w:sz="6" w:space="0"/>
              <w:left w:val="single" w:color="auto" w:sz="6" w:space="0"/>
              <w:bottom w:val="single" w:color="auto" w:sz="6" w:space="0"/>
              <w:right w:val="single" w:color="auto" w:sz="6" w:space="0"/>
            </w:tcBorders>
            <w:vAlign w:val="center"/>
          </w:tcPr>
          <w:p w14:paraId="012C2174">
            <w:pPr>
              <w:autoSpaceDE w:val="0"/>
              <w:autoSpaceDN w:val="0"/>
              <w:adjustRightInd w:val="0"/>
              <w:spacing w:line="360" w:lineRule="auto"/>
              <w:jc w:val="center"/>
              <w:rPr>
                <w:rFonts w:hint="eastAsia" w:ascii="宋体" w:hAnsi="宋体"/>
                <w:sz w:val="24"/>
                <w:lang w:val="zh-CN"/>
              </w:rPr>
            </w:pPr>
          </w:p>
        </w:tc>
        <w:tc>
          <w:tcPr>
            <w:tcW w:w="2634" w:type="dxa"/>
            <w:tcBorders>
              <w:top w:val="single" w:color="auto" w:sz="6" w:space="0"/>
              <w:left w:val="single" w:color="auto" w:sz="6" w:space="0"/>
              <w:bottom w:val="single" w:color="auto" w:sz="6" w:space="0"/>
              <w:right w:val="single" w:color="auto" w:sz="6" w:space="0"/>
            </w:tcBorders>
            <w:vAlign w:val="center"/>
          </w:tcPr>
          <w:p w14:paraId="150C0CA0">
            <w:pPr>
              <w:autoSpaceDE w:val="0"/>
              <w:autoSpaceDN w:val="0"/>
              <w:adjustRightInd w:val="0"/>
              <w:spacing w:line="360" w:lineRule="auto"/>
              <w:jc w:val="center"/>
              <w:rPr>
                <w:rFonts w:hint="eastAsia" w:ascii="宋体" w:hAnsi="宋体"/>
                <w:sz w:val="24"/>
                <w:lang w:val="zh-CN"/>
              </w:rPr>
            </w:pPr>
          </w:p>
        </w:tc>
        <w:tc>
          <w:tcPr>
            <w:tcW w:w="2508" w:type="dxa"/>
            <w:tcBorders>
              <w:top w:val="single" w:color="auto" w:sz="6" w:space="0"/>
              <w:left w:val="single" w:color="auto" w:sz="6" w:space="0"/>
              <w:bottom w:val="single" w:color="auto" w:sz="6" w:space="0"/>
              <w:right w:val="single" w:color="auto" w:sz="6" w:space="0"/>
            </w:tcBorders>
            <w:vAlign w:val="center"/>
          </w:tcPr>
          <w:p w14:paraId="0A4D136C">
            <w:pPr>
              <w:autoSpaceDE w:val="0"/>
              <w:autoSpaceDN w:val="0"/>
              <w:adjustRightInd w:val="0"/>
              <w:spacing w:line="360" w:lineRule="auto"/>
              <w:jc w:val="center"/>
              <w:rPr>
                <w:rFonts w:hint="eastAsia" w:ascii="宋体" w:hAnsi="宋体"/>
                <w:sz w:val="24"/>
                <w:lang w:val="zh-CN"/>
              </w:rPr>
            </w:pPr>
          </w:p>
        </w:tc>
        <w:tc>
          <w:tcPr>
            <w:tcW w:w="1824" w:type="dxa"/>
            <w:tcBorders>
              <w:top w:val="single" w:color="auto" w:sz="6" w:space="0"/>
              <w:left w:val="single" w:color="auto" w:sz="6" w:space="0"/>
              <w:bottom w:val="single" w:color="auto" w:sz="6" w:space="0"/>
              <w:right w:val="single" w:color="auto" w:sz="6" w:space="0"/>
            </w:tcBorders>
          </w:tcPr>
          <w:p w14:paraId="49EEC52D">
            <w:pPr>
              <w:autoSpaceDE w:val="0"/>
              <w:autoSpaceDN w:val="0"/>
              <w:adjustRightInd w:val="0"/>
              <w:spacing w:line="360" w:lineRule="auto"/>
              <w:jc w:val="center"/>
              <w:rPr>
                <w:rFonts w:hint="eastAsia" w:ascii="宋体" w:hAnsi="宋体"/>
                <w:sz w:val="24"/>
                <w:lang w:val="zh-CN"/>
              </w:rPr>
            </w:pPr>
          </w:p>
        </w:tc>
        <w:tc>
          <w:tcPr>
            <w:tcW w:w="1038" w:type="dxa"/>
            <w:tcBorders>
              <w:top w:val="single" w:color="auto" w:sz="6" w:space="0"/>
              <w:left w:val="single" w:color="auto" w:sz="6" w:space="0"/>
              <w:bottom w:val="single" w:color="auto" w:sz="6" w:space="0"/>
              <w:right w:val="single" w:color="auto" w:sz="6" w:space="0"/>
            </w:tcBorders>
            <w:vAlign w:val="center"/>
          </w:tcPr>
          <w:p w14:paraId="680F349C">
            <w:pPr>
              <w:autoSpaceDE w:val="0"/>
              <w:autoSpaceDN w:val="0"/>
              <w:adjustRightInd w:val="0"/>
              <w:spacing w:line="360" w:lineRule="auto"/>
              <w:jc w:val="center"/>
              <w:rPr>
                <w:rFonts w:hint="eastAsia" w:ascii="宋体" w:hAnsi="宋体"/>
                <w:sz w:val="24"/>
                <w:lang w:val="zh-CN"/>
              </w:rPr>
            </w:pPr>
          </w:p>
        </w:tc>
      </w:tr>
    </w:tbl>
    <w:p w14:paraId="16E4F7F4">
      <w:pPr>
        <w:autoSpaceDE w:val="0"/>
        <w:autoSpaceDN w:val="0"/>
        <w:adjustRightInd w:val="0"/>
        <w:spacing w:line="360" w:lineRule="auto"/>
        <w:rPr>
          <w:rFonts w:hint="eastAsia" w:ascii="宋体" w:hAnsi="宋体"/>
          <w:sz w:val="24"/>
          <w:lang w:val="zh-CN"/>
        </w:rPr>
      </w:pPr>
      <w:r>
        <w:rPr>
          <w:rFonts w:hint="eastAsia" w:ascii="宋体" w:hAnsi="宋体"/>
          <w:sz w:val="24"/>
          <w:lang w:val="zh-CN"/>
        </w:rPr>
        <w:t>注：请将采购文件项目需求中列举的技术（服务）条款要求逐项作出应答并提供必要的证明材料或实施方案。</w:t>
      </w:r>
    </w:p>
    <w:p w14:paraId="69091B83">
      <w:pPr>
        <w:autoSpaceDE w:val="0"/>
        <w:autoSpaceDN w:val="0"/>
        <w:adjustRightInd w:val="0"/>
        <w:spacing w:line="360" w:lineRule="auto"/>
        <w:rPr>
          <w:rFonts w:hint="eastAsia" w:ascii="宋体" w:hAnsi="宋体"/>
          <w:sz w:val="24"/>
          <w:lang w:val="zh-CN"/>
        </w:rPr>
      </w:pPr>
    </w:p>
    <w:p w14:paraId="1D71628F">
      <w:pPr>
        <w:autoSpaceDE w:val="0"/>
        <w:autoSpaceDN w:val="0"/>
        <w:adjustRightInd w:val="0"/>
        <w:spacing w:line="360" w:lineRule="auto"/>
        <w:rPr>
          <w:rFonts w:hint="eastAsia" w:ascii="宋体" w:hAnsi="宋体"/>
          <w:sz w:val="24"/>
          <w:lang w:val="zh-CN"/>
        </w:rPr>
      </w:pPr>
      <w:r>
        <w:rPr>
          <w:rFonts w:hint="eastAsia" w:ascii="宋体" w:hAnsi="宋体"/>
          <w:sz w:val="24"/>
          <w:lang w:val="zh-CN"/>
        </w:rPr>
        <w:t>说明：如果行数不够，请自行增加。</w:t>
      </w:r>
    </w:p>
    <w:p w14:paraId="21DEC5FE">
      <w:pPr>
        <w:autoSpaceDE w:val="0"/>
        <w:autoSpaceDN w:val="0"/>
        <w:adjustRightInd w:val="0"/>
        <w:spacing w:line="360" w:lineRule="auto"/>
        <w:rPr>
          <w:rFonts w:hint="eastAsia" w:ascii="宋体" w:hAnsi="宋体"/>
          <w:sz w:val="24"/>
          <w:lang w:val="zh-CN"/>
        </w:rPr>
      </w:pPr>
      <w:r>
        <w:rPr>
          <w:rFonts w:hint="eastAsia" w:ascii="宋体" w:hAnsi="宋体"/>
          <w:sz w:val="24"/>
          <w:lang w:val="zh-CN"/>
        </w:rPr>
        <w:t>供应商名称：</w:t>
      </w:r>
      <w:r>
        <w:rPr>
          <w:rFonts w:ascii="宋体" w:hAnsi="宋体"/>
          <w:sz w:val="24"/>
          <w:u w:val="single"/>
          <w:lang w:val="zh-CN"/>
        </w:rPr>
        <w:t xml:space="preserve">                                                    </w:t>
      </w:r>
      <w:r>
        <w:rPr>
          <w:rFonts w:hint="eastAsia" w:ascii="宋体" w:hAnsi="宋体"/>
          <w:sz w:val="24"/>
          <w:lang w:val="zh-CN"/>
        </w:rPr>
        <w:t>（公章）</w:t>
      </w:r>
    </w:p>
    <w:p w14:paraId="7A5E6408">
      <w:pPr>
        <w:autoSpaceDE w:val="0"/>
        <w:autoSpaceDN w:val="0"/>
        <w:adjustRightInd w:val="0"/>
        <w:spacing w:line="360" w:lineRule="auto"/>
        <w:rPr>
          <w:rFonts w:hint="eastAsia" w:ascii="宋体" w:hAnsi="宋体"/>
          <w:sz w:val="24"/>
          <w:lang w:val="zh-CN"/>
        </w:rPr>
      </w:pPr>
    </w:p>
    <w:p w14:paraId="1230810B">
      <w:pPr>
        <w:autoSpaceDE w:val="0"/>
        <w:autoSpaceDN w:val="0"/>
        <w:adjustRightInd w:val="0"/>
        <w:spacing w:line="360" w:lineRule="auto"/>
        <w:rPr>
          <w:rFonts w:hint="eastAsia" w:ascii="宋体" w:hAnsi="宋体"/>
          <w:sz w:val="24"/>
          <w:lang w:val="zh-CN"/>
        </w:rPr>
      </w:pPr>
    </w:p>
    <w:p w14:paraId="69D33977">
      <w:pPr>
        <w:autoSpaceDE w:val="0"/>
        <w:autoSpaceDN w:val="0"/>
        <w:adjustRightInd w:val="0"/>
        <w:spacing w:line="360" w:lineRule="auto"/>
        <w:rPr>
          <w:rFonts w:hint="eastAsia" w:ascii="宋体" w:hAnsi="宋体"/>
          <w:sz w:val="24"/>
          <w:lang w:val="zh-CN"/>
        </w:rPr>
      </w:pPr>
    </w:p>
    <w:p w14:paraId="67508C74">
      <w:pPr>
        <w:autoSpaceDE w:val="0"/>
        <w:autoSpaceDN w:val="0"/>
        <w:adjustRightInd w:val="0"/>
        <w:spacing w:line="360" w:lineRule="auto"/>
        <w:rPr>
          <w:rFonts w:hint="eastAsia" w:ascii="宋体" w:hAnsi="宋体"/>
          <w:sz w:val="24"/>
          <w:lang w:val="zh-CN"/>
        </w:rPr>
      </w:pPr>
    </w:p>
    <w:p w14:paraId="18293282">
      <w:pPr>
        <w:autoSpaceDE w:val="0"/>
        <w:autoSpaceDN w:val="0"/>
        <w:adjustRightInd w:val="0"/>
        <w:spacing w:line="360" w:lineRule="auto"/>
        <w:rPr>
          <w:rFonts w:hint="eastAsia" w:ascii="宋体" w:hAnsi="宋体"/>
          <w:sz w:val="24"/>
          <w:lang w:val="zh-CN"/>
        </w:rPr>
      </w:pPr>
    </w:p>
    <w:p w14:paraId="7F835C12">
      <w:pPr>
        <w:autoSpaceDE w:val="0"/>
        <w:autoSpaceDN w:val="0"/>
        <w:adjustRightInd w:val="0"/>
        <w:spacing w:line="360" w:lineRule="auto"/>
        <w:rPr>
          <w:rFonts w:hint="eastAsia" w:ascii="宋体" w:hAnsi="宋体"/>
          <w:sz w:val="24"/>
          <w:lang w:val="zh-CN"/>
        </w:rPr>
      </w:pPr>
    </w:p>
    <w:p w14:paraId="6D701D3E">
      <w:pPr>
        <w:autoSpaceDE w:val="0"/>
        <w:autoSpaceDN w:val="0"/>
        <w:adjustRightInd w:val="0"/>
        <w:spacing w:line="360" w:lineRule="auto"/>
        <w:rPr>
          <w:rFonts w:hint="eastAsia" w:ascii="宋体" w:hAnsi="宋体"/>
          <w:sz w:val="24"/>
          <w:lang w:val="zh-CN"/>
        </w:rPr>
      </w:pPr>
    </w:p>
    <w:p w14:paraId="011EB35C">
      <w:pPr>
        <w:autoSpaceDE w:val="0"/>
        <w:autoSpaceDN w:val="0"/>
        <w:adjustRightInd w:val="0"/>
        <w:spacing w:line="360" w:lineRule="auto"/>
        <w:rPr>
          <w:rFonts w:hint="eastAsia" w:ascii="宋体" w:hAnsi="宋体"/>
          <w:sz w:val="24"/>
          <w:lang w:val="zh-CN"/>
        </w:rPr>
      </w:pPr>
    </w:p>
    <w:p w14:paraId="11D39030">
      <w:pPr>
        <w:autoSpaceDE w:val="0"/>
        <w:autoSpaceDN w:val="0"/>
        <w:adjustRightInd w:val="0"/>
        <w:spacing w:line="360" w:lineRule="auto"/>
        <w:rPr>
          <w:rFonts w:hint="eastAsia" w:ascii="宋体" w:hAnsi="宋体"/>
          <w:sz w:val="24"/>
          <w:lang w:val="zh-CN"/>
        </w:rPr>
      </w:pPr>
    </w:p>
    <w:p w14:paraId="7C4F4B04">
      <w:pPr>
        <w:autoSpaceDE w:val="0"/>
        <w:autoSpaceDN w:val="0"/>
        <w:adjustRightInd w:val="0"/>
        <w:spacing w:line="360" w:lineRule="auto"/>
        <w:jc w:val="center"/>
        <w:rPr>
          <w:rFonts w:hint="eastAsia" w:ascii="黑体" w:hAnsi="黑体" w:eastAsia="黑体"/>
          <w:b/>
          <w:sz w:val="32"/>
          <w:szCs w:val="32"/>
          <w:lang w:val="zh-CN"/>
        </w:rPr>
      </w:pPr>
      <w:r>
        <w:rPr>
          <w:rFonts w:hint="eastAsia" w:ascii="黑体" w:hAnsi="黑体" w:eastAsia="黑体"/>
          <w:b/>
          <w:sz w:val="32"/>
          <w:szCs w:val="32"/>
          <w:lang w:val="zh-CN"/>
        </w:rPr>
        <w:br w:type="page"/>
      </w:r>
      <w:r>
        <w:rPr>
          <w:rFonts w:hint="eastAsia" w:ascii="黑体" w:hAnsi="黑体" w:eastAsia="黑体"/>
          <w:b/>
          <w:sz w:val="32"/>
          <w:szCs w:val="32"/>
        </w:rPr>
        <w:t>七</w:t>
      </w:r>
      <w:r>
        <w:rPr>
          <w:rFonts w:hint="eastAsia" w:ascii="黑体" w:hAnsi="黑体" w:eastAsia="黑体"/>
          <w:b/>
          <w:sz w:val="32"/>
          <w:szCs w:val="32"/>
          <w:lang w:val="zh-CN"/>
        </w:rPr>
        <w:t>、商务条款</w:t>
      </w:r>
      <w:r>
        <w:rPr>
          <w:rFonts w:hint="eastAsia" w:ascii="黑体" w:hAnsi="黑体" w:eastAsia="黑体"/>
          <w:b/>
          <w:sz w:val="32"/>
          <w:szCs w:val="32"/>
        </w:rPr>
        <w:t>响应及</w:t>
      </w:r>
      <w:r>
        <w:rPr>
          <w:rFonts w:hint="eastAsia" w:ascii="黑体" w:hAnsi="黑体" w:eastAsia="黑体"/>
          <w:b/>
          <w:sz w:val="32"/>
          <w:szCs w:val="32"/>
          <w:lang w:val="zh-CN"/>
        </w:rPr>
        <w:t>偏离表</w:t>
      </w:r>
    </w:p>
    <w:p w14:paraId="08FDCC09">
      <w:pPr>
        <w:autoSpaceDE w:val="0"/>
        <w:autoSpaceDN w:val="0"/>
        <w:adjustRightInd w:val="0"/>
        <w:spacing w:line="360" w:lineRule="auto"/>
        <w:rPr>
          <w:rFonts w:hint="eastAsia" w:ascii="宋体" w:hAnsi="宋体"/>
          <w:sz w:val="24"/>
          <w:lang w:val="zh-CN"/>
        </w:rPr>
      </w:pPr>
    </w:p>
    <w:tbl>
      <w:tblPr>
        <w:tblStyle w:val="41"/>
        <w:tblW w:w="10450" w:type="dxa"/>
        <w:jc w:val="center"/>
        <w:tblLayout w:type="fixed"/>
        <w:tblCellMar>
          <w:top w:w="0" w:type="dxa"/>
          <w:left w:w="10" w:type="dxa"/>
          <w:bottom w:w="0" w:type="dxa"/>
          <w:right w:w="10" w:type="dxa"/>
        </w:tblCellMar>
      </w:tblPr>
      <w:tblGrid>
        <w:gridCol w:w="665"/>
        <w:gridCol w:w="1754"/>
        <w:gridCol w:w="2661"/>
        <w:gridCol w:w="3294"/>
        <w:gridCol w:w="1038"/>
        <w:gridCol w:w="1038"/>
      </w:tblGrid>
      <w:tr w14:paraId="008C8B8E">
        <w:tblPrEx>
          <w:tblCellMar>
            <w:top w:w="0" w:type="dxa"/>
            <w:left w:w="10" w:type="dxa"/>
            <w:bottom w:w="0" w:type="dxa"/>
            <w:right w:w="10" w:type="dxa"/>
          </w:tblCellMar>
        </w:tblPrEx>
        <w:trPr>
          <w:trHeight w:val="284" w:hRule="atLeast"/>
          <w:jc w:val="center"/>
        </w:trPr>
        <w:tc>
          <w:tcPr>
            <w:tcW w:w="10450" w:type="dxa"/>
            <w:gridSpan w:val="6"/>
            <w:tcBorders>
              <w:bottom w:val="single" w:color="auto" w:sz="6" w:space="0"/>
            </w:tcBorders>
            <w:vAlign w:val="center"/>
          </w:tcPr>
          <w:p w14:paraId="0B891C9C">
            <w:pPr>
              <w:autoSpaceDE w:val="0"/>
              <w:autoSpaceDN w:val="0"/>
              <w:adjustRightInd w:val="0"/>
              <w:spacing w:line="360" w:lineRule="auto"/>
              <w:jc w:val="left"/>
              <w:rPr>
                <w:rFonts w:hint="eastAsia" w:ascii="宋体" w:hAnsi="宋体"/>
                <w:sz w:val="24"/>
                <w:lang w:val="zh-CN"/>
              </w:rPr>
            </w:pPr>
            <w:r>
              <w:rPr>
                <w:rFonts w:hint="eastAsia" w:ascii="宋体" w:hAnsi="宋体"/>
                <w:sz w:val="24"/>
                <w:lang w:val="zh-CN"/>
              </w:rPr>
              <w:t>项目名称：</w:t>
            </w:r>
          </w:p>
          <w:p w14:paraId="261B4E03">
            <w:pPr>
              <w:autoSpaceDE w:val="0"/>
              <w:autoSpaceDN w:val="0"/>
              <w:adjustRightInd w:val="0"/>
              <w:spacing w:line="360" w:lineRule="auto"/>
              <w:jc w:val="left"/>
              <w:rPr>
                <w:rFonts w:hint="eastAsia" w:ascii="宋体" w:hAnsi="宋体"/>
                <w:sz w:val="24"/>
                <w:lang w:val="zh-CN"/>
              </w:rPr>
            </w:pPr>
            <w:r>
              <w:rPr>
                <w:rFonts w:hint="eastAsia" w:ascii="宋体" w:hAnsi="宋体"/>
                <w:sz w:val="24"/>
                <w:lang w:val="zh-CN"/>
              </w:rPr>
              <w:t xml:space="preserve">项目编号： </w:t>
            </w:r>
            <w:r>
              <w:rPr>
                <w:rFonts w:ascii="宋体" w:hAnsi="宋体"/>
                <w:sz w:val="24"/>
                <w:lang w:val="zh-CN"/>
              </w:rPr>
              <w:t xml:space="preserve">                         </w:t>
            </w:r>
            <w:r>
              <w:rPr>
                <w:rFonts w:hint="eastAsia" w:ascii="宋体" w:hAnsi="宋体"/>
                <w:sz w:val="24"/>
              </w:rPr>
              <w:t xml:space="preserve">                                 </w:t>
            </w:r>
          </w:p>
        </w:tc>
      </w:tr>
      <w:tr w14:paraId="1D7137F7">
        <w:tblPrEx>
          <w:tblCellMar>
            <w:top w:w="0" w:type="dxa"/>
            <w:left w:w="10" w:type="dxa"/>
            <w:bottom w:w="0" w:type="dxa"/>
            <w:right w:w="10" w:type="dxa"/>
          </w:tblCellMar>
        </w:tblPrEx>
        <w:trPr>
          <w:trHeight w:val="284" w:hRule="atLeast"/>
          <w:jc w:val="center"/>
        </w:trPr>
        <w:tc>
          <w:tcPr>
            <w:tcW w:w="665" w:type="dxa"/>
            <w:tcBorders>
              <w:top w:val="single" w:color="auto" w:sz="6" w:space="0"/>
              <w:left w:val="single" w:color="auto" w:sz="6" w:space="0"/>
              <w:bottom w:val="single" w:color="auto" w:sz="6" w:space="0"/>
              <w:right w:val="single" w:color="auto" w:sz="6" w:space="0"/>
            </w:tcBorders>
            <w:vAlign w:val="center"/>
          </w:tcPr>
          <w:p w14:paraId="2AD27E7C">
            <w:pPr>
              <w:autoSpaceDE w:val="0"/>
              <w:autoSpaceDN w:val="0"/>
              <w:adjustRightInd w:val="0"/>
              <w:spacing w:line="360" w:lineRule="auto"/>
              <w:jc w:val="center"/>
              <w:rPr>
                <w:rFonts w:hint="eastAsia" w:ascii="宋体" w:hAnsi="宋体"/>
                <w:sz w:val="24"/>
                <w:lang w:val="zh-CN"/>
              </w:rPr>
            </w:pPr>
            <w:r>
              <w:rPr>
                <w:rFonts w:hint="eastAsia" w:ascii="宋体" w:hAnsi="宋体"/>
                <w:sz w:val="24"/>
                <w:lang w:val="zh-CN"/>
              </w:rPr>
              <w:t>序号</w:t>
            </w:r>
          </w:p>
        </w:tc>
        <w:tc>
          <w:tcPr>
            <w:tcW w:w="1754" w:type="dxa"/>
            <w:tcBorders>
              <w:top w:val="single" w:color="auto" w:sz="6" w:space="0"/>
              <w:left w:val="single" w:color="auto" w:sz="6" w:space="0"/>
              <w:bottom w:val="single" w:color="auto" w:sz="6" w:space="0"/>
              <w:right w:val="single" w:color="auto" w:sz="6" w:space="0"/>
            </w:tcBorders>
            <w:vAlign w:val="center"/>
          </w:tcPr>
          <w:p w14:paraId="684B21DA">
            <w:pPr>
              <w:autoSpaceDE w:val="0"/>
              <w:autoSpaceDN w:val="0"/>
              <w:adjustRightInd w:val="0"/>
              <w:spacing w:line="360" w:lineRule="auto"/>
              <w:jc w:val="center"/>
              <w:rPr>
                <w:rFonts w:hint="eastAsia" w:ascii="宋体" w:hAnsi="宋体"/>
                <w:sz w:val="24"/>
                <w:lang w:val="zh-CN"/>
              </w:rPr>
            </w:pPr>
            <w:r>
              <w:rPr>
                <w:rFonts w:hint="eastAsia" w:ascii="宋体" w:hAnsi="宋体"/>
                <w:sz w:val="24"/>
                <w:lang w:val="zh-CN"/>
              </w:rPr>
              <w:t>采购文件条目号</w:t>
            </w:r>
          </w:p>
        </w:tc>
        <w:tc>
          <w:tcPr>
            <w:tcW w:w="2661" w:type="dxa"/>
            <w:tcBorders>
              <w:top w:val="single" w:color="auto" w:sz="6" w:space="0"/>
              <w:left w:val="single" w:color="auto" w:sz="6" w:space="0"/>
              <w:bottom w:val="single" w:color="auto" w:sz="6" w:space="0"/>
              <w:right w:val="single" w:color="auto" w:sz="6" w:space="0"/>
            </w:tcBorders>
            <w:vAlign w:val="center"/>
          </w:tcPr>
          <w:p w14:paraId="255EA67D">
            <w:pPr>
              <w:autoSpaceDE w:val="0"/>
              <w:autoSpaceDN w:val="0"/>
              <w:adjustRightInd w:val="0"/>
              <w:spacing w:line="360" w:lineRule="auto"/>
              <w:jc w:val="center"/>
              <w:rPr>
                <w:rFonts w:hint="eastAsia" w:ascii="宋体" w:hAnsi="宋体"/>
                <w:sz w:val="24"/>
                <w:lang w:val="zh-CN"/>
              </w:rPr>
            </w:pPr>
            <w:r>
              <w:rPr>
                <w:rFonts w:hint="eastAsia" w:ascii="宋体" w:hAnsi="宋体"/>
                <w:sz w:val="24"/>
                <w:lang w:val="zh-CN"/>
              </w:rPr>
              <w:t>采购文件要求的商务条款</w:t>
            </w:r>
          </w:p>
        </w:tc>
        <w:tc>
          <w:tcPr>
            <w:tcW w:w="3294" w:type="dxa"/>
            <w:tcBorders>
              <w:top w:val="single" w:color="auto" w:sz="6" w:space="0"/>
              <w:left w:val="single" w:color="auto" w:sz="6" w:space="0"/>
              <w:bottom w:val="single" w:color="auto" w:sz="6" w:space="0"/>
              <w:right w:val="single" w:color="auto" w:sz="6" w:space="0"/>
            </w:tcBorders>
            <w:vAlign w:val="center"/>
          </w:tcPr>
          <w:p w14:paraId="3B25D5FD">
            <w:pPr>
              <w:autoSpaceDE w:val="0"/>
              <w:autoSpaceDN w:val="0"/>
              <w:adjustRightInd w:val="0"/>
              <w:spacing w:line="360" w:lineRule="auto"/>
              <w:jc w:val="center"/>
              <w:rPr>
                <w:rFonts w:hint="eastAsia" w:ascii="宋体" w:hAnsi="宋体"/>
                <w:sz w:val="24"/>
                <w:lang w:val="zh-CN"/>
              </w:rPr>
            </w:pPr>
            <w:r>
              <w:rPr>
                <w:rFonts w:hint="eastAsia" w:ascii="宋体" w:hAnsi="宋体"/>
                <w:sz w:val="24"/>
                <w:lang w:val="zh-CN"/>
              </w:rPr>
              <w:t>磋商响应内容</w:t>
            </w:r>
          </w:p>
        </w:tc>
        <w:tc>
          <w:tcPr>
            <w:tcW w:w="1038" w:type="dxa"/>
            <w:tcBorders>
              <w:top w:val="single" w:color="auto" w:sz="6" w:space="0"/>
              <w:left w:val="single" w:color="auto" w:sz="6" w:space="0"/>
              <w:bottom w:val="single" w:color="auto" w:sz="6" w:space="0"/>
              <w:right w:val="single" w:color="auto" w:sz="6" w:space="0"/>
            </w:tcBorders>
          </w:tcPr>
          <w:p w14:paraId="358F16D0">
            <w:pPr>
              <w:autoSpaceDE w:val="0"/>
              <w:autoSpaceDN w:val="0"/>
              <w:adjustRightInd w:val="0"/>
              <w:spacing w:line="360" w:lineRule="auto"/>
              <w:jc w:val="center"/>
              <w:rPr>
                <w:rFonts w:hint="eastAsia" w:ascii="宋体" w:hAnsi="宋体"/>
                <w:sz w:val="24"/>
                <w:lang w:val="zh-CN"/>
              </w:rPr>
            </w:pPr>
            <w:r>
              <w:rPr>
                <w:rFonts w:hint="eastAsia" w:ascii="宋体" w:hAnsi="宋体"/>
                <w:sz w:val="24"/>
                <w:lang w:val="zh-CN"/>
              </w:rPr>
              <w:t>证明材料在响应文件中的页码</w:t>
            </w:r>
          </w:p>
        </w:tc>
        <w:tc>
          <w:tcPr>
            <w:tcW w:w="1038" w:type="dxa"/>
            <w:tcBorders>
              <w:top w:val="single" w:color="auto" w:sz="6" w:space="0"/>
              <w:left w:val="single" w:color="auto" w:sz="6" w:space="0"/>
              <w:bottom w:val="single" w:color="auto" w:sz="6" w:space="0"/>
              <w:right w:val="single" w:color="auto" w:sz="6" w:space="0"/>
            </w:tcBorders>
            <w:vAlign w:val="center"/>
          </w:tcPr>
          <w:p w14:paraId="4D6B037A">
            <w:pPr>
              <w:autoSpaceDE w:val="0"/>
              <w:autoSpaceDN w:val="0"/>
              <w:adjustRightInd w:val="0"/>
              <w:spacing w:line="360" w:lineRule="auto"/>
              <w:jc w:val="center"/>
              <w:rPr>
                <w:rFonts w:hint="eastAsia" w:ascii="宋体" w:hAnsi="宋体"/>
                <w:sz w:val="24"/>
                <w:lang w:val="zh-CN"/>
              </w:rPr>
            </w:pPr>
            <w:r>
              <w:rPr>
                <w:rFonts w:hint="eastAsia" w:ascii="宋体" w:hAnsi="宋体"/>
                <w:sz w:val="24"/>
                <w:lang w:val="zh-CN"/>
              </w:rPr>
              <w:t>偏离说明</w:t>
            </w:r>
          </w:p>
        </w:tc>
      </w:tr>
      <w:tr w14:paraId="2962B601">
        <w:tblPrEx>
          <w:tblCellMar>
            <w:top w:w="0" w:type="dxa"/>
            <w:left w:w="10" w:type="dxa"/>
            <w:bottom w:w="0" w:type="dxa"/>
            <w:right w:w="10" w:type="dxa"/>
          </w:tblCellMar>
        </w:tblPrEx>
        <w:trPr>
          <w:trHeight w:val="284" w:hRule="atLeast"/>
          <w:jc w:val="center"/>
        </w:trPr>
        <w:tc>
          <w:tcPr>
            <w:tcW w:w="665" w:type="dxa"/>
            <w:tcBorders>
              <w:top w:val="single" w:color="auto" w:sz="6" w:space="0"/>
              <w:left w:val="single" w:color="auto" w:sz="6" w:space="0"/>
              <w:bottom w:val="single" w:color="auto" w:sz="6" w:space="0"/>
              <w:right w:val="single" w:color="auto" w:sz="6" w:space="0"/>
            </w:tcBorders>
            <w:vAlign w:val="center"/>
          </w:tcPr>
          <w:p w14:paraId="1B7CADA3">
            <w:pPr>
              <w:autoSpaceDE w:val="0"/>
              <w:autoSpaceDN w:val="0"/>
              <w:adjustRightInd w:val="0"/>
              <w:spacing w:line="360" w:lineRule="auto"/>
              <w:jc w:val="center"/>
              <w:rPr>
                <w:rFonts w:hint="eastAsia" w:ascii="宋体" w:hAnsi="宋体"/>
                <w:sz w:val="24"/>
                <w:lang w:val="zh-CN"/>
              </w:rPr>
            </w:pPr>
          </w:p>
        </w:tc>
        <w:tc>
          <w:tcPr>
            <w:tcW w:w="1754" w:type="dxa"/>
            <w:tcBorders>
              <w:top w:val="single" w:color="auto" w:sz="6" w:space="0"/>
              <w:left w:val="single" w:color="auto" w:sz="6" w:space="0"/>
              <w:bottom w:val="single" w:color="auto" w:sz="6" w:space="0"/>
              <w:right w:val="single" w:color="auto" w:sz="6" w:space="0"/>
            </w:tcBorders>
            <w:vAlign w:val="center"/>
          </w:tcPr>
          <w:p w14:paraId="191E14D1">
            <w:pPr>
              <w:autoSpaceDE w:val="0"/>
              <w:autoSpaceDN w:val="0"/>
              <w:adjustRightInd w:val="0"/>
              <w:spacing w:line="360" w:lineRule="auto"/>
              <w:jc w:val="center"/>
              <w:rPr>
                <w:rFonts w:hint="eastAsia" w:ascii="宋体" w:hAnsi="宋体"/>
                <w:sz w:val="24"/>
                <w:lang w:val="zh-CN"/>
              </w:rPr>
            </w:pPr>
          </w:p>
        </w:tc>
        <w:tc>
          <w:tcPr>
            <w:tcW w:w="2661" w:type="dxa"/>
            <w:tcBorders>
              <w:top w:val="single" w:color="auto" w:sz="6" w:space="0"/>
              <w:left w:val="single" w:color="auto" w:sz="6" w:space="0"/>
              <w:bottom w:val="single" w:color="auto" w:sz="6" w:space="0"/>
              <w:right w:val="single" w:color="auto" w:sz="6" w:space="0"/>
            </w:tcBorders>
            <w:vAlign w:val="center"/>
          </w:tcPr>
          <w:p w14:paraId="32115E28">
            <w:pPr>
              <w:autoSpaceDE w:val="0"/>
              <w:autoSpaceDN w:val="0"/>
              <w:adjustRightInd w:val="0"/>
              <w:spacing w:line="360" w:lineRule="auto"/>
              <w:jc w:val="center"/>
              <w:rPr>
                <w:rFonts w:hint="eastAsia" w:ascii="宋体" w:hAnsi="宋体"/>
                <w:sz w:val="24"/>
                <w:lang w:val="zh-CN"/>
              </w:rPr>
            </w:pPr>
          </w:p>
        </w:tc>
        <w:tc>
          <w:tcPr>
            <w:tcW w:w="3294" w:type="dxa"/>
            <w:tcBorders>
              <w:top w:val="single" w:color="auto" w:sz="6" w:space="0"/>
              <w:left w:val="single" w:color="auto" w:sz="6" w:space="0"/>
              <w:bottom w:val="single" w:color="auto" w:sz="6" w:space="0"/>
              <w:right w:val="single" w:color="auto" w:sz="6" w:space="0"/>
            </w:tcBorders>
            <w:vAlign w:val="center"/>
          </w:tcPr>
          <w:p w14:paraId="5F560244">
            <w:pPr>
              <w:autoSpaceDE w:val="0"/>
              <w:autoSpaceDN w:val="0"/>
              <w:adjustRightInd w:val="0"/>
              <w:spacing w:line="360" w:lineRule="auto"/>
              <w:jc w:val="center"/>
              <w:rPr>
                <w:rFonts w:hint="eastAsia" w:ascii="宋体" w:hAnsi="宋体"/>
                <w:sz w:val="24"/>
                <w:lang w:val="zh-CN"/>
              </w:rPr>
            </w:pPr>
          </w:p>
        </w:tc>
        <w:tc>
          <w:tcPr>
            <w:tcW w:w="1038" w:type="dxa"/>
            <w:tcBorders>
              <w:top w:val="single" w:color="auto" w:sz="6" w:space="0"/>
              <w:left w:val="single" w:color="auto" w:sz="6" w:space="0"/>
              <w:bottom w:val="single" w:color="auto" w:sz="6" w:space="0"/>
              <w:right w:val="single" w:color="auto" w:sz="6" w:space="0"/>
            </w:tcBorders>
          </w:tcPr>
          <w:p w14:paraId="01A1CD76">
            <w:pPr>
              <w:autoSpaceDE w:val="0"/>
              <w:autoSpaceDN w:val="0"/>
              <w:adjustRightInd w:val="0"/>
              <w:spacing w:line="360" w:lineRule="auto"/>
              <w:jc w:val="center"/>
              <w:rPr>
                <w:rFonts w:hint="eastAsia" w:ascii="宋体" w:hAnsi="宋体"/>
                <w:sz w:val="24"/>
                <w:lang w:val="zh-CN"/>
              </w:rPr>
            </w:pPr>
          </w:p>
        </w:tc>
        <w:tc>
          <w:tcPr>
            <w:tcW w:w="1038" w:type="dxa"/>
            <w:tcBorders>
              <w:top w:val="single" w:color="auto" w:sz="6" w:space="0"/>
              <w:left w:val="single" w:color="auto" w:sz="6" w:space="0"/>
              <w:bottom w:val="single" w:color="auto" w:sz="6" w:space="0"/>
              <w:right w:val="single" w:color="auto" w:sz="6" w:space="0"/>
            </w:tcBorders>
            <w:vAlign w:val="center"/>
          </w:tcPr>
          <w:p w14:paraId="3753EAC7">
            <w:pPr>
              <w:autoSpaceDE w:val="0"/>
              <w:autoSpaceDN w:val="0"/>
              <w:adjustRightInd w:val="0"/>
              <w:spacing w:line="360" w:lineRule="auto"/>
              <w:jc w:val="center"/>
              <w:rPr>
                <w:rFonts w:hint="eastAsia" w:ascii="宋体" w:hAnsi="宋体"/>
                <w:sz w:val="24"/>
                <w:lang w:val="zh-CN"/>
              </w:rPr>
            </w:pPr>
          </w:p>
        </w:tc>
      </w:tr>
      <w:tr w14:paraId="2DD0C709">
        <w:tblPrEx>
          <w:tblCellMar>
            <w:top w:w="0" w:type="dxa"/>
            <w:left w:w="10" w:type="dxa"/>
            <w:bottom w:w="0" w:type="dxa"/>
            <w:right w:w="10" w:type="dxa"/>
          </w:tblCellMar>
        </w:tblPrEx>
        <w:trPr>
          <w:trHeight w:val="284" w:hRule="atLeast"/>
          <w:jc w:val="center"/>
        </w:trPr>
        <w:tc>
          <w:tcPr>
            <w:tcW w:w="665" w:type="dxa"/>
            <w:tcBorders>
              <w:top w:val="single" w:color="auto" w:sz="6" w:space="0"/>
              <w:left w:val="single" w:color="auto" w:sz="6" w:space="0"/>
              <w:bottom w:val="single" w:color="auto" w:sz="6" w:space="0"/>
              <w:right w:val="single" w:color="auto" w:sz="6" w:space="0"/>
            </w:tcBorders>
            <w:vAlign w:val="center"/>
          </w:tcPr>
          <w:p w14:paraId="4AECFDE8">
            <w:pPr>
              <w:autoSpaceDE w:val="0"/>
              <w:autoSpaceDN w:val="0"/>
              <w:adjustRightInd w:val="0"/>
              <w:spacing w:line="360" w:lineRule="auto"/>
              <w:jc w:val="center"/>
              <w:rPr>
                <w:rFonts w:hint="eastAsia" w:ascii="宋体" w:hAnsi="宋体"/>
                <w:sz w:val="24"/>
                <w:lang w:val="zh-CN"/>
              </w:rPr>
            </w:pPr>
          </w:p>
        </w:tc>
        <w:tc>
          <w:tcPr>
            <w:tcW w:w="1754" w:type="dxa"/>
            <w:tcBorders>
              <w:top w:val="single" w:color="auto" w:sz="6" w:space="0"/>
              <w:left w:val="single" w:color="auto" w:sz="6" w:space="0"/>
              <w:bottom w:val="single" w:color="auto" w:sz="6" w:space="0"/>
              <w:right w:val="single" w:color="auto" w:sz="6" w:space="0"/>
            </w:tcBorders>
            <w:vAlign w:val="center"/>
          </w:tcPr>
          <w:p w14:paraId="00D59A4E">
            <w:pPr>
              <w:autoSpaceDE w:val="0"/>
              <w:autoSpaceDN w:val="0"/>
              <w:adjustRightInd w:val="0"/>
              <w:spacing w:line="360" w:lineRule="auto"/>
              <w:jc w:val="center"/>
              <w:rPr>
                <w:rFonts w:hint="eastAsia" w:ascii="宋体" w:hAnsi="宋体"/>
                <w:sz w:val="24"/>
                <w:lang w:val="zh-CN"/>
              </w:rPr>
            </w:pPr>
          </w:p>
        </w:tc>
        <w:tc>
          <w:tcPr>
            <w:tcW w:w="2661" w:type="dxa"/>
            <w:tcBorders>
              <w:top w:val="single" w:color="auto" w:sz="6" w:space="0"/>
              <w:left w:val="single" w:color="auto" w:sz="6" w:space="0"/>
              <w:bottom w:val="single" w:color="auto" w:sz="6" w:space="0"/>
              <w:right w:val="single" w:color="auto" w:sz="6" w:space="0"/>
            </w:tcBorders>
            <w:vAlign w:val="center"/>
          </w:tcPr>
          <w:p w14:paraId="1D8D60D4">
            <w:pPr>
              <w:autoSpaceDE w:val="0"/>
              <w:autoSpaceDN w:val="0"/>
              <w:adjustRightInd w:val="0"/>
              <w:spacing w:line="360" w:lineRule="auto"/>
              <w:jc w:val="center"/>
              <w:rPr>
                <w:rFonts w:hint="eastAsia" w:ascii="宋体" w:hAnsi="宋体"/>
                <w:sz w:val="24"/>
                <w:lang w:val="zh-CN"/>
              </w:rPr>
            </w:pPr>
          </w:p>
        </w:tc>
        <w:tc>
          <w:tcPr>
            <w:tcW w:w="3294" w:type="dxa"/>
            <w:tcBorders>
              <w:top w:val="single" w:color="auto" w:sz="6" w:space="0"/>
              <w:left w:val="single" w:color="auto" w:sz="6" w:space="0"/>
              <w:bottom w:val="single" w:color="auto" w:sz="6" w:space="0"/>
              <w:right w:val="single" w:color="auto" w:sz="6" w:space="0"/>
            </w:tcBorders>
            <w:vAlign w:val="center"/>
          </w:tcPr>
          <w:p w14:paraId="53C86B39">
            <w:pPr>
              <w:autoSpaceDE w:val="0"/>
              <w:autoSpaceDN w:val="0"/>
              <w:adjustRightInd w:val="0"/>
              <w:spacing w:line="360" w:lineRule="auto"/>
              <w:jc w:val="center"/>
              <w:rPr>
                <w:rFonts w:hint="eastAsia" w:ascii="宋体" w:hAnsi="宋体"/>
                <w:sz w:val="24"/>
                <w:lang w:val="zh-CN"/>
              </w:rPr>
            </w:pPr>
          </w:p>
        </w:tc>
        <w:tc>
          <w:tcPr>
            <w:tcW w:w="1038" w:type="dxa"/>
            <w:tcBorders>
              <w:top w:val="single" w:color="auto" w:sz="6" w:space="0"/>
              <w:left w:val="single" w:color="auto" w:sz="6" w:space="0"/>
              <w:bottom w:val="single" w:color="auto" w:sz="6" w:space="0"/>
              <w:right w:val="single" w:color="auto" w:sz="6" w:space="0"/>
            </w:tcBorders>
          </w:tcPr>
          <w:p w14:paraId="4AC6569D">
            <w:pPr>
              <w:autoSpaceDE w:val="0"/>
              <w:autoSpaceDN w:val="0"/>
              <w:adjustRightInd w:val="0"/>
              <w:spacing w:line="360" w:lineRule="auto"/>
              <w:jc w:val="center"/>
              <w:rPr>
                <w:rFonts w:hint="eastAsia" w:ascii="宋体" w:hAnsi="宋体"/>
                <w:sz w:val="24"/>
                <w:lang w:val="zh-CN"/>
              </w:rPr>
            </w:pPr>
          </w:p>
        </w:tc>
        <w:tc>
          <w:tcPr>
            <w:tcW w:w="1038" w:type="dxa"/>
            <w:tcBorders>
              <w:top w:val="single" w:color="auto" w:sz="6" w:space="0"/>
              <w:left w:val="single" w:color="auto" w:sz="6" w:space="0"/>
              <w:bottom w:val="single" w:color="auto" w:sz="6" w:space="0"/>
              <w:right w:val="single" w:color="auto" w:sz="6" w:space="0"/>
            </w:tcBorders>
            <w:vAlign w:val="center"/>
          </w:tcPr>
          <w:p w14:paraId="35F5B295">
            <w:pPr>
              <w:autoSpaceDE w:val="0"/>
              <w:autoSpaceDN w:val="0"/>
              <w:adjustRightInd w:val="0"/>
              <w:spacing w:line="360" w:lineRule="auto"/>
              <w:jc w:val="center"/>
              <w:rPr>
                <w:rFonts w:hint="eastAsia" w:ascii="宋体" w:hAnsi="宋体"/>
                <w:sz w:val="24"/>
                <w:lang w:val="zh-CN"/>
              </w:rPr>
            </w:pPr>
          </w:p>
        </w:tc>
      </w:tr>
      <w:tr w14:paraId="7EE0C433">
        <w:tblPrEx>
          <w:tblCellMar>
            <w:top w:w="0" w:type="dxa"/>
            <w:left w:w="10" w:type="dxa"/>
            <w:bottom w:w="0" w:type="dxa"/>
            <w:right w:w="10" w:type="dxa"/>
          </w:tblCellMar>
        </w:tblPrEx>
        <w:trPr>
          <w:trHeight w:val="284" w:hRule="atLeast"/>
          <w:jc w:val="center"/>
        </w:trPr>
        <w:tc>
          <w:tcPr>
            <w:tcW w:w="665" w:type="dxa"/>
            <w:tcBorders>
              <w:top w:val="single" w:color="auto" w:sz="6" w:space="0"/>
              <w:left w:val="single" w:color="auto" w:sz="6" w:space="0"/>
              <w:bottom w:val="single" w:color="auto" w:sz="6" w:space="0"/>
              <w:right w:val="single" w:color="auto" w:sz="6" w:space="0"/>
            </w:tcBorders>
            <w:vAlign w:val="center"/>
          </w:tcPr>
          <w:p w14:paraId="3D7073FE">
            <w:pPr>
              <w:autoSpaceDE w:val="0"/>
              <w:autoSpaceDN w:val="0"/>
              <w:adjustRightInd w:val="0"/>
              <w:spacing w:line="360" w:lineRule="auto"/>
              <w:jc w:val="center"/>
              <w:rPr>
                <w:rFonts w:hint="eastAsia" w:ascii="宋体" w:hAnsi="宋体"/>
                <w:sz w:val="24"/>
                <w:lang w:val="zh-CN"/>
              </w:rPr>
            </w:pPr>
          </w:p>
        </w:tc>
        <w:tc>
          <w:tcPr>
            <w:tcW w:w="1754" w:type="dxa"/>
            <w:tcBorders>
              <w:top w:val="single" w:color="auto" w:sz="6" w:space="0"/>
              <w:left w:val="single" w:color="auto" w:sz="6" w:space="0"/>
              <w:bottom w:val="single" w:color="auto" w:sz="6" w:space="0"/>
              <w:right w:val="single" w:color="auto" w:sz="6" w:space="0"/>
            </w:tcBorders>
            <w:vAlign w:val="center"/>
          </w:tcPr>
          <w:p w14:paraId="1E1EBB4E">
            <w:pPr>
              <w:autoSpaceDE w:val="0"/>
              <w:autoSpaceDN w:val="0"/>
              <w:adjustRightInd w:val="0"/>
              <w:spacing w:line="360" w:lineRule="auto"/>
              <w:jc w:val="center"/>
              <w:rPr>
                <w:rFonts w:hint="eastAsia" w:ascii="宋体" w:hAnsi="宋体"/>
                <w:sz w:val="24"/>
                <w:lang w:val="zh-CN"/>
              </w:rPr>
            </w:pPr>
          </w:p>
        </w:tc>
        <w:tc>
          <w:tcPr>
            <w:tcW w:w="2661" w:type="dxa"/>
            <w:tcBorders>
              <w:top w:val="single" w:color="auto" w:sz="6" w:space="0"/>
              <w:left w:val="single" w:color="auto" w:sz="6" w:space="0"/>
              <w:bottom w:val="single" w:color="auto" w:sz="6" w:space="0"/>
              <w:right w:val="single" w:color="auto" w:sz="6" w:space="0"/>
            </w:tcBorders>
            <w:vAlign w:val="center"/>
          </w:tcPr>
          <w:p w14:paraId="1C04659F">
            <w:pPr>
              <w:autoSpaceDE w:val="0"/>
              <w:autoSpaceDN w:val="0"/>
              <w:adjustRightInd w:val="0"/>
              <w:spacing w:line="360" w:lineRule="auto"/>
              <w:jc w:val="center"/>
              <w:rPr>
                <w:rFonts w:hint="eastAsia" w:ascii="宋体" w:hAnsi="宋体"/>
                <w:sz w:val="24"/>
                <w:lang w:val="zh-CN"/>
              </w:rPr>
            </w:pPr>
          </w:p>
        </w:tc>
        <w:tc>
          <w:tcPr>
            <w:tcW w:w="3294" w:type="dxa"/>
            <w:tcBorders>
              <w:top w:val="single" w:color="auto" w:sz="6" w:space="0"/>
              <w:left w:val="single" w:color="auto" w:sz="6" w:space="0"/>
              <w:bottom w:val="single" w:color="auto" w:sz="6" w:space="0"/>
              <w:right w:val="single" w:color="auto" w:sz="6" w:space="0"/>
            </w:tcBorders>
            <w:vAlign w:val="center"/>
          </w:tcPr>
          <w:p w14:paraId="6FBB46C5">
            <w:pPr>
              <w:autoSpaceDE w:val="0"/>
              <w:autoSpaceDN w:val="0"/>
              <w:adjustRightInd w:val="0"/>
              <w:spacing w:line="360" w:lineRule="auto"/>
              <w:jc w:val="center"/>
              <w:rPr>
                <w:rFonts w:hint="eastAsia" w:ascii="宋体" w:hAnsi="宋体"/>
                <w:sz w:val="24"/>
                <w:lang w:val="zh-CN"/>
              </w:rPr>
            </w:pPr>
          </w:p>
        </w:tc>
        <w:tc>
          <w:tcPr>
            <w:tcW w:w="1038" w:type="dxa"/>
            <w:tcBorders>
              <w:top w:val="single" w:color="auto" w:sz="6" w:space="0"/>
              <w:left w:val="single" w:color="auto" w:sz="6" w:space="0"/>
              <w:bottom w:val="single" w:color="auto" w:sz="6" w:space="0"/>
              <w:right w:val="single" w:color="auto" w:sz="6" w:space="0"/>
            </w:tcBorders>
          </w:tcPr>
          <w:p w14:paraId="7E96F4BD">
            <w:pPr>
              <w:autoSpaceDE w:val="0"/>
              <w:autoSpaceDN w:val="0"/>
              <w:adjustRightInd w:val="0"/>
              <w:spacing w:line="360" w:lineRule="auto"/>
              <w:jc w:val="center"/>
              <w:rPr>
                <w:rFonts w:hint="eastAsia" w:ascii="宋体" w:hAnsi="宋体"/>
                <w:sz w:val="24"/>
                <w:lang w:val="zh-CN"/>
              </w:rPr>
            </w:pPr>
          </w:p>
        </w:tc>
        <w:tc>
          <w:tcPr>
            <w:tcW w:w="1038" w:type="dxa"/>
            <w:tcBorders>
              <w:top w:val="single" w:color="auto" w:sz="6" w:space="0"/>
              <w:left w:val="single" w:color="auto" w:sz="6" w:space="0"/>
              <w:bottom w:val="single" w:color="auto" w:sz="6" w:space="0"/>
              <w:right w:val="single" w:color="auto" w:sz="6" w:space="0"/>
            </w:tcBorders>
            <w:vAlign w:val="center"/>
          </w:tcPr>
          <w:p w14:paraId="0037FC90">
            <w:pPr>
              <w:autoSpaceDE w:val="0"/>
              <w:autoSpaceDN w:val="0"/>
              <w:adjustRightInd w:val="0"/>
              <w:spacing w:line="360" w:lineRule="auto"/>
              <w:jc w:val="center"/>
              <w:rPr>
                <w:rFonts w:hint="eastAsia" w:ascii="宋体" w:hAnsi="宋体"/>
                <w:sz w:val="24"/>
                <w:lang w:val="zh-CN"/>
              </w:rPr>
            </w:pPr>
          </w:p>
        </w:tc>
      </w:tr>
      <w:tr w14:paraId="32B29102">
        <w:tblPrEx>
          <w:tblCellMar>
            <w:top w:w="0" w:type="dxa"/>
            <w:left w:w="10" w:type="dxa"/>
            <w:bottom w:w="0" w:type="dxa"/>
            <w:right w:w="10" w:type="dxa"/>
          </w:tblCellMar>
        </w:tblPrEx>
        <w:trPr>
          <w:trHeight w:val="284" w:hRule="atLeast"/>
          <w:jc w:val="center"/>
        </w:trPr>
        <w:tc>
          <w:tcPr>
            <w:tcW w:w="665" w:type="dxa"/>
            <w:tcBorders>
              <w:top w:val="single" w:color="auto" w:sz="6" w:space="0"/>
              <w:left w:val="single" w:color="auto" w:sz="6" w:space="0"/>
              <w:bottom w:val="single" w:color="auto" w:sz="6" w:space="0"/>
              <w:right w:val="single" w:color="auto" w:sz="6" w:space="0"/>
            </w:tcBorders>
            <w:vAlign w:val="center"/>
          </w:tcPr>
          <w:p w14:paraId="0FD3D8F6">
            <w:pPr>
              <w:autoSpaceDE w:val="0"/>
              <w:autoSpaceDN w:val="0"/>
              <w:adjustRightInd w:val="0"/>
              <w:spacing w:line="360" w:lineRule="auto"/>
              <w:jc w:val="center"/>
              <w:rPr>
                <w:rFonts w:hint="eastAsia" w:ascii="宋体" w:hAnsi="宋体"/>
                <w:sz w:val="24"/>
                <w:lang w:val="zh-CN"/>
              </w:rPr>
            </w:pPr>
          </w:p>
        </w:tc>
        <w:tc>
          <w:tcPr>
            <w:tcW w:w="1754" w:type="dxa"/>
            <w:tcBorders>
              <w:top w:val="single" w:color="auto" w:sz="6" w:space="0"/>
              <w:left w:val="single" w:color="auto" w:sz="6" w:space="0"/>
              <w:bottom w:val="single" w:color="auto" w:sz="6" w:space="0"/>
              <w:right w:val="single" w:color="auto" w:sz="6" w:space="0"/>
            </w:tcBorders>
            <w:vAlign w:val="center"/>
          </w:tcPr>
          <w:p w14:paraId="4D36FD9A">
            <w:pPr>
              <w:autoSpaceDE w:val="0"/>
              <w:autoSpaceDN w:val="0"/>
              <w:adjustRightInd w:val="0"/>
              <w:spacing w:line="360" w:lineRule="auto"/>
              <w:jc w:val="center"/>
              <w:rPr>
                <w:rFonts w:hint="eastAsia" w:ascii="宋体" w:hAnsi="宋体"/>
                <w:sz w:val="24"/>
                <w:lang w:val="zh-CN"/>
              </w:rPr>
            </w:pPr>
          </w:p>
        </w:tc>
        <w:tc>
          <w:tcPr>
            <w:tcW w:w="2661" w:type="dxa"/>
            <w:tcBorders>
              <w:top w:val="single" w:color="auto" w:sz="6" w:space="0"/>
              <w:left w:val="single" w:color="auto" w:sz="6" w:space="0"/>
              <w:bottom w:val="single" w:color="auto" w:sz="6" w:space="0"/>
              <w:right w:val="single" w:color="auto" w:sz="6" w:space="0"/>
            </w:tcBorders>
            <w:vAlign w:val="center"/>
          </w:tcPr>
          <w:p w14:paraId="51ABEB8A">
            <w:pPr>
              <w:autoSpaceDE w:val="0"/>
              <w:autoSpaceDN w:val="0"/>
              <w:adjustRightInd w:val="0"/>
              <w:spacing w:line="360" w:lineRule="auto"/>
              <w:jc w:val="center"/>
              <w:rPr>
                <w:rFonts w:hint="eastAsia" w:ascii="宋体" w:hAnsi="宋体"/>
                <w:sz w:val="24"/>
                <w:lang w:val="zh-CN"/>
              </w:rPr>
            </w:pPr>
          </w:p>
        </w:tc>
        <w:tc>
          <w:tcPr>
            <w:tcW w:w="3294" w:type="dxa"/>
            <w:tcBorders>
              <w:top w:val="single" w:color="auto" w:sz="6" w:space="0"/>
              <w:left w:val="single" w:color="auto" w:sz="6" w:space="0"/>
              <w:bottom w:val="single" w:color="auto" w:sz="6" w:space="0"/>
              <w:right w:val="single" w:color="auto" w:sz="6" w:space="0"/>
            </w:tcBorders>
            <w:vAlign w:val="center"/>
          </w:tcPr>
          <w:p w14:paraId="4B77EADE">
            <w:pPr>
              <w:autoSpaceDE w:val="0"/>
              <w:autoSpaceDN w:val="0"/>
              <w:adjustRightInd w:val="0"/>
              <w:spacing w:line="360" w:lineRule="auto"/>
              <w:jc w:val="center"/>
              <w:rPr>
                <w:rFonts w:hint="eastAsia" w:ascii="宋体" w:hAnsi="宋体"/>
                <w:sz w:val="24"/>
                <w:lang w:val="zh-CN"/>
              </w:rPr>
            </w:pPr>
          </w:p>
        </w:tc>
        <w:tc>
          <w:tcPr>
            <w:tcW w:w="1038" w:type="dxa"/>
            <w:tcBorders>
              <w:top w:val="single" w:color="auto" w:sz="6" w:space="0"/>
              <w:left w:val="single" w:color="auto" w:sz="6" w:space="0"/>
              <w:bottom w:val="single" w:color="auto" w:sz="6" w:space="0"/>
              <w:right w:val="single" w:color="auto" w:sz="6" w:space="0"/>
            </w:tcBorders>
          </w:tcPr>
          <w:p w14:paraId="527A2967">
            <w:pPr>
              <w:autoSpaceDE w:val="0"/>
              <w:autoSpaceDN w:val="0"/>
              <w:adjustRightInd w:val="0"/>
              <w:spacing w:line="360" w:lineRule="auto"/>
              <w:jc w:val="center"/>
              <w:rPr>
                <w:rFonts w:hint="eastAsia" w:ascii="宋体" w:hAnsi="宋体"/>
                <w:sz w:val="24"/>
                <w:lang w:val="zh-CN"/>
              </w:rPr>
            </w:pPr>
          </w:p>
        </w:tc>
        <w:tc>
          <w:tcPr>
            <w:tcW w:w="1038" w:type="dxa"/>
            <w:tcBorders>
              <w:top w:val="single" w:color="auto" w:sz="6" w:space="0"/>
              <w:left w:val="single" w:color="auto" w:sz="6" w:space="0"/>
              <w:bottom w:val="single" w:color="auto" w:sz="6" w:space="0"/>
              <w:right w:val="single" w:color="auto" w:sz="6" w:space="0"/>
            </w:tcBorders>
            <w:vAlign w:val="center"/>
          </w:tcPr>
          <w:p w14:paraId="33933DB1">
            <w:pPr>
              <w:autoSpaceDE w:val="0"/>
              <w:autoSpaceDN w:val="0"/>
              <w:adjustRightInd w:val="0"/>
              <w:spacing w:line="360" w:lineRule="auto"/>
              <w:jc w:val="center"/>
              <w:rPr>
                <w:rFonts w:hint="eastAsia" w:ascii="宋体" w:hAnsi="宋体"/>
                <w:sz w:val="24"/>
                <w:lang w:val="zh-CN"/>
              </w:rPr>
            </w:pPr>
          </w:p>
        </w:tc>
      </w:tr>
      <w:tr w14:paraId="3A55766F">
        <w:tblPrEx>
          <w:tblCellMar>
            <w:top w:w="0" w:type="dxa"/>
            <w:left w:w="10" w:type="dxa"/>
            <w:bottom w:w="0" w:type="dxa"/>
            <w:right w:w="10" w:type="dxa"/>
          </w:tblCellMar>
        </w:tblPrEx>
        <w:trPr>
          <w:trHeight w:val="284" w:hRule="atLeast"/>
          <w:jc w:val="center"/>
        </w:trPr>
        <w:tc>
          <w:tcPr>
            <w:tcW w:w="665" w:type="dxa"/>
            <w:tcBorders>
              <w:top w:val="single" w:color="auto" w:sz="6" w:space="0"/>
              <w:left w:val="single" w:color="auto" w:sz="6" w:space="0"/>
              <w:bottom w:val="single" w:color="auto" w:sz="6" w:space="0"/>
              <w:right w:val="single" w:color="auto" w:sz="6" w:space="0"/>
            </w:tcBorders>
            <w:vAlign w:val="center"/>
          </w:tcPr>
          <w:p w14:paraId="0771CE2D">
            <w:pPr>
              <w:autoSpaceDE w:val="0"/>
              <w:autoSpaceDN w:val="0"/>
              <w:adjustRightInd w:val="0"/>
              <w:spacing w:line="360" w:lineRule="auto"/>
              <w:jc w:val="center"/>
              <w:rPr>
                <w:rFonts w:hint="eastAsia" w:ascii="宋体" w:hAnsi="宋体"/>
                <w:sz w:val="24"/>
                <w:lang w:val="zh-CN"/>
              </w:rPr>
            </w:pPr>
          </w:p>
        </w:tc>
        <w:tc>
          <w:tcPr>
            <w:tcW w:w="1754" w:type="dxa"/>
            <w:tcBorders>
              <w:top w:val="single" w:color="auto" w:sz="6" w:space="0"/>
              <w:left w:val="single" w:color="auto" w:sz="6" w:space="0"/>
              <w:bottom w:val="single" w:color="auto" w:sz="6" w:space="0"/>
              <w:right w:val="single" w:color="auto" w:sz="6" w:space="0"/>
            </w:tcBorders>
            <w:vAlign w:val="center"/>
          </w:tcPr>
          <w:p w14:paraId="33FF3CA9">
            <w:pPr>
              <w:autoSpaceDE w:val="0"/>
              <w:autoSpaceDN w:val="0"/>
              <w:adjustRightInd w:val="0"/>
              <w:spacing w:line="360" w:lineRule="auto"/>
              <w:jc w:val="center"/>
              <w:rPr>
                <w:rFonts w:hint="eastAsia" w:ascii="宋体" w:hAnsi="宋体"/>
                <w:sz w:val="24"/>
                <w:lang w:val="zh-CN"/>
              </w:rPr>
            </w:pPr>
          </w:p>
        </w:tc>
        <w:tc>
          <w:tcPr>
            <w:tcW w:w="2661" w:type="dxa"/>
            <w:tcBorders>
              <w:top w:val="single" w:color="auto" w:sz="6" w:space="0"/>
              <w:left w:val="single" w:color="auto" w:sz="6" w:space="0"/>
              <w:bottom w:val="single" w:color="auto" w:sz="6" w:space="0"/>
              <w:right w:val="single" w:color="auto" w:sz="6" w:space="0"/>
            </w:tcBorders>
            <w:vAlign w:val="center"/>
          </w:tcPr>
          <w:p w14:paraId="61C6EE98">
            <w:pPr>
              <w:autoSpaceDE w:val="0"/>
              <w:autoSpaceDN w:val="0"/>
              <w:adjustRightInd w:val="0"/>
              <w:spacing w:line="360" w:lineRule="auto"/>
              <w:jc w:val="center"/>
              <w:rPr>
                <w:rFonts w:hint="eastAsia" w:ascii="宋体" w:hAnsi="宋体"/>
                <w:sz w:val="24"/>
                <w:lang w:val="zh-CN"/>
              </w:rPr>
            </w:pPr>
          </w:p>
        </w:tc>
        <w:tc>
          <w:tcPr>
            <w:tcW w:w="3294" w:type="dxa"/>
            <w:tcBorders>
              <w:top w:val="single" w:color="auto" w:sz="6" w:space="0"/>
              <w:left w:val="single" w:color="auto" w:sz="6" w:space="0"/>
              <w:bottom w:val="single" w:color="auto" w:sz="6" w:space="0"/>
              <w:right w:val="single" w:color="auto" w:sz="6" w:space="0"/>
            </w:tcBorders>
            <w:vAlign w:val="center"/>
          </w:tcPr>
          <w:p w14:paraId="27BC16D6">
            <w:pPr>
              <w:autoSpaceDE w:val="0"/>
              <w:autoSpaceDN w:val="0"/>
              <w:adjustRightInd w:val="0"/>
              <w:spacing w:line="360" w:lineRule="auto"/>
              <w:jc w:val="center"/>
              <w:rPr>
                <w:rFonts w:hint="eastAsia" w:ascii="宋体" w:hAnsi="宋体"/>
                <w:sz w:val="24"/>
                <w:lang w:val="zh-CN"/>
              </w:rPr>
            </w:pPr>
          </w:p>
        </w:tc>
        <w:tc>
          <w:tcPr>
            <w:tcW w:w="1038" w:type="dxa"/>
            <w:tcBorders>
              <w:top w:val="single" w:color="auto" w:sz="6" w:space="0"/>
              <w:left w:val="single" w:color="auto" w:sz="6" w:space="0"/>
              <w:bottom w:val="single" w:color="auto" w:sz="6" w:space="0"/>
              <w:right w:val="single" w:color="auto" w:sz="6" w:space="0"/>
            </w:tcBorders>
          </w:tcPr>
          <w:p w14:paraId="75C4CC82">
            <w:pPr>
              <w:autoSpaceDE w:val="0"/>
              <w:autoSpaceDN w:val="0"/>
              <w:adjustRightInd w:val="0"/>
              <w:spacing w:line="360" w:lineRule="auto"/>
              <w:jc w:val="center"/>
              <w:rPr>
                <w:rFonts w:hint="eastAsia" w:ascii="宋体" w:hAnsi="宋体"/>
                <w:sz w:val="24"/>
                <w:lang w:val="zh-CN"/>
              </w:rPr>
            </w:pPr>
          </w:p>
        </w:tc>
        <w:tc>
          <w:tcPr>
            <w:tcW w:w="1038" w:type="dxa"/>
            <w:tcBorders>
              <w:top w:val="single" w:color="auto" w:sz="6" w:space="0"/>
              <w:left w:val="single" w:color="auto" w:sz="6" w:space="0"/>
              <w:bottom w:val="single" w:color="auto" w:sz="6" w:space="0"/>
              <w:right w:val="single" w:color="auto" w:sz="6" w:space="0"/>
            </w:tcBorders>
            <w:vAlign w:val="center"/>
          </w:tcPr>
          <w:p w14:paraId="19E67CFB">
            <w:pPr>
              <w:autoSpaceDE w:val="0"/>
              <w:autoSpaceDN w:val="0"/>
              <w:adjustRightInd w:val="0"/>
              <w:spacing w:line="360" w:lineRule="auto"/>
              <w:jc w:val="center"/>
              <w:rPr>
                <w:rFonts w:hint="eastAsia" w:ascii="宋体" w:hAnsi="宋体"/>
                <w:sz w:val="24"/>
                <w:lang w:val="zh-CN"/>
              </w:rPr>
            </w:pPr>
          </w:p>
        </w:tc>
      </w:tr>
    </w:tbl>
    <w:p w14:paraId="7BAD6493">
      <w:pPr>
        <w:autoSpaceDE w:val="0"/>
        <w:autoSpaceDN w:val="0"/>
        <w:adjustRightInd w:val="0"/>
        <w:spacing w:line="360" w:lineRule="auto"/>
        <w:rPr>
          <w:rFonts w:hint="eastAsia" w:ascii="宋体" w:hAnsi="宋体"/>
          <w:sz w:val="24"/>
          <w:lang w:val="zh-CN"/>
        </w:rPr>
      </w:pPr>
      <w:r>
        <w:rPr>
          <w:rFonts w:hint="eastAsia" w:ascii="宋体" w:hAnsi="宋体"/>
          <w:sz w:val="24"/>
          <w:lang w:val="zh-CN"/>
        </w:rPr>
        <w:t>注：请将采购文件项目需求中列举的商务条款要求逐项作出应答并提供必要的证明材料或实施方案。</w:t>
      </w:r>
    </w:p>
    <w:p w14:paraId="45F85CF4">
      <w:pPr>
        <w:autoSpaceDE w:val="0"/>
        <w:autoSpaceDN w:val="0"/>
        <w:adjustRightInd w:val="0"/>
        <w:spacing w:line="360" w:lineRule="auto"/>
        <w:rPr>
          <w:rFonts w:hint="eastAsia" w:ascii="宋体" w:hAnsi="宋体"/>
          <w:sz w:val="24"/>
          <w:lang w:val="zh-CN"/>
        </w:rPr>
      </w:pPr>
    </w:p>
    <w:p w14:paraId="6412D8BA">
      <w:pPr>
        <w:autoSpaceDE w:val="0"/>
        <w:autoSpaceDN w:val="0"/>
        <w:adjustRightInd w:val="0"/>
        <w:spacing w:line="360" w:lineRule="auto"/>
        <w:rPr>
          <w:rFonts w:hint="eastAsia" w:ascii="宋体" w:hAnsi="宋体"/>
          <w:sz w:val="24"/>
          <w:lang w:val="zh-CN"/>
        </w:rPr>
      </w:pPr>
      <w:r>
        <w:rPr>
          <w:rFonts w:hint="eastAsia" w:ascii="宋体" w:hAnsi="宋体"/>
          <w:sz w:val="24"/>
          <w:lang w:val="zh-CN"/>
        </w:rPr>
        <w:t>说明：如果行数不够，请自行增加。</w:t>
      </w:r>
    </w:p>
    <w:p w14:paraId="42113A7A">
      <w:pPr>
        <w:spacing w:line="360" w:lineRule="auto"/>
        <w:rPr>
          <w:rFonts w:hint="eastAsia" w:ascii="宋体" w:hAnsi="宋体"/>
          <w:sz w:val="24"/>
          <w:lang w:val="zh-CN"/>
        </w:rPr>
      </w:pPr>
      <w:r>
        <w:rPr>
          <w:rFonts w:hint="eastAsia" w:ascii="宋体" w:hAnsi="宋体"/>
          <w:sz w:val="24"/>
          <w:lang w:val="zh-CN"/>
        </w:rPr>
        <w:t>供应商名称：</w:t>
      </w:r>
      <w:r>
        <w:rPr>
          <w:rFonts w:ascii="宋体" w:hAnsi="宋体"/>
          <w:sz w:val="24"/>
          <w:u w:val="single"/>
          <w:lang w:val="zh-CN"/>
        </w:rPr>
        <w:t xml:space="preserve">                                                    </w:t>
      </w:r>
      <w:r>
        <w:rPr>
          <w:rFonts w:hint="eastAsia" w:ascii="宋体" w:hAnsi="宋体"/>
          <w:sz w:val="24"/>
          <w:lang w:val="zh-CN"/>
        </w:rPr>
        <w:t>（公章）</w:t>
      </w:r>
    </w:p>
    <w:p w14:paraId="29FD2B2B">
      <w:pPr>
        <w:autoSpaceDE w:val="0"/>
        <w:autoSpaceDN w:val="0"/>
        <w:adjustRightInd w:val="0"/>
        <w:spacing w:line="360" w:lineRule="auto"/>
        <w:rPr>
          <w:rFonts w:hint="eastAsia" w:ascii="宋体" w:hAnsi="宋体"/>
          <w:sz w:val="24"/>
          <w:lang w:val="zh-CN"/>
        </w:rPr>
      </w:pPr>
    </w:p>
    <w:p w14:paraId="706DEA15">
      <w:pPr>
        <w:spacing w:line="440" w:lineRule="exact"/>
        <w:ind w:firstLine="883" w:firstLineChars="200"/>
        <w:jc w:val="center"/>
        <w:rPr>
          <w:rFonts w:hint="eastAsia" w:ascii="宋体" w:hAnsi="宋体"/>
          <w:sz w:val="24"/>
        </w:rPr>
      </w:pPr>
      <w:r>
        <w:rPr>
          <w:rFonts w:ascii="宋体" w:hAnsi="宋体"/>
          <w:b/>
          <w:sz w:val="44"/>
        </w:rPr>
        <w:br w:type="page"/>
      </w:r>
      <w:r>
        <w:rPr>
          <w:rFonts w:hint="eastAsia" w:ascii="黑体" w:hAnsi="黑体" w:eastAsia="黑体"/>
          <w:b/>
          <w:color w:val="000000"/>
          <w:sz w:val="32"/>
          <w:szCs w:val="32"/>
        </w:rPr>
        <w:t>八、项目需求响应方案</w:t>
      </w:r>
    </w:p>
    <w:p w14:paraId="43BA2330">
      <w:pPr>
        <w:jc w:val="center"/>
        <w:rPr>
          <w:rFonts w:hint="eastAsia" w:ascii="宋体" w:hAnsi="宋体"/>
          <w:b/>
          <w:color w:val="000000"/>
          <w:sz w:val="24"/>
        </w:rPr>
      </w:pPr>
    </w:p>
    <w:p w14:paraId="56E4B025">
      <w:pPr>
        <w:jc w:val="center"/>
        <w:rPr>
          <w:rFonts w:hint="eastAsia" w:ascii="宋体" w:hAnsi="宋体"/>
          <w:b/>
          <w:color w:val="000000"/>
          <w:sz w:val="24"/>
        </w:rPr>
      </w:pPr>
    </w:p>
    <w:p w14:paraId="1E464EC4">
      <w:pPr>
        <w:jc w:val="center"/>
        <w:rPr>
          <w:rFonts w:hint="eastAsia" w:ascii="宋体" w:hAnsi="宋体"/>
          <w:b/>
          <w:color w:val="000000"/>
          <w:sz w:val="24"/>
        </w:rPr>
      </w:pPr>
    </w:p>
    <w:p w14:paraId="0A486815">
      <w:pPr>
        <w:jc w:val="center"/>
        <w:rPr>
          <w:rFonts w:hint="eastAsia" w:ascii="宋体" w:hAnsi="宋体"/>
          <w:b/>
          <w:color w:val="000000"/>
          <w:sz w:val="24"/>
        </w:rPr>
      </w:pPr>
    </w:p>
    <w:p w14:paraId="16CDADEC">
      <w:pPr>
        <w:jc w:val="center"/>
        <w:rPr>
          <w:rFonts w:hint="eastAsia" w:ascii="宋体" w:hAnsi="宋体"/>
          <w:b/>
          <w:color w:val="000000"/>
          <w:sz w:val="24"/>
        </w:rPr>
      </w:pPr>
    </w:p>
    <w:p w14:paraId="6B95E45D">
      <w:pPr>
        <w:jc w:val="center"/>
        <w:rPr>
          <w:rFonts w:hint="eastAsia" w:ascii="宋体" w:hAnsi="宋体"/>
          <w:b/>
          <w:color w:val="000000"/>
          <w:sz w:val="24"/>
        </w:rPr>
      </w:pPr>
    </w:p>
    <w:p w14:paraId="7066B560">
      <w:pPr>
        <w:jc w:val="center"/>
        <w:rPr>
          <w:rFonts w:hint="eastAsia" w:ascii="宋体" w:hAnsi="宋体"/>
          <w:b/>
          <w:color w:val="000000"/>
          <w:sz w:val="24"/>
        </w:rPr>
      </w:pPr>
    </w:p>
    <w:p w14:paraId="2F490BCD">
      <w:pPr>
        <w:jc w:val="center"/>
      </w:pPr>
      <w:r>
        <w:rPr>
          <w:rFonts w:hint="eastAsia" w:ascii="黑体" w:hAnsi="黑体" w:eastAsia="黑体"/>
          <w:b/>
          <w:color w:val="000000"/>
          <w:sz w:val="32"/>
          <w:szCs w:val="32"/>
        </w:rPr>
        <w:t>九、供应商认为需提供或采购文件要求的其他证明材料或实施方案</w:t>
      </w:r>
    </w:p>
    <w:bookmarkEnd w:id="125"/>
    <w:bookmarkEnd w:id="126"/>
    <w:bookmarkEnd w:id="127"/>
    <w:bookmarkEnd w:id="132"/>
    <w:p w14:paraId="20568EEB">
      <w:pPr>
        <w:jc w:val="center"/>
      </w:pPr>
    </w:p>
    <w:sectPr>
      <w:footerReference r:id="rId7" w:type="first"/>
      <w:headerReference r:id="rId4" w:type="default"/>
      <w:footerReference r:id="rId5" w:type="default"/>
      <w:footerReference r:id="rId6" w:type="even"/>
      <w:pgSz w:w="11906" w:h="16838"/>
      <w:pgMar w:top="1015" w:right="987" w:bottom="868" w:left="1259" w:header="851" w:footer="907" w:gutter="0"/>
      <w:pgNumType w:start="1"/>
      <w:cols w:space="720" w:num="1"/>
      <w:titlePg/>
      <w:docGrid w:type="lines" w:linePitch="286"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embedRegular r:id="rId1" w:fontKey="{E281C365-2514-4A0F-8BA1-0DBFC4B3C518}"/>
  </w:font>
  <w:font w:name="黑体">
    <w:panose1 w:val="02010609060101010101"/>
    <w:charset w:val="86"/>
    <w:family w:val="auto"/>
    <w:pitch w:val="default"/>
    <w:sig w:usb0="800002BF" w:usb1="38CF7CFA" w:usb2="00000016" w:usb3="00000000" w:csb0="00040001" w:csb1="00000000"/>
    <w:embedRegular r:id="rId2" w:fontKey="{4E683EFA-D7AD-499E-835D-853CD52AACD3}"/>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embedRegular r:id="rId3" w:fontKey="{5F10E892-57D8-4C75-BAA9-23925C6A3841}"/>
  </w:font>
  <w:font w:name="楷体_GB2312">
    <w:altName w:val="楷体"/>
    <w:panose1 w:val="00000000000000000000"/>
    <w:charset w:val="00"/>
    <w:family w:val="auto"/>
    <w:pitch w:val="default"/>
    <w:sig w:usb0="00000000" w:usb1="00000000" w:usb2="00000000" w:usb3="00000000" w:csb0="00000000" w:csb1="00000000"/>
  </w:font>
  <w:font w:name="楷体">
    <w:panose1 w:val="02010609060101010101"/>
    <w:charset w:val="86"/>
    <w:family w:val="auto"/>
    <w:pitch w:val="default"/>
    <w:sig w:usb0="800002BF" w:usb1="38CF7CFA" w:usb2="00000016" w:usb3="00000000" w:csb0="00040001" w:csb1="00000000"/>
  </w:font>
  <w:font w:name="幼圆">
    <w:panose1 w:val="02010509060101010101"/>
    <w:charset w:val="86"/>
    <w:family w:val="modern"/>
    <w:pitch w:val="default"/>
    <w:sig w:usb0="00000001" w:usb1="080E0000" w:usb2="00000000" w:usb3="00000000" w:csb0="00040000" w:csb1="00000000"/>
  </w:font>
  <w:font w:name="仿宋">
    <w:panose1 w:val="02010609060101010101"/>
    <w:charset w:val="86"/>
    <w:family w:val="modern"/>
    <w:pitch w:val="default"/>
    <w:sig w:usb0="800002BF" w:usb1="38CF7CFA" w:usb2="00000016" w:usb3="00000000" w:csb0="00040001" w:csb1="00000000"/>
    <w:embedRegular r:id="rId4" w:fontKey="{10B1FDCE-1C65-41E3-B912-D6FE94D5EF59}"/>
  </w:font>
  <w:font w:name="仿宋_GB2312">
    <w:altName w:val="仿宋"/>
    <w:panose1 w:val="00000000000000000000"/>
    <w:charset w:val="86"/>
    <w:family w:val="modern"/>
    <w:pitch w:val="default"/>
    <w:sig w:usb0="00000000" w:usb1="00000000" w:usb2="00000000" w:usb3="00000000" w:csb0="00040000" w:csb1="00000000"/>
    <w:embedRegular r:id="rId5" w:fontKey="{3207D83E-7605-47E2-BAB6-E642C61A5122}"/>
  </w:font>
  <w:font w:name="Cambria">
    <w:panose1 w:val="02040503050406030204"/>
    <w:charset w:val="00"/>
    <w:family w:val="roman"/>
    <w:pitch w:val="default"/>
    <w:sig w:usb0="E00006FF" w:usb1="420024FF" w:usb2="02000000" w:usb3="00000000" w:csb0="2000019F" w:csb1="00000000"/>
    <w:embedRegular r:id="rId6" w:fontKey="{9E91052F-4E2D-4151-98BA-6AB00777D023}"/>
  </w:font>
  <w:font w:name="Tahoma">
    <w:panose1 w:val="020B0604030504040204"/>
    <w:charset w:val="00"/>
    <w:family w:val="swiss"/>
    <w:pitch w:val="default"/>
    <w:sig w:usb0="E1002EFF" w:usb1="C000605B" w:usb2="00000029" w:usb3="00000000" w:csb0="200101FF" w:csb1="20280000"/>
  </w:font>
  <w:font w:name="MS Mincho">
    <w:altName w:val="Yu Gothic UI"/>
    <w:panose1 w:val="02020609040205080304"/>
    <w:charset w:val="80"/>
    <w:family w:val="modern"/>
    <w:pitch w:val="default"/>
    <w:sig w:usb0="00000000" w:usb1="00000000" w:usb2="08000012" w:usb3="00000000" w:csb0="0002009F" w:csb1="00000000"/>
  </w:font>
  <w:font w:name="Yu Gothic UI">
    <w:panose1 w:val="020B0500000000000000"/>
    <w:charset w:val="80"/>
    <w:family w:val="auto"/>
    <w:pitch w:val="default"/>
    <w:sig w:usb0="E00002FF" w:usb1="2AC7FDFF" w:usb2="00000016" w:usb3="00000000" w:csb0="2002009F" w:csb1="00000000"/>
  </w:font>
  <w:font w:name="方正姚体">
    <w:panose1 w:val="02010601030101010101"/>
    <w:charset w:val="86"/>
    <w:family w:val="auto"/>
    <w:pitch w:val="default"/>
    <w:sig w:usb0="00000003" w:usb1="080E0000" w:usb2="00000000" w:usb3="00000000" w:csb0="00040000" w:csb1="00000000"/>
  </w:font>
  <w:font w:name="方正黑体_GBK">
    <w:altName w:val="微软雅黑"/>
    <w:panose1 w:val="00000000000000000000"/>
    <w:charset w:val="86"/>
    <w:family w:val="script"/>
    <w:pitch w:val="default"/>
    <w:sig w:usb0="00000000" w:usb1="00000000" w:usb2="00000010" w:usb3="00000000" w:csb0="00040000" w:csb1="00000000"/>
  </w:font>
  <w:font w:name="微软雅黑">
    <w:panose1 w:val="020B0503020204020204"/>
    <w:charset w:val="86"/>
    <w:family w:val="swiss"/>
    <w:pitch w:val="default"/>
    <w:sig w:usb0="80000287" w:usb1="2ACF3C50" w:usb2="00000016" w:usb3="00000000" w:csb0="0004001F" w:csb1="00000000"/>
    <w:embedRegular r:id="rId7" w:fontKey="{D1F9BDE3-5493-4F85-8B66-674AC3289C8F}"/>
  </w:font>
  <w:font w:name="方正楷体_GBK">
    <w:altName w:val="微软雅黑"/>
    <w:panose1 w:val="00000000000000000000"/>
    <w:charset w:val="86"/>
    <w:family w:val="script"/>
    <w:pitch w:val="default"/>
    <w:sig w:usb0="00000000" w:usb1="00000000" w:usb2="00000010" w:usb3="00000000" w:csb0="00040000" w:csb1="00000000"/>
  </w:font>
  <w:font w:name="方正小标宋_GBK">
    <w:altName w:val="微软雅黑"/>
    <w:panose1 w:val="00000000000000000000"/>
    <w:charset w:val="86"/>
    <w:family w:val="script"/>
    <w:pitch w:val="default"/>
    <w:sig w:usb0="00000000" w:usb1="00000000" w:usb2="00000010" w:usb3="00000000" w:csb0="00040000" w:csb1="00000000"/>
  </w:font>
  <w:font w:name="Book Antiqua">
    <w:panose1 w:val="02040602050305030304"/>
    <w:charset w:val="00"/>
    <w:family w:val="roman"/>
    <w:pitch w:val="default"/>
    <w:sig w:usb0="00000287" w:usb1="00000000" w:usb2="00000000" w:usb3="00000000" w:csb0="2000009F" w:csb1="DFD70000"/>
  </w:font>
  <w:font w:name="等线">
    <w:panose1 w:val="02010600030101010101"/>
    <w:charset w:val="86"/>
    <w:family w:val="auto"/>
    <w:pitch w:val="default"/>
    <w:sig w:usb0="A00002BF" w:usb1="38CF7CFA" w:usb2="00000016" w:usb3="00000000" w:csb0="0004000F" w:csb1="00000000"/>
  </w:font>
  <w:font w:name="方正仿宋_GBK">
    <w:altName w:val="微软雅黑"/>
    <w:panose1 w:val="00000000000000000000"/>
    <w:charset w:val="86"/>
    <w:family w:val="script"/>
    <w:pitch w:val="default"/>
    <w:sig w:usb0="00000000" w:usb1="00000000" w:usb2="00000010" w:usb3="00000000" w:csb0="00040000" w:csb1="00000000"/>
  </w:font>
  <w:font w:name="等线 Light">
    <w:panose1 w:val="02010600030101010101"/>
    <w:charset w:val="86"/>
    <w:family w:val="auto"/>
    <w:pitch w:val="default"/>
    <w:sig w:usb0="A00002BF" w:usb1="38CF7CFA" w:usb2="00000016" w:usb3="00000000" w:csb0="0004000F" w:csb1="00000000"/>
    <w:embedRegular r:id="rId8" w:fontKey="{75839DA1-80E6-44AA-9D5E-CAADEED725D7}"/>
  </w:font>
  <w:font w:name="___WRD_EMBED_SUB_47">
    <w:panose1 w:val="02010609030101010101"/>
    <w:charset w:val="86"/>
    <w:family w:val="modern"/>
    <w:pitch w:val="default"/>
    <w:sig w:usb0="00000001" w:usb1="080E0000" w:usb2="00000000" w:usb3="00000000" w:csb0="00040000" w:csb1="00000000"/>
    <w:embedRegular r:id="rId9" w:fontKey="{DAF0C923-6C06-4E65-891F-DED6611BCF29}"/>
  </w:font>
  <w:font w:name="Lucida Sans Typewriter">
    <w:panose1 w:val="020B0509030504030204"/>
    <w:charset w:val="00"/>
    <w:family w:val="modern"/>
    <w:pitch w:val="default"/>
    <w:sig w:usb0="00000003" w:usb1="00000000" w:usb2="00000000" w:usb3="00000000" w:csb0="20000001" w:csb1="00000000"/>
    <w:embedRegular r:id="rId10" w:fontKey="{4731FD75-45DE-4262-BD2D-82FE904A73D3}"/>
  </w:font>
  <w:font w:name="Segoe UI Symbol">
    <w:panose1 w:val="020B0502040204020203"/>
    <w:charset w:val="00"/>
    <w:family w:val="swiss"/>
    <w:pitch w:val="default"/>
    <w:sig w:usb0="800001E3" w:usb1="1200FFEF" w:usb2="00040000" w:usb3="04000000" w:csb0="00000001" w:csb1="40000000"/>
    <w:embedRegular r:id="rId11" w:fontKey="{E1C8767A-A117-40BA-9D78-BD195820260D}"/>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D28B49A">
    <w:pPr>
      <w:pStyle w:val="24"/>
      <w:jc w:val="center"/>
    </w:pPr>
  </w:p>
  <w:p w14:paraId="7DA55993">
    <w:pPr>
      <w:pStyle w:val="24"/>
      <w:jc w:val="cen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167AFB6">
    <w:pPr>
      <w:pStyle w:val="24"/>
    </w:pPr>
    <w:r>
      <mc:AlternateContent>
        <mc:Choice Requires="wps">
          <w:drawing>
            <wp:anchor distT="0" distB="0" distL="114300" distR="114300" simplePos="0" relativeHeight="251660288" behindDoc="0" locked="0" layoutInCell="1" allowOverlap="1">
              <wp:simplePos x="0" y="0"/>
              <wp:positionH relativeFrom="margin">
                <wp:posOffset>2919730</wp:posOffset>
              </wp:positionH>
              <wp:positionV relativeFrom="paragraph">
                <wp:posOffset>-2540</wp:posOffset>
              </wp:positionV>
              <wp:extent cx="219710" cy="205105"/>
              <wp:effectExtent l="0" t="0" r="0" b="0"/>
              <wp:wrapNone/>
              <wp:docPr id="3" name="文本框 3"/>
              <wp:cNvGraphicFramePr/>
              <a:graphic xmlns:a="http://schemas.openxmlformats.org/drawingml/2006/main">
                <a:graphicData uri="http://schemas.microsoft.com/office/word/2010/wordprocessingShape">
                  <wps:wsp>
                    <wps:cNvSpPr txBox="1"/>
                    <wps:spPr>
                      <a:xfrm>
                        <a:off x="0" y="0"/>
                        <a:ext cx="219710" cy="205105"/>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A4FC5C6">
                          <w:pPr>
                            <w:pStyle w:val="24"/>
                          </w:pPr>
                          <w:r>
                            <w:fldChar w:fldCharType="begin"/>
                          </w:r>
                          <w:r>
                            <w:instrText xml:space="preserve"> PAGE  \* MERGEFORMAT </w:instrText>
                          </w:r>
                          <w:r>
                            <w:fldChar w:fldCharType="separate"/>
                          </w:r>
                          <w:r>
                            <w:t>46</w:t>
                          </w:r>
                          <w:r>
                            <w:fldChar w:fldCharType="end"/>
                          </w:r>
                        </w:p>
                      </w:txbxContent>
                    </wps:txbx>
                    <wps:bodyPr rot="0" spcFirstLastPara="0" vertOverflow="overflow" horzOverflow="overflow" vert="horz" wrap="square" lIns="0" tIns="0" rIns="0" bIns="0" numCol="1" spcCol="0" rtlCol="0" fromWordArt="0" anchor="t" anchorCtr="0" forceAA="0" compatLnSpc="1">
                      <a:noAutofit/>
                    </wps:bodyPr>
                  </wps:wsp>
                </a:graphicData>
              </a:graphic>
            </wp:anchor>
          </w:drawing>
        </mc:Choice>
        <mc:Fallback>
          <w:pict>
            <v:shape id="_x0000_s1026" o:spid="_x0000_s1026" o:spt="202" type="#_x0000_t202" style="position:absolute;left:0pt;margin-left:229.9pt;margin-top:-0.2pt;height:16.15pt;width:17.3pt;mso-position-horizontal-relative:margin;z-index:251660288;mso-width-relative:page;mso-height-relative:page;" filled="f" stroked="f" coordsize="21600,21600" o:gfxdata="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">
              <v:fill on="f" focussize="0,0"/>
              <v:stroke on="f" weight="0.5pt"/>
              <v:imagedata o:title=""/>
              <o:lock v:ext="edit" aspectratio="f"/>
              <v:textbox inset="0mm,0mm,0mm,0mm">
                <w:txbxContent>
                  <w:p w14:paraId="6A4FC5C6">
                    <w:pPr>
                      <w:pStyle w:val="24"/>
                    </w:pPr>
                    <w:r>
                      <w:fldChar w:fldCharType="begin"/>
                    </w:r>
                    <w:r>
                      <w:instrText xml:space="preserve"> PAGE  \* MERGEFORMAT </w:instrText>
                    </w:r>
                    <w:r>
                      <w:fldChar w:fldCharType="separate"/>
                    </w:r>
                    <w:r>
                      <w:t>46</w:t>
                    </w:r>
                    <w:r>
                      <w:fldChar w:fldCharType="end"/>
                    </w:r>
                  </w:p>
                </w:txbxContent>
              </v:textbox>
            </v:shape>
          </w:pict>
        </mc:Fallback>
      </mc:AlternateContent>
    </w: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63B9DE4"/>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K9j2DAsAgAAVQQAAA4AAABkcnMvZTJvRG9jLnhtbK1UzY7TMBC+I/EO&#10;lu80aVFX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3k7T9sLVA3CpkSOS6B4brdDsm57Z3uRn&#10;EHOm6wxv+aZC8i3z4YE5tAIejGEJ91gKaZDE9BYlpXFf/3Ue41EheCmp0VoZ1ZgkSuQHjcoBMAyG&#10;G4z9YOijujPo1TGG0PLWxAUX5GAWzqgvmKBVzAEX0xyZMhoG8y507Y0J5GK1aoPQa5aFrd5ZHqGj&#10;eN6ujgECtrpGUToleq3QbW1l+smI7fznvo16+hssHwF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r2PYMCwCAABVBAAADgAAAAAAAAABACAAAAAfAQAAZHJzL2Uyb0RvYy54bWxQSwUGAAAAAAYA&#10;BgBZAQAAvQUAAAAA&#10;">
              <v:fill on="f" focussize="0,0"/>
              <v:stroke on="f" weight="0.5pt"/>
              <v:imagedata o:title=""/>
              <o:lock v:ext="edit" aspectratio="f"/>
              <v:textbox inset="0mm,0mm,0mm,0mm" style="mso-fit-shape-to-text:t;">
                <w:txbxContent>
                  <w:p w14:paraId="263B9DE4"/>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BB844F4">
    <w:pPr>
      <w:pStyle w:val="24"/>
      <w:framePr w:wrap="around" w:vAnchor="text" w:hAnchor="margin" w:xAlign="center" w:y="1"/>
      <w:rPr>
        <w:rStyle w:val="45"/>
      </w:rPr>
    </w:pPr>
    <w:r>
      <w:fldChar w:fldCharType="begin"/>
    </w:r>
    <w:r>
      <w:rPr>
        <w:rStyle w:val="45"/>
      </w:rPr>
      <w:instrText xml:space="preserve">PAGE  </w:instrText>
    </w:r>
    <w:r>
      <w:fldChar w:fldCharType="separate"/>
    </w:r>
    <w:r>
      <w:rPr>
        <w:rStyle w:val="45"/>
      </w:rPr>
      <w:t>1</w:t>
    </w:r>
    <w:r>
      <w:fldChar w:fldCharType="end"/>
    </w:r>
  </w:p>
  <w:p w14:paraId="273A16C4">
    <w:pPr>
      <w:pStyle w:val="24"/>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339C6D9">
    <w:pPr>
      <w:pStyle w:val="24"/>
    </w:pPr>
    <w: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1FDFA0D">
                          <w:pPr>
                            <w:pStyle w:val="24"/>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BcMibgsAgAAVQQAAA4AAABkcnMvZTJvRG9jLnhtbK1UzY7TMBC+I/EO&#10;lu80aVlWVd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FwyJuCwCAABVBAAADgAAAAAAAAABACAAAAAfAQAAZHJzL2Uyb0RvYy54bWxQSwUGAAAAAAYA&#10;BgBZAQAAvQUAAAAA&#10;">
              <v:fill on="f" focussize="0,0"/>
              <v:stroke on="f" weight="0.5pt"/>
              <v:imagedata o:title=""/>
              <o:lock v:ext="edit" aspectratio="f"/>
              <v:textbox inset="0mm,0mm,0mm,0mm" style="mso-fit-shape-to-text:t;">
                <w:txbxContent>
                  <w:p w14:paraId="31FDFA0D">
                    <w:pPr>
                      <w:pStyle w:val="24"/>
                    </w:pPr>
                    <w:r>
                      <w:fldChar w:fldCharType="begin"/>
                    </w:r>
                    <w:r>
                      <w:instrText xml:space="preserve"> PAGE  \* MERGEFORMAT </w:instrText>
                    </w:r>
                    <w:r>
                      <w:fldChar w:fldCharType="separate"/>
                    </w:r>
                    <w:r>
                      <w:t>1</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8952D78">
    <w:pPr>
      <w:pStyle w:val="26"/>
      <w:tabs>
        <w:tab w:val="left" w:pos="3565"/>
        <w:tab w:val="clear" w:pos="4153"/>
        <w:tab w:val="clear" w:pos="8306"/>
      </w:tabs>
      <w:rPr>
        <w:rFonts w:hint="default" w:eastAsia="宋体"/>
        <w:color w:val="000000"/>
        <w:lang w:val="en-US" w:eastAsia="zh-CN"/>
      </w:rPr>
    </w:pPr>
    <w:r>
      <w:rPr>
        <w:rFonts w:hint="eastAsia"/>
        <w:color w:val="000000"/>
      </w:rPr>
      <w:t>南京小旸树招标代理有限公司竞争性磋商文件</w:t>
    </w:r>
    <w:r>
      <w:rPr>
        <w:rFonts w:hint="eastAsia"/>
        <w:color w:val="000000"/>
        <w:lang w:val="en-US" w:eastAsia="zh-CN"/>
      </w:rPr>
      <w:t xml:space="preserve">                                        NJXYS-2024230C</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B9597FE"/>
    <w:multiLevelType w:val="singleLevel"/>
    <w:tmpl w:val="9B9597FE"/>
    <w:lvl w:ilvl="0" w:tentative="0">
      <w:start w:val="1"/>
      <w:numFmt w:val="decimal"/>
      <w:suff w:val="nothing"/>
      <w:lvlText w:val="%1、"/>
      <w:lvlJc w:val="left"/>
    </w:lvl>
  </w:abstractNum>
  <w:abstractNum w:abstractNumId="1">
    <w:nsid w:val="06784D56"/>
    <w:multiLevelType w:val="singleLevel"/>
    <w:tmpl w:val="06784D56"/>
    <w:lvl w:ilvl="0" w:tentative="0">
      <w:start w:val="1"/>
      <w:numFmt w:val="upperLetter"/>
      <w:pStyle w:val="78"/>
      <w:lvlText w:val="附录%1."/>
      <w:lvlJc w:val="left"/>
      <w:pPr>
        <w:tabs>
          <w:tab w:val="left" w:pos="907"/>
        </w:tabs>
        <w:ind w:left="907" w:hanging="907"/>
      </w:pPr>
      <w:rPr>
        <w:rFonts w:hint="eastAsia"/>
      </w:rPr>
    </w:lvl>
  </w:abstractNum>
  <w:abstractNum w:abstractNumId="2">
    <w:nsid w:val="237E4D61"/>
    <w:multiLevelType w:val="multilevel"/>
    <w:tmpl w:val="237E4D61"/>
    <w:lvl w:ilvl="0" w:tentative="0">
      <w:start w:val="1"/>
      <w:numFmt w:val="japaneseCounting"/>
      <w:pStyle w:val="80"/>
      <w:lvlText w:val="第%1章"/>
      <w:lvlJc w:val="left"/>
      <w:pPr>
        <w:ind w:left="9351" w:hanging="420"/>
      </w:pPr>
      <w:rPr>
        <w:rFonts w:hint="eastAsia" w:ascii="黑体" w:eastAsia="黑体"/>
        <w:b w:val="0"/>
        <w:sz w:val="36"/>
        <w:lang w:val="en-US"/>
      </w:rPr>
    </w:lvl>
    <w:lvl w:ilvl="1" w:tentative="0">
      <w:start w:val="1"/>
      <w:numFmt w:val="decimal"/>
      <w:pStyle w:val="64"/>
      <w:isLgl/>
      <w:lvlText w:val="%1.%2"/>
      <w:lvlJc w:val="left"/>
      <w:pPr>
        <w:tabs>
          <w:tab w:val="left" w:pos="851"/>
        </w:tabs>
        <w:ind w:left="0" w:firstLine="0"/>
      </w:pPr>
      <w:rPr>
        <w:rFonts w:cs="Times New Roman"/>
        <w:b w:val="0"/>
        <w:bCs w:val="0"/>
        <w:i w:val="0"/>
        <w:iCs w:val="0"/>
        <w:caps w:val="0"/>
        <w:smallCaps w:val="0"/>
        <w:strike w:val="0"/>
        <w:dstrike w:val="0"/>
        <w:vanish w:val="0"/>
        <w:color w:val="000000"/>
        <w:spacing w:val="0"/>
        <w:kern w:val="0"/>
        <w:position w:val="0"/>
        <w:u w:val="none"/>
        <w:vertAlign w:val="baseline"/>
        <w14:shadow w14:blurRad="0" w14:dist="0" w14:dir="0" w14:sx="0" w14:sy="0" w14:kx="0" w14:ky="0" w14:algn="none">
          <w14:srgbClr w14:val="000000"/>
        </w14:shadow>
      </w:rPr>
    </w:lvl>
    <w:lvl w:ilvl="2" w:tentative="0">
      <w:start w:val="1"/>
      <w:numFmt w:val="decimal"/>
      <w:pStyle w:val="56"/>
      <w:isLgl/>
      <w:lvlText w:val="%1.%2.%3"/>
      <w:lvlJc w:val="left"/>
      <w:pPr>
        <w:tabs>
          <w:tab w:val="left" w:pos="851"/>
        </w:tabs>
        <w:ind w:left="0" w:firstLine="0"/>
      </w:pPr>
      <w:rPr>
        <w:rFonts w:cs="Times New Roman"/>
        <w:b w:val="0"/>
        <w:bCs w:val="0"/>
        <w:i w:val="0"/>
        <w:iCs w:val="0"/>
        <w:caps w:val="0"/>
        <w:smallCaps w:val="0"/>
        <w:strike w:val="0"/>
        <w:dstrike w:val="0"/>
        <w:vanish w:val="0"/>
        <w:color w:val="000000"/>
        <w:spacing w:val="0"/>
        <w:kern w:val="0"/>
        <w:position w:val="0"/>
        <w:u w:val="none"/>
        <w:vertAlign w:val="baseline"/>
        <w14:shadow w14:blurRad="0" w14:dist="0" w14:dir="0" w14:sx="0" w14:sy="0" w14:kx="0" w14:ky="0" w14:algn="none">
          <w14:srgbClr w14:val="000000"/>
        </w14:shadow>
      </w:rPr>
    </w:lvl>
    <w:lvl w:ilvl="3" w:tentative="0">
      <w:start w:val="1"/>
      <w:numFmt w:val="decimal"/>
      <w:pStyle w:val="61"/>
      <w:isLgl/>
      <w:lvlText w:val="%1.%2.%3.%4"/>
      <w:lvlJc w:val="left"/>
      <w:pPr>
        <w:tabs>
          <w:tab w:val="left" w:pos="1134"/>
        </w:tabs>
        <w:ind w:left="0" w:firstLine="0"/>
      </w:pPr>
      <w:rPr>
        <w:rFonts w:hint="eastAsia"/>
      </w:rPr>
    </w:lvl>
    <w:lvl w:ilvl="4" w:tentative="0">
      <w:start w:val="1"/>
      <w:numFmt w:val="decimal"/>
      <w:lvlText w:val="%1.%2.%3.%4.%5"/>
      <w:lvlJc w:val="left"/>
      <w:pPr>
        <w:tabs>
          <w:tab w:val="left" w:pos="4850"/>
        </w:tabs>
        <w:ind w:left="4620" w:hanging="850"/>
      </w:pPr>
      <w:rPr>
        <w:rFonts w:hint="eastAsia"/>
      </w:rPr>
    </w:lvl>
    <w:lvl w:ilvl="5" w:tentative="0">
      <w:start w:val="1"/>
      <w:numFmt w:val="decimal"/>
      <w:lvlText w:val="%1.%2.%3.%4.%5.%6"/>
      <w:lvlJc w:val="left"/>
      <w:pPr>
        <w:tabs>
          <w:tab w:val="left" w:pos="5635"/>
        </w:tabs>
        <w:ind w:left="5329" w:hanging="1134"/>
      </w:pPr>
      <w:rPr>
        <w:rFonts w:hint="eastAsia"/>
      </w:rPr>
    </w:lvl>
    <w:lvl w:ilvl="6" w:tentative="0">
      <w:start w:val="1"/>
      <w:numFmt w:val="decimal"/>
      <w:lvlText w:val="%1.%2.%3.%4.%5.%6.%7"/>
      <w:lvlJc w:val="left"/>
      <w:pPr>
        <w:tabs>
          <w:tab w:val="left" w:pos="6420"/>
        </w:tabs>
        <w:ind w:left="5896" w:hanging="1276"/>
      </w:pPr>
      <w:rPr>
        <w:rFonts w:hint="eastAsia"/>
      </w:rPr>
    </w:lvl>
    <w:lvl w:ilvl="7" w:tentative="0">
      <w:start w:val="1"/>
      <w:numFmt w:val="decimal"/>
      <w:lvlText w:val="%1.%2.%3.%4.%5.%6.%7.%8"/>
      <w:lvlJc w:val="left"/>
      <w:pPr>
        <w:tabs>
          <w:tab w:val="left" w:pos="6845"/>
        </w:tabs>
        <w:ind w:left="6463" w:hanging="1418"/>
      </w:pPr>
      <w:rPr>
        <w:rFonts w:hint="eastAsia"/>
      </w:rPr>
    </w:lvl>
    <w:lvl w:ilvl="8" w:tentative="0">
      <w:start w:val="1"/>
      <w:numFmt w:val="decimal"/>
      <w:lvlText w:val="%1.%2.%3.%4.%5.%6.%7.%8.%9"/>
      <w:lvlJc w:val="left"/>
      <w:pPr>
        <w:tabs>
          <w:tab w:val="left" w:pos="7631"/>
        </w:tabs>
        <w:ind w:left="7171" w:hanging="1700"/>
      </w:pPr>
      <w:rPr>
        <w:rFonts w:hint="eastAsia"/>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TrueTypeFonts/>
  <w:saveSubsetFonts/>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drawingGridVerticalSpacing w:val="143"/>
  <w:noPunctuationKerning w:val="1"/>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OGViZDE4ZjZlMjRlN2FjMGI5NTIxZWNhOWVhNDVhY2YifQ=="/>
  </w:docVars>
  <w:rsids>
    <w:rsidRoot w:val="00172A27"/>
    <w:rsid w:val="00001082"/>
    <w:rsid w:val="000021A0"/>
    <w:rsid w:val="00002209"/>
    <w:rsid w:val="00002275"/>
    <w:rsid w:val="00002995"/>
    <w:rsid w:val="00002BBB"/>
    <w:rsid w:val="00003380"/>
    <w:rsid w:val="00003B42"/>
    <w:rsid w:val="00004875"/>
    <w:rsid w:val="00004D16"/>
    <w:rsid w:val="000050E3"/>
    <w:rsid w:val="00005909"/>
    <w:rsid w:val="00005A19"/>
    <w:rsid w:val="00006542"/>
    <w:rsid w:val="00006652"/>
    <w:rsid w:val="00006DD7"/>
    <w:rsid w:val="00007316"/>
    <w:rsid w:val="00007974"/>
    <w:rsid w:val="00007ED9"/>
    <w:rsid w:val="0001020B"/>
    <w:rsid w:val="00010681"/>
    <w:rsid w:val="00010E2C"/>
    <w:rsid w:val="00011296"/>
    <w:rsid w:val="000124E6"/>
    <w:rsid w:val="00012921"/>
    <w:rsid w:val="000136F0"/>
    <w:rsid w:val="000145E4"/>
    <w:rsid w:val="0001486E"/>
    <w:rsid w:val="00014B3A"/>
    <w:rsid w:val="000157D4"/>
    <w:rsid w:val="00015C23"/>
    <w:rsid w:val="00017387"/>
    <w:rsid w:val="0001796E"/>
    <w:rsid w:val="00017AFE"/>
    <w:rsid w:val="0002043D"/>
    <w:rsid w:val="000205E2"/>
    <w:rsid w:val="0002068A"/>
    <w:rsid w:val="00020761"/>
    <w:rsid w:val="00020B9F"/>
    <w:rsid w:val="00021047"/>
    <w:rsid w:val="000217AF"/>
    <w:rsid w:val="00021E40"/>
    <w:rsid w:val="0002227B"/>
    <w:rsid w:val="0002258C"/>
    <w:rsid w:val="000239AC"/>
    <w:rsid w:val="0002436C"/>
    <w:rsid w:val="000247C1"/>
    <w:rsid w:val="00024CEC"/>
    <w:rsid w:val="00025262"/>
    <w:rsid w:val="00025FA1"/>
    <w:rsid w:val="00026223"/>
    <w:rsid w:val="0002680F"/>
    <w:rsid w:val="0002690F"/>
    <w:rsid w:val="00026E30"/>
    <w:rsid w:val="000301F8"/>
    <w:rsid w:val="0003047D"/>
    <w:rsid w:val="00030A86"/>
    <w:rsid w:val="000317C6"/>
    <w:rsid w:val="00031E66"/>
    <w:rsid w:val="00031F03"/>
    <w:rsid w:val="0003230A"/>
    <w:rsid w:val="00032E97"/>
    <w:rsid w:val="000336E2"/>
    <w:rsid w:val="00033910"/>
    <w:rsid w:val="00033936"/>
    <w:rsid w:val="0003475E"/>
    <w:rsid w:val="00034B1A"/>
    <w:rsid w:val="00035E23"/>
    <w:rsid w:val="00035F9B"/>
    <w:rsid w:val="00036DC6"/>
    <w:rsid w:val="0004024A"/>
    <w:rsid w:val="00040422"/>
    <w:rsid w:val="00040D8B"/>
    <w:rsid w:val="000413AA"/>
    <w:rsid w:val="000425CB"/>
    <w:rsid w:val="00042D59"/>
    <w:rsid w:val="000439C9"/>
    <w:rsid w:val="00044140"/>
    <w:rsid w:val="0004485C"/>
    <w:rsid w:val="0004532E"/>
    <w:rsid w:val="00045395"/>
    <w:rsid w:val="000453AB"/>
    <w:rsid w:val="00046BB7"/>
    <w:rsid w:val="000477AF"/>
    <w:rsid w:val="000478E9"/>
    <w:rsid w:val="00050017"/>
    <w:rsid w:val="00050189"/>
    <w:rsid w:val="000501E7"/>
    <w:rsid w:val="00050203"/>
    <w:rsid w:val="0005265C"/>
    <w:rsid w:val="000532BB"/>
    <w:rsid w:val="00053845"/>
    <w:rsid w:val="00053FD1"/>
    <w:rsid w:val="00054BFB"/>
    <w:rsid w:val="00054DE8"/>
    <w:rsid w:val="00055173"/>
    <w:rsid w:val="000551B1"/>
    <w:rsid w:val="00055522"/>
    <w:rsid w:val="0005572D"/>
    <w:rsid w:val="00055772"/>
    <w:rsid w:val="0005611D"/>
    <w:rsid w:val="000562C0"/>
    <w:rsid w:val="000568E9"/>
    <w:rsid w:val="00057DB5"/>
    <w:rsid w:val="000600DE"/>
    <w:rsid w:val="00060260"/>
    <w:rsid w:val="0006058F"/>
    <w:rsid w:val="000609F4"/>
    <w:rsid w:val="000614F7"/>
    <w:rsid w:val="00062033"/>
    <w:rsid w:val="00062181"/>
    <w:rsid w:val="0006240C"/>
    <w:rsid w:val="0006292A"/>
    <w:rsid w:val="00062CD4"/>
    <w:rsid w:val="0006312D"/>
    <w:rsid w:val="000634EE"/>
    <w:rsid w:val="00063E49"/>
    <w:rsid w:val="00063EEB"/>
    <w:rsid w:val="0006479E"/>
    <w:rsid w:val="00064885"/>
    <w:rsid w:val="0006540A"/>
    <w:rsid w:val="00065787"/>
    <w:rsid w:val="00065832"/>
    <w:rsid w:val="00065EB8"/>
    <w:rsid w:val="00066392"/>
    <w:rsid w:val="00066950"/>
    <w:rsid w:val="000673B6"/>
    <w:rsid w:val="00067530"/>
    <w:rsid w:val="0006778D"/>
    <w:rsid w:val="00067A50"/>
    <w:rsid w:val="00067E6D"/>
    <w:rsid w:val="00070095"/>
    <w:rsid w:val="00070D58"/>
    <w:rsid w:val="00070EB5"/>
    <w:rsid w:val="0007115E"/>
    <w:rsid w:val="00071503"/>
    <w:rsid w:val="0007192C"/>
    <w:rsid w:val="000719A1"/>
    <w:rsid w:val="00071F3A"/>
    <w:rsid w:val="0007255B"/>
    <w:rsid w:val="00072818"/>
    <w:rsid w:val="00072F55"/>
    <w:rsid w:val="0007311C"/>
    <w:rsid w:val="0007539D"/>
    <w:rsid w:val="000758F0"/>
    <w:rsid w:val="00075F5A"/>
    <w:rsid w:val="0007703E"/>
    <w:rsid w:val="000775B1"/>
    <w:rsid w:val="00080110"/>
    <w:rsid w:val="00080BF6"/>
    <w:rsid w:val="00080E3B"/>
    <w:rsid w:val="000810A9"/>
    <w:rsid w:val="00081CB3"/>
    <w:rsid w:val="00082768"/>
    <w:rsid w:val="00082802"/>
    <w:rsid w:val="0008297B"/>
    <w:rsid w:val="00083044"/>
    <w:rsid w:val="00083358"/>
    <w:rsid w:val="000836B0"/>
    <w:rsid w:val="000842C8"/>
    <w:rsid w:val="00084C20"/>
    <w:rsid w:val="000853EF"/>
    <w:rsid w:val="00085EFF"/>
    <w:rsid w:val="00087456"/>
    <w:rsid w:val="000874DF"/>
    <w:rsid w:val="00087839"/>
    <w:rsid w:val="00087E39"/>
    <w:rsid w:val="0009050E"/>
    <w:rsid w:val="00090D6E"/>
    <w:rsid w:val="00090EB1"/>
    <w:rsid w:val="000914F0"/>
    <w:rsid w:val="0009164F"/>
    <w:rsid w:val="000917FE"/>
    <w:rsid w:val="0009200E"/>
    <w:rsid w:val="00092321"/>
    <w:rsid w:val="00092566"/>
    <w:rsid w:val="00092AC7"/>
    <w:rsid w:val="00093560"/>
    <w:rsid w:val="00093CB3"/>
    <w:rsid w:val="00093E9F"/>
    <w:rsid w:val="00094791"/>
    <w:rsid w:val="00094861"/>
    <w:rsid w:val="00094EDF"/>
    <w:rsid w:val="00095372"/>
    <w:rsid w:val="0009545E"/>
    <w:rsid w:val="00095AEC"/>
    <w:rsid w:val="00095C30"/>
    <w:rsid w:val="0009630C"/>
    <w:rsid w:val="00096857"/>
    <w:rsid w:val="0009779B"/>
    <w:rsid w:val="00097A8F"/>
    <w:rsid w:val="00097AFA"/>
    <w:rsid w:val="00097F33"/>
    <w:rsid w:val="00097F55"/>
    <w:rsid w:val="000A04B4"/>
    <w:rsid w:val="000A0692"/>
    <w:rsid w:val="000A0AED"/>
    <w:rsid w:val="000A0C03"/>
    <w:rsid w:val="000A0CF6"/>
    <w:rsid w:val="000A0E43"/>
    <w:rsid w:val="000A2FF7"/>
    <w:rsid w:val="000A3195"/>
    <w:rsid w:val="000A4069"/>
    <w:rsid w:val="000A45FC"/>
    <w:rsid w:val="000A4F35"/>
    <w:rsid w:val="000A5A2B"/>
    <w:rsid w:val="000A5B3A"/>
    <w:rsid w:val="000A5D04"/>
    <w:rsid w:val="000A5DFC"/>
    <w:rsid w:val="000A5E7D"/>
    <w:rsid w:val="000A7F68"/>
    <w:rsid w:val="000B010F"/>
    <w:rsid w:val="000B0A6B"/>
    <w:rsid w:val="000B15DB"/>
    <w:rsid w:val="000B1A54"/>
    <w:rsid w:val="000B24A3"/>
    <w:rsid w:val="000B26E8"/>
    <w:rsid w:val="000B37F3"/>
    <w:rsid w:val="000B40D4"/>
    <w:rsid w:val="000B40EA"/>
    <w:rsid w:val="000B48E8"/>
    <w:rsid w:val="000B4C4B"/>
    <w:rsid w:val="000B4F96"/>
    <w:rsid w:val="000B57ED"/>
    <w:rsid w:val="000B59EC"/>
    <w:rsid w:val="000B5FD6"/>
    <w:rsid w:val="000B6B84"/>
    <w:rsid w:val="000B6C5E"/>
    <w:rsid w:val="000B70BD"/>
    <w:rsid w:val="000B7353"/>
    <w:rsid w:val="000B7DBA"/>
    <w:rsid w:val="000C0811"/>
    <w:rsid w:val="000C13B9"/>
    <w:rsid w:val="000C165D"/>
    <w:rsid w:val="000C1E90"/>
    <w:rsid w:val="000C2F4F"/>
    <w:rsid w:val="000C2F64"/>
    <w:rsid w:val="000C399B"/>
    <w:rsid w:val="000C480A"/>
    <w:rsid w:val="000C4827"/>
    <w:rsid w:val="000C48F9"/>
    <w:rsid w:val="000C61E3"/>
    <w:rsid w:val="000C62D5"/>
    <w:rsid w:val="000C6A2B"/>
    <w:rsid w:val="000C70D1"/>
    <w:rsid w:val="000C722F"/>
    <w:rsid w:val="000D0069"/>
    <w:rsid w:val="000D0788"/>
    <w:rsid w:val="000D0D7B"/>
    <w:rsid w:val="000D1AAA"/>
    <w:rsid w:val="000D35D5"/>
    <w:rsid w:val="000D3AB6"/>
    <w:rsid w:val="000D3F30"/>
    <w:rsid w:val="000D5043"/>
    <w:rsid w:val="000D507B"/>
    <w:rsid w:val="000D5794"/>
    <w:rsid w:val="000D58C3"/>
    <w:rsid w:val="000D59B7"/>
    <w:rsid w:val="000D5C1E"/>
    <w:rsid w:val="000D5D52"/>
    <w:rsid w:val="000D5EA8"/>
    <w:rsid w:val="000D62DE"/>
    <w:rsid w:val="000D6418"/>
    <w:rsid w:val="000D6824"/>
    <w:rsid w:val="000D7536"/>
    <w:rsid w:val="000D7F34"/>
    <w:rsid w:val="000D7F45"/>
    <w:rsid w:val="000E091C"/>
    <w:rsid w:val="000E1F7C"/>
    <w:rsid w:val="000E20A6"/>
    <w:rsid w:val="000E26BB"/>
    <w:rsid w:val="000E2749"/>
    <w:rsid w:val="000E2C12"/>
    <w:rsid w:val="000E3510"/>
    <w:rsid w:val="000E359C"/>
    <w:rsid w:val="000E55D4"/>
    <w:rsid w:val="000E5E96"/>
    <w:rsid w:val="000E61A5"/>
    <w:rsid w:val="000E7413"/>
    <w:rsid w:val="000E7BF1"/>
    <w:rsid w:val="000E7D38"/>
    <w:rsid w:val="000F0788"/>
    <w:rsid w:val="000F10CA"/>
    <w:rsid w:val="000F1223"/>
    <w:rsid w:val="000F1228"/>
    <w:rsid w:val="000F1672"/>
    <w:rsid w:val="000F17BD"/>
    <w:rsid w:val="000F2381"/>
    <w:rsid w:val="000F24F5"/>
    <w:rsid w:val="000F2FE5"/>
    <w:rsid w:val="000F347D"/>
    <w:rsid w:val="000F446D"/>
    <w:rsid w:val="000F463B"/>
    <w:rsid w:val="000F4BB2"/>
    <w:rsid w:val="000F5062"/>
    <w:rsid w:val="000F50E7"/>
    <w:rsid w:val="000F5573"/>
    <w:rsid w:val="000F5DB2"/>
    <w:rsid w:val="000F5E4D"/>
    <w:rsid w:val="000F6761"/>
    <w:rsid w:val="000F7664"/>
    <w:rsid w:val="000F7955"/>
    <w:rsid w:val="001000CA"/>
    <w:rsid w:val="00100652"/>
    <w:rsid w:val="00100B0C"/>
    <w:rsid w:val="00100F40"/>
    <w:rsid w:val="001010BB"/>
    <w:rsid w:val="00101107"/>
    <w:rsid w:val="001012A0"/>
    <w:rsid w:val="00101D75"/>
    <w:rsid w:val="00101FF2"/>
    <w:rsid w:val="001023D0"/>
    <w:rsid w:val="001024C1"/>
    <w:rsid w:val="00103B62"/>
    <w:rsid w:val="00103C48"/>
    <w:rsid w:val="00103CE2"/>
    <w:rsid w:val="00103DAD"/>
    <w:rsid w:val="001044C9"/>
    <w:rsid w:val="001056AE"/>
    <w:rsid w:val="00105BC8"/>
    <w:rsid w:val="00105D98"/>
    <w:rsid w:val="00105F91"/>
    <w:rsid w:val="00106AFE"/>
    <w:rsid w:val="00106BB6"/>
    <w:rsid w:val="00106C25"/>
    <w:rsid w:val="00106C7F"/>
    <w:rsid w:val="00107350"/>
    <w:rsid w:val="0011050E"/>
    <w:rsid w:val="0011090A"/>
    <w:rsid w:val="0011098B"/>
    <w:rsid w:val="00110BC0"/>
    <w:rsid w:val="00111680"/>
    <w:rsid w:val="00111ADF"/>
    <w:rsid w:val="001122AF"/>
    <w:rsid w:val="00113456"/>
    <w:rsid w:val="0011349A"/>
    <w:rsid w:val="001136C6"/>
    <w:rsid w:val="0011390A"/>
    <w:rsid w:val="001139D0"/>
    <w:rsid w:val="00113EC0"/>
    <w:rsid w:val="00114F69"/>
    <w:rsid w:val="00115508"/>
    <w:rsid w:val="0011559E"/>
    <w:rsid w:val="001155CC"/>
    <w:rsid w:val="00115F64"/>
    <w:rsid w:val="00116283"/>
    <w:rsid w:val="0011642B"/>
    <w:rsid w:val="00116855"/>
    <w:rsid w:val="001168FD"/>
    <w:rsid w:val="00117536"/>
    <w:rsid w:val="00117A85"/>
    <w:rsid w:val="00117C6D"/>
    <w:rsid w:val="00117FE8"/>
    <w:rsid w:val="00120461"/>
    <w:rsid w:val="00120802"/>
    <w:rsid w:val="00121B20"/>
    <w:rsid w:val="001224B9"/>
    <w:rsid w:val="001224CD"/>
    <w:rsid w:val="0012307F"/>
    <w:rsid w:val="00123645"/>
    <w:rsid w:val="0012411B"/>
    <w:rsid w:val="001243F4"/>
    <w:rsid w:val="00124E53"/>
    <w:rsid w:val="00124EDB"/>
    <w:rsid w:val="00125CAA"/>
    <w:rsid w:val="0012667E"/>
    <w:rsid w:val="00130006"/>
    <w:rsid w:val="001306C6"/>
    <w:rsid w:val="001313FB"/>
    <w:rsid w:val="001315E1"/>
    <w:rsid w:val="00131DF8"/>
    <w:rsid w:val="00131FC6"/>
    <w:rsid w:val="00132253"/>
    <w:rsid w:val="00132459"/>
    <w:rsid w:val="001326B2"/>
    <w:rsid w:val="00133354"/>
    <w:rsid w:val="0013345A"/>
    <w:rsid w:val="00133A69"/>
    <w:rsid w:val="00133AD0"/>
    <w:rsid w:val="00133E40"/>
    <w:rsid w:val="001342F9"/>
    <w:rsid w:val="00134487"/>
    <w:rsid w:val="001358E8"/>
    <w:rsid w:val="00135A82"/>
    <w:rsid w:val="00135BF9"/>
    <w:rsid w:val="00135ECD"/>
    <w:rsid w:val="0013612F"/>
    <w:rsid w:val="00136534"/>
    <w:rsid w:val="001370A4"/>
    <w:rsid w:val="0014046F"/>
    <w:rsid w:val="0014058F"/>
    <w:rsid w:val="001413E8"/>
    <w:rsid w:val="0014175A"/>
    <w:rsid w:val="00141ED2"/>
    <w:rsid w:val="001420D7"/>
    <w:rsid w:val="001423BE"/>
    <w:rsid w:val="001425CD"/>
    <w:rsid w:val="00143649"/>
    <w:rsid w:val="0014372E"/>
    <w:rsid w:val="00143912"/>
    <w:rsid w:val="00143EB2"/>
    <w:rsid w:val="00144066"/>
    <w:rsid w:val="001441D9"/>
    <w:rsid w:val="001453C1"/>
    <w:rsid w:val="001454C5"/>
    <w:rsid w:val="00145E8C"/>
    <w:rsid w:val="001463AF"/>
    <w:rsid w:val="0014666B"/>
    <w:rsid w:val="001467D1"/>
    <w:rsid w:val="001469DD"/>
    <w:rsid w:val="00146D5B"/>
    <w:rsid w:val="00147FFE"/>
    <w:rsid w:val="001500FD"/>
    <w:rsid w:val="001515B9"/>
    <w:rsid w:val="0015352F"/>
    <w:rsid w:val="0015380C"/>
    <w:rsid w:val="00154766"/>
    <w:rsid w:val="00154AC3"/>
    <w:rsid w:val="00154B0B"/>
    <w:rsid w:val="001577AB"/>
    <w:rsid w:val="00157F58"/>
    <w:rsid w:val="001603BA"/>
    <w:rsid w:val="00160C63"/>
    <w:rsid w:val="001619DB"/>
    <w:rsid w:val="00161A22"/>
    <w:rsid w:val="00162807"/>
    <w:rsid w:val="00162B8F"/>
    <w:rsid w:val="00162E45"/>
    <w:rsid w:val="0016316E"/>
    <w:rsid w:val="001631E2"/>
    <w:rsid w:val="00163240"/>
    <w:rsid w:val="0016358F"/>
    <w:rsid w:val="00164625"/>
    <w:rsid w:val="0016478C"/>
    <w:rsid w:val="00164E71"/>
    <w:rsid w:val="00164F6C"/>
    <w:rsid w:val="001652AF"/>
    <w:rsid w:val="001661CD"/>
    <w:rsid w:val="0016644C"/>
    <w:rsid w:val="001666A1"/>
    <w:rsid w:val="00166C1A"/>
    <w:rsid w:val="00166D37"/>
    <w:rsid w:val="00167437"/>
    <w:rsid w:val="00167604"/>
    <w:rsid w:val="001704C1"/>
    <w:rsid w:val="00171E54"/>
    <w:rsid w:val="00171E84"/>
    <w:rsid w:val="001725A1"/>
    <w:rsid w:val="00172A27"/>
    <w:rsid w:val="001738E5"/>
    <w:rsid w:val="00173E47"/>
    <w:rsid w:val="0017416A"/>
    <w:rsid w:val="0017441D"/>
    <w:rsid w:val="0017456D"/>
    <w:rsid w:val="00175616"/>
    <w:rsid w:val="00175B32"/>
    <w:rsid w:val="0017725F"/>
    <w:rsid w:val="00177459"/>
    <w:rsid w:val="0018019D"/>
    <w:rsid w:val="001807FD"/>
    <w:rsid w:val="001809CA"/>
    <w:rsid w:val="00180F36"/>
    <w:rsid w:val="001814E8"/>
    <w:rsid w:val="00181C74"/>
    <w:rsid w:val="00182017"/>
    <w:rsid w:val="00183AE6"/>
    <w:rsid w:val="00183E56"/>
    <w:rsid w:val="0018415C"/>
    <w:rsid w:val="001852E0"/>
    <w:rsid w:val="001857FA"/>
    <w:rsid w:val="00185E93"/>
    <w:rsid w:val="00185EBC"/>
    <w:rsid w:val="00185EEC"/>
    <w:rsid w:val="00186458"/>
    <w:rsid w:val="001870E8"/>
    <w:rsid w:val="0018783C"/>
    <w:rsid w:val="00187AB3"/>
    <w:rsid w:val="00190AC6"/>
    <w:rsid w:val="00190DC9"/>
    <w:rsid w:val="00190F1F"/>
    <w:rsid w:val="001914F1"/>
    <w:rsid w:val="001927E4"/>
    <w:rsid w:val="00192C00"/>
    <w:rsid w:val="0019368C"/>
    <w:rsid w:val="00193779"/>
    <w:rsid w:val="0019411D"/>
    <w:rsid w:val="001945E2"/>
    <w:rsid w:val="001946FD"/>
    <w:rsid w:val="00194CCF"/>
    <w:rsid w:val="00194F30"/>
    <w:rsid w:val="001951B8"/>
    <w:rsid w:val="001969F0"/>
    <w:rsid w:val="00196AC7"/>
    <w:rsid w:val="001A04FC"/>
    <w:rsid w:val="001A10BA"/>
    <w:rsid w:val="001A271D"/>
    <w:rsid w:val="001A28E6"/>
    <w:rsid w:val="001A2A85"/>
    <w:rsid w:val="001A2E80"/>
    <w:rsid w:val="001A36B3"/>
    <w:rsid w:val="001A3881"/>
    <w:rsid w:val="001A3F34"/>
    <w:rsid w:val="001A60DA"/>
    <w:rsid w:val="001A6537"/>
    <w:rsid w:val="001A7923"/>
    <w:rsid w:val="001A7D46"/>
    <w:rsid w:val="001A7E8C"/>
    <w:rsid w:val="001B01DD"/>
    <w:rsid w:val="001B0963"/>
    <w:rsid w:val="001B0988"/>
    <w:rsid w:val="001B0E12"/>
    <w:rsid w:val="001B2341"/>
    <w:rsid w:val="001B2377"/>
    <w:rsid w:val="001B2744"/>
    <w:rsid w:val="001B2D0A"/>
    <w:rsid w:val="001B2DD2"/>
    <w:rsid w:val="001B437B"/>
    <w:rsid w:val="001B4656"/>
    <w:rsid w:val="001B4C63"/>
    <w:rsid w:val="001B5888"/>
    <w:rsid w:val="001B66DD"/>
    <w:rsid w:val="001B67E6"/>
    <w:rsid w:val="001B68A6"/>
    <w:rsid w:val="001B76EA"/>
    <w:rsid w:val="001B7F6B"/>
    <w:rsid w:val="001C0759"/>
    <w:rsid w:val="001C0E6D"/>
    <w:rsid w:val="001C19F1"/>
    <w:rsid w:val="001C1C00"/>
    <w:rsid w:val="001C28C7"/>
    <w:rsid w:val="001C2902"/>
    <w:rsid w:val="001C367B"/>
    <w:rsid w:val="001C3F18"/>
    <w:rsid w:val="001C4632"/>
    <w:rsid w:val="001C4DED"/>
    <w:rsid w:val="001C5537"/>
    <w:rsid w:val="001C6795"/>
    <w:rsid w:val="001C694F"/>
    <w:rsid w:val="001C6EDE"/>
    <w:rsid w:val="001C783B"/>
    <w:rsid w:val="001C7F9B"/>
    <w:rsid w:val="001D044F"/>
    <w:rsid w:val="001D1425"/>
    <w:rsid w:val="001D19BC"/>
    <w:rsid w:val="001D1E56"/>
    <w:rsid w:val="001D3410"/>
    <w:rsid w:val="001D4077"/>
    <w:rsid w:val="001D42B2"/>
    <w:rsid w:val="001D4376"/>
    <w:rsid w:val="001D439D"/>
    <w:rsid w:val="001D4970"/>
    <w:rsid w:val="001D4ABE"/>
    <w:rsid w:val="001D4DAD"/>
    <w:rsid w:val="001D5985"/>
    <w:rsid w:val="001D59DF"/>
    <w:rsid w:val="001D5A7A"/>
    <w:rsid w:val="001D5B9A"/>
    <w:rsid w:val="001D5D0B"/>
    <w:rsid w:val="001D62A1"/>
    <w:rsid w:val="001D6A8F"/>
    <w:rsid w:val="001D78F2"/>
    <w:rsid w:val="001D7E45"/>
    <w:rsid w:val="001E0272"/>
    <w:rsid w:val="001E02FF"/>
    <w:rsid w:val="001E0B1C"/>
    <w:rsid w:val="001E189B"/>
    <w:rsid w:val="001E1C7E"/>
    <w:rsid w:val="001E1CD2"/>
    <w:rsid w:val="001E1E33"/>
    <w:rsid w:val="001E2C89"/>
    <w:rsid w:val="001E5368"/>
    <w:rsid w:val="001E56F3"/>
    <w:rsid w:val="001E5920"/>
    <w:rsid w:val="001E7558"/>
    <w:rsid w:val="001E7D37"/>
    <w:rsid w:val="001F0739"/>
    <w:rsid w:val="001F076C"/>
    <w:rsid w:val="001F222F"/>
    <w:rsid w:val="001F283F"/>
    <w:rsid w:val="001F2FC3"/>
    <w:rsid w:val="001F36D8"/>
    <w:rsid w:val="001F467A"/>
    <w:rsid w:val="001F5588"/>
    <w:rsid w:val="001F5717"/>
    <w:rsid w:val="001F5991"/>
    <w:rsid w:val="001F5F08"/>
    <w:rsid w:val="001F62C2"/>
    <w:rsid w:val="001F66EE"/>
    <w:rsid w:val="001F672E"/>
    <w:rsid w:val="001F6E27"/>
    <w:rsid w:val="0020057F"/>
    <w:rsid w:val="00200F4E"/>
    <w:rsid w:val="00201353"/>
    <w:rsid w:val="00202AEF"/>
    <w:rsid w:val="00202BE1"/>
    <w:rsid w:val="0020380C"/>
    <w:rsid w:val="00203C51"/>
    <w:rsid w:val="002043FB"/>
    <w:rsid w:val="0020498C"/>
    <w:rsid w:val="00204B6B"/>
    <w:rsid w:val="002054E7"/>
    <w:rsid w:val="00205770"/>
    <w:rsid w:val="002063F0"/>
    <w:rsid w:val="002067B2"/>
    <w:rsid w:val="00207214"/>
    <w:rsid w:val="00207423"/>
    <w:rsid w:val="0021035F"/>
    <w:rsid w:val="00210843"/>
    <w:rsid w:val="0021089E"/>
    <w:rsid w:val="00210C7B"/>
    <w:rsid w:val="00210D98"/>
    <w:rsid w:val="00210DB7"/>
    <w:rsid w:val="00210FD4"/>
    <w:rsid w:val="00211CC2"/>
    <w:rsid w:val="00211D71"/>
    <w:rsid w:val="00213138"/>
    <w:rsid w:val="00213CB7"/>
    <w:rsid w:val="00213D42"/>
    <w:rsid w:val="00214AA2"/>
    <w:rsid w:val="002151DE"/>
    <w:rsid w:val="0021563C"/>
    <w:rsid w:val="00216336"/>
    <w:rsid w:val="0021706B"/>
    <w:rsid w:val="002200CD"/>
    <w:rsid w:val="00220962"/>
    <w:rsid w:val="00220FD9"/>
    <w:rsid w:val="00221400"/>
    <w:rsid w:val="002214C3"/>
    <w:rsid w:val="00221B5D"/>
    <w:rsid w:val="00222519"/>
    <w:rsid w:val="00222B72"/>
    <w:rsid w:val="0022340F"/>
    <w:rsid w:val="00223939"/>
    <w:rsid w:val="00223B8D"/>
    <w:rsid w:val="00224C02"/>
    <w:rsid w:val="00224F03"/>
    <w:rsid w:val="00224F90"/>
    <w:rsid w:val="00225805"/>
    <w:rsid w:val="002260D7"/>
    <w:rsid w:val="00226599"/>
    <w:rsid w:val="00226649"/>
    <w:rsid w:val="0022700E"/>
    <w:rsid w:val="0022736B"/>
    <w:rsid w:val="002277C6"/>
    <w:rsid w:val="002309EF"/>
    <w:rsid w:val="00230AF1"/>
    <w:rsid w:val="00230CBB"/>
    <w:rsid w:val="002317EE"/>
    <w:rsid w:val="002318F2"/>
    <w:rsid w:val="00232C64"/>
    <w:rsid w:val="00232FD1"/>
    <w:rsid w:val="002336CF"/>
    <w:rsid w:val="002338AC"/>
    <w:rsid w:val="00233B05"/>
    <w:rsid w:val="00233E73"/>
    <w:rsid w:val="00234917"/>
    <w:rsid w:val="00235204"/>
    <w:rsid w:val="002358C3"/>
    <w:rsid w:val="00235953"/>
    <w:rsid w:val="00236ECA"/>
    <w:rsid w:val="002372ED"/>
    <w:rsid w:val="00237E0D"/>
    <w:rsid w:val="00237EDB"/>
    <w:rsid w:val="00240845"/>
    <w:rsid w:val="002408B3"/>
    <w:rsid w:val="00240A5F"/>
    <w:rsid w:val="0024139B"/>
    <w:rsid w:val="00242E8F"/>
    <w:rsid w:val="00243F30"/>
    <w:rsid w:val="00243FBB"/>
    <w:rsid w:val="00244631"/>
    <w:rsid w:val="00244CDC"/>
    <w:rsid w:val="00244E7A"/>
    <w:rsid w:val="002452F7"/>
    <w:rsid w:val="002457CE"/>
    <w:rsid w:val="00245E43"/>
    <w:rsid w:val="00246334"/>
    <w:rsid w:val="00246878"/>
    <w:rsid w:val="00246D3E"/>
    <w:rsid w:val="00247FE7"/>
    <w:rsid w:val="002500BE"/>
    <w:rsid w:val="00250754"/>
    <w:rsid w:val="00250C6F"/>
    <w:rsid w:val="0025186C"/>
    <w:rsid w:val="00251E7D"/>
    <w:rsid w:val="0025257C"/>
    <w:rsid w:val="002525E2"/>
    <w:rsid w:val="0025365C"/>
    <w:rsid w:val="002536CA"/>
    <w:rsid w:val="00253AB8"/>
    <w:rsid w:val="00254113"/>
    <w:rsid w:val="00255236"/>
    <w:rsid w:val="0025592E"/>
    <w:rsid w:val="00255FD0"/>
    <w:rsid w:val="0025605E"/>
    <w:rsid w:val="00256074"/>
    <w:rsid w:val="0025720B"/>
    <w:rsid w:val="002575BE"/>
    <w:rsid w:val="00257822"/>
    <w:rsid w:val="00260694"/>
    <w:rsid w:val="00261DAA"/>
    <w:rsid w:val="002620C4"/>
    <w:rsid w:val="0026504C"/>
    <w:rsid w:val="00265258"/>
    <w:rsid w:val="00265469"/>
    <w:rsid w:val="00265ED4"/>
    <w:rsid w:val="00265EFF"/>
    <w:rsid w:val="00266291"/>
    <w:rsid w:val="002662C5"/>
    <w:rsid w:val="0026652E"/>
    <w:rsid w:val="00266A15"/>
    <w:rsid w:val="00267035"/>
    <w:rsid w:val="00267560"/>
    <w:rsid w:val="002678B4"/>
    <w:rsid w:val="002679E8"/>
    <w:rsid w:val="00267BA7"/>
    <w:rsid w:val="00267FA8"/>
    <w:rsid w:val="00271284"/>
    <w:rsid w:val="002714BC"/>
    <w:rsid w:val="002716A6"/>
    <w:rsid w:val="00272DB9"/>
    <w:rsid w:val="002737FC"/>
    <w:rsid w:val="00273C65"/>
    <w:rsid w:val="00274DB6"/>
    <w:rsid w:val="00274EFA"/>
    <w:rsid w:val="0027555E"/>
    <w:rsid w:val="00275AC8"/>
    <w:rsid w:val="00275F57"/>
    <w:rsid w:val="002763B9"/>
    <w:rsid w:val="002766DF"/>
    <w:rsid w:val="00280576"/>
    <w:rsid w:val="00280D43"/>
    <w:rsid w:val="00280FC9"/>
    <w:rsid w:val="00281C5E"/>
    <w:rsid w:val="00282AAA"/>
    <w:rsid w:val="00284779"/>
    <w:rsid w:val="0028541C"/>
    <w:rsid w:val="002903AA"/>
    <w:rsid w:val="00290B91"/>
    <w:rsid w:val="00291207"/>
    <w:rsid w:val="002925EC"/>
    <w:rsid w:val="00292891"/>
    <w:rsid w:val="002931F0"/>
    <w:rsid w:val="00293E9A"/>
    <w:rsid w:val="00294740"/>
    <w:rsid w:val="002958E6"/>
    <w:rsid w:val="00296046"/>
    <w:rsid w:val="002962EF"/>
    <w:rsid w:val="00296549"/>
    <w:rsid w:val="00296CD6"/>
    <w:rsid w:val="002970FD"/>
    <w:rsid w:val="002973EE"/>
    <w:rsid w:val="002978B9"/>
    <w:rsid w:val="00297B6C"/>
    <w:rsid w:val="002A0D9D"/>
    <w:rsid w:val="002A15AF"/>
    <w:rsid w:val="002A26D0"/>
    <w:rsid w:val="002A2B5F"/>
    <w:rsid w:val="002A30A1"/>
    <w:rsid w:val="002A30E4"/>
    <w:rsid w:val="002A31F4"/>
    <w:rsid w:val="002A40AF"/>
    <w:rsid w:val="002A494C"/>
    <w:rsid w:val="002A5190"/>
    <w:rsid w:val="002A53E9"/>
    <w:rsid w:val="002A557E"/>
    <w:rsid w:val="002A5D51"/>
    <w:rsid w:val="002A6460"/>
    <w:rsid w:val="002A6C04"/>
    <w:rsid w:val="002A74E6"/>
    <w:rsid w:val="002A77D2"/>
    <w:rsid w:val="002B0035"/>
    <w:rsid w:val="002B02AA"/>
    <w:rsid w:val="002B0FCA"/>
    <w:rsid w:val="002B1424"/>
    <w:rsid w:val="002B1745"/>
    <w:rsid w:val="002B1BF5"/>
    <w:rsid w:val="002B2311"/>
    <w:rsid w:val="002B3275"/>
    <w:rsid w:val="002B32CD"/>
    <w:rsid w:val="002B3812"/>
    <w:rsid w:val="002B422B"/>
    <w:rsid w:val="002B441C"/>
    <w:rsid w:val="002B452D"/>
    <w:rsid w:val="002B4EB7"/>
    <w:rsid w:val="002B546D"/>
    <w:rsid w:val="002B557E"/>
    <w:rsid w:val="002B5C53"/>
    <w:rsid w:val="002B5FE8"/>
    <w:rsid w:val="002B635B"/>
    <w:rsid w:val="002B67A8"/>
    <w:rsid w:val="002B68FF"/>
    <w:rsid w:val="002C02B8"/>
    <w:rsid w:val="002C103E"/>
    <w:rsid w:val="002C1196"/>
    <w:rsid w:val="002C1DA2"/>
    <w:rsid w:val="002C21B2"/>
    <w:rsid w:val="002C2DDF"/>
    <w:rsid w:val="002C3301"/>
    <w:rsid w:val="002C384A"/>
    <w:rsid w:val="002C387B"/>
    <w:rsid w:val="002C4156"/>
    <w:rsid w:val="002C4425"/>
    <w:rsid w:val="002C481F"/>
    <w:rsid w:val="002C51BE"/>
    <w:rsid w:val="002C5454"/>
    <w:rsid w:val="002C5563"/>
    <w:rsid w:val="002C5DF1"/>
    <w:rsid w:val="002C6380"/>
    <w:rsid w:val="002C68A3"/>
    <w:rsid w:val="002C6A42"/>
    <w:rsid w:val="002C7023"/>
    <w:rsid w:val="002C7E15"/>
    <w:rsid w:val="002D0499"/>
    <w:rsid w:val="002D0665"/>
    <w:rsid w:val="002D06B6"/>
    <w:rsid w:val="002D0FDC"/>
    <w:rsid w:val="002D1DAC"/>
    <w:rsid w:val="002D1E5E"/>
    <w:rsid w:val="002D31C3"/>
    <w:rsid w:val="002D475A"/>
    <w:rsid w:val="002D4E37"/>
    <w:rsid w:val="002D5068"/>
    <w:rsid w:val="002D5241"/>
    <w:rsid w:val="002D615C"/>
    <w:rsid w:val="002D6687"/>
    <w:rsid w:val="002D6990"/>
    <w:rsid w:val="002D69A8"/>
    <w:rsid w:val="002D7108"/>
    <w:rsid w:val="002D73A6"/>
    <w:rsid w:val="002D74A9"/>
    <w:rsid w:val="002D7B0A"/>
    <w:rsid w:val="002D7CB2"/>
    <w:rsid w:val="002D7F3C"/>
    <w:rsid w:val="002E1BDF"/>
    <w:rsid w:val="002E21DD"/>
    <w:rsid w:val="002E2432"/>
    <w:rsid w:val="002E26C2"/>
    <w:rsid w:val="002E2976"/>
    <w:rsid w:val="002E29C9"/>
    <w:rsid w:val="002E29E8"/>
    <w:rsid w:val="002E2E37"/>
    <w:rsid w:val="002E330E"/>
    <w:rsid w:val="002E4332"/>
    <w:rsid w:val="002E433A"/>
    <w:rsid w:val="002E54D9"/>
    <w:rsid w:val="002E5797"/>
    <w:rsid w:val="002E5BA0"/>
    <w:rsid w:val="002E765E"/>
    <w:rsid w:val="002F0BAB"/>
    <w:rsid w:val="002F2E82"/>
    <w:rsid w:val="002F36EA"/>
    <w:rsid w:val="002F5DD5"/>
    <w:rsid w:val="002F6156"/>
    <w:rsid w:val="002F61FD"/>
    <w:rsid w:val="002F6336"/>
    <w:rsid w:val="002F6648"/>
    <w:rsid w:val="002F6F40"/>
    <w:rsid w:val="002F754C"/>
    <w:rsid w:val="0030017B"/>
    <w:rsid w:val="003006BD"/>
    <w:rsid w:val="003008E6"/>
    <w:rsid w:val="0030158A"/>
    <w:rsid w:val="003017FB"/>
    <w:rsid w:val="00301840"/>
    <w:rsid w:val="00301989"/>
    <w:rsid w:val="003019AC"/>
    <w:rsid w:val="00301D65"/>
    <w:rsid w:val="0030227B"/>
    <w:rsid w:val="00302327"/>
    <w:rsid w:val="003023FB"/>
    <w:rsid w:val="00302AFF"/>
    <w:rsid w:val="003031A4"/>
    <w:rsid w:val="003043F6"/>
    <w:rsid w:val="00305121"/>
    <w:rsid w:val="00305599"/>
    <w:rsid w:val="0030610C"/>
    <w:rsid w:val="003061A3"/>
    <w:rsid w:val="00306A70"/>
    <w:rsid w:val="003071DD"/>
    <w:rsid w:val="00307722"/>
    <w:rsid w:val="00307B73"/>
    <w:rsid w:val="00310118"/>
    <w:rsid w:val="00310266"/>
    <w:rsid w:val="00310F64"/>
    <w:rsid w:val="003114AE"/>
    <w:rsid w:val="00311D5B"/>
    <w:rsid w:val="00312903"/>
    <w:rsid w:val="00312BFD"/>
    <w:rsid w:val="00312F22"/>
    <w:rsid w:val="00312F2E"/>
    <w:rsid w:val="00313792"/>
    <w:rsid w:val="00313848"/>
    <w:rsid w:val="0031432F"/>
    <w:rsid w:val="00314FD8"/>
    <w:rsid w:val="00315967"/>
    <w:rsid w:val="00315EB1"/>
    <w:rsid w:val="00316743"/>
    <w:rsid w:val="00316F2F"/>
    <w:rsid w:val="003175CE"/>
    <w:rsid w:val="003178B9"/>
    <w:rsid w:val="00317AAC"/>
    <w:rsid w:val="00320D8A"/>
    <w:rsid w:val="0032103D"/>
    <w:rsid w:val="00321423"/>
    <w:rsid w:val="003215D8"/>
    <w:rsid w:val="003226B4"/>
    <w:rsid w:val="0032416F"/>
    <w:rsid w:val="00324568"/>
    <w:rsid w:val="00324601"/>
    <w:rsid w:val="00324666"/>
    <w:rsid w:val="0032569B"/>
    <w:rsid w:val="00325E00"/>
    <w:rsid w:val="003261AD"/>
    <w:rsid w:val="00326E99"/>
    <w:rsid w:val="00327977"/>
    <w:rsid w:val="00327DA3"/>
    <w:rsid w:val="00330A5F"/>
    <w:rsid w:val="00330BD2"/>
    <w:rsid w:val="003312AD"/>
    <w:rsid w:val="0033167C"/>
    <w:rsid w:val="003318D2"/>
    <w:rsid w:val="003322B6"/>
    <w:rsid w:val="00332AE5"/>
    <w:rsid w:val="00332CD9"/>
    <w:rsid w:val="0033317C"/>
    <w:rsid w:val="00333AE2"/>
    <w:rsid w:val="00334194"/>
    <w:rsid w:val="00334339"/>
    <w:rsid w:val="003344E4"/>
    <w:rsid w:val="00334C5D"/>
    <w:rsid w:val="003352C1"/>
    <w:rsid w:val="0033562D"/>
    <w:rsid w:val="00335872"/>
    <w:rsid w:val="00335DA7"/>
    <w:rsid w:val="003360C8"/>
    <w:rsid w:val="0033679B"/>
    <w:rsid w:val="00336E84"/>
    <w:rsid w:val="003370DA"/>
    <w:rsid w:val="003372C1"/>
    <w:rsid w:val="00337C63"/>
    <w:rsid w:val="00340328"/>
    <w:rsid w:val="00340E99"/>
    <w:rsid w:val="00340F57"/>
    <w:rsid w:val="0034125E"/>
    <w:rsid w:val="003418AC"/>
    <w:rsid w:val="00341948"/>
    <w:rsid w:val="003426E3"/>
    <w:rsid w:val="00342AA7"/>
    <w:rsid w:val="00342CF8"/>
    <w:rsid w:val="00342F43"/>
    <w:rsid w:val="003446E4"/>
    <w:rsid w:val="003447F1"/>
    <w:rsid w:val="003448B6"/>
    <w:rsid w:val="00344C21"/>
    <w:rsid w:val="00345304"/>
    <w:rsid w:val="003457E9"/>
    <w:rsid w:val="00345CA1"/>
    <w:rsid w:val="00345D79"/>
    <w:rsid w:val="0034654D"/>
    <w:rsid w:val="003470AD"/>
    <w:rsid w:val="00347A82"/>
    <w:rsid w:val="00350235"/>
    <w:rsid w:val="0035029B"/>
    <w:rsid w:val="00351415"/>
    <w:rsid w:val="00351495"/>
    <w:rsid w:val="003517F8"/>
    <w:rsid w:val="00351D51"/>
    <w:rsid w:val="00351D59"/>
    <w:rsid w:val="00352991"/>
    <w:rsid w:val="00353028"/>
    <w:rsid w:val="00353598"/>
    <w:rsid w:val="003539A2"/>
    <w:rsid w:val="00353DBE"/>
    <w:rsid w:val="00355143"/>
    <w:rsid w:val="003556F0"/>
    <w:rsid w:val="00355A36"/>
    <w:rsid w:val="00355EE1"/>
    <w:rsid w:val="00356C1F"/>
    <w:rsid w:val="0035723A"/>
    <w:rsid w:val="0035740F"/>
    <w:rsid w:val="00357D8B"/>
    <w:rsid w:val="00360189"/>
    <w:rsid w:val="0036025C"/>
    <w:rsid w:val="003607AE"/>
    <w:rsid w:val="00360A53"/>
    <w:rsid w:val="00361657"/>
    <w:rsid w:val="00361B27"/>
    <w:rsid w:val="00361C51"/>
    <w:rsid w:val="00361EB0"/>
    <w:rsid w:val="003620E9"/>
    <w:rsid w:val="003622C9"/>
    <w:rsid w:val="00362D07"/>
    <w:rsid w:val="00363078"/>
    <w:rsid w:val="003643AB"/>
    <w:rsid w:val="0036528C"/>
    <w:rsid w:val="003652FE"/>
    <w:rsid w:val="00365562"/>
    <w:rsid w:val="003668BE"/>
    <w:rsid w:val="00366E47"/>
    <w:rsid w:val="003672EA"/>
    <w:rsid w:val="0036745C"/>
    <w:rsid w:val="00367691"/>
    <w:rsid w:val="00370326"/>
    <w:rsid w:val="00370FCD"/>
    <w:rsid w:val="00371D58"/>
    <w:rsid w:val="00371F8D"/>
    <w:rsid w:val="003724FB"/>
    <w:rsid w:val="00372705"/>
    <w:rsid w:val="00372C18"/>
    <w:rsid w:val="003731E5"/>
    <w:rsid w:val="00373469"/>
    <w:rsid w:val="003734BA"/>
    <w:rsid w:val="00373EFA"/>
    <w:rsid w:val="003747AF"/>
    <w:rsid w:val="00374A8D"/>
    <w:rsid w:val="00374FA4"/>
    <w:rsid w:val="003754BB"/>
    <w:rsid w:val="00375745"/>
    <w:rsid w:val="0037582C"/>
    <w:rsid w:val="00375A16"/>
    <w:rsid w:val="003761A2"/>
    <w:rsid w:val="00376371"/>
    <w:rsid w:val="003768A4"/>
    <w:rsid w:val="00376B7F"/>
    <w:rsid w:val="00377815"/>
    <w:rsid w:val="00377FDF"/>
    <w:rsid w:val="0038028F"/>
    <w:rsid w:val="00380C17"/>
    <w:rsid w:val="00380FC1"/>
    <w:rsid w:val="00381624"/>
    <w:rsid w:val="00381870"/>
    <w:rsid w:val="003819B5"/>
    <w:rsid w:val="003828F2"/>
    <w:rsid w:val="00382D24"/>
    <w:rsid w:val="003837FA"/>
    <w:rsid w:val="00383B58"/>
    <w:rsid w:val="003853E7"/>
    <w:rsid w:val="00385B24"/>
    <w:rsid w:val="00386F1E"/>
    <w:rsid w:val="003871D2"/>
    <w:rsid w:val="00387560"/>
    <w:rsid w:val="00387845"/>
    <w:rsid w:val="00387993"/>
    <w:rsid w:val="00387FEA"/>
    <w:rsid w:val="00390332"/>
    <w:rsid w:val="003906FF"/>
    <w:rsid w:val="00390BC6"/>
    <w:rsid w:val="00390FDB"/>
    <w:rsid w:val="003911BD"/>
    <w:rsid w:val="0039169D"/>
    <w:rsid w:val="00391A70"/>
    <w:rsid w:val="00393043"/>
    <w:rsid w:val="003930C5"/>
    <w:rsid w:val="003935EF"/>
    <w:rsid w:val="003939A5"/>
    <w:rsid w:val="00393C6C"/>
    <w:rsid w:val="00393FCC"/>
    <w:rsid w:val="003958F9"/>
    <w:rsid w:val="0039595F"/>
    <w:rsid w:val="0039646D"/>
    <w:rsid w:val="003976C2"/>
    <w:rsid w:val="00397CD2"/>
    <w:rsid w:val="00397E2C"/>
    <w:rsid w:val="003A09FA"/>
    <w:rsid w:val="003A0A10"/>
    <w:rsid w:val="003A1479"/>
    <w:rsid w:val="003A14D3"/>
    <w:rsid w:val="003A1D61"/>
    <w:rsid w:val="003A2D1B"/>
    <w:rsid w:val="003A3356"/>
    <w:rsid w:val="003A4075"/>
    <w:rsid w:val="003A4589"/>
    <w:rsid w:val="003A535F"/>
    <w:rsid w:val="003A5AF3"/>
    <w:rsid w:val="003A69F9"/>
    <w:rsid w:val="003A7C2A"/>
    <w:rsid w:val="003B04CB"/>
    <w:rsid w:val="003B0826"/>
    <w:rsid w:val="003B088C"/>
    <w:rsid w:val="003B164B"/>
    <w:rsid w:val="003B17D9"/>
    <w:rsid w:val="003B1E62"/>
    <w:rsid w:val="003B216D"/>
    <w:rsid w:val="003B3544"/>
    <w:rsid w:val="003B38D1"/>
    <w:rsid w:val="003B3A2D"/>
    <w:rsid w:val="003B3CB0"/>
    <w:rsid w:val="003B42C0"/>
    <w:rsid w:val="003B5994"/>
    <w:rsid w:val="003B5A5B"/>
    <w:rsid w:val="003B5B6C"/>
    <w:rsid w:val="003B5E25"/>
    <w:rsid w:val="003B6367"/>
    <w:rsid w:val="003B688A"/>
    <w:rsid w:val="003B6928"/>
    <w:rsid w:val="003B6B1F"/>
    <w:rsid w:val="003C01D2"/>
    <w:rsid w:val="003C18B0"/>
    <w:rsid w:val="003C28E2"/>
    <w:rsid w:val="003C2C31"/>
    <w:rsid w:val="003C2ED5"/>
    <w:rsid w:val="003C3750"/>
    <w:rsid w:val="003C486C"/>
    <w:rsid w:val="003C4A2D"/>
    <w:rsid w:val="003C507E"/>
    <w:rsid w:val="003C646A"/>
    <w:rsid w:val="003C6E00"/>
    <w:rsid w:val="003C79A5"/>
    <w:rsid w:val="003D084C"/>
    <w:rsid w:val="003D0AFD"/>
    <w:rsid w:val="003D1132"/>
    <w:rsid w:val="003D1264"/>
    <w:rsid w:val="003D15B1"/>
    <w:rsid w:val="003D17F7"/>
    <w:rsid w:val="003D1EA0"/>
    <w:rsid w:val="003D393A"/>
    <w:rsid w:val="003D3EE4"/>
    <w:rsid w:val="003D4060"/>
    <w:rsid w:val="003D430C"/>
    <w:rsid w:val="003D4C19"/>
    <w:rsid w:val="003D4E24"/>
    <w:rsid w:val="003D53A0"/>
    <w:rsid w:val="003D53DB"/>
    <w:rsid w:val="003D5428"/>
    <w:rsid w:val="003D5538"/>
    <w:rsid w:val="003D5A01"/>
    <w:rsid w:val="003D5E05"/>
    <w:rsid w:val="003D60C2"/>
    <w:rsid w:val="003D6204"/>
    <w:rsid w:val="003D6474"/>
    <w:rsid w:val="003D743C"/>
    <w:rsid w:val="003D7B7E"/>
    <w:rsid w:val="003D7BC1"/>
    <w:rsid w:val="003D7C09"/>
    <w:rsid w:val="003D7D80"/>
    <w:rsid w:val="003E023C"/>
    <w:rsid w:val="003E2035"/>
    <w:rsid w:val="003E2D31"/>
    <w:rsid w:val="003E33CB"/>
    <w:rsid w:val="003E3790"/>
    <w:rsid w:val="003E3804"/>
    <w:rsid w:val="003E3C89"/>
    <w:rsid w:val="003E4184"/>
    <w:rsid w:val="003E5567"/>
    <w:rsid w:val="003E5AE6"/>
    <w:rsid w:val="003E6CAE"/>
    <w:rsid w:val="003E6FF0"/>
    <w:rsid w:val="003E7474"/>
    <w:rsid w:val="003E770F"/>
    <w:rsid w:val="003E790B"/>
    <w:rsid w:val="003E7DBA"/>
    <w:rsid w:val="003F0935"/>
    <w:rsid w:val="003F0A82"/>
    <w:rsid w:val="003F140F"/>
    <w:rsid w:val="003F15F8"/>
    <w:rsid w:val="003F1CC9"/>
    <w:rsid w:val="003F27C9"/>
    <w:rsid w:val="003F2FAB"/>
    <w:rsid w:val="003F3152"/>
    <w:rsid w:val="003F3176"/>
    <w:rsid w:val="003F3416"/>
    <w:rsid w:val="003F3990"/>
    <w:rsid w:val="003F3BDB"/>
    <w:rsid w:val="003F4457"/>
    <w:rsid w:val="003F496E"/>
    <w:rsid w:val="003F4982"/>
    <w:rsid w:val="003F56E6"/>
    <w:rsid w:val="003F6603"/>
    <w:rsid w:val="003F6955"/>
    <w:rsid w:val="003F69EF"/>
    <w:rsid w:val="003F6C35"/>
    <w:rsid w:val="003F7A76"/>
    <w:rsid w:val="0040033C"/>
    <w:rsid w:val="00400514"/>
    <w:rsid w:val="0040187C"/>
    <w:rsid w:val="00401B62"/>
    <w:rsid w:val="0040250F"/>
    <w:rsid w:val="00403342"/>
    <w:rsid w:val="00403B55"/>
    <w:rsid w:val="00403C95"/>
    <w:rsid w:val="00404509"/>
    <w:rsid w:val="00404DDF"/>
    <w:rsid w:val="00405112"/>
    <w:rsid w:val="004058C3"/>
    <w:rsid w:val="00406267"/>
    <w:rsid w:val="00406C33"/>
    <w:rsid w:val="00410B86"/>
    <w:rsid w:val="00410D07"/>
    <w:rsid w:val="00410D3E"/>
    <w:rsid w:val="00410DD6"/>
    <w:rsid w:val="004115C8"/>
    <w:rsid w:val="0041160A"/>
    <w:rsid w:val="004117E7"/>
    <w:rsid w:val="00411AA8"/>
    <w:rsid w:val="00411EE3"/>
    <w:rsid w:val="00412F4B"/>
    <w:rsid w:val="004130CF"/>
    <w:rsid w:val="00413139"/>
    <w:rsid w:val="0041358B"/>
    <w:rsid w:val="004139F0"/>
    <w:rsid w:val="00413CAC"/>
    <w:rsid w:val="00413DD2"/>
    <w:rsid w:val="0041486C"/>
    <w:rsid w:val="00415014"/>
    <w:rsid w:val="00415533"/>
    <w:rsid w:val="0041554E"/>
    <w:rsid w:val="004161BE"/>
    <w:rsid w:val="00416651"/>
    <w:rsid w:val="00417779"/>
    <w:rsid w:val="00417A62"/>
    <w:rsid w:val="004207B8"/>
    <w:rsid w:val="00420A08"/>
    <w:rsid w:val="00420FD1"/>
    <w:rsid w:val="0042104C"/>
    <w:rsid w:val="00421A05"/>
    <w:rsid w:val="00421DB4"/>
    <w:rsid w:val="00421F97"/>
    <w:rsid w:val="004235A3"/>
    <w:rsid w:val="00423858"/>
    <w:rsid w:val="00423B7D"/>
    <w:rsid w:val="0042452B"/>
    <w:rsid w:val="004247A1"/>
    <w:rsid w:val="004248F3"/>
    <w:rsid w:val="00424C84"/>
    <w:rsid w:val="00424EEA"/>
    <w:rsid w:val="00424F99"/>
    <w:rsid w:val="004251F5"/>
    <w:rsid w:val="00425881"/>
    <w:rsid w:val="004262AD"/>
    <w:rsid w:val="00427793"/>
    <w:rsid w:val="00427AD0"/>
    <w:rsid w:val="00427AEE"/>
    <w:rsid w:val="00427C69"/>
    <w:rsid w:val="0043058E"/>
    <w:rsid w:val="00431BBE"/>
    <w:rsid w:val="00431EAD"/>
    <w:rsid w:val="00431EE9"/>
    <w:rsid w:val="00432004"/>
    <w:rsid w:val="00432E03"/>
    <w:rsid w:val="00433565"/>
    <w:rsid w:val="0043460E"/>
    <w:rsid w:val="00435A5D"/>
    <w:rsid w:val="00435CE6"/>
    <w:rsid w:val="004366EC"/>
    <w:rsid w:val="004367F7"/>
    <w:rsid w:val="0043683F"/>
    <w:rsid w:val="004368CA"/>
    <w:rsid w:val="00436BB8"/>
    <w:rsid w:val="00436D24"/>
    <w:rsid w:val="004375B3"/>
    <w:rsid w:val="00437ED2"/>
    <w:rsid w:val="00440801"/>
    <w:rsid w:val="00440B14"/>
    <w:rsid w:val="00440D6F"/>
    <w:rsid w:val="00441DE6"/>
    <w:rsid w:val="00442391"/>
    <w:rsid w:val="00442E76"/>
    <w:rsid w:val="0044315C"/>
    <w:rsid w:val="0044319E"/>
    <w:rsid w:val="00443562"/>
    <w:rsid w:val="00443690"/>
    <w:rsid w:val="0044386C"/>
    <w:rsid w:val="004438D5"/>
    <w:rsid w:val="00443D1C"/>
    <w:rsid w:val="00443F9E"/>
    <w:rsid w:val="00445544"/>
    <w:rsid w:val="00445A4B"/>
    <w:rsid w:val="00446438"/>
    <w:rsid w:val="0044655F"/>
    <w:rsid w:val="00446763"/>
    <w:rsid w:val="00446989"/>
    <w:rsid w:val="00446CC7"/>
    <w:rsid w:val="004471CE"/>
    <w:rsid w:val="00447537"/>
    <w:rsid w:val="00447DE0"/>
    <w:rsid w:val="0045086F"/>
    <w:rsid w:val="0045205F"/>
    <w:rsid w:val="00452213"/>
    <w:rsid w:val="00452340"/>
    <w:rsid w:val="00452544"/>
    <w:rsid w:val="004525CE"/>
    <w:rsid w:val="004526CC"/>
    <w:rsid w:val="0045285F"/>
    <w:rsid w:val="00452FC0"/>
    <w:rsid w:val="00453710"/>
    <w:rsid w:val="00453735"/>
    <w:rsid w:val="00453AF4"/>
    <w:rsid w:val="0045410A"/>
    <w:rsid w:val="00454915"/>
    <w:rsid w:val="00454A14"/>
    <w:rsid w:val="004557CF"/>
    <w:rsid w:val="00455E2D"/>
    <w:rsid w:val="00456BEE"/>
    <w:rsid w:val="00456D07"/>
    <w:rsid w:val="00457256"/>
    <w:rsid w:val="0045728F"/>
    <w:rsid w:val="004572A3"/>
    <w:rsid w:val="00460082"/>
    <w:rsid w:val="00460109"/>
    <w:rsid w:val="00460EF5"/>
    <w:rsid w:val="00461186"/>
    <w:rsid w:val="00461664"/>
    <w:rsid w:val="00461C87"/>
    <w:rsid w:val="00461F71"/>
    <w:rsid w:val="00462678"/>
    <w:rsid w:val="00462E5E"/>
    <w:rsid w:val="00462F35"/>
    <w:rsid w:val="00462FEC"/>
    <w:rsid w:val="00463C06"/>
    <w:rsid w:val="0046414F"/>
    <w:rsid w:val="0046455A"/>
    <w:rsid w:val="00464631"/>
    <w:rsid w:val="00464DAB"/>
    <w:rsid w:val="00464EAB"/>
    <w:rsid w:val="00465ADE"/>
    <w:rsid w:val="00465B88"/>
    <w:rsid w:val="00465E35"/>
    <w:rsid w:val="0046659E"/>
    <w:rsid w:val="004665EC"/>
    <w:rsid w:val="00466D30"/>
    <w:rsid w:val="00470624"/>
    <w:rsid w:val="00471907"/>
    <w:rsid w:val="00471E37"/>
    <w:rsid w:val="00472A57"/>
    <w:rsid w:val="00472C68"/>
    <w:rsid w:val="00472F69"/>
    <w:rsid w:val="004742C1"/>
    <w:rsid w:val="004749AD"/>
    <w:rsid w:val="0047520C"/>
    <w:rsid w:val="004755B8"/>
    <w:rsid w:val="00475C3F"/>
    <w:rsid w:val="00475DCB"/>
    <w:rsid w:val="004761B8"/>
    <w:rsid w:val="0047636B"/>
    <w:rsid w:val="00476984"/>
    <w:rsid w:val="00476E90"/>
    <w:rsid w:val="004771FF"/>
    <w:rsid w:val="004775DA"/>
    <w:rsid w:val="00480306"/>
    <w:rsid w:val="0048075D"/>
    <w:rsid w:val="004807F2"/>
    <w:rsid w:val="00480B8F"/>
    <w:rsid w:val="00481D8F"/>
    <w:rsid w:val="00481F99"/>
    <w:rsid w:val="00482370"/>
    <w:rsid w:val="00482EC8"/>
    <w:rsid w:val="00483500"/>
    <w:rsid w:val="004841F9"/>
    <w:rsid w:val="00484832"/>
    <w:rsid w:val="0048537D"/>
    <w:rsid w:val="004854B4"/>
    <w:rsid w:val="00486631"/>
    <w:rsid w:val="004870FF"/>
    <w:rsid w:val="0048721E"/>
    <w:rsid w:val="004875F7"/>
    <w:rsid w:val="00487BD6"/>
    <w:rsid w:val="00487F8D"/>
    <w:rsid w:val="00487FD6"/>
    <w:rsid w:val="004905A2"/>
    <w:rsid w:val="004912B1"/>
    <w:rsid w:val="00491562"/>
    <w:rsid w:val="00491AB5"/>
    <w:rsid w:val="0049274A"/>
    <w:rsid w:val="00492D0F"/>
    <w:rsid w:val="00492D7B"/>
    <w:rsid w:val="0049338A"/>
    <w:rsid w:val="00493802"/>
    <w:rsid w:val="00493E86"/>
    <w:rsid w:val="004940FA"/>
    <w:rsid w:val="004946A2"/>
    <w:rsid w:val="0049506C"/>
    <w:rsid w:val="0049527B"/>
    <w:rsid w:val="004961C7"/>
    <w:rsid w:val="00496FB5"/>
    <w:rsid w:val="0049770E"/>
    <w:rsid w:val="004A016F"/>
    <w:rsid w:val="004A0B6C"/>
    <w:rsid w:val="004A0E25"/>
    <w:rsid w:val="004A11F7"/>
    <w:rsid w:val="004A1511"/>
    <w:rsid w:val="004A1986"/>
    <w:rsid w:val="004A2C20"/>
    <w:rsid w:val="004A2F62"/>
    <w:rsid w:val="004A35A7"/>
    <w:rsid w:val="004A3A62"/>
    <w:rsid w:val="004A4131"/>
    <w:rsid w:val="004A4199"/>
    <w:rsid w:val="004A43F4"/>
    <w:rsid w:val="004A447F"/>
    <w:rsid w:val="004A522C"/>
    <w:rsid w:val="004A524B"/>
    <w:rsid w:val="004A5E31"/>
    <w:rsid w:val="004A5E9C"/>
    <w:rsid w:val="004A6037"/>
    <w:rsid w:val="004A66A0"/>
    <w:rsid w:val="004A7B06"/>
    <w:rsid w:val="004B055B"/>
    <w:rsid w:val="004B1FC6"/>
    <w:rsid w:val="004B2EB1"/>
    <w:rsid w:val="004B3717"/>
    <w:rsid w:val="004B3E1A"/>
    <w:rsid w:val="004B4104"/>
    <w:rsid w:val="004B42E3"/>
    <w:rsid w:val="004B5B1A"/>
    <w:rsid w:val="004B619E"/>
    <w:rsid w:val="004B74F9"/>
    <w:rsid w:val="004B7E5B"/>
    <w:rsid w:val="004C0FA6"/>
    <w:rsid w:val="004C1DBA"/>
    <w:rsid w:val="004C1F79"/>
    <w:rsid w:val="004C249B"/>
    <w:rsid w:val="004C2BB3"/>
    <w:rsid w:val="004C499C"/>
    <w:rsid w:val="004C4B86"/>
    <w:rsid w:val="004C4F86"/>
    <w:rsid w:val="004C52F1"/>
    <w:rsid w:val="004C59B0"/>
    <w:rsid w:val="004C6721"/>
    <w:rsid w:val="004C6AC4"/>
    <w:rsid w:val="004C74A3"/>
    <w:rsid w:val="004D0CB4"/>
    <w:rsid w:val="004D15E0"/>
    <w:rsid w:val="004D299E"/>
    <w:rsid w:val="004D3161"/>
    <w:rsid w:val="004D34E2"/>
    <w:rsid w:val="004D39A1"/>
    <w:rsid w:val="004D3B82"/>
    <w:rsid w:val="004D4889"/>
    <w:rsid w:val="004D49AE"/>
    <w:rsid w:val="004D4CA6"/>
    <w:rsid w:val="004D4F43"/>
    <w:rsid w:val="004D5114"/>
    <w:rsid w:val="004D55D1"/>
    <w:rsid w:val="004D61BC"/>
    <w:rsid w:val="004D6C82"/>
    <w:rsid w:val="004D77C8"/>
    <w:rsid w:val="004E02C5"/>
    <w:rsid w:val="004E07D8"/>
    <w:rsid w:val="004E0843"/>
    <w:rsid w:val="004E0BA6"/>
    <w:rsid w:val="004E1AFB"/>
    <w:rsid w:val="004E1C44"/>
    <w:rsid w:val="004E1CF6"/>
    <w:rsid w:val="004E2B59"/>
    <w:rsid w:val="004E2C92"/>
    <w:rsid w:val="004E2F24"/>
    <w:rsid w:val="004E3099"/>
    <w:rsid w:val="004E3CE8"/>
    <w:rsid w:val="004E48A4"/>
    <w:rsid w:val="004E4AD0"/>
    <w:rsid w:val="004E4B4F"/>
    <w:rsid w:val="004E5400"/>
    <w:rsid w:val="004E5771"/>
    <w:rsid w:val="004E5FAA"/>
    <w:rsid w:val="004E6420"/>
    <w:rsid w:val="004E6500"/>
    <w:rsid w:val="004E68DE"/>
    <w:rsid w:val="004E6C32"/>
    <w:rsid w:val="004E755E"/>
    <w:rsid w:val="004E766B"/>
    <w:rsid w:val="004F0FDE"/>
    <w:rsid w:val="004F1154"/>
    <w:rsid w:val="004F165A"/>
    <w:rsid w:val="004F1872"/>
    <w:rsid w:val="004F21E2"/>
    <w:rsid w:val="004F29AA"/>
    <w:rsid w:val="004F2BE8"/>
    <w:rsid w:val="004F3EA5"/>
    <w:rsid w:val="004F42A3"/>
    <w:rsid w:val="004F463D"/>
    <w:rsid w:val="004F47B8"/>
    <w:rsid w:val="004F578D"/>
    <w:rsid w:val="004F58E3"/>
    <w:rsid w:val="004F5B4B"/>
    <w:rsid w:val="004F5E2E"/>
    <w:rsid w:val="004F6CF0"/>
    <w:rsid w:val="004F7240"/>
    <w:rsid w:val="004F7488"/>
    <w:rsid w:val="004F7AB9"/>
    <w:rsid w:val="00500594"/>
    <w:rsid w:val="00500928"/>
    <w:rsid w:val="00500B91"/>
    <w:rsid w:val="005017F7"/>
    <w:rsid w:val="00501993"/>
    <w:rsid w:val="00501E16"/>
    <w:rsid w:val="005031CF"/>
    <w:rsid w:val="00503915"/>
    <w:rsid w:val="005044EC"/>
    <w:rsid w:val="005045E6"/>
    <w:rsid w:val="00504D0C"/>
    <w:rsid w:val="005051BC"/>
    <w:rsid w:val="00505637"/>
    <w:rsid w:val="00505CC0"/>
    <w:rsid w:val="00505E9B"/>
    <w:rsid w:val="0050648E"/>
    <w:rsid w:val="00506945"/>
    <w:rsid w:val="00506E0C"/>
    <w:rsid w:val="0051102E"/>
    <w:rsid w:val="005118B6"/>
    <w:rsid w:val="00512557"/>
    <w:rsid w:val="005125A0"/>
    <w:rsid w:val="00512F0B"/>
    <w:rsid w:val="0051302F"/>
    <w:rsid w:val="005131C0"/>
    <w:rsid w:val="005143AD"/>
    <w:rsid w:val="00515331"/>
    <w:rsid w:val="0051534B"/>
    <w:rsid w:val="00515893"/>
    <w:rsid w:val="00516415"/>
    <w:rsid w:val="00516CE1"/>
    <w:rsid w:val="00516E6A"/>
    <w:rsid w:val="00517394"/>
    <w:rsid w:val="00520664"/>
    <w:rsid w:val="00520A23"/>
    <w:rsid w:val="00521689"/>
    <w:rsid w:val="0052203A"/>
    <w:rsid w:val="00522098"/>
    <w:rsid w:val="005226E6"/>
    <w:rsid w:val="00522AB6"/>
    <w:rsid w:val="00523165"/>
    <w:rsid w:val="005243E3"/>
    <w:rsid w:val="00524D57"/>
    <w:rsid w:val="0052550C"/>
    <w:rsid w:val="00526E19"/>
    <w:rsid w:val="00527A8A"/>
    <w:rsid w:val="00527ABD"/>
    <w:rsid w:val="00527F45"/>
    <w:rsid w:val="00527F9A"/>
    <w:rsid w:val="0053032F"/>
    <w:rsid w:val="00530403"/>
    <w:rsid w:val="00530514"/>
    <w:rsid w:val="00530849"/>
    <w:rsid w:val="00530C60"/>
    <w:rsid w:val="00530EA1"/>
    <w:rsid w:val="00531CF7"/>
    <w:rsid w:val="00531CFE"/>
    <w:rsid w:val="00531D06"/>
    <w:rsid w:val="005321CE"/>
    <w:rsid w:val="00532668"/>
    <w:rsid w:val="005327FF"/>
    <w:rsid w:val="00533C3B"/>
    <w:rsid w:val="00533E6B"/>
    <w:rsid w:val="00534B72"/>
    <w:rsid w:val="00534BAB"/>
    <w:rsid w:val="00534E31"/>
    <w:rsid w:val="00534E66"/>
    <w:rsid w:val="00535DC5"/>
    <w:rsid w:val="00537275"/>
    <w:rsid w:val="00537C06"/>
    <w:rsid w:val="00537CBD"/>
    <w:rsid w:val="00540304"/>
    <w:rsid w:val="005404CC"/>
    <w:rsid w:val="005416CC"/>
    <w:rsid w:val="00541FF3"/>
    <w:rsid w:val="00542626"/>
    <w:rsid w:val="005429B5"/>
    <w:rsid w:val="0054328B"/>
    <w:rsid w:val="005439F3"/>
    <w:rsid w:val="0054403C"/>
    <w:rsid w:val="00545F34"/>
    <w:rsid w:val="00547AE1"/>
    <w:rsid w:val="00550490"/>
    <w:rsid w:val="0055101B"/>
    <w:rsid w:val="00551AE2"/>
    <w:rsid w:val="00551B11"/>
    <w:rsid w:val="0055248C"/>
    <w:rsid w:val="005533E7"/>
    <w:rsid w:val="005535C9"/>
    <w:rsid w:val="0055409B"/>
    <w:rsid w:val="005542F0"/>
    <w:rsid w:val="005547B3"/>
    <w:rsid w:val="005549C0"/>
    <w:rsid w:val="00554B99"/>
    <w:rsid w:val="005558E4"/>
    <w:rsid w:val="0055625F"/>
    <w:rsid w:val="00557959"/>
    <w:rsid w:val="0056004B"/>
    <w:rsid w:val="00561657"/>
    <w:rsid w:val="00561699"/>
    <w:rsid w:val="00561878"/>
    <w:rsid w:val="00561D83"/>
    <w:rsid w:val="00562A49"/>
    <w:rsid w:val="0056391D"/>
    <w:rsid w:val="00563C9C"/>
    <w:rsid w:val="00564AEB"/>
    <w:rsid w:val="00564B6F"/>
    <w:rsid w:val="005659DB"/>
    <w:rsid w:val="00565D5D"/>
    <w:rsid w:val="005663BE"/>
    <w:rsid w:val="00566911"/>
    <w:rsid w:val="005671FA"/>
    <w:rsid w:val="005678EA"/>
    <w:rsid w:val="005718B4"/>
    <w:rsid w:val="00571DAE"/>
    <w:rsid w:val="00571E78"/>
    <w:rsid w:val="00572214"/>
    <w:rsid w:val="00572233"/>
    <w:rsid w:val="00572336"/>
    <w:rsid w:val="0057293B"/>
    <w:rsid w:val="00572E4A"/>
    <w:rsid w:val="005730E1"/>
    <w:rsid w:val="00573D9C"/>
    <w:rsid w:val="005753D7"/>
    <w:rsid w:val="005774B9"/>
    <w:rsid w:val="00577848"/>
    <w:rsid w:val="005808BA"/>
    <w:rsid w:val="00580BF5"/>
    <w:rsid w:val="00580F02"/>
    <w:rsid w:val="00581B3E"/>
    <w:rsid w:val="00582201"/>
    <w:rsid w:val="005826BE"/>
    <w:rsid w:val="00582B8B"/>
    <w:rsid w:val="00582E3A"/>
    <w:rsid w:val="005840B0"/>
    <w:rsid w:val="0058440C"/>
    <w:rsid w:val="005844B4"/>
    <w:rsid w:val="00584CF7"/>
    <w:rsid w:val="005853FD"/>
    <w:rsid w:val="00585F76"/>
    <w:rsid w:val="00586E08"/>
    <w:rsid w:val="00587A12"/>
    <w:rsid w:val="00587D40"/>
    <w:rsid w:val="00587EDC"/>
    <w:rsid w:val="005901BA"/>
    <w:rsid w:val="00590517"/>
    <w:rsid w:val="005908B1"/>
    <w:rsid w:val="00590A6D"/>
    <w:rsid w:val="00591086"/>
    <w:rsid w:val="00591ED7"/>
    <w:rsid w:val="00592240"/>
    <w:rsid w:val="00592D2F"/>
    <w:rsid w:val="00592EFC"/>
    <w:rsid w:val="00593523"/>
    <w:rsid w:val="00594062"/>
    <w:rsid w:val="00594AED"/>
    <w:rsid w:val="00594B30"/>
    <w:rsid w:val="00594B40"/>
    <w:rsid w:val="00595080"/>
    <w:rsid w:val="00595459"/>
    <w:rsid w:val="0059579B"/>
    <w:rsid w:val="00595A9E"/>
    <w:rsid w:val="005963BC"/>
    <w:rsid w:val="005973BC"/>
    <w:rsid w:val="00597A3F"/>
    <w:rsid w:val="00597F6D"/>
    <w:rsid w:val="005A0910"/>
    <w:rsid w:val="005A0915"/>
    <w:rsid w:val="005A0EC1"/>
    <w:rsid w:val="005A1338"/>
    <w:rsid w:val="005A187F"/>
    <w:rsid w:val="005A1AB0"/>
    <w:rsid w:val="005A283A"/>
    <w:rsid w:val="005A3227"/>
    <w:rsid w:val="005A33C6"/>
    <w:rsid w:val="005A35C2"/>
    <w:rsid w:val="005A3768"/>
    <w:rsid w:val="005A3A12"/>
    <w:rsid w:val="005A3EBC"/>
    <w:rsid w:val="005A4892"/>
    <w:rsid w:val="005A4C68"/>
    <w:rsid w:val="005A57CA"/>
    <w:rsid w:val="005A639B"/>
    <w:rsid w:val="005A686E"/>
    <w:rsid w:val="005A6EF9"/>
    <w:rsid w:val="005A7180"/>
    <w:rsid w:val="005A7267"/>
    <w:rsid w:val="005A78AC"/>
    <w:rsid w:val="005B0824"/>
    <w:rsid w:val="005B0DD9"/>
    <w:rsid w:val="005B18C2"/>
    <w:rsid w:val="005B1AC8"/>
    <w:rsid w:val="005B1ADC"/>
    <w:rsid w:val="005B2508"/>
    <w:rsid w:val="005B2800"/>
    <w:rsid w:val="005B4035"/>
    <w:rsid w:val="005B5484"/>
    <w:rsid w:val="005B6BCC"/>
    <w:rsid w:val="005B73C6"/>
    <w:rsid w:val="005C09B7"/>
    <w:rsid w:val="005C115A"/>
    <w:rsid w:val="005C161F"/>
    <w:rsid w:val="005C1A3F"/>
    <w:rsid w:val="005C1E07"/>
    <w:rsid w:val="005C239A"/>
    <w:rsid w:val="005C3AF5"/>
    <w:rsid w:val="005C3C8E"/>
    <w:rsid w:val="005C6494"/>
    <w:rsid w:val="005C65E7"/>
    <w:rsid w:val="005C6744"/>
    <w:rsid w:val="005C6941"/>
    <w:rsid w:val="005C6C6D"/>
    <w:rsid w:val="005C71F4"/>
    <w:rsid w:val="005C725C"/>
    <w:rsid w:val="005C7368"/>
    <w:rsid w:val="005D0522"/>
    <w:rsid w:val="005D0EF6"/>
    <w:rsid w:val="005D1018"/>
    <w:rsid w:val="005D1493"/>
    <w:rsid w:val="005D14A8"/>
    <w:rsid w:val="005D284E"/>
    <w:rsid w:val="005D3416"/>
    <w:rsid w:val="005D3F09"/>
    <w:rsid w:val="005D5EE3"/>
    <w:rsid w:val="005D60CC"/>
    <w:rsid w:val="005D631C"/>
    <w:rsid w:val="005D65B3"/>
    <w:rsid w:val="005D6796"/>
    <w:rsid w:val="005D6806"/>
    <w:rsid w:val="005D696A"/>
    <w:rsid w:val="005D6E94"/>
    <w:rsid w:val="005D7294"/>
    <w:rsid w:val="005D7610"/>
    <w:rsid w:val="005D7BAA"/>
    <w:rsid w:val="005E1C25"/>
    <w:rsid w:val="005E1D74"/>
    <w:rsid w:val="005E2889"/>
    <w:rsid w:val="005E2BF1"/>
    <w:rsid w:val="005E2C1E"/>
    <w:rsid w:val="005E2CF0"/>
    <w:rsid w:val="005E32AE"/>
    <w:rsid w:val="005E4AD9"/>
    <w:rsid w:val="005E4CEA"/>
    <w:rsid w:val="005E4ED1"/>
    <w:rsid w:val="005E5272"/>
    <w:rsid w:val="005E564E"/>
    <w:rsid w:val="005E5697"/>
    <w:rsid w:val="005E573E"/>
    <w:rsid w:val="005E5AAB"/>
    <w:rsid w:val="005E5F2B"/>
    <w:rsid w:val="005E615B"/>
    <w:rsid w:val="005E61E4"/>
    <w:rsid w:val="005E65AC"/>
    <w:rsid w:val="005E6802"/>
    <w:rsid w:val="005E7AD1"/>
    <w:rsid w:val="005F0099"/>
    <w:rsid w:val="005F02A3"/>
    <w:rsid w:val="005F0EFA"/>
    <w:rsid w:val="005F189A"/>
    <w:rsid w:val="005F1A4B"/>
    <w:rsid w:val="005F230D"/>
    <w:rsid w:val="005F28E1"/>
    <w:rsid w:val="005F2A5A"/>
    <w:rsid w:val="005F2C79"/>
    <w:rsid w:val="005F3128"/>
    <w:rsid w:val="005F376A"/>
    <w:rsid w:val="005F423E"/>
    <w:rsid w:val="005F4F3C"/>
    <w:rsid w:val="005F5701"/>
    <w:rsid w:val="005F58F3"/>
    <w:rsid w:val="005F5A45"/>
    <w:rsid w:val="005F69D9"/>
    <w:rsid w:val="005F6B22"/>
    <w:rsid w:val="005F6BF5"/>
    <w:rsid w:val="005F6C79"/>
    <w:rsid w:val="005F6DFE"/>
    <w:rsid w:val="005F7677"/>
    <w:rsid w:val="005F7875"/>
    <w:rsid w:val="0060028C"/>
    <w:rsid w:val="0060059F"/>
    <w:rsid w:val="00600662"/>
    <w:rsid w:val="00600678"/>
    <w:rsid w:val="00600897"/>
    <w:rsid w:val="00600D33"/>
    <w:rsid w:val="006015D7"/>
    <w:rsid w:val="006018BE"/>
    <w:rsid w:val="00602430"/>
    <w:rsid w:val="006030E1"/>
    <w:rsid w:val="00603519"/>
    <w:rsid w:val="006047D8"/>
    <w:rsid w:val="006049D2"/>
    <w:rsid w:val="0060580A"/>
    <w:rsid w:val="00605CDD"/>
    <w:rsid w:val="0060608B"/>
    <w:rsid w:val="00606773"/>
    <w:rsid w:val="00607240"/>
    <w:rsid w:val="00607274"/>
    <w:rsid w:val="00607321"/>
    <w:rsid w:val="00607380"/>
    <w:rsid w:val="00607A07"/>
    <w:rsid w:val="0061003A"/>
    <w:rsid w:val="00610CC2"/>
    <w:rsid w:val="00610E0A"/>
    <w:rsid w:val="006112A4"/>
    <w:rsid w:val="006119C8"/>
    <w:rsid w:val="006119FC"/>
    <w:rsid w:val="006119FE"/>
    <w:rsid w:val="00612640"/>
    <w:rsid w:val="0061310A"/>
    <w:rsid w:val="006151B9"/>
    <w:rsid w:val="006154A9"/>
    <w:rsid w:val="00615E46"/>
    <w:rsid w:val="0061626F"/>
    <w:rsid w:val="00616C9A"/>
    <w:rsid w:val="00616D5B"/>
    <w:rsid w:val="00616E59"/>
    <w:rsid w:val="00617E6A"/>
    <w:rsid w:val="006207B0"/>
    <w:rsid w:val="00621698"/>
    <w:rsid w:val="00621EC5"/>
    <w:rsid w:val="00622548"/>
    <w:rsid w:val="00622816"/>
    <w:rsid w:val="00622A9B"/>
    <w:rsid w:val="006235F8"/>
    <w:rsid w:val="00624643"/>
    <w:rsid w:val="006248A6"/>
    <w:rsid w:val="00624DCB"/>
    <w:rsid w:val="0062517D"/>
    <w:rsid w:val="00625A44"/>
    <w:rsid w:val="00625FB6"/>
    <w:rsid w:val="00626156"/>
    <w:rsid w:val="00626983"/>
    <w:rsid w:val="00627145"/>
    <w:rsid w:val="00627640"/>
    <w:rsid w:val="006278B1"/>
    <w:rsid w:val="00627C83"/>
    <w:rsid w:val="006300D9"/>
    <w:rsid w:val="006301FF"/>
    <w:rsid w:val="006304B1"/>
    <w:rsid w:val="006304FA"/>
    <w:rsid w:val="006305B4"/>
    <w:rsid w:val="00632661"/>
    <w:rsid w:val="00632790"/>
    <w:rsid w:val="0063353D"/>
    <w:rsid w:val="00634F40"/>
    <w:rsid w:val="00635B0D"/>
    <w:rsid w:val="00635CA1"/>
    <w:rsid w:val="00636813"/>
    <w:rsid w:val="00637174"/>
    <w:rsid w:val="00637D2E"/>
    <w:rsid w:val="00640744"/>
    <w:rsid w:val="00640954"/>
    <w:rsid w:val="00640A64"/>
    <w:rsid w:val="00642254"/>
    <w:rsid w:val="00642FA7"/>
    <w:rsid w:val="0064310D"/>
    <w:rsid w:val="00643528"/>
    <w:rsid w:val="00643AD3"/>
    <w:rsid w:val="006442FE"/>
    <w:rsid w:val="0064441B"/>
    <w:rsid w:val="00644499"/>
    <w:rsid w:val="006448B4"/>
    <w:rsid w:val="00644A5C"/>
    <w:rsid w:val="0064503B"/>
    <w:rsid w:val="00645B6F"/>
    <w:rsid w:val="00645C14"/>
    <w:rsid w:val="00645D77"/>
    <w:rsid w:val="00646042"/>
    <w:rsid w:val="006462EA"/>
    <w:rsid w:val="0064652C"/>
    <w:rsid w:val="0064679A"/>
    <w:rsid w:val="00647BF4"/>
    <w:rsid w:val="006504F6"/>
    <w:rsid w:val="00650925"/>
    <w:rsid w:val="006509FA"/>
    <w:rsid w:val="00650F00"/>
    <w:rsid w:val="00651592"/>
    <w:rsid w:val="006519AF"/>
    <w:rsid w:val="00651B46"/>
    <w:rsid w:val="006522E0"/>
    <w:rsid w:val="00652A30"/>
    <w:rsid w:val="00652CF3"/>
    <w:rsid w:val="006531EA"/>
    <w:rsid w:val="00653FA8"/>
    <w:rsid w:val="00654467"/>
    <w:rsid w:val="00654997"/>
    <w:rsid w:val="00655186"/>
    <w:rsid w:val="0065540C"/>
    <w:rsid w:val="00655FAB"/>
    <w:rsid w:val="006564DB"/>
    <w:rsid w:val="006578D0"/>
    <w:rsid w:val="00657B66"/>
    <w:rsid w:val="00657ECD"/>
    <w:rsid w:val="00657F2B"/>
    <w:rsid w:val="00661637"/>
    <w:rsid w:val="006625A1"/>
    <w:rsid w:val="00662652"/>
    <w:rsid w:val="00662D1B"/>
    <w:rsid w:val="00662D5B"/>
    <w:rsid w:val="00664457"/>
    <w:rsid w:val="0066449B"/>
    <w:rsid w:val="0066493E"/>
    <w:rsid w:val="00664976"/>
    <w:rsid w:val="006651FA"/>
    <w:rsid w:val="00665223"/>
    <w:rsid w:val="00665857"/>
    <w:rsid w:val="00666410"/>
    <w:rsid w:val="006667B3"/>
    <w:rsid w:val="00667001"/>
    <w:rsid w:val="006674FF"/>
    <w:rsid w:val="0066789C"/>
    <w:rsid w:val="006701AE"/>
    <w:rsid w:val="00670265"/>
    <w:rsid w:val="00670BEA"/>
    <w:rsid w:val="00670D33"/>
    <w:rsid w:val="00670EE6"/>
    <w:rsid w:val="00671184"/>
    <w:rsid w:val="006714AE"/>
    <w:rsid w:val="0067302C"/>
    <w:rsid w:val="00673327"/>
    <w:rsid w:val="00673443"/>
    <w:rsid w:val="00673497"/>
    <w:rsid w:val="00673F90"/>
    <w:rsid w:val="006747CA"/>
    <w:rsid w:val="00674E53"/>
    <w:rsid w:val="006750CC"/>
    <w:rsid w:val="0067545A"/>
    <w:rsid w:val="006755CD"/>
    <w:rsid w:val="00675AC8"/>
    <w:rsid w:val="00675FCD"/>
    <w:rsid w:val="006761A4"/>
    <w:rsid w:val="00676564"/>
    <w:rsid w:val="00676A8F"/>
    <w:rsid w:val="00677B9D"/>
    <w:rsid w:val="0068000E"/>
    <w:rsid w:val="0068026B"/>
    <w:rsid w:val="006806D1"/>
    <w:rsid w:val="006813AC"/>
    <w:rsid w:val="00681C2C"/>
    <w:rsid w:val="00682186"/>
    <w:rsid w:val="00682722"/>
    <w:rsid w:val="006831DB"/>
    <w:rsid w:val="00683213"/>
    <w:rsid w:val="0068352B"/>
    <w:rsid w:val="00683730"/>
    <w:rsid w:val="00683C8B"/>
    <w:rsid w:val="00683E88"/>
    <w:rsid w:val="006840AC"/>
    <w:rsid w:val="006842B7"/>
    <w:rsid w:val="00684431"/>
    <w:rsid w:val="00685227"/>
    <w:rsid w:val="00685DE1"/>
    <w:rsid w:val="00686673"/>
    <w:rsid w:val="0068795E"/>
    <w:rsid w:val="00690494"/>
    <w:rsid w:val="006915C3"/>
    <w:rsid w:val="00691F34"/>
    <w:rsid w:val="0069271A"/>
    <w:rsid w:val="00693E99"/>
    <w:rsid w:val="00693FDE"/>
    <w:rsid w:val="00695481"/>
    <w:rsid w:val="00695841"/>
    <w:rsid w:val="006963AF"/>
    <w:rsid w:val="006969FC"/>
    <w:rsid w:val="00696C8E"/>
    <w:rsid w:val="006971B8"/>
    <w:rsid w:val="00697C15"/>
    <w:rsid w:val="006A013B"/>
    <w:rsid w:val="006A08BD"/>
    <w:rsid w:val="006A0D6B"/>
    <w:rsid w:val="006A1618"/>
    <w:rsid w:val="006A2572"/>
    <w:rsid w:val="006A2DCE"/>
    <w:rsid w:val="006A349F"/>
    <w:rsid w:val="006A397E"/>
    <w:rsid w:val="006A4309"/>
    <w:rsid w:val="006A476C"/>
    <w:rsid w:val="006A5C7F"/>
    <w:rsid w:val="006A5E69"/>
    <w:rsid w:val="006A62F9"/>
    <w:rsid w:val="006A7E6D"/>
    <w:rsid w:val="006B25A8"/>
    <w:rsid w:val="006B2972"/>
    <w:rsid w:val="006B2E2C"/>
    <w:rsid w:val="006B32F5"/>
    <w:rsid w:val="006B37B5"/>
    <w:rsid w:val="006B385F"/>
    <w:rsid w:val="006B3F34"/>
    <w:rsid w:val="006B5EBD"/>
    <w:rsid w:val="006B5F7A"/>
    <w:rsid w:val="006B5FFD"/>
    <w:rsid w:val="006B6823"/>
    <w:rsid w:val="006B6834"/>
    <w:rsid w:val="006B7701"/>
    <w:rsid w:val="006B7DDF"/>
    <w:rsid w:val="006B7F2D"/>
    <w:rsid w:val="006B7FF4"/>
    <w:rsid w:val="006C0D4D"/>
    <w:rsid w:val="006C10F8"/>
    <w:rsid w:val="006C10FA"/>
    <w:rsid w:val="006C14E1"/>
    <w:rsid w:val="006C227F"/>
    <w:rsid w:val="006C3412"/>
    <w:rsid w:val="006C3C1A"/>
    <w:rsid w:val="006C3D18"/>
    <w:rsid w:val="006C481B"/>
    <w:rsid w:val="006C4A0E"/>
    <w:rsid w:val="006C511D"/>
    <w:rsid w:val="006C5739"/>
    <w:rsid w:val="006C7255"/>
    <w:rsid w:val="006C74A2"/>
    <w:rsid w:val="006C7EE7"/>
    <w:rsid w:val="006D0B4A"/>
    <w:rsid w:val="006D1619"/>
    <w:rsid w:val="006D1A5B"/>
    <w:rsid w:val="006D1CE4"/>
    <w:rsid w:val="006D1D2D"/>
    <w:rsid w:val="006D1FAA"/>
    <w:rsid w:val="006D297F"/>
    <w:rsid w:val="006D2FDA"/>
    <w:rsid w:val="006D306D"/>
    <w:rsid w:val="006D332E"/>
    <w:rsid w:val="006D41C6"/>
    <w:rsid w:val="006D4372"/>
    <w:rsid w:val="006D450A"/>
    <w:rsid w:val="006D5DE4"/>
    <w:rsid w:val="006D5F00"/>
    <w:rsid w:val="006D61C5"/>
    <w:rsid w:val="006D6938"/>
    <w:rsid w:val="006D6B2C"/>
    <w:rsid w:val="006D6CC6"/>
    <w:rsid w:val="006D7159"/>
    <w:rsid w:val="006D723F"/>
    <w:rsid w:val="006D7E2E"/>
    <w:rsid w:val="006E02A9"/>
    <w:rsid w:val="006E02F9"/>
    <w:rsid w:val="006E0BA3"/>
    <w:rsid w:val="006E0C81"/>
    <w:rsid w:val="006E0D0C"/>
    <w:rsid w:val="006E1AEE"/>
    <w:rsid w:val="006E201C"/>
    <w:rsid w:val="006E2C53"/>
    <w:rsid w:val="006E3405"/>
    <w:rsid w:val="006E359E"/>
    <w:rsid w:val="006E3C9B"/>
    <w:rsid w:val="006E45B1"/>
    <w:rsid w:val="006E4645"/>
    <w:rsid w:val="006E4936"/>
    <w:rsid w:val="006E4DE0"/>
    <w:rsid w:val="006E7097"/>
    <w:rsid w:val="006E7200"/>
    <w:rsid w:val="006F043A"/>
    <w:rsid w:val="006F0938"/>
    <w:rsid w:val="006F0B4C"/>
    <w:rsid w:val="006F1CAC"/>
    <w:rsid w:val="006F3A45"/>
    <w:rsid w:val="006F435B"/>
    <w:rsid w:val="006F4785"/>
    <w:rsid w:val="006F47DF"/>
    <w:rsid w:val="006F4F52"/>
    <w:rsid w:val="006F5698"/>
    <w:rsid w:val="006F67AA"/>
    <w:rsid w:val="006F72E8"/>
    <w:rsid w:val="00700731"/>
    <w:rsid w:val="00700E71"/>
    <w:rsid w:val="00701C79"/>
    <w:rsid w:val="007020AB"/>
    <w:rsid w:val="007020CA"/>
    <w:rsid w:val="00702720"/>
    <w:rsid w:val="00702D00"/>
    <w:rsid w:val="00704672"/>
    <w:rsid w:val="007049FF"/>
    <w:rsid w:val="0070517A"/>
    <w:rsid w:val="0070528A"/>
    <w:rsid w:val="00705662"/>
    <w:rsid w:val="00705940"/>
    <w:rsid w:val="00705D81"/>
    <w:rsid w:val="0070663D"/>
    <w:rsid w:val="007077AA"/>
    <w:rsid w:val="00707A8C"/>
    <w:rsid w:val="00707CDF"/>
    <w:rsid w:val="00707CF2"/>
    <w:rsid w:val="007101D1"/>
    <w:rsid w:val="007110DB"/>
    <w:rsid w:val="0071170C"/>
    <w:rsid w:val="00711B9A"/>
    <w:rsid w:val="00712109"/>
    <w:rsid w:val="007123CA"/>
    <w:rsid w:val="00713081"/>
    <w:rsid w:val="007130D6"/>
    <w:rsid w:val="007131BB"/>
    <w:rsid w:val="0071446A"/>
    <w:rsid w:val="00714FD2"/>
    <w:rsid w:val="0071502D"/>
    <w:rsid w:val="00715549"/>
    <w:rsid w:val="00715E2B"/>
    <w:rsid w:val="00716661"/>
    <w:rsid w:val="007166A2"/>
    <w:rsid w:val="00716F21"/>
    <w:rsid w:val="00716F5E"/>
    <w:rsid w:val="0071714A"/>
    <w:rsid w:val="00717BCA"/>
    <w:rsid w:val="007204ED"/>
    <w:rsid w:val="00720B14"/>
    <w:rsid w:val="00721264"/>
    <w:rsid w:val="0072151C"/>
    <w:rsid w:val="00721740"/>
    <w:rsid w:val="00721974"/>
    <w:rsid w:val="0072255F"/>
    <w:rsid w:val="0072264F"/>
    <w:rsid w:val="00722EBB"/>
    <w:rsid w:val="00723086"/>
    <w:rsid w:val="00723489"/>
    <w:rsid w:val="00723D15"/>
    <w:rsid w:val="00724B28"/>
    <w:rsid w:val="0072539B"/>
    <w:rsid w:val="00726332"/>
    <w:rsid w:val="00726721"/>
    <w:rsid w:val="007275FE"/>
    <w:rsid w:val="00727E36"/>
    <w:rsid w:val="00730AEF"/>
    <w:rsid w:val="00732128"/>
    <w:rsid w:val="0073254F"/>
    <w:rsid w:val="00732756"/>
    <w:rsid w:val="00732994"/>
    <w:rsid w:val="00732E8E"/>
    <w:rsid w:val="00732F56"/>
    <w:rsid w:val="00733C44"/>
    <w:rsid w:val="0073470B"/>
    <w:rsid w:val="00734A79"/>
    <w:rsid w:val="00735E53"/>
    <w:rsid w:val="00736942"/>
    <w:rsid w:val="007379FF"/>
    <w:rsid w:val="00737C13"/>
    <w:rsid w:val="00737CBD"/>
    <w:rsid w:val="007403B2"/>
    <w:rsid w:val="00740B00"/>
    <w:rsid w:val="00740C25"/>
    <w:rsid w:val="00740FC5"/>
    <w:rsid w:val="007410F2"/>
    <w:rsid w:val="0074125E"/>
    <w:rsid w:val="007423F3"/>
    <w:rsid w:val="00742905"/>
    <w:rsid w:val="00743978"/>
    <w:rsid w:val="00743995"/>
    <w:rsid w:val="007439D1"/>
    <w:rsid w:val="00743C72"/>
    <w:rsid w:val="00743F7F"/>
    <w:rsid w:val="007441C0"/>
    <w:rsid w:val="007444C9"/>
    <w:rsid w:val="007448C6"/>
    <w:rsid w:val="00744BDA"/>
    <w:rsid w:val="00744F0F"/>
    <w:rsid w:val="00745106"/>
    <w:rsid w:val="00745E9C"/>
    <w:rsid w:val="00746014"/>
    <w:rsid w:val="007467D3"/>
    <w:rsid w:val="00746D73"/>
    <w:rsid w:val="007470CC"/>
    <w:rsid w:val="00747487"/>
    <w:rsid w:val="00747612"/>
    <w:rsid w:val="00747BC0"/>
    <w:rsid w:val="0075034A"/>
    <w:rsid w:val="00750478"/>
    <w:rsid w:val="00750E14"/>
    <w:rsid w:val="007514A8"/>
    <w:rsid w:val="007516FD"/>
    <w:rsid w:val="007521AE"/>
    <w:rsid w:val="00752F03"/>
    <w:rsid w:val="0075353E"/>
    <w:rsid w:val="0075360B"/>
    <w:rsid w:val="0075425A"/>
    <w:rsid w:val="00755FB0"/>
    <w:rsid w:val="00757027"/>
    <w:rsid w:val="007570A0"/>
    <w:rsid w:val="007579CE"/>
    <w:rsid w:val="00757F3D"/>
    <w:rsid w:val="00757FCC"/>
    <w:rsid w:val="00760689"/>
    <w:rsid w:val="00760A21"/>
    <w:rsid w:val="00760D30"/>
    <w:rsid w:val="00761C65"/>
    <w:rsid w:val="00762878"/>
    <w:rsid w:val="00763211"/>
    <w:rsid w:val="00763268"/>
    <w:rsid w:val="00763729"/>
    <w:rsid w:val="00763A35"/>
    <w:rsid w:val="00763E8C"/>
    <w:rsid w:val="007640AE"/>
    <w:rsid w:val="00764859"/>
    <w:rsid w:val="00764C57"/>
    <w:rsid w:val="0076539E"/>
    <w:rsid w:val="00765A54"/>
    <w:rsid w:val="007660A1"/>
    <w:rsid w:val="00766296"/>
    <w:rsid w:val="00767258"/>
    <w:rsid w:val="00770C7D"/>
    <w:rsid w:val="0077145D"/>
    <w:rsid w:val="00771807"/>
    <w:rsid w:val="00771E84"/>
    <w:rsid w:val="00772440"/>
    <w:rsid w:val="00773C08"/>
    <w:rsid w:val="00773E86"/>
    <w:rsid w:val="00774A3C"/>
    <w:rsid w:val="00774A4B"/>
    <w:rsid w:val="00774B1C"/>
    <w:rsid w:val="00774E80"/>
    <w:rsid w:val="007751D9"/>
    <w:rsid w:val="0077529A"/>
    <w:rsid w:val="00775588"/>
    <w:rsid w:val="007756E8"/>
    <w:rsid w:val="00775EEA"/>
    <w:rsid w:val="007763E2"/>
    <w:rsid w:val="00776643"/>
    <w:rsid w:val="00776D49"/>
    <w:rsid w:val="0077765F"/>
    <w:rsid w:val="00780510"/>
    <w:rsid w:val="007805C9"/>
    <w:rsid w:val="00780794"/>
    <w:rsid w:val="0078081C"/>
    <w:rsid w:val="007809E3"/>
    <w:rsid w:val="00780C2D"/>
    <w:rsid w:val="00781A11"/>
    <w:rsid w:val="0078333B"/>
    <w:rsid w:val="0078344A"/>
    <w:rsid w:val="00784602"/>
    <w:rsid w:val="00784A46"/>
    <w:rsid w:val="00784BB8"/>
    <w:rsid w:val="0078623C"/>
    <w:rsid w:val="00786923"/>
    <w:rsid w:val="0079008A"/>
    <w:rsid w:val="0079054A"/>
    <w:rsid w:val="00791278"/>
    <w:rsid w:val="00791533"/>
    <w:rsid w:val="007919F3"/>
    <w:rsid w:val="00791A3B"/>
    <w:rsid w:val="00791AFA"/>
    <w:rsid w:val="00791D85"/>
    <w:rsid w:val="0079216E"/>
    <w:rsid w:val="00792B4A"/>
    <w:rsid w:val="00792C56"/>
    <w:rsid w:val="00793BFA"/>
    <w:rsid w:val="00793E0E"/>
    <w:rsid w:val="00794110"/>
    <w:rsid w:val="0079412E"/>
    <w:rsid w:val="007941D7"/>
    <w:rsid w:val="0079427F"/>
    <w:rsid w:val="007946DE"/>
    <w:rsid w:val="00795624"/>
    <w:rsid w:val="007965C9"/>
    <w:rsid w:val="00796A8E"/>
    <w:rsid w:val="007A0646"/>
    <w:rsid w:val="007A06E3"/>
    <w:rsid w:val="007A0B44"/>
    <w:rsid w:val="007A0F07"/>
    <w:rsid w:val="007A14FD"/>
    <w:rsid w:val="007A1D59"/>
    <w:rsid w:val="007A238D"/>
    <w:rsid w:val="007A246F"/>
    <w:rsid w:val="007A270A"/>
    <w:rsid w:val="007A3227"/>
    <w:rsid w:val="007A51D8"/>
    <w:rsid w:val="007A57E3"/>
    <w:rsid w:val="007A57E8"/>
    <w:rsid w:val="007A5923"/>
    <w:rsid w:val="007A5B09"/>
    <w:rsid w:val="007A749C"/>
    <w:rsid w:val="007A7532"/>
    <w:rsid w:val="007B0943"/>
    <w:rsid w:val="007B1206"/>
    <w:rsid w:val="007B12E6"/>
    <w:rsid w:val="007B140D"/>
    <w:rsid w:val="007B27EE"/>
    <w:rsid w:val="007B32F7"/>
    <w:rsid w:val="007B3350"/>
    <w:rsid w:val="007B39DD"/>
    <w:rsid w:val="007B46E0"/>
    <w:rsid w:val="007B4F00"/>
    <w:rsid w:val="007B5B20"/>
    <w:rsid w:val="007B719F"/>
    <w:rsid w:val="007C0279"/>
    <w:rsid w:val="007C02E6"/>
    <w:rsid w:val="007C0543"/>
    <w:rsid w:val="007C100A"/>
    <w:rsid w:val="007C102B"/>
    <w:rsid w:val="007C153D"/>
    <w:rsid w:val="007C2341"/>
    <w:rsid w:val="007C278C"/>
    <w:rsid w:val="007C2B09"/>
    <w:rsid w:val="007C4FD6"/>
    <w:rsid w:val="007C5FBC"/>
    <w:rsid w:val="007C6B19"/>
    <w:rsid w:val="007C7993"/>
    <w:rsid w:val="007D059E"/>
    <w:rsid w:val="007D0813"/>
    <w:rsid w:val="007D17C8"/>
    <w:rsid w:val="007D2634"/>
    <w:rsid w:val="007D4481"/>
    <w:rsid w:val="007D5061"/>
    <w:rsid w:val="007D546A"/>
    <w:rsid w:val="007D5F6E"/>
    <w:rsid w:val="007D673A"/>
    <w:rsid w:val="007D7D0C"/>
    <w:rsid w:val="007E032C"/>
    <w:rsid w:val="007E1412"/>
    <w:rsid w:val="007E160A"/>
    <w:rsid w:val="007E183D"/>
    <w:rsid w:val="007E186E"/>
    <w:rsid w:val="007E1B40"/>
    <w:rsid w:val="007E250D"/>
    <w:rsid w:val="007E276E"/>
    <w:rsid w:val="007E299E"/>
    <w:rsid w:val="007E3484"/>
    <w:rsid w:val="007E3943"/>
    <w:rsid w:val="007E3A3C"/>
    <w:rsid w:val="007E3F1B"/>
    <w:rsid w:val="007E5129"/>
    <w:rsid w:val="007E5C91"/>
    <w:rsid w:val="007E6048"/>
    <w:rsid w:val="007E6170"/>
    <w:rsid w:val="007E646A"/>
    <w:rsid w:val="007E6644"/>
    <w:rsid w:val="007E6827"/>
    <w:rsid w:val="007E69BC"/>
    <w:rsid w:val="007E7457"/>
    <w:rsid w:val="007F03E5"/>
    <w:rsid w:val="007F0D8C"/>
    <w:rsid w:val="007F110C"/>
    <w:rsid w:val="007F11F1"/>
    <w:rsid w:val="007F2AC6"/>
    <w:rsid w:val="007F2E97"/>
    <w:rsid w:val="007F388D"/>
    <w:rsid w:val="007F38C9"/>
    <w:rsid w:val="007F38FB"/>
    <w:rsid w:val="007F4531"/>
    <w:rsid w:val="007F4A9E"/>
    <w:rsid w:val="007F4AF1"/>
    <w:rsid w:val="007F4D11"/>
    <w:rsid w:val="007F50D4"/>
    <w:rsid w:val="007F5682"/>
    <w:rsid w:val="007F776F"/>
    <w:rsid w:val="00800456"/>
    <w:rsid w:val="008004AB"/>
    <w:rsid w:val="00800F97"/>
    <w:rsid w:val="00801D33"/>
    <w:rsid w:val="00803A30"/>
    <w:rsid w:val="008040C2"/>
    <w:rsid w:val="0080481D"/>
    <w:rsid w:val="00804969"/>
    <w:rsid w:val="0080499F"/>
    <w:rsid w:val="00805726"/>
    <w:rsid w:val="00805DC2"/>
    <w:rsid w:val="008061C6"/>
    <w:rsid w:val="00806429"/>
    <w:rsid w:val="008065BD"/>
    <w:rsid w:val="008069CF"/>
    <w:rsid w:val="00807E5F"/>
    <w:rsid w:val="008103C9"/>
    <w:rsid w:val="008108D4"/>
    <w:rsid w:val="0081119A"/>
    <w:rsid w:val="008112BF"/>
    <w:rsid w:val="00811F92"/>
    <w:rsid w:val="0081283A"/>
    <w:rsid w:val="008128E0"/>
    <w:rsid w:val="00812997"/>
    <w:rsid w:val="00812E53"/>
    <w:rsid w:val="008134B2"/>
    <w:rsid w:val="00814417"/>
    <w:rsid w:val="00814635"/>
    <w:rsid w:val="008146C7"/>
    <w:rsid w:val="00815747"/>
    <w:rsid w:val="00815EEF"/>
    <w:rsid w:val="0081639F"/>
    <w:rsid w:val="008169B5"/>
    <w:rsid w:val="008202BD"/>
    <w:rsid w:val="008216E9"/>
    <w:rsid w:val="00821D2A"/>
    <w:rsid w:val="00821F2B"/>
    <w:rsid w:val="00822155"/>
    <w:rsid w:val="0082222D"/>
    <w:rsid w:val="008223F8"/>
    <w:rsid w:val="00822E64"/>
    <w:rsid w:val="008230FF"/>
    <w:rsid w:val="0082333F"/>
    <w:rsid w:val="00823395"/>
    <w:rsid w:val="008235C8"/>
    <w:rsid w:val="008235E6"/>
    <w:rsid w:val="00823D51"/>
    <w:rsid w:val="00823E59"/>
    <w:rsid w:val="00824C50"/>
    <w:rsid w:val="00824DE6"/>
    <w:rsid w:val="00824DF5"/>
    <w:rsid w:val="00824FE2"/>
    <w:rsid w:val="008256C8"/>
    <w:rsid w:val="0082603D"/>
    <w:rsid w:val="00826260"/>
    <w:rsid w:val="0082676D"/>
    <w:rsid w:val="008267A3"/>
    <w:rsid w:val="00827036"/>
    <w:rsid w:val="00827B47"/>
    <w:rsid w:val="00827E72"/>
    <w:rsid w:val="0083030D"/>
    <w:rsid w:val="00830F74"/>
    <w:rsid w:val="00831403"/>
    <w:rsid w:val="00832401"/>
    <w:rsid w:val="008327C6"/>
    <w:rsid w:val="00832D96"/>
    <w:rsid w:val="00833004"/>
    <w:rsid w:val="0083342A"/>
    <w:rsid w:val="0083385D"/>
    <w:rsid w:val="00833A8D"/>
    <w:rsid w:val="00833C3C"/>
    <w:rsid w:val="00834AC1"/>
    <w:rsid w:val="00835A29"/>
    <w:rsid w:val="008361D3"/>
    <w:rsid w:val="00836940"/>
    <w:rsid w:val="00836F40"/>
    <w:rsid w:val="00837022"/>
    <w:rsid w:val="008371CA"/>
    <w:rsid w:val="00837662"/>
    <w:rsid w:val="008378B1"/>
    <w:rsid w:val="00837C3E"/>
    <w:rsid w:val="008415CD"/>
    <w:rsid w:val="0084165E"/>
    <w:rsid w:val="00841B77"/>
    <w:rsid w:val="00842557"/>
    <w:rsid w:val="0084352B"/>
    <w:rsid w:val="00843D84"/>
    <w:rsid w:val="0084461B"/>
    <w:rsid w:val="00844C59"/>
    <w:rsid w:val="008451B9"/>
    <w:rsid w:val="008452C4"/>
    <w:rsid w:val="00846874"/>
    <w:rsid w:val="00846B64"/>
    <w:rsid w:val="00847467"/>
    <w:rsid w:val="00847BE2"/>
    <w:rsid w:val="00847F67"/>
    <w:rsid w:val="00850919"/>
    <w:rsid w:val="00851594"/>
    <w:rsid w:val="008518CD"/>
    <w:rsid w:val="008520B1"/>
    <w:rsid w:val="00852B65"/>
    <w:rsid w:val="00853575"/>
    <w:rsid w:val="00853AFF"/>
    <w:rsid w:val="008558E6"/>
    <w:rsid w:val="00855A96"/>
    <w:rsid w:val="00855C65"/>
    <w:rsid w:val="00856380"/>
    <w:rsid w:val="00856729"/>
    <w:rsid w:val="00856C73"/>
    <w:rsid w:val="0085710A"/>
    <w:rsid w:val="00857147"/>
    <w:rsid w:val="008577AA"/>
    <w:rsid w:val="00861231"/>
    <w:rsid w:val="00861EBA"/>
    <w:rsid w:val="00861F21"/>
    <w:rsid w:val="0086393A"/>
    <w:rsid w:val="008640F9"/>
    <w:rsid w:val="0086446C"/>
    <w:rsid w:val="0086465C"/>
    <w:rsid w:val="008647FE"/>
    <w:rsid w:val="008653D2"/>
    <w:rsid w:val="00865671"/>
    <w:rsid w:val="008659EF"/>
    <w:rsid w:val="00865EE2"/>
    <w:rsid w:val="00866077"/>
    <w:rsid w:val="00866583"/>
    <w:rsid w:val="00866C27"/>
    <w:rsid w:val="00867DE6"/>
    <w:rsid w:val="0087083F"/>
    <w:rsid w:val="00870A86"/>
    <w:rsid w:val="00870BDB"/>
    <w:rsid w:val="008717AC"/>
    <w:rsid w:val="00872035"/>
    <w:rsid w:val="00872932"/>
    <w:rsid w:val="00873257"/>
    <w:rsid w:val="00873BA4"/>
    <w:rsid w:val="00874388"/>
    <w:rsid w:val="00874480"/>
    <w:rsid w:val="00874A17"/>
    <w:rsid w:val="00874B3D"/>
    <w:rsid w:val="00875B6C"/>
    <w:rsid w:val="00875CCC"/>
    <w:rsid w:val="0087612D"/>
    <w:rsid w:val="0087639C"/>
    <w:rsid w:val="00876ECD"/>
    <w:rsid w:val="008777CF"/>
    <w:rsid w:val="00877816"/>
    <w:rsid w:val="00877B2B"/>
    <w:rsid w:val="00877D20"/>
    <w:rsid w:val="008800CF"/>
    <w:rsid w:val="008801EC"/>
    <w:rsid w:val="0088043B"/>
    <w:rsid w:val="008807BB"/>
    <w:rsid w:val="00882C3A"/>
    <w:rsid w:val="008847C0"/>
    <w:rsid w:val="00884F79"/>
    <w:rsid w:val="008859FC"/>
    <w:rsid w:val="0088666B"/>
    <w:rsid w:val="00886767"/>
    <w:rsid w:val="00886877"/>
    <w:rsid w:val="00887028"/>
    <w:rsid w:val="00887181"/>
    <w:rsid w:val="008871F0"/>
    <w:rsid w:val="00887251"/>
    <w:rsid w:val="00887B9D"/>
    <w:rsid w:val="00887DB9"/>
    <w:rsid w:val="008902E1"/>
    <w:rsid w:val="00890DA9"/>
    <w:rsid w:val="00890E76"/>
    <w:rsid w:val="0089128F"/>
    <w:rsid w:val="00892085"/>
    <w:rsid w:val="0089209D"/>
    <w:rsid w:val="00892163"/>
    <w:rsid w:val="00894037"/>
    <w:rsid w:val="00894680"/>
    <w:rsid w:val="00894B8C"/>
    <w:rsid w:val="00895836"/>
    <w:rsid w:val="008960B6"/>
    <w:rsid w:val="00896284"/>
    <w:rsid w:val="008963A3"/>
    <w:rsid w:val="00896816"/>
    <w:rsid w:val="008968AC"/>
    <w:rsid w:val="00896959"/>
    <w:rsid w:val="00896EC7"/>
    <w:rsid w:val="00897485"/>
    <w:rsid w:val="008A03F7"/>
    <w:rsid w:val="008A0637"/>
    <w:rsid w:val="008A1476"/>
    <w:rsid w:val="008A178C"/>
    <w:rsid w:val="008A2157"/>
    <w:rsid w:val="008A2AEC"/>
    <w:rsid w:val="008A35B2"/>
    <w:rsid w:val="008A375D"/>
    <w:rsid w:val="008A3DB9"/>
    <w:rsid w:val="008A4C18"/>
    <w:rsid w:val="008A4D9C"/>
    <w:rsid w:val="008A5006"/>
    <w:rsid w:val="008A51F3"/>
    <w:rsid w:val="008A5ECB"/>
    <w:rsid w:val="008A6761"/>
    <w:rsid w:val="008A6BAC"/>
    <w:rsid w:val="008A6C6C"/>
    <w:rsid w:val="008A6C97"/>
    <w:rsid w:val="008A6F51"/>
    <w:rsid w:val="008A712F"/>
    <w:rsid w:val="008A74EF"/>
    <w:rsid w:val="008B0A5B"/>
    <w:rsid w:val="008B0C31"/>
    <w:rsid w:val="008B0E13"/>
    <w:rsid w:val="008B18B7"/>
    <w:rsid w:val="008B1D4C"/>
    <w:rsid w:val="008B2146"/>
    <w:rsid w:val="008B25EA"/>
    <w:rsid w:val="008B2898"/>
    <w:rsid w:val="008B29D9"/>
    <w:rsid w:val="008B2E6E"/>
    <w:rsid w:val="008B461C"/>
    <w:rsid w:val="008B484E"/>
    <w:rsid w:val="008B61B4"/>
    <w:rsid w:val="008B64EB"/>
    <w:rsid w:val="008B6A7C"/>
    <w:rsid w:val="008B6AA4"/>
    <w:rsid w:val="008B721E"/>
    <w:rsid w:val="008B754D"/>
    <w:rsid w:val="008B792E"/>
    <w:rsid w:val="008B79E8"/>
    <w:rsid w:val="008B7B7E"/>
    <w:rsid w:val="008C063F"/>
    <w:rsid w:val="008C0D2A"/>
    <w:rsid w:val="008C12B5"/>
    <w:rsid w:val="008C15F4"/>
    <w:rsid w:val="008C1FDB"/>
    <w:rsid w:val="008C24C3"/>
    <w:rsid w:val="008C29DC"/>
    <w:rsid w:val="008C2C15"/>
    <w:rsid w:val="008C3196"/>
    <w:rsid w:val="008C3582"/>
    <w:rsid w:val="008C4039"/>
    <w:rsid w:val="008C438E"/>
    <w:rsid w:val="008C43B4"/>
    <w:rsid w:val="008C46D7"/>
    <w:rsid w:val="008C5CCD"/>
    <w:rsid w:val="008C5CD4"/>
    <w:rsid w:val="008C62F4"/>
    <w:rsid w:val="008C63DE"/>
    <w:rsid w:val="008C7161"/>
    <w:rsid w:val="008D0162"/>
    <w:rsid w:val="008D02B2"/>
    <w:rsid w:val="008D03A9"/>
    <w:rsid w:val="008D0732"/>
    <w:rsid w:val="008D12C0"/>
    <w:rsid w:val="008D12CC"/>
    <w:rsid w:val="008D13C8"/>
    <w:rsid w:val="008D1C3E"/>
    <w:rsid w:val="008D3C14"/>
    <w:rsid w:val="008D4433"/>
    <w:rsid w:val="008D4AC9"/>
    <w:rsid w:val="008D5515"/>
    <w:rsid w:val="008D5B9E"/>
    <w:rsid w:val="008D60B6"/>
    <w:rsid w:val="008D69ED"/>
    <w:rsid w:val="008D7114"/>
    <w:rsid w:val="008E0175"/>
    <w:rsid w:val="008E05C9"/>
    <w:rsid w:val="008E0B51"/>
    <w:rsid w:val="008E0EEF"/>
    <w:rsid w:val="008E0F50"/>
    <w:rsid w:val="008E1E00"/>
    <w:rsid w:val="008E2161"/>
    <w:rsid w:val="008E2815"/>
    <w:rsid w:val="008E2EBF"/>
    <w:rsid w:val="008E33D9"/>
    <w:rsid w:val="008E5C59"/>
    <w:rsid w:val="008E659F"/>
    <w:rsid w:val="008E674E"/>
    <w:rsid w:val="008E6C19"/>
    <w:rsid w:val="008E7BC5"/>
    <w:rsid w:val="008E7D85"/>
    <w:rsid w:val="008F037C"/>
    <w:rsid w:val="008F0A20"/>
    <w:rsid w:val="008F0D12"/>
    <w:rsid w:val="008F10D2"/>
    <w:rsid w:val="008F11D7"/>
    <w:rsid w:val="008F1731"/>
    <w:rsid w:val="008F2C4F"/>
    <w:rsid w:val="008F32E1"/>
    <w:rsid w:val="008F3443"/>
    <w:rsid w:val="008F3874"/>
    <w:rsid w:val="008F3DD3"/>
    <w:rsid w:val="008F3EFE"/>
    <w:rsid w:val="008F4E5E"/>
    <w:rsid w:val="008F4F2B"/>
    <w:rsid w:val="008F54DD"/>
    <w:rsid w:val="008F5F98"/>
    <w:rsid w:val="008F65CE"/>
    <w:rsid w:val="008F67E8"/>
    <w:rsid w:val="008F6AFF"/>
    <w:rsid w:val="008F70CB"/>
    <w:rsid w:val="008F767C"/>
    <w:rsid w:val="00900011"/>
    <w:rsid w:val="00900B0A"/>
    <w:rsid w:val="00900C7A"/>
    <w:rsid w:val="00901A8F"/>
    <w:rsid w:val="00903096"/>
    <w:rsid w:val="009033E2"/>
    <w:rsid w:val="009040FE"/>
    <w:rsid w:val="00904495"/>
    <w:rsid w:val="0090496F"/>
    <w:rsid w:val="00904BD4"/>
    <w:rsid w:val="00904CFF"/>
    <w:rsid w:val="009053C4"/>
    <w:rsid w:val="009060B0"/>
    <w:rsid w:val="00906F4F"/>
    <w:rsid w:val="0090733B"/>
    <w:rsid w:val="00907865"/>
    <w:rsid w:val="0091022E"/>
    <w:rsid w:val="00910404"/>
    <w:rsid w:val="00910954"/>
    <w:rsid w:val="00910CD1"/>
    <w:rsid w:val="0091157A"/>
    <w:rsid w:val="00911ACC"/>
    <w:rsid w:val="0091241A"/>
    <w:rsid w:val="00912B57"/>
    <w:rsid w:val="00913703"/>
    <w:rsid w:val="00913883"/>
    <w:rsid w:val="00913AEC"/>
    <w:rsid w:val="00914037"/>
    <w:rsid w:val="00914142"/>
    <w:rsid w:val="0091454B"/>
    <w:rsid w:val="009147F6"/>
    <w:rsid w:val="00914848"/>
    <w:rsid w:val="00915902"/>
    <w:rsid w:val="0091621B"/>
    <w:rsid w:val="009178AD"/>
    <w:rsid w:val="00917E0C"/>
    <w:rsid w:val="00920908"/>
    <w:rsid w:val="00921177"/>
    <w:rsid w:val="009213A9"/>
    <w:rsid w:val="009217BE"/>
    <w:rsid w:val="00921C4F"/>
    <w:rsid w:val="009222EC"/>
    <w:rsid w:val="009231FD"/>
    <w:rsid w:val="009234FD"/>
    <w:rsid w:val="009238E5"/>
    <w:rsid w:val="009239BA"/>
    <w:rsid w:val="00924044"/>
    <w:rsid w:val="0092462C"/>
    <w:rsid w:val="00924707"/>
    <w:rsid w:val="0092481C"/>
    <w:rsid w:val="00925821"/>
    <w:rsid w:val="00925940"/>
    <w:rsid w:val="00925D4B"/>
    <w:rsid w:val="00926350"/>
    <w:rsid w:val="009264ED"/>
    <w:rsid w:val="009270BF"/>
    <w:rsid w:val="0092733A"/>
    <w:rsid w:val="00927367"/>
    <w:rsid w:val="00930D86"/>
    <w:rsid w:val="00931DAA"/>
    <w:rsid w:val="00931DAB"/>
    <w:rsid w:val="00931FC4"/>
    <w:rsid w:val="00932A22"/>
    <w:rsid w:val="00932C8F"/>
    <w:rsid w:val="00933012"/>
    <w:rsid w:val="009331AC"/>
    <w:rsid w:val="009332B4"/>
    <w:rsid w:val="0093375A"/>
    <w:rsid w:val="009357D8"/>
    <w:rsid w:val="0093600D"/>
    <w:rsid w:val="009366D6"/>
    <w:rsid w:val="00936828"/>
    <w:rsid w:val="00936953"/>
    <w:rsid w:val="009371E9"/>
    <w:rsid w:val="00937F5B"/>
    <w:rsid w:val="00940237"/>
    <w:rsid w:val="00940E72"/>
    <w:rsid w:val="00940F0B"/>
    <w:rsid w:val="00940F6C"/>
    <w:rsid w:val="009421EF"/>
    <w:rsid w:val="0094243F"/>
    <w:rsid w:val="00942662"/>
    <w:rsid w:val="009428A1"/>
    <w:rsid w:val="00942B74"/>
    <w:rsid w:val="00943141"/>
    <w:rsid w:val="0094336E"/>
    <w:rsid w:val="00943C36"/>
    <w:rsid w:val="00944CC7"/>
    <w:rsid w:val="00944EB4"/>
    <w:rsid w:val="0094501A"/>
    <w:rsid w:val="00945396"/>
    <w:rsid w:val="00945417"/>
    <w:rsid w:val="00945856"/>
    <w:rsid w:val="00945997"/>
    <w:rsid w:val="00946CDC"/>
    <w:rsid w:val="0095013D"/>
    <w:rsid w:val="00950313"/>
    <w:rsid w:val="009503E1"/>
    <w:rsid w:val="00950A1B"/>
    <w:rsid w:val="00950F35"/>
    <w:rsid w:val="00950FD1"/>
    <w:rsid w:val="0095178F"/>
    <w:rsid w:val="00951DEF"/>
    <w:rsid w:val="009524F8"/>
    <w:rsid w:val="009528ED"/>
    <w:rsid w:val="009530CD"/>
    <w:rsid w:val="00953791"/>
    <w:rsid w:val="0095389F"/>
    <w:rsid w:val="0095476F"/>
    <w:rsid w:val="00954A6D"/>
    <w:rsid w:val="00954BA6"/>
    <w:rsid w:val="00954C41"/>
    <w:rsid w:val="00955B2D"/>
    <w:rsid w:val="00955C8A"/>
    <w:rsid w:val="00955E00"/>
    <w:rsid w:val="00956043"/>
    <w:rsid w:val="009564D1"/>
    <w:rsid w:val="00957273"/>
    <w:rsid w:val="009577A0"/>
    <w:rsid w:val="00957FD1"/>
    <w:rsid w:val="0096016A"/>
    <w:rsid w:val="0096110C"/>
    <w:rsid w:val="00961C13"/>
    <w:rsid w:val="0096229D"/>
    <w:rsid w:val="009629CD"/>
    <w:rsid w:val="00963615"/>
    <w:rsid w:val="00964016"/>
    <w:rsid w:val="0096452A"/>
    <w:rsid w:val="00964AF7"/>
    <w:rsid w:val="00964CE8"/>
    <w:rsid w:val="00964D5E"/>
    <w:rsid w:val="00965267"/>
    <w:rsid w:val="00965270"/>
    <w:rsid w:val="009653D5"/>
    <w:rsid w:val="0096553B"/>
    <w:rsid w:val="009661F1"/>
    <w:rsid w:val="0096680D"/>
    <w:rsid w:val="00966F69"/>
    <w:rsid w:val="00967038"/>
    <w:rsid w:val="0096708C"/>
    <w:rsid w:val="00967E56"/>
    <w:rsid w:val="00970264"/>
    <w:rsid w:val="009703F7"/>
    <w:rsid w:val="00970D0C"/>
    <w:rsid w:val="00970DC7"/>
    <w:rsid w:val="00971356"/>
    <w:rsid w:val="0097157B"/>
    <w:rsid w:val="0097280E"/>
    <w:rsid w:val="00972BD3"/>
    <w:rsid w:val="00972C35"/>
    <w:rsid w:val="00973E5E"/>
    <w:rsid w:val="00974CCC"/>
    <w:rsid w:val="00975C43"/>
    <w:rsid w:val="009763A1"/>
    <w:rsid w:val="00976506"/>
    <w:rsid w:val="00976C10"/>
    <w:rsid w:val="00977A1C"/>
    <w:rsid w:val="00977BC6"/>
    <w:rsid w:val="009808F6"/>
    <w:rsid w:val="00981289"/>
    <w:rsid w:val="0098147A"/>
    <w:rsid w:val="00981AB9"/>
    <w:rsid w:val="00981F25"/>
    <w:rsid w:val="00982D0D"/>
    <w:rsid w:val="00982F3C"/>
    <w:rsid w:val="009836FD"/>
    <w:rsid w:val="00983860"/>
    <w:rsid w:val="00983932"/>
    <w:rsid w:val="00983AF1"/>
    <w:rsid w:val="00983C96"/>
    <w:rsid w:val="00983D4F"/>
    <w:rsid w:val="00985BA9"/>
    <w:rsid w:val="00985CEF"/>
    <w:rsid w:val="009866F4"/>
    <w:rsid w:val="009874F4"/>
    <w:rsid w:val="00987F7C"/>
    <w:rsid w:val="00990459"/>
    <w:rsid w:val="00990B69"/>
    <w:rsid w:val="00990FA4"/>
    <w:rsid w:val="009914DB"/>
    <w:rsid w:val="00991C6B"/>
    <w:rsid w:val="00992445"/>
    <w:rsid w:val="009929DD"/>
    <w:rsid w:val="00992E45"/>
    <w:rsid w:val="00992F1E"/>
    <w:rsid w:val="00993BBA"/>
    <w:rsid w:val="00994CA5"/>
    <w:rsid w:val="009953D7"/>
    <w:rsid w:val="009954BA"/>
    <w:rsid w:val="009955EA"/>
    <w:rsid w:val="00995C7E"/>
    <w:rsid w:val="00995CA5"/>
    <w:rsid w:val="009967BB"/>
    <w:rsid w:val="0099692C"/>
    <w:rsid w:val="00996D29"/>
    <w:rsid w:val="00997DDD"/>
    <w:rsid w:val="009A01C1"/>
    <w:rsid w:val="009A1BF2"/>
    <w:rsid w:val="009A1D41"/>
    <w:rsid w:val="009A1F22"/>
    <w:rsid w:val="009A2098"/>
    <w:rsid w:val="009A20B6"/>
    <w:rsid w:val="009A22C0"/>
    <w:rsid w:val="009A2419"/>
    <w:rsid w:val="009A2FAC"/>
    <w:rsid w:val="009A338D"/>
    <w:rsid w:val="009A3639"/>
    <w:rsid w:val="009A3A8A"/>
    <w:rsid w:val="009A404E"/>
    <w:rsid w:val="009A40C6"/>
    <w:rsid w:val="009A4A0F"/>
    <w:rsid w:val="009A4DD6"/>
    <w:rsid w:val="009A4E43"/>
    <w:rsid w:val="009A4FBA"/>
    <w:rsid w:val="009A6FBE"/>
    <w:rsid w:val="009A73D2"/>
    <w:rsid w:val="009A7522"/>
    <w:rsid w:val="009A76D0"/>
    <w:rsid w:val="009A7AF8"/>
    <w:rsid w:val="009A7D17"/>
    <w:rsid w:val="009B005B"/>
    <w:rsid w:val="009B0752"/>
    <w:rsid w:val="009B07EA"/>
    <w:rsid w:val="009B1032"/>
    <w:rsid w:val="009B1153"/>
    <w:rsid w:val="009B1743"/>
    <w:rsid w:val="009B18BB"/>
    <w:rsid w:val="009B1EA0"/>
    <w:rsid w:val="009B241F"/>
    <w:rsid w:val="009B29C2"/>
    <w:rsid w:val="009B30D6"/>
    <w:rsid w:val="009B30F8"/>
    <w:rsid w:val="009B3F0D"/>
    <w:rsid w:val="009B4795"/>
    <w:rsid w:val="009B4CBD"/>
    <w:rsid w:val="009B6445"/>
    <w:rsid w:val="009B6467"/>
    <w:rsid w:val="009B692D"/>
    <w:rsid w:val="009B6B0B"/>
    <w:rsid w:val="009B6BEA"/>
    <w:rsid w:val="009B6C7C"/>
    <w:rsid w:val="009B7031"/>
    <w:rsid w:val="009B79B6"/>
    <w:rsid w:val="009B7C70"/>
    <w:rsid w:val="009B7D7C"/>
    <w:rsid w:val="009C0722"/>
    <w:rsid w:val="009C11E6"/>
    <w:rsid w:val="009C1326"/>
    <w:rsid w:val="009C1E6B"/>
    <w:rsid w:val="009C20F6"/>
    <w:rsid w:val="009C21C7"/>
    <w:rsid w:val="009C28CE"/>
    <w:rsid w:val="009C2BCF"/>
    <w:rsid w:val="009C302D"/>
    <w:rsid w:val="009C39EF"/>
    <w:rsid w:val="009C5A6B"/>
    <w:rsid w:val="009C5F72"/>
    <w:rsid w:val="009C62EA"/>
    <w:rsid w:val="009C6526"/>
    <w:rsid w:val="009C69DA"/>
    <w:rsid w:val="009C704F"/>
    <w:rsid w:val="009C7A7D"/>
    <w:rsid w:val="009D045B"/>
    <w:rsid w:val="009D0DFB"/>
    <w:rsid w:val="009D178B"/>
    <w:rsid w:val="009D21A4"/>
    <w:rsid w:val="009D2854"/>
    <w:rsid w:val="009D2B21"/>
    <w:rsid w:val="009D2B8E"/>
    <w:rsid w:val="009D2EE5"/>
    <w:rsid w:val="009D3078"/>
    <w:rsid w:val="009D3DFE"/>
    <w:rsid w:val="009D3E98"/>
    <w:rsid w:val="009D4031"/>
    <w:rsid w:val="009D4F23"/>
    <w:rsid w:val="009D5994"/>
    <w:rsid w:val="009D652C"/>
    <w:rsid w:val="009D6E9B"/>
    <w:rsid w:val="009D7787"/>
    <w:rsid w:val="009E0D01"/>
    <w:rsid w:val="009E1229"/>
    <w:rsid w:val="009E14FB"/>
    <w:rsid w:val="009E1AC5"/>
    <w:rsid w:val="009E2EEF"/>
    <w:rsid w:val="009E3325"/>
    <w:rsid w:val="009E448A"/>
    <w:rsid w:val="009E49C5"/>
    <w:rsid w:val="009E4D90"/>
    <w:rsid w:val="009E5472"/>
    <w:rsid w:val="009E59A7"/>
    <w:rsid w:val="009E6F81"/>
    <w:rsid w:val="009E6F90"/>
    <w:rsid w:val="009E71AD"/>
    <w:rsid w:val="009E7E44"/>
    <w:rsid w:val="009F0709"/>
    <w:rsid w:val="009F17C3"/>
    <w:rsid w:val="009F285A"/>
    <w:rsid w:val="009F28A3"/>
    <w:rsid w:val="009F2A9E"/>
    <w:rsid w:val="009F2C14"/>
    <w:rsid w:val="009F2FEC"/>
    <w:rsid w:val="009F386B"/>
    <w:rsid w:val="009F39D8"/>
    <w:rsid w:val="009F4206"/>
    <w:rsid w:val="009F497A"/>
    <w:rsid w:val="009F5038"/>
    <w:rsid w:val="009F51AC"/>
    <w:rsid w:val="009F52DB"/>
    <w:rsid w:val="009F570A"/>
    <w:rsid w:val="009F5AA9"/>
    <w:rsid w:val="009F5BD2"/>
    <w:rsid w:val="009F5E08"/>
    <w:rsid w:val="009F6948"/>
    <w:rsid w:val="009F79A5"/>
    <w:rsid w:val="00A001B2"/>
    <w:rsid w:val="00A001C4"/>
    <w:rsid w:val="00A0037F"/>
    <w:rsid w:val="00A0158D"/>
    <w:rsid w:val="00A01988"/>
    <w:rsid w:val="00A03BBD"/>
    <w:rsid w:val="00A05403"/>
    <w:rsid w:val="00A0553D"/>
    <w:rsid w:val="00A0567E"/>
    <w:rsid w:val="00A05E25"/>
    <w:rsid w:val="00A05E55"/>
    <w:rsid w:val="00A07144"/>
    <w:rsid w:val="00A07523"/>
    <w:rsid w:val="00A07863"/>
    <w:rsid w:val="00A07A37"/>
    <w:rsid w:val="00A07DEC"/>
    <w:rsid w:val="00A10BC1"/>
    <w:rsid w:val="00A10C03"/>
    <w:rsid w:val="00A11426"/>
    <w:rsid w:val="00A11554"/>
    <w:rsid w:val="00A11C9A"/>
    <w:rsid w:val="00A1227E"/>
    <w:rsid w:val="00A14351"/>
    <w:rsid w:val="00A1484B"/>
    <w:rsid w:val="00A14C2C"/>
    <w:rsid w:val="00A14C68"/>
    <w:rsid w:val="00A15177"/>
    <w:rsid w:val="00A15318"/>
    <w:rsid w:val="00A15AB1"/>
    <w:rsid w:val="00A15B99"/>
    <w:rsid w:val="00A15D7E"/>
    <w:rsid w:val="00A1684A"/>
    <w:rsid w:val="00A16DDC"/>
    <w:rsid w:val="00A16F01"/>
    <w:rsid w:val="00A17F21"/>
    <w:rsid w:val="00A17FFE"/>
    <w:rsid w:val="00A2036B"/>
    <w:rsid w:val="00A20A9E"/>
    <w:rsid w:val="00A210B4"/>
    <w:rsid w:val="00A217D3"/>
    <w:rsid w:val="00A217D6"/>
    <w:rsid w:val="00A21934"/>
    <w:rsid w:val="00A2438D"/>
    <w:rsid w:val="00A254DB"/>
    <w:rsid w:val="00A26EF5"/>
    <w:rsid w:val="00A27CBB"/>
    <w:rsid w:val="00A3059A"/>
    <w:rsid w:val="00A30620"/>
    <w:rsid w:val="00A30658"/>
    <w:rsid w:val="00A311FC"/>
    <w:rsid w:val="00A31326"/>
    <w:rsid w:val="00A3247E"/>
    <w:rsid w:val="00A3248E"/>
    <w:rsid w:val="00A327BC"/>
    <w:rsid w:val="00A32F50"/>
    <w:rsid w:val="00A3307F"/>
    <w:rsid w:val="00A33394"/>
    <w:rsid w:val="00A33A18"/>
    <w:rsid w:val="00A33F62"/>
    <w:rsid w:val="00A35207"/>
    <w:rsid w:val="00A35834"/>
    <w:rsid w:val="00A35ADF"/>
    <w:rsid w:val="00A35F63"/>
    <w:rsid w:val="00A369FF"/>
    <w:rsid w:val="00A36CD1"/>
    <w:rsid w:val="00A37816"/>
    <w:rsid w:val="00A40828"/>
    <w:rsid w:val="00A41045"/>
    <w:rsid w:val="00A41839"/>
    <w:rsid w:val="00A41EAA"/>
    <w:rsid w:val="00A4328C"/>
    <w:rsid w:val="00A438F2"/>
    <w:rsid w:val="00A43F55"/>
    <w:rsid w:val="00A44256"/>
    <w:rsid w:val="00A44A29"/>
    <w:rsid w:val="00A45C01"/>
    <w:rsid w:val="00A465D7"/>
    <w:rsid w:val="00A47229"/>
    <w:rsid w:val="00A479A8"/>
    <w:rsid w:val="00A503CC"/>
    <w:rsid w:val="00A506FF"/>
    <w:rsid w:val="00A51354"/>
    <w:rsid w:val="00A51769"/>
    <w:rsid w:val="00A530A7"/>
    <w:rsid w:val="00A53250"/>
    <w:rsid w:val="00A53C81"/>
    <w:rsid w:val="00A53EDF"/>
    <w:rsid w:val="00A54208"/>
    <w:rsid w:val="00A54315"/>
    <w:rsid w:val="00A54F6D"/>
    <w:rsid w:val="00A5564D"/>
    <w:rsid w:val="00A5585A"/>
    <w:rsid w:val="00A55902"/>
    <w:rsid w:val="00A55969"/>
    <w:rsid w:val="00A566FB"/>
    <w:rsid w:val="00A56A90"/>
    <w:rsid w:val="00A56F7D"/>
    <w:rsid w:val="00A57360"/>
    <w:rsid w:val="00A60490"/>
    <w:rsid w:val="00A60E9B"/>
    <w:rsid w:val="00A612AB"/>
    <w:rsid w:val="00A61902"/>
    <w:rsid w:val="00A61B85"/>
    <w:rsid w:val="00A63D70"/>
    <w:rsid w:val="00A646DB"/>
    <w:rsid w:val="00A64A89"/>
    <w:rsid w:val="00A64BC8"/>
    <w:rsid w:val="00A65E80"/>
    <w:rsid w:val="00A660E8"/>
    <w:rsid w:val="00A6638D"/>
    <w:rsid w:val="00A66514"/>
    <w:rsid w:val="00A669B8"/>
    <w:rsid w:val="00A67390"/>
    <w:rsid w:val="00A7058D"/>
    <w:rsid w:val="00A706E5"/>
    <w:rsid w:val="00A70D0A"/>
    <w:rsid w:val="00A70D1E"/>
    <w:rsid w:val="00A7175A"/>
    <w:rsid w:val="00A72175"/>
    <w:rsid w:val="00A72273"/>
    <w:rsid w:val="00A73B82"/>
    <w:rsid w:val="00A74521"/>
    <w:rsid w:val="00A74A43"/>
    <w:rsid w:val="00A74AA5"/>
    <w:rsid w:val="00A75905"/>
    <w:rsid w:val="00A759B7"/>
    <w:rsid w:val="00A762EC"/>
    <w:rsid w:val="00A76B56"/>
    <w:rsid w:val="00A76FBF"/>
    <w:rsid w:val="00A7759E"/>
    <w:rsid w:val="00A80233"/>
    <w:rsid w:val="00A80B5C"/>
    <w:rsid w:val="00A819F3"/>
    <w:rsid w:val="00A81C99"/>
    <w:rsid w:val="00A81F56"/>
    <w:rsid w:val="00A828D6"/>
    <w:rsid w:val="00A82D19"/>
    <w:rsid w:val="00A83520"/>
    <w:rsid w:val="00A8406D"/>
    <w:rsid w:val="00A84804"/>
    <w:rsid w:val="00A86303"/>
    <w:rsid w:val="00A867EB"/>
    <w:rsid w:val="00A874F5"/>
    <w:rsid w:val="00A87988"/>
    <w:rsid w:val="00A87A4A"/>
    <w:rsid w:val="00A87E23"/>
    <w:rsid w:val="00A9073F"/>
    <w:rsid w:val="00A90884"/>
    <w:rsid w:val="00A909FB"/>
    <w:rsid w:val="00A91487"/>
    <w:rsid w:val="00A91C18"/>
    <w:rsid w:val="00A91D46"/>
    <w:rsid w:val="00A92638"/>
    <w:rsid w:val="00A9306F"/>
    <w:rsid w:val="00A9308D"/>
    <w:rsid w:val="00A9365D"/>
    <w:rsid w:val="00A93E6D"/>
    <w:rsid w:val="00A94199"/>
    <w:rsid w:val="00A942DD"/>
    <w:rsid w:val="00A9431F"/>
    <w:rsid w:val="00A946D8"/>
    <w:rsid w:val="00A949C6"/>
    <w:rsid w:val="00A96A3A"/>
    <w:rsid w:val="00A96A8B"/>
    <w:rsid w:val="00A96C33"/>
    <w:rsid w:val="00A9761B"/>
    <w:rsid w:val="00A97A87"/>
    <w:rsid w:val="00AA0B3D"/>
    <w:rsid w:val="00AA1049"/>
    <w:rsid w:val="00AA3238"/>
    <w:rsid w:val="00AA3444"/>
    <w:rsid w:val="00AA3EB2"/>
    <w:rsid w:val="00AA47AA"/>
    <w:rsid w:val="00AA5022"/>
    <w:rsid w:val="00AA5446"/>
    <w:rsid w:val="00AB015B"/>
    <w:rsid w:val="00AB02DB"/>
    <w:rsid w:val="00AB074F"/>
    <w:rsid w:val="00AB0993"/>
    <w:rsid w:val="00AB193E"/>
    <w:rsid w:val="00AB1ADB"/>
    <w:rsid w:val="00AB1CDD"/>
    <w:rsid w:val="00AB2286"/>
    <w:rsid w:val="00AB2713"/>
    <w:rsid w:val="00AB2985"/>
    <w:rsid w:val="00AB2E74"/>
    <w:rsid w:val="00AB350E"/>
    <w:rsid w:val="00AB35CF"/>
    <w:rsid w:val="00AB4740"/>
    <w:rsid w:val="00AB4CC5"/>
    <w:rsid w:val="00AB5604"/>
    <w:rsid w:val="00AB5AA9"/>
    <w:rsid w:val="00AB6723"/>
    <w:rsid w:val="00AB6A6A"/>
    <w:rsid w:val="00AB6AC8"/>
    <w:rsid w:val="00AB6EC9"/>
    <w:rsid w:val="00AB7684"/>
    <w:rsid w:val="00AC0114"/>
    <w:rsid w:val="00AC0B83"/>
    <w:rsid w:val="00AC1758"/>
    <w:rsid w:val="00AC340C"/>
    <w:rsid w:val="00AC40C7"/>
    <w:rsid w:val="00AC5D4F"/>
    <w:rsid w:val="00AC5E5D"/>
    <w:rsid w:val="00AC785F"/>
    <w:rsid w:val="00AD042D"/>
    <w:rsid w:val="00AD04F2"/>
    <w:rsid w:val="00AD0EF9"/>
    <w:rsid w:val="00AD1211"/>
    <w:rsid w:val="00AD16BB"/>
    <w:rsid w:val="00AD1CA5"/>
    <w:rsid w:val="00AD26DC"/>
    <w:rsid w:val="00AD2E28"/>
    <w:rsid w:val="00AD2FC0"/>
    <w:rsid w:val="00AD3158"/>
    <w:rsid w:val="00AD3A72"/>
    <w:rsid w:val="00AD4CFD"/>
    <w:rsid w:val="00AD4E20"/>
    <w:rsid w:val="00AD4F40"/>
    <w:rsid w:val="00AD4FEE"/>
    <w:rsid w:val="00AD5310"/>
    <w:rsid w:val="00AD546F"/>
    <w:rsid w:val="00AD58F7"/>
    <w:rsid w:val="00AD5FCF"/>
    <w:rsid w:val="00AD7066"/>
    <w:rsid w:val="00AD74CF"/>
    <w:rsid w:val="00AD7C49"/>
    <w:rsid w:val="00AE0376"/>
    <w:rsid w:val="00AE03BE"/>
    <w:rsid w:val="00AE0DC6"/>
    <w:rsid w:val="00AE1364"/>
    <w:rsid w:val="00AE154C"/>
    <w:rsid w:val="00AE1774"/>
    <w:rsid w:val="00AE17D7"/>
    <w:rsid w:val="00AE17EE"/>
    <w:rsid w:val="00AE1913"/>
    <w:rsid w:val="00AE457E"/>
    <w:rsid w:val="00AE4CB1"/>
    <w:rsid w:val="00AE5246"/>
    <w:rsid w:val="00AE549B"/>
    <w:rsid w:val="00AE58E0"/>
    <w:rsid w:val="00AF05BE"/>
    <w:rsid w:val="00AF0828"/>
    <w:rsid w:val="00AF0EEF"/>
    <w:rsid w:val="00AF121D"/>
    <w:rsid w:val="00AF1491"/>
    <w:rsid w:val="00AF1754"/>
    <w:rsid w:val="00AF1C0F"/>
    <w:rsid w:val="00AF1C84"/>
    <w:rsid w:val="00AF22DF"/>
    <w:rsid w:val="00AF2AB3"/>
    <w:rsid w:val="00AF31A7"/>
    <w:rsid w:val="00AF4182"/>
    <w:rsid w:val="00AF44BB"/>
    <w:rsid w:val="00AF5053"/>
    <w:rsid w:val="00AF51E5"/>
    <w:rsid w:val="00AF6412"/>
    <w:rsid w:val="00AF69BF"/>
    <w:rsid w:val="00AF7156"/>
    <w:rsid w:val="00AF7419"/>
    <w:rsid w:val="00AF745B"/>
    <w:rsid w:val="00B002F0"/>
    <w:rsid w:val="00B006D6"/>
    <w:rsid w:val="00B0161E"/>
    <w:rsid w:val="00B0191C"/>
    <w:rsid w:val="00B020BC"/>
    <w:rsid w:val="00B02C68"/>
    <w:rsid w:val="00B03096"/>
    <w:rsid w:val="00B0372A"/>
    <w:rsid w:val="00B03AA8"/>
    <w:rsid w:val="00B04539"/>
    <w:rsid w:val="00B04A53"/>
    <w:rsid w:val="00B04BC6"/>
    <w:rsid w:val="00B067AA"/>
    <w:rsid w:val="00B06B41"/>
    <w:rsid w:val="00B0718F"/>
    <w:rsid w:val="00B07656"/>
    <w:rsid w:val="00B10570"/>
    <w:rsid w:val="00B10626"/>
    <w:rsid w:val="00B10765"/>
    <w:rsid w:val="00B108A9"/>
    <w:rsid w:val="00B10BE7"/>
    <w:rsid w:val="00B10FCA"/>
    <w:rsid w:val="00B121BC"/>
    <w:rsid w:val="00B121C4"/>
    <w:rsid w:val="00B12959"/>
    <w:rsid w:val="00B12961"/>
    <w:rsid w:val="00B12D1F"/>
    <w:rsid w:val="00B132E2"/>
    <w:rsid w:val="00B1392C"/>
    <w:rsid w:val="00B13987"/>
    <w:rsid w:val="00B13FEE"/>
    <w:rsid w:val="00B14017"/>
    <w:rsid w:val="00B14716"/>
    <w:rsid w:val="00B14CEC"/>
    <w:rsid w:val="00B15792"/>
    <w:rsid w:val="00B157FA"/>
    <w:rsid w:val="00B16106"/>
    <w:rsid w:val="00B16EFB"/>
    <w:rsid w:val="00B17DDD"/>
    <w:rsid w:val="00B20201"/>
    <w:rsid w:val="00B20661"/>
    <w:rsid w:val="00B21014"/>
    <w:rsid w:val="00B21376"/>
    <w:rsid w:val="00B21603"/>
    <w:rsid w:val="00B217FF"/>
    <w:rsid w:val="00B21ACA"/>
    <w:rsid w:val="00B21F5B"/>
    <w:rsid w:val="00B21F86"/>
    <w:rsid w:val="00B224C0"/>
    <w:rsid w:val="00B22FF4"/>
    <w:rsid w:val="00B23047"/>
    <w:rsid w:val="00B24977"/>
    <w:rsid w:val="00B24CCF"/>
    <w:rsid w:val="00B25060"/>
    <w:rsid w:val="00B251F9"/>
    <w:rsid w:val="00B26229"/>
    <w:rsid w:val="00B26550"/>
    <w:rsid w:val="00B265AE"/>
    <w:rsid w:val="00B26F75"/>
    <w:rsid w:val="00B30037"/>
    <w:rsid w:val="00B3018E"/>
    <w:rsid w:val="00B303B3"/>
    <w:rsid w:val="00B307B5"/>
    <w:rsid w:val="00B30BDF"/>
    <w:rsid w:val="00B311C1"/>
    <w:rsid w:val="00B3152B"/>
    <w:rsid w:val="00B31916"/>
    <w:rsid w:val="00B31E51"/>
    <w:rsid w:val="00B31ED6"/>
    <w:rsid w:val="00B32472"/>
    <w:rsid w:val="00B327EE"/>
    <w:rsid w:val="00B330E3"/>
    <w:rsid w:val="00B336B9"/>
    <w:rsid w:val="00B33C06"/>
    <w:rsid w:val="00B34CE4"/>
    <w:rsid w:val="00B34D7E"/>
    <w:rsid w:val="00B35320"/>
    <w:rsid w:val="00B3569C"/>
    <w:rsid w:val="00B35747"/>
    <w:rsid w:val="00B3662C"/>
    <w:rsid w:val="00B368D5"/>
    <w:rsid w:val="00B37190"/>
    <w:rsid w:val="00B404B1"/>
    <w:rsid w:val="00B404B4"/>
    <w:rsid w:val="00B40AEB"/>
    <w:rsid w:val="00B40F1E"/>
    <w:rsid w:val="00B413D6"/>
    <w:rsid w:val="00B41C41"/>
    <w:rsid w:val="00B424E0"/>
    <w:rsid w:val="00B432AB"/>
    <w:rsid w:val="00B439F1"/>
    <w:rsid w:val="00B43BF9"/>
    <w:rsid w:val="00B44EFA"/>
    <w:rsid w:val="00B45DC0"/>
    <w:rsid w:val="00B461F0"/>
    <w:rsid w:val="00B4655A"/>
    <w:rsid w:val="00B46563"/>
    <w:rsid w:val="00B47D80"/>
    <w:rsid w:val="00B5003C"/>
    <w:rsid w:val="00B50C32"/>
    <w:rsid w:val="00B50CA5"/>
    <w:rsid w:val="00B513C2"/>
    <w:rsid w:val="00B5145B"/>
    <w:rsid w:val="00B5278A"/>
    <w:rsid w:val="00B52D0B"/>
    <w:rsid w:val="00B5338A"/>
    <w:rsid w:val="00B53B25"/>
    <w:rsid w:val="00B53DD0"/>
    <w:rsid w:val="00B54043"/>
    <w:rsid w:val="00B54BC2"/>
    <w:rsid w:val="00B55A2C"/>
    <w:rsid w:val="00B57657"/>
    <w:rsid w:val="00B579C0"/>
    <w:rsid w:val="00B57D78"/>
    <w:rsid w:val="00B60279"/>
    <w:rsid w:val="00B60359"/>
    <w:rsid w:val="00B611D0"/>
    <w:rsid w:val="00B612BC"/>
    <w:rsid w:val="00B617D1"/>
    <w:rsid w:val="00B618D2"/>
    <w:rsid w:val="00B62369"/>
    <w:rsid w:val="00B62436"/>
    <w:rsid w:val="00B62DB8"/>
    <w:rsid w:val="00B6456E"/>
    <w:rsid w:val="00B64B28"/>
    <w:rsid w:val="00B65174"/>
    <w:rsid w:val="00B6584C"/>
    <w:rsid w:val="00B65D2D"/>
    <w:rsid w:val="00B65EEE"/>
    <w:rsid w:val="00B665B3"/>
    <w:rsid w:val="00B6691E"/>
    <w:rsid w:val="00B672F5"/>
    <w:rsid w:val="00B678F1"/>
    <w:rsid w:val="00B67F75"/>
    <w:rsid w:val="00B700CA"/>
    <w:rsid w:val="00B70135"/>
    <w:rsid w:val="00B71766"/>
    <w:rsid w:val="00B72034"/>
    <w:rsid w:val="00B72420"/>
    <w:rsid w:val="00B738B7"/>
    <w:rsid w:val="00B73B0D"/>
    <w:rsid w:val="00B74B83"/>
    <w:rsid w:val="00B74F1D"/>
    <w:rsid w:val="00B75865"/>
    <w:rsid w:val="00B7650D"/>
    <w:rsid w:val="00B767EF"/>
    <w:rsid w:val="00B76DBB"/>
    <w:rsid w:val="00B80307"/>
    <w:rsid w:val="00B805A0"/>
    <w:rsid w:val="00B812E6"/>
    <w:rsid w:val="00B8146A"/>
    <w:rsid w:val="00B81900"/>
    <w:rsid w:val="00B823AF"/>
    <w:rsid w:val="00B8284A"/>
    <w:rsid w:val="00B82CEE"/>
    <w:rsid w:val="00B83B83"/>
    <w:rsid w:val="00B83F5B"/>
    <w:rsid w:val="00B84E96"/>
    <w:rsid w:val="00B85630"/>
    <w:rsid w:val="00B85D71"/>
    <w:rsid w:val="00B86C87"/>
    <w:rsid w:val="00B87199"/>
    <w:rsid w:val="00B871C8"/>
    <w:rsid w:val="00B876AD"/>
    <w:rsid w:val="00B87A7D"/>
    <w:rsid w:val="00B907EE"/>
    <w:rsid w:val="00B90A1A"/>
    <w:rsid w:val="00B90FDD"/>
    <w:rsid w:val="00B91185"/>
    <w:rsid w:val="00B91BDA"/>
    <w:rsid w:val="00B922A4"/>
    <w:rsid w:val="00B925BD"/>
    <w:rsid w:val="00B92BF9"/>
    <w:rsid w:val="00B933B3"/>
    <w:rsid w:val="00B9380C"/>
    <w:rsid w:val="00B93E0E"/>
    <w:rsid w:val="00B93E0F"/>
    <w:rsid w:val="00B94423"/>
    <w:rsid w:val="00B94753"/>
    <w:rsid w:val="00B95354"/>
    <w:rsid w:val="00B957C4"/>
    <w:rsid w:val="00B95AC4"/>
    <w:rsid w:val="00B95CDC"/>
    <w:rsid w:val="00B962B3"/>
    <w:rsid w:val="00B96F8F"/>
    <w:rsid w:val="00B97C50"/>
    <w:rsid w:val="00BA00EC"/>
    <w:rsid w:val="00BA0B2F"/>
    <w:rsid w:val="00BA0BF1"/>
    <w:rsid w:val="00BA0EBB"/>
    <w:rsid w:val="00BA107E"/>
    <w:rsid w:val="00BA1682"/>
    <w:rsid w:val="00BA1B06"/>
    <w:rsid w:val="00BA271C"/>
    <w:rsid w:val="00BA2C11"/>
    <w:rsid w:val="00BA2D3A"/>
    <w:rsid w:val="00BA324F"/>
    <w:rsid w:val="00BA33C3"/>
    <w:rsid w:val="00BA33FD"/>
    <w:rsid w:val="00BA34C5"/>
    <w:rsid w:val="00BA394B"/>
    <w:rsid w:val="00BA4142"/>
    <w:rsid w:val="00BA4507"/>
    <w:rsid w:val="00BA4701"/>
    <w:rsid w:val="00BA4A48"/>
    <w:rsid w:val="00BA52FD"/>
    <w:rsid w:val="00BA5481"/>
    <w:rsid w:val="00BA64B9"/>
    <w:rsid w:val="00BA6C47"/>
    <w:rsid w:val="00BA7261"/>
    <w:rsid w:val="00BA73A8"/>
    <w:rsid w:val="00BA76E0"/>
    <w:rsid w:val="00BA7716"/>
    <w:rsid w:val="00BB06A5"/>
    <w:rsid w:val="00BB0788"/>
    <w:rsid w:val="00BB0D9C"/>
    <w:rsid w:val="00BB0E19"/>
    <w:rsid w:val="00BB146C"/>
    <w:rsid w:val="00BB153C"/>
    <w:rsid w:val="00BB1DC0"/>
    <w:rsid w:val="00BB3355"/>
    <w:rsid w:val="00BB3B46"/>
    <w:rsid w:val="00BB4183"/>
    <w:rsid w:val="00BB55A0"/>
    <w:rsid w:val="00BB5CEF"/>
    <w:rsid w:val="00BB6BFB"/>
    <w:rsid w:val="00BB6D61"/>
    <w:rsid w:val="00BB6F79"/>
    <w:rsid w:val="00BB7A2A"/>
    <w:rsid w:val="00BB7C27"/>
    <w:rsid w:val="00BB7CD0"/>
    <w:rsid w:val="00BC07FA"/>
    <w:rsid w:val="00BC145B"/>
    <w:rsid w:val="00BC14AC"/>
    <w:rsid w:val="00BC17B1"/>
    <w:rsid w:val="00BC1BFA"/>
    <w:rsid w:val="00BC2282"/>
    <w:rsid w:val="00BC2E91"/>
    <w:rsid w:val="00BC2EBA"/>
    <w:rsid w:val="00BC31BB"/>
    <w:rsid w:val="00BC35FF"/>
    <w:rsid w:val="00BC3737"/>
    <w:rsid w:val="00BC3FCA"/>
    <w:rsid w:val="00BC416E"/>
    <w:rsid w:val="00BC4FD8"/>
    <w:rsid w:val="00BC5A71"/>
    <w:rsid w:val="00BC62FE"/>
    <w:rsid w:val="00BC71BF"/>
    <w:rsid w:val="00BC7DD0"/>
    <w:rsid w:val="00BC7E01"/>
    <w:rsid w:val="00BD026F"/>
    <w:rsid w:val="00BD116F"/>
    <w:rsid w:val="00BD13BD"/>
    <w:rsid w:val="00BD15C0"/>
    <w:rsid w:val="00BD1B88"/>
    <w:rsid w:val="00BD270F"/>
    <w:rsid w:val="00BD2B14"/>
    <w:rsid w:val="00BD2E01"/>
    <w:rsid w:val="00BD2EBB"/>
    <w:rsid w:val="00BD2F1A"/>
    <w:rsid w:val="00BD3CF3"/>
    <w:rsid w:val="00BD41DE"/>
    <w:rsid w:val="00BD4386"/>
    <w:rsid w:val="00BD45B0"/>
    <w:rsid w:val="00BD4E0C"/>
    <w:rsid w:val="00BD5221"/>
    <w:rsid w:val="00BD5658"/>
    <w:rsid w:val="00BD5D74"/>
    <w:rsid w:val="00BD62E3"/>
    <w:rsid w:val="00BD636A"/>
    <w:rsid w:val="00BD6F1D"/>
    <w:rsid w:val="00BD7697"/>
    <w:rsid w:val="00BD7829"/>
    <w:rsid w:val="00BE0097"/>
    <w:rsid w:val="00BE05A3"/>
    <w:rsid w:val="00BE0C26"/>
    <w:rsid w:val="00BE12A7"/>
    <w:rsid w:val="00BE13A2"/>
    <w:rsid w:val="00BE166C"/>
    <w:rsid w:val="00BE1B02"/>
    <w:rsid w:val="00BE2494"/>
    <w:rsid w:val="00BE2B34"/>
    <w:rsid w:val="00BE34E6"/>
    <w:rsid w:val="00BE4CA4"/>
    <w:rsid w:val="00BE4F3A"/>
    <w:rsid w:val="00BE6454"/>
    <w:rsid w:val="00BE6488"/>
    <w:rsid w:val="00BE671D"/>
    <w:rsid w:val="00BE69E4"/>
    <w:rsid w:val="00BE7BD2"/>
    <w:rsid w:val="00BE7CFB"/>
    <w:rsid w:val="00BE7D8D"/>
    <w:rsid w:val="00BF02D5"/>
    <w:rsid w:val="00BF05BB"/>
    <w:rsid w:val="00BF3B60"/>
    <w:rsid w:val="00BF3B85"/>
    <w:rsid w:val="00BF48C2"/>
    <w:rsid w:val="00BF5127"/>
    <w:rsid w:val="00BF6361"/>
    <w:rsid w:val="00BF775B"/>
    <w:rsid w:val="00BF792B"/>
    <w:rsid w:val="00BF7D3B"/>
    <w:rsid w:val="00C00245"/>
    <w:rsid w:val="00C00C49"/>
    <w:rsid w:val="00C01E3F"/>
    <w:rsid w:val="00C02CC8"/>
    <w:rsid w:val="00C03A8F"/>
    <w:rsid w:val="00C04368"/>
    <w:rsid w:val="00C04B05"/>
    <w:rsid w:val="00C058BB"/>
    <w:rsid w:val="00C05934"/>
    <w:rsid w:val="00C05AED"/>
    <w:rsid w:val="00C06202"/>
    <w:rsid w:val="00C06A64"/>
    <w:rsid w:val="00C06E2D"/>
    <w:rsid w:val="00C075D8"/>
    <w:rsid w:val="00C07850"/>
    <w:rsid w:val="00C07AB8"/>
    <w:rsid w:val="00C07E7A"/>
    <w:rsid w:val="00C10208"/>
    <w:rsid w:val="00C1038B"/>
    <w:rsid w:val="00C1089E"/>
    <w:rsid w:val="00C111FB"/>
    <w:rsid w:val="00C11206"/>
    <w:rsid w:val="00C11B21"/>
    <w:rsid w:val="00C12893"/>
    <w:rsid w:val="00C1351F"/>
    <w:rsid w:val="00C13686"/>
    <w:rsid w:val="00C138C7"/>
    <w:rsid w:val="00C13F6E"/>
    <w:rsid w:val="00C13FD8"/>
    <w:rsid w:val="00C1431E"/>
    <w:rsid w:val="00C14AA2"/>
    <w:rsid w:val="00C14D38"/>
    <w:rsid w:val="00C1550A"/>
    <w:rsid w:val="00C1589C"/>
    <w:rsid w:val="00C16411"/>
    <w:rsid w:val="00C16861"/>
    <w:rsid w:val="00C16A6F"/>
    <w:rsid w:val="00C1758E"/>
    <w:rsid w:val="00C2029B"/>
    <w:rsid w:val="00C205CD"/>
    <w:rsid w:val="00C20C0B"/>
    <w:rsid w:val="00C20DD6"/>
    <w:rsid w:val="00C21851"/>
    <w:rsid w:val="00C218F9"/>
    <w:rsid w:val="00C21DBE"/>
    <w:rsid w:val="00C22212"/>
    <w:rsid w:val="00C2223D"/>
    <w:rsid w:val="00C227A5"/>
    <w:rsid w:val="00C22CA7"/>
    <w:rsid w:val="00C23B48"/>
    <w:rsid w:val="00C240EF"/>
    <w:rsid w:val="00C24E26"/>
    <w:rsid w:val="00C25B09"/>
    <w:rsid w:val="00C25EA5"/>
    <w:rsid w:val="00C26323"/>
    <w:rsid w:val="00C26419"/>
    <w:rsid w:val="00C26726"/>
    <w:rsid w:val="00C271AE"/>
    <w:rsid w:val="00C30953"/>
    <w:rsid w:val="00C30A7F"/>
    <w:rsid w:val="00C3211D"/>
    <w:rsid w:val="00C3257D"/>
    <w:rsid w:val="00C3274E"/>
    <w:rsid w:val="00C327CB"/>
    <w:rsid w:val="00C33084"/>
    <w:rsid w:val="00C3417E"/>
    <w:rsid w:val="00C3471D"/>
    <w:rsid w:val="00C3477F"/>
    <w:rsid w:val="00C34928"/>
    <w:rsid w:val="00C35046"/>
    <w:rsid w:val="00C35156"/>
    <w:rsid w:val="00C3527C"/>
    <w:rsid w:val="00C35890"/>
    <w:rsid w:val="00C3589E"/>
    <w:rsid w:val="00C36108"/>
    <w:rsid w:val="00C3638E"/>
    <w:rsid w:val="00C36494"/>
    <w:rsid w:val="00C36CD7"/>
    <w:rsid w:val="00C3764D"/>
    <w:rsid w:val="00C37A9E"/>
    <w:rsid w:val="00C413EC"/>
    <w:rsid w:val="00C419C8"/>
    <w:rsid w:val="00C42C6F"/>
    <w:rsid w:val="00C43971"/>
    <w:rsid w:val="00C45580"/>
    <w:rsid w:val="00C45ABC"/>
    <w:rsid w:val="00C45B02"/>
    <w:rsid w:val="00C45C1C"/>
    <w:rsid w:val="00C45E5E"/>
    <w:rsid w:val="00C474FC"/>
    <w:rsid w:val="00C475C6"/>
    <w:rsid w:val="00C50032"/>
    <w:rsid w:val="00C50199"/>
    <w:rsid w:val="00C50274"/>
    <w:rsid w:val="00C515B6"/>
    <w:rsid w:val="00C521F7"/>
    <w:rsid w:val="00C527AB"/>
    <w:rsid w:val="00C527DF"/>
    <w:rsid w:val="00C52DFB"/>
    <w:rsid w:val="00C5346A"/>
    <w:rsid w:val="00C540AF"/>
    <w:rsid w:val="00C540B2"/>
    <w:rsid w:val="00C546A5"/>
    <w:rsid w:val="00C5523A"/>
    <w:rsid w:val="00C554FE"/>
    <w:rsid w:val="00C557AD"/>
    <w:rsid w:val="00C55C39"/>
    <w:rsid w:val="00C55FDF"/>
    <w:rsid w:val="00C561A6"/>
    <w:rsid w:val="00C566B0"/>
    <w:rsid w:val="00C56BBD"/>
    <w:rsid w:val="00C57572"/>
    <w:rsid w:val="00C60091"/>
    <w:rsid w:val="00C606EA"/>
    <w:rsid w:val="00C60D26"/>
    <w:rsid w:val="00C6133E"/>
    <w:rsid w:val="00C61D6E"/>
    <w:rsid w:val="00C633EA"/>
    <w:rsid w:val="00C63B48"/>
    <w:rsid w:val="00C63CEB"/>
    <w:rsid w:val="00C65A25"/>
    <w:rsid w:val="00C66117"/>
    <w:rsid w:val="00C661F8"/>
    <w:rsid w:val="00C665AF"/>
    <w:rsid w:val="00C705F6"/>
    <w:rsid w:val="00C708C7"/>
    <w:rsid w:val="00C712D4"/>
    <w:rsid w:val="00C7168A"/>
    <w:rsid w:val="00C71FAB"/>
    <w:rsid w:val="00C721C8"/>
    <w:rsid w:val="00C73575"/>
    <w:rsid w:val="00C73FC4"/>
    <w:rsid w:val="00C74695"/>
    <w:rsid w:val="00C74765"/>
    <w:rsid w:val="00C74905"/>
    <w:rsid w:val="00C7585F"/>
    <w:rsid w:val="00C75BFD"/>
    <w:rsid w:val="00C75CDD"/>
    <w:rsid w:val="00C760A8"/>
    <w:rsid w:val="00C7614D"/>
    <w:rsid w:val="00C764D6"/>
    <w:rsid w:val="00C77E3C"/>
    <w:rsid w:val="00C8013B"/>
    <w:rsid w:val="00C80246"/>
    <w:rsid w:val="00C80259"/>
    <w:rsid w:val="00C80324"/>
    <w:rsid w:val="00C8167F"/>
    <w:rsid w:val="00C81729"/>
    <w:rsid w:val="00C81B89"/>
    <w:rsid w:val="00C822ED"/>
    <w:rsid w:val="00C82971"/>
    <w:rsid w:val="00C82BCB"/>
    <w:rsid w:val="00C82D24"/>
    <w:rsid w:val="00C830EE"/>
    <w:rsid w:val="00C83299"/>
    <w:rsid w:val="00C83679"/>
    <w:rsid w:val="00C83C63"/>
    <w:rsid w:val="00C83DE4"/>
    <w:rsid w:val="00C83DF0"/>
    <w:rsid w:val="00C83F48"/>
    <w:rsid w:val="00C84AAA"/>
    <w:rsid w:val="00C84C1F"/>
    <w:rsid w:val="00C85384"/>
    <w:rsid w:val="00C86277"/>
    <w:rsid w:val="00C8690F"/>
    <w:rsid w:val="00C871EC"/>
    <w:rsid w:val="00C871ED"/>
    <w:rsid w:val="00C9016E"/>
    <w:rsid w:val="00C9020C"/>
    <w:rsid w:val="00C90A8A"/>
    <w:rsid w:val="00C912B3"/>
    <w:rsid w:val="00C91B7E"/>
    <w:rsid w:val="00C92BD3"/>
    <w:rsid w:val="00C931DF"/>
    <w:rsid w:val="00C93655"/>
    <w:rsid w:val="00C95625"/>
    <w:rsid w:val="00C95707"/>
    <w:rsid w:val="00C9589E"/>
    <w:rsid w:val="00C9735E"/>
    <w:rsid w:val="00C979D6"/>
    <w:rsid w:val="00C97D3F"/>
    <w:rsid w:val="00CA0ACC"/>
    <w:rsid w:val="00CA16D9"/>
    <w:rsid w:val="00CA29D3"/>
    <w:rsid w:val="00CA3048"/>
    <w:rsid w:val="00CA351E"/>
    <w:rsid w:val="00CA3D71"/>
    <w:rsid w:val="00CA4C17"/>
    <w:rsid w:val="00CA504C"/>
    <w:rsid w:val="00CA54DD"/>
    <w:rsid w:val="00CA5904"/>
    <w:rsid w:val="00CA6397"/>
    <w:rsid w:val="00CA64BF"/>
    <w:rsid w:val="00CA6562"/>
    <w:rsid w:val="00CA6F68"/>
    <w:rsid w:val="00CB0101"/>
    <w:rsid w:val="00CB0243"/>
    <w:rsid w:val="00CB0579"/>
    <w:rsid w:val="00CB078E"/>
    <w:rsid w:val="00CB0E38"/>
    <w:rsid w:val="00CB158F"/>
    <w:rsid w:val="00CB170A"/>
    <w:rsid w:val="00CB1A46"/>
    <w:rsid w:val="00CB1CA8"/>
    <w:rsid w:val="00CB29F1"/>
    <w:rsid w:val="00CB2CF0"/>
    <w:rsid w:val="00CB363B"/>
    <w:rsid w:val="00CB3B77"/>
    <w:rsid w:val="00CB4531"/>
    <w:rsid w:val="00CB4B8F"/>
    <w:rsid w:val="00CB5499"/>
    <w:rsid w:val="00CB57CC"/>
    <w:rsid w:val="00CB5F42"/>
    <w:rsid w:val="00CB5F7F"/>
    <w:rsid w:val="00CB64E4"/>
    <w:rsid w:val="00CB6DCF"/>
    <w:rsid w:val="00CB72A1"/>
    <w:rsid w:val="00CB7610"/>
    <w:rsid w:val="00CB7C99"/>
    <w:rsid w:val="00CB7D3B"/>
    <w:rsid w:val="00CC0413"/>
    <w:rsid w:val="00CC077A"/>
    <w:rsid w:val="00CC0C80"/>
    <w:rsid w:val="00CC1AE2"/>
    <w:rsid w:val="00CC1BBB"/>
    <w:rsid w:val="00CC2E5E"/>
    <w:rsid w:val="00CC2EE3"/>
    <w:rsid w:val="00CC34FC"/>
    <w:rsid w:val="00CC39FB"/>
    <w:rsid w:val="00CC3C72"/>
    <w:rsid w:val="00CC3C87"/>
    <w:rsid w:val="00CC4091"/>
    <w:rsid w:val="00CC4291"/>
    <w:rsid w:val="00CC4376"/>
    <w:rsid w:val="00CC5FA3"/>
    <w:rsid w:val="00CC5FA6"/>
    <w:rsid w:val="00CC627C"/>
    <w:rsid w:val="00CC6726"/>
    <w:rsid w:val="00CC6D4E"/>
    <w:rsid w:val="00CC6D72"/>
    <w:rsid w:val="00CC70D5"/>
    <w:rsid w:val="00CC72E7"/>
    <w:rsid w:val="00CC7777"/>
    <w:rsid w:val="00CC7D20"/>
    <w:rsid w:val="00CD0CA9"/>
    <w:rsid w:val="00CD18A1"/>
    <w:rsid w:val="00CD1B90"/>
    <w:rsid w:val="00CD26FE"/>
    <w:rsid w:val="00CD27BE"/>
    <w:rsid w:val="00CD30C7"/>
    <w:rsid w:val="00CD331B"/>
    <w:rsid w:val="00CD392E"/>
    <w:rsid w:val="00CD397D"/>
    <w:rsid w:val="00CD3D11"/>
    <w:rsid w:val="00CD3EC6"/>
    <w:rsid w:val="00CD3ED1"/>
    <w:rsid w:val="00CD402C"/>
    <w:rsid w:val="00CD4A05"/>
    <w:rsid w:val="00CD4AB0"/>
    <w:rsid w:val="00CD4BFE"/>
    <w:rsid w:val="00CD6BEA"/>
    <w:rsid w:val="00CD6E54"/>
    <w:rsid w:val="00CD71CE"/>
    <w:rsid w:val="00CD7211"/>
    <w:rsid w:val="00CD7B83"/>
    <w:rsid w:val="00CD7FFD"/>
    <w:rsid w:val="00CE020F"/>
    <w:rsid w:val="00CE022E"/>
    <w:rsid w:val="00CE0D22"/>
    <w:rsid w:val="00CE1199"/>
    <w:rsid w:val="00CE149F"/>
    <w:rsid w:val="00CE1C09"/>
    <w:rsid w:val="00CE22BE"/>
    <w:rsid w:val="00CE344E"/>
    <w:rsid w:val="00CE355B"/>
    <w:rsid w:val="00CE3A18"/>
    <w:rsid w:val="00CE3DA3"/>
    <w:rsid w:val="00CE3EB8"/>
    <w:rsid w:val="00CE3F59"/>
    <w:rsid w:val="00CE444A"/>
    <w:rsid w:val="00CE4733"/>
    <w:rsid w:val="00CE47FC"/>
    <w:rsid w:val="00CE5F2B"/>
    <w:rsid w:val="00CE63DA"/>
    <w:rsid w:val="00CE6844"/>
    <w:rsid w:val="00CE6A03"/>
    <w:rsid w:val="00CE6B68"/>
    <w:rsid w:val="00CE6E62"/>
    <w:rsid w:val="00CE75EC"/>
    <w:rsid w:val="00CF0117"/>
    <w:rsid w:val="00CF0171"/>
    <w:rsid w:val="00CF01E0"/>
    <w:rsid w:val="00CF0AFF"/>
    <w:rsid w:val="00CF0C05"/>
    <w:rsid w:val="00CF1504"/>
    <w:rsid w:val="00CF1717"/>
    <w:rsid w:val="00CF2362"/>
    <w:rsid w:val="00CF2483"/>
    <w:rsid w:val="00CF2883"/>
    <w:rsid w:val="00CF2978"/>
    <w:rsid w:val="00CF2A88"/>
    <w:rsid w:val="00CF2B80"/>
    <w:rsid w:val="00CF2E31"/>
    <w:rsid w:val="00CF3367"/>
    <w:rsid w:val="00CF42F2"/>
    <w:rsid w:val="00CF46D9"/>
    <w:rsid w:val="00CF4DED"/>
    <w:rsid w:val="00CF4F68"/>
    <w:rsid w:val="00CF5353"/>
    <w:rsid w:val="00CF53BC"/>
    <w:rsid w:val="00CF5E6B"/>
    <w:rsid w:val="00CF73F7"/>
    <w:rsid w:val="00CF7569"/>
    <w:rsid w:val="00CF7BCB"/>
    <w:rsid w:val="00D00546"/>
    <w:rsid w:val="00D00591"/>
    <w:rsid w:val="00D00E4D"/>
    <w:rsid w:val="00D01154"/>
    <w:rsid w:val="00D013CD"/>
    <w:rsid w:val="00D01741"/>
    <w:rsid w:val="00D022D6"/>
    <w:rsid w:val="00D03128"/>
    <w:rsid w:val="00D037F4"/>
    <w:rsid w:val="00D038CA"/>
    <w:rsid w:val="00D03F62"/>
    <w:rsid w:val="00D0474A"/>
    <w:rsid w:val="00D063B6"/>
    <w:rsid w:val="00D066EF"/>
    <w:rsid w:val="00D06778"/>
    <w:rsid w:val="00D07305"/>
    <w:rsid w:val="00D1005B"/>
    <w:rsid w:val="00D10EE6"/>
    <w:rsid w:val="00D11EFC"/>
    <w:rsid w:val="00D11F0D"/>
    <w:rsid w:val="00D11FE1"/>
    <w:rsid w:val="00D125CD"/>
    <w:rsid w:val="00D1273B"/>
    <w:rsid w:val="00D12C26"/>
    <w:rsid w:val="00D13EF7"/>
    <w:rsid w:val="00D141B4"/>
    <w:rsid w:val="00D142B1"/>
    <w:rsid w:val="00D14E2E"/>
    <w:rsid w:val="00D152E3"/>
    <w:rsid w:val="00D152E7"/>
    <w:rsid w:val="00D157FD"/>
    <w:rsid w:val="00D1599C"/>
    <w:rsid w:val="00D15A81"/>
    <w:rsid w:val="00D16444"/>
    <w:rsid w:val="00D20E35"/>
    <w:rsid w:val="00D20FFA"/>
    <w:rsid w:val="00D218D7"/>
    <w:rsid w:val="00D21CB9"/>
    <w:rsid w:val="00D21D21"/>
    <w:rsid w:val="00D21F4D"/>
    <w:rsid w:val="00D22B58"/>
    <w:rsid w:val="00D22D1A"/>
    <w:rsid w:val="00D2322E"/>
    <w:rsid w:val="00D232FA"/>
    <w:rsid w:val="00D23465"/>
    <w:rsid w:val="00D23D66"/>
    <w:rsid w:val="00D23ECA"/>
    <w:rsid w:val="00D24A63"/>
    <w:rsid w:val="00D24B15"/>
    <w:rsid w:val="00D24DBB"/>
    <w:rsid w:val="00D25514"/>
    <w:rsid w:val="00D25533"/>
    <w:rsid w:val="00D2579A"/>
    <w:rsid w:val="00D25CCD"/>
    <w:rsid w:val="00D268D9"/>
    <w:rsid w:val="00D268F6"/>
    <w:rsid w:val="00D26C89"/>
    <w:rsid w:val="00D26D42"/>
    <w:rsid w:val="00D27242"/>
    <w:rsid w:val="00D278AB"/>
    <w:rsid w:val="00D27975"/>
    <w:rsid w:val="00D27C97"/>
    <w:rsid w:val="00D27E01"/>
    <w:rsid w:val="00D3079A"/>
    <w:rsid w:val="00D3176D"/>
    <w:rsid w:val="00D3232D"/>
    <w:rsid w:val="00D32C29"/>
    <w:rsid w:val="00D3327A"/>
    <w:rsid w:val="00D334BB"/>
    <w:rsid w:val="00D3445B"/>
    <w:rsid w:val="00D34D8F"/>
    <w:rsid w:val="00D359E8"/>
    <w:rsid w:val="00D35C97"/>
    <w:rsid w:val="00D36244"/>
    <w:rsid w:val="00D364C6"/>
    <w:rsid w:val="00D365A6"/>
    <w:rsid w:val="00D365BB"/>
    <w:rsid w:val="00D36CFE"/>
    <w:rsid w:val="00D4038C"/>
    <w:rsid w:val="00D40527"/>
    <w:rsid w:val="00D40B83"/>
    <w:rsid w:val="00D41375"/>
    <w:rsid w:val="00D415B4"/>
    <w:rsid w:val="00D4225F"/>
    <w:rsid w:val="00D425B6"/>
    <w:rsid w:val="00D42C0F"/>
    <w:rsid w:val="00D42E7B"/>
    <w:rsid w:val="00D43665"/>
    <w:rsid w:val="00D4477E"/>
    <w:rsid w:val="00D458B7"/>
    <w:rsid w:val="00D46104"/>
    <w:rsid w:val="00D46645"/>
    <w:rsid w:val="00D468CA"/>
    <w:rsid w:val="00D46E48"/>
    <w:rsid w:val="00D46EDD"/>
    <w:rsid w:val="00D474EF"/>
    <w:rsid w:val="00D47730"/>
    <w:rsid w:val="00D50631"/>
    <w:rsid w:val="00D51AB5"/>
    <w:rsid w:val="00D51AFC"/>
    <w:rsid w:val="00D51B8D"/>
    <w:rsid w:val="00D5290C"/>
    <w:rsid w:val="00D529C5"/>
    <w:rsid w:val="00D52ED0"/>
    <w:rsid w:val="00D53832"/>
    <w:rsid w:val="00D53AF1"/>
    <w:rsid w:val="00D54DF3"/>
    <w:rsid w:val="00D5558D"/>
    <w:rsid w:val="00D567F6"/>
    <w:rsid w:val="00D56EEF"/>
    <w:rsid w:val="00D5745B"/>
    <w:rsid w:val="00D6056A"/>
    <w:rsid w:val="00D60587"/>
    <w:rsid w:val="00D608A8"/>
    <w:rsid w:val="00D60D40"/>
    <w:rsid w:val="00D60D72"/>
    <w:rsid w:val="00D61023"/>
    <w:rsid w:val="00D61581"/>
    <w:rsid w:val="00D61BB0"/>
    <w:rsid w:val="00D6212C"/>
    <w:rsid w:val="00D62657"/>
    <w:rsid w:val="00D626FC"/>
    <w:rsid w:val="00D62FDC"/>
    <w:rsid w:val="00D639C2"/>
    <w:rsid w:val="00D64F48"/>
    <w:rsid w:val="00D668FC"/>
    <w:rsid w:val="00D66E25"/>
    <w:rsid w:val="00D66E74"/>
    <w:rsid w:val="00D678CC"/>
    <w:rsid w:val="00D70879"/>
    <w:rsid w:val="00D70961"/>
    <w:rsid w:val="00D712B3"/>
    <w:rsid w:val="00D71539"/>
    <w:rsid w:val="00D71BD9"/>
    <w:rsid w:val="00D72482"/>
    <w:rsid w:val="00D72A80"/>
    <w:rsid w:val="00D73693"/>
    <w:rsid w:val="00D73D67"/>
    <w:rsid w:val="00D74251"/>
    <w:rsid w:val="00D75167"/>
    <w:rsid w:val="00D76669"/>
    <w:rsid w:val="00D7706C"/>
    <w:rsid w:val="00D775B7"/>
    <w:rsid w:val="00D77E02"/>
    <w:rsid w:val="00D808AA"/>
    <w:rsid w:val="00D81B62"/>
    <w:rsid w:val="00D82C98"/>
    <w:rsid w:val="00D8392C"/>
    <w:rsid w:val="00D83958"/>
    <w:rsid w:val="00D839A1"/>
    <w:rsid w:val="00D84F70"/>
    <w:rsid w:val="00D84F8D"/>
    <w:rsid w:val="00D8548E"/>
    <w:rsid w:val="00D856AC"/>
    <w:rsid w:val="00D8581D"/>
    <w:rsid w:val="00D859E4"/>
    <w:rsid w:val="00D85C19"/>
    <w:rsid w:val="00D870A5"/>
    <w:rsid w:val="00D871FE"/>
    <w:rsid w:val="00D876A1"/>
    <w:rsid w:val="00D8798D"/>
    <w:rsid w:val="00D9130C"/>
    <w:rsid w:val="00D92285"/>
    <w:rsid w:val="00D92365"/>
    <w:rsid w:val="00D934C8"/>
    <w:rsid w:val="00D935D2"/>
    <w:rsid w:val="00D93656"/>
    <w:rsid w:val="00D94099"/>
    <w:rsid w:val="00D9470D"/>
    <w:rsid w:val="00D9482F"/>
    <w:rsid w:val="00D94B52"/>
    <w:rsid w:val="00D94E24"/>
    <w:rsid w:val="00D94FA7"/>
    <w:rsid w:val="00D95372"/>
    <w:rsid w:val="00D95CAB"/>
    <w:rsid w:val="00D960A9"/>
    <w:rsid w:val="00D96878"/>
    <w:rsid w:val="00D9699A"/>
    <w:rsid w:val="00D96B15"/>
    <w:rsid w:val="00D97D0D"/>
    <w:rsid w:val="00DA03BF"/>
    <w:rsid w:val="00DA0BD5"/>
    <w:rsid w:val="00DA0DAD"/>
    <w:rsid w:val="00DA0EDC"/>
    <w:rsid w:val="00DA1831"/>
    <w:rsid w:val="00DA1DE5"/>
    <w:rsid w:val="00DA2159"/>
    <w:rsid w:val="00DA25A5"/>
    <w:rsid w:val="00DA2EE7"/>
    <w:rsid w:val="00DA3122"/>
    <w:rsid w:val="00DA338F"/>
    <w:rsid w:val="00DA3C07"/>
    <w:rsid w:val="00DA3C3A"/>
    <w:rsid w:val="00DA46EE"/>
    <w:rsid w:val="00DA49D4"/>
    <w:rsid w:val="00DA4B23"/>
    <w:rsid w:val="00DA4C10"/>
    <w:rsid w:val="00DA50E9"/>
    <w:rsid w:val="00DA55A3"/>
    <w:rsid w:val="00DA5915"/>
    <w:rsid w:val="00DA686F"/>
    <w:rsid w:val="00DA6FA6"/>
    <w:rsid w:val="00DA7398"/>
    <w:rsid w:val="00DA73F1"/>
    <w:rsid w:val="00DA7C99"/>
    <w:rsid w:val="00DB004D"/>
    <w:rsid w:val="00DB01A8"/>
    <w:rsid w:val="00DB0641"/>
    <w:rsid w:val="00DB0676"/>
    <w:rsid w:val="00DB0841"/>
    <w:rsid w:val="00DB0CA9"/>
    <w:rsid w:val="00DB1199"/>
    <w:rsid w:val="00DB1912"/>
    <w:rsid w:val="00DB1BB7"/>
    <w:rsid w:val="00DB1E0C"/>
    <w:rsid w:val="00DB20DE"/>
    <w:rsid w:val="00DB26A1"/>
    <w:rsid w:val="00DB30A5"/>
    <w:rsid w:val="00DB3241"/>
    <w:rsid w:val="00DB3B3B"/>
    <w:rsid w:val="00DB4215"/>
    <w:rsid w:val="00DB51C7"/>
    <w:rsid w:val="00DB545E"/>
    <w:rsid w:val="00DB5E8F"/>
    <w:rsid w:val="00DB5FA1"/>
    <w:rsid w:val="00DB6156"/>
    <w:rsid w:val="00DB69B6"/>
    <w:rsid w:val="00DB6BEF"/>
    <w:rsid w:val="00DB746D"/>
    <w:rsid w:val="00DB7DE0"/>
    <w:rsid w:val="00DC0D63"/>
    <w:rsid w:val="00DC0F04"/>
    <w:rsid w:val="00DC136B"/>
    <w:rsid w:val="00DC1704"/>
    <w:rsid w:val="00DC172D"/>
    <w:rsid w:val="00DC1A3B"/>
    <w:rsid w:val="00DC2128"/>
    <w:rsid w:val="00DC34F8"/>
    <w:rsid w:val="00DC458B"/>
    <w:rsid w:val="00DC4CA6"/>
    <w:rsid w:val="00DC55E7"/>
    <w:rsid w:val="00DC603B"/>
    <w:rsid w:val="00DC7E9D"/>
    <w:rsid w:val="00DD068D"/>
    <w:rsid w:val="00DD0938"/>
    <w:rsid w:val="00DD16AF"/>
    <w:rsid w:val="00DD1A9D"/>
    <w:rsid w:val="00DD1DFC"/>
    <w:rsid w:val="00DD2418"/>
    <w:rsid w:val="00DD25DA"/>
    <w:rsid w:val="00DD3211"/>
    <w:rsid w:val="00DD3E64"/>
    <w:rsid w:val="00DD3EEF"/>
    <w:rsid w:val="00DD3F7A"/>
    <w:rsid w:val="00DD4306"/>
    <w:rsid w:val="00DD4C8B"/>
    <w:rsid w:val="00DD4F70"/>
    <w:rsid w:val="00DD544E"/>
    <w:rsid w:val="00DD5621"/>
    <w:rsid w:val="00DD5DBF"/>
    <w:rsid w:val="00DD6D07"/>
    <w:rsid w:val="00DD7858"/>
    <w:rsid w:val="00DD7C9B"/>
    <w:rsid w:val="00DD7CA1"/>
    <w:rsid w:val="00DE0177"/>
    <w:rsid w:val="00DE0750"/>
    <w:rsid w:val="00DE18D2"/>
    <w:rsid w:val="00DE2235"/>
    <w:rsid w:val="00DE2F70"/>
    <w:rsid w:val="00DE3DD0"/>
    <w:rsid w:val="00DE3DEB"/>
    <w:rsid w:val="00DE41B3"/>
    <w:rsid w:val="00DE46DF"/>
    <w:rsid w:val="00DE46E6"/>
    <w:rsid w:val="00DE4D0F"/>
    <w:rsid w:val="00DE57E4"/>
    <w:rsid w:val="00DE65E5"/>
    <w:rsid w:val="00DE75A2"/>
    <w:rsid w:val="00DE77A2"/>
    <w:rsid w:val="00DF02AB"/>
    <w:rsid w:val="00DF04DD"/>
    <w:rsid w:val="00DF0AEC"/>
    <w:rsid w:val="00DF148C"/>
    <w:rsid w:val="00DF1ABF"/>
    <w:rsid w:val="00DF24E4"/>
    <w:rsid w:val="00DF278E"/>
    <w:rsid w:val="00DF27A1"/>
    <w:rsid w:val="00DF3034"/>
    <w:rsid w:val="00DF38C7"/>
    <w:rsid w:val="00DF3FF2"/>
    <w:rsid w:val="00DF4593"/>
    <w:rsid w:val="00DF4A85"/>
    <w:rsid w:val="00DF5349"/>
    <w:rsid w:val="00DF55BF"/>
    <w:rsid w:val="00DF661E"/>
    <w:rsid w:val="00DF7128"/>
    <w:rsid w:val="00DF733D"/>
    <w:rsid w:val="00DF75F4"/>
    <w:rsid w:val="00E00AA6"/>
    <w:rsid w:val="00E01595"/>
    <w:rsid w:val="00E01AE8"/>
    <w:rsid w:val="00E02FD1"/>
    <w:rsid w:val="00E03090"/>
    <w:rsid w:val="00E058F6"/>
    <w:rsid w:val="00E05E83"/>
    <w:rsid w:val="00E07945"/>
    <w:rsid w:val="00E07CFA"/>
    <w:rsid w:val="00E10317"/>
    <w:rsid w:val="00E10A09"/>
    <w:rsid w:val="00E11D31"/>
    <w:rsid w:val="00E11E0A"/>
    <w:rsid w:val="00E12043"/>
    <w:rsid w:val="00E12531"/>
    <w:rsid w:val="00E1301E"/>
    <w:rsid w:val="00E13649"/>
    <w:rsid w:val="00E14F8E"/>
    <w:rsid w:val="00E153EF"/>
    <w:rsid w:val="00E154B6"/>
    <w:rsid w:val="00E15599"/>
    <w:rsid w:val="00E15C9C"/>
    <w:rsid w:val="00E169B9"/>
    <w:rsid w:val="00E16BBB"/>
    <w:rsid w:val="00E20D48"/>
    <w:rsid w:val="00E20F5A"/>
    <w:rsid w:val="00E217C2"/>
    <w:rsid w:val="00E21A06"/>
    <w:rsid w:val="00E21D63"/>
    <w:rsid w:val="00E21E9C"/>
    <w:rsid w:val="00E21EAD"/>
    <w:rsid w:val="00E220A3"/>
    <w:rsid w:val="00E229A2"/>
    <w:rsid w:val="00E231F1"/>
    <w:rsid w:val="00E23CF4"/>
    <w:rsid w:val="00E24AF3"/>
    <w:rsid w:val="00E25161"/>
    <w:rsid w:val="00E2543C"/>
    <w:rsid w:val="00E25754"/>
    <w:rsid w:val="00E258BD"/>
    <w:rsid w:val="00E25C8E"/>
    <w:rsid w:val="00E25F9E"/>
    <w:rsid w:val="00E265E0"/>
    <w:rsid w:val="00E26EEE"/>
    <w:rsid w:val="00E27578"/>
    <w:rsid w:val="00E276A6"/>
    <w:rsid w:val="00E27CC8"/>
    <w:rsid w:val="00E27EFA"/>
    <w:rsid w:val="00E3026C"/>
    <w:rsid w:val="00E302BC"/>
    <w:rsid w:val="00E3033E"/>
    <w:rsid w:val="00E3263D"/>
    <w:rsid w:val="00E33712"/>
    <w:rsid w:val="00E339B8"/>
    <w:rsid w:val="00E33F17"/>
    <w:rsid w:val="00E34295"/>
    <w:rsid w:val="00E343D9"/>
    <w:rsid w:val="00E34FF2"/>
    <w:rsid w:val="00E36688"/>
    <w:rsid w:val="00E3676E"/>
    <w:rsid w:val="00E373FD"/>
    <w:rsid w:val="00E37D04"/>
    <w:rsid w:val="00E401A4"/>
    <w:rsid w:val="00E41DF1"/>
    <w:rsid w:val="00E41E33"/>
    <w:rsid w:val="00E42027"/>
    <w:rsid w:val="00E43162"/>
    <w:rsid w:val="00E43C42"/>
    <w:rsid w:val="00E43F6E"/>
    <w:rsid w:val="00E44C16"/>
    <w:rsid w:val="00E44ED5"/>
    <w:rsid w:val="00E4526A"/>
    <w:rsid w:val="00E45311"/>
    <w:rsid w:val="00E45349"/>
    <w:rsid w:val="00E46195"/>
    <w:rsid w:val="00E47249"/>
    <w:rsid w:val="00E47320"/>
    <w:rsid w:val="00E47B46"/>
    <w:rsid w:val="00E47FB3"/>
    <w:rsid w:val="00E51202"/>
    <w:rsid w:val="00E51492"/>
    <w:rsid w:val="00E52498"/>
    <w:rsid w:val="00E52C40"/>
    <w:rsid w:val="00E5366C"/>
    <w:rsid w:val="00E53FF8"/>
    <w:rsid w:val="00E543BF"/>
    <w:rsid w:val="00E54760"/>
    <w:rsid w:val="00E5492D"/>
    <w:rsid w:val="00E54CEE"/>
    <w:rsid w:val="00E550F0"/>
    <w:rsid w:val="00E5530D"/>
    <w:rsid w:val="00E559A9"/>
    <w:rsid w:val="00E57849"/>
    <w:rsid w:val="00E57E42"/>
    <w:rsid w:val="00E60620"/>
    <w:rsid w:val="00E60AB4"/>
    <w:rsid w:val="00E60F5E"/>
    <w:rsid w:val="00E619AF"/>
    <w:rsid w:val="00E633C0"/>
    <w:rsid w:val="00E643FB"/>
    <w:rsid w:val="00E64F95"/>
    <w:rsid w:val="00E655C7"/>
    <w:rsid w:val="00E65DE7"/>
    <w:rsid w:val="00E65EBA"/>
    <w:rsid w:val="00E664BD"/>
    <w:rsid w:val="00E66C8E"/>
    <w:rsid w:val="00E674FC"/>
    <w:rsid w:val="00E700C0"/>
    <w:rsid w:val="00E70227"/>
    <w:rsid w:val="00E70602"/>
    <w:rsid w:val="00E70C7A"/>
    <w:rsid w:val="00E70E49"/>
    <w:rsid w:val="00E715C5"/>
    <w:rsid w:val="00E72B36"/>
    <w:rsid w:val="00E739CE"/>
    <w:rsid w:val="00E73E0C"/>
    <w:rsid w:val="00E73EAE"/>
    <w:rsid w:val="00E74ABA"/>
    <w:rsid w:val="00E74BEA"/>
    <w:rsid w:val="00E7519F"/>
    <w:rsid w:val="00E752EE"/>
    <w:rsid w:val="00E75C35"/>
    <w:rsid w:val="00E7642A"/>
    <w:rsid w:val="00E765FA"/>
    <w:rsid w:val="00E766A6"/>
    <w:rsid w:val="00E77717"/>
    <w:rsid w:val="00E77C95"/>
    <w:rsid w:val="00E77E5F"/>
    <w:rsid w:val="00E77F61"/>
    <w:rsid w:val="00E77FC8"/>
    <w:rsid w:val="00E80683"/>
    <w:rsid w:val="00E819DF"/>
    <w:rsid w:val="00E8201B"/>
    <w:rsid w:val="00E82701"/>
    <w:rsid w:val="00E82850"/>
    <w:rsid w:val="00E82951"/>
    <w:rsid w:val="00E82CC2"/>
    <w:rsid w:val="00E82F16"/>
    <w:rsid w:val="00E832C2"/>
    <w:rsid w:val="00E8502B"/>
    <w:rsid w:val="00E850D1"/>
    <w:rsid w:val="00E8534E"/>
    <w:rsid w:val="00E8567F"/>
    <w:rsid w:val="00E85CB4"/>
    <w:rsid w:val="00E868D4"/>
    <w:rsid w:val="00E872C9"/>
    <w:rsid w:val="00E87979"/>
    <w:rsid w:val="00E90359"/>
    <w:rsid w:val="00E908C7"/>
    <w:rsid w:val="00E90B85"/>
    <w:rsid w:val="00E90E37"/>
    <w:rsid w:val="00E90E64"/>
    <w:rsid w:val="00E917DE"/>
    <w:rsid w:val="00E92567"/>
    <w:rsid w:val="00E92B37"/>
    <w:rsid w:val="00E935BC"/>
    <w:rsid w:val="00E9362B"/>
    <w:rsid w:val="00E93975"/>
    <w:rsid w:val="00E94414"/>
    <w:rsid w:val="00E9475C"/>
    <w:rsid w:val="00E97191"/>
    <w:rsid w:val="00EA06C3"/>
    <w:rsid w:val="00EA06DE"/>
    <w:rsid w:val="00EA0EFB"/>
    <w:rsid w:val="00EA1EA1"/>
    <w:rsid w:val="00EA1F29"/>
    <w:rsid w:val="00EA206A"/>
    <w:rsid w:val="00EA20A2"/>
    <w:rsid w:val="00EA2143"/>
    <w:rsid w:val="00EA26B4"/>
    <w:rsid w:val="00EA2B7D"/>
    <w:rsid w:val="00EA2FF2"/>
    <w:rsid w:val="00EA30E4"/>
    <w:rsid w:val="00EA4571"/>
    <w:rsid w:val="00EA46BE"/>
    <w:rsid w:val="00EA49F8"/>
    <w:rsid w:val="00EA4D45"/>
    <w:rsid w:val="00EA6038"/>
    <w:rsid w:val="00EA6C27"/>
    <w:rsid w:val="00EA6EFD"/>
    <w:rsid w:val="00EB025B"/>
    <w:rsid w:val="00EB06E4"/>
    <w:rsid w:val="00EB0B75"/>
    <w:rsid w:val="00EB102A"/>
    <w:rsid w:val="00EB109C"/>
    <w:rsid w:val="00EB19C6"/>
    <w:rsid w:val="00EB1AED"/>
    <w:rsid w:val="00EB27F3"/>
    <w:rsid w:val="00EB3A28"/>
    <w:rsid w:val="00EB441A"/>
    <w:rsid w:val="00EB4CAE"/>
    <w:rsid w:val="00EB4F58"/>
    <w:rsid w:val="00EB56AA"/>
    <w:rsid w:val="00EB60E8"/>
    <w:rsid w:val="00EB694D"/>
    <w:rsid w:val="00EB6C7B"/>
    <w:rsid w:val="00EB7220"/>
    <w:rsid w:val="00EB7222"/>
    <w:rsid w:val="00EB7612"/>
    <w:rsid w:val="00EB7CD1"/>
    <w:rsid w:val="00EB7CF4"/>
    <w:rsid w:val="00EC00F3"/>
    <w:rsid w:val="00EC0F5C"/>
    <w:rsid w:val="00EC10F9"/>
    <w:rsid w:val="00EC1AE5"/>
    <w:rsid w:val="00EC1EB1"/>
    <w:rsid w:val="00EC244A"/>
    <w:rsid w:val="00EC252D"/>
    <w:rsid w:val="00EC2824"/>
    <w:rsid w:val="00EC3A4C"/>
    <w:rsid w:val="00EC455D"/>
    <w:rsid w:val="00EC4C32"/>
    <w:rsid w:val="00EC5918"/>
    <w:rsid w:val="00EC60A4"/>
    <w:rsid w:val="00EC6102"/>
    <w:rsid w:val="00EC667D"/>
    <w:rsid w:val="00EC6871"/>
    <w:rsid w:val="00EC790D"/>
    <w:rsid w:val="00EC7E96"/>
    <w:rsid w:val="00ED0ED0"/>
    <w:rsid w:val="00ED125E"/>
    <w:rsid w:val="00ED16F6"/>
    <w:rsid w:val="00ED17EF"/>
    <w:rsid w:val="00ED2410"/>
    <w:rsid w:val="00ED241B"/>
    <w:rsid w:val="00ED2751"/>
    <w:rsid w:val="00ED3238"/>
    <w:rsid w:val="00ED3A98"/>
    <w:rsid w:val="00ED3BC8"/>
    <w:rsid w:val="00ED4085"/>
    <w:rsid w:val="00ED4805"/>
    <w:rsid w:val="00ED4AF0"/>
    <w:rsid w:val="00ED4BB1"/>
    <w:rsid w:val="00ED56C4"/>
    <w:rsid w:val="00ED6459"/>
    <w:rsid w:val="00ED6626"/>
    <w:rsid w:val="00EE1DE8"/>
    <w:rsid w:val="00EE1F61"/>
    <w:rsid w:val="00EE25CE"/>
    <w:rsid w:val="00EE3799"/>
    <w:rsid w:val="00EE3A04"/>
    <w:rsid w:val="00EE404C"/>
    <w:rsid w:val="00EE48FA"/>
    <w:rsid w:val="00EE55CE"/>
    <w:rsid w:val="00EE5C87"/>
    <w:rsid w:val="00EE5D2B"/>
    <w:rsid w:val="00EE60C6"/>
    <w:rsid w:val="00EE66AE"/>
    <w:rsid w:val="00EE6844"/>
    <w:rsid w:val="00EE6C86"/>
    <w:rsid w:val="00EE7391"/>
    <w:rsid w:val="00EE7DCF"/>
    <w:rsid w:val="00EF0E2D"/>
    <w:rsid w:val="00EF0EB4"/>
    <w:rsid w:val="00EF1A4A"/>
    <w:rsid w:val="00EF1AC0"/>
    <w:rsid w:val="00EF1B04"/>
    <w:rsid w:val="00EF1B52"/>
    <w:rsid w:val="00EF1C7B"/>
    <w:rsid w:val="00EF20DF"/>
    <w:rsid w:val="00EF288D"/>
    <w:rsid w:val="00EF3105"/>
    <w:rsid w:val="00EF3192"/>
    <w:rsid w:val="00EF381D"/>
    <w:rsid w:val="00EF4111"/>
    <w:rsid w:val="00EF41A2"/>
    <w:rsid w:val="00EF4587"/>
    <w:rsid w:val="00EF4AA2"/>
    <w:rsid w:val="00EF4B06"/>
    <w:rsid w:val="00EF4CA2"/>
    <w:rsid w:val="00EF4EE7"/>
    <w:rsid w:val="00EF518B"/>
    <w:rsid w:val="00EF541B"/>
    <w:rsid w:val="00EF54CF"/>
    <w:rsid w:val="00EF576F"/>
    <w:rsid w:val="00EF598C"/>
    <w:rsid w:val="00EF5D5F"/>
    <w:rsid w:val="00EF6A43"/>
    <w:rsid w:val="00EF6B45"/>
    <w:rsid w:val="00EF6F13"/>
    <w:rsid w:val="00F00CC4"/>
    <w:rsid w:val="00F00CF8"/>
    <w:rsid w:val="00F012EE"/>
    <w:rsid w:val="00F01632"/>
    <w:rsid w:val="00F01E79"/>
    <w:rsid w:val="00F0203E"/>
    <w:rsid w:val="00F02581"/>
    <w:rsid w:val="00F029CF"/>
    <w:rsid w:val="00F03549"/>
    <w:rsid w:val="00F03829"/>
    <w:rsid w:val="00F03D2E"/>
    <w:rsid w:val="00F03E39"/>
    <w:rsid w:val="00F044B4"/>
    <w:rsid w:val="00F04749"/>
    <w:rsid w:val="00F04905"/>
    <w:rsid w:val="00F0503C"/>
    <w:rsid w:val="00F05189"/>
    <w:rsid w:val="00F057DD"/>
    <w:rsid w:val="00F06375"/>
    <w:rsid w:val="00F067BC"/>
    <w:rsid w:val="00F06B0D"/>
    <w:rsid w:val="00F06BEB"/>
    <w:rsid w:val="00F06D1F"/>
    <w:rsid w:val="00F07CA3"/>
    <w:rsid w:val="00F07FBC"/>
    <w:rsid w:val="00F110CE"/>
    <w:rsid w:val="00F117DF"/>
    <w:rsid w:val="00F1196E"/>
    <w:rsid w:val="00F12095"/>
    <w:rsid w:val="00F122C7"/>
    <w:rsid w:val="00F126DC"/>
    <w:rsid w:val="00F133EA"/>
    <w:rsid w:val="00F1446D"/>
    <w:rsid w:val="00F14B1E"/>
    <w:rsid w:val="00F14C54"/>
    <w:rsid w:val="00F14E9C"/>
    <w:rsid w:val="00F1532B"/>
    <w:rsid w:val="00F15706"/>
    <w:rsid w:val="00F158EF"/>
    <w:rsid w:val="00F1637C"/>
    <w:rsid w:val="00F17F4D"/>
    <w:rsid w:val="00F2008E"/>
    <w:rsid w:val="00F207AF"/>
    <w:rsid w:val="00F208B4"/>
    <w:rsid w:val="00F21664"/>
    <w:rsid w:val="00F224E2"/>
    <w:rsid w:val="00F22C2C"/>
    <w:rsid w:val="00F22C7D"/>
    <w:rsid w:val="00F2339E"/>
    <w:rsid w:val="00F23962"/>
    <w:rsid w:val="00F241AA"/>
    <w:rsid w:val="00F2432A"/>
    <w:rsid w:val="00F24529"/>
    <w:rsid w:val="00F25874"/>
    <w:rsid w:val="00F25CEB"/>
    <w:rsid w:val="00F273B9"/>
    <w:rsid w:val="00F27F5C"/>
    <w:rsid w:val="00F27F65"/>
    <w:rsid w:val="00F302D0"/>
    <w:rsid w:val="00F30D3B"/>
    <w:rsid w:val="00F30E8A"/>
    <w:rsid w:val="00F31316"/>
    <w:rsid w:val="00F31557"/>
    <w:rsid w:val="00F31640"/>
    <w:rsid w:val="00F31F9B"/>
    <w:rsid w:val="00F322A2"/>
    <w:rsid w:val="00F32839"/>
    <w:rsid w:val="00F332FF"/>
    <w:rsid w:val="00F335AE"/>
    <w:rsid w:val="00F33CC2"/>
    <w:rsid w:val="00F349DF"/>
    <w:rsid w:val="00F34ADE"/>
    <w:rsid w:val="00F350EC"/>
    <w:rsid w:val="00F354E6"/>
    <w:rsid w:val="00F3597A"/>
    <w:rsid w:val="00F35B3C"/>
    <w:rsid w:val="00F361C8"/>
    <w:rsid w:val="00F366D2"/>
    <w:rsid w:val="00F4075D"/>
    <w:rsid w:val="00F4084E"/>
    <w:rsid w:val="00F40968"/>
    <w:rsid w:val="00F41AD0"/>
    <w:rsid w:val="00F42115"/>
    <w:rsid w:val="00F42851"/>
    <w:rsid w:val="00F43705"/>
    <w:rsid w:val="00F454B7"/>
    <w:rsid w:val="00F45F14"/>
    <w:rsid w:val="00F46DDA"/>
    <w:rsid w:val="00F4701B"/>
    <w:rsid w:val="00F476E7"/>
    <w:rsid w:val="00F47807"/>
    <w:rsid w:val="00F47B4C"/>
    <w:rsid w:val="00F50058"/>
    <w:rsid w:val="00F50C66"/>
    <w:rsid w:val="00F5117F"/>
    <w:rsid w:val="00F51437"/>
    <w:rsid w:val="00F51D42"/>
    <w:rsid w:val="00F51DFD"/>
    <w:rsid w:val="00F5252A"/>
    <w:rsid w:val="00F526E1"/>
    <w:rsid w:val="00F52CD4"/>
    <w:rsid w:val="00F53866"/>
    <w:rsid w:val="00F53A58"/>
    <w:rsid w:val="00F54875"/>
    <w:rsid w:val="00F54A79"/>
    <w:rsid w:val="00F55674"/>
    <w:rsid w:val="00F5580C"/>
    <w:rsid w:val="00F55CC3"/>
    <w:rsid w:val="00F5639C"/>
    <w:rsid w:val="00F56D9B"/>
    <w:rsid w:val="00F57269"/>
    <w:rsid w:val="00F57750"/>
    <w:rsid w:val="00F57B99"/>
    <w:rsid w:val="00F608F6"/>
    <w:rsid w:val="00F60DF6"/>
    <w:rsid w:val="00F60E5C"/>
    <w:rsid w:val="00F60FD4"/>
    <w:rsid w:val="00F61006"/>
    <w:rsid w:val="00F611FE"/>
    <w:rsid w:val="00F61780"/>
    <w:rsid w:val="00F6221E"/>
    <w:rsid w:val="00F62772"/>
    <w:rsid w:val="00F62A39"/>
    <w:rsid w:val="00F63039"/>
    <w:rsid w:val="00F63063"/>
    <w:rsid w:val="00F6364A"/>
    <w:rsid w:val="00F63745"/>
    <w:rsid w:val="00F64409"/>
    <w:rsid w:val="00F6497B"/>
    <w:rsid w:val="00F64E8C"/>
    <w:rsid w:val="00F64FE9"/>
    <w:rsid w:val="00F65606"/>
    <w:rsid w:val="00F659BD"/>
    <w:rsid w:val="00F65ADB"/>
    <w:rsid w:val="00F66C03"/>
    <w:rsid w:val="00F67714"/>
    <w:rsid w:val="00F70C93"/>
    <w:rsid w:val="00F70E97"/>
    <w:rsid w:val="00F71328"/>
    <w:rsid w:val="00F71398"/>
    <w:rsid w:val="00F715A6"/>
    <w:rsid w:val="00F717C9"/>
    <w:rsid w:val="00F718D1"/>
    <w:rsid w:val="00F71F70"/>
    <w:rsid w:val="00F71FD8"/>
    <w:rsid w:val="00F72065"/>
    <w:rsid w:val="00F7287D"/>
    <w:rsid w:val="00F73EB2"/>
    <w:rsid w:val="00F73F11"/>
    <w:rsid w:val="00F74482"/>
    <w:rsid w:val="00F74827"/>
    <w:rsid w:val="00F7482A"/>
    <w:rsid w:val="00F74AE7"/>
    <w:rsid w:val="00F74CD9"/>
    <w:rsid w:val="00F74DEB"/>
    <w:rsid w:val="00F74E2E"/>
    <w:rsid w:val="00F760D3"/>
    <w:rsid w:val="00F76700"/>
    <w:rsid w:val="00F770A2"/>
    <w:rsid w:val="00F77AC3"/>
    <w:rsid w:val="00F8004C"/>
    <w:rsid w:val="00F80470"/>
    <w:rsid w:val="00F8066A"/>
    <w:rsid w:val="00F810BF"/>
    <w:rsid w:val="00F81EA7"/>
    <w:rsid w:val="00F82ECE"/>
    <w:rsid w:val="00F83316"/>
    <w:rsid w:val="00F83994"/>
    <w:rsid w:val="00F83D32"/>
    <w:rsid w:val="00F84333"/>
    <w:rsid w:val="00F84AE3"/>
    <w:rsid w:val="00F85207"/>
    <w:rsid w:val="00F8541F"/>
    <w:rsid w:val="00F85DA6"/>
    <w:rsid w:val="00F86B49"/>
    <w:rsid w:val="00F87B60"/>
    <w:rsid w:val="00F87FCD"/>
    <w:rsid w:val="00F905CB"/>
    <w:rsid w:val="00F917A6"/>
    <w:rsid w:val="00F9220F"/>
    <w:rsid w:val="00F92335"/>
    <w:rsid w:val="00F926D7"/>
    <w:rsid w:val="00F9319B"/>
    <w:rsid w:val="00F935D0"/>
    <w:rsid w:val="00F94979"/>
    <w:rsid w:val="00F94CA1"/>
    <w:rsid w:val="00F95C33"/>
    <w:rsid w:val="00F961F2"/>
    <w:rsid w:val="00F965CA"/>
    <w:rsid w:val="00F96C93"/>
    <w:rsid w:val="00F975FD"/>
    <w:rsid w:val="00F97DDA"/>
    <w:rsid w:val="00FA0610"/>
    <w:rsid w:val="00FA14BB"/>
    <w:rsid w:val="00FA1A11"/>
    <w:rsid w:val="00FA2D75"/>
    <w:rsid w:val="00FA5093"/>
    <w:rsid w:val="00FA530A"/>
    <w:rsid w:val="00FA5CB0"/>
    <w:rsid w:val="00FA6E33"/>
    <w:rsid w:val="00FA6E59"/>
    <w:rsid w:val="00FA7984"/>
    <w:rsid w:val="00FB0FE0"/>
    <w:rsid w:val="00FB19EB"/>
    <w:rsid w:val="00FB1BFB"/>
    <w:rsid w:val="00FB1CB1"/>
    <w:rsid w:val="00FB2076"/>
    <w:rsid w:val="00FB2A6F"/>
    <w:rsid w:val="00FB45A1"/>
    <w:rsid w:val="00FB5515"/>
    <w:rsid w:val="00FB5EE2"/>
    <w:rsid w:val="00FB7C1C"/>
    <w:rsid w:val="00FB7E6E"/>
    <w:rsid w:val="00FB7ED7"/>
    <w:rsid w:val="00FC01F3"/>
    <w:rsid w:val="00FC0396"/>
    <w:rsid w:val="00FC0459"/>
    <w:rsid w:val="00FC0DC3"/>
    <w:rsid w:val="00FC0EC1"/>
    <w:rsid w:val="00FC148D"/>
    <w:rsid w:val="00FC22F6"/>
    <w:rsid w:val="00FC2C26"/>
    <w:rsid w:val="00FC2FCC"/>
    <w:rsid w:val="00FC3442"/>
    <w:rsid w:val="00FC3445"/>
    <w:rsid w:val="00FC3716"/>
    <w:rsid w:val="00FC39DF"/>
    <w:rsid w:val="00FC479F"/>
    <w:rsid w:val="00FC496E"/>
    <w:rsid w:val="00FC5106"/>
    <w:rsid w:val="00FC536D"/>
    <w:rsid w:val="00FC75BD"/>
    <w:rsid w:val="00FC75CE"/>
    <w:rsid w:val="00FC75EF"/>
    <w:rsid w:val="00FD04DB"/>
    <w:rsid w:val="00FD07C0"/>
    <w:rsid w:val="00FD176D"/>
    <w:rsid w:val="00FD1B6B"/>
    <w:rsid w:val="00FD1B7D"/>
    <w:rsid w:val="00FD292A"/>
    <w:rsid w:val="00FD2D91"/>
    <w:rsid w:val="00FD310B"/>
    <w:rsid w:val="00FD3643"/>
    <w:rsid w:val="00FD3789"/>
    <w:rsid w:val="00FD3BD5"/>
    <w:rsid w:val="00FD3C2F"/>
    <w:rsid w:val="00FD3F07"/>
    <w:rsid w:val="00FD53E7"/>
    <w:rsid w:val="00FD609E"/>
    <w:rsid w:val="00FD65A2"/>
    <w:rsid w:val="00FD6E6A"/>
    <w:rsid w:val="00FD70A6"/>
    <w:rsid w:val="00FD7457"/>
    <w:rsid w:val="00FD7DB9"/>
    <w:rsid w:val="00FE0CF6"/>
    <w:rsid w:val="00FE0D91"/>
    <w:rsid w:val="00FE1566"/>
    <w:rsid w:val="00FE1709"/>
    <w:rsid w:val="00FE198F"/>
    <w:rsid w:val="00FE21F4"/>
    <w:rsid w:val="00FE26FD"/>
    <w:rsid w:val="00FE3417"/>
    <w:rsid w:val="00FE34EA"/>
    <w:rsid w:val="00FE3553"/>
    <w:rsid w:val="00FE3696"/>
    <w:rsid w:val="00FE3E8D"/>
    <w:rsid w:val="00FE3FD6"/>
    <w:rsid w:val="00FE401B"/>
    <w:rsid w:val="00FE4421"/>
    <w:rsid w:val="00FE4C2A"/>
    <w:rsid w:val="00FE4E5F"/>
    <w:rsid w:val="00FE4E61"/>
    <w:rsid w:val="00FE660F"/>
    <w:rsid w:val="00FE6F0C"/>
    <w:rsid w:val="00FE784D"/>
    <w:rsid w:val="00FE7AE6"/>
    <w:rsid w:val="00FF0002"/>
    <w:rsid w:val="00FF0008"/>
    <w:rsid w:val="00FF0A40"/>
    <w:rsid w:val="00FF0EA3"/>
    <w:rsid w:val="00FF1306"/>
    <w:rsid w:val="00FF1B42"/>
    <w:rsid w:val="00FF2E2B"/>
    <w:rsid w:val="00FF2F38"/>
    <w:rsid w:val="00FF30A2"/>
    <w:rsid w:val="00FF3A6A"/>
    <w:rsid w:val="00FF3B77"/>
    <w:rsid w:val="00FF3CB8"/>
    <w:rsid w:val="00FF4F3E"/>
    <w:rsid w:val="00FF541B"/>
    <w:rsid w:val="00FF5ADC"/>
    <w:rsid w:val="00FF6120"/>
    <w:rsid w:val="00FF65E2"/>
    <w:rsid w:val="00FF762B"/>
    <w:rsid w:val="00FF7A49"/>
    <w:rsid w:val="01047DE7"/>
    <w:rsid w:val="010825DC"/>
    <w:rsid w:val="01086D89"/>
    <w:rsid w:val="010E5BD5"/>
    <w:rsid w:val="010F5AA2"/>
    <w:rsid w:val="01123604"/>
    <w:rsid w:val="011522E3"/>
    <w:rsid w:val="012C2FF8"/>
    <w:rsid w:val="01357A15"/>
    <w:rsid w:val="015A02DF"/>
    <w:rsid w:val="01697366"/>
    <w:rsid w:val="016D5512"/>
    <w:rsid w:val="016F0C36"/>
    <w:rsid w:val="0174696E"/>
    <w:rsid w:val="017912FE"/>
    <w:rsid w:val="017B65FA"/>
    <w:rsid w:val="018A4EA1"/>
    <w:rsid w:val="018B73B0"/>
    <w:rsid w:val="0192342E"/>
    <w:rsid w:val="019524DC"/>
    <w:rsid w:val="01B92A13"/>
    <w:rsid w:val="01BB70B0"/>
    <w:rsid w:val="01D52EE0"/>
    <w:rsid w:val="01E47BDA"/>
    <w:rsid w:val="01E97FDD"/>
    <w:rsid w:val="01F0159D"/>
    <w:rsid w:val="01F139C8"/>
    <w:rsid w:val="01F31BA8"/>
    <w:rsid w:val="01F532C8"/>
    <w:rsid w:val="01FA5396"/>
    <w:rsid w:val="02066483"/>
    <w:rsid w:val="02067A85"/>
    <w:rsid w:val="0208068D"/>
    <w:rsid w:val="02126399"/>
    <w:rsid w:val="0222192C"/>
    <w:rsid w:val="02255431"/>
    <w:rsid w:val="022B1CD0"/>
    <w:rsid w:val="023865A6"/>
    <w:rsid w:val="02391578"/>
    <w:rsid w:val="02392D42"/>
    <w:rsid w:val="02417850"/>
    <w:rsid w:val="02451546"/>
    <w:rsid w:val="02503F8D"/>
    <w:rsid w:val="02541C90"/>
    <w:rsid w:val="025877E4"/>
    <w:rsid w:val="025C4C9D"/>
    <w:rsid w:val="02601429"/>
    <w:rsid w:val="02672CB2"/>
    <w:rsid w:val="026A6C48"/>
    <w:rsid w:val="026F4E1A"/>
    <w:rsid w:val="02707243"/>
    <w:rsid w:val="02714CF0"/>
    <w:rsid w:val="0279367D"/>
    <w:rsid w:val="02851280"/>
    <w:rsid w:val="02903F44"/>
    <w:rsid w:val="02A228C5"/>
    <w:rsid w:val="02AD25F4"/>
    <w:rsid w:val="02B60C9E"/>
    <w:rsid w:val="02B84FBB"/>
    <w:rsid w:val="02BD468E"/>
    <w:rsid w:val="02C23F1D"/>
    <w:rsid w:val="02C36588"/>
    <w:rsid w:val="02CA0763"/>
    <w:rsid w:val="02CB719C"/>
    <w:rsid w:val="02E46C5C"/>
    <w:rsid w:val="02E55660"/>
    <w:rsid w:val="02E56BBA"/>
    <w:rsid w:val="02EE3B3D"/>
    <w:rsid w:val="02EF4BA9"/>
    <w:rsid w:val="02F83618"/>
    <w:rsid w:val="030136C3"/>
    <w:rsid w:val="030952B5"/>
    <w:rsid w:val="03106B4E"/>
    <w:rsid w:val="031D63AA"/>
    <w:rsid w:val="03212A5E"/>
    <w:rsid w:val="03571286"/>
    <w:rsid w:val="035810FE"/>
    <w:rsid w:val="035A2340"/>
    <w:rsid w:val="03936EC2"/>
    <w:rsid w:val="039440B2"/>
    <w:rsid w:val="03965575"/>
    <w:rsid w:val="039D5FB3"/>
    <w:rsid w:val="03AF2121"/>
    <w:rsid w:val="03B94448"/>
    <w:rsid w:val="03BD07BF"/>
    <w:rsid w:val="03C202E0"/>
    <w:rsid w:val="03C44C37"/>
    <w:rsid w:val="03D64C0F"/>
    <w:rsid w:val="03DF174C"/>
    <w:rsid w:val="03E0335A"/>
    <w:rsid w:val="03E64306"/>
    <w:rsid w:val="03F22871"/>
    <w:rsid w:val="03F8743C"/>
    <w:rsid w:val="03FF2CBA"/>
    <w:rsid w:val="040B799D"/>
    <w:rsid w:val="04190232"/>
    <w:rsid w:val="042407F6"/>
    <w:rsid w:val="043368BE"/>
    <w:rsid w:val="04351AFE"/>
    <w:rsid w:val="04381923"/>
    <w:rsid w:val="04384678"/>
    <w:rsid w:val="043B1CE2"/>
    <w:rsid w:val="04411421"/>
    <w:rsid w:val="044140C1"/>
    <w:rsid w:val="04431952"/>
    <w:rsid w:val="0444344E"/>
    <w:rsid w:val="044C2343"/>
    <w:rsid w:val="045D01BF"/>
    <w:rsid w:val="045E7DF0"/>
    <w:rsid w:val="04765A65"/>
    <w:rsid w:val="047C7050"/>
    <w:rsid w:val="049907E5"/>
    <w:rsid w:val="04B53EEC"/>
    <w:rsid w:val="04BE3ED6"/>
    <w:rsid w:val="04C263AF"/>
    <w:rsid w:val="04C606A4"/>
    <w:rsid w:val="04D61530"/>
    <w:rsid w:val="04DE44AF"/>
    <w:rsid w:val="04E9358B"/>
    <w:rsid w:val="04ED380B"/>
    <w:rsid w:val="04F02FE0"/>
    <w:rsid w:val="04F435DC"/>
    <w:rsid w:val="04FA2414"/>
    <w:rsid w:val="0501211F"/>
    <w:rsid w:val="051427D2"/>
    <w:rsid w:val="05180BA6"/>
    <w:rsid w:val="05190C15"/>
    <w:rsid w:val="05235B63"/>
    <w:rsid w:val="052372A1"/>
    <w:rsid w:val="0526548A"/>
    <w:rsid w:val="05312243"/>
    <w:rsid w:val="05313066"/>
    <w:rsid w:val="05344257"/>
    <w:rsid w:val="05475444"/>
    <w:rsid w:val="054C4192"/>
    <w:rsid w:val="0556769C"/>
    <w:rsid w:val="0558115F"/>
    <w:rsid w:val="05590F22"/>
    <w:rsid w:val="0566781F"/>
    <w:rsid w:val="056D180C"/>
    <w:rsid w:val="05742501"/>
    <w:rsid w:val="057431AC"/>
    <w:rsid w:val="057D651D"/>
    <w:rsid w:val="057F7786"/>
    <w:rsid w:val="058350AB"/>
    <w:rsid w:val="058C3A74"/>
    <w:rsid w:val="05991F48"/>
    <w:rsid w:val="05A918B6"/>
    <w:rsid w:val="05BF75BB"/>
    <w:rsid w:val="05C248A5"/>
    <w:rsid w:val="05D1244E"/>
    <w:rsid w:val="05D25973"/>
    <w:rsid w:val="05E005B5"/>
    <w:rsid w:val="05E30FC5"/>
    <w:rsid w:val="05F9660E"/>
    <w:rsid w:val="05FD77AD"/>
    <w:rsid w:val="05FE5DA2"/>
    <w:rsid w:val="06171992"/>
    <w:rsid w:val="0626080A"/>
    <w:rsid w:val="06273B85"/>
    <w:rsid w:val="0634311A"/>
    <w:rsid w:val="06481B9B"/>
    <w:rsid w:val="065D5A8D"/>
    <w:rsid w:val="06643EC1"/>
    <w:rsid w:val="066C7717"/>
    <w:rsid w:val="066F4DDE"/>
    <w:rsid w:val="06896507"/>
    <w:rsid w:val="068A57E0"/>
    <w:rsid w:val="069756B2"/>
    <w:rsid w:val="069759DF"/>
    <w:rsid w:val="06993D0B"/>
    <w:rsid w:val="069F557B"/>
    <w:rsid w:val="06A91F0C"/>
    <w:rsid w:val="06AA6E7B"/>
    <w:rsid w:val="06AE75F1"/>
    <w:rsid w:val="06B27B9F"/>
    <w:rsid w:val="06BE61B8"/>
    <w:rsid w:val="06BF2F23"/>
    <w:rsid w:val="06C46921"/>
    <w:rsid w:val="06D05F26"/>
    <w:rsid w:val="06D33690"/>
    <w:rsid w:val="06DB760F"/>
    <w:rsid w:val="06E03F62"/>
    <w:rsid w:val="06EB7CDA"/>
    <w:rsid w:val="06EE3B1D"/>
    <w:rsid w:val="07121B22"/>
    <w:rsid w:val="071F5158"/>
    <w:rsid w:val="0726313A"/>
    <w:rsid w:val="07304928"/>
    <w:rsid w:val="073B287E"/>
    <w:rsid w:val="074B7AA5"/>
    <w:rsid w:val="07511738"/>
    <w:rsid w:val="075537E2"/>
    <w:rsid w:val="07574985"/>
    <w:rsid w:val="0760069B"/>
    <w:rsid w:val="07674D60"/>
    <w:rsid w:val="07686DBF"/>
    <w:rsid w:val="07695263"/>
    <w:rsid w:val="07712AB4"/>
    <w:rsid w:val="07721048"/>
    <w:rsid w:val="07877049"/>
    <w:rsid w:val="07897702"/>
    <w:rsid w:val="078D1808"/>
    <w:rsid w:val="079230F9"/>
    <w:rsid w:val="07956827"/>
    <w:rsid w:val="07982C00"/>
    <w:rsid w:val="0798618B"/>
    <w:rsid w:val="07E61E86"/>
    <w:rsid w:val="07F54432"/>
    <w:rsid w:val="07F90798"/>
    <w:rsid w:val="080526F6"/>
    <w:rsid w:val="080C2CD9"/>
    <w:rsid w:val="08144504"/>
    <w:rsid w:val="082046BF"/>
    <w:rsid w:val="08216BEF"/>
    <w:rsid w:val="082553EF"/>
    <w:rsid w:val="08310AF8"/>
    <w:rsid w:val="08381569"/>
    <w:rsid w:val="084946BC"/>
    <w:rsid w:val="084A37C3"/>
    <w:rsid w:val="08643D8B"/>
    <w:rsid w:val="08650F06"/>
    <w:rsid w:val="086D6FFC"/>
    <w:rsid w:val="087633CA"/>
    <w:rsid w:val="087E611A"/>
    <w:rsid w:val="088433C4"/>
    <w:rsid w:val="08872FF5"/>
    <w:rsid w:val="088D281A"/>
    <w:rsid w:val="088E2555"/>
    <w:rsid w:val="0891373A"/>
    <w:rsid w:val="089927FE"/>
    <w:rsid w:val="08A10667"/>
    <w:rsid w:val="08B350AB"/>
    <w:rsid w:val="08B738B1"/>
    <w:rsid w:val="08CD4D93"/>
    <w:rsid w:val="08D412A6"/>
    <w:rsid w:val="08D65049"/>
    <w:rsid w:val="08E23E81"/>
    <w:rsid w:val="08F57010"/>
    <w:rsid w:val="08F63222"/>
    <w:rsid w:val="08F6517A"/>
    <w:rsid w:val="08FE5444"/>
    <w:rsid w:val="091D1A02"/>
    <w:rsid w:val="091E0DD0"/>
    <w:rsid w:val="092065A1"/>
    <w:rsid w:val="09373FAB"/>
    <w:rsid w:val="09427B86"/>
    <w:rsid w:val="096E6F40"/>
    <w:rsid w:val="09734873"/>
    <w:rsid w:val="097F0049"/>
    <w:rsid w:val="09813575"/>
    <w:rsid w:val="098D2E8C"/>
    <w:rsid w:val="099B1134"/>
    <w:rsid w:val="09D11A39"/>
    <w:rsid w:val="09D9779C"/>
    <w:rsid w:val="09DC1BC7"/>
    <w:rsid w:val="09EA0BC4"/>
    <w:rsid w:val="09F20AF4"/>
    <w:rsid w:val="0A0A4482"/>
    <w:rsid w:val="0A0F3533"/>
    <w:rsid w:val="0A175D31"/>
    <w:rsid w:val="0A1B7897"/>
    <w:rsid w:val="0A21244F"/>
    <w:rsid w:val="0A2135C3"/>
    <w:rsid w:val="0A270112"/>
    <w:rsid w:val="0A341DBF"/>
    <w:rsid w:val="0A3D6AB1"/>
    <w:rsid w:val="0A406785"/>
    <w:rsid w:val="0A461406"/>
    <w:rsid w:val="0A637849"/>
    <w:rsid w:val="0A695922"/>
    <w:rsid w:val="0A707736"/>
    <w:rsid w:val="0A725E13"/>
    <w:rsid w:val="0A757EDD"/>
    <w:rsid w:val="0A8E6C06"/>
    <w:rsid w:val="0A990766"/>
    <w:rsid w:val="0ADC6F3D"/>
    <w:rsid w:val="0AE50717"/>
    <w:rsid w:val="0AE666EB"/>
    <w:rsid w:val="0AE81FE4"/>
    <w:rsid w:val="0AEE47BB"/>
    <w:rsid w:val="0AFF3768"/>
    <w:rsid w:val="0AFF5E4E"/>
    <w:rsid w:val="0B034D18"/>
    <w:rsid w:val="0B130B83"/>
    <w:rsid w:val="0B133E8F"/>
    <w:rsid w:val="0B1420DE"/>
    <w:rsid w:val="0B145B33"/>
    <w:rsid w:val="0B234F22"/>
    <w:rsid w:val="0B2E2E44"/>
    <w:rsid w:val="0B2F2B4D"/>
    <w:rsid w:val="0B34008F"/>
    <w:rsid w:val="0B374741"/>
    <w:rsid w:val="0B3B5810"/>
    <w:rsid w:val="0B4B7F5F"/>
    <w:rsid w:val="0B5013FA"/>
    <w:rsid w:val="0B534F80"/>
    <w:rsid w:val="0B6057F3"/>
    <w:rsid w:val="0B7075ED"/>
    <w:rsid w:val="0B73776D"/>
    <w:rsid w:val="0B767DAD"/>
    <w:rsid w:val="0B79473D"/>
    <w:rsid w:val="0B93571E"/>
    <w:rsid w:val="0B9E376B"/>
    <w:rsid w:val="0BBE0831"/>
    <w:rsid w:val="0BBF6FF0"/>
    <w:rsid w:val="0BC84966"/>
    <w:rsid w:val="0BD053CD"/>
    <w:rsid w:val="0BDF4D20"/>
    <w:rsid w:val="0BE86444"/>
    <w:rsid w:val="0BF113EE"/>
    <w:rsid w:val="0BF11F09"/>
    <w:rsid w:val="0BF5582E"/>
    <w:rsid w:val="0BF8706D"/>
    <w:rsid w:val="0C002677"/>
    <w:rsid w:val="0C06262A"/>
    <w:rsid w:val="0C08751E"/>
    <w:rsid w:val="0C0A6A87"/>
    <w:rsid w:val="0C0E6C17"/>
    <w:rsid w:val="0C303AD4"/>
    <w:rsid w:val="0C4B5536"/>
    <w:rsid w:val="0C5721E3"/>
    <w:rsid w:val="0C585F7E"/>
    <w:rsid w:val="0C5F681D"/>
    <w:rsid w:val="0C6672E9"/>
    <w:rsid w:val="0C744215"/>
    <w:rsid w:val="0C963FAA"/>
    <w:rsid w:val="0CA83AE4"/>
    <w:rsid w:val="0CAC1AF8"/>
    <w:rsid w:val="0CB91FCB"/>
    <w:rsid w:val="0CDD27EA"/>
    <w:rsid w:val="0CDD432F"/>
    <w:rsid w:val="0CE30DD2"/>
    <w:rsid w:val="0CF469C8"/>
    <w:rsid w:val="0CF6025C"/>
    <w:rsid w:val="0CFD71B6"/>
    <w:rsid w:val="0D0256FF"/>
    <w:rsid w:val="0D061ECC"/>
    <w:rsid w:val="0D0866D1"/>
    <w:rsid w:val="0D0B6503"/>
    <w:rsid w:val="0D1059AD"/>
    <w:rsid w:val="0D1A0237"/>
    <w:rsid w:val="0D1A5ACB"/>
    <w:rsid w:val="0D2B569A"/>
    <w:rsid w:val="0D2C5EA4"/>
    <w:rsid w:val="0D335443"/>
    <w:rsid w:val="0D344B03"/>
    <w:rsid w:val="0D451CD0"/>
    <w:rsid w:val="0D4B6C58"/>
    <w:rsid w:val="0D501B19"/>
    <w:rsid w:val="0D58617A"/>
    <w:rsid w:val="0D5C4DDC"/>
    <w:rsid w:val="0D5D3129"/>
    <w:rsid w:val="0D6D657D"/>
    <w:rsid w:val="0D717FF8"/>
    <w:rsid w:val="0D726728"/>
    <w:rsid w:val="0D83072E"/>
    <w:rsid w:val="0D8765CC"/>
    <w:rsid w:val="0DA15E62"/>
    <w:rsid w:val="0DA67DB8"/>
    <w:rsid w:val="0DAB2C35"/>
    <w:rsid w:val="0DAF41E0"/>
    <w:rsid w:val="0DCC2C34"/>
    <w:rsid w:val="0DD73221"/>
    <w:rsid w:val="0DE87B6B"/>
    <w:rsid w:val="0DF70F13"/>
    <w:rsid w:val="0E0A6628"/>
    <w:rsid w:val="0E1C4F46"/>
    <w:rsid w:val="0E22207A"/>
    <w:rsid w:val="0E2A0570"/>
    <w:rsid w:val="0E2F474D"/>
    <w:rsid w:val="0E3B199F"/>
    <w:rsid w:val="0E3C65A3"/>
    <w:rsid w:val="0E47367D"/>
    <w:rsid w:val="0E542CA9"/>
    <w:rsid w:val="0E555CA7"/>
    <w:rsid w:val="0E6521A6"/>
    <w:rsid w:val="0E7B1001"/>
    <w:rsid w:val="0E7B6830"/>
    <w:rsid w:val="0E824CA7"/>
    <w:rsid w:val="0E861394"/>
    <w:rsid w:val="0E921185"/>
    <w:rsid w:val="0E95409A"/>
    <w:rsid w:val="0E961616"/>
    <w:rsid w:val="0EA76AD4"/>
    <w:rsid w:val="0EC57FE6"/>
    <w:rsid w:val="0ECE222B"/>
    <w:rsid w:val="0ED862CA"/>
    <w:rsid w:val="0EF140B4"/>
    <w:rsid w:val="0EF4103F"/>
    <w:rsid w:val="0F06085F"/>
    <w:rsid w:val="0F072A08"/>
    <w:rsid w:val="0F083337"/>
    <w:rsid w:val="0F0F412C"/>
    <w:rsid w:val="0F1133DB"/>
    <w:rsid w:val="0F15444A"/>
    <w:rsid w:val="0F1A6FD6"/>
    <w:rsid w:val="0F321036"/>
    <w:rsid w:val="0F366FB8"/>
    <w:rsid w:val="0F412192"/>
    <w:rsid w:val="0F446D04"/>
    <w:rsid w:val="0F4A2C31"/>
    <w:rsid w:val="0F500E49"/>
    <w:rsid w:val="0F501050"/>
    <w:rsid w:val="0F517728"/>
    <w:rsid w:val="0F635117"/>
    <w:rsid w:val="0F6439B5"/>
    <w:rsid w:val="0F7353AD"/>
    <w:rsid w:val="0F777721"/>
    <w:rsid w:val="0F857789"/>
    <w:rsid w:val="0F8770AE"/>
    <w:rsid w:val="0F882C20"/>
    <w:rsid w:val="0F9A24C2"/>
    <w:rsid w:val="0FA24555"/>
    <w:rsid w:val="0FA53BD4"/>
    <w:rsid w:val="0FB52DEA"/>
    <w:rsid w:val="0FD02721"/>
    <w:rsid w:val="0FE72080"/>
    <w:rsid w:val="0FE8047C"/>
    <w:rsid w:val="0FEF14D6"/>
    <w:rsid w:val="0FF138F2"/>
    <w:rsid w:val="0FF35819"/>
    <w:rsid w:val="0FF86DE6"/>
    <w:rsid w:val="100D58EF"/>
    <w:rsid w:val="101D68FF"/>
    <w:rsid w:val="102A7148"/>
    <w:rsid w:val="103323DC"/>
    <w:rsid w:val="103B7F01"/>
    <w:rsid w:val="103E4AEF"/>
    <w:rsid w:val="10441FF9"/>
    <w:rsid w:val="10530EF9"/>
    <w:rsid w:val="105D48D1"/>
    <w:rsid w:val="106043A8"/>
    <w:rsid w:val="10696C12"/>
    <w:rsid w:val="106F0419"/>
    <w:rsid w:val="10772818"/>
    <w:rsid w:val="10816EB9"/>
    <w:rsid w:val="108307DF"/>
    <w:rsid w:val="108F414E"/>
    <w:rsid w:val="10B718E2"/>
    <w:rsid w:val="10BD367C"/>
    <w:rsid w:val="10BD747E"/>
    <w:rsid w:val="10BE4C09"/>
    <w:rsid w:val="10C81B63"/>
    <w:rsid w:val="10CE70B9"/>
    <w:rsid w:val="10E009E6"/>
    <w:rsid w:val="10FA3D71"/>
    <w:rsid w:val="11031315"/>
    <w:rsid w:val="111915EA"/>
    <w:rsid w:val="11243ED5"/>
    <w:rsid w:val="11263658"/>
    <w:rsid w:val="11311619"/>
    <w:rsid w:val="11393B55"/>
    <w:rsid w:val="114A7107"/>
    <w:rsid w:val="114B4332"/>
    <w:rsid w:val="114F5306"/>
    <w:rsid w:val="1154033C"/>
    <w:rsid w:val="115D3F08"/>
    <w:rsid w:val="115E73D2"/>
    <w:rsid w:val="115F298C"/>
    <w:rsid w:val="11631F69"/>
    <w:rsid w:val="116A75BC"/>
    <w:rsid w:val="11727BA9"/>
    <w:rsid w:val="117440D6"/>
    <w:rsid w:val="11865412"/>
    <w:rsid w:val="11877F69"/>
    <w:rsid w:val="118A5C8C"/>
    <w:rsid w:val="11A14E55"/>
    <w:rsid w:val="11A25833"/>
    <w:rsid w:val="11A70091"/>
    <w:rsid w:val="11A95287"/>
    <w:rsid w:val="11AF17A7"/>
    <w:rsid w:val="11BF5CE5"/>
    <w:rsid w:val="11C319F8"/>
    <w:rsid w:val="11C54C0C"/>
    <w:rsid w:val="11C94F65"/>
    <w:rsid w:val="11F305A7"/>
    <w:rsid w:val="11F772A5"/>
    <w:rsid w:val="11F97D32"/>
    <w:rsid w:val="120514B4"/>
    <w:rsid w:val="12053A9A"/>
    <w:rsid w:val="120A352E"/>
    <w:rsid w:val="12147C7C"/>
    <w:rsid w:val="121849FD"/>
    <w:rsid w:val="121C643A"/>
    <w:rsid w:val="12386EF0"/>
    <w:rsid w:val="123F60DB"/>
    <w:rsid w:val="12404008"/>
    <w:rsid w:val="124E1908"/>
    <w:rsid w:val="125A74A7"/>
    <w:rsid w:val="125F041B"/>
    <w:rsid w:val="12647352"/>
    <w:rsid w:val="12706A92"/>
    <w:rsid w:val="12786628"/>
    <w:rsid w:val="127D1267"/>
    <w:rsid w:val="12992908"/>
    <w:rsid w:val="12A31288"/>
    <w:rsid w:val="12A44DF5"/>
    <w:rsid w:val="12AE10DF"/>
    <w:rsid w:val="12BB2C75"/>
    <w:rsid w:val="12C443F6"/>
    <w:rsid w:val="12C555FB"/>
    <w:rsid w:val="12D23E8D"/>
    <w:rsid w:val="12D44D1F"/>
    <w:rsid w:val="12D516DF"/>
    <w:rsid w:val="12D97237"/>
    <w:rsid w:val="12ED3C71"/>
    <w:rsid w:val="12EF3C6A"/>
    <w:rsid w:val="12F66350"/>
    <w:rsid w:val="131D5F6D"/>
    <w:rsid w:val="131D65BC"/>
    <w:rsid w:val="13250E55"/>
    <w:rsid w:val="13307E23"/>
    <w:rsid w:val="133D3420"/>
    <w:rsid w:val="135F1D90"/>
    <w:rsid w:val="13672BCE"/>
    <w:rsid w:val="136D32C6"/>
    <w:rsid w:val="137B290E"/>
    <w:rsid w:val="137F4FF4"/>
    <w:rsid w:val="1382603B"/>
    <w:rsid w:val="138B27A8"/>
    <w:rsid w:val="138E0176"/>
    <w:rsid w:val="13961390"/>
    <w:rsid w:val="13A6370D"/>
    <w:rsid w:val="13AA1D3C"/>
    <w:rsid w:val="13B315E9"/>
    <w:rsid w:val="13C175E9"/>
    <w:rsid w:val="13CE53D1"/>
    <w:rsid w:val="13DD3C1F"/>
    <w:rsid w:val="13DD50F0"/>
    <w:rsid w:val="13F84DFF"/>
    <w:rsid w:val="13F85B0F"/>
    <w:rsid w:val="14034B9F"/>
    <w:rsid w:val="140828F7"/>
    <w:rsid w:val="141632FB"/>
    <w:rsid w:val="141B47E1"/>
    <w:rsid w:val="141D0721"/>
    <w:rsid w:val="14242A4D"/>
    <w:rsid w:val="143565D5"/>
    <w:rsid w:val="143949A4"/>
    <w:rsid w:val="143C1073"/>
    <w:rsid w:val="143C68A3"/>
    <w:rsid w:val="143E0783"/>
    <w:rsid w:val="14405581"/>
    <w:rsid w:val="14412882"/>
    <w:rsid w:val="1449072D"/>
    <w:rsid w:val="144C6938"/>
    <w:rsid w:val="14741DF0"/>
    <w:rsid w:val="14765B10"/>
    <w:rsid w:val="148D6BA1"/>
    <w:rsid w:val="149C761D"/>
    <w:rsid w:val="14A03A0F"/>
    <w:rsid w:val="14A40179"/>
    <w:rsid w:val="14B601B9"/>
    <w:rsid w:val="14B855DE"/>
    <w:rsid w:val="14C31CB0"/>
    <w:rsid w:val="14C73796"/>
    <w:rsid w:val="14C81DBF"/>
    <w:rsid w:val="14D85710"/>
    <w:rsid w:val="14E21FE3"/>
    <w:rsid w:val="14E76379"/>
    <w:rsid w:val="14E96157"/>
    <w:rsid w:val="14F9718E"/>
    <w:rsid w:val="14FE28E7"/>
    <w:rsid w:val="150344BA"/>
    <w:rsid w:val="15042FB9"/>
    <w:rsid w:val="151614F8"/>
    <w:rsid w:val="1519045B"/>
    <w:rsid w:val="151B33E6"/>
    <w:rsid w:val="151C1C48"/>
    <w:rsid w:val="151E2084"/>
    <w:rsid w:val="153601B3"/>
    <w:rsid w:val="154C4736"/>
    <w:rsid w:val="15567480"/>
    <w:rsid w:val="157755E4"/>
    <w:rsid w:val="157B3D59"/>
    <w:rsid w:val="15812BE6"/>
    <w:rsid w:val="158D2045"/>
    <w:rsid w:val="1591788D"/>
    <w:rsid w:val="15994478"/>
    <w:rsid w:val="159A3A9F"/>
    <w:rsid w:val="15B127CF"/>
    <w:rsid w:val="15B33482"/>
    <w:rsid w:val="15BF4296"/>
    <w:rsid w:val="15C14880"/>
    <w:rsid w:val="15CA18CC"/>
    <w:rsid w:val="15CF1D2C"/>
    <w:rsid w:val="15EC0692"/>
    <w:rsid w:val="15F81504"/>
    <w:rsid w:val="15F9054C"/>
    <w:rsid w:val="160129B4"/>
    <w:rsid w:val="160D5D0E"/>
    <w:rsid w:val="16154ECA"/>
    <w:rsid w:val="16242B45"/>
    <w:rsid w:val="1633643E"/>
    <w:rsid w:val="16370F4B"/>
    <w:rsid w:val="163E0944"/>
    <w:rsid w:val="164876E6"/>
    <w:rsid w:val="165C4C8A"/>
    <w:rsid w:val="166B2139"/>
    <w:rsid w:val="16724651"/>
    <w:rsid w:val="167E6E69"/>
    <w:rsid w:val="168C0D3E"/>
    <w:rsid w:val="169D5762"/>
    <w:rsid w:val="16AF2372"/>
    <w:rsid w:val="16AF47EA"/>
    <w:rsid w:val="16BE3DF7"/>
    <w:rsid w:val="16C80F6D"/>
    <w:rsid w:val="16C9180F"/>
    <w:rsid w:val="16C97A8C"/>
    <w:rsid w:val="16D8570F"/>
    <w:rsid w:val="16D87EE1"/>
    <w:rsid w:val="16DB3561"/>
    <w:rsid w:val="16DF4A5E"/>
    <w:rsid w:val="16EC77F3"/>
    <w:rsid w:val="16F037B7"/>
    <w:rsid w:val="16F35C4D"/>
    <w:rsid w:val="17070924"/>
    <w:rsid w:val="170E377D"/>
    <w:rsid w:val="170F570B"/>
    <w:rsid w:val="17163799"/>
    <w:rsid w:val="17192189"/>
    <w:rsid w:val="17210808"/>
    <w:rsid w:val="1723462F"/>
    <w:rsid w:val="1739120B"/>
    <w:rsid w:val="17393C3C"/>
    <w:rsid w:val="173A5536"/>
    <w:rsid w:val="174A06EE"/>
    <w:rsid w:val="17511A09"/>
    <w:rsid w:val="175C52A1"/>
    <w:rsid w:val="175C71BC"/>
    <w:rsid w:val="1761778A"/>
    <w:rsid w:val="17623851"/>
    <w:rsid w:val="1768235D"/>
    <w:rsid w:val="17716DD0"/>
    <w:rsid w:val="1773584F"/>
    <w:rsid w:val="1774592F"/>
    <w:rsid w:val="17767D82"/>
    <w:rsid w:val="17856CEC"/>
    <w:rsid w:val="178E1E30"/>
    <w:rsid w:val="178F71DF"/>
    <w:rsid w:val="1798063A"/>
    <w:rsid w:val="17B757E7"/>
    <w:rsid w:val="17B81A5A"/>
    <w:rsid w:val="17BA66A3"/>
    <w:rsid w:val="17D7362C"/>
    <w:rsid w:val="17E36446"/>
    <w:rsid w:val="17F05376"/>
    <w:rsid w:val="17F306E5"/>
    <w:rsid w:val="17FE4D56"/>
    <w:rsid w:val="17FF473F"/>
    <w:rsid w:val="180169EF"/>
    <w:rsid w:val="180B198D"/>
    <w:rsid w:val="182E5149"/>
    <w:rsid w:val="182F7B9E"/>
    <w:rsid w:val="1830541D"/>
    <w:rsid w:val="183D4E95"/>
    <w:rsid w:val="18497369"/>
    <w:rsid w:val="184F461E"/>
    <w:rsid w:val="18525185"/>
    <w:rsid w:val="185945AB"/>
    <w:rsid w:val="185D457C"/>
    <w:rsid w:val="186F0D9D"/>
    <w:rsid w:val="188C411A"/>
    <w:rsid w:val="18960C90"/>
    <w:rsid w:val="189F6730"/>
    <w:rsid w:val="18A51A14"/>
    <w:rsid w:val="18B020D4"/>
    <w:rsid w:val="18F411E5"/>
    <w:rsid w:val="18F66475"/>
    <w:rsid w:val="18F925E4"/>
    <w:rsid w:val="18FC472C"/>
    <w:rsid w:val="19137815"/>
    <w:rsid w:val="19267467"/>
    <w:rsid w:val="19413DE5"/>
    <w:rsid w:val="19426BDB"/>
    <w:rsid w:val="19486DF0"/>
    <w:rsid w:val="194D1F54"/>
    <w:rsid w:val="195E5EEC"/>
    <w:rsid w:val="197155F3"/>
    <w:rsid w:val="1973524E"/>
    <w:rsid w:val="197C159C"/>
    <w:rsid w:val="197D5DCA"/>
    <w:rsid w:val="197E123B"/>
    <w:rsid w:val="1982627C"/>
    <w:rsid w:val="19A45578"/>
    <w:rsid w:val="19B20AF3"/>
    <w:rsid w:val="19B93730"/>
    <w:rsid w:val="19BA37A4"/>
    <w:rsid w:val="19BB05E0"/>
    <w:rsid w:val="19BB4A61"/>
    <w:rsid w:val="19C066F3"/>
    <w:rsid w:val="19C80789"/>
    <w:rsid w:val="19ED0241"/>
    <w:rsid w:val="19FB197E"/>
    <w:rsid w:val="1A021ACE"/>
    <w:rsid w:val="1A0605F2"/>
    <w:rsid w:val="1A245562"/>
    <w:rsid w:val="1A245902"/>
    <w:rsid w:val="1A275CD3"/>
    <w:rsid w:val="1A2901B5"/>
    <w:rsid w:val="1A380E39"/>
    <w:rsid w:val="1A3A618A"/>
    <w:rsid w:val="1A3B0230"/>
    <w:rsid w:val="1A412C62"/>
    <w:rsid w:val="1A455FF4"/>
    <w:rsid w:val="1A494513"/>
    <w:rsid w:val="1A591E35"/>
    <w:rsid w:val="1A610BEB"/>
    <w:rsid w:val="1A6B19D0"/>
    <w:rsid w:val="1A6B7052"/>
    <w:rsid w:val="1A6F1A7E"/>
    <w:rsid w:val="1A781A28"/>
    <w:rsid w:val="1A825782"/>
    <w:rsid w:val="1A8A4D2D"/>
    <w:rsid w:val="1A8E7DC6"/>
    <w:rsid w:val="1AA028E5"/>
    <w:rsid w:val="1AB3734C"/>
    <w:rsid w:val="1AB56D1A"/>
    <w:rsid w:val="1AC35283"/>
    <w:rsid w:val="1ACB219F"/>
    <w:rsid w:val="1AD64917"/>
    <w:rsid w:val="1ADB654C"/>
    <w:rsid w:val="1AF70B94"/>
    <w:rsid w:val="1AF91D47"/>
    <w:rsid w:val="1AFC11BE"/>
    <w:rsid w:val="1B043DC7"/>
    <w:rsid w:val="1B0C7E38"/>
    <w:rsid w:val="1B161254"/>
    <w:rsid w:val="1B247BCB"/>
    <w:rsid w:val="1B25770F"/>
    <w:rsid w:val="1B29317E"/>
    <w:rsid w:val="1B354E20"/>
    <w:rsid w:val="1B38597E"/>
    <w:rsid w:val="1B3F127D"/>
    <w:rsid w:val="1B536AB0"/>
    <w:rsid w:val="1B610B6B"/>
    <w:rsid w:val="1B615AE8"/>
    <w:rsid w:val="1B646C83"/>
    <w:rsid w:val="1B6555C3"/>
    <w:rsid w:val="1B6B1E76"/>
    <w:rsid w:val="1B6C0FC6"/>
    <w:rsid w:val="1B7000CC"/>
    <w:rsid w:val="1B7A456D"/>
    <w:rsid w:val="1B8D1424"/>
    <w:rsid w:val="1B956D12"/>
    <w:rsid w:val="1B964F51"/>
    <w:rsid w:val="1BA748CD"/>
    <w:rsid w:val="1BB04EAB"/>
    <w:rsid w:val="1BBA4DAD"/>
    <w:rsid w:val="1BDB4F54"/>
    <w:rsid w:val="1BDE47B8"/>
    <w:rsid w:val="1BEC2FB3"/>
    <w:rsid w:val="1BEF1399"/>
    <w:rsid w:val="1BF15BBE"/>
    <w:rsid w:val="1C0552A8"/>
    <w:rsid w:val="1C0D3EF2"/>
    <w:rsid w:val="1C1970B0"/>
    <w:rsid w:val="1C2116F5"/>
    <w:rsid w:val="1C222C0A"/>
    <w:rsid w:val="1C27644E"/>
    <w:rsid w:val="1C2D5555"/>
    <w:rsid w:val="1C376CE6"/>
    <w:rsid w:val="1C4A0B68"/>
    <w:rsid w:val="1C4B03F5"/>
    <w:rsid w:val="1C4D4967"/>
    <w:rsid w:val="1C5131E7"/>
    <w:rsid w:val="1C526C8B"/>
    <w:rsid w:val="1C6C3621"/>
    <w:rsid w:val="1C8E2C2C"/>
    <w:rsid w:val="1CA90003"/>
    <w:rsid w:val="1CB11DB5"/>
    <w:rsid w:val="1CB308A5"/>
    <w:rsid w:val="1CC31430"/>
    <w:rsid w:val="1CC67BF1"/>
    <w:rsid w:val="1CC76C09"/>
    <w:rsid w:val="1CC933EE"/>
    <w:rsid w:val="1CCD3D04"/>
    <w:rsid w:val="1CE17685"/>
    <w:rsid w:val="1CED228B"/>
    <w:rsid w:val="1CF33DF2"/>
    <w:rsid w:val="1CF52F37"/>
    <w:rsid w:val="1D0062CC"/>
    <w:rsid w:val="1D094601"/>
    <w:rsid w:val="1D175EF9"/>
    <w:rsid w:val="1D195A02"/>
    <w:rsid w:val="1D1A7E28"/>
    <w:rsid w:val="1D225B0A"/>
    <w:rsid w:val="1D2D6B6D"/>
    <w:rsid w:val="1D2F2561"/>
    <w:rsid w:val="1D313DD8"/>
    <w:rsid w:val="1D3B2E1D"/>
    <w:rsid w:val="1D4606B9"/>
    <w:rsid w:val="1D4D0B14"/>
    <w:rsid w:val="1D514316"/>
    <w:rsid w:val="1D5171D0"/>
    <w:rsid w:val="1D582F23"/>
    <w:rsid w:val="1D5974DC"/>
    <w:rsid w:val="1D626DED"/>
    <w:rsid w:val="1D6939FA"/>
    <w:rsid w:val="1D784E92"/>
    <w:rsid w:val="1D7C1F32"/>
    <w:rsid w:val="1D843195"/>
    <w:rsid w:val="1D856D0D"/>
    <w:rsid w:val="1D8E2195"/>
    <w:rsid w:val="1D905958"/>
    <w:rsid w:val="1D9073FA"/>
    <w:rsid w:val="1D962A88"/>
    <w:rsid w:val="1DA55738"/>
    <w:rsid w:val="1DAD5EE7"/>
    <w:rsid w:val="1DAF4626"/>
    <w:rsid w:val="1DB72FA8"/>
    <w:rsid w:val="1DBB7E9A"/>
    <w:rsid w:val="1DD73FA2"/>
    <w:rsid w:val="1DEB3EB2"/>
    <w:rsid w:val="1DED6837"/>
    <w:rsid w:val="1DEF672A"/>
    <w:rsid w:val="1DF16ABC"/>
    <w:rsid w:val="1DFB603D"/>
    <w:rsid w:val="1E0A3EE0"/>
    <w:rsid w:val="1E0B7D0B"/>
    <w:rsid w:val="1E114456"/>
    <w:rsid w:val="1E1B62F5"/>
    <w:rsid w:val="1E1C0805"/>
    <w:rsid w:val="1E1D761C"/>
    <w:rsid w:val="1E1F740F"/>
    <w:rsid w:val="1E231E91"/>
    <w:rsid w:val="1E242E7D"/>
    <w:rsid w:val="1E2C15B8"/>
    <w:rsid w:val="1E40677B"/>
    <w:rsid w:val="1E443855"/>
    <w:rsid w:val="1E61045D"/>
    <w:rsid w:val="1E632257"/>
    <w:rsid w:val="1E696C80"/>
    <w:rsid w:val="1E6B40DA"/>
    <w:rsid w:val="1E83591A"/>
    <w:rsid w:val="1E94781D"/>
    <w:rsid w:val="1EAE604A"/>
    <w:rsid w:val="1EB44513"/>
    <w:rsid w:val="1EB51043"/>
    <w:rsid w:val="1EBD6967"/>
    <w:rsid w:val="1ED275E1"/>
    <w:rsid w:val="1ED53C8D"/>
    <w:rsid w:val="1EE23D56"/>
    <w:rsid w:val="1EEA4410"/>
    <w:rsid w:val="1EED478C"/>
    <w:rsid w:val="1EEF23D4"/>
    <w:rsid w:val="1EF516C9"/>
    <w:rsid w:val="1F081058"/>
    <w:rsid w:val="1F0D3937"/>
    <w:rsid w:val="1F102558"/>
    <w:rsid w:val="1F1200A7"/>
    <w:rsid w:val="1F160068"/>
    <w:rsid w:val="1F1E6C6E"/>
    <w:rsid w:val="1F2A30BB"/>
    <w:rsid w:val="1F3126DA"/>
    <w:rsid w:val="1F3C0657"/>
    <w:rsid w:val="1F4A7FAB"/>
    <w:rsid w:val="1F4E401D"/>
    <w:rsid w:val="1F572CC9"/>
    <w:rsid w:val="1F625B65"/>
    <w:rsid w:val="1F6C7A6B"/>
    <w:rsid w:val="1F735064"/>
    <w:rsid w:val="1F814591"/>
    <w:rsid w:val="1F853C42"/>
    <w:rsid w:val="1F8830C3"/>
    <w:rsid w:val="1FA52E67"/>
    <w:rsid w:val="1FB900CC"/>
    <w:rsid w:val="1FBD5FF4"/>
    <w:rsid w:val="1FC42142"/>
    <w:rsid w:val="1FD2563B"/>
    <w:rsid w:val="1FD452FE"/>
    <w:rsid w:val="1FDB3851"/>
    <w:rsid w:val="1FE10E71"/>
    <w:rsid w:val="1FE11321"/>
    <w:rsid w:val="1FE25387"/>
    <w:rsid w:val="1FE74033"/>
    <w:rsid w:val="1FED55F2"/>
    <w:rsid w:val="1FF04C15"/>
    <w:rsid w:val="1FF16DE4"/>
    <w:rsid w:val="201F40B4"/>
    <w:rsid w:val="20262783"/>
    <w:rsid w:val="20264E3A"/>
    <w:rsid w:val="20366307"/>
    <w:rsid w:val="204722D1"/>
    <w:rsid w:val="204E1F96"/>
    <w:rsid w:val="20570EB2"/>
    <w:rsid w:val="20632F71"/>
    <w:rsid w:val="206404FD"/>
    <w:rsid w:val="20687A04"/>
    <w:rsid w:val="206F29EB"/>
    <w:rsid w:val="2078600D"/>
    <w:rsid w:val="207C490F"/>
    <w:rsid w:val="20804784"/>
    <w:rsid w:val="209B00CC"/>
    <w:rsid w:val="209D2CD6"/>
    <w:rsid w:val="20A0527E"/>
    <w:rsid w:val="20A56499"/>
    <w:rsid w:val="20A60D48"/>
    <w:rsid w:val="20A77C0A"/>
    <w:rsid w:val="20B86155"/>
    <w:rsid w:val="20D84C42"/>
    <w:rsid w:val="20E738FA"/>
    <w:rsid w:val="20E8195C"/>
    <w:rsid w:val="20ED367F"/>
    <w:rsid w:val="20F915F1"/>
    <w:rsid w:val="20FC304B"/>
    <w:rsid w:val="21055661"/>
    <w:rsid w:val="21107841"/>
    <w:rsid w:val="211E0892"/>
    <w:rsid w:val="21231FB8"/>
    <w:rsid w:val="212F525A"/>
    <w:rsid w:val="213216E4"/>
    <w:rsid w:val="213E31B0"/>
    <w:rsid w:val="21485718"/>
    <w:rsid w:val="21512EF7"/>
    <w:rsid w:val="21595AF8"/>
    <w:rsid w:val="21625939"/>
    <w:rsid w:val="21661C45"/>
    <w:rsid w:val="21750CA6"/>
    <w:rsid w:val="21784C7A"/>
    <w:rsid w:val="21804559"/>
    <w:rsid w:val="21916C63"/>
    <w:rsid w:val="2194666D"/>
    <w:rsid w:val="21A35245"/>
    <w:rsid w:val="21A4657E"/>
    <w:rsid w:val="21B10A1F"/>
    <w:rsid w:val="21B50F87"/>
    <w:rsid w:val="21BF09E3"/>
    <w:rsid w:val="21BF64FE"/>
    <w:rsid w:val="21DE573C"/>
    <w:rsid w:val="21E375A4"/>
    <w:rsid w:val="21F40173"/>
    <w:rsid w:val="22017896"/>
    <w:rsid w:val="220A6EA7"/>
    <w:rsid w:val="2218450D"/>
    <w:rsid w:val="222633F2"/>
    <w:rsid w:val="222872EB"/>
    <w:rsid w:val="22364E30"/>
    <w:rsid w:val="2238548A"/>
    <w:rsid w:val="22426E18"/>
    <w:rsid w:val="22465AC5"/>
    <w:rsid w:val="224C71B9"/>
    <w:rsid w:val="22503B64"/>
    <w:rsid w:val="2278331B"/>
    <w:rsid w:val="227E0330"/>
    <w:rsid w:val="2280255C"/>
    <w:rsid w:val="228A7163"/>
    <w:rsid w:val="228F7B28"/>
    <w:rsid w:val="22A82CB7"/>
    <w:rsid w:val="22AA5083"/>
    <w:rsid w:val="22B02A66"/>
    <w:rsid w:val="22B15E83"/>
    <w:rsid w:val="22DE6AFF"/>
    <w:rsid w:val="22EC2CCD"/>
    <w:rsid w:val="22EC68DD"/>
    <w:rsid w:val="22F52C3C"/>
    <w:rsid w:val="22F57BFA"/>
    <w:rsid w:val="22F735C6"/>
    <w:rsid w:val="22F74C4B"/>
    <w:rsid w:val="22F822E0"/>
    <w:rsid w:val="22FA5FD6"/>
    <w:rsid w:val="23001247"/>
    <w:rsid w:val="230471E0"/>
    <w:rsid w:val="23167DB9"/>
    <w:rsid w:val="23321A16"/>
    <w:rsid w:val="2334499C"/>
    <w:rsid w:val="23353DD3"/>
    <w:rsid w:val="233559EA"/>
    <w:rsid w:val="234108F4"/>
    <w:rsid w:val="2346726D"/>
    <w:rsid w:val="234B2854"/>
    <w:rsid w:val="23506FA4"/>
    <w:rsid w:val="235B53C5"/>
    <w:rsid w:val="2369578C"/>
    <w:rsid w:val="236D493A"/>
    <w:rsid w:val="237508B7"/>
    <w:rsid w:val="23754AAF"/>
    <w:rsid w:val="238022DE"/>
    <w:rsid w:val="23820F7C"/>
    <w:rsid w:val="23872BE6"/>
    <w:rsid w:val="238C3689"/>
    <w:rsid w:val="23A429D9"/>
    <w:rsid w:val="23A85839"/>
    <w:rsid w:val="23B2618A"/>
    <w:rsid w:val="23B8480F"/>
    <w:rsid w:val="23C450E1"/>
    <w:rsid w:val="23C73F5F"/>
    <w:rsid w:val="23E23C3C"/>
    <w:rsid w:val="23E36DA2"/>
    <w:rsid w:val="23E702A2"/>
    <w:rsid w:val="23F5072E"/>
    <w:rsid w:val="23F60815"/>
    <w:rsid w:val="240516E9"/>
    <w:rsid w:val="242E60F3"/>
    <w:rsid w:val="24340C87"/>
    <w:rsid w:val="24372CE1"/>
    <w:rsid w:val="2439035D"/>
    <w:rsid w:val="24545B99"/>
    <w:rsid w:val="2456121F"/>
    <w:rsid w:val="245927FA"/>
    <w:rsid w:val="245A3908"/>
    <w:rsid w:val="245D4562"/>
    <w:rsid w:val="247547AD"/>
    <w:rsid w:val="24795DEF"/>
    <w:rsid w:val="247E53D8"/>
    <w:rsid w:val="247F41E5"/>
    <w:rsid w:val="24803AA5"/>
    <w:rsid w:val="2483304B"/>
    <w:rsid w:val="24851100"/>
    <w:rsid w:val="248F0911"/>
    <w:rsid w:val="24A07CAD"/>
    <w:rsid w:val="24AA2D17"/>
    <w:rsid w:val="24AB1C53"/>
    <w:rsid w:val="24B93507"/>
    <w:rsid w:val="24CC22AD"/>
    <w:rsid w:val="24D02EB3"/>
    <w:rsid w:val="24DC1A61"/>
    <w:rsid w:val="24E17B51"/>
    <w:rsid w:val="24ED6021"/>
    <w:rsid w:val="24FC0850"/>
    <w:rsid w:val="25060BE3"/>
    <w:rsid w:val="25282907"/>
    <w:rsid w:val="252C27CC"/>
    <w:rsid w:val="254F717A"/>
    <w:rsid w:val="255543E3"/>
    <w:rsid w:val="2557267B"/>
    <w:rsid w:val="25585796"/>
    <w:rsid w:val="256409A0"/>
    <w:rsid w:val="257109E0"/>
    <w:rsid w:val="2574181D"/>
    <w:rsid w:val="25807945"/>
    <w:rsid w:val="25A54A60"/>
    <w:rsid w:val="25A909CD"/>
    <w:rsid w:val="25AF150D"/>
    <w:rsid w:val="25B36BA4"/>
    <w:rsid w:val="25B9591C"/>
    <w:rsid w:val="25BF6B76"/>
    <w:rsid w:val="25C56306"/>
    <w:rsid w:val="25DB537D"/>
    <w:rsid w:val="25E02816"/>
    <w:rsid w:val="25EA2DCA"/>
    <w:rsid w:val="25F26C56"/>
    <w:rsid w:val="25F44130"/>
    <w:rsid w:val="2600280F"/>
    <w:rsid w:val="260B0463"/>
    <w:rsid w:val="260C20BF"/>
    <w:rsid w:val="262150BA"/>
    <w:rsid w:val="262905A9"/>
    <w:rsid w:val="262D6AF5"/>
    <w:rsid w:val="26414C9A"/>
    <w:rsid w:val="26447836"/>
    <w:rsid w:val="264B4570"/>
    <w:rsid w:val="264D32FB"/>
    <w:rsid w:val="264D340D"/>
    <w:rsid w:val="26536E21"/>
    <w:rsid w:val="2665545C"/>
    <w:rsid w:val="267319D9"/>
    <w:rsid w:val="26821F4C"/>
    <w:rsid w:val="268C5A32"/>
    <w:rsid w:val="26A35CDF"/>
    <w:rsid w:val="26A50D35"/>
    <w:rsid w:val="26AC0020"/>
    <w:rsid w:val="26AD7951"/>
    <w:rsid w:val="26B1104A"/>
    <w:rsid w:val="26BA5F7F"/>
    <w:rsid w:val="26BC6C8F"/>
    <w:rsid w:val="26BD03B2"/>
    <w:rsid w:val="26BF4011"/>
    <w:rsid w:val="26C06F68"/>
    <w:rsid w:val="26C435D9"/>
    <w:rsid w:val="26CF2BD2"/>
    <w:rsid w:val="26D26ED4"/>
    <w:rsid w:val="26D53599"/>
    <w:rsid w:val="26DD41C3"/>
    <w:rsid w:val="26EE2F15"/>
    <w:rsid w:val="26F73692"/>
    <w:rsid w:val="26F80E05"/>
    <w:rsid w:val="26FC338F"/>
    <w:rsid w:val="26FD245F"/>
    <w:rsid w:val="27062603"/>
    <w:rsid w:val="27132315"/>
    <w:rsid w:val="271A0975"/>
    <w:rsid w:val="271E01CD"/>
    <w:rsid w:val="273026C5"/>
    <w:rsid w:val="27306B7B"/>
    <w:rsid w:val="27316194"/>
    <w:rsid w:val="27414E15"/>
    <w:rsid w:val="27416C8A"/>
    <w:rsid w:val="27426315"/>
    <w:rsid w:val="2748106D"/>
    <w:rsid w:val="275467D7"/>
    <w:rsid w:val="275F46D4"/>
    <w:rsid w:val="276361C0"/>
    <w:rsid w:val="276B3581"/>
    <w:rsid w:val="276C4123"/>
    <w:rsid w:val="27872096"/>
    <w:rsid w:val="27875EF9"/>
    <w:rsid w:val="278B10B7"/>
    <w:rsid w:val="27927463"/>
    <w:rsid w:val="279956BC"/>
    <w:rsid w:val="27B03960"/>
    <w:rsid w:val="27BC6148"/>
    <w:rsid w:val="27BF6C41"/>
    <w:rsid w:val="27CA5742"/>
    <w:rsid w:val="27D0644A"/>
    <w:rsid w:val="27D25634"/>
    <w:rsid w:val="27ED119C"/>
    <w:rsid w:val="27F60A93"/>
    <w:rsid w:val="27FF076D"/>
    <w:rsid w:val="28104169"/>
    <w:rsid w:val="281D31D0"/>
    <w:rsid w:val="28224BAC"/>
    <w:rsid w:val="28282A4F"/>
    <w:rsid w:val="282A58FA"/>
    <w:rsid w:val="282D79F9"/>
    <w:rsid w:val="2834278F"/>
    <w:rsid w:val="28477B68"/>
    <w:rsid w:val="28522815"/>
    <w:rsid w:val="28576EC5"/>
    <w:rsid w:val="28595F5A"/>
    <w:rsid w:val="285E60C7"/>
    <w:rsid w:val="2860259B"/>
    <w:rsid w:val="28643175"/>
    <w:rsid w:val="287A4394"/>
    <w:rsid w:val="28985AAE"/>
    <w:rsid w:val="28BD05B9"/>
    <w:rsid w:val="28BD49F3"/>
    <w:rsid w:val="28BF5A24"/>
    <w:rsid w:val="28C3418D"/>
    <w:rsid w:val="28C54C42"/>
    <w:rsid w:val="28C5712F"/>
    <w:rsid w:val="28C577C6"/>
    <w:rsid w:val="28CB2A06"/>
    <w:rsid w:val="28D67D9A"/>
    <w:rsid w:val="28DC753B"/>
    <w:rsid w:val="28E007FE"/>
    <w:rsid w:val="28EC5DC5"/>
    <w:rsid w:val="28EF4255"/>
    <w:rsid w:val="28EF69FA"/>
    <w:rsid w:val="28F0787D"/>
    <w:rsid w:val="2912116E"/>
    <w:rsid w:val="292E7C95"/>
    <w:rsid w:val="293A4933"/>
    <w:rsid w:val="293A6B3D"/>
    <w:rsid w:val="293B4D8D"/>
    <w:rsid w:val="29513DF8"/>
    <w:rsid w:val="295841D7"/>
    <w:rsid w:val="2963042C"/>
    <w:rsid w:val="29647B33"/>
    <w:rsid w:val="29661B62"/>
    <w:rsid w:val="297B1A83"/>
    <w:rsid w:val="297D1AD0"/>
    <w:rsid w:val="29885F40"/>
    <w:rsid w:val="298A45F5"/>
    <w:rsid w:val="298D2098"/>
    <w:rsid w:val="298F6714"/>
    <w:rsid w:val="2996750E"/>
    <w:rsid w:val="29976DCF"/>
    <w:rsid w:val="299C5D38"/>
    <w:rsid w:val="29C17C4A"/>
    <w:rsid w:val="29D32072"/>
    <w:rsid w:val="29D37EF9"/>
    <w:rsid w:val="29D77453"/>
    <w:rsid w:val="29DA0D2D"/>
    <w:rsid w:val="29DA64B8"/>
    <w:rsid w:val="29E539DA"/>
    <w:rsid w:val="29E7386C"/>
    <w:rsid w:val="29EF13F1"/>
    <w:rsid w:val="29FA64BF"/>
    <w:rsid w:val="2A2244CA"/>
    <w:rsid w:val="2A2C5C11"/>
    <w:rsid w:val="2A35548F"/>
    <w:rsid w:val="2A3C2B3C"/>
    <w:rsid w:val="2A3D75F9"/>
    <w:rsid w:val="2A4C44F9"/>
    <w:rsid w:val="2A4F1F24"/>
    <w:rsid w:val="2A507074"/>
    <w:rsid w:val="2A56177A"/>
    <w:rsid w:val="2A582AB3"/>
    <w:rsid w:val="2A6253D3"/>
    <w:rsid w:val="2A945BEA"/>
    <w:rsid w:val="2A9B1F4D"/>
    <w:rsid w:val="2A9C609F"/>
    <w:rsid w:val="2A9C6BA3"/>
    <w:rsid w:val="2AC87871"/>
    <w:rsid w:val="2AD57413"/>
    <w:rsid w:val="2AD857E4"/>
    <w:rsid w:val="2AE658F2"/>
    <w:rsid w:val="2AEE50B3"/>
    <w:rsid w:val="2AF24D95"/>
    <w:rsid w:val="2B0453A6"/>
    <w:rsid w:val="2B0E626A"/>
    <w:rsid w:val="2B1A4A08"/>
    <w:rsid w:val="2B1B4BEA"/>
    <w:rsid w:val="2B261340"/>
    <w:rsid w:val="2B3156F6"/>
    <w:rsid w:val="2B421228"/>
    <w:rsid w:val="2B546B0F"/>
    <w:rsid w:val="2B733836"/>
    <w:rsid w:val="2B794A04"/>
    <w:rsid w:val="2B79552C"/>
    <w:rsid w:val="2B8569CF"/>
    <w:rsid w:val="2B8B4BAB"/>
    <w:rsid w:val="2B9A54A4"/>
    <w:rsid w:val="2B9C0B60"/>
    <w:rsid w:val="2BA01E27"/>
    <w:rsid w:val="2BA24D2D"/>
    <w:rsid w:val="2BBC0B4F"/>
    <w:rsid w:val="2BC0363F"/>
    <w:rsid w:val="2BDC52C1"/>
    <w:rsid w:val="2BE5697A"/>
    <w:rsid w:val="2BF46AAA"/>
    <w:rsid w:val="2BFD2C02"/>
    <w:rsid w:val="2C0543C4"/>
    <w:rsid w:val="2C066E97"/>
    <w:rsid w:val="2C117487"/>
    <w:rsid w:val="2C143483"/>
    <w:rsid w:val="2C151143"/>
    <w:rsid w:val="2C1E47B1"/>
    <w:rsid w:val="2C1E547D"/>
    <w:rsid w:val="2C390A97"/>
    <w:rsid w:val="2C3F0A31"/>
    <w:rsid w:val="2C3F247A"/>
    <w:rsid w:val="2C497DDB"/>
    <w:rsid w:val="2C4F2C96"/>
    <w:rsid w:val="2C5C4043"/>
    <w:rsid w:val="2C5F6239"/>
    <w:rsid w:val="2C65330A"/>
    <w:rsid w:val="2C7A6B1B"/>
    <w:rsid w:val="2C7A6D07"/>
    <w:rsid w:val="2C827AC9"/>
    <w:rsid w:val="2CA23844"/>
    <w:rsid w:val="2CB12585"/>
    <w:rsid w:val="2CBB52F3"/>
    <w:rsid w:val="2CBF5008"/>
    <w:rsid w:val="2CC54C7B"/>
    <w:rsid w:val="2CC559CC"/>
    <w:rsid w:val="2CC940DB"/>
    <w:rsid w:val="2CCB20F6"/>
    <w:rsid w:val="2CD02089"/>
    <w:rsid w:val="2CD90123"/>
    <w:rsid w:val="2CE100CF"/>
    <w:rsid w:val="2CEE2092"/>
    <w:rsid w:val="2CF120A7"/>
    <w:rsid w:val="2CF30FC4"/>
    <w:rsid w:val="2D0D4FC2"/>
    <w:rsid w:val="2D225BF5"/>
    <w:rsid w:val="2D284B64"/>
    <w:rsid w:val="2D2C4822"/>
    <w:rsid w:val="2D3871A8"/>
    <w:rsid w:val="2D3D4BB0"/>
    <w:rsid w:val="2D4D1B22"/>
    <w:rsid w:val="2D714C6C"/>
    <w:rsid w:val="2D825C55"/>
    <w:rsid w:val="2D8E443A"/>
    <w:rsid w:val="2D976501"/>
    <w:rsid w:val="2D9A2443"/>
    <w:rsid w:val="2DA119A6"/>
    <w:rsid w:val="2DA16776"/>
    <w:rsid w:val="2DAA10FC"/>
    <w:rsid w:val="2DAE5C59"/>
    <w:rsid w:val="2DBD276A"/>
    <w:rsid w:val="2DC23BCE"/>
    <w:rsid w:val="2DCF02FC"/>
    <w:rsid w:val="2DD960FD"/>
    <w:rsid w:val="2DDC5DAF"/>
    <w:rsid w:val="2DE36051"/>
    <w:rsid w:val="2DEE0619"/>
    <w:rsid w:val="2DEE49A6"/>
    <w:rsid w:val="2DF005BC"/>
    <w:rsid w:val="2DF02FD7"/>
    <w:rsid w:val="2DF4504E"/>
    <w:rsid w:val="2DF5571C"/>
    <w:rsid w:val="2DFB54F8"/>
    <w:rsid w:val="2E090BB3"/>
    <w:rsid w:val="2E0E7DDE"/>
    <w:rsid w:val="2E140730"/>
    <w:rsid w:val="2E233A24"/>
    <w:rsid w:val="2E255C80"/>
    <w:rsid w:val="2E284594"/>
    <w:rsid w:val="2E2C3EEF"/>
    <w:rsid w:val="2E30122C"/>
    <w:rsid w:val="2E336602"/>
    <w:rsid w:val="2E3614BB"/>
    <w:rsid w:val="2E485F70"/>
    <w:rsid w:val="2E531E73"/>
    <w:rsid w:val="2E5D49EE"/>
    <w:rsid w:val="2E600CB7"/>
    <w:rsid w:val="2E663636"/>
    <w:rsid w:val="2E814C48"/>
    <w:rsid w:val="2E8447EB"/>
    <w:rsid w:val="2E8B7AC6"/>
    <w:rsid w:val="2E8C3B2E"/>
    <w:rsid w:val="2E9B3FEF"/>
    <w:rsid w:val="2E9D095F"/>
    <w:rsid w:val="2EB174F5"/>
    <w:rsid w:val="2EBF300D"/>
    <w:rsid w:val="2ED511D4"/>
    <w:rsid w:val="2ED71A9A"/>
    <w:rsid w:val="2EE308D8"/>
    <w:rsid w:val="2EE81D6E"/>
    <w:rsid w:val="2EF532EC"/>
    <w:rsid w:val="2EF818D3"/>
    <w:rsid w:val="2EF865CF"/>
    <w:rsid w:val="2EFB2B10"/>
    <w:rsid w:val="2F0A2BC0"/>
    <w:rsid w:val="2F0D4A2F"/>
    <w:rsid w:val="2F0D79D0"/>
    <w:rsid w:val="2F0E2E12"/>
    <w:rsid w:val="2F136A32"/>
    <w:rsid w:val="2F1E1609"/>
    <w:rsid w:val="2F2A181E"/>
    <w:rsid w:val="2F2B1E43"/>
    <w:rsid w:val="2F2C329A"/>
    <w:rsid w:val="2F3757C1"/>
    <w:rsid w:val="2F3F0C3C"/>
    <w:rsid w:val="2F4E6FDD"/>
    <w:rsid w:val="2F64288F"/>
    <w:rsid w:val="2F6F5D9E"/>
    <w:rsid w:val="2F7229B1"/>
    <w:rsid w:val="2F907F2A"/>
    <w:rsid w:val="2F9375B9"/>
    <w:rsid w:val="2F9F243F"/>
    <w:rsid w:val="2FAA5B9D"/>
    <w:rsid w:val="2FB12887"/>
    <w:rsid w:val="2FB53DE4"/>
    <w:rsid w:val="2FB83827"/>
    <w:rsid w:val="2FBB3735"/>
    <w:rsid w:val="2FC30A92"/>
    <w:rsid w:val="2FCF25FE"/>
    <w:rsid w:val="2FDA0125"/>
    <w:rsid w:val="2FDB5C79"/>
    <w:rsid w:val="2FDF7144"/>
    <w:rsid w:val="2FE45D01"/>
    <w:rsid w:val="2FEB3D4B"/>
    <w:rsid w:val="2FF14472"/>
    <w:rsid w:val="2FF24FC3"/>
    <w:rsid w:val="2FF7305E"/>
    <w:rsid w:val="2FFB0C99"/>
    <w:rsid w:val="30197CFC"/>
    <w:rsid w:val="30210242"/>
    <w:rsid w:val="302C7FDC"/>
    <w:rsid w:val="303717F8"/>
    <w:rsid w:val="304A7AB3"/>
    <w:rsid w:val="3050681D"/>
    <w:rsid w:val="305214FA"/>
    <w:rsid w:val="3057192F"/>
    <w:rsid w:val="305D3F3B"/>
    <w:rsid w:val="30616FB6"/>
    <w:rsid w:val="30640391"/>
    <w:rsid w:val="3073358B"/>
    <w:rsid w:val="30790175"/>
    <w:rsid w:val="307B1DA3"/>
    <w:rsid w:val="307E3A0F"/>
    <w:rsid w:val="307F5E87"/>
    <w:rsid w:val="308B64CA"/>
    <w:rsid w:val="30957AD0"/>
    <w:rsid w:val="309A11ED"/>
    <w:rsid w:val="30A92D77"/>
    <w:rsid w:val="30B36BC8"/>
    <w:rsid w:val="30C02577"/>
    <w:rsid w:val="30D959ED"/>
    <w:rsid w:val="30DF2191"/>
    <w:rsid w:val="30F30AFB"/>
    <w:rsid w:val="30F46B5D"/>
    <w:rsid w:val="30F50BFC"/>
    <w:rsid w:val="30FF1D45"/>
    <w:rsid w:val="310E38FB"/>
    <w:rsid w:val="312E0A3D"/>
    <w:rsid w:val="31312443"/>
    <w:rsid w:val="31326441"/>
    <w:rsid w:val="31381E3E"/>
    <w:rsid w:val="313B7162"/>
    <w:rsid w:val="313D5BD5"/>
    <w:rsid w:val="314F53DE"/>
    <w:rsid w:val="314F5C2A"/>
    <w:rsid w:val="315036B1"/>
    <w:rsid w:val="31555CD6"/>
    <w:rsid w:val="3161372D"/>
    <w:rsid w:val="31672817"/>
    <w:rsid w:val="316A6E70"/>
    <w:rsid w:val="316C3B63"/>
    <w:rsid w:val="3171291F"/>
    <w:rsid w:val="317763C7"/>
    <w:rsid w:val="317F13AA"/>
    <w:rsid w:val="318376C1"/>
    <w:rsid w:val="31942810"/>
    <w:rsid w:val="319954FB"/>
    <w:rsid w:val="31A318D4"/>
    <w:rsid w:val="31A779FF"/>
    <w:rsid w:val="31AA0A29"/>
    <w:rsid w:val="31BB7712"/>
    <w:rsid w:val="31C10847"/>
    <w:rsid w:val="31C12A66"/>
    <w:rsid w:val="31DA4D2D"/>
    <w:rsid w:val="31DC7DF0"/>
    <w:rsid w:val="31DE62B2"/>
    <w:rsid w:val="31E7299D"/>
    <w:rsid w:val="31E925AF"/>
    <w:rsid w:val="31ED5990"/>
    <w:rsid w:val="31EE1AAF"/>
    <w:rsid w:val="31F06D01"/>
    <w:rsid w:val="31F63241"/>
    <w:rsid w:val="31F6486A"/>
    <w:rsid w:val="32014502"/>
    <w:rsid w:val="320603DC"/>
    <w:rsid w:val="32097F0A"/>
    <w:rsid w:val="320E6D09"/>
    <w:rsid w:val="32110B72"/>
    <w:rsid w:val="322B2817"/>
    <w:rsid w:val="32475A97"/>
    <w:rsid w:val="324F1F22"/>
    <w:rsid w:val="32531BC4"/>
    <w:rsid w:val="325E2159"/>
    <w:rsid w:val="32677CE5"/>
    <w:rsid w:val="32692B16"/>
    <w:rsid w:val="32791533"/>
    <w:rsid w:val="3287411B"/>
    <w:rsid w:val="328B57DC"/>
    <w:rsid w:val="32953292"/>
    <w:rsid w:val="32967ADD"/>
    <w:rsid w:val="32976A7F"/>
    <w:rsid w:val="32A62EB8"/>
    <w:rsid w:val="32AA3444"/>
    <w:rsid w:val="32BC3F6A"/>
    <w:rsid w:val="32C32639"/>
    <w:rsid w:val="32C66625"/>
    <w:rsid w:val="32DE5696"/>
    <w:rsid w:val="32E65853"/>
    <w:rsid w:val="32EF2E88"/>
    <w:rsid w:val="32F12805"/>
    <w:rsid w:val="32FA7533"/>
    <w:rsid w:val="32FC7669"/>
    <w:rsid w:val="330205DA"/>
    <w:rsid w:val="330A402E"/>
    <w:rsid w:val="330F07ED"/>
    <w:rsid w:val="331451A7"/>
    <w:rsid w:val="331F6DA8"/>
    <w:rsid w:val="33201354"/>
    <w:rsid w:val="332123A2"/>
    <w:rsid w:val="332B702A"/>
    <w:rsid w:val="332C4A0E"/>
    <w:rsid w:val="33335B00"/>
    <w:rsid w:val="33340E8F"/>
    <w:rsid w:val="335644A5"/>
    <w:rsid w:val="335D733F"/>
    <w:rsid w:val="33656F10"/>
    <w:rsid w:val="33707168"/>
    <w:rsid w:val="337F792F"/>
    <w:rsid w:val="338A755F"/>
    <w:rsid w:val="338D1F4B"/>
    <w:rsid w:val="339260C6"/>
    <w:rsid w:val="33C3205F"/>
    <w:rsid w:val="33C72C95"/>
    <w:rsid w:val="33D617AD"/>
    <w:rsid w:val="33D8576E"/>
    <w:rsid w:val="33E4612E"/>
    <w:rsid w:val="33E71EE4"/>
    <w:rsid w:val="33EA69D8"/>
    <w:rsid w:val="33FA0AF8"/>
    <w:rsid w:val="34003CF2"/>
    <w:rsid w:val="34191282"/>
    <w:rsid w:val="341E030F"/>
    <w:rsid w:val="34281FFA"/>
    <w:rsid w:val="342D5A4F"/>
    <w:rsid w:val="34362671"/>
    <w:rsid w:val="343C5298"/>
    <w:rsid w:val="343F7103"/>
    <w:rsid w:val="3440434E"/>
    <w:rsid w:val="3442504B"/>
    <w:rsid w:val="344D2429"/>
    <w:rsid w:val="345C30C0"/>
    <w:rsid w:val="345F5ECE"/>
    <w:rsid w:val="346B61B3"/>
    <w:rsid w:val="34732C1D"/>
    <w:rsid w:val="347520D1"/>
    <w:rsid w:val="347630A0"/>
    <w:rsid w:val="347D68F9"/>
    <w:rsid w:val="34873EA9"/>
    <w:rsid w:val="34874D06"/>
    <w:rsid w:val="348957C0"/>
    <w:rsid w:val="348A478F"/>
    <w:rsid w:val="348A4B3E"/>
    <w:rsid w:val="349F4C86"/>
    <w:rsid w:val="34A45B97"/>
    <w:rsid w:val="34A73619"/>
    <w:rsid w:val="34B71C7B"/>
    <w:rsid w:val="34BD3692"/>
    <w:rsid w:val="34C10C82"/>
    <w:rsid w:val="34CA6678"/>
    <w:rsid w:val="34DA61EF"/>
    <w:rsid w:val="34DB5E6E"/>
    <w:rsid w:val="34E03145"/>
    <w:rsid w:val="34E22CC3"/>
    <w:rsid w:val="34E57758"/>
    <w:rsid w:val="34E73A8F"/>
    <w:rsid w:val="34E947C0"/>
    <w:rsid w:val="34EB415F"/>
    <w:rsid w:val="34EE1481"/>
    <w:rsid w:val="34F345F8"/>
    <w:rsid w:val="34FE2F39"/>
    <w:rsid w:val="35105F2C"/>
    <w:rsid w:val="35120D4C"/>
    <w:rsid w:val="35171DCC"/>
    <w:rsid w:val="3518600C"/>
    <w:rsid w:val="35294274"/>
    <w:rsid w:val="352E1F48"/>
    <w:rsid w:val="352E3476"/>
    <w:rsid w:val="3535106A"/>
    <w:rsid w:val="35367EA7"/>
    <w:rsid w:val="3537108D"/>
    <w:rsid w:val="353E3EFF"/>
    <w:rsid w:val="35513071"/>
    <w:rsid w:val="35573ADD"/>
    <w:rsid w:val="35890BEC"/>
    <w:rsid w:val="35893F14"/>
    <w:rsid w:val="358A0655"/>
    <w:rsid w:val="358F339E"/>
    <w:rsid w:val="35933A2A"/>
    <w:rsid w:val="35945B70"/>
    <w:rsid w:val="359556B7"/>
    <w:rsid w:val="35990BEB"/>
    <w:rsid w:val="359D6B1B"/>
    <w:rsid w:val="359E4854"/>
    <w:rsid w:val="35AD4F96"/>
    <w:rsid w:val="35B20815"/>
    <w:rsid w:val="35B7410A"/>
    <w:rsid w:val="35BA0EE9"/>
    <w:rsid w:val="35BD75CE"/>
    <w:rsid w:val="35C746A6"/>
    <w:rsid w:val="35D60FEA"/>
    <w:rsid w:val="35D72348"/>
    <w:rsid w:val="35ED55C0"/>
    <w:rsid w:val="36017975"/>
    <w:rsid w:val="36057A5B"/>
    <w:rsid w:val="360F1D64"/>
    <w:rsid w:val="36220BAE"/>
    <w:rsid w:val="36253CC7"/>
    <w:rsid w:val="362C00ED"/>
    <w:rsid w:val="36315C88"/>
    <w:rsid w:val="36345AB6"/>
    <w:rsid w:val="363D5272"/>
    <w:rsid w:val="364652CE"/>
    <w:rsid w:val="36542A07"/>
    <w:rsid w:val="36575731"/>
    <w:rsid w:val="3659461E"/>
    <w:rsid w:val="365B64E7"/>
    <w:rsid w:val="36614461"/>
    <w:rsid w:val="366927FC"/>
    <w:rsid w:val="366C6551"/>
    <w:rsid w:val="366E64C7"/>
    <w:rsid w:val="36741242"/>
    <w:rsid w:val="367439D5"/>
    <w:rsid w:val="367E74C1"/>
    <w:rsid w:val="368750DD"/>
    <w:rsid w:val="368F3FCE"/>
    <w:rsid w:val="368F497F"/>
    <w:rsid w:val="36910553"/>
    <w:rsid w:val="369D4071"/>
    <w:rsid w:val="369E11FE"/>
    <w:rsid w:val="36A348E1"/>
    <w:rsid w:val="36A92E19"/>
    <w:rsid w:val="36B81ADD"/>
    <w:rsid w:val="36C728E2"/>
    <w:rsid w:val="36D66451"/>
    <w:rsid w:val="36E177BB"/>
    <w:rsid w:val="36E766A2"/>
    <w:rsid w:val="36EA7024"/>
    <w:rsid w:val="37076400"/>
    <w:rsid w:val="37234B77"/>
    <w:rsid w:val="37240CE6"/>
    <w:rsid w:val="3724339F"/>
    <w:rsid w:val="373572DB"/>
    <w:rsid w:val="37443D51"/>
    <w:rsid w:val="37445CBB"/>
    <w:rsid w:val="374D74AD"/>
    <w:rsid w:val="374E01C4"/>
    <w:rsid w:val="376C2F70"/>
    <w:rsid w:val="376F0010"/>
    <w:rsid w:val="377114DB"/>
    <w:rsid w:val="377863E9"/>
    <w:rsid w:val="377C2114"/>
    <w:rsid w:val="378758BE"/>
    <w:rsid w:val="37966308"/>
    <w:rsid w:val="379C306A"/>
    <w:rsid w:val="379E24D3"/>
    <w:rsid w:val="37A952BB"/>
    <w:rsid w:val="37AC0F44"/>
    <w:rsid w:val="37B3118C"/>
    <w:rsid w:val="37B5356F"/>
    <w:rsid w:val="37BB76EC"/>
    <w:rsid w:val="37D271B7"/>
    <w:rsid w:val="37E909E6"/>
    <w:rsid w:val="37F76DD3"/>
    <w:rsid w:val="37FD1422"/>
    <w:rsid w:val="37FD6143"/>
    <w:rsid w:val="38144D95"/>
    <w:rsid w:val="381B34F7"/>
    <w:rsid w:val="381D32C2"/>
    <w:rsid w:val="38234455"/>
    <w:rsid w:val="38244068"/>
    <w:rsid w:val="382D7B09"/>
    <w:rsid w:val="382E2C53"/>
    <w:rsid w:val="38323229"/>
    <w:rsid w:val="384420A4"/>
    <w:rsid w:val="384A7673"/>
    <w:rsid w:val="384B4212"/>
    <w:rsid w:val="385B702B"/>
    <w:rsid w:val="385D3979"/>
    <w:rsid w:val="386321B9"/>
    <w:rsid w:val="386D47E5"/>
    <w:rsid w:val="387A2F64"/>
    <w:rsid w:val="387C5FA4"/>
    <w:rsid w:val="389E6507"/>
    <w:rsid w:val="38AC1E2E"/>
    <w:rsid w:val="38B55AC3"/>
    <w:rsid w:val="38BD423D"/>
    <w:rsid w:val="38C90CB7"/>
    <w:rsid w:val="38C90D63"/>
    <w:rsid w:val="38D20DBD"/>
    <w:rsid w:val="38D63025"/>
    <w:rsid w:val="38DE16AF"/>
    <w:rsid w:val="38EA7806"/>
    <w:rsid w:val="38F16152"/>
    <w:rsid w:val="38F5797A"/>
    <w:rsid w:val="38FB62BB"/>
    <w:rsid w:val="38FE0EBD"/>
    <w:rsid w:val="390410A3"/>
    <w:rsid w:val="39052342"/>
    <w:rsid w:val="39086950"/>
    <w:rsid w:val="392251DD"/>
    <w:rsid w:val="39262386"/>
    <w:rsid w:val="39416BE0"/>
    <w:rsid w:val="39482F67"/>
    <w:rsid w:val="394B7C3B"/>
    <w:rsid w:val="394F390C"/>
    <w:rsid w:val="395B0458"/>
    <w:rsid w:val="3960671D"/>
    <w:rsid w:val="396A2986"/>
    <w:rsid w:val="396C5754"/>
    <w:rsid w:val="397112E7"/>
    <w:rsid w:val="39761FED"/>
    <w:rsid w:val="398257DD"/>
    <w:rsid w:val="398A1BE1"/>
    <w:rsid w:val="398D7DC4"/>
    <w:rsid w:val="39917155"/>
    <w:rsid w:val="399D55D7"/>
    <w:rsid w:val="39AA0EBF"/>
    <w:rsid w:val="39B040B2"/>
    <w:rsid w:val="39B20C35"/>
    <w:rsid w:val="39B514D0"/>
    <w:rsid w:val="39BF1E48"/>
    <w:rsid w:val="39C53095"/>
    <w:rsid w:val="39CB3A14"/>
    <w:rsid w:val="39CC5598"/>
    <w:rsid w:val="39CE0235"/>
    <w:rsid w:val="39CE5A6B"/>
    <w:rsid w:val="39D25837"/>
    <w:rsid w:val="39EC55C8"/>
    <w:rsid w:val="39EF7497"/>
    <w:rsid w:val="39F548B3"/>
    <w:rsid w:val="3A02307D"/>
    <w:rsid w:val="3A0B01E4"/>
    <w:rsid w:val="3A0B58F1"/>
    <w:rsid w:val="3A263B1F"/>
    <w:rsid w:val="3A29008C"/>
    <w:rsid w:val="3A362ED3"/>
    <w:rsid w:val="3A3F6357"/>
    <w:rsid w:val="3A4345EE"/>
    <w:rsid w:val="3A441534"/>
    <w:rsid w:val="3A6F1FED"/>
    <w:rsid w:val="3A7921C7"/>
    <w:rsid w:val="3A7A2422"/>
    <w:rsid w:val="3A7B4D1E"/>
    <w:rsid w:val="3A8B7330"/>
    <w:rsid w:val="3A982B0E"/>
    <w:rsid w:val="3AA514E8"/>
    <w:rsid w:val="3AA819FA"/>
    <w:rsid w:val="3AB04550"/>
    <w:rsid w:val="3ABA3BC4"/>
    <w:rsid w:val="3ABE2467"/>
    <w:rsid w:val="3ABE4DAA"/>
    <w:rsid w:val="3ABE514A"/>
    <w:rsid w:val="3AC014AC"/>
    <w:rsid w:val="3AD93B22"/>
    <w:rsid w:val="3AE31FF9"/>
    <w:rsid w:val="3AED765B"/>
    <w:rsid w:val="3B0E5FFA"/>
    <w:rsid w:val="3B110602"/>
    <w:rsid w:val="3B1E64E1"/>
    <w:rsid w:val="3B1F3B6F"/>
    <w:rsid w:val="3B2E2C29"/>
    <w:rsid w:val="3B3F1E83"/>
    <w:rsid w:val="3B574AC3"/>
    <w:rsid w:val="3B624997"/>
    <w:rsid w:val="3B765DA8"/>
    <w:rsid w:val="3B7F22FE"/>
    <w:rsid w:val="3B900368"/>
    <w:rsid w:val="3B930456"/>
    <w:rsid w:val="3B991ADA"/>
    <w:rsid w:val="3B992DBF"/>
    <w:rsid w:val="3B9A1785"/>
    <w:rsid w:val="3BA52B2D"/>
    <w:rsid w:val="3BAC2207"/>
    <w:rsid w:val="3BAE3A2D"/>
    <w:rsid w:val="3BB001C8"/>
    <w:rsid w:val="3BB8333C"/>
    <w:rsid w:val="3BC00F52"/>
    <w:rsid w:val="3BC142AA"/>
    <w:rsid w:val="3BD12B32"/>
    <w:rsid w:val="3BFE4618"/>
    <w:rsid w:val="3BFE5402"/>
    <w:rsid w:val="3C115764"/>
    <w:rsid w:val="3C1A7771"/>
    <w:rsid w:val="3C2338B5"/>
    <w:rsid w:val="3C280E83"/>
    <w:rsid w:val="3C29175E"/>
    <w:rsid w:val="3C293DF0"/>
    <w:rsid w:val="3C365E58"/>
    <w:rsid w:val="3C3759F0"/>
    <w:rsid w:val="3C4319C7"/>
    <w:rsid w:val="3C484CA3"/>
    <w:rsid w:val="3C531EF1"/>
    <w:rsid w:val="3C585ABB"/>
    <w:rsid w:val="3C643B87"/>
    <w:rsid w:val="3C6A473F"/>
    <w:rsid w:val="3C744505"/>
    <w:rsid w:val="3C747DBA"/>
    <w:rsid w:val="3C8649E7"/>
    <w:rsid w:val="3C86525B"/>
    <w:rsid w:val="3C917BAF"/>
    <w:rsid w:val="3C996A0D"/>
    <w:rsid w:val="3CA06ED8"/>
    <w:rsid w:val="3CA46C1A"/>
    <w:rsid w:val="3CA5024C"/>
    <w:rsid w:val="3CAE3D77"/>
    <w:rsid w:val="3CB322E7"/>
    <w:rsid w:val="3CBC19BE"/>
    <w:rsid w:val="3CC221F6"/>
    <w:rsid w:val="3CC46ECB"/>
    <w:rsid w:val="3CCC3590"/>
    <w:rsid w:val="3CD54DAE"/>
    <w:rsid w:val="3CDD4BAD"/>
    <w:rsid w:val="3CE15607"/>
    <w:rsid w:val="3CE34B16"/>
    <w:rsid w:val="3CE468F1"/>
    <w:rsid w:val="3CE836BD"/>
    <w:rsid w:val="3D0B0A3F"/>
    <w:rsid w:val="3D1109A3"/>
    <w:rsid w:val="3D1240B5"/>
    <w:rsid w:val="3D1518A8"/>
    <w:rsid w:val="3D1D72E2"/>
    <w:rsid w:val="3D2A164C"/>
    <w:rsid w:val="3D386B55"/>
    <w:rsid w:val="3D40474A"/>
    <w:rsid w:val="3D544F1B"/>
    <w:rsid w:val="3D5D2B9E"/>
    <w:rsid w:val="3D6B336F"/>
    <w:rsid w:val="3D6D02AB"/>
    <w:rsid w:val="3D6D1219"/>
    <w:rsid w:val="3D6D61FC"/>
    <w:rsid w:val="3D927CCC"/>
    <w:rsid w:val="3D9806D4"/>
    <w:rsid w:val="3DA043FA"/>
    <w:rsid w:val="3DA44A13"/>
    <w:rsid w:val="3DA75854"/>
    <w:rsid w:val="3DAA1FA4"/>
    <w:rsid w:val="3DB57117"/>
    <w:rsid w:val="3DB62029"/>
    <w:rsid w:val="3DC171B6"/>
    <w:rsid w:val="3DC24461"/>
    <w:rsid w:val="3DC821A7"/>
    <w:rsid w:val="3DDA07FF"/>
    <w:rsid w:val="3DDA3C59"/>
    <w:rsid w:val="3DDF3E45"/>
    <w:rsid w:val="3DED4427"/>
    <w:rsid w:val="3E101C74"/>
    <w:rsid w:val="3E142AFF"/>
    <w:rsid w:val="3E264EE4"/>
    <w:rsid w:val="3E2773E0"/>
    <w:rsid w:val="3E2A5B28"/>
    <w:rsid w:val="3E302915"/>
    <w:rsid w:val="3E3220A2"/>
    <w:rsid w:val="3E347687"/>
    <w:rsid w:val="3E452DF2"/>
    <w:rsid w:val="3E4966E8"/>
    <w:rsid w:val="3E49758C"/>
    <w:rsid w:val="3E6909CB"/>
    <w:rsid w:val="3E7523F5"/>
    <w:rsid w:val="3E831400"/>
    <w:rsid w:val="3E881B14"/>
    <w:rsid w:val="3E8E18C4"/>
    <w:rsid w:val="3EAC2B17"/>
    <w:rsid w:val="3EB04003"/>
    <w:rsid w:val="3EB665FE"/>
    <w:rsid w:val="3EB90B14"/>
    <w:rsid w:val="3EBA690C"/>
    <w:rsid w:val="3EC01FE2"/>
    <w:rsid w:val="3EC166D8"/>
    <w:rsid w:val="3ED82DD4"/>
    <w:rsid w:val="3ED914A4"/>
    <w:rsid w:val="3EDB1026"/>
    <w:rsid w:val="3EF86262"/>
    <w:rsid w:val="3EFD5B24"/>
    <w:rsid w:val="3F005D33"/>
    <w:rsid w:val="3F072B30"/>
    <w:rsid w:val="3F0D361E"/>
    <w:rsid w:val="3F174209"/>
    <w:rsid w:val="3F1F7326"/>
    <w:rsid w:val="3F2809F8"/>
    <w:rsid w:val="3F2C6515"/>
    <w:rsid w:val="3F326C36"/>
    <w:rsid w:val="3F654CA5"/>
    <w:rsid w:val="3F6F6CF5"/>
    <w:rsid w:val="3F7D15B9"/>
    <w:rsid w:val="3F810DAB"/>
    <w:rsid w:val="3F811768"/>
    <w:rsid w:val="3F8C5FC3"/>
    <w:rsid w:val="3F911AFF"/>
    <w:rsid w:val="3F9326BB"/>
    <w:rsid w:val="3FC72DAE"/>
    <w:rsid w:val="3FCF401B"/>
    <w:rsid w:val="3FD175FD"/>
    <w:rsid w:val="3FDD56AB"/>
    <w:rsid w:val="3FEF5AA1"/>
    <w:rsid w:val="3FF035AC"/>
    <w:rsid w:val="3FF04150"/>
    <w:rsid w:val="3FF95A18"/>
    <w:rsid w:val="40236C5C"/>
    <w:rsid w:val="4029634C"/>
    <w:rsid w:val="40402CAC"/>
    <w:rsid w:val="40421F6F"/>
    <w:rsid w:val="404C1CF6"/>
    <w:rsid w:val="40551C4D"/>
    <w:rsid w:val="40567D02"/>
    <w:rsid w:val="4069143E"/>
    <w:rsid w:val="406F7B4F"/>
    <w:rsid w:val="40700C43"/>
    <w:rsid w:val="40841899"/>
    <w:rsid w:val="408753EB"/>
    <w:rsid w:val="408B340B"/>
    <w:rsid w:val="4097383D"/>
    <w:rsid w:val="40A178AB"/>
    <w:rsid w:val="40A4535A"/>
    <w:rsid w:val="40A472A2"/>
    <w:rsid w:val="40A6640D"/>
    <w:rsid w:val="40BE450A"/>
    <w:rsid w:val="40C7776F"/>
    <w:rsid w:val="40C82E12"/>
    <w:rsid w:val="40CD5AAC"/>
    <w:rsid w:val="40D72DDC"/>
    <w:rsid w:val="40D8629F"/>
    <w:rsid w:val="40DA1220"/>
    <w:rsid w:val="40E63BB6"/>
    <w:rsid w:val="40E74D56"/>
    <w:rsid w:val="40FB100B"/>
    <w:rsid w:val="410B3D8F"/>
    <w:rsid w:val="41113990"/>
    <w:rsid w:val="412228A0"/>
    <w:rsid w:val="4127682B"/>
    <w:rsid w:val="41296CC6"/>
    <w:rsid w:val="414B46CF"/>
    <w:rsid w:val="415879B0"/>
    <w:rsid w:val="415A050B"/>
    <w:rsid w:val="41626D33"/>
    <w:rsid w:val="416B5FCA"/>
    <w:rsid w:val="417101C6"/>
    <w:rsid w:val="41711FD7"/>
    <w:rsid w:val="41852882"/>
    <w:rsid w:val="418E601D"/>
    <w:rsid w:val="419D5A2A"/>
    <w:rsid w:val="419F0E81"/>
    <w:rsid w:val="41A73B25"/>
    <w:rsid w:val="41AB3F0B"/>
    <w:rsid w:val="41B014C2"/>
    <w:rsid w:val="41B42C18"/>
    <w:rsid w:val="41BF3BB0"/>
    <w:rsid w:val="41C2623B"/>
    <w:rsid w:val="41C5164A"/>
    <w:rsid w:val="41C66E9E"/>
    <w:rsid w:val="41E179E3"/>
    <w:rsid w:val="41E3130D"/>
    <w:rsid w:val="41EA4738"/>
    <w:rsid w:val="41EE79C5"/>
    <w:rsid w:val="42091EFF"/>
    <w:rsid w:val="420F75F3"/>
    <w:rsid w:val="42112670"/>
    <w:rsid w:val="421155BF"/>
    <w:rsid w:val="421F33ED"/>
    <w:rsid w:val="4227747C"/>
    <w:rsid w:val="42287574"/>
    <w:rsid w:val="42306BAB"/>
    <w:rsid w:val="42336E2F"/>
    <w:rsid w:val="42384EB0"/>
    <w:rsid w:val="424F7B98"/>
    <w:rsid w:val="425662AB"/>
    <w:rsid w:val="425A4C9B"/>
    <w:rsid w:val="42667E17"/>
    <w:rsid w:val="4271243E"/>
    <w:rsid w:val="42841A18"/>
    <w:rsid w:val="429511EA"/>
    <w:rsid w:val="42A42AC6"/>
    <w:rsid w:val="42AA1BED"/>
    <w:rsid w:val="42CA40EC"/>
    <w:rsid w:val="42CD7CCF"/>
    <w:rsid w:val="42EA419A"/>
    <w:rsid w:val="430C7A8D"/>
    <w:rsid w:val="430D403A"/>
    <w:rsid w:val="433568ED"/>
    <w:rsid w:val="43382BF1"/>
    <w:rsid w:val="433D0840"/>
    <w:rsid w:val="4340699F"/>
    <w:rsid w:val="43530128"/>
    <w:rsid w:val="435418B5"/>
    <w:rsid w:val="43570306"/>
    <w:rsid w:val="43662DC6"/>
    <w:rsid w:val="436848EC"/>
    <w:rsid w:val="436A33B4"/>
    <w:rsid w:val="43741A35"/>
    <w:rsid w:val="437A4294"/>
    <w:rsid w:val="4388015C"/>
    <w:rsid w:val="438D16CA"/>
    <w:rsid w:val="43986F5C"/>
    <w:rsid w:val="43A05DD0"/>
    <w:rsid w:val="43AA25E9"/>
    <w:rsid w:val="43B46855"/>
    <w:rsid w:val="43B667EA"/>
    <w:rsid w:val="43BC4ACD"/>
    <w:rsid w:val="43CE6AEE"/>
    <w:rsid w:val="43CF240C"/>
    <w:rsid w:val="43DA4A6B"/>
    <w:rsid w:val="43DD32DA"/>
    <w:rsid w:val="43DE39F0"/>
    <w:rsid w:val="4413097F"/>
    <w:rsid w:val="441A1629"/>
    <w:rsid w:val="441A49C9"/>
    <w:rsid w:val="443071CD"/>
    <w:rsid w:val="443108B2"/>
    <w:rsid w:val="443E1A01"/>
    <w:rsid w:val="4452741C"/>
    <w:rsid w:val="44553825"/>
    <w:rsid w:val="44583878"/>
    <w:rsid w:val="445C390B"/>
    <w:rsid w:val="4462713A"/>
    <w:rsid w:val="44643905"/>
    <w:rsid w:val="446E0854"/>
    <w:rsid w:val="447446F3"/>
    <w:rsid w:val="447B185F"/>
    <w:rsid w:val="44810133"/>
    <w:rsid w:val="4483513E"/>
    <w:rsid w:val="448B48DC"/>
    <w:rsid w:val="448E0C7E"/>
    <w:rsid w:val="44925F8F"/>
    <w:rsid w:val="44A15C1C"/>
    <w:rsid w:val="44B053C1"/>
    <w:rsid w:val="44BD43B7"/>
    <w:rsid w:val="44C77B1C"/>
    <w:rsid w:val="44CF24F9"/>
    <w:rsid w:val="44EC2B63"/>
    <w:rsid w:val="45055991"/>
    <w:rsid w:val="450E7756"/>
    <w:rsid w:val="4511188D"/>
    <w:rsid w:val="4531544B"/>
    <w:rsid w:val="4533356A"/>
    <w:rsid w:val="45360368"/>
    <w:rsid w:val="454163A1"/>
    <w:rsid w:val="45426345"/>
    <w:rsid w:val="455413E8"/>
    <w:rsid w:val="455B20D5"/>
    <w:rsid w:val="45690BD5"/>
    <w:rsid w:val="45920766"/>
    <w:rsid w:val="45A2756C"/>
    <w:rsid w:val="45A620CE"/>
    <w:rsid w:val="45A800F8"/>
    <w:rsid w:val="45BC17EE"/>
    <w:rsid w:val="45C12BCF"/>
    <w:rsid w:val="45C51846"/>
    <w:rsid w:val="45D32B4B"/>
    <w:rsid w:val="45D91775"/>
    <w:rsid w:val="45DA204E"/>
    <w:rsid w:val="45DC422D"/>
    <w:rsid w:val="45DE1796"/>
    <w:rsid w:val="45F43D01"/>
    <w:rsid w:val="45F55AEC"/>
    <w:rsid w:val="45FC4B12"/>
    <w:rsid w:val="46045FC6"/>
    <w:rsid w:val="463B4E0A"/>
    <w:rsid w:val="463F5C3B"/>
    <w:rsid w:val="46464254"/>
    <w:rsid w:val="464D7053"/>
    <w:rsid w:val="46511E7C"/>
    <w:rsid w:val="46666829"/>
    <w:rsid w:val="466E5535"/>
    <w:rsid w:val="46A50B42"/>
    <w:rsid w:val="46A8752B"/>
    <w:rsid w:val="46AD3843"/>
    <w:rsid w:val="46B373F5"/>
    <w:rsid w:val="46C141B3"/>
    <w:rsid w:val="46C208DF"/>
    <w:rsid w:val="46DF3736"/>
    <w:rsid w:val="46F1268C"/>
    <w:rsid w:val="46F16029"/>
    <w:rsid w:val="47013932"/>
    <w:rsid w:val="470A1946"/>
    <w:rsid w:val="470B290F"/>
    <w:rsid w:val="471224D4"/>
    <w:rsid w:val="4712774F"/>
    <w:rsid w:val="4714345F"/>
    <w:rsid w:val="47187471"/>
    <w:rsid w:val="472314D5"/>
    <w:rsid w:val="472B71D3"/>
    <w:rsid w:val="472F3498"/>
    <w:rsid w:val="47371DE7"/>
    <w:rsid w:val="474B2FD1"/>
    <w:rsid w:val="474C344E"/>
    <w:rsid w:val="475C7F6D"/>
    <w:rsid w:val="47611666"/>
    <w:rsid w:val="478B6F1A"/>
    <w:rsid w:val="47933E06"/>
    <w:rsid w:val="47A47DF9"/>
    <w:rsid w:val="47B724FC"/>
    <w:rsid w:val="47BF34AE"/>
    <w:rsid w:val="47CE0312"/>
    <w:rsid w:val="47E82CC8"/>
    <w:rsid w:val="47EF0AA6"/>
    <w:rsid w:val="47EF1DCA"/>
    <w:rsid w:val="47F73A32"/>
    <w:rsid w:val="48020637"/>
    <w:rsid w:val="480452DE"/>
    <w:rsid w:val="480D25FA"/>
    <w:rsid w:val="481C0CDA"/>
    <w:rsid w:val="481E4407"/>
    <w:rsid w:val="482B5EDB"/>
    <w:rsid w:val="482C3B5A"/>
    <w:rsid w:val="48392DDA"/>
    <w:rsid w:val="483A1626"/>
    <w:rsid w:val="484314FA"/>
    <w:rsid w:val="48440049"/>
    <w:rsid w:val="48555D17"/>
    <w:rsid w:val="48645BB1"/>
    <w:rsid w:val="48675F1F"/>
    <w:rsid w:val="48716E11"/>
    <w:rsid w:val="487265D9"/>
    <w:rsid w:val="48787C1F"/>
    <w:rsid w:val="48792020"/>
    <w:rsid w:val="488B6703"/>
    <w:rsid w:val="48927F3A"/>
    <w:rsid w:val="48950F53"/>
    <w:rsid w:val="4898165A"/>
    <w:rsid w:val="48B65345"/>
    <w:rsid w:val="48D43B18"/>
    <w:rsid w:val="48D52BBB"/>
    <w:rsid w:val="48DE3500"/>
    <w:rsid w:val="48E155A0"/>
    <w:rsid w:val="48F73A0D"/>
    <w:rsid w:val="48FD5539"/>
    <w:rsid w:val="4901016E"/>
    <w:rsid w:val="4909337C"/>
    <w:rsid w:val="490F216D"/>
    <w:rsid w:val="490F71BB"/>
    <w:rsid w:val="491A63E2"/>
    <w:rsid w:val="49302DBD"/>
    <w:rsid w:val="49372100"/>
    <w:rsid w:val="494750B4"/>
    <w:rsid w:val="494922E7"/>
    <w:rsid w:val="496C1A45"/>
    <w:rsid w:val="496F79A9"/>
    <w:rsid w:val="498737AF"/>
    <w:rsid w:val="498761D2"/>
    <w:rsid w:val="498C50B7"/>
    <w:rsid w:val="499A08CB"/>
    <w:rsid w:val="499F0BA7"/>
    <w:rsid w:val="49A26374"/>
    <w:rsid w:val="49C94861"/>
    <w:rsid w:val="49DA2442"/>
    <w:rsid w:val="49DD2993"/>
    <w:rsid w:val="49DD5FDC"/>
    <w:rsid w:val="49DD7C88"/>
    <w:rsid w:val="49F22803"/>
    <w:rsid w:val="4A03498E"/>
    <w:rsid w:val="4A2251CD"/>
    <w:rsid w:val="4A277332"/>
    <w:rsid w:val="4A487E4A"/>
    <w:rsid w:val="4A501FBE"/>
    <w:rsid w:val="4A576ADB"/>
    <w:rsid w:val="4A582FF1"/>
    <w:rsid w:val="4A5C7D7C"/>
    <w:rsid w:val="4A7361B7"/>
    <w:rsid w:val="4A943697"/>
    <w:rsid w:val="4AA97369"/>
    <w:rsid w:val="4AC0396C"/>
    <w:rsid w:val="4AEA7EDF"/>
    <w:rsid w:val="4AEC0103"/>
    <w:rsid w:val="4AF130A4"/>
    <w:rsid w:val="4AF70E22"/>
    <w:rsid w:val="4AFB2F2A"/>
    <w:rsid w:val="4B1A0FD9"/>
    <w:rsid w:val="4B1C2402"/>
    <w:rsid w:val="4B2C4C17"/>
    <w:rsid w:val="4B2F7C7C"/>
    <w:rsid w:val="4B437040"/>
    <w:rsid w:val="4B6004CD"/>
    <w:rsid w:val="4B6843E9"/>
    <w:rsid w:val="4B6A6914"/>
    <w:rsid w:val="4B772527"/>
    <w:rsid w:val="4B8C7A31"/>
    <w:rsid w:val="4B9B324E"/>
    <w:rsid w:val="4BA74183"/>
    <w:rsid w:val="4BAA4AB7"/>
    <w:rsid w:val="4BAB17CB"/>
    <w:rsid w:val="4BB13107"/>
    <w:rsid w:val="4BB51F5E"/>
    <w:rsid w:val="4BBA1F88"/>
    <w:rsid w:val="4BBF5995"/>
    <w:rsid w:val="4BD007CF"/>
    <w:rsid w:val="4BE5595B"/>
    <w:rsid w:val="4BF36803"/>
    <w:rsid w:val="4BF80E99"/>
    <w:rsid w:val="4BFC7002"/>
    <w:rsid w:val="4C0219D0"/>
    <w:rsid w:val="4C023AD6"/>
    <w:rsid w:val="4C023BE3"/>
    <w:rsid w:val="4C0472C6"/>
    <w:rsid w:val="4C074C1D"/>
    <w:rsid w:val="4C08230F"/>
    <w:rsid w:val="4C0B33E2"/>
    <w:rsid w:val="4C190E9A"/>
    <w:rsid w:val="4C1E06B7"/>
    <w:rsid w:val="4C302970"/>
    <w:rsid w:val="4C411682"/>
    <w:rsid w:val="4C4424CF"/>
    <w:rsid w:val="4C466B87"/>
    <w:rsid w:val="4C4777B8"/>
    <w:rsid w:val="4C53369F"/>
    <w:rsid w:val="4C5F09D9"/>
    <w:rsid w:val="4C637D06"/>
    <w:rsid w:val="4C6D3572"/>
    <w:rsid w:val="4C727646"/>
    <w:rsid w:val="4C792313"/>
    <w:rsid w:val="4C845128"/>
    <w:rsid w:val="4C8808B8"/>
    <w:rsid w:val="4C8E40DB"/>
    <w:rsid w:val="4C952911"/>
    <w:rsid w:val="4CA97404"/>
    <w:rsid w:val="4CAA7BE8"/>
    <w:rsid w:val="4CAC3FCE"/>
    <w:rsid w:val="4CB537F6"/>
    <w:rsid w:val="4CB73A16"/>
    <w:rsid w:val="4CB8315E"/>
    <w:rsid w:val="4CC0313F"/>
    <w:rsid w:val="4CC5111B"/>
    <w:rsid w:val="4CCC0314"/>
    <w:rsid w:val="4CDC6A37"/>
    <w:rsid w:val="4CEF0251"/>
    <w:rsid w:val="4CF143B9"/>
    <w:rsid w:val="4CFD7371"/>
    <w:rsid w:val="4D027373"/>
    <w:rsid w:val="4D041F80"/>
    <w:rsid w:val="4D0C16B8"/>
    <w:rsid w:val="4D272234"/>
    <w:rsid w:val="4D315CAA"/>
    <w:rsid w:val="4D336DCD"/>
    <w:rsid w:val="4D366C9E"/>
    <w:rsid w:val="4D427BB6"/>
    <w:rsid w:val="4D492380"/>
    <w:rsid w:val="4D5A5ABA"/>
    <w:rsid w:val="4D6253A5"/>
    <w:rsid w:val="4D69341E"/>
    <w:rsid w:val="4D7E333B"/>
    <w:rsid w:val="4D864A16"/>
    <w:rsid w:val="4D937DF7"/>
    <w:rsid w:val="4D9A5DFD"/>
    <w:rsid w:val="4DA817A3"/>
    <w:rsid w:val="4DB52F2B"/>
    <w:rsid w:val="4DB741F8"/>
    <w:rsid w:val="4DB74784"/>
    <w:rsid w:val="4DBC2704"/>
    <w:rsid w:val="4DC94175"/>
    <w:rsid w:val="4DDE1C68"/>
    <w:rsid w:val="4DE74F32"/>
    <w:rsid w:val="4DE7771F"/>
    <w:rsid w:val="4DE82BF8"/>
    <w:rsid w:val="4DF570F6"/>
    <w:rsid w:val="4DF67572"/>
    <w:rsid w:val="4E05466B"/>
    <w:rsid w:val="4E0960FC"/>
    <w:rsid w:val="4E162E05"/>
    <w:rsid w:val="4E1A4AA8"/>
    <w:rsid w:val="4E1B5F5E"/>
    <w:rsid w:val="4E266E85"/>
    <w:rsid w:val="4E381D72"/>
    <w:rsid w:val="4E414B82"/>
    <w:rsid w:val="4E4E5C44"/>
    <w:rsid w:val="4E5A7EC1"/>
    <w:rsid w:val="4E617DB9"/>
    <w:rsid w:val="4E670EAC"/>
    <w:rsid w:val="4E720A51"/>
    <w:rsid w:val="4E960033"/>
    <w:rsid w:val="4E9E21D3"/>
    <w:rsid w:val="4EB0522B"/>
    <w:rsid w:val="4EBA77A3"/>
    <w:rsid w:val="4EBC346D"/>
    <w:rsid w:val="4ECC22B5"/>
    <w:rsid w:val="4ED15E0E"/>
    <w:rsid w:val="4EE52C8D"/>
    <w:rsid w:val="4EE82C3D"/>
    <w:rsid w:val="4EE878C0"/>
    <w:rsid w:val="4EEA3EA1"/>
    <w:rsid w:val="4EEC5ECA"/>
    <w:rsid w:val="4EFD527C"/>
    <w:rsid w:val="4F057735"/>
    <w:rsid w:val="4F0A28C0"/>
    <w:rsid w:val="4F0C6DB8"/>
    <w:rsid w:val="4F151A36"/>
    <w:rsid w:val="4F203509"/>
    <w:rsid w:val="4F2C6C47"/>
    <w:rsid w:val="4F326A78"/>
    <w:rsid w:val="4F396E4D"/>
    <w:rsid w:val="4F3B5DE0"/>
    <w:rsid w:val="4F4053A8"/>
    <w:rsid w:val="4F424006"/>
    <w:rsid w:val="4F43041B"/>
    <w:rsid w:val="4F4C6A78"/>
    <w:rsid w:val="4F5713EB"/>
    <w:rsid w:val="4F575CD7"/>
    <w:rsid w:val="4F7B1679"/>
    <w:rsid w:val="4F8B6A32"/>
    <w:rsid w:val="4F953143"/>
    <w:rsid w:val="4F9541A0"/>
    <w:rsid w:val="4F9F609B"/>
    <w:rsid w:val="4FA4705D"/>
    <w:rsid w:val="4FA60E59"/>
    <w:rsid w:val="4FA77B93"/>
    <w:rsid w:val="4FA821D1"/>
    <w:rsid w:val="4FB405D9"/>
    <w:rsid w:val="4FBE5E2A"/>
    <w:rsid w:val="4FBF6F31"/>
    <w:rsid w:val="4FC828C4"/>
    <w:rsid w:val="4FCF19D9"/>
    <w:rsid w:val="4FF43C18"/>
    <w:rsid w:val="4FF71533"/>
    <w:rsid w:val="4FFE3FDB"/>
    <w:rsid w:val="500542BE"/>
    <w:rsid w:val="5007549F"/>
    <w:rsid w:val="50087E43"/>
    <w:rsid w:val="501242BD"/>
    <w:rsid w:val="50157A64"/>
    <w:rsid w:val="5026028E"/>
    <w:rsid w:val="50287333"/>
    <w:rsid w:val="502C7555"/>
    <w:rsid w:val="504138EB"/>
    <w:rsid w:val="504809A7"/>
    <w:rsid w:val="505A3884"/>
    <w:rsid w:val="505A75A0"/>
    <w:rsid w:val="505B6888"/>
    <w:rsid w:val="507C4A64"/>
    <w:rsid w:val="5082123C"/>
    <w:rsid w:val="50B01B9F"/>
    <w:rsid w:val="50B26023"/>
    <w:rsid w:val="50CD010F"/>
    <w:rsid w:val="50CE347F"/>
    <w:rsid w:val="50DB5E98"/>
    <w:rsid w:val="50DD223C"/>
    <w:rsid w:val="50E220B4"/>
    <w:rsid w:val="50F94DBB"/>
    <w:rsid w:val="510F264B"/>
    <w:rsid w:val="512032E2"/>
    <w:rsid w:val="51305735"/>
    <w:rsid w:val="51366A5A"/>
    <w:rsid w:val="513B11F2"/>
    <w:rsid w:val="51505C0A"/>
    <w:rsid w:val="51510C49"/>
    <w:rsid w:val="51517265"/>
    <w:rsid w:val="516079B8"/>
    <w:rsid w:val="516B57BC"/>
    <w:rsid w:val="517C0CB4"/>
    <w:rsid w:val="518F06F2"/>
    <w:rsid w:val="51927BE6"/>
    <w:rsid w:val="51B45D94"/>
    <w:rsid w:val="51B51287"/>
    <w:rsid w:val="51BE4854"/>
    <w:rsid w:val="51C376A8"/>
    <w:rsid w:val="51CA6D1B"/>
    <w:rsid w:val="51D771CA"/>
    <w:rsid w:val="51E2383E"/>
    <w:rsid w:val="51E749B3"/>
    <w:rsid w:val="51EA3299"/>
    <w:rsid w:val="51EC0759"/>
    <w:rsid w:val="51F56A24"/>
    <w:rsid w:val="51FA2F23"/>
    <w:rsid w:val="52055A2B"/>
    <w:rsid w:val="520F653B"/>
    <w:rsid w:val="52223C4F"/>
    <w:rsid w:val="52392F79"/>
    <w:rsid w:val="52431B37"/>
    <w:rsid w:val="525F3ACF"/>
    <w:rsid w:val="528D373C"/>
    <w:rsid w:val="52902E97"/>
    <w:rsid w:val="529335DC"/>
    <w:rsid w:val="529A0DAE"/>
    <w:rsid w:val="52A25145"/>
    <w:rsid w:val="52B0249F"/>
    <w:rsid w:val="52B43F76"/>
    <w:rsid w:val="52B9062E"/>
    <w:rsid w:val="52BA71F9"/>
    <w:rsid w:val="52BC4DFF"/>
    <w:rsid w:val="52D35628"/>
    <w:rsid w:val="52D35722"/>
    <w:rsid w:val="52D527D9"/>
    <w:rsid w:val="52D548D2"/>
    <w:rsid w:val="52D76E74"/>
    <w:rsid w:val="52E2346E"/>
    <w:rsid w:val="52EB5ADD"/>
    <w:rsid w:val="52F804DA"/>
    <w:rsid w:val="52FB0D09"/>
    <w:rsid w:val="52FD10C5"/>
    <w:rsid w:val="53001FE1"/>
    <w:rsid w:val="53026A9C"/>
    <w:rsid w:val="530837BC"/>
    <w:rsid w:val="53115E62"/>
    <w:rsid w:val="53157BC3"/>
    <w:rsid w:val="531A22DC"/>
    <w:rsid w:val="531E6242"/>
    <w:rsid w:val="5321700E"/>
    <w:rsid w:val="532C73DA"/>
    <w:rsid w:val="53331C0B"/>
    <w:rsid w:val="53345FB0"/>
    <w:rsid w:val="533D3DE3"/>
    <w:rsid w:val="53441250"/>
    <w:rsid w:val="53544151"/>
    <w:rsid w:val="535E4CEF"/>
    <w:rsid w:val="537E5EA1"/>
    <w:rsid w:val="537F0E89"/>
    <w:rsid w:val="539777B0"/>
    <w:rsid w:val="539E22F2"/>
    <w:rsid w:val="53A61912"/>
    <w:rsid w:val="53A66516"/>
    <w:rsid w:val="53A67E6C"/>
    <w:rsid w:val="53A705B4"/>
    <w:rsid w:val="53AB7EE6"/>
    <w:rsid w:val="53B054C5"/>
    <w:rsid w:val="53BF7395"/>
    <w:rsid w:val="53C108F6"/>
    <w:rsid w:val="53CA711E"/>
    <w:rsid w:val="53CC013C"/>
    <w:rsid w:val="53DF75D0"/>
    <w:rsid w:val="53F4434B"/>
    <w:rsid w:val="53FB4BC2"/>
    <w:rsid w:val="54092ABA"/>
    <w:rsid w:val="540B3D76"/>
    <w:rsid w:val="540C6C31"/>
    <w:rsid w:val="541C45CA"/>
    <w:rsid w:val="541F6E8B"/>
    <w:rsid w:val="542E26EC"/>
    <w:rsid w:val="54440E26"/>
    <w:rsid w:val="545B74D2"/>
    <w:rsid w:val="546010AB"/>
    <w:rsid w:val="54624C9B"/>
    <w:rsid w:val="546306C2"/>
    <w:rsid w:val="54695814"/>
    <w:rsid w:val="546B069A"/>
    <w:rsid w:val="547F2E26"/>
    <w:rsid w:val="54932009"/>
    <w:rsid w:val="5495153B"/>
    <w:rsid w:val="549F598F"/>
    <w:rsid w:val="54A579F7"/>
    <w:rsid w:val="54BA5CC4"/>
    <w:rsid w:val="54BF3EC0"/>
    <w:rsid w:val="54CE7A24"/>
    <w:rsid w:val="54D7304A"/>
    <w:rsid w:val="54EA5E73"/>
    <w:rsid w:val="54EC237B"/>
    <w:rsid w:val="54EF7C15"/>
    <w:rsid w:val="54F8338E"/>
    <w:rsid w:val="55021888"/>
    <w:rsid w:val="55052595"/>
    <w:rsid w:val="550E20B1"/>
    <w:rsid w:val="55140E10"/>
    <w:rsid w:val="55142CC4"/>
    <w:rsid w:val="55283780"/>
    <w:rsid w:val="55290612"/>
    <w:rsid w:val="552E7812"/>
    <w:rsid w:val="55387B41"/>
    <w:rsid w:val="55441064"/>
    <w:rsid w:val="555E5A53"/>
    <w:rsid w:val="55635DBD"/>
    <w:rsid w:val="556D08E5"/>
    <w:rsid w:val="556D3598"/>
    <w:rsid w:val="557547DF"/>
    <w:rsid w:val="558E0233"/>
    <w:rsid w:val="5591106F"/>
    <w:rsid w:val="55915A9D"/>
    <w:rsid w:val="559B6A9C"/>
    <w:rsid w:val="55A35B6F"/>
    <w:rsid w:val="55AC2C14"/>
    <w:rsid w:val="55B2169E"/>
    <w:rsid w:val="55B97858"/>
    <w:rsid w:val="55BB37C2"/>
    <w:rsid w:val="55C4089E"/>
    <w:rsid w:val="55C75F71"/>
    <w:rsid w:val="55CF0487"/>
    <w:rsid w:val="55DB2FCA"/>
    <w:rsid w:val="55E86376"/>
    <w:rsid w:val="55F026F5"/>
    <w:rsid w:val="55F043AB"/>
    <w:rsid w:val="5616409F"/>
    <w:rsid w:val="561A501D"/>
    <w:rsid w:val="56293670"/>
    <w:rsid w:val="562E6919"/>
    <w:rsid w:val="563419D8"/>
    <w:rsid w:val="564674F1"/>
    <w:rsid w:val="56490355"/>
    <w:rsid w:val="564D3268"/>
    <w:rsid w:val="56525791"/>
    <w:rsid w:val="56783097"/>
    <w:rsid w:val="56783A58"/>
    <w:rsid w:val="56797B26"/>
    <w:rsid w:val="56835C1B"/>
    <w:rsid w:val="568C4FEF"/>
    <w:rsid w:val="56983CDD"/>
    <w:rsid w:val="569B4975"/>
    <w:rsid w:val="569C192B"/>
    <w:rsid w:val="56A93001"/>
    <w:rsid w:val="56AB71BB"/>
    <w:rsid w:val="56B60FA1"/>
    <w:rsid w:val="56C35AAC"/>
    <w:rsid w:val="56C5382B"/>
    <w:rsid w:val="56D85A7F"/>
    <w:rsid w:val="56E2255B"/>
    <w:rsid w:val="56EB6FD8"/>
    <w:rsid w:val="56F24D66"/>
    <w:rsid w:val="56F55752"/>
    <w:rsid w:val="56FA2EF4"/>
    <w:rsid w:val="5701270A"/>
    <w:rsid w:val="570B4613"/>
    <w:rsid w:val="570E6B24"/>
    <w:rsid w:val="57147CCF"/>
    <w:rsid w:val="571E7A73"/>
    <w:rsid w:val="572712AA"/>
    <w:rsid w:val="572F45FE"/>
    <w:rsid w:val="573028CC"/>
    <w:rsid w:val="573401B0"/>
    <w:rsid w:val="57435BC5"/>
    <w:rsid w:val="5749677E"/>
    <w:rsid w:val="576D5C49"/>
    <w:rsid w:val="578F2B02"/>
    <w:rsid w:val="57992D98"/>
    <w:rsid w:val="579D7EE3"/>
    <w:rsid w:val="579F1BBD"/>
    <w:rsid w:val="57A7653B"/>
    <w:rsid w:val="57C45034"/>
    <w:rsid w:val="57E3325B"/>
    <w:rsid w:val="57EB08B4"/>
    <w:rsid w:val="57F02E68"/>
    <w:rsid w:val="57F54221"/>
    <w:rsid w:val="57F629A8"/>
    <w:rsid w:val="57F86DA7"/>
    <w:rsid w:val="57FF63D7"/>
    <w:rsid w:val="580D4153"/>
    <w:rsid w:val="580E2CD6"/>
    <w:rsid w:val="58182DED"/>
    <w:rsid w:val="58235F96"/>
    <w:rsid w:val="583310A6"/>
    <w:rsid w:val="58337AB8"/>
    <w:rsid w:val="58361F42"/>
    <w:rsid w:val="58383400"/>
    <w:rsid w:val="5838506A"/>
    <w:rsid w:val="58414047"/>
    <w:rsid w:val="5844494A"/>
    <w:rsid w:val="58447DC7"/>
    <w:rsid w:val="58454975"/>
    <w:rsid w:val="5859133C"/>
    <w:rsid w:val="58621283"/>
    <w:rsid w:val="58643F7D"/>
    <w:rsid w:val="586A7F4B"/>
    <w:rsid w:val="58707155"/>
    <w:rsid w:val="58730A25"/>
    <w:rsid w:val="58796638"/>
    <w:rsid w:val="589467A6"/>
    <w:rsid w:val="58977E98"/>
    <w:rsid w:val="58990D0F"/>
    <w:rsid w:val="58B25651"/>
    <w:rsid w:val="58B66E55"/>
    <w:rsid w:val="58BA21F8"/>
    <w:rsid w:val="58BA5CDE"/>
    <w:rsid w:val="58CD3089"/>
    <w:rsid w:val="58CF2FF7"/>
    <w:rsid w:val="58D756AC"/>
    <w:rsid w:val="58DA4A8C"/>
    <w:rsid w:val="58DE0588"/>
    <w:rsid w:val="58DE475A"/>
    <w:rsid w:val="58F16C25"/>
    <w:rsid w:val="58FB2581"/>
    <w:rsid w:val="58FE69B8"/>
    <w:rsid w:val="590E755A"/>
    <w:rsid w:val="592020C9"/>
    <w:rsid w:val="59234F1F"/>
    <w:rsid w:val="59291983"/>
    <w:rsid w:val="592D43D5"/>
    <w:rsid w:val="593046FA"/>
    <w:rsid w:val="593550D7"/>
    <w:rsid w:val="5937442D"/>
    <w:rsid w:val="593B2ABD"/>
    <w:rsid w:val="5940018C"/>
    <w:rsid w:val="594B7C2D"/>
    <w:rsid w:val="59577DFE"/>
    <w:rsid w:val="59584C8D"/>
    <w:rsid w:val="59626645"/>
    <w:rsid w:val="596E023A"/>
    <w:rsid w:val="597C615A"/>
    <w:rsid w:val="597E76C5"/>
    <w:rsid w:val="597F3200"/>
    <w:rsid w:val="598018E7"/>
    <w:rsid w:val="59855E1F"/>
    <w:rsid w:val="598B0B19"/>
    <w:rsid w:val="5991442E"/>
    <w:rsid w:val="59A42A30"/>
    <w:rsid w:val="59BE1812"/>
    <w:rsid w:val="59C958CA"/>
    <w:rsid w:val="59D05ABA"/>
    <w:rsid w:val="59DE7D76"/>
    <w:rsid w:val="59EE176B"/>
    <w:rsid w:val="59F138CF"/>
    <w:rsid w:val="5A1E0B26"/>
    <w:rsid w:val="5A2C5A35"/>
    <w:rsid w:val="5A2F373F"/>
    <w:rsid w:val="5A3122D1"/>
    <w:rsid w:val="5A374BEB"/>
    <w:rsid w:val="5A390B00"/>
    <w:rsid w:val="5A490EF8"/>
    <w:rsid w:val="5A5124EB"/>
    <w:rsid w:val="5A547C35"/>
    <w:rsid w:val="5A593B16"/>
    <w:rsid w:val="5A5C770A"/>
    <w:rsid w:val="5A5E1670"/>
    <w:rsid w:val="5A6612A4"/>
    <w:rsid w:val="5A736E81"/>
    <w:rsid w:val="5A867726"/>
    <w:rsid w:val="5A961898"/>
    <w:rsid w:val="5A962687"/>
    <w:rsid w:val="5A9B52B9"/>
    <w:rsid w:val="5AA3292D"/>
    <w:rsid w:val="5AA64A9D"/>
    <w:rsid w:val="5AC65E30"/>
    <w:rsid w:val="5AC877AF"/>
    <w:rsid w:val="5ACB26EE"/>
    <w:rsid w:val="5AD201F8"/>
    <w:rsid w:val="5AD616C1"/>
    <w:rsid w:val="5AD663D7"/>
    <w:rsid w:val="5AEC79B9"/>
    <w:rsid w:val="5AED348C"/>
    <w:rsid w:val="5AF246A2"/>
    <w:rsid w:val="5AF53592"/>
    <w:rsid w:val="5AFE19BD"/>
    <w:rsid w:val="5B00402C"/>
    <w:rsid w:val="5B037703"/>
    <w:rsid w:val="5B084BEB"/>
    <w:rsid w:val="5B090A8C"/>
    <w:rsid w:val="5B095B31"/>
    <w:rsid w:val="5B0A507F"/>
    <w:rsid w:val="5B206365"/>
    <w:rsid w:val="5B262079"/>
    <w:rsid w:val="5B3007C2"/>
    <w:rsid w:val="5B432885"/>
    <w:rsid w:val="5B492358"/>
    <w:rsid w:val="5B4C2488"/>
    <w:rsid w:val="5B4D40FD"/>
    <w:rsid w:val="5B571061"/>
    <w:rsid w:val="5B714FE2"/>
    <w:rsid w:val="5B722895"/>
    <w:rsid w:val="5B833136"/>
    <w:rsid w:val="5B8F78EF"/>
    <w:rsid w:val="5BB41AE5"/>
    <w:rsid w:val="5BB7331B"/>
    <w:rsid w:val="5BC25DDD"/>
    <w:rsid w:val="5BCA11C9"/>
    <w:rsid w:val="5BCC0379"/>
    <w:rsid w:val="5BCD6460"/>
    <w:rsid w:val="5BD50D13"/>
    <w:rsid w:val="5BE6119D"/>
    <w:rsid w:val="5BFD0316"/>
    <w:rsid w:val="5C0317B8"/>
    <w:rsid w:val="5C0D3649"/>
    <w:rsid w:val="5C0E4BED"/>
    <w:rsid w:val="5C0F77DD"/>
    <w:rsid w:val="5C157C17"/>
    <w:rsid w:val="5C1B614F"/>
    <w:rsid w:val="5C1B7826"/>
    <w:rsid w:val="5C20402F"/>
    <w:rsid w:val="5C2E525E"/>
    <w:rsid w:val="5C342762"/>
    <w:rsid w:val="5C381A81"/>
    <w:rsid w:val="5C574D44"/>
    <w:rsid w:val="5C580721"/>
    <w:rsid w:val="5C581B68"/>
    <w:rsid w:val="5C595AC9"/>
    <w:rsid w:val="5C5D0E0D"/>
    <w:rsid w:val="5C6A48DD"/>
    <w:rsid w:val="5C6E319C"/>
    <w:rsid w:val="5C7227A6"/>
    <w:rsid w:val="5C8918F3"/>
    <w:rsid w:val="5C9972AB"/>
    <w:rsid w:val="5CA630EB"/>
    <w:rsid w:val="5CAD7F3D"/>
    <w:rsid w:val="5CB516A1"/>
    <w:rsid w:val="5CC50C69"/>
    <w:rsid w:val="5CDD7C83"/>
    <w:rsid w:val="5CEA34C0"/>
    <w:rsid w:val="5CED7A26"/>
    <w:rsid w:val="5D033CCF"/>
    <w:rsid w:val="5D06088E"/>
    <w:rsid w:val="5D084AAD"/>
    <w:rsid w:val="5D1D5672"/>
    <w:rsid w:val="5D267700"/>
    <w:rsid w:val="5D316FCB"/>
    <w:rsid w:val="5D400B49"/>
    <w:rsid w:val="5D4D46BF"/>
    <w:rsid w:val="5D617EA4"/>
    <w:rsid w:val="5D7416D2"/>
    <w:rsid w:val="5D7D1270"/>
    <w:rsid w:val="5D7E7583"/>
    <w:rsid w:val="5D8A74D1"/>
    <w:rsid w:val="5D997B9D"/>
    <w:rsid w:val="5D9A74EA"/>
    <w:rsid w:val="5D9C16E1"/>
    <w:rsid w:val="5DA22D4A"/>
    <w:rsid w:val="5DB53187"/>
    <w:rsid w:val="5DBF495A"/>
    <w:rsid w:val="5DC47823"/>
    <w:rsid w:val="5DCF5629"/>
    <w:rsid w:val="5DD175F2"/>
    <w:rsid w:val="5DD37B8E"/>
    <w:rsid w:val="5DDB4B89"/>
    <w:rsid w:val="5DE90126"/>
    <w:rsid w:val="5DEB4D7E"/>
    <w:rsid w:val="5DF34371"/>
    <w:rsid w:val="5DF94391"/>
    <w:rsid w:val="5E0F3409"/>
    <w:rsid w:val="5E187B0F"/>
    <w:rsid w:val="5E1A12AF"/>
    <w:rsid w:val="5E1C0AFF"/>
    <w:rsid w:val="5E1F3B47"/>
    <w:rsid w:val="5E2C5A2A"/>
    <w:rsid w:val="5E2F6F2B"/>
    <w:rsid w:val="5E3D7125"/>
    <w:rsid w:val="5E445A28"/>
    <w:rsid w:val="5E46632F"/>
    <w:rsid w:val="5E486DC0"/>
    <w:rsid w:val="5E4C6863"/>
    <w:rsid w:val="5E561C69"/>
    <w:rsid w:val="5E683339"/>
    <w:rsid w:val="5E720A41"/>
    <w:rsid w:val="5E780236"/>
    <w:rsid w:val="5E7D79A4"/>
    <w:rsid w:val="5E8A6B80"/>
    <w:rsid w:val="5E8F5A13"/>
    <w:rsid w:val="5E927DB5"/>
    <w:rsid w:val="5E935EC4"/>
    <w:rsid w:val="5E9A1198"/>
    <w:rsid w:val="5E9F4BA8"/>
    <w:rsid w:val="5EA01623"/>
    <w:rsid w:val="5EA03C64"/>
    <w:rsid w:val="5EA26F7B"/>
    <w:rsid w:val="5EA320D9"/>
    <w:rsid w:val="5EA36A99"/>
    <w:rsid w:val="5EA6420C"/>
    <w:rsid w:val="5EA87FB4"/>
    <w:rsid w:val="5EB70CE7"/>
    <w:rsid w:val="5EB84416"/>
    <w:rsid w:val="5EC67DFE"/>
    <w:rsid w:val="5EC876A1"/>
    <w:rsid w:val="5ECE0C99"/>
    <w:rsid w:val="5ECE3F13"/>
    <w:rsid w:val="5ED53016"/>
    <w:rsid w:val="5ED8001D"/>
    <w:rsid w:val="5ED91228"/>
    <w:rsid w:val="5EE81D26"/>
    <w:rsid w:val="5EEE2F36"/>
    <w:rsid w:val="5EF14996"/>
    <w:rsid w:val="5F0F1CE0"/>
    <w:rsid w:val="5F185479"/>
    <w:rsid w:val="5F1A22B0"/>
    <w:rsid w:val="5F2F0CCD"/>
    <w:rsid w:val="5F3A2D93"/>
    <w:rsid w:val="5F40165A"/>
    <w:rsid w:val="5F410389"/>
    <w:rsid w:val="5F430EF2"/>
    <w:rsid w:val="5F4A7B9C"/>
    <w:rsid w:val="5F572563"/>
    <w:rsid w:val="5F6D680E"/>
    <w:rsid w:val="5F70175A"/>
    <w:rsid w:val="5F814DCE"/>
    <w:rsid w:val="5F815BC8"/>
    <w:rsid w:val="5F8D709D"/>
    <w:rsid w:val="5F915284"/>
    <w:rsid w:val="5FBA1DE8"/>
    <w:rsid w:val="5FBC1C8D"/>
    <w:rsid w:val="5FC04EC4"/>
    <w:rsid w:val="5FC3296F"/>
    <w:rsid w:val="5FC84D95"/>
    <w:rsid w:val="5FD076B3"/>
    <w:rsid w:val="5FD47503"/>
    <w:rsid w:val="5FEB7283"/>
    <w:rsid w:val="5FF067F2"/>
    <w:rsid w:val="5FF52E0C"/>
    <w:rsid w:val="600B590F"/>
    <w:rsid w:val="60127F34"/>
    <w:rsid w:val="60225572"/>
    <w:rsid w:val="6023126F"/>
    <w:rsid w:val="602817E9"/>
    <w:rsid w:val="6030229E"/>
    <w:rsid w:val="604409BA"/>
    <w:rsid w:val="604E2823"/>
    <w:rsid w:val="6052241A"/>
    <w:rsid w:val="605827D6"/>
    <w:rsid w:val="60593536"/>
    <w:rsid w:val="608212BF"/>
    <w:rsid w:val="6098193F"/>
    <w:rsid w:val="609B65BD"/>
    <w:rsid w:val="609E6129"/>
    <w:rsid w:val="60B430B8"/>
    <w:rsid w:val="60B62495"/>
    <w:rsid w:val="60C722D6"/>
    <w:rsid w:val="60C815EC"/>
    <w:rsid w:val="60D0104F"/>
    <w:rsid w:val="60D0442D"/>
    <w:rsid w:val="60D93BC3"/>
    <w:rsid w:val="60E218E5"/>
    <w:rsid w:val="60ED42ED"/>
    <w:rsid w:val="61001846"/>
    <w:rsid w:val="61085479"/>
    <w:rsid w:val="6111463D"/>
    <w:rsid w:val="61173807"/>
    <w:rsid w:val="61315AD7"/>
    <w:rsid w:val="61326A8C"/>
    <w:rsid w:val="61392BBE"/>
    <w:rsid w:val="613F5DB0"/>
    <w:rsid w:val="61452708"/>
    <w:rsid w:val="61493621"/>
    <w:rsid w:val="615F0C53"/>
    <w:rsid w:val="61601559"/>
    <w:rsid w:val="616270F6"/>
    <w:rsid w:val="61736041"/>
    <w:rsid w:val="617455B5"/>
    <w:rsid w:val="618A7E24"/>
    <w:rsid w:val="618E02A6"/>
    <w:rsid w:val="61A06CAE"/>
    <w:rsid w:val="61A62155"/>
    <w:rsid w:val="61B172C4"/>
    <w:rsid w:val="61BA6DC1"/>
    <w:rsid w:val="61C13D87"/>
    <w:rsid w:val="61D57776"/>
    <w:rsid w:val="61E23A4F"/>
    <w:rsid w:val="61E70318"/>
    <w:rsid w:val="61FA2A5B"/>
    <w:rsid w:val="61FB5A99"/>
    <w:rsid w:val="62001DFC"/>
    <w:rsid w:val="620D3936"/>
    <w:rsid w:val="62166415"/>
    <w:rsid w:val="621D74D1"/>
    <w:rsid w:val="622259EA"/>
    <w:rsid w:val="622314CB"/>
    <w:rsid w:val="62276AD9"/>
    <w:rsid w:val="623C5FF2"/>
    <w:rsid w:val="625D040C"/>
    <w:rsid w:val="62630D13"/>
    <w:rsid w:val="626378EC"/>
    <w:rsid w:val="6273101F"/>
    <w:rsid w:val="6283781B"/>
    <w:rsid w:val="629D715B"/>
    <w:rsid w:val="62C42ADB"/>
    <w:rsid w:val="62DD1BC2"/>
    <w:rsid w:val="62E5079D"/>
    <w:rsid w:val="62EC4B6D"/>
    <w:rsid w:val="62FE13AA"/>
    <w:rsid w:val="62FE1573"/>
    <w:rsid w:val="63013331"/>
    <w:rsid w:val="63056274"/>
    <w:rsid w:val="631B10EA"/>
    <w:rsid w:val="632B1206"/>
    <w:rsid w:val="632D27FB"/>
    <w:rsid w:val="633E74CB"/>
    <w:rsid w:val="635212F9"/>
    <w:rsid w:val="63521A65"/>
    <w:rsid w:val="63537A31"/>
    <w:rsid w:val="63557651"/>
    <w:rsid w:val="63656022"/>
    <w:rsid w:val="639257BA"/>
    <w:rsid w:val="63A009D8"/>
    <w:rsid w:val="63A56840"/>
    <w:rsid w:val="63A66C97"/>
    <w:rsid w:val="63B40ACD"/>
    <w:rsid w:val="63C66292"/>
    <w:rsid w:val="63CC7A47"/>
    <w:rsid w:val="63CE1CF4"/>
    <w:rsid w:val="63D43EFE"/>
    <w:rsid w:val="63F56D3A"/>
    <w:rsid w:val="63F836BA"/>
    <w:rsid w:val="63F945EC"/>
    <w:rsid w:val="64056CA7"/>
    <w:rsid w:val="64162C89"/>
    <w:rsid w:val="641A43DA"/>
    <w:rsid w:val="64204B0A"/>
    <w:rsid w:val="64387812"/>
    <w:rsid w:val="643C52C4"/>
    <w:rsid w:val="643F27CE"/>
    <w:rsid w:val="6454436A"/>
    <w:rsid w:val="647778CE"/>
    <w:rsid w:val="64783437"/>
    <w:rsid w:val="64851557"/>
    <w:rsid w:val="649025EF"/>
    <w:rsid w:val="64946CCF"/>
    <w:rsid w:val="64954659"/>
    <w:rsid w:val="649B4204"/>
    <w:rsid w:val="649B6B8A"/>
    <w:rsid w:val="64A01DB2"/>
    <w:rsid w:val="64A44FB7"/>
    <w:rsid w:val="64A5053E"/>
    <w:rsid w:val="64B74F33"/>
    <w:rsid w:val="64BE000F"/>
    <w:rsid w:val="64C1478F"/>
    <w:rsid w:val="64C22C86"/>
    <w:rsid w:val="64CF04DE"/>
    <w:rsid w:val="64D708A5"/>
    <w:rsid w:val="64DF55DD"/>
    <w:rsid w:val="64E741F9"/>
    <w:rsid w:val="64F25D1F"/>
    <w:rsid w:val="64FD6607"/>
    <w:rsid w:val="64FF3D68"/>
    <w:rsid w:val="6506601E"/>
    <w:rsid w:val="650B7402"/>
    <w:rsid w:val="652126BD"/>
    <w:rsid w:val="652B6AF6"/>
    <w:rsid w:val="65343E8A"/>
    <w:rsid w:val="6551476F"/>
    <w:rsid w:val="655D04E4"/>
    <w:rsid w:val="65691E9F"/>
    <w:rsid w:val="656B7F1D"/>
    <w:rsid w:val="656E0841"/>
    <w:rsid w:val="65721C3B"/>
    <w:rsid w:val="657D2DC8"/>
    <w:rsid w:val="658672D6"/>
    <w:rsid w:val="658D133F"/>
    <w:rsid w:val="6599379C"/>
    <w:rsid w:val="65A716CA"/>
    <w:rsid w:val="65BE27AC"/>
    <w:rsid w:val="65C91E1A"/>
    <w:rsid w:val="65CC60B2"/>
    <w:rsid w:val="65D0026F"/>
    <w:rsid w:val="65D74295"/>
    <w:rsid w:val="65E91557"/>
    <w:rsid w:val="65F540B8"/>
    <w:rsid w:val="660F2385"/>
    <w:rsid w:val="661C0BB8"/>
    <w:rsid w:val="662036A4"/>
    <w:rsid w:val="66311A3F"/>
    <w:rsid w:val="66365042"/>
    <w:rsid w:val="66385BF1"/>
    <w:rsid w:val="66403B39"/>
    <w:rsid w:val="664A67ED"/>
    <w:rsid w:val="664F6143"/>
    <w:rsid w:val="665060A6"/>
    <w:rsid w:val="66560117"/>
    <w:rsid w:val="665B2EF0"/>
    <w:rsid w:val="66650F64"/>
    <w:rsid w:val="66656451"/>
    <w:rsid w:val="667322A4"/>
    <w:rsid w:val="66734B50"/>
    <w:rsid w:val="6687388F"/>
    <w:rsid w:val="668C0A79"/>
    <w:rsid w:val="66AC79E8"/>
    <w:rsid w:val="66BE09F1"/>
    <w:rsid w:val="66C679A6"/>
    <w:rsid w:val="66C95AE2"/>
    <w:rsid w:val="66CC50DF"/>
    <w:rsid w:val="66E749FD"/>
    <w:rsid w:val="66EC4F2D"/>
    <w:rsid w:val="66F30D8F"/>
    <w:rsid w:val="670E26ED"/>
    <w:rsid w:val="670F07AF"/>
    <w:rsid w:val="672328A8"/>
    <w:rsid w:val="672848E9"/>
    <w:rsid w:val="673F26FE"/>
    <w:rsid w:val="673F57D9"/>
    <w:rsid w:val="67425859"/>
    <w:rsid w:val="674A59E7"/>
    <w:rsid w:val="675F70A5"/>
    <w:rsid w:val="67633159"/>
    <w:rsid w:val="676622C0"/>
    <w:rsid w:val="676F7F93"/>
    <w:rsid w:val="67785902"/>
    <w:rsid w:val="67796405"/>
    <w:rsid w:val="67844893"/>
    <w:rsid w:val="67894B41"/>
    <w:rsid w:val="678C63A4"/>
    <w:rsid w:val="67951F4A"/>
    <w:rsid w:val="679D0742"/>
    <w:rsid w:val="67A26652"/>
    <w:rsid w:val="67A600F8"/>
    <w:rsid w:val="67A9073A"/>
    <w:rsid w:val="67B0042A"/>
    <w:rsid w:val="67B56C3C"/>
    <w:rsid w:val="67F73ABA"/>
    <w:rsid w:val="67FB13C2"/>
    <w:rsid w:val="68041736"/>
    <w:rsid w:val="682901F6"/>
    <w:rsid w:val="682E4CC6"/>
    <w:rsid w:val="68356576"/>
    <w:rsid w:val="683E0F4C"/>
    <w:rsid w:val="6844671C"/>
    <w:rsid w:val="68600D79"/>
    <w:rsid w:val="68644655"/>
    <w:rsid w:val="686528DD"/>
    <w:rsid w:val="68693222"/>
    <w:rsid w:val="686A175C"/>
    <w:rsid w:val="686C6E4F"/>
    <w:rsid w:val="68737DC9"/>
    <w:rsid w:val="687865D9"/>
    <w:rsid w:val="687A5CDE"/>
    <w:rsid w:val="687F26DD"/>
    <w:rsid w:val="689B09DF"/>
    <w:rsid w:val="68C66292"/>
    <w:rsid w:val="68F71660"/>
    <w:rsid w:val="68FC7601"/>
    <w:rsid w:val="691B7429"/>
    <w:rsid w:val="691E12BE"/>
    <w:rsid w:val="692D66A6"/>
    <w:rsid w:val="69304301"/>
    <w:rsid w:val="694C7C32"/>
    <w:rsid w:val="69757D40"/>
    <w:rsid w:val="69767BB6"/>
    <w:rsid w:val="69852E36"/>
    <w:rsid w:val="69862B94"/>
    <w:rsid w:val="698C3388"/>
    <w:rsid w:val="69967FFF"/>
    <w:rsid w:val="699D3EA5"/>
    <w:rsid w:val="69A6605D"/>
    <w:rsid w:val="69A7168C"/>
    <w:rsid w:val="69A733E6"/>
    <w:rsid w:val="69AD336C"/>
    <w:rsid w:val="69B71CAD"/>
    <w:rsid w:val="69BB0A42"/>
    <w:rsid w:val="69BF587D"/>
    <w:rsid w:val="69C3417A"/>
    <w:rsid w:val="69C35FF9"/>
    <w:rsid w:val="69D952E0"/>
    <w:rsid w:val="69E24E24"/>
    <w:rsid w:val="69E273D1"/>
    <w:rsid w:val="69FF0C4C"/>
    <w:rsid w:val="6A0C2DD6"/>
    <w:rsid w:val="6A285BB8"/>
    <w:rsid w:val="6A286CC0"/>
    <w:rsid w:val="6A2A69E9"/>
    <w:rsid w:val="6A2E6FD6"/>
    <w:rsid w:val="6A3164F7"/>
    <w:rsid w:val="6A320D9B"/>
    <w:rsid w:val="6A342788"/>
    <w:rsid w:val="6A394B97"/>
    <w:rsid w:val="6A43678D"/>
    <w:rsid w:val="6A4401E2"/>
    <w:rsid w:val="6A500879"/>
    <w:rsid w:val="6A5479A1"/>
    <w:rsid w:val="6A666842"/>
    <w:rsid w:val="6A6E0B5C"/>
    <w:rsid w:val="6A901E6A"/>
    <w:rsid w:val="6A9F6CC2"/>
    <w:rsid w:val="6AA10040"/>
    <w:rsid w:val="6AA727C4"/>
    <w:rsid w:val="6AA757CA"/>
    <w:rsid w:val="6AA80D4A"/>
    <w:rsid w:val="6AC801F4"/>
    <w:rsid w:val="6AC8435F"/>
    <w:rsid w:val="6AD7766B"/>
    <w:rsid w:val="6AD96911"/>
    <w:rsid w:val="6ADE7D65"/>
    <w:rsid w:val="6AE165DD"/>
    <w:rsid w:val="6AED70A0"/>
    <w:rsid w:val="6AFF369B"/>
    <w:rsid w:val="6B0107FB"/>
    <w:rsid w:val="6B083167"/>
    <w:rsid w:val="6B26783C"/>
    <w:rsid w:val="6B270355"/>
    <w:rsid w:val="6B336352"/>
    <w:rsid w:val="6B35305B"/>
    <w:rsid w:val="6B3D4431"/>
    <w:rsid w:val="6B3E5FA5"/>
    <w:rsid w:val="6B444E3F"/>
    <w:rsid w:val="6B477F21"/>
    <w:rsid w:val="6B4B6024"/>
    <w:rsid w:val="6B4C3C37"/>
    <w:rsid w:val="6B607066"/>
    <w:rsid w:val="6B607F06"/>
    <w:rsid w:val="6B667869"/>
    <w:rsid w:val="6B6A334F"/>
    <w:rsid w:val="6B7E7ADE"/>
    <w:rsid w:val="6B84556D"/>
    <w:rsid w:val="6B85515A"/>
    <w:rsid w:val="6B9D019F"/>
    <w:rsid w:val="6BA63DC9"/>
    <w:rsid w:val="6BAA4A2F"/>
    <w:rsid w:val="6BAB6E7B"/>
    <w:rsid w:val="6BBE0D87"/>
    <w:rsid w:val="6BBF3875"/>
    <w:rsid w:val="6BC56F0B"/>
    <w:rsid w:val="6BE00BC7"/>
    <w:rsid w:val="6BE11EFE"/>
    <w:rsid w:val="6C22157C"/>
    <w:rsid w:val="6C287BA5"/>
    <w:rsid w:val="6C2B4B28"/>
    <w:rsid w:val="6C2C21A8"/>
    <w:rsid w:val="6C495C43"/>
    <w:rsid w:val="6C532103"/>
    <w:rsid w:val="6C5478B0"/>
    <w:rsid w:val="6C596731"/>
    <w:rsid w:val="6C5A300D"/>
    <w:rsid w:val="6C5C3AEC"/>
    <w:rsid w:val="6C601B85"/>
    <w:rsid w:val="6C61510B"/>
    <w:rsid w:val="6C623DC3"/>
    <w:rsid w:val="6C651E2D"/>
    <w:rsid w:val="6C6D3F6C"/>
    <w:rsid w:val="6C6F17BC"/>
    <w:rsid w:val="6C7122A1"/>
    <w:rsid w:val="6C725F7C"/>
    <w:rsid w:val="6C816D0C"/>
    <w:rsid w:val="6C850410"/>
    <w:rsid w:val="6C853284"/>
    <w:rsid w:val="6C89614A"/>
    <w:rsid w:val="6C946B12"/>
    <w:rsid w:val="6C963823"/>
    <w:rsid w:val="6CA42103"/>
    <w:rsid w:val="6CB82AEF"/>
    <w:rsid w:val="6CBA266E"/>
    <w:rsid w:val="6CC029F0"/>
    <w:rsid w:val="6CDB3540"/>
    <w:rsid w:val="6CE44001"/>
    <w:rsid w:val="6CF35407"/>
    <w:rsid w:val="6CF462F1"/>
    <w:rsid w:val="6CF75E68"/>
    <w:rsid w:val="6CFA7081"/>
    <w:rsid w:val="6D065AFA"/>
    <w:rsid w:val="6D1B43E2"/>
    <w:rsid w:val="6D242225"/>
    <w:rsid w:val="6D2E3956"/>
    <w:rsid w:val="6D2F068D"/>
    <w:rsid w:val="6D3419C7"/>
    <w:rsid w:val="6D411203"/>
    <w:rsid w:val="6D4B1CBB"/>
    <w:rsid w:val="6D4D0F54"/>
    <w:rsid w:val="6D5D50A1"/>
    <w:rsid w:val="6D5D7961"/>
    <w:rsid w:val="6D675F76"/>
    <w:rsid w:val="6D6C7EF0"/>
    <w:rsid w:val="6D712C5A"/>
    <w:rsid w:val="6D837AA5"/>
    <w:rsid w:val="6D8433BC"/>
    <w:rsid w:val="6D84538D"/>
    <w:rsid w:val="6D8776BD"/>
    <w:rsid w:val="6D887E43"/>
    <w:rsid w:val="6D8E597B"/>
    <w:rsid w:val="6D92725F"/>
    <w:rsid w:val="6D97473A"/>
    <w:rsid w:val="6DC0103F"/>
    <w:rsid w:val="6DC226FC"/>
    <w:rsid w:val="6DC51B57"/>
    <w:rsid w:val="6DCD4727"/>
    <w:rsid w:val="6DD17336"/>
    <w:rsid w:val="6DD350F3"/>
    <w:rsid w:val="6DD67462"/>
    <w:rsid w:val="6DF80B84"/>
    <w:rsid w:val="6DFD053C"/>
    <w:rsid w:val="6E037209"/>
    <w:rsid w:val="6E2225C2"/>
    <w:rsid w:val="6E250C0C"/>
    <w:rsid w:val="6E2D0E93"/>
    <w:rsid w:val="6E3056B0"/>
    <w:rsid w:val="6E396D9E"/>
    <w:rsid w:val="6E5430AF"/>
    <w:rsid w:val="6E694B47"/>
    <w:rsid w:val="6E6B3DFB"/>
    <w:rsid w:val="6E6F2867"/>
    <w:rsid w:val="6E722BF3"/>
    <w:rsid w:val="6E807ECF"/>
    <w:rsid w:val="6E814638"/>
    <w:rsid w:val="6E88574F"/>
    <w:rsid w:val="6E8E7E84"/>
    <w:rsid w:val="6E94017C"/>
    <w:rsid w:val="6E962992"/>
    <w:rsid w:val="6E9D6E47"/>
    <w:rsid w:val="6E9F5989"/>
    <w:rsid w:val="6EA3668D"/>
    <w:rsid w:val="6EAB1FA6"/>
    <w:rsid w:val="6EC82B37"/>
    <w:rsid w:val="6EE01726"/>
    <w:rsid w:val="6EE25CBD"/>
    <w:rsid w:val="6EE679B7"/>
    <w:rsid w:val="6EEB5A19"/>
    <w:rsid w:val="6EEF6240"/>
    <w:rsid w:val="6EFB0B9D"/>
    <w:rsid w:val="6EFB773A"/>
    <w:rsid w:val="6EFE59F9"/>
    <w:rsid w:val="6F01209F"/>
    <w:rsid w:val="6F0E3626"/>
    <w:rsid w:val="6F111CDF"/>
    <w:rsid w:val="6F143332"/>
    <w:rsid w:val="6F197FFF"/>
    <w:rsid w:val="6F29106D"/>
    <w:rsid w:val="6F2A75FC"/>
    <w:rsid w:val="6F3A198D"/>
    <w:rsid w:val="6F3E5E4D"/>
    <w:rsid w:val="6F481FCD"/>
    <w:rsid w:val="6F4C27B5"/>
    <w:rsid w:val="6F5657A8"/>
    <w:rsid w:val="6F5D0E64"/>
    <w:rsid w:val="6F5E19B2"/>
    <w:rsid w:val="6F713124"/>
    <w:rsid w:val="6F7B60A5"/>
    <w:rsid w:val="6F814EBB"/>
    <w:rsid w:val="6F871F3E"/>
    <w:rsid w:val="6F9D1EE2"/>
    <w:rsid w:val="6FA55FFB"/>
    <w:rsid w:val="6FBF1BCD"/>
    <w:rsid w:val="6FBF793A"/>
    <w:rsid w:val="6FC05135"/>
    <w:rsid w:val="6FC21F58"/>
    <w:rsid w:val="6FE015E8"/>
    <w:rsid w:val="6FE93533"/>
    <w:rsid w:val="6FF664D4"/>
    <w:rsid w:val="70132C5E"/>
    <w:rsid w:val="70236C9C"/>
    <w:rsid w:val="70280BBB"/>
    <w:rsid w:val="702E10B5"/>
    <w:rsid w:val="70342A50"/>
    <w:rsid w:val="703A4EF2"/>
    <w:rsid w:val="704A53C2"/>
    <w:rsid w:val="704B6F0E"/>
    <w:rsid w:val="70584519"/>
    <w:rsid w:val="705A546D"/>
    <w:rsid w:val="70797DF9"/>
    <w:rsid w:val="70803631"/>
    <w:rsid w:val="70855CB4"/>
    <w:rsid w:val="708B2B1D"/>
    <w:rsid w:val="70917157"/>
    <w:rsid w:val="7099630E"/>
    <w:rsid w:val="709A1BDE"/>
    <w:rsid w:val="70A14321"/>
    <w:rsid w:val="70AE47AA"/>
    <w:rsid w:val="70B15FFE"/>
    <w:rsid w:val="70C15481"/>
    <w:rsid w:val="70CC5510"/>
    <w:rsid w:val="70DE281D"/>
    <w:rsid w:val="70E713BA"/>
    <w:rsid w:val="70E970E1"/>
    <w:rsid w:val="70ED3A22"/>
    <w:rsid w:val="70FD74FB"/>
    <w:rsid w:val="70FF6F16"/>
    <w:rsid w:val="71067039"/>
    <w:rsid w:val="710D0FB9"/>
    <w:rsid w:val="7111074C"/>
    <w:rsid w:val="71190707"/>
    <w:rsid w:val="712C3864"/>
    <w:rsid w:val="71366E0C"/>
    <w:rsid w:val="71371AB7"/>
    <w:rsid w:val="713A7020"/>
    <w:rsid w:val="71606E2F"/>
    <w:rsid w:val="7166056A"/>
    <w:rsid w:val="716A6D17"/>
    <w:rsid w:val="716C1CD4"/>
    <w:rsid w:val="71732A5E"/>
    <w:rsid w:val="717B0AC7"/>
    <w:rsid w:val="717D7E8B"/>
    <w:rsid w:val="71846A4A"/>
    <w:rsid w:val="718F4AF5"/>
    <w:rsid w:val="71996B29"/>
    <w:rsid w:val="71A042E7"/>
    <w:rsid w:val="71AC6F56"/>
    <w:rsid w:val="71BF3559"/>
    <w:rsid w:val="71C26E16"/>
    <w:rsid w:val="71C40E83"/>
    <w:rsid w:val="71C76A05"/>
    <w:rsid w:val="71C83C4A"/>
    <w:rsid w:val="71D47E70"/>
    <w:rsid w:val="71E2655E"/>
    <w:rsid w:val="71EE668D"/>
    <w:rsid w:val="71F43ECE"/>
    <w:rsid w:val="71FA44F4"/>
    <w:rsid w:val="7203060A"/>
    <w:rsid w:val="72044BEF"/>
    <w:rsid w:val="7211161A"/>
    <w:rsid w:val="721C0F59"/>
    <w:rsid w:val="72246993"/>
    <w:rsid w:val="723F4286"/>
    <w:rsid w:val="724426A9"/>
    <w:rsid w:val="72472346"/>
    <w:rsid w:val="724C0ED0"/>
    <w:rsid w:val="725268EF"/>
    <w:rsid w:val="72530B2E"/>
    <w:rsid w:val="72622EA4"/>
    <w:rsid w:val="726621E1"/>
    <w:rsid w:val="726B3D87"/>
    <w:rsid w:val="726F6724"/>
    <w:rsid w:val="72780288"/>
    <w:rsid w:val="7287473E"/>
    <w:rsid w:val="72943063"/>
    <w:rsid w:val="7296296C"/>
    <w:rsid w:val="729B1EBD"/>
    <w:rsid w:val="72A54E68"/>
    <w:rsid w:val="72B951EC"/>
    <w:rsid w:val="72B95E71"/>
    <w:rsid w:val="72BF4FA2"/>
    <w:rsid w:val="72C27CB6"/>
    <w:rsid w:val="72D14E1A"/>
    <w:rsid w:val="72E70B81"/>
    <w:rsid w:val="72F30434"/>
    <w:rsid w:val="72FD1A34"/>
    <w:rsid w:val="72FF579F"/>
    <w:rsid w:val="73021A75"/>
    <w:rsid w:val="730A1D7F"/>
    <w:rsid w:val="73144BBF"/>
    <w:rsid w:val="732067D0"/>
    <w:rsid w:val="7327377E"/>
    <w:rsid w:val="733E7A0A"/>
    <w:rsid w:val="733F25A5"/>
    <w:rsid w:val="734A2FA7"/>
    <w:rsid w:val="73587D4F"/>
    <w:rsid w:val="73622931"/>
    <w:rsid w:val="73637455"/>
    <w:rsid w:val="7367481F"/>
    <w:rsid w:val="736D2687"/>
    <w:rsid w:val="737032F9"/>
    <w:rsid w:val="737721C5"/>
    <w:rsid w:val="73801518"/>
    <w:rsid w:val="739B5A76"/>
    <w:rsid w:val="73A33E57"/>
    <w:rsid w:val="73E12A1C"/>
    <w:rsid w:val="73F012E0"/>
    <w:rsid w:val="73F71A9B"/>
    <w:rsid w:val="7403257D"/>
    <w:rsid w:val="740C5AC4"/>
    <w:rsid w:val="74156380"/>
    <w:rsid w:val="742B0759"/>
    <w:rsid w:val="74327906"/>
    <w:rsid w:val="7437216A"/>
    <w:rsid w:val="74757DBC"/>
    <w:rsid w:val="74877D90"/>
    <w:rsid w:val="748C2800"/>
    <w:rsid w:val="749431B4"/>
    <w:rsid w:val="74977656"/>
    <w:rsid w:val="74B26752"/>
    <w:rsid w:val="74BC39CA"/>
    <w:rsid w:val="74BE28D7"/>
    <w:rsid w:val="74BF2AC9"/>
    <w:rsid w:val="74C01D57"/>
    <w:rsid w:val="74C67187"/>
    <w:rsid w:val="74DA0D32"/>
    <w:rsid w:val="74F02696"/>
    <w:rsid w:val="74FF7BAC"/>
    <w:rsid w:val="750D7D5E"/>
    <w:rsid w:val="751319C0"/>
    <w:rsid w:val="752964B3"/>
    <w:rsid w:val="752D5974"/>
    <w:rsid w:val="752E4911"/>
    <w:rsid w:val="753D2E34"/>
    <w:rsid w:val="753E1E78"/>
    <w:rsid w:val="755404B5"/>
    <w:rsid w:val="75762FE8"/>
    <w:rsid w:val="757A1831"/>
    <w:rsid w:val="758B3660"/>
    <w:rsid w:val="758D331F"/>
    <w:rsid w:val="75947205"/>
    <w:rsid w:val="75A14E8F"/>
    <w:rsid w:val="75A62A60"/>
    <w:rsid w:val="75A96568"/>
    <w:rsid w:val="75AF7C22"/>
    <w:rsid w:val="75B263E9"/>
    <w:rsid w:val="75D23D9F"/>
    <w:rsid w:val="75EC231B"/>
    <w:rsid w:val="75FA7948"/>
    <w:rsid w:val="75FB6B4D"/>
    <w:rsid w:val="76011783"/>
    <w:rsid w:val="76025D00"/>
    <w:rsid w:val="760C15B6"/>
    <w:rsid w:val="76173546"/>
    <w:rsid w:val="762A7B23"/>
    <w:rsid w:val="7635055B"/>
    <w:rsid w:val="76442EE0"/>
    <w:rsid w:val="764F6F1D"/>
    <w:rsid w:val="765951D6"/>
    <w:rsid w:val="76667FEF"/>
    <w:rsid w:val="766E22AA"/>
    <w:rsid w:val="767752BC"/>
    <w:rsid w:val="767C0E9F"/>
    <w:rsid w:val="76817E4B"/>
    <w:rsid w:val="76904062"/>
    <w:rsid w:val="7692682C"/>
    <w:rsid w:val="76970F68"/>
    <w:rsid w:val="76AA0210"/>
    <w:rsid w:val="76C201E5"/>
    <w:rsid w:val="76C72FCF"/>
    <w:rsid w:val="76D87563"/>
    <w:rsid w:val="76DE12DB"/>
    <w:rsid w:val="76E125A4"/>
    <w:rsid w:val="76E12B09"/>
    <w:rsid w:val="76F2110C"/>
    <w:rsid w:val="76FA697E"/>
    <w:rsid w:val="76FC3948"/>
    <w:rsid w:val="77081EA2"/>
    <w:rsid w:val="7709386D"/>
    <w:rsid w:val="77152FA7"/>
    <w:rsid w:val="771F1B56"/>
    <w:rsid w:val="77203D18"/>
    <w:rsid w:val="772529A7"/>
    <w:rsid w:val="772A2C7E"/>
    <w:rsid w:val="77310DDE"/>
    <w:rsid w:val="7731281A"/>
    <w:rsid w:val="774C1E81"/>
    <w:rsid w:val="774C43EE"/>
    <w:rsid w:val="774E0855"/>
    <w:rsid w:val="775C4778"/>
    <w:rsid w:val="775F20AA"/>
    <w:rsid w:val="77623CED"/>
    <w:rsid w:val="7768336F"/>
    <w:rsid w:val="77731E27"/>
    <w:rsid w:val="77774638"/>
    <w:rsid w:val="77861D2D"/>
    <w:rsid w:val="77870E4D"/>
    <w:rsid w:val="778A1B27"/>
    <w:rsid w:val="778D1FC0"/>
    <w:rsid w:val="778D20C9"/>
    <w:rsid w:val="779F2ABD"/>
    <w:rsid w:val="77A47F70"/>
    <w:rsid w:val="77B803C2"/>
    <w:rsid w:val="77D504EE"/>
    <w:rsid w:val="77DD1D0F"/>
    <w:rsid w:val="77E707B8"/>
    <w:rsid w:val="77EF531C"/>
    <w:rsid w:val="77F20A51"/>
    <w:rsid w:val="77F23958"/>
    <w:rsid w:val="77F629C7"/>
    <w:rsid w:val="77FC59C3"/>
    <w:rsid w:val="780049B8"/>
    <w:rsid w:val="78017D35"/>
    <w:rsid w:val="780257EB"/>
    <w:rsid w:val="78204E0F"/>
    <w:rsid w:val="7828297F"/>
    <w:rsid w:val="782F5155"/>
    <w:rsid w:val="7844180D"/>
    <w:rsid w:val="784A67D5"/>
    <w:rsid w:val="78517A37"/>
    <w:rsid w:val="785952B2"/>
    <w:rsid w:val="785E1E07"/>
    <w:rsid w:val="78607E3B"/>
    <w:rsid w:val="78630353"/>
    <w:rsid w:val="78696CF1"/>
    <w:rsid w:val="786F2BF0"/>
    <w:rsid w:val="787B7116"/>
    <w:rsid w:val="78827A18"/>
    <w:rsid w:val="78970712"/>
    <w:rsid w:val="78C60237"/>
    <w:rsid w:val="78D50937"/>
    <w:rsid w:val="78D75878"/>
    <w:rsid w:val="78E24E06"/>
    <w:rsid w:val="78EA1C57"/>
    <w:rsid w:val="78F74CAF"/>
    <w:rsid w:val="78FB269A"/>
    <w:rsid w:val="79130F40"/>
    <w:rsid w:val="791B2591"/>
    <w:rsid w:val="792A25E9"/>
    <w:rsid w:val="79306E66"/>
    <w:rsid w:val="793B0B11"/>
    <w:rsid w:val="793F006D"/>
    <w:rsid w:val="794258D3"/>
    <w:rsid w:val="795032FC"/>
    <w:rsid w:val="795F2291"/>
    <w:rsid w:val="799B2970"/>
    <w:rsid w:val="79A46C97"/>
    <w:rsid w:val="79B84090"/>
    <w:rsid w:val="79C969C2"/>
    <w:rsid w:val="79D21794"/>
    <w:rsid w:val="79E66967"/>
    <w:rsid w:val="7A064E1E"/>
    <w:rsid w:val="7A07524E"/>
    <w:rsid w:val="7A0B6D4E"/>
    <w:rsid w:val="7A47214D"/>
    <w:rsid w:val="7A4826C3"/>
    <w:rsid w:val="7A5777C7"/>
    <w:rsid w:val="7A6017DD"/>
    <w:rsid w:val="7A7C1A8F"/>
    <w:rsid w:val="7A7D3362"/>
    <w:rsid w:val="7A8D701D"/>
    <w:rsid w:val="7A8E2DF6"/>
    <w:rsid w:val="7A9C0DA7"/>
    <w:rsid w:val="7A9D6CAC"/>
    <w:rsid w:val="7AA36748"/>
    <w:rsid w:val="7AA63B19"/>
    <w:rsid w:val="7AB12E4C"/>
    <w:rsid w:val="7AC5758B"/>
    <w:rsid w:val="7AC744EB"/>
    <w:rsid w:val="7AC960E0"/>
    <w:rsid w:val="7ACA7190"/>
    <w:rsid w:val="7AD64A61"/>
    <w:rsid w:val="7AE15347"/>
    <w:rsid w:val="7AE32FC6"/>
    <w:rsid w:val="7AEF5B12"/>
    <w:rsid w:val="7AF27DC0"/>
    <w:rsid w:val="7B09489F"/>
    <w:rsid w:val="7B096DE3"/>
    <w:rsid w:val="7B23759D"/>
    <w:rsid w:val="7B285BF7"/>
    <w:rsid w:val="7B2E045C"/>
    <w:rsid w:val="7B3B4FDA"/>
    <w:rsid w:val="7B455BDC"/>
    <w:rsid w:val="7B491F9B"/>
    <w:rsid w:val="7B5A00BD"/>
    <w:rsid w:val="7B5D6B8B"/>
    <w:rsid w:val="7B64562A"/>
    <w:rsid w:val="7B6813CF"/>
    <w:rsid w:val="7B6D6918"/>
    <w:rsid w:val="7B7968C6"/>
    <w:rsid w:val="7B815BB9"/>
    <w:rsid w:val="7B933F78"/>
    <w:rsid w:val="7BA23B81"/>
    <w:rsid w:val="7BB82804"/>
    <w:rsid w:val="7BD048AA"/>
    <w:rsid w:val="7BD223CD"/>
    <w:rsid w:val="7BDB0DCB"/>
    <w:rsid w:val="7BF60043"/>
    <w:rsid w:val="7BFA2F8D"/>
    <w:rsid w:val="7BFA6ADE"/>
    <w:rsid w:val="7C1A1332"/>
    <w:rsid w:val="7C1A54EB"/>
    <w:rsid w:val="7C2528C1"/>
    <w:rsid w:val="7C4F4065"/>
    <w:rsid w:val="7C572BD3"/>
    <w:rsid w:val="7C5C7991"/>
    <w:rsid w:val="7C5E0961"/>
    <w:rsid w:val="7C6A7E63"/>
    <w:rsid w:val="7C700AE6"/>
    <w:rsid w:val="7C7B76FF"/>
    <w:rsid w:val="7C9962FE"/>
    <w:rsid w:val="7CA6452B"/>
    <w:rsid w:val="7CA708E4"/>
    <w:rsid w:val="7CA92137"/>
    <w:rsid w:val="7CAE46ED"/>
    <w:rsid w:val="7CBB1A0F"/>
    <w:rsid w:val="7CD866F8"/>
    <w:rsid w:val="7CDB0263"/>
    <w:rsid w:val="7CDB2A76"/>
    <w:rsid w:val="7CDC059E"/>
    <w:rsid w:val="7CDC1992"/>
    <w:rsid w:val="7CF9179D"/>
    <w:rsid w:val="7D012EDB"/>
    <w:rsid w:val="7D0147AE"/>
    <w:rsid w:val="7D1354B5"/>
    <w:rsid w:val="7D136320"/>
    <w:rsid w:val="7D1A5619"/>
    <w:rsid w:val="7D2035B1"/>
    <w:rsid w:val="7D222E3E"/>
    <w:rsid w:val="7D271EE3"/>
    <w:rsid w:val="7D276B5B"/>
    <w:rsid w:val="7D2E5FEB"/>
    <w:rsid w:val="7D3B25A7"/>
    <w:rsid w:val="7D4A1C1A"/>
    <w:rsid w:val="7D651944"/>
    <w:rsid w:val="7D6544D1"/>
    <w:rsid w:val="7D6B462D"/>
    <w:rsid w:val="7D730C16"/>
    <w:rsid w:val="7D770FD7"/>
    <w:rsid w:val="7D820EF3"/>
    <w:rsid w:val="7D89581E"/>
    <w:rsid w:val="7D8B002A"/>
    <w:rsid w:val="7D9348AE"/>
    <w:rsid w:val="7D9B1182"/>
    <w:rsid w:val="7D9D1DAA"/>
    <w:rsid w:val="7D9D7DD3"/>
    <w:rsid w:val="7DA82B1F"/>
    <w:rsid w:val="7DAD794A"/>
    <w:rsid w:val="7DB9776C"/>
    <w:rsid w:val="7DBE07DC"/>
    <w:rsid w:val="7DBE70B7"/>
    <w:rsid w:val="7DDB36FA"/>
    <w:rsid w:val="7DE76CB1"/>
    <w:rsid w:val="7E0147CD"/>
    <w:rsid w:val="7E072C09"/>
    <w:rsid w:val="7E2C36D6"/>
    <w:rsid w:val="7E361E43"/>
    <w:rsid w:val="7E39390F"/>
    <w:rsid w:val="7E471FE2"/>
    <w:rsid w:val="7E490663"/>
    <w:rsid w:val="7E5F5996"/>
    <w:rsid w:val="7E626B9B"/>
    <w:rsid w:val="7E6B6EB1"/>
    <w:rsid w:val="7E6C28BF"/>
    <w:rsid w:val="7E6E0A12"/>
    <w:rsid w:val="7E7478BF"/>
    <w:rsid w:val="7E7A59CB"/>
    <w:rsid w:val="7E9633BF"/>
    <w:rsid w:val="7EA1248B"/>
    <w:rsid w:val="7EA24130"/>
    <w:rsid w:val="7EB42CF8"/>
    <w:rsid w:val="7EB815E7"/>
    <w:rsid w:val="7ED13C40"/>
    <w:rsid w:val="7EDD6A66"/>
    <w:rsid w:val="7EDF70CE"/>
    <w:rsid w:val="7EE63C0B"/>
    <w:rsid w:val="7EE81E07"/>
    <w:rsid w:val="7EEB7DDA"/>
    <w:rsid w:val="7EF256CE"/>
    <w:rsid w:val="7EF365CD"/>
    <w:rsid w:val="7F0508C0"/>
    <w:rsid w:val="7F0C0FDF"/>
    <w:rsid w:val="7F2A3547"/>
    <w:rsid w:val="7F304DC5"/>
    <w:rsid w:val="7F34583C"/>
    <w:rsid w:val="7F3511DA"/>
    <w:rsid w:val="7F360628"/>
    <w:rsid w:val="7F3D0A0B"/>
    <w:rsid w:val="7F46089A"/>
    <w:rsid w:val="7F4B47CA"/>
    <w:rsid w:val="7F544363"/>
    <w:rsid w:val="7F781D92"/>
    <w:rsid w:val="7F7D45B6"/>
    <w:rsid w:val="7F8910A8"/>
    <w:rsid w:val="7F8F082F"/>
    <w:rsid w:val="7F9651FF"/>
    <w:rsid w:val="7F9E277A"/>
    <w:rsid w:val="7FA70047"/>
    <w:rsid w:val="7FA93AE9"/>
    <w:rsid w:val="7FC47665"/>
    <w:rsid w:val="7FD97180"/>
    <w:rsid w:val="7FEE5C5B"/>
    <w:rsid w:val="7FF1413E"/>
    <w:rsid w:val="7FFA38DA"/>
    <w:rsid w:val="AF4682D9"/>
    <w:rsid w:val="FB5F54C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1" w:semiHidden="0" w:name="heading 6"/>
    <w:lsdException w:qFormat="1" w:uiPriority="0" w:name="heading 7"/>
    <w:lsdException w:qFormat="1" w:uiPriority="0" w:name="heading 8"/>
    <w:lsdException w:qFormat="1" w:uiPriority="0" w:name="heading 9"/>
    <w:lsdException w:qFormat="1" w:unhideWhenUsed="0" w:uiPriority="0" w:name="index 1"/>
    <w:lsdException w:unhideWhenUsed="0" w:uiPriority="0" w:semiHidden="0" w:name="index 2"/>
    <w:lsdException w:unhideWhenUsed="0" w:uiPriority="0" w:semiHidden="0" w:name="index 3"/>
    <w:lsdException w:qFormat="1"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qFormat="1" w:unhideWhenUsed="0" w:uiPriority="0" w:name="toc 2"/>
    <w:lsdException w:qFormat="1" w:unhideWhenUsed="0" w:uiPriority="0" w:name="toc 3"/>
    <w:lsdException w:qFormat="1" w:unhideWhenUsed="0" w:uiPriority="0" w:name="toc 4"/>
    <w:lsdException w:qFormat="1" w:unhideWhenUsed="0" w:uiPriority="0" w:name="toc 5"/>
    <w:lsdException w:qFormat="1" w:unhideWhenUsed="0" w:uiPriority="0" w:name="toc 6"/>
    <w:lsdException w:qFormat="1" w:unhideWhenUsed="0" w:uiPriority="0" w:name="toc 7"/>
    <w:lsdException w:qFormat="1" w:unhideWhenUsed="0" w:uiPriority="0" w:name="toc 8"/>
    <w:lsdException w:qFormat="1" w:unhideWhenUsed="0" w:uiPriority="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qFormat="1" w:unhideWhenUsed="0" w:uiPriority="99"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qFormat="1" w:unhideWhenUsed="0" w:uiPriority="0" w:semiHidden="0" w:name="Body Text First Indent"/>
    <w:lsdException w:qFormat="1" w:unhideWhenUsed="0" w:uiPriority="0" w:semiHidden="0" w:name="Body Text First Indent 2"/>
    <w:lsdException w:unhideWhenUsed="0" w:uiPriority="0" w:semiHidden="0"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qFormat="1" w:uiPriority="99" w:semiHidden="0" w:name="Block Text"/>
    <w:lsdException w:qFormat="1" w:unhideWhenUsed="0" w:uiPriority="99"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name="Document Map"/>
    <w:lsdException w:qFormat="1" w:unhideWhenUsed="0" w:uiPriority="0" w:semiHidden="0" w:name="Plain Text"/>
    <w:lsdException w:unhideWhenUsed="0" w:uiPriority="0" w:semiHidden="0" w:name="E-mail Signature"/>
    <w:lsdException w:qFormat="1"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qFormat="1"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name="Balloon Text"/>
    <w:lsdException w:qFormat="1" w:unhideWhenUsed="0" w:uiPriority="0" w:semiHidden="0" w:name="Table Grid"/>
    <w:lsdException w:uiPriority="0"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link w:val="85"/>
    <w:qFormat/>
    <w:uiPriority w:val="0"/>
    <w:pPr>
      <w:keepNext/>
      <w:outlineLvl w:val="0"/>
    </w:pPr>
    <w:rPr>
      <w:rFonts w:ascii="楷体_GB2312" w:eastAsia="楷体_GB2312"/>
      <w:sz w:val="28"/>
      <w:szCs w:val="20"/>
    </w:rPr>
  </w:style>
  <w:style w:type="paragraph" w:styleId="3">
    <w:name w:val="heading 2"/>
    <w:basedOn w:val="1"/>
    <w:next w:val="1"/>
    <w:qFormat/>
    <w:uiPriority w:val="0"/>
    <w:pPr>
      <w:keepNext/>
      <w:keepLines/>
      <w:spacing w:before="260" w:after="260" w:line="416" w:lineRule="auto"/>
      <w:jc w:val="center"/>
      <w:outlineLvl w:val="1"/>
    </w:pPr>
    <w:rPr>
      <w:rFonts w:ascii="Arial" w:hAnsi="Arial" w:eastAsia="幼圆"/>
      <w:b/>
      <w:sz w:val="44"/>
      <w:szCs w:val="20"/>
    </w:rPr>
  </w:style>
  <w:style w:type="paragraph" w:styleId="4">
    <w:name w:val="heading 3"/>
    <w:basedOn w:val="1"/>
    <w:next w:val="1"/>
    <w:qFormat/>
    <w:uiPriority w:val="0"/>
    <w:pPr>
      <w:keepLines/>
      <w:spacing w:before="260" w:after="260" w:line="416" w:lineRule="auto"/>
      <w:outlineLvl w:val="2"/>
    </w:pPr>
    <w:rPr>
      <w:b/>
      <w:sz w:val="32"/>
    </w:rPr>
  </w:style>
  <w:style w:type="paragraph" w:styleId="5">
    <w:name w:val="heading 4"/>
    <w:basedOn w:val="1"/>
    <w:next w:val="1"/>
    <w:qFormat/>
    <w:uiPriority w:val="0"/>
    <w:pPr>
      <w:keepNext/>
      <w:keepLines/>
      <w:spacing w:before="280" w:after="290" w:line="376" w:lineRule="auto"/>
      <w:outlineLvl w:val="3"/>
    </w:pPr>
    <w:rPr>
      <w:rFonts w:ascii="Arial" w:hAnsi="Arial" w:eastAsia="黑体"/>
      <w:b/>
      <w:bCs/>
      <w:sz w:val="28"/>
      <w:szCs w:val="28"/>
    </w:rPr>
  </w:style>
  <w:style w:type="paragraph" w:styleId="6">
    <w:name w:val="heading 5"/>
    <w:basedOn w:val="1"/>
    <w:next w:val="1"/>
    <w:qFormat/>
    <w:uiPriority w:val="0"/>
    <w:pPr>
      <w:keepNext/>
      <w:outlineLvl w:val="4"/>
    </w:pPr>
    <w:rPr>
      <w:rFonts w:ascii="宋体" w:hAnsi="宋体"/>
      <w:b/>
      <w:bCs/>
    </w:rPr>
  </w:style>
  <w:style w:type="paragraph" w:styleId="7">
    <w:name w:val="heading 6"/>
    <w:basedOn w:val="1"/>
    <w:next w:val="1"/>
    <w:qFormat/>
    <w:uiPriority w:val="1"/>
    <w:pPr>
      <w:ind w:left="1320"/>
      <w:outlineLvl w:val="5"/>
    </w:pPr>
    <w:rPr>
      <w:rFonts w:ascii="仿宋" w:hAnsi="仿宋" w:eastAsia="仿宋" w:cs="仿宋"/>
      <w:b/>
      <w:bCs/>
      <w:sz w:val="24"/>
      <w:lang w:val="zh-CN" w:bidi="zh-CN"/>
    </w:rPr>
  </w:style>
  <w:style w:type="character" w:default="1" w:styleId="43">
    <w:name w:val="Default Paragraph Font"/>
    <w:semiHidden/>
    <w:unhideWhenUsed/>
    <w:qFormat/>
    <w:uiPriority w:val="1"/>
  </w:style>
  <w:style w:type="table" w:default="1" w:styleId="41">
    <w:name w:val="Normal Table"/>
    <w:semiHidden/>
    <w:unhideWhenUsed/>
    <w:qFormat/>
    <w:uiPriority w:val="99"/>
    <w:tblPr>
      <w:tblCellMar>
        <w:top w:w="0" w:type="dxa"/>
        <w:left w:w="108" w:type="dxa"/>
        <w:bottom w:w="0" w:type="dxa"/>
        <w:right w:w="108" w:type="dxa"/>
      </w:tblCellMar>
    </w:tblPr>
  </w:style>
  <w:style w:type="paragraph" w:styleId="8">
    <w:name w:val="toc 7"/>
    <w:basedOn w:val="1"/>
    <w:next w:val="1"/>
    <w:semiHidden/>
    <w:qFormat/>
    <w:uiPriority w:val="0"/>
    <w:pPr>
      <w:ind w:left="2520" w:leftChars="1200"/>
    </w:pPr>
  </w:style>
  <w:style w:type="paragraph" w:styleId="9">
    <w:name w:val="Normal Indent"/>
    <w:basedOn w:val="1"/>
    <w:link w:val="93"/>
    <w:qFormat/>
    <w:uiPriority w:val="0"/>
    <w:pPr>
      <w:ind w:firstLine="420"/>
    </w:pPr>
    <w:rPr>
      <w:szCs w:val="20"/>
    </w:rPr>
  </w:style>
  <w:style w:type="paragraph" w:styleId="10">
    <w:name w:val="Document Map"/>
    <w:basedOn w:val="1"/>
    <w:semiHidden/>
    <w:qFormat/>
    <w:uiPriority w:val="0"/>
    <w:pPr>
      <w:shd w:val="clear" w:color="auto" w:fill="000080"/>
    </w:pPr>
  </w:style>
  <w:style w:type="paragraph" w:styleId="11">
    <w:name w:val="annotation text"/>
    <w:basedOn w:val="1"/>
    <w:link w:val="86"/>
    <w:qFormat/>
    <w:uiPriority w:val="0"/>
    <w:pPr>
      <w:jc w:val="left"/>
    </w:pPr>
  </w:style>
  <w:style w:type="paragraph" w:styleId="12">
    <w:name w:val="Body Text 3"/>
    <w:basedOn w:val="1"/>
    <w:qFormat/>
    <w:uiPriority w:val="0"/>
    <w:rPr>
      <w:rFonts w:ascii="仿宋_GB2312" w:hAnsi="Arial" w:eastAsia="仿宋_GB2312"/>
      <w:sz w:val="32"/>
      <w:szCs w:val="20"/>
    </w:rPr>
  </w:style>
  <w:style w:type="paragraph" w:styleId="13">
    <w:name w:val="Body Text"/>
    <w:basedOn w:val="1"/>
    <w:next w:val="14"/>
    <w:qFormat/>
    <w:uiPriority w:val="0"/>
    <w:rPr>
      <w:rFonts w:ascii="楷体_GB2312" w:hAnsi="Arial" w:eastAsia="楷体_GB2312"/>
      <w:sz w:val="28"/>
      <w:szCs w:val="20"/>
    </w:rPr>
  </w:style>
  <w:style w:type="paragraph" w:styleId="14">
    <w:name w:val="toc 5"/>
    <w:basedOn w:val="1"/>
    <w:next w:val="1"/>
    <w:semiHidden/>
    <w:qFormat/>
    <w:uiPriority w:val="0"/>
    <w:pPr>
      <w:ind w:left="1680" w:leftChars="800"/>
    </w:pPr>
  </w:style>
  <w:style w:type="paragraph" w:styleId="15">
    <w:name w:val="Body Text Indent"/>
    <w:basedOn w:val="1"/>
    <w:next w:val="1"/>
    <w:qFormat/>
    <w:uiPriority w:val="0"/>
    <w:pPr>
      <w:ind w:firstLine="645"/>
    </w:pPr>
    <w:rPr>
      <w:rFonts w:ascii="楷体_GB2312" w:eastAsia="楷体_GB2312"/>
      <w:sz w:val="32"/>
      <w:szCs w:val="20"/>
    </w:rPr>
  </w:style>
  <w:style w:type="paragraph" w:styleId="16">
    <w:name w:val="Block Text"/>
    <w:basedOn w:val="1"/>
    <w:unhideWhenUsed/>
    <w:qFormat/>
    <w:uiPriority w:val="99"/>
    <w:pPr>
      <w:spacing w:after="120"/>
      <w:ind w:left="1440" w:leftChars="700" w:right="1440" w:rightChars="700"/>
    </w:pPr>
  </w:style>
  <w:style w:type="paragraph" w:styleId="17">
    <w:name w:val="index 4"/>
    <w:basedOn w:val="1"/>
    <w:next w:val="1"/>
    <w:qFormat/>
    <w:uiPriority w:val="0"/>
    <w:pPr>
      <w:ind w:left="600" w:leftChars="600"/>
    </w:pPr>
  </w:style>
  <w:style w:type="paragraph" w:styleId="18">
    <w:name w:val="toc 3"/>
    <w:basedOn w:val="1"/>
    <w:next w:val="1"/>
    <w:semiHidden/>
    <w:qFormat/>
    <w:uiPriority w:val="0"/>
    <w:pPr>
      <w:tabs>
        <w:tab w:val="right" w:leader="dot" w:pos="9440"/>
      </w:tabs>
      <w:spacing w:line="240" w:lineRule="exact"/>
      <w:ind w:left="539"/>
      <w:jc w:val="left"/>
    </w:pPr>
    <w:rPr>
      <w:rFonts w:ascii="黑体" w:hAnsi="宋体" w:eastAsia="黑体"/>
      <w:bCs/>
      <w:iCs/>
      <w:sz w:val="18"/>
      <w:szCs w:val="32"/>
    </w:rPr>
  </w:style>
  <w:style w:type="paragraph" w:styleId="19">
    <w:name w:val="Plain Text"/>
    <w:basedOn w:val="1"/>
    <w:link w:val="90"/>
    <w:qFormat/>
    <w:uiPriority w:val="0"/>
    <w:rPr>
      <w:rFonts w:ascii="宋体" w:hAnsi="Courier New"/>
      <w:szCs w:val="20"/>
    </w:rPr>
  </w:style>
  <w:style w:type="paragraph" w:styleId="20">
    <w:name w:val="toc 8"/>
    <w:basedOn w:val="1"/>
    <w:next w:val="1"/>
    <w:semiHidden/>
    <w:qFormat/>
    <w:uiPriority w:val="0"/>
    <w:pPr>
      <w:ind w:left="2940" w:leftChars="1400"/>
    </w:pPr>
  </w:style>
  <w:style w:type="paragraph" w:styleId="21">
    <w:name w:val="Date"/>
    <w:basedOn w:val="1"/>
    <w:next w:val="1"/>
    <w:qFormat/>
    <w:uiPriority w:val="0"/>
    <w:rPr>
      <w:sz w:val="24"/>
      <w:szCs w:val="20"/>
    </w:rPr>
  </w:style>
  <w:style w:type="paragraph" w:styleId="22">
    <w:name w:val="Body Text Indent 2"/>
    <w:basedOn w:val="1"/>
    <w:qFormat/>
    <w:uiPriority w:val="0"/>
    <w:pPr>
      <w:ind w:firstLine="560" w:firstLineChars="200"/>
    </w:pPr>
    <w:rPr>
      <w:rFonts w:ascii="宋体" w:hAnsi="宋体"/>
      <w:sz w:val="28"/>
    </w:rPr>
  </w:style>
  <w:style w:type="paragraph" w:styleId="23">
    <w:name w:val="Balloon Text"/>
    <w:basedOn w:val="1"/>
    <w:semiHidden/>
    <w:qFormat/>
    <w:uiPriority w:val="0"/>
    <w:rPr>
      <w:sz w:val="18"/>
      <w:szCs w:val="18"/>
    </w:rPr>
  </w:style>
  <w:style w:type="paragraph" w:styleId="24">
    <w:name w:val="footer"/>
    <w:basedOn w:val="1"/>
    <w:link w:val="117"/>
    <w:qFormat/>
    <w:uiPriority w:val="99"/>
    <w:pPr>
      <w:tabs>
        <w:tab w:val="center" w:pos="4153"/>
        <w:tab w:val="right" w:pos="8306"/>
      </w:tabs>
      <w:snapToGrid w:val="0"/>
      <w:jc w:val="left"/>
    </w:pPr>
    <w:rPr>
      <w:sz w:val="18"/>
      <w:szCs w:val="20"/>
    </w:rPr>
  </w:style>
  <w:style w:type="paragraph" w:styleId="25">
    <w:name w:val="envelope return"/>
    <w:basedOn w:val="1"/>
    <w:qFormat/>
    <w:uiPriority w:val="99"/>
    <w:pPr>
      <w:snapToGrid w:val="0"/>
    </w:pPr>
    <w:rPr>
      <w:rFonts w:ascii="Arial" w:hAnsi="Arial"/>
    </w:rPr>
  </w:style>
  <w:style w:type="paragraph" w:styleId="26">
    <w:name w:val="header"/>
    <w:basedOn w:val="1"/>
    <w:qFormat/>
    <w:uiPriority w:val="0"/>
    <w:pPr>
      <w:pBdr>
        <w:bottom w:val="single" w:color="auto" w:sz="6" w:space="1"/>
      </w:pBdr>
      <w:tabs>
        <w:tab w:val="center" w:pos="4153"/>
        <w:tab w:val="right" w:pos="8306"/>
      </w:tabs>
      <w:snapToGrid w:val="0"/>
      <w:jc w:val="center"/>
    </w:pPr>
    <w:rPr>
      <w:sz w:val="18"/>
      <w:szCs w:val="18"/>
    </w:rPr>
  </w:style>
  <w:style w:type="paragraph" w:styleId="27">
    <w:name w:val="toc 1"/>
    <w:basedOn w:val="1"/>
    <w:next w:val="1"/>
    <w:qFormat/>
    <w:uiPriority w:val="39"/>
    <w:pPr>
      <w:tabs>
        <w:tab w:val="right" w:leader="dot" w:pos="9440"/>
      </w:tabs>
      <w:spacing w:before="120" w:after="120" w:line="480" w:lineRule="auto"/>
      <w:jc w:val="left"/>
    </w:pPr>
    <w:rPr>
      <w:rFonts w:ascii="黑体" w:eastAsia="黑体"/>
      <w:b/>
      <w:caps/>
      <w:sz w:val="18"/>
      <w:szCs w:val="28"/>
    </w:rPr>
  </w:style>
  <w:style w:type="paragraph" w:styleId="28">
    <w:name w:val="toc 4"/>
    <w:basedOn w:val="1"/>
    <w:next w:val="1"/>
    <w:semiHidden/>
    <w:qFormat/>
    <w:uiPriority w:val="0"/>
    <w:pPr>
      <w:ind w:left="1260" w:leftChars="600"/>
    </w:pPr>
  </w:style>
  <w:style w:type="paragraph" w:styleId="29">
    <w:name w:val="toc 6"/>
    <w:basedOn w:val="1"/>
    <w:next w:val="1"/>
    <w:semiHidden/>
    <w:qFormat/>
    <w:uiPriority w:val="0"/>
    <w:pPr>
      <w:ind w:left="2100" w:leftChars="1000"/>
    </w:pPr>
  </w:style>
  <w:style w:type="paragraph" w:styleId="30">
    <w:name w:val="Body Text Indent 3"/>
    <w:basedOn w:val="1"/>
    <w:qFormat/>
    <w:uiPriority w:val="0"/>
    <w:pPr>
      <w:ind w:firstLine="523"/>
    </w:pPr>
    <w:rPr>
      <w:rFonts w:ascii="仿宋_GB2312" w:hAnsi="宋体" w:eastAsia="仿宋_GB2312"/>
      <w:sz w:val="24"/>
    </w:rPr>
  </w:style>
  <w:style w:type="paragraph" w:styleId="31">
    <w:name w:val="toc 2"/>
    <w:basedOn w:val="1"/>
    <w:next w:val="1"/>
    <w:semiHidden/>
    <w:qFormat/>
    <w:uiPriority w:val="0"/>
    <w:pPr>
      <w:tabs>
        <w:tab w:val="right" w:leader="dot" w:pos="9440"/>
      </w:tabs>
      <w:spacing w:line="260" w:lineRule="exact"/>
      <w:jc w:val="left"/>
    </w:pPr>
    <w:rPr>
      <w:rFonts w:ascii="黑体" w:eastAsia="黑体"/>
      <w:b/>
      <w:bCs/>
      <w:smallCaps/>
      <w:sz w:val="18"/>
      <w:szCs w:val="44"/>
    </w:rPr>
  </w:style>
  <w:style w:type="paragraph" w:styleId="32">
    <w:name w:val="toc 9"/>
    <w:basedOn w:val="1"/>
    <w:next w:val="1"/>
    <w:semiHidden/>
    <w:qFormat/>
    <w:uiPriority w:val="0"/>
    <w:pPr>
      <w:ind w:left="3360" w:leftChars="1600"/>
    </w:pPr>
  </w:style>
  <w:style w:type="paragraph" w:styleId="33">
    <w:name w:val="Body Text 2"/>
    <w:basedOn w:val="1"/>
    <w:qFormat/>
    <w:uiPriority w:val="0"/>
    <w:pPr>
      <w:jc w:val="center"/>
    </w:pPr>
    <w:rPr>
      <w:rFonts w:ascii="仿宋_GB2312" w:eastAsia="仿宋_GB2312"/>
      <w:sz w:val="44"/>
    </w:rPr>
  </w:style>
  <w:style w:type="paragraph" w:styleId="34">
    <w:name w:val="HTML Preformatted"/>
    <w:basedOn w:val="1"/>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黑体" w:hAnsi="Courier New" w:eastAsia="黑体" w:cs="Courier New"/>
      <w:kern w:val="0"/>
      <w:sz w:val="20"/>
      <w:szCs w:val="20"/>
    </w:rPr>
  </w:style>
  <w:style w:type="paragraph" w:styleId="35">
    <w:name w:val="Normal (Web)"/>
    <w:basedOn w:val="1"/>
    <w:unhideWhenUsed/>
    <w:qFormat/>
    <w:uiPriority w:val="0"/>
    <w:pPr>
      <w:widowControl/>
      <w:spacing w:before="100" w:beforeAutospacing="1" w:after="100" w:afterAutospacing="1"/>
      <w:jc w:val="left"/>
    </w:pPr>
    <w:rPr>
      <w:rFonts w:ascii="宋体" w:hAnsi="宋体" w:cs="宋体"/>
      <w:kern w:val="0"/>
      <w:sz w:val="24"/>
    </w:rPr>
  </w:style>
  <w:style w:type="paragraph" w:styleId="36">
    <w:name w:val="index 1"/>
    <w:basedOn w:val="1"/>
    <w:next w:val="1"/>
    <w:semiHidden/>
    <w:qFormat/>
    <w:uiPriority w:val="0"/>
    <w:rPr>
      <w:rFonts w:ascii="宋体" w:hAnsi="宋体"/>
      <w:szCs w:val="18"/>
    </w:rPr>
  </w:style>
  <w:style w:type="paragraph" w:styleId="37">
    <w:name w:val="Title"/>
    <w:basedOn w:val="1"/>
    <w:next w:val="1"/>
    <w:link w:val="95"/>
    <w:qFormat/>
    <w:uiPriority w:val="0"/>
    <w:pPr>
      <w:spacing w:before="240" w:after="60"/>
      <w:jc w:val="center"/>
      <w:outlineLvl w:val="0"/>
    </w:pPr>
    <w:rPr>
      <w:rFonts w:ascii="Cambria" w:hAnsi="Cambria"/>
      <w:b/>
      <w:bCs/>
      <w:sz w:val="44"/>
      <w:szCs w:val="32"/>
    </w:rPr>
  </w:style>
  <w:style w:type="paragraph" w:styleId="38">
    <w:name w:val="annotation subject"/>
    <w:basedOn w:val="11"/>
    <w:next w:val="11"/>
    <w:link w:val="82"/>
    <w:qFormat/>
    <w:uiPriority w:val="0"/>
    <w:rPr>
      <w:b/>
      <w:bCs/>
    </w:rPr>
  </w:style>
  <w:style w:type="paragraph" w:styleId="39">
    <w:name w:val="Body Text First Indent"/>
    <w:basedOn w:val="13"/>
    <w:next w:val="40"/>
    <w:qFormat/>
    <w:uiPriority w:val="0"/>
    <w:pPr>
      <w:spacing w:after="120"/>
      <w:ind w:firstLine="420" w:firstLineChars="100"/>
    </w:pPr>
    <w:rPr>
      <w:rFonts w:ascii="Times New Roman" w:hAnsi="Times New Roman" w:eastAsia="宋体"/>
      <w:sz w:val="21"/>
      <w:szCs w:val="24"/>
    </w:rPr>
  </w:style>
  <w:style w:type="paragraph" w:styleId="40">
    <w:name w:val="Body Text First Indent 2"/>
    <w:basedOn w:val="15"/>
    <w:next w:val="1"/>
    <w:qFormat/>
    <w:uiPriority w:val="0"/>
    <w:pPr>
      <w:spacing w:line="360" w:lineRule="auto"/>
      <w:ind w:firstLine="420" w:firstLineChars="200"/>
    </w:pPr>
    <w:rPr>
      <w:rFonts w:ascii="宋体" w:hAnsi="宋体"/>
    </w:rPr>
  </w:style>
  <w:style w:type="table" w:styleId="42">
    <w:name w:val="Table Grid"/>
    <w:basedOn w:val="41"/>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44">
    <w:name w:val="Strong"/>
    <w:qFormat/>
    <w:uiPriority w:val="0"/>
    <w:rPr>
      <w:b/>
      <w:bCs/>
    </w:rPr>
  </w:style>
  <w:style w:type="character" w:styleId="45">
    <w:name w:val="page number"/>
    <w:qFormat/>
    <w:uiPriority w:val="0"/>
  </w:style>
  <w:style w:type="character" w:styleId="46">
    <w:name w:val="FollowedHyperlink"/>
    <w:qFormat/>
    <w:uiPriority w:val="0"/>
    <w:rPr>
      <w:color w:val="800080"/>
      <w:u w:val="single"/>
    </w:rPr>
  </w:style>
  <w:style w:type="character" w:styleId="47">
    <w:name w:val="Emphasis"/>
    <w:qFormat/>
    <w:uiPriority w:val="0"/>
    <w:rPr>
      <w:i/>
    </w:rPr>
  </w:style>
  <w:style w:type="character" w:styleId="48">
    <w:name w:val="Hyperlink"/>
    <w:qFormat/>
    <w:uiPriority w:val="99"/>
    <w:rPr>
      <w:color w:val="0000FF"/>
      <w:u w:val="single"/>
    </w:rPr>
  </w:style>
  <w:style w:type="character" w:styleId="49">
    <w:name w:val="annotation reference"/>
    <w:qFormat/>
    <w:uiPriority w:val="0"/>
    <w:rPr>
      <w:sz w:val="21"/>
      <w:szCs w:val="21"/>
    </w:rPr>
  </w:style>
  <w:style w:type="paragraph" w:customStyle="1" w:styleId="50">
    <w:name w:val="首行缩进"/>
    <w:basedOn w:val="1"/>
    <w:qFormat/>
    <w:uiPriority w:val="0"/>
    <w:pPr>
      <w:spacing w:line="360" w:lineRule="auto"/>
      <w:ind w:firstLine="480" w:firstLineChars="200"/>
      <w:jc w:val="left"/>
    </w:pPr>
    <w:rPr>
      <w:rFonts w:ascii="宋体" w:hAnsi="宋体" w:eastAsia="Calibri"/>
      <w:kern w:val="0"/>
      <w:sz w:val="24"/>
      <w:lang w:eastAsia="en-US"/>
    </w:rPr>
  </w:style>
  <w:style w:type="paragraph" w:styleId="51">
    <w:name w:val="List Paragraph"/>
    <w:basedOn w:val="1"/>
    <w:qFormat/>
    <w:uiPriority w:val="34"/>
    <w:pPr>
      <w:ind w:firstLine="420" w:firstLineChars="200"/>
    </w:pPr>
    <w:rPr>
      <w:rFonts w:ascii="Calibri" w:hAnsi="Calibri"/>
      <w:szCs w:val="22"/>
    </w:rPr>
  </w:style>
  <w:style w:type="paragraph" w:customStyle="1" w:styleId="52">
    <w:name w:val="标书正文格式"/>
    <w:qFormat/>
    <w:uiPriority w:val="0"/>
    <w:pPr>
      <w:spacing w:line="360" w:lineRule="auto"/>
      <w:ind w:firstLine="200" w:firstLineChars="200"/>
    </w:pPr>
    <w:rPr>
      <w:rFonts w:ascii="Times New Roman" w:hAnsi="Times New Roman" w:eastAsia="楷体_GB2312" w:cs="Times New Roman"/>
      <w:kern w:val="2"/>
      <w:sz w:val="24"/>
      <w:szCs w:val="24"/>
      <w:lang w:val="en-US" w:eastAsia="zh-CN" w:bidi="ar-SA"/>
    </w:rPr>
  </w:style>
  <w:style w:type="paragraph" w:customStyle="1" w:styleId="53">
    <w:name w:val="_Style 4"/>
    <w:basedOn w:val="15"/>
    <w:next w:val="1"/>
    <w:qFormat/>
    <w:uiPriority w:val="0"/>
    <w:pPr>
      <w:spacing w:line="360" w:lineRule="auto"/>
      <w:ind w:firstLine="420" w:firstLineChars="200"/>
    </w:pPr>
    <w:rPr>
      <w:rFonts w:ascii="宋体" w:hAnsi="宋体"/>
    </w:rPr>
  </w:style>
  <w:style w:type="paragraph" w:customStyle="1" w:styleId="54">
    <w:name w:val="BioQuote Tekst"/>
    <w:basedOn w:val="1"/>
    <w:qFormat/>
    <w:uiPriority w:val="0"/>
    <w:pPr>
      <w:ind w:right="-1"/>
    </w:pPr>
    <w:rPr>
      <w:rFonts w:ascii="Arial" w:hAnsi="Arial"/>
      <w:snapToGrid w:val="0"/>
      <w:kern w:val="0"/>
      <w:sz w:val="22"/>
      <w:szCs w:val="20"/>
      <w:lang w:eastAsia="en-US"/>
    </w:rPr>
  </w:style>
  <w:style w:type="paragraph" w:customStyle="1" w:styleId="55">
    <w:name w:val="Char Char Char Char1 Char Char"/>
    <w:basedOn w:val="1"/>
    <w:qFormat/>
    <w:uiPriority w:val="0"/>
    <w:pPr>
      <w:tabs>
        <w:tab w:val="left" w:pos="360"/>
      </w:tabs>
    </w:pPr>
    <w:rPr>
      <w:sz w:val="24"/>
    </w:rPr>
  </w:style>
  <w:style w:type="paragraph" w:customStyle="1" w:styleId="56">
    <w:name w:val="正文 1.1.1"/>
    <w:basedOn w:val="1"/>
    <w:next w:val="1"/>
    <w:qFormat/>
    <w:uiPriority w:val="0"/>
    <w:pPr>
      <w:numPr>
        <w:ilvl w:val="2"/>
        <w:numId w:val="1"/>
      </w:numPr>
      <w:adjustRightInd w:val="0"/>
      <w:spacing w:line="360" w:lineRule="auto"/>
      <w:textAlignment w:val="baseline"/>
      <w:outlineLvl w:val="2"/>
    </w:pPr>
    <w:rPr>
      <w:rFonts w:ascii="宋体" w:hAnsi="宋体"/>
      <w:color w:val="000000"/>
      <w:kern w:val="0"/>
      <w:sz w:val="28"/>
      <w:szCs w:val="21"/>
    </w:rPr>
  </w:style>
  <w:style w:type="paragraph" w:customStyle="1" w:styleId="57">
    <w:name w:val="Coms Alinea"/>
    <w:qFormat/>
    <w:uiPriority w:val="0"/>
    <w:pPr>
      <w:widowControl w:val="0"/>
    </w:pPr>
    <w:rPr>
      <w:rFonts w:ascii="Arial" w:hAnsi="Arial" w:eastAsia="宋体" w:cs="Arial"/>
      <w:lang w:val="en-US" w:eastAsia="zh-CN" w:bidi="ar-SA"/>
    </w:rPr>
  </w:style>
  <w:style w:type="paragraph" w:customStyle="1" w:styleId="58">
    <w:name w:val="默认段落字体 Para Char Char Char Char Char Char Char Char Char1 Char Char Char Char Char Char Char"/>
    <w:basedOn w:val="10"/>
    <w:qFormat/>
    <w:uiPriority w:val="0"/>
    <w:rPr>
      <w:rFonts w:ascii="Tahoma" w:hAnsi="Tahoma"/>
      <w:sz w:val="24"/>
    </w:rPr>
  </w:style>
  <w:style w:type="paragraph" w:customStyle="1" w:styleId="59">
    <w:name w:val="Table Text"/>
    <w:qFormat/>
    <w:uiPriority w:val="0"/>
    <w:pPr>
      <w:snapToGrid w:val="0"/>
      <w:spacing w:before="143" w:beforeLines="50" w:after="80"/>
      <w:jc w:val="center"/>
    </w:pPr>
    <w:rPr>
      <w:rFonts w:ascii="仿宋_GB2312" w:hAnsi="宋体" w:eastAsia="仿宋_GB2312" w:cs="Times New Roman"/>
      <w:sz w:val="24"/>
      <w:lang w:val="en-US" w:eastAsia="zh-CN" w:bidi="ar-SA"/>
    </w:rPr>
  </w:style>
  <w:style w:type="paragraph" w:customStyle="1" w:styleId="60">
    <w:name w:val="Char"/>
    <w:basedOn w:val="1"/>
    <w:qFormat/>
    <w:uiPriority w:val="0"/>
    <w:pPr>
      <w:tabs>
        <w:tab w:val="left" w:pos="360"/>
      </w:tabs>
      <w:ind w:firstLine="561"/>
      <w:jc w:val="left"/>
    </w:pPr>
    <w:rPr>
      <w:sz w:val="24"/>
      <w:u w:val="single"/>
    </w:rPr>
  </w:style>
  <w:style w:type="paragraph" w:customStyle="1" w:styleId="61">
    <w:name w:val="第四级"/>
    <w:basedOn w:val="1"/>
    <w:next w:val="1"/>
    <w:qFormat/>
    <w:uiPriority w:val="0"/>
    <w:pPr>
      <w:numPr>
        <w:ilvl w:val="3"/>
        <w:numId w:val="1"/>
      </w:numPr>
      <w:adjustRightInd w:val="0"/>
      <w:spacing w:line="360" w:lineRule="auto"/>
      <w:textAlignment w:val="baseline"/>
    </w:pPr>
    <w:rPr>
      <w:rFonts w:ascii="宋体" w:hAnsi="宋体" w:eastAsia="仿宋"/>
      <w:kern w:val="0"/>
      <w:sz w:val="28"/>
      <w:szCs w:val="21"/>
    </w:rPr>
  </w:style>
  <w:style w:type="paragraph" w:customStyle="1" w:styleId="62">
    <w:name w:val="Default"/>
    <w:qFormat/>
    <w:uiPriority w:val="99"/>
    <w:pPr>
      <w:widowControl w:val="0"/>
      <w:autoSpaceDE w:val="0"/>
      <w:autoSpaceDN w:val="0"/>
      <w:adjustRightInd w:val="0"/>
    </w:pPr>
    <w:rPr>
      <w:rFonts w:ascii="MS Mincho" w:hAnsi="MS Mincho" w:eastAsia="宋体" w:cs="Times New Roman"/>
      <w:color w:val="000000"/>
      <w:kern w:val="2"/>
      <w:sz w:val="21"/>
      <w:szCs w:val="24"/>
      <w:lang w:val="en-US" w:eastAsia="zh-CN" w:bidi="ar-SA"/>
    </w:rPr>
  </w:style>
  <w:style w:type="paragraph" w:customStyle="1" w:styleId="63">
    <w:name w:val="正文空2格  1."/>
    <w:basedOn w:val="1"/>
    <w:qFormat/>
    <w:uiPriority w:val="0"/>
    <w:pPr>
      <w:adjustRightInd w:val="0"/>
      <w:spacing w:line="360" w:lineRule="auto"/>
      <w:ind w:firstLine="480" w:firstLineChars="200"/>
      <w:textAlignment w:val="baseline"/>
    </w:pPr>
    <w:rPr>
      <w:rFonts w:ascii="宋体" w:eastAsia="仿宋" w:cs="宋体"/>
      <w:kern w:val="0"/>
      <w:sz w:val="28"/>
      <w:szCs w:val="20"/>
    </w:rPr>
  </w:style>
  <w:style w:type="paragraph" w:customStyle="1" w:styleId="64">
    <w:name w:val="正文 1.1"/>
    <w:basedOn w:val="1"/>
    <w:next w:val="56"/>
    <w:qFormat/>
    <w:uiPriority w:val="0"/>
    <w:pPr>
      <w:numPr>
        <w:ilvl w:val="1"/>
        <w:numId w:val="1"/>
      </w:numPr>
      <w:tabs>
        <w:tab w:val="clear" w:pos="851"/>
      </w:tabs>
      <w:adjustRightInd w:val="0"/>
      <w:spacing w:line="360" w:lineRule="auto"/>
      <w:ind w:left="980" w:hanging="980" w:hangingChars="350"/>
      <w:textAlignment w:val="baseline"/>
      <w:outlineLvl w:val="1"/>
    </w:pPr>
    <w:rPr>
      <w:rFonts w:ascii="仿宋" w:hAnsi="仿宋" w:eastAsia="仿宋"/>
      <w:b/>
      <w:kern w:val="0"/>
      <w:sz w:val="28"/>
      <w:szCs w:val="21"/>
    </w:rPr>
  </w:style>
  <w:style w:type="paragraph" w:customStyle="1" w:styleId="65">
    <w:name w:val="列出段落1"/>
    <w:basedOn w:val="1"/>
    <w:link w:val="96"/>
    <w:qFormat/>
    <w:uiPriority w:val="0"/>
    <w:pPr>
      <w:widowControl/>
      <w:ind w:left="720"/>
      <w:contextualSpacing/>
      <w:jc w:val="left"/>
    </w:pPr>
    <w:rPr>
      <w:rFonts w:ascii="Calibri" w:hAnsi="Calibri"/>
      <w:kern w:val="0"/>
      <w:sz w:val="24"/>
      <w:lang w:eastAsia="en-US" w:bidi="en-US"/>
    </w:rPr>
  </w:style>
  <w:style w:type="paragraph" w:customStyle="1" w:styleId="66">
    <w:name w:val="Char Char Char Char1 Char Char Char"/>
    <w:basedOn w:val="10"/>
    <w:qFormat/>
    <w:uiPriority w:val="0"/>
    <w:pPr>
      <w:adjustRightInd w:val="0"/>
      <w:snapToGrid w:val="0"/>
      <w:spacing w:line="360" w:lineRule="auto"/>
    </w:pPr>
    <w:rPr>
      <w:rFonts w:ascii="Tahoma" w:hAnsi="Tahoma"/>
      <w:sz w:val="24"/>
    </w:rPr>
  </w:style>
  <w:style w:type="paragraph" w:customStyle="1" w:styleId="67">
    <w:name w:val="xl47"/>
    <w:basedOn w:val="1"/>
    <w:qFormat/>
    <w:uiPriority w:val="0"/>
    <w:pPr>
      <w:widowControl/>
      <w:spacing w:before="100" w:beforeAutospacing="1" w:after="100" w:afterAutospacing="1"/>
      <w:jc w:val="center"/>
    </w:pPr>
    <w:rPr>
      <w:rFonts w:hint="eastAsia" w:ascii="方正姚体" w:hAnsi="宋体" w:eastAsia="方正姚体"/>
      <w:b/>
      <w:bCs/>
      <w:kern w:val="0"/>
      <w:sz w:val="36"/>
      <w:szCs w:val="36"/>
    </w:rPr>
  </w:style>
  <w:style w:type="paragraph" w:customStyle="1" w:styleId="68">
    <w:name w:val="列表段落1"/>
    <w:basedOn w:val="1"/>
    <w:qFormat/>
    <w:uiPriority w:val="34"/>
    <w:pPr>
      <w:ind w:firstLine="420" w:firstLineChars="200"/>
    </w:pPr>
    <w:rPr>
      <w:rFonts w:ascii="Calibri" w:hAnsi="Calibri"/>
      <w:szCs w:val="22"/>
    </w:rPr>
  </w:style>
  <w:style w:type="paragraph" w:customStyle="1" w:styleId="69">
    <w:name w:val="Char1"/>
    <w:basedOn w:val="1"/>
    <w:qFormat/>
    <w:uiPriority w:val="0"/>
    <w:rPr>
      <w:rFonts w:ascii="Tahoma" w:hAnsi="Tahoma"/>
      <w:snapToGrid w:val="0"/>
      <w:sz w:val="24"/>
      <w:szCs w:val="20"/>
    </w:rPr>
  </w:style>
  <w:style w:type="paragraph" w:customStyle="1" w:styleId="70">
    <w:name w:val="Char Char Char Char"/>
    <w:basedOn w:val="10"/>
    <w:qFormat/>
    <w:uiPriority w:val="0"/>
    <w:pPr>
      <w:adjustRightInd w:val="0"/>
      <w:snapToGrid w:val="0"/>
      <w:spacing w:line="360" w:lineRule="auto"/>
    </w:pPr>
    <w:rPr>
      <w:rFonts w:ascii="Tahoma" w:hAnsi="Tahoma"/>
      <w:sz w:val="24"/>
    </w:rPr>
  </w:style>
  <w:style w:type="paragraph" w:customStyle="1" w:styleId="71">
    <w:name w:val="标题3"/>
    <w:basedOn w:val="1"/>
    <w:next w:val="1"/>
    <w:qFormat/>
    <w:uiPriority w:val="0"/>
    <w:rPr>
      <w:rFonts w:eastAsia="方正黑体_GBK"/>
    </w:rPr>
  </w:style>
  <w:style w:type="paragraph" w:customStyle="1" w:styleId="72">
    <w:name w:val="标题2"/>
    <w:basedOn w:val="1"/>
    <w:next w:val="1"/>
    <w:qFormat/>
    <w:uiPriority w:val="0"/>
    <w:pPr>
      <w:jc w:val="center"/>
    </w:pPr>
    <w:rPr>
      <w:rFonts w:eastAsia="方正楷体_GBK"/>
    </w:rPr>
  </w:style>
  <w:style w:type="paragraph" w:customStyle="1" w:styleId="73">
    <w:name w:val="_Style 68"/>
    <w:basedOn w:val="1"/>
    <w:next w:val="51"/>
    <w:qFormat/>
    <w:uiPriority w:val="34"/>
    <w:pPr>
      <w:ind w:firstLine="420" w:firstLineChars="200"/>
    </w:pPr>
    <w:rPr>
      <w:rFonts w:ascii="Calibri" w:hAnsi="Calibri"/>
      <w:szCs w:val="22"/>
    </w:rPr>
  </w:style>
  <w:style w:type="paragraph" w:customStyle="1" w:styleId="74">
    <w:name w:val="HTML 预先格式化"/>
    <w:basedOn w:val="1"/>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黑体" w:hAnsi="Courier New" w:eastAsia="黑体"/>
      <w:kern w:val="0"/>
      <w:sz w:val="20"/>
      <w:szCs w:val="20"/>
    </w:rPr>
  </w:style>
  <w:style w:type="paragraph" w:customStyle="1" w:styleId="75">
    <w:name w:val="_Style 74"/>
    <w:semiHidden/>
    <w:qFormat/>
    <w:uiPriority w:val="99"/>
    <w:rPr>
      <w:rFonts w:ascii="Times New Roman" w:hAnsi="Times New Roman" w:eastAsia="宋体" w:cs="Times New Roman"/>
      <w:kern w:val="2"/>
      <w:sz w:val="21"/>
      <w:szCs w:val="24"/>
      <w:lang w:val="en-US" w:eastAsia="zh-CN" w:bidi="ar-SA"/>
    </w:rPr>
  </w:style>
  <w:style w:type="paragraph" w:customStyle="1" w:styleId="76">
    <w:name w:val="普通正文"/>
    <w:basedOn w:val="1"/>
    <w:qFormat/>
    <w:uiPriority w:val="0"/>
    <w:pPr>
      <w:adjustRightInd w:val="0"/>
      <w:spacing w:before="120" w:after="120" w:line="360" w:lineRule="auto"/>
      <w:ind w:firstLine="480"/>
      <w:jc w:val="left"/>
      <w:textAlignment w:val="baseline"/>
    </w:pPr>
    <w:rPr>
      <w:rFonts w:ascii="Arial" w:hAnsi="Arial"/>
      <w:kern w:val="0"/>
      <w:sz w:val="24"/>
    </w:rPr>
  </w:style>
  <w:style w:type="paragraph" w:customStyle="1" w:styleId="77">
    <w:name w:val="段"/>
    <w:next w:val="1"/>
    <w:qFormat/>
    <w:uiPriority w:val="0"/>
    <w:pPr>
      <w:autoSpaceDE w:val="0"/>
      <w:autoSpaceDN w:val="0"/>
      <w:ind w:firstLine="200" w:firstLineChars="200"/>
      <w:jc w:val="both"/>
    </w:pPr>
    <w:rPr>
      <w:rFonts w:ascii="宋体" w:hAnsi="Times New Roman" w:eastAsia="宋体" w:cs="Times New Roman"/>
      <w:sz w:val="21"/>
      <w:lang w:val="en-US" w:eastAsia="zh-CN" w:bidi="ar-SA"/>
    </w:rPr>
  </w:style>
  <w:style w:type="paragraph" w:customStyle="1" w:styleId="78">
    <w:name w:val="附录1"/>
    <w:qFormat/>
    <w:uiPriority w:val="0"/>
    <w:pPr>
      <w:numPr>
        <w:ilvl w:val="0"/>
        <w:numId w:val="2"/>
      </w:numPr>
      <w:snapToGrid w:val="0"/>
      <w:spacing w:before="240" w:line="600" w:lineRule="atLeast"/>
    </w:pPr>
    <w:rPr>
      <w:rFonts w:ascii="Times New Roman" w:hAnsi="Times New Roman" w:eastAsia="宋体" w:cs="Times New Roman"/>
      <w:b/>
      <w:i/>
      <w:sz w:val="28"/>
      <w:lang w:val="en-US" w:eastAsia="zh-CN" w:bidi="ar-SA"/>
    </w:rPr>
  </w:style>
  <w:style w:type="paragraph" w:customStyle="1" w:styleId="79">
    <w:name w:val="标题1"/>
    <w:basedOn w:val="1"/>
    <w:next w:val="1"/>
    <w:qFormat/>
    <w:uiPriority w:val="0"/>
    <w:pPr>
      <w:tabs>
        <w:tab w:val="left" w:pos="9193"/>
        <w:tab w:val="left" w:pos="9827"/>
      </w:tabs>
      <w:spacing w:line="700" w:lineRule="atLeast"/>
      <w:jc w:val="center"/>
    </w:pPr>
    <w:rPr>
      <w:rFonts w:eastAsia="方正小标宋_GBK"/>
      <w:sz w:val="44"/>
    </w:rPr>
  </w:style>
  <w:style w:type="paragraph" w:customStyle="1" w:styleId="80">
    <w:name w:val="正文 第一章"/>
    <w:basedOn w:val="1"/>
    <w:next w:val="64"/>
    <w:qFormat/>
    <w:uiPriority w:val="0"/>
    <w:pPr>
      <w:pageBreakBefore/>
      <w:numPr>
        <w:ilvl w:val="0"/>
        <w:numId w:val="1"/>
      </w:numPr>
      <w:adjustRightInd w:val="0"/>
      <w:spacing w:before="240" w:after="240" w:line="480" w:lineRule="auto"/>
      <w:jc w:val="center"/>
      <w:textAlignment w:val="baseline"/>
      <w:outlineLvl w:val="0"/>
    </w:pPr>
    <w:rPr>
      <w:rFonts w:ascii="黑体" w:hAnsi="宋体" w:eastAsia="黑体"/>
      <w:kern w:val="0"/>
      <w:sz w:val="36"/>
      <w:szCs w:val="21"/>
    </w:rPr>
  </w:style>
  <w:style w:type="character" w:customStyle="1" w:styleId="81">
    <w:name w:val="标题 字符"/>
    <w:qFormat/>
    <w:uiPriority w:val="10"/>
    <w:rPr>
      <w:rFonts w:ascii="Cambria" w:hAnsi="Cambria" w:eastAsia="宋体" w:cs="Times New Roman"/>
      <w:b/>
      <w:bCs/>
      <w:sz w:val="32"/>
      <w:szCs w:val="32"/>
    </w:rPr>
  </w:style>
  <w:style w:type="character" w:customStyle="1" w:styleId="82">
    <w:name w:val="批注主题 字符1"/>
    <w:link w:val="38"/>
    <w:qFormat/>
    <w:uiPriority w:val="0"/>
    <w:rPr>
      <w:b/>
      <w:bCs/>
      <w:kern w:val="2"/>
      <w:sz w:val="21"/>
      <w:szCs w:val="24"/>
    </w:rPr>
  </w:style>
  <w:style w:type="character" w:customStyle="1" w:styleId="83">
    <w:name w:val="font61"/>
    <w:qFormat/>
    <w:uiPriority w:val="0"/>
    <w:rPr>
      <w:rFonts w:hint="default" w:ascii="Times New Roman" w:hAnsi="Times New Roman" w:cs="Times New Roman"/>
      <w:b/>
      <w:bCs/>
      <w:color w:val="000000"/>
      <w:sz w:val="24"/>
      <w:szCs w:val="24"/>
      <w:u w:val="none"/>
    </w:rPr>
  </w:style>
  <w:style w:type="character" w:customStyle="1" w:styleId="84">
    <w:name w:val="jj1"/>
    <w:qFormat/>
    <w:uiPriority w:val="0"/>
    <w:rPr>
      <w:sz w:val="20"/>
      <w:szCs w:val="20"/>
      <w:u w:val="none"/>
    </w:rPr>
  </w:style>
  <w:style w:type="character" w:customStyle="1" w:styleId="85">
    <w:name w:val="标题 1 字符1"/>
    <w:link w:val="2"/>
    <w:qFormat/>
    <w:uiPriority w:val="0"/>
    <w:rPr>
      <w:rFonts w:ascii="楷体_GB2312" w:eastAsia="楷体_GB2312"/>
      <w:kern w:val="2"/>
      <w:sz w:val="28"/>
      <w:lang w:val="en-US" w:eastAsia="zh-CN" w:bidi="ar-SA"/>
    </w:rPr>
  </w:style>
  <w:style w:type="character" w:customStyle="1" w:styleId="86">
    <w:name w:val="批注文字 字符1"/>
    <w:link w:val="11"/>
    <w:qFormat/>
    <w:uiPriority w:val="0"/>
    <w:rPr>
      <w:kern w:val="2"/>
      <w:sz w:val="21"/>
      <w:szCs w:val="24"/>
    </w:rPr>
  </w:style>
  <w:style w:type="character" w:customStyle="1" w:styleId="87">
    <w:name w:val="标题 字符1"/>
    <w:qFormat/>
    <w:uiPriority w:val="0"/>
    <w:rPr>
      <w:rFonts w:ascii="Cambria" w:hAnsi="Cambria" w:cs="Times New Roman"/>
      <w:b/>
      <w:bCs/>
      <w:kern w:val="2"/>
      <w:sz w:val="44"/>
      <w:szCs w:val="32"/>
    </w:rPr>
  </w:style>
  <w:style w:type="character" w:customStyle="1" w:styleId="88">
    <w:name w:val="批注主题 字符"/>
    <w:qFormat/>
    <w:uiPriority w:val="0"/>
    <w:rPr>
      <w:b/>
      <w:bCs/>
      <w:kern w:val="2"/>
      <w:sz w:val="21"/>
      <w:szCs w:val="24"/>
    </w:rPr>
  </w:style>
  <w:style w:type="character" w:customStyle="1" w:styleId="89">
    <w:name w:val="标题 1 字符"/>
    <w:qFormat/>
    <w:uiPriority w:val="0"/>
    <w:rPr>
      <w:rFonts w:ascii="楷体_GB2312" w:eastAsia="楷体_GB2312"/>
      <w:kern w:val="2"/>
      <w:sz w:val="28"/>
      <w:lang w:val="en-US" w:eastAsia="zh-CN" w:bidi="ar-SA"/>
    </w:rPr>
  </w:style>
  <w:style w:type="character" w:customStyle="1" w:styleId="90">
    <w:name w:val="纯文本 字符1"/>
    <w:link w:val="19"/>
    <w:qFormat/>
    <w:uiPriority w:val="0"/>
    <w:rPr>
      <w:rFonts w:ascii="宋体" w:hAnsi="Courier New"/>
      <w:kern w:val="2"/>
      <w:sz w:val="21"/>
    </w:rPr>
  </w:style>
  <w:style w:type="character" w:customStyle="1" w:styleId="91">
    <w:name w:val="_Style 90"/>
    <w:unhideWhenUsed/>
    <w:qFormat/>
    <w:uiPriority w:val="99"/>
    <w:rPr>
      <w:color w:val="605E5C"/>
      <w:shd w:val="clear" w:color="auto" w:fill="E1DFDD"/>
    </w:rPr>
  </w:style>
  <w:style w:type="character" w:customStyle="1" w:styleId="92">
    <w:name w:val="纯文本 字符"/>
    <w:qFormat/>
    <w:uiPriority w:val="0"/>
    <w:rPr>
      <w:rFonts w:ascii="宋体" w:hAnsi="Courier New"/>
      <w:kern w:val="2"/>
      <w:sz w:val="21"/>
    </w:rPr>
  </w:style>
  <w:style w:type="character" w:customStyle="1" w:styleId="93">
    <w:name w:val="正文缩进 字符1"/>
    <w:link w:val="9"/>
    <w:qFormat/>
    <w:uiPriority w:val="0"/>
    <w:rPr>
      <w:rFonts w:eastAsia="宋体"/>
      <w:kern w:val="2"/>
      <w:sz w:val="21"/>
      <w:lang w:val="en-US" w:eastAsia="zh-CN" w:bidi="ar-SA"/>
    </w:rPr>
  </w:style>
  <w:style w:type="character" w:customStyle="1" w:styleId="94">
    <w:name w:val="font13"/>
    <w:qFormat/>
    <w:uiPriority w:val="0"/>
    <w:rPr>
      <w:rFonts w:hint="eastAsia" w:ascii="宋体" w:hAnsi="宋体" w:eastAsia="宋体" w:cs="宋体"/>
      <w:color w:val="000000"/>
      <w:sz w:val="20"/>
      <w:szCs w:val="20"/>
      <w:u w:val="none"/>
    </w:rPr>
  </w:style>
  <w:style w:type="character" w:customStyle="1" w:styleId="95">
    <w:name w:val="标题 字符2"/>
    <w:link w:val="37"/>
    <w:qFormat/>
    <w:uiPriority w:val="0"/>
    <w:rPr>
      <w:rFonts w:ascii="Cambria" w:hAnsi="Cambria" w:cs="Times New Roman"/>
      <w:b/>
      <w:bCs/>
      <w:kern w:val="2"/>
      <w:sz w:val="44"/>
      <w:szCs w:val="32"/>
    </w:rPr>
  </w:style>
  <w:style w:type="character" w:customStyle="1" w:styleId="96">
    <w:name w:val="列出段落 Char"/>
    <w:link w:val="65"/>
    <w:qFormat/>
    <w:uiPriority w:val="0"/>
    <w:rPr>
      <w:rFonts w:ascii="Calibri" w:hAnsi="Calibri"/>
      <w:sz w:val="24"/>
      <w:szCs w:val="24"/>
      <w:lang w:eastAsia="en-US" w:bidi="en-US"/>
    </w:rPr>
  </w:style>
  <w:style w:type="character" w:customStyle="1" w:styleId="97">
    <w:name w:val="批注文字 Char"/>
    <w:qFormat/>
    <w:uiPriority w:val="0"/>
    <w:rPr>
      <w:kern w:val="2"/>
      <w:sz w:val="21"/>
      <w:szCs w:val="24"/>
    </w:rPr>
  </w:style>
  <w:style w:type="character" w:customStyle="1" w:styleId="98">
    <w:name w:val="正文缩进 字符"/>
    <w:qFormat/>
    <w:uiPriority w:val="0"/>
    <w:rPr>
      <w:rFonts w:eastAsia="宋体"/>
      <w:kern w:val="2"/>
      <w:sz w:val="21"/>
      <w:lang w:val="en-US" w:eastAsia="zh-CN" w:bidi="ar-SA"/>
    </w:rPr>
  </w:style>
  <w:style w:type="character" w:customStyle="1" w:styleId="99">
    <w:name w:val="标题2 Char"/>
    <w:qFormat/>
    <w:uiPriority w:val="0"/>
    <w:rPr>
      <w:rFonts w:ascii="方正楷体_GBK" w:hAnsi="Book Antiqua" w:eastAsia="方正楷体_GBK"/>
      <w:snapToGrid w:val="0"/>
      <w:sz w:val="32"/>
      <w:lang w:val="en-US" w:eastAsia="zh-CN" w:bidi="ar-SA"/>
    </w:rPr>
  </w:style>
  <w:style w:type="character" w:customStyle="1" w:styleId="100">
    <w:name w:val="批注文字 字符"/>
    <w:qFormat/>
    <w:uiPriority w:val="0"/>
    <w:rPr>
      <w:kern w:val="2"/>
      <w:sz w:val="21"/>
      <w:szCs w:val="24"/>
    </w:rPr>
  </w:style>
  <w:style w:type="table" w:customStyle="1" w:styleId="101">
    <w:name w:val="网格型4"/>
    <w:basedOn w:val="41"/>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102">
    <w:name w:val="网格型3"/>
    <w:basedOn w:val="41"/>
    <w:qFormat/>
    <w:uiPriority w:val="39"/>
    <w:rPr>
      <w:rFonts w:ascii="等线" w:hAnsi="等线" w:eastAsia="等线"/>
      <w:kern w:val="2"/>
      <w:sz w:val="21"/>
      <w:szCs w:val="22"/>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103">
    <w:name w:val="网格型2"/>
    <w:basedOn w:val="41"/>
    <w:qFormat/>
    <w:uiPriority w:val="59"/>
    <w:rPr>
      <w:kern w:val="2"/>
      <w:sz w:val="21"/>
      <w:szCs w:val="22"/>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104">
    <w:name w:val="网格型5"/>
    <w:basedOn w:val="41"/>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105">
    <w:name w:val="网格型1"/>
    <w:basedOn w:val="41"/>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106">
    <w:name w:val="Normal_1"/>
    <w:unhideWhenUsed/>
    <w:qFormat/>
    <w:uiPriority w:val="0"/>
    <w:rPr>
      <w:rFonts w:ascii="Times New Roman" w:hAnsi="Times New Roman" w:eastAsia="宋体" w:cs="Times New Roman"/>
      <w:sz w:val="24"/>
      <w:lang w:val="en-US" w:eastAsia="zh-CN" w:bidi="ar-SA"/>
    </w:rPr>
  </w:style>
  <w:style w:type="paragraph" w:customStyle="1" w:styleId="107">
    <w:name w:val="修订1"/>
    <w:hidden/>
    <w:semiHidden/>
    <w:qFormat/>
    <w:uiPriority w:val="99"/>
    <w:rPr>
      <w:rFonts w:ascii="Times New Roman" w:hAnsi="Times New Roman" w:eastAsia="宋体" w:cs="Times New Roman"/>
      <w:kern w:val="2"/>
      <w:sz w:val="21"/>
      <w:szCs w:val="24"/>
      <w:lang w:val="en-US" w:eastAsia="zh-CN" w:bidi="ar-SA"/>
    </w:rPr>
  </w:style>
  <w:style w:type="paragraph" w:customStyle="1" w:styleId="108">
    <w:name w:val="修订2"/>
    <w:hidden/>
    <w:semiHidden/>
    <w:qFormat/>
    <w:uiPriority w:val="99"/>
    <w:rPr>
      <w:rFonts w:ascii="Times New Roman" w:hAnsi="Times New Roman" w:eastAsia="宋体" w:cs="Times New Roman"/>
      <w:kern w:val="2"/>
      <w:sz w:val="21"/>
      <w:szCs w:val="24"/>
      <w:lang w:val="en-US" w:eastAsia="zh-CN" w:bidi="ar-SA"/>
    </w:rPr>
  </w:style>
  <w:style w:type="paragraph" w:customStyle="1" w:styleId="109">
    <w:name w:val="修订3"/>
    <w:hidden/>
    <w:semiHidden/>
    <w:qFormat/>
    <w:uiPriority w:val="99"/>
    <w:rPr>
      <w:rFonts w:ascii="Times New Roman" w:hAnsi="Times New Roman" w:eastAsia="宋体" w:cs="Times New Roman"/>
      <w:kern w:val="2"/>
      <w:sz w:val="21"/>
      <w:szCs w:val="24"/>
      <w:lang w:val="en-US" w:eastAsia="zh-CN" w:bidi="ar-SA"/>
    </w:rPr>
  </w:style>
  <w:style w:type="paragraph" w:styleId="110">
    <w:name w:val="No Spacing"/>
    <w:qFormat/>
    <w:uiPriority w:val="1"/>
    <w:pPr>
      <w:widowControl w:val="0"/>
      <w:jc w:val="both"/>
    </w:pPr>
    <w:rPr>
      <w:rFonts w:ascii="Calibri" w:hAnsi="Calibri" w:eastAsia="宋体" w:cs="Times New Roman"/>
      <w:kern w:val="2"/>
      <w:sz w:val="21"/>
      <w:szCs w:val="21"/>
      <w:lang w:val="en-US" w:eastAsia="zh-CN" w:bidi="ar-SA"/>
    </w:rPr>
  </w:style>
  <w:style w:type="paragraph" w:customStyle="1" w:styleId="111">
    <w:name w:val="正文首行缩进1"/>
    <w:basedOn w:val="13"/>
    <w:next w:val="13"/>
    <w:qFormat/>
    <w:uiPriority w:val="0"/>
    <w:pPr>
      <w:snapToGrid w:val="0"/>
      <w:spacing w:before="100" w:beforeAutospacing="1"/>
      <w:ind w:firstLine="1032" w:firstLineChars="200"/>
    </w:pPr>
    <w:rPr>
      <w:rFonts w:eastAsia="方正仿宋_GBK"/>
      <w:sz w:val="32"/>
      <w:szCs w:val="32"/>
    </w:rPr>
  </w:style>
  <w:style w:type="paragraph" w:customStyle="1" w:styleId="112">
    <w:name w:val="修订4"/>
    <w:hidden/>
    <w:semiHidden/>
    <w:qFormat/>
    <w:uiPriority w:val="99"/>
    <w:rPr>
      <w:rFonts w:ascii="Times New Roman" w:hAnsi="Times New Roman" w:eastAsia="宋体" w:cs="Times New Roman"/>
      <w:kern w:val="2"/>
      <w:sz w:val="21"/>
      <w:szCs w:val="24"/>
      <w:lang w:val="en-US" w:eastAsia="zh-CN" w:bidi="ar-SA"/>
    </w:rPr>
  </w:style>
  <w:style w:type="paragraph" w:customStyle="1" w:styleId="113">
    <w:name w:val="修订5"/>
    <w:hidden/>
    <w:semiHidden/>
    <w:qFormat/>
    <w:uiPriority w:val="99"/>
    <w:rPr>
      <w:rFonts w:ascii="Times New Roman" w:hAnsi="Times New Roman" w:eastAsia="宋体" w:cs="Times New Roman"/>
      <w:kern w:val="2"/>
      <w:sz w:val="21"/>
      <w:szCs w:val="24"/>
      <w:lang w:val="en-US" w:eastAsia="zh-CN" w:bidi="ar-SA"/>
    </w:rPr>
  </w:style>
  <w:style w:type="paragraph" w:customStyle="1" w:styleId="114">
    <w:name w:val="修订6"/>
    <w:hidden/>
    <w:semiHidden/>
    <w:qFormat/>
    <w:uiPriority w:val="99"/>
    <w:rPr>
      <w:rFonts w:ascii="Times New Roman" w:hAnsi="Times New Roman" w:eastAsia="宋体" w:cs="Times New Roman"/>
      <w:kern w:val="2"/>
      <w:sz w:val="21"/>
      <w:szCs w:val="24"/>
      <w:lang w:val="en-US" w:eastAsia="zh-CN" w:bidi="ar-SA"/>
    </w:rPr>
  </w:style>
  <w:style w:type="paragraph" w:customStyle="1" w:styleId="115">
    <w:name w:val="列出段落2"/>
    <w:basedOn w:val="1"/>
    <w:qFormat/>
    <w:uiPriority w:val="99"/>
    <w:pPr>
      <w:widowControl/>
      <w:ind w:left="720"/>
      <w:contextualSpacing/>
      <w:jc w:val="left"/>
    </w:pPr>
    <w:rPr>
      <w:rFonts w:ascii="Calibri" w:hAnsi="Calibri"/>
      <w:sz w:val="24"/>
      <w:lang w:eastAsia="en-US" w:bidi="en-US"/>
    </w:rPr>
  </w:style>
  <w:style w:type="paragraph" w:customStyle="1" w:styleId="116">
    <w:name w:val="修订7"/>
    <w:hidden/>
    <w:unhideWhenUsed/>
    <w:qFormat/>
    <w:uiPriority w:val="99"/>
    <w:rPr>
      <w:rFonts w:ascii="Times New Roman" w:hAnsi="Times New Roman" w:eastAsia="宋体" w:cs="Times New Roman"/>
      <w:kern w:val="2"/>
      <w:sz w:val="21"/>
      <w:szCs w:val="24"/>
      <w:lang w:val="en-US" w:eastAsia="zh-CN" w:bidi="ar-SA"/>
    </w:rPr>
  </w:style>
  <w:style w:type="character" w:customStyle="1" w:styleId="117">
    <w:name w:val="页脚 字符"/>
    <w:basedOn w:val="43"/>
    <w:link w:val="24"/>
    <w:qFormat/>
    <w:uiPriority w:val="99"/>
    <w:rPr>
      <w:rFonts w:ascii="Times New Roman" w:hAnsi="Times New Roman"/>
      <w:kern w:val="2"/>
      <w:sz w:val="18"/>
    </w:rPr>
  </w:style>
  <w:style w:type="paragraph" w:customStyle="1" w:styleId="118">
    <w:name w:val="修订8"/>
    <w:hidden/>
    <w:unhideWhenUsed/>
    <w:qFormat/>
    <w:uiPriority w:val="99"/>
    <w:rPr>
      <w:rFonts w:ascii="Times New Roman" w:hAnsi="Times New Roman" w:eastAsia="宋体" w:cs="Times New Roman"/>
      <w:kern w:val="2"/>
      <w:sz w:val="21"/>
      <w:szCs w:val="24"/>
      <w:lang w:val="en-US" w:eastAsia="zh-CN" w:bidi="ar-SA"/>
    </w:rPr>
  </w:style>
  <w:style w:type="paragraph" w:customStyle="1" w:styleId="119">
    <w:name w:val="修订9"/>
    <w:hidden/>
    <w:unhideWhenUsed/>
    <w:qFormat/>
    <w:uiPriority w:val="99"/>
    <w:rPr>
      <w:rFonts w:ascii="Times New Roman" w:hAnsi="Times New Roman" w:eastAsia="宋体" w:cs="Times New Roman"/>
      <w:kern w:val="2"/>
      <w:sz w:val="21"/>
      <w:szCs w:val="24"/>
      <w:lang w:val="en-US" w:eastAsia="zh-CN" w:bidi="ar-SA"/>
    </w:rPr>
  </w:style>
  <w:style w:type="paragraph" w:customStyle="1" w:styleId="120">
    <w:name w:val="修订10"/>
    <w:hidden/>
    <w:unhideWhenUsed/>
    <w:qFormat/>
    <w:uiPriority w:val="99"/>
    <w:rPr>
      <w:rFonts w:ascii="Times New Roman" w:hAnsi="Times New Roman" w:eastAsia="宋体" w:cs="Times New Roman"/>
      <w:kern w:val="2"/>
      <w:sz w:val="21"/>
      <w:szCs w:val="24"/>
      <w:lang w:val="en-US" w:eastAsia="zh-CN" w:bidi="ar-SA"/>
    </w:rPr>
  </w:style>
  <w:style w:type="paragraph" w:customStyle="1" w:styleId="121">
    <w:name w:val="修订11"/>
    <w:hidden/>
    <w:unhideWhenUsed/>
    <w:qFormat/>
    <w:uiPriority w:val="99"/>
    <w:rPr>
      <w:rFonts w:ascii="Times New Roman" w:hAnsi="Times New Roman" w:eastAsia="宋体" w:cs="Times New Roman"/>
      <w:kern w:val="2"/>
      <w:sz w:val="21"/>
      <w:szCs w:val="24"/>
      <w:lang w:val="en-US" w:eastAsia="zh-CN" w:bidi="ar-SA"/>
    </w:rPr>
  </w:style>
  <w:style w:type="paragraph" w:customStyle="1" w:styleId="122">
    <w:name w:val="Revision"/>
    <w:hidden/>
    <w:unhideWhenUsed/>
    <w:qFormat/>
    <w:uiPriority w:val="99"/>
    <w:rPr>
      <w:rFonts w:ascii="Times New Roman" w:hAnsi="Times New Roman" w:eastAsia="宋体" w:cs="Times New Roman"/>
      <w:kern w:val="2"/>
      <w:sz w:val="21"/>
      <w:szCs w:val="24"/>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1.xml"/><Relationship Id="rId8" Type="http://schemas.openxmlformats.org/officeDocument/2006/relationships/theme" Target="theme/theme1.xml"/><Relationship Id="rId7" Type="http://schemas.openxmlformats.org/officeDocument/2006/relationships/footer" Target="footer4.xml"/><Relationship Id="rId6" Type="http://schemas.openxmlformats.org/officeDocument/2006/relationships/footer" Target="footer3.xml"/><Relationship Id="rId5" Type="http://schemas.openxmlformats.org/officeDocument/2006/relationships/footer" Target="footer2.xml"/><Relationship Id="rId4" Type="http://schemas.openxmlformats.org/officeDocument/2006/relationships/header" Target="header1.xml"/><Relationship Id="rId3" Type="http://schemas.openxmlformats.org/officeDocument/2006/relationships/footer" Target="footer1.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numbering" Target="numbering.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9" Type="http://schemas.openxmlformats.org/officeDocument/2006/relationships/font" Target="fonts/font9.odttf"/><Relationship Id="rId8" Type="http://schemas.openxmlformats.org/officeDocument/2006/relationships/font" Target="fonts/font8.odttf"/><Relationship Id="rId7" Type="http://schemas.openxmlformats.org/officeDocument/2006/relationships/font" Target="fonts/font7.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1" Type="http://schemas.openxmlformats.org/officeDocument/2006/relationships/font" Target="fonts/font11.odttf"/><Relationship Id="rId10" Type="http://schemas.openxmlformats.org/officeDocument/2006/relationships/font" Target="fonts/font10.odttf"/><Relationship Id="rId1" Type="http://schemas.openxmlformats.org/officeDocument/2006/relationships/font" Target="fonts/font1.odttf"/></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69</Pages>
  <Words>33206</Words>
  <Characters>35338</Characters>
  <Lines>273</Lines>
  <Paragraphs>76</Paragraphs>
  <TotalTime>6</TotalTime>
  <ScaleCrop>false</ScaleCrop>
  <LinksUpToDate>false</LinksUpToDate>
  <CharactersWithSpaces>36622</CharactersWithSpaces>
  <Application>WPS Office_12.1.0.18912_F1E327BC-269C-435d-A152-05C5408002CA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2024-10-22T01:34:00Z</dcterms:created>
  <dc:creator>cgzx</dc:creator>
  <cp:lastModifiedBy>戴</cp:lastModifiedBy>
  <cp:lastPrinted>2024-04-20T04:16:00Z</cp:lastPrinted>
  <dcterms:modified xsi:type="dcterms:W3CDTF">2024-11-13T08:09:26Z</dcterms:modified>
  <dc:title>总  目  录</dc:title>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2052-12.1.0.18912</vt:lpwstr>
  </property>
  <property fmtid="{D5CDD505-2E9C-101B-9397-08002B2CF9AE}" pid="3" name="ICV">
    <vt:lpwstr>32A82D9B4B62411CA0E8A9948CA72E14_13</vt:lpwstr>
  </property>
  <property fmtid="{D5CDD505-2E9C-101B-9397-08002B2CF9AE}" pid="4" name="KSOSaveFontToCloudKey">
    <vt:lpwstr>451946994_btnclosed</vt:lpwstr>
  </property>
  <property fmtid="{D5CDD505-2E9C-101B-9397-08002B2CF9AE}" pid="5" name="MSIP_Label_defa4170-0d19-0005-0004-bc88714345d2_Enabled">
    <vt:lpwstr>true</vt:lpwstr>
  </property>
  <property fmtid="{D5CDD505-2E9C-101B-9397-08002B2CF9AE}" pid="6" name="MSIP_Label_defa4170-0d19-0005-0004-bc88714345d2_SetDate">
    <vt:lpwstr>2024-07-17T09:03:04Z</vt:lpwstr>
  </property>
  <property fmtid="{D5CDD505-2E9C-101B-9397-08002B2CF9AE}" pid="7" name="MSIP_Label_defa4170-0d19-0005-0004-bc88714345d2_Method">
    <vt:lpwstr>Standard</vt:lpwstr>
  </property>
  <property fmtid="{D5CDD505-2E9C-101B-9397-08002B2CF9AE}" pid="8" name="MSIP_Label_defa4170-0d19-0005-0004-bc88714345d2_Name">
    <vt:lpwstr>defa4170-0d19-0005-0004-bc88714345d2</vt:lpwstr>
  </property>
  <property fmtid="{D5CDD505-2E9C-101B-9397-08002B2CF9AE}" pid="9" name="MSIP_Label_defa4170-0d19-0005-0004-bc88714345d2_SiteId">
    <vt:lpwstr>e5161ff3-180f-4f23-bc8e-6b27c3300254</vt:lpwstr>
  </property>
  <property fmtid="{D5CDD505-2E9C-101B-9397-08002B2CF9AE}" pid="10" name="MSIP_Label_defa4170-0d19-0005-0004-bc88714345d2_ActionId">
    <vt:lpwstr>0ef7dd12-ea65-44b3-81f4-adc98cc28940</vt:lpwstr>
  </property>
  <property fmtid="{D5CDD505-2E9C-101B-9397-08002B2CF9AE}" pid="11" name="MSIP_Label_defa4170-0d19-0005-0004-bc88714345d2_ContentBits">
    <vt:lpwstr>0</vt:lpwstr>
  </property>
</Properties>
</file>