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7"/>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84"/>
          <w:szCs w:val="84"/>
          <w:highlight w:val="none"/>
        </w:rPr>
      </w:pPr>
      <w:r>
        <w:rPr>
          <w:rFonts w:hint="eastAsia" w:ascii="宋体" w:hAnsi="宋体" w:eastAsia="宋体" w:cs="宋体"/>
          <w:color w:val="auto"/>
          <w:sz w:val="84"/>
          <w:szCs w:val="84"/>
          <w:highlight w:val="none"/>
        </w:rPr>
        <w:t xml:space="preserve">苏州市政府采购</w:t>
      </w:r>
      <w:r/>
    </w:p>
    <w:p>
      <w:pPr>
        <w:jc w:val="cente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sz w:val="84"/>
          <w:szCs w:val="84"/>
          <w:highlight w:val="none"/>
        </w:rPr>
        <w:t xml:space="preserve">招  标  文  件</w:t>
      </w:r>
      <w:r/>
    </w:p>
    <w:p>
      <w:pPr>
        <w:pStyle w:val="933"/>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3"/>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438275" cy="143827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pic:cNvPicPr>
                        <pic:nvPr/>
                      </pic:nvPicPr>
                      <pic:blipFill>
                        <a:blip r:embed="rId17"/>
                        <a:stretch/>
                      </pic:blipFill>
                      <pic:spPr bwMode="auto">
                        <a:xfrm>
                          <a:off x="0" y="0"/>
                          <a:ext cx="1438275" cy="143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3.2pt;height:113.2pt;mso-wrap-distance-left:0.0pt;mso-wrap-distance-top:0.0pt;mso-wrap-distance-right:0.0pt;mso-wrap-distance-bottom:0.0pt;" stroked="f">
                <v:path textboxrect="0,0,0,0"/>
                <v:imagedata r:id="rId17" o:title=""/>
              </v:shape>
            </w:pict>
          </mc:Fallback>
        </mc:AlternateContent>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80"/>
        <w:jc w:val="both"/>
        <w:spacing w:line="360" w:lineRule="auto"/>
        <w:shd w:val="clear" w:color="auto"/>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 xml:space="preserve">项目编号：</w:t>
      </w:r>
      <w:r>
        <w:rPr>
          <w:rFonts w:hint="eastAsia" w:ascii="宋体" w:hAnsi="宋体" w:eastAsia="宋体" w:cs="宋体"/>
          <w:color w:val="auto"/>
          <w:sz w:val="32"/>
          <w:szCs w:val="32"/>
          <w:highlight w:val="none"/>
          <w:lang w:eastAsia="zh-CN"/>
        </w:rPr>
        <w:t xml:space="preserve">JSZC-320500-SZZJ-G2024-0031</w:t>
      </w:r>
      <w:r/>
    </w:p>
    <w:p>
      <w:pPr>
        <w:ind w:firstLine="1280"/>
        <w:jc w:val="both"/>
        <w:spacing w:line="360" w:lineRule="auto"/>
        <w:shd w:val="clear" w:color="auto"/>
        <w:tabs>
          <w:tab w:val="left" w:pos="1744" w:leader="none"/>
        </w:tabs>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 xml:space="preserve">采 购 人：</w:t>
      </w:r>
      <w:r>
        <w:rPr>
          <w:rFonts w:hint="eastAsia" w:ascii="宋体" w:hAnsi="宋体" w:eastAsia="宋体" w:cs="宋体"/>
          <w:bCs/>
          <w:color w:val="auto"/>
          <w:sz w:val="32"/>
          <w:highlight w:val="none"/>
          <w:lang w:eastAsia="zh-CN"/>
        </w:rPr>
        <w:t xml:space="preserve">苏州市文物保护管理所</w:t>
      </w:r>
      <w:r/>
    </w:p>
    <w:p>
      <w:pPr>
        <w:ind w:firstLine="1280"/>
        <w:jc w:val="both"/>
        <w:spacing w:line="360" w:lineRule="auto"/>
        <w:shd w:val="clear" w:color="auto"/>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rPr>
        <w:t xml:space="preserve">项目名称：</w:t>
      </w:r>
      <w:r>
        <w:rPr>
          <w:rFonts w:hint="eastAsia" w:ascii="宋体" w:hAnsi="宋体" w:eastAsia="宋体" w:cs="宋体"/>
          <w:bCs/>
          <w:color w:val="auto"/>
          <w:sz w:val="32"/>
          <w:highlight w:val="none"/>
          <w:lang w:eastAsia="zh-CN"/>
        </w:rPr>
        <w:t xml:space="preserve">苏州市区国保单位及大运河（苏州段）</w:t>
      </w:r>
      <w:r/>
    </w:p>
    <w:p>
      <w:pPr>
        <w:ind w:firstLine="2880"/>
        <w:jc w:val="both"/>
        <w:spacing w:line="360" w:lineRule="auto"/>
        <w:shd w:val="clear" w:color="auto"/>
        <w:rPr>
          <w:rFonts w:hint="eastAsia" w:ascii="宋体" w:hAnsi="宋体" w:eastAsia="宋体" w:cs="宋体"/>
          <w:bCs/>
          <w:color w:val="auto"/>
          <w:sz w:val="32"/>
          <w:highlight w:val="none"/>
          <w:lang w:eastAsia="zh-CN"/>
        </w:rPr>
      </w:pPr>
      <w:r>
        <w:rPr>
          <w:rFonts w:hint="eastAsia" w:ascii="宋体" w:hAnsi="宋体" w:eastAsia="宋体" w:cs="宋体"/>
          <w:bCs/>
          <w:color w:val="auto"/>
          <w:sz w:val="32"/>
          <w:highlight w:val="none"/>
          <w:lang w:eastAsia="zh-CN"/>
        </w:rPr>
        <w:t xml:space="preserve">精密三维数字化建设和监测</w:t>
      </w:r>
      <w:r/>
    </w:p>
    <w:p>
      <w:pPr>
        <w:ind w:firstLine="1280"/>
        <w:jc w:val="left"/>
        <w:spacing w:line="360" w:lineRule="auto"/>
        <w:shd w:val="clear" w:color="auto"/>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t xml:space="preserve">项目类别：</w:t>
      </w:r>
      <w:r>
        <w:rPr>
          <w:rFonts w:hint="eastAsia" w:ascii="宋体" w:hAnsi="宋体" w:eastAsia="宋体" w:cs="宋体"/>
          <w:bCs/>
          <w:color w:val="auto"/>
          <w:sz w:val="32"/>
          <w:highlight w:val="none"/>
          <w:lang w:val="en-US" w:eastAsia="zh-CN"/>
        </w:rPr>
        <w:t xml:space="preserve">服务</w:t>
      </w:r>
      <w:r>
        <w:rPr>
          <w:rFonts w:hint="eastAsia" w:ascii="宋体" w:hAnsi="宋体" w:eastAsia="宋体" w:cs="宋体"/>
          <w:bCs/>
          <w:color w:val="auto"/>
          <w:sz w:val="32"/>
          <w:highlight w:val="none"/>
        </w:rPr>
        <w:t xml:space="preserve">类</w:t>
      </w:r>
      <w:r/>
    </w:p>
    <w:p>
      <w:pPr>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3"/>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苏州正杰招投标咨询服务有限公司</w:t>
      </w:r>
      <w:r/>
    </w:p>
    <w:p>
      <w:pPr>
        <w:jc w:val="center"/>
        <w:spacing w:line="360" w:lineRule="auto"/>
        <w:shd w:val="clear" w:color="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二○二</w:t>
      </w:r>
      <w:r>
        <w:rPr>
          <w:rFonts w:hint="eastAsia" w:ascii="宋体" w:hAnsi="宋体" w:eastAsia="宋体" w:cs="宋体"/>
          <w:color w:val="auto"/>
          <w:sz w:val="32"/>
          <w:highlight w:val="none"/>
          <w:lang w:val="en-US" w:eastAsia="zh-CN"/>
        </w:rPr>
        <w:t xml:space="preserve">四</w:t>
      </w:r>
      <w:r>
        <w:rPr>
          <w:rFonts w:hint="eastAsia" w:ascii="宋体" w:hAnsi="宋体" w:eastAsia="宋体" w:cs="宋体"/>
          <w:color w:val="auto"/>
          <w:sz w:val="32"/>
          <w:highlight w:val="none"/>
        </w:rPr>
        <w:t xml:space="preserve">年</w:t>
      </w:r>
      <w:r>
        <w:rPr>
          <w:rFonts w:hint="eastAsia" w:ascii="宋体" w:hAnsi="宋体" w:eastAsia="宋体" w:cs="宋体"/>
          <w:color w:val="auto"/>
          <w:sz w:val="32"/>
          <w:highlight w:val="none"/>
          <w:lang w:val="en-US" w:eastAsia="zh-CN"/>
        </w:rPr>
        <w:t xml:space="preserve">八</w:t>
      </w:r>
      <w:r>
        <w:rPr>
          <w:rFonts w:hint="eastAsia" w:ascii="宋体" w:hAnsi="宋体" w:eastAsia="宋体" w:cs="宋体"/>
          <w:color w:val="auto"/>
          <w:sz w:val="32"/>
          <w:highlight w:val="none"/>
        </w:rPr>
        <w:t xml:space="preserve">月</w:t>
      </w:r>
      <w:r/>
    </w:p>
    <w:p>
      <w:pPr>
        <w:pStyle w:val="925"/>
        <w:ind w:firstLine="0"/>
        <w:jc w:val="center"/>
        <w:spacing w:line="360" w:lineRule="auto"/>
        <w:shd w:val="clear" w:color="auto"/>
        <w:rPr>
          <w:rFonts w:hint="eastAsia" w:ascii="宋体" w:hAnsi="宋体" w:eastAsia="宋体" w:cs="宋体"/>
          <w:color w:val="auto"/>
          <w:sz w:val="52"/>
          <w:highlight w:val="none"/>
        </w:rPr>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hint="eastAsia" w:ascii="宋体" w:hAnsi="宋体" w:eastAsia="宋体" w:cs="宋体"/>
          <w:color w:val="auto"/>
          <w:sz w:val="52"/>
          <w:highlight w:val="none"/>
        </w:rPr>
      </w:r>
      <w:r/>
    </w:p>
    <w:p>
      <w:pPr>
        <w:pStyle w:val="925"/>
        <w:ind w:firstLine="0"/>
        <w:jc w:val="center"/>
        <w:spacing w:line="360" w:lineRule="auto"/>
        <w:shd w:val="clear" w:color="auto"/>
        <w:rPr>
          <w:rFonts w:hint="eastAsia" w:ascii="宋体" w:hAnsi="宋体" w:eastAsia="宋体" w:cs="宋体"/>
          <w:color w:val="auto"/>
          <w:sz w:val="52"/>
          <w:highlight w:val="none"/>
        </w:rPr>
      </w:pPr>
      <w:r>
        <w:rPr>
          <w:rFonts w:hint="eastAsia" w:ascii="宋体" w:hAnsi="宋体" w:eastAsia="宋体" w:cs="宋体"/>
          <w:color w:val="auto"/>
          <w:sz w:val="52"/>
          <w:highlight w:val="none"/>
        </w:rPr>
      </w:r>
      <w:r/>
    </w:p>
    <w:p>
      <w:pPr>
        <w:pStyle w:val="925"/>
        <w:ind w:firstLine="0"/>
        <w:jc w:val="center"/>
        <w:spacing w:line="360" w:lineRule="auto"/>
        <w:shd w:val="clear" w:color="auto"/>
        <w:rPr>
          <w:rFonts w:hint="eastAsia" w:ascii="宋体" w:hAnsi="宋体" w:eastAsia="宋体" w:cs="宋体"/>
          <w:color w:val="auto"/>
          <w:sz w:val="52"/>
          <w:highlight w:val="none"/>
        </w:rPr>
      </w:pPr>
      <w:r>
        <w:rPr>
          <w:rFonts w:hint="eastAsia" w:ascii="宋体" w:hAnsi="宋体" w:eastAsia="宋体" w:cs="宋体"/>
          <w:color w:val="auto"/>
          <w:sz w:val="52"/>
          <w:highlight w:val="none"/>
        </w:rPr>
        <w:t xml:space="preserve">目录</w:t>
      </w:r>
      <w:r/>
    </w:p>
    <w:p>
      <w:pPr>
        <w:pStyle w:val="925"/>
        <w:ind w:firstLine="0"/>
        <w:jc w:val="center"/>
        <w:spacing w:line="360" w:lineRule="auto"/>
        <w:shd w:val="clear" w:color="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925"/>
        <w:ind w:firstLine="0"/>
        <w:jc w:val="center"/>
        <w:spacing w:line="360" w:lineRule="auto"/>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w:t>
      </w:r>
      <w:r>
        <w:rPr>
          <w:rFonts w:hint="eastAsia" w:ascii="宋体" w:hAnsi="宋体" w:eastAsia="宋体" w:cs="宋体"/>
          <w:color w:val="auto"/>
          <w:sz w:val="30"/>
          <w:szCs w:val="30"/>
          <w:highlight w:val="none"/>
          <w:lang w:val="en-US" w:eastAsia="zh-CN"/>
        </w:rPr>
        <w:t xml:space="preserve"> 投标邀请函</w:t>
      </w:r>
      <w:r>
        <w:rPr>
          <w:rFonts w:hint="eastAsia" w:ascii="宋体" w:hAnsi="宋体" w:eastAsia="宋体" w:cs="宋体"/>
          <w:color w:val="auto"/>
          <w:sz w:val="30"/>
          <w:szCs w:val="30"/>
          <w:highlight w:val="none"/>
        </w:rPr>
        <w:t xml:space="preserve">........................................</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投标文件格式......................................</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w:t>
      </w:r>
      <w:r>
        <w:rPr>
          <w:rFonts w:hint="eastAsia" w:ascii="宋体" w:hAnsi="宋体" w:eastAsia="宋体" w:cs="宋体"/>
          <w:color w:val="auto"/>
          <w:sz w:val="30"/>
          <w:szCs w:val="30"/>
          <w:highlight w:val="none"/>
          <w:lang w:val="en-US" w:eastAsia="zh-CN"/>
        </w:rPr>
        <w:t xml:space="preserve">采购需求</w:t>
      </w:r>
      <w:r>
        <w:rPr>
          <w:rFonts w:hint="eastAsia" w:ascii="宋体" w:hAnsi="宋体" w:eastAsia="宋体" w:cs="宋体"/>
          <w:color w:val="auto"/>
          <w:sz w:val="30"/>
          <w:szCs w:val="30"/>
          <w:highlight w:val="none"/>
        </w:rPr>
        <w:t xml:space="preserve">..........................................</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合同</w:t>
      </w:r>
      <w:r>
        <w:rPr>
          <w:rFonts w:hint="eastAsia" w:ascii="宋体" w:hAnsi="宋体" w:eastAsia="宋体" w:cs="宋体"/>
          <w:color w:val="auto"/>
          <w:sz w:val="30"/>
          <w:szCs w:val="30"/>
          <w:highlight w:val="none"/>
          <w:lang w:val="en-US" w:eastAsia="zh-CN"/>
        </w:rPr>
        <w:t xml:space="preserve">主要</w:t>
      </w:r>
      <w:r>
        <w:rPr>
          <w:rFonts w:hint="eastAsia" w:ascii="宋体" w:hAnsi="宋体" w:eastAsia="宋体" w:cs="宋体"/>
          <w:color w:val="auto"/>
          <w:sz w:val="30"/>
          <w:szCs w:val="30"/>
          <w:highlight w:val="none"/>
        </w:rPr>
        <w:t xml:space="preserve">条款......................................</w:t>
      </w:r>
      <w:r/>
    </w:p>
    <w:p>
      <w:pPr>
        <w:jc w:val="both"/>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w:t>
      </w:r>
      <w:r>
        <w:rPr>
          <w:rFonts w:hint="eastAsia" w:ascii="宋体" w:hAnsi="宋体" w:eastAsia="宋体" w:cs="宋体"/>
          <w:color w:val="auto"/>
          <w:sz w:val="30"/>
          <w:szCs w:val="30"/>
          <w:highlight w:val="none"/>
          <w:lang w:val="en-US" w:eastAsia="zh-CN"/>
        </w:rPr>
        <w:t xml:space="preserve">评分方法和</w:t>
      </w:r>
      <w:r>
        <w:rPr>
          <w:rFonts w:hint="eastAsia" w:ascii="宋体" w:hAnsi="宋体" w:eastAsia="宋体" w:cs="宋体"/>
          <w:color w:val="auto"/>
          <w:sz w:val="30"/>
          <w:szCs w:val="30"/>
          <w:highlight w:val="none"/>
        </w:rPr>
        <w:t xml:space="preserve">评分标准................................</w:t>
      </w:r>
      <w:r/>
    </w:p>
    <w:p>
      <w:pPr>
        <w:pStyle w:val="925"/>
        <w:ind w:firstLine="0"/>
        <w:jc w:val="center"/>
        <w:spacing w:line="360" w:lineRule="auto"/>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shd w:val="clear" w:color="auto"/>
        <w:widowControl/>
        <w:rPr>
          <w:rFonts w:hint="eastAsia" w:ascii="宋体" w:hAnsi="宋体" w:eastAsia="宋体" w:cs="宋体"/>
          <w:color w:val="auto"/>
          <w:sz w:val="30"/>
          <w:szCs w:val="30"/>
          <w:highlight w:val="none"/>
        </w:rPr>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宋体" w:hAnsi="宋体" w:eastAsia="宋体" w:cs="宋体"/>
          <w:color w:val="auto"/>
          <w:sz w:val="30"/>
          <w:szCs w:val="30"/>
          <w:highlight w:val="none"/>
        </w:rPr>
      </w:r>
      <w:r/>
    </w:p>
    <w:p>
      <w:pPr>
        <w:jc w:val="center"/>
        <w:spacing w:line="360" w:lineRule="auto"/>
        <w:shd w:val="clear" w:color="auto"/>
        <w:widowControl/>
        <w:rPr>
          <w:rFonts w:hint="eastAsia" w:ascii="宋体" w:hAnsi="宋体" w:eastAsia="宋体" w:cs="宋体"/>
          <w:color w:val="auto"/>
          <w:sz w:val="32"/>
          <w:highlight w:val="none"/>
        </w:rPr>
      </w:pP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val="en-US" w:eastAsia="zh-CN"/>
        </w:rPr>
        <w:t xml:space="preserve">投标邀请函</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苏州正杰招投标咨询服务有限公司受</w:t>
      </w:r>
      <w:r>
        <w:rPr>
          <w:rFonts w:hint="eastAsia" w:ascii="宋体" w:hAnsi="宋体" w:eastAsia="宋体" w:cs="宋体"/>
          <w:color w:val="auto"/>
          <w:sz w:val="24"/>
          <w:szCs w:val="24"/>
          <w:highlight w:val="none"/>
          <w:lang w:eastAsia="zh-CN"/>
        </w:rPr>
        <w:t xml:space="preserve">苏州市文物保护管理所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就其所需的</w:t>
      </w:r>
      <w:r>
        <w:rPr>
          <w:rFonts w:hint="eastAsia" w:ascii="宋体" w:hAnsi="宋体" w:eastAsia="宋体" w:cs="宋体"/>
          <w:color w:val="auto"/>
          <w:sz w:val="24"/>
          <w:szCs w:val="24"/>
          <w:highlight w:val="none"/>
          <w:lang w:eastAsia="zh-CN"/>
        </w:rPr>
        <w:t xml:space="preserve">苏州市区国保单位及大运河（苏州段）精密三维数字化建设和监测</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进行公开招标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欢迎符合资格条件和具备履约能力的供应商单位前来参与。</w:t>
      </w:r>
      <w:r/>
    </w:p>
    <w:p>
      <w:pPr>
        <w:ind w:firstLine="482"/>
        <w:spacing w:line="360" w:lineRule="auto"/>
        <w:shd w:val="clear" w:color="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一、项目基本情况</w:t>
      </w:r>
      <w:r>
        <w:rPr>
          <w:rFonts w:hint="eastAsia" w:ascii="宋体" w:hAnsi="宋体" w:eastAsia="宋体" w:cs="宋体"/>
          <w:b/>
          <w:bCs/>
          <w:color w:val="auto"/>
          <w:sz w:val="24"/>
          <w:szCs w:val="24"/>
          <w:highlight w:val="none"/>
          <w:lang w:eastAsia="zh-CN"/>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JSZC-320500-SZZJ-G2024-0031</w:t>
      </w:r>
      <w:r>
        <w:rPr>
          <w:rFonts w:hint="eastAsia" w:ascii="宋体" w:hAnsi="宋体" w:eastAsia="宋体" w:cs="宋体"/>
          <w:color w:val="auto"/>
          <w:sz w:val="24"/>
          <w:szCs w:val="24"/>
          <w:highlight w:val="none"/>
        </w:rPr>
        <w:t xml:space="preserve">。</w:t>
      </w:r>
      <w:r/>
    </w:p>
    <w:p>
      <w:pPr>
        <w:ind w:firstLine="480"/>
        <w:spacing w:line="360" w:lineRule="auto"/>
        <w:shd w:val="clear" w:color="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苏州市区国保单位及大运河（苏州段）精密三维数字化建设和监测。</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8600000.00</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最高限价：人民币</w:t>
      </w:r>
      <w:r>
        <w:rPr>
          <w:rFonts w:hint="eastAsia" w:ascii="宋体" w:hAnsi="宋体" w:eastAsia="宋体" w:cs="宋体"/>
          <w:color w:val="auto"/>
          <w:sz w:val="24"/>
          <w:szCs w:val="24"/>
          <w:highlight w:val="none"/>
          <w:lang w:val="en-US" w:eastAsia="zh-CN"/>
        </w:rPr>
        <w:t xml:space="preserve">8600000.00</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1、标的的名称：</w:t>
      </w:r>
      <w:r>
        <w:rPr>
          <w:rFonts w:hint="eastAsia" w:ascii="宋体" w:hAnsi="宋体" w:eastAsia="宋体" w:cs="宋体"/>
          <w:color w:val="auto"/>
          <w:sz w:val="24"/>
          <w:szCs w:val="24"/>
          <w:highlight w:val="none"/>
          <w:lang w:eastAsia="zh-CN"/>
        </w:rPr>
        <w:t xml:space="preserve">苏州市区国保单位及大运河（苏州段）精密三维数字化建设和监测。</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2、数量：1项</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3、简要技术需求或服务要求等：</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主要包括：2024年度苏州市区国保单位精密三维数字化建设；2024年度大运河苏州段遗产监测；2024年度轨道交通沿线国保单位变形监测。</w:t>
      </w:r>
      <w:r>
        <w:rPr>
          <w:rFonts w:hint="eastAsia" w:ascii="宋体" w:hAnsi="宋体" w:eastAsia="宋体" w:cs="宋体"/>
          <w:bCs/>
          <w:color w:val="auto"/>
          <w:sz w:val="24"/>
          <w:szCs w:val="24"/>
          <w:highlight w:val="none"/>
          <w:lang w:val="en-US" w:eastAsia="zh-CN"/>
        </w:rPr>
        <w:t xml:space="preserve">具体详见招标文件采购需求。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eastAsia="zh-CN"/>
        </w:rPr>
        <w:t xml:space="preserve">自合同生效之日起至2024年12月31日止。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本项不接受联合体投标、不接受进口产品、不允许转包。</w:t>
      </w:r>
      <w:r/>
    </w:p>
    <w:p>
      <w:pPr>
        <w:ind w:firstLine="482"/>
        <w:spacing w:line="360" w:lineRule="auto"/>
        <w:shd w:val="clear" w:color="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二、申请人的资格要求：</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1、合格供应商的一般条件</w:t>
      </w:r>
      <w:r>
        <w:rPr>
          <w:rFonts w:hint="eastAsia" w:ascii="宋体" w:hAnsi="宋体" w:eastAsia="宋体" w:cs="宋体"/>
          <w:color w:val="auto"/>
          <w:sz w:val="24"/>
          <w:szCs w:val="24"/>
          <w:highlight w:val="none"/>
          <w:lang w:eastAsia="zh-CN"/>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在经营活动中没有重大违法记录。</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bCs/>
          <w:color w:val="auto"/>
          <w:sz w:val="24"/>
          <w:szCs w:val="24"/>
          <w:highlight w:val="none"/>
        </w:rPr>
        <w:t xml:space="preserve">根据《政府采购促进中小企业发展管理办法》的相关规定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本项目专门面向中小企业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所属行业为其他未列明行业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应为中小微企业、监狱企业、残疾人福利性单位。</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具备在有效期内的测绘资质证书（专业范围须包括：地理信息系统工程和工程测量）</w:t>
      </w:r>
      <w:r>
        <w:rPr>
          <w:rFonts w:hint="eastAsia" w:ascii="宋体" w:hAnsi="宋体" w:eastAsia="宋体" w:cs="宋体"/>
          <w:color w:val="auto"/>
          <w:sz w:val="24"/>
          <w:szCs w:val="24"/>
          <w:highlight w:val="none"/>
          <w:lang w:eastAsia="zh-CN"/>
        </w:rPr>
        <w:t xml:space="preserve">。</w:t>
      </w:r>
      <w:r/>
    </w:p>
    <w:p>
      <w:pPr>
        <w:ind w:firstLine="482"/>
        <w:spacing w:line="360" w:lineRule="auto"/>
        <w:shd w:val="clear" w:color="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三、获取招标文件</w:t>
      </w:r>
      <w:r>
        <w:rPr>
          <w:rFonts w:hint="eastAsia" w:ascii="宋体" w:hAnsi="宋体" w:eastAsia="宋体" w:cs="宋体"/>
          <w:b/>
          <w:bCs/>
          <w:color w:val="auto"/>
          <w:sz w:val="24"/>
          <w:szCs w:val="24"/>
          <w:highlight w:val="none"/>
          <w:lang w:eastAsia="zh-CN"/>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时间：2024年</w:t>
      </w:r>
      <w:r>
        <w:rPr>
          <w:rFonts w:hint="eastAsia" w:ascii="宋体" w:hAnsi="宋体" w:eastAsia="宋体" w:cs="宋体"/>
          <w:color w:val="auto"/>
          <w:sz w:val="24"/>
          <w:szCs w:val="24"/>
          <w:highlight w:val="none"/>
          <w:u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none"/>
          <w:lang w:val="en-US" w:eastAsia="zh-CN"/>
        </w:rPr>
        <w:t xml:space="preserve">30</w:t>
      </w:r>
      <w:r>
        <w:rPr>
          <w:rFonts w:hint="eastAsia" w:ascii="宋体" w:hAnsi="宋体" w:eastAsia="宋体" w:cs="宋体"/>
          <w:color w:val="auto"/>
          <w:sz w:val="24"/>
          <w:szCs w:val="24"/>
          <w:highlight w:val="none"/>
        </w:rPr>
        <w:t xml:space="preserve">日至2024年</w:t>
      </w:r>
      <w:r>
        <w:rPr>
          <w:rFonts w:hint="eastAsia" w:ascii="宋体" w:hAnsi="宋体" w:eastAsia="宋体" w:cs="宋体"/>
          <w:color w:val="auto"/>
          <w:sz w:val="24"/>
          <w:szCs w:val="24"/>
          <w:highlight w:val="none"/>
          <w:u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none"/>
          <w:lang w:val="en-US" w:eastAsia="zh-CN"/>
        </w:rPr>
        <w:t xml:space="preserve">6</w:t>
      </w:r>
      <w:r>
        <w:rPr>
          <w:rFonts w:hint="eastAsia" w:ascii="宋体" w:hAnsi="宋体" w:eastAsia="宋体" w:cs="宋体"/>
          <w:color w:val="auto"/>
          <w:sz w:val="24"/>
          <w:szCs w:val="24"/>
          <w:highlight w:val="none"/>
        </w:rPr>
        <w:t xml:space="preserve">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w:t>
      </w:r>
      <w:r>
        <w:rPr>
          <w:rFonts w:hint="eastAsia" w:ascii="宋体" w:hAnsi="宋体" w:eastAsia="宋体" w:cs="宋体"/>
          <w:color w:val="auto"/>
          <w:sz w:val="24"/>
          <w:szCs w:val="24"/>
          <w:highlight w:val="none"/>
          <w:lang w:eastAsia="zh-CN"/>
        </w:rPr>
        <w:t xml:space="preserve">“苏采云”系统自行下载招标文件。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方式（网上报名）：</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（1）CA办理</w:t>
      </w:r>
      <w:r>
        <w:rPr>
          <w:rFonts w:hint="eastAsia" w:ascii="宋体" w:hAnsi="宋体" w:eastAsia="宋体" w:cs="宋体"/>
          <w:color w:val="auto"/>
          <w:sz w:val="24"/>
          <w:szCs w:val="24"/>
          <w:highlight w:val="none"/>
          <w:lang w:eastAsia="zh-CN"/>
        </w:rPr>
        <w:t xml:space="preserve">：</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供应商通过“苏采云”政府采购交易系统（以下简称苏采云系统，网址：h</w:t>
      </w:r>
      <w:r>
        <w:rPr>
          <w:rFonts w:hint="eastAsia" w:ascii="宋体" w:hAnsi="宋体" w:eastAsia="宋体" w:cs="宋体"/>
          <w:color w:val="auto"/>
          <w:sz w:val="24"/>
          <w:szCs w:val="24"/>
          <w:highlight w:val="none"/>
        </w:rPr>
        <w:t xml:space="preserve">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（2）依法获取</w:t>
      </w:r>
      <w:r>
        <w:rPr>
          <w:rFonts w:hint="eastAsia" w:ascii="宋体" w:hAnsi="宋体" w:eastAsia="宋体" w:cs="宋体"/>
          <w:color w:val="auto"/>
          <w:sz w:val="24"/>
          <w:szCs w:val="24"/>
          <w:highlight w:val="none"/>
          <w:lang w:eastAsia="zh-CN"/>
        </w:rPr>
        <w:t xml:space="preserve">招标文件：</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供应商插入CA证书登陆“苏采云”系统后选择具体项目，点击“我要参与”并签章提交《投标供应商确认函》，确认参与后自行免费下载</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，提交《投标供应商确认函》日期视同为依法获取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日期。供应商须打印、保留《投标供应商确认函》，质疑时《投标供应商确认函》与质疑函一并提交。</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考虑到熟悉“苏采云”系统、办理CA证书都需要一定的时间，请提早准备以免耽误招标采购活动。</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未依照采购公告要求获取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的供应商，视为未参加该项政府采购活动，不具备对该政府采购项目提出质疑的法定权利。</w:t>
      </w:r>
      <w:r/>
    </w:p>
    <w:p>
      <w:pPr>
        <w:ind w:firstLine="480"/>
        <w:spacing w:line="360" w:lineRule="auto"/>
        <w:shd w:val="clear" w:color="auto"/>
        <w:rPr>
          <w:rFonts w:asciiTheme="minorEastAsia" w:hAnsiTheme="minorEastAsia" w:eastAsiaTheme="minorEastAsia"/>
          <w:color w:val="auto"/>
          <w:szCs w:val="21"/>
          <w:highlight w:val="none"/>
        </w:rPr>
      </w:pPr>
      <w:r>
        <w:rPr>
          <w:rFonts w:hint="eastAsia" w:ascii="宋体" w:hAnsi="宋体" w:eastAsia="宋体" w:cs="宋体"/>
          <w:color w:val="auto"/>
          <w:sz w:val="24"/>
          <w:szCs w:val="24"/>
          <w:highlight w:val="none"/>
        </w:rPr>
        <w:t xml:space="preserve">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（3）技术咨询服务电话：</w:t>
      </w:r>
      <w:r/>
    </w:p>
    <w:p>
      <w:pPr>
        <w:ind w:firstLine="48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CA技术咨询服务电话：400-608-6099</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苏州市及区县“苏采云”系统</w:t>
      </w:r>
      <w:r>
        <w:rPr>
          <w:rFonts w:hint="eastAsia" w:ascii="宋体" w:hAnsi="宋体" w:eastAsia="宋体" w:cs="宋体"/>
          <w:color w:val="auto"/>
          <w:sz w:val="24"/>
          <w:szCs w:val="24"/>
          <w:highlight w:val="none"/>
        </w:rPr>
        <w:t xml:space="preserve">使用指导与咨询：联系电话：0512-69820854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18261002950；QQ：3048755361、1315179389、895706745</w:t>
      </w:r>
      <w:r>
        <w:rPr>
          <w:rFonts w:hint="eastAsia" w:ascii="宋体" w:hAnsi="宋体" w:eastAsia="宋体" w:cs="宋体"/>
          <w:color w:val="auto"/>
          <w:sz w:val="24"/>
          <w:szCs w:val="24"/>
          <w:highlight w:val="none"/>
        </w:rPr>
        <w:t xml:space="preserve">；智能客服：登录苏采云系统后，联系系统右下方智能客服图标进行咨询。</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售价：本项目免费下载电子</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1、时间：2024年</w:t>
      </w:r>
      <w:r>
        <w:rPr>
          <w:rFonts w:hint="eastAsia" w:ascii="宋体" w:hAnsi="宋体" w:eastAsia="宋体" w:cs="宋体"/>
          <w:color w:val="auto"/>
          <w:sz w:val="24"/>
          <w:szCs w:val="24"/>
          <w:highlight w:val="none"/>
          <w:u w:val="none"/>
          <w:lang w:val="en-US" w:eastAsia="zh-CN"/>
        </w:rPr>
        <w:t xml:space="preserve">9</w:t>
      </w:r>
      <w:r>
        <w:rPr>
          <w:rFonts w:hint="eastAsia" w:ascii="宋体" w:hAnsi="宋体" w:eastAsia="宋体" w:cs="宋体"/>
          <w:color w:val="auto"/>
          <w:sz w:val="24"/>
          <w:szCs w:val="24"/>
          <w:highlight w:val="none"/>
        </w:rPr>
        <w:t xml:space="preserve">月19</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0分（北京时间）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"http://jszfcg.jsczt.cn/）\“开标大厅\”。" </w:instrText>
      </w:r>
      <w:r>
        <w:rPr>
          <w:rFonts w:hint="eastAsia" w:ascii="宋体" w:hAnsi="宋体" w:eastAsia="宋体" w:cs="宋体"/>
          <w:color w:val="auto"/>
          <w:sz w:val="24"/>
          <w:szCs w:val="24"/>
          <w:highlight w:val="none"/>
        </w:rPr>
        <w:fldChar w:fldCharType="separate"/>
      </w:r>
      <w:r>
        <w:rPr>
          <w:rStyle w:val="974"/>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 </w:t>
      </w:r>
      <w:r/>
    </w:p>
    <w:p>
      <w:pPr>
        <w:ind w:firstLine="480"/>
        <w:spacing w:line="360" w:lineRule="auto"/>
        <w:shd w:val="clear" w:color="auto"/>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、方式：投标文件网上递交</w:t>
      </w:r>
      <w:bookmarkStart w:id="0" w:name="_Hlk90650305"/>
      <w:r/>
      <w:bookmarkEnd w:id="0"/>
      <w:r/>
      <w:bookmarkStart w:id="1" w:name="_Hlk90650417"/>
      <w:r>
        <w:rPr>
          <w:rFonts w:hint="default"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，不需要现场参加采购活动。</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线上参加开标（开启）会方式：供应商登录</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苏采云</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系统，点击</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开标大厅</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，选择对应项目，点击进入不见面开标系统。</w:t>
      </w:r>
      <w:r>
        <w:rPr>
          <w:rFonts w:hint="default" w:ascii="宋体" w:hAnsi="宋体" w:eastAsia="宋体" w:cs="宋体"/>
          <w:color w:val="auto"/>
          <w:sz w:val="24"/>
          <w:szCs w:val="24"/>
          <w:highlight w:val="none"/>
          <w:lang w:val="en-US" w:eastAsia="zh-CN"/>
        </w:rPr>
        <w:t xml:space="preserve"> </w:t>
      </w:r>
      <w:r/>
    </w:p>
    <w:p>
      <w:pPr>
        <w:ind w:firstLine="48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本项目为不见面开标（开启）项目，</w:t>
      </w:r>
      <w:r>
        <w:rPr>
          <w:rFonts w:hint="eastAsia" w:ascii="宋体" w:hAnsi="宋体" w:eastAsia="宋体" w:cs="宋体"/>
          <w:b/>
          <w:bCs/>
          <w:color w:val="auto"/>
          <w:sz w:val="24"/>
          <w:szCs w:val="24"/>
          <w:highlight w:val="none"/>
          <w:lang w:val="en-US" w:eastAsia="zh-CN"/>
        </w:rPr>
        <w:t xml:space="preserve">开启阶段供应商在【解密环节】必须使用</w:t>
      </w:r>
      <w:r>
        <w:rPr>
          <w:rFonts w:hint="default" w:ascii="宋体" w:hAnsi="宋体" w:eastAsia="宋体" w:cs="宋体"/>
          <w:b/>
          <w:bCs/>
          <w:color w:val="auto"/>
          <w:sz w:val="24"/>
          <w:szCs w:val="24"/>
          <w:highlight w:val="none"/>
          <w:lang w:val="en-US" w:eastAsia="zh-CN"/>
        </w:rPr>
        <w:t xml:space="preserve"> CA</w:t>
      </w:r>
      <w:r>
        <w:rPr>
          <w:rFonts w:hint="eastAsia" w:ascii="宋体" w:hAnsi="宋体" w:eastAsia="宋体" w:cs="宋体"/>
          <w:b/>
          <w:bCs/>
          <w:color w:val="auto"/>
          <w:sz w:val="24"/>
          <w:szCs w:val="24"/>
          <w:highlight w:val="none"/>
          <w:lang w:val="en-US" w:eastAsia="zh-CN"/>
        </w:rPr>
        <w:t xml:space="preserve">证书解密电子投标（响应）文件，如在</w:t>
      </w:r>
      <w:r>
        <w:rPr>
          <w:rFonts w:hint="default"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苏采云</w:t>
      </w:r>
      <w:r>
        <w:rPr>
          <w:rFonts w:hint="default"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系统规定的时间内未能成功解密的视为放弃参与本项目，投标无效。</w:t>
      </w:r>
      <w:r>
        <w:rPr>
          <w:rFonts w:hint="default" w:ascii="宋体" w:hAnsi="宋体" w:eastAsia="宋体" w:cs="宋体"/>
          <w:b/>
          <w:bCs/>
          <w:color w:val="auto"/>
          <w:sz w:val="24"/>
          <w:szCs w:val="24"/>
          <w:highlight w:val="none"/>
          <w:lang w:val="en-US" w:eastAsia="zh-CN"/>
        </w:rPr>
        <w:t xml:space="preserve"> </w:t>
      </w:r>
      <w:r/>
    </w:p>
    <w:p>
      <w:p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请供应商确保电脑、系统及其他设备（视频输入输出设备等）无误，且开启直至项目结束始终保持系统在线状态。</w:t>
      </w:r>
      <w:r>
        <w:rPr>
          <w:rFonts w:hint="default" w:ascii="宋体" w:hAnsi="宋体" w:eastAsia="宋体" w:cs="宋体"/>
          <w:color w:val="auto"/>
          <w:sz w:val="24"/>
          <w:szCs w:val="24"/>
          <w:highlight w:val="none"/>
          <w:lang w:val="en-US" w:eastAsia="zh-CN"/>
        </w:rPr>
        <w:t xml:space="preserve"> </w:t>
      </w:r>
      <w:bookmarkEnd w:id="1"/>
      <w:r/>
      <w:r/>
    </w:p>
    <w:p>
      <w:pPr>
        <w:ind w:firstLine="482"/>
        <w:spacing w:line="360" w:lineRule="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五、公告期限</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numPr>
          <w:ilvl w:val="0"/>
          <w:numId w:val="0"/>
        </w:numPr>
        <w:ind w:firstLine="482"/>
        <w:spacing w:line="360" w:lineRule="auto"/>
        <w:shd w:val="clear" w:color="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rPr>
        <w:t xml:space="preserve">其他补充事宜</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1、采购项目需要落实的政府采购政策：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《关于政府采购支持监狱企业发展有关问题的通知》（财库〔2014〕68号）。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《关于促进残疾人就业政府采购政策的通知》（财库〔2017〕141号）。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开评标过程中如有问题采购代理机构工作人员会及时通过报名时在投标确认函模块留存的手机号与供应商联系。此号码在开标截止之前可修改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val="en-US" w:eastAsia="zh-CN"/>
        </w:rPr>
        <w:t xml:space="preserve">投标文件中</w:t>
      </w:r>
      <w:r>
        <w:rPr>
          <w:rFonts w:hint="eastAsia" w:ascii="宋体" w:hAnsi="宋体" w:eastAsia="宋体" w:cs="宋体"/>
          <w:color w:val="auto"/>
          <w:sz w:val="24"/>
          <w:szCs w:val="24"/>
          <w:highlight w:val="none"/>
        </w:rPr>
        <w:t xml:space="preserve">投标函保存的最新号码为准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请供应商确保该手机号开评标当日通讯畅通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否则导致的对</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不利的后果由供应商自行承担。</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3、如不同供应商使用同一台电脑制作的电子响应文件的，双方“文件制作机器码”一致的，则其投标文件将被认定为无效响应。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本项目获取招标文件截止日期之后仍可以下载</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但截止日期之后下载的招标文件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视为非有效方式且不作为供应商权益受到损害的证明材料和依据。</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、政府采购监督电话：0512-68616651。</w:t>
      </w:r>
      <w:r/>
    </w:p>
    <w:p>
      <w:pPr>
        <w:ind w:firstLine="482"/>
        <w:spacing w:line="360" w:lineRule="auto"/>
        <w:shd w:val="clear" w:color="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七、对本次招标提出询问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请按以下方式联系</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rPr>
        <w:t xml:space="preserve">1、采购人信息：</w:t>
      </w:r>
      <w:r/>
    </w:p>
    <w:p>
      <w:pPr>
        <w:ind w:firstLine="480"/>
        <w:spacing w:line="360" w:lineRule="auto"/>
        <w:rPr>
          <w:rFonts w:hint="eastAsia" w:ascii="宋体" w:hAnsi="宋体" w:eastAsia="宋体" w:cs="Times New Roman"/>
          <w:color w:val="auto"/>
          <w:sz w:val="24"/>
          <w:szCs w:val="24"/>
          <w:highlight w:val="none"/>
          <w:shd w:val="clear" w:color="auto" w:fill="auto"/>
          <w:lang w:eastAsia="zh-CN"/>
        </w:rPr>
      </w:pPr>
      <w:r>
        <w:rPr>
          <w:rFonts w:hint="eastAsia" w:ascii="宋体" w:hAnsi="宋体" w:eastAsia="宋体" w:cs="Times New Roman"/>
          <w:color w:val="auto"/>
          <w:sz w:val="24"/>
          <w:szCs w:val="24"/>
          <w:highlight w:val="none"/>
          <w:shd w:val="clear" w:color="auto" w:fill="auto"/>
          <w:lang w:eastAsia="zh-CN"/>
        </w:rPr>
        <w:t xml:space="preserve">名称：苏州市文物保护管理所。</w:t>
      </w:r>
      <w:r/>
    </w:p>
    <w:p>
      <w:pPr>
        <w:ind w:firstLine="480"/>
        <w:spacing w:line="360" w:lineRule="auto"/>
        <w:rPr>
          <w:rFonts w:hint="eastAsia" w:ascii="宋体" w:hAnsi="宋体" w:eastAsia="宋体" w:cs="Times New Roman"/>
          <w:color w:val="auto"/>
          <w:sz w:val="24"/>
          <w:szCs w:val="24"/>
          <w:highlight w:val="none"/>
          <w:shd w:val="clear" w:color="auto" w:fill="auto"/>
          <w:lang w:eastAsia="zh-CN"/>
        </w:rPr>
      </w:pPr>
      <w:r>
        <w:rPr>
          <w:rFonts w:hint="eastAsia" w:ascii="宋体" w:hAnsi="宋体" w:eastAsia="宋体" w:cs="Times New Roman"/>
          <w:color w:val="auto"/>
          <w:sz w:val="24"/>
          <w:szCs w:val="24"/>
          <w:highlight w:val="none"/>
          <w:shd w:val="clear" w:color="auto" w:fill="auto"/>
          <w:lang w:eastAsia="zh-CN"/>
        </w:rPr>
        <w:t xml:space="preserve">地址：</w:t>
      </w:r>
      <w:r>
        <w:rPr>
          <w:rFonts w:hint="eastAsia" w:ascii="宋体" w:hAnsi="宋体" w:eastAsia="宋体" w:cs="宋体"/>
          <w:bCs/>
          <w:color w:val="auto"/>
          <w:sz w:val="24"/>
          <w:szCs w:val="24"/>
          <w:highlight w:val="none"/>
          <w:lang w:eastAsia="zh-CN"/>
        </w:rPr>
        <w:t xml:space="preserve">苏州市姑苏区定慧寺巷22—1号</w:t>
      </w:r>
      <w:r>
        <w:rPr>
          <w:rFonts w:hint="eastAsia" w:ascii="宋体" w:hAnsi="宋体" w:eastAsia="宋体" w:cs="Times New Roman"/>
          <w:color w:val="auto"/>
          <w:sz w:val="24"/>
          <w:szCs w:val="24"/>
          <w:highlight w:val="none"/>
          <w:shd w:val="clear" w:color="auto" w:fill="auto"/>
          <w:lang w:eastAsia="zh-CN"/>
        </w:rPr>
        <w:t xml:space="preserve">。</w:t>
      </w:r>
      <w:r/>
    </w:p>
    <w:p>
      <w:pPr>
        <w:ind w:firstLine="480"/>
        <w:spacing w:line="360" w:lineRule="auto"/>
        <w:rPr>
          <w:rFonts w:hint="eastAsia" w:ascii="宋体" w:hAnsi="宋体" w:eastAsia="宋体" w:cs="Times New Roman"/>
          <w:color w:val="auto"/>
          <w:sz w:val="24"/>
          <w:szCs w:val="24"/>
          <w:highlight w:val="none"/>
          <w:shd w:val="clear" w:color="auto" w:fill="auto"/>
          <w:lang w:eastAsia="zh-CN"/>
        </w:rPr>
      </w:pPr>
      <w:r>
        <w:rPr>
          <w:rFonts w:hint="eastAsia" w:ascii="宋体" w:hAnsi="宋体" w:eastAsia="宋体" w:cs="Times New Roman"/>
          <w:color w:val="auto"/>
          <w:sz w:val="24"/>
          <w:szCs w:val="24"/>
          <w:highlight w:val="none"/>
          <w:shd w:val="clear" w:color="auto" w:fill="auto"/>
          <w:lang w:eastAsia="zh-CN"/>
        </w:rPr>
        <w:t xml:space="preserve">联系方式：电话</w:t>
      </w:r>
      <w:r>
        <w:rPr>
          <w:rFonts w:hint="eastAsia" w:ascii="宋体" w:hAnsi="宋体" w:eastAsia="宋体"/>
          <w:color w:val="auto"/>
          <w:sz w:val="24"/>
          <w:szCs w:val="24"/>
          <w:highlight w:val="none"/>
        </w:rPr>
        <w:t xml:space="preserve">0512-65225972</w:t>
      </w:r>
      <w:r>
        <w:rPr>
          <w:rFonts w:hint="eastAsia" w:ascii="宋体" w:hAnsi="宋体" w:eastAsia="宋体" w:cs="Times New Roman"/>
          <w:color w:val="auto"/>
          <w:sz w:val="24"/>
          <w:szCs w:val="24"/>
          <w:highlight w:val="none"/>
          <w:shd w:val="clear" w:color="auto" w:fill="auto"/>
          <w:lang w:eastAsia="zh-CN"/>
        </w:rPr>
        <w:t xml:space="preserve">。</w:t>
      </w:r>
      <w:r/>
    </w:p>
    <w:p>
      <w:pPr>
        <w:ind w:firstLine="480"/>
        <w:spacing w:line="360" w:lineRule="auto"/>
        <w:rPr>
          <w:rFonts w:hint="eastAsia" w:ascii="宋体" w:hAnsi="宋体" w:eastAsia="宋体" w:cs="Times New Roman"/>
          <w:color w:val="auto"/>
          <w:sz w:val="24"/>
          <w:szCs w:val="24"/>
          <w:highlight w:val="none"/>
          <w:shd w:val="clear" w:color="auto" w:fill="auto"/>
          <w:lang w:eastAsia="zh-CN"/>
        </w:rPr>
      </w:pPr>
      <w:r>
        <w:rPr>
          <w:rFonts w:hint="eastAsia" w:ascii="宋体" w:hAnsi="宋体" w:eastAsia="宋体" w:cs="Times New Roman"/>
          <w:color w:val="auto"/>
          <w:sz w:val="24"/>
          <w:szCs w:val="24"/>
          <w:highlight w:val="none"/>
          <w:shd w:val="clear" w:color="auto" w:fill="auto"/>
          <w:lang w:eastAsia="zh-CN"/>
        </w:rPr>
        <w:t xml:space="preserve">项目联系人：</w:t>
      </w:r>
      <w:r>
        <w:rPr>
          <w:rFonts w:hint="eastAsia" w:ascii="宋体" w:hAnsi="宋体" w:eastAsia="宋体" w:cs="宋体"/>
          <w:color w:val="auto"/>
          <w:sz w:val="24"/>
          <w:szCs w:val="24"/>
          <w:highlight w:val="none"/>
        </w:rPr>
        <w:t xml:space="preserve">熊成超</w:t>
      </w:r>
      <w:r>
        <w:rPr>
          <w:rFonts w:hint="eastAsia" w:ascii="宋体" w:hAnsi="宋体" w:eastAsia="宋体"/>
          <w:color w:val="auto"/>
          <w:sz w:val="24"/>
          <w:szCs w:val="24"/>
          <w:highlight w:val="none"/>
          <w:lang w:eastAsia="zh-CN"/>
        </w:rPr>
        <w:t xml:space="preserve">。</w:t>
      </w:r>
      <w:r/>
    </w:p>
    <w:p>
      <w:pPr>
        <w:ind w:firstLine="480"/>
        <w:spacing w:line="360" w:lineRule="auto"/>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rPr>
        <w:t xml:space="preserve">2、采购代理机构信息：</w:t>
      </w:r>
      <w:r/>
    </w:p>
    <w:p>
      <w:pPr>
        <w:ind w:firstLine="480"/>
        <w:spacing w:line="360" w:lineRule="auto"/>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rPr>
        <w:t xml:space="preserve">名称：苏州正杰招投标咨询服务有限公司。</w:t>
      </w:r>
      <w:r/>
    </w:p>
    <w:p>
      <w:pPr>
        <w:ind w:firstLine="480"/>
        <w:spacing w:line="360" w:lineRule="auto"/>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rPr>
        <w:t xml:space="preserve">地址：苏州市平泷路251号苏州城市生活广场B座1557室。</w:t>
      </w:r>
      <w:r/>
    </w:p>
    <w:p>
      <w:pPr>
        <w:ind w:firstLine="480"/>
        <w:spacing w:line="360" w:lineRule="auto"/>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rPr>
        <w:t xml:space="preserve">联系方式：电话0512-62826523。</w:t>
      </w:r>
      <w:r/>
    </w:p>
    <w:p>
      <w:pPr>
        <w:numPr>
          <w:ilvl w:val="0"/>
          <w:numId w:val="0"/>
        </w:numPr>
        <w:ind w:firstLine="480"/>
        <w:spacing w:line="360" w:lineRule="auto"/>
        <w:rPr>
          <w:rFonts w:ascii="宋体" w:hAnsi="宋体" w:eastAsia="宋体"/>
          <w:color w:val="auto"/>
          <w:sz w:val="24"/>
          <w:szCs w:val="24"/>
          <w:highlight w:val="none"/>
          <w:shd w:val="clear" w:color="auto" w:fill="auto"/>
        </w:rPr>
      </w:pPr>
      <w:r>
        <w:rPr>
          <w:rFonts w:hint="eastAsia" w:ascii="宋体" w:hAnsi="宋体" w:eastAsia="宋体"/>
          <w:color w:val="auto"/>
          <w:sz w:val="24"/>
          <w:szCs w:val="24"/>
          <w:highlight w:val="none"/>
          <w:shd w:val="clear" w:color="auto" w:fill="auto"/>
        </w:rPr>
        <w:t xml:space="preserve">项目联系人：</w:t>
      </w:r>
      <w:r>
        <w:rPr>
          <w:rFonts w:hint="eastAsia" w:ascii="宋体" w:hAnsi="宋体" w:eastAsia="宋体" w:cs="宋体"/>
          <w:color w:val="auto"/>
          <w:sz w:val="24"/>
          <w:szCs w:val="24"/>
          <w:highlight w:val="none"/>
        </w:rPr>
        <w:t xml:space="preserve">沈鹰、</w:t>
      </w:r>
      <w:r>
        <w:rPr>
          <w:rFonts w:hint="eastAsia" w:ascii="宋体" w:hAnsi="宋体" w:eastAsia="宋体" w:cs="宋体"/>
          <w:color w:val="auto"/>
          <w:sz w:val="24"/>
          <w:szCs w:val="24"/>
          <w:highlight w:val="none"/>
          <w:lang w:val="en-US" w:eastAsia="zh-CN"/>
        </w:rPr>
        <w:t xml:space="preserve">陈晓梦</w:t>
      </w:r>
      <w:r>
        <w:rPr>
          <w:rFonts w:hint="eastAsia" w:ascii="宋体" w:hAnsi="宋体" w:eastAsia="宋体" w:cs="宋体"/>
          <w:color w:val="auto"/>
          <w:sz w:val="24"/>
          <w:szCs w:val="24"/>
          <w:highlight w:val="none"/>
        </w:rPr>
        <w:t xml:space="preserve">、刘木兰</w:t>
      </w:r>
      <w:r>
        <w:rPr>
          <w:rFonts w:hint="eastAsia" w:ascii="宋体" w:hAnsi="宋体" w:eastAsia="宋体"/>
          <w:color w:val="auto"/>
          <w:sz w:val="24"/>
          <w:szCs w:val="24"/>
          <w:highlight w:val="none"/>
          <w:shd w:val="clear" w:color="auto" w:fill="auto"/>
        </w:rPr>
        <w:t xml:space="preserve">。</w:t>
      </w:r>
      <w:r/>
    </w:p>
    <w:p>
      <w:pPr>
        <w:jc w:val="center"/>
        <w:spacing w:before="120" w:line="360" w:lineRule="auto"/>
        <w:shd w:val="clear" w:color="auto"/>
        <w:rPr>
          <w:rFonts w:hint="eastAsia" w:ascii="宋体" w:hAnsi="宋体" w:eastAsia="宋体" w:cs="宋体"/>
          <w:b/>
          <w:color w:val="auto"/>
          <w:sz w:val="24"/>
          <w:szCs w:val="24"/>
          <w:highlight w:val="none"/>
        </w:rPr>
        <w:outlineLvl w:val="0"/>
      </w:pPr>
      <w:r>
        <w:rPr>
          <w:rFonts w:hint="eastAsia" w:ascii="宋体" w:hAnsi="宋体" w:eastAsia="宋体" w:cs="宋体"/>
          <w:color w:val="auto"/>
          <w:sz w:val="24"/>
          <w:highlight w:val="none"/>
        </w:rPr>
        <w:br w:type="page" w:clear="all"/>
      </w:r>
      <w:r/>
    </w:p>
    <w:p>
      <w:pPr>
        <w:jc w:val="center"/>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投标人须知</w:t>
      </w:r>
      <w:r/>
    </w:p>
    <w:p>
      <w:pPr>
        <w:ind w:firstLine="426"/>
        <w:spacing w:line="360" w:lineRule="auto"/>
        <w:tabs>
          <w:tab w:val="left" w:pos="540"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1、总则</w:t>
      </w:r>
      <w:r/>
    </w:p>
    <w:p>
      <w:pPr>
        <w:ind w:firstLine="426"/>
        <w:spacing w:line="360" w:lineRule="auto"/>
        <w:tabs>
          <w:tab w:val="left" w:pos="540"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1.1投标人资格要求</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1.1.1详见第一章</w:t>
      </w:r>
      <w:r>
        <w:rPr>
          <w:rFonts w:hint="eastAsia" w:ascii="宋体" w:hAnsi="宋体" w:eastAsia="宋体" w:cs="宋体"/>
          <w:color w:val="auto"/>
          <w:sz w:val="24"/>
          <w:szCs w:val="24"/>
          <w:highlight w:val="none"/>
          <w:lang w:val="en-US" w:eastAsia="zh-CN"/>
        </w:rPr>
        <w:t xml:space="preserve">投标邀请函</w:t>
      </w:r>
      <w:r>
        <w:rPr>
          <w:rFonts w:hint="eastAsia" w:ascii="宋体" w:hAnsi="宋体" w:eastAsia="宋体" w:cs="宋体"/>
          <w:color w:val="auto"/>
          <w:sz w:val="24"/>
          <w:szCs w:val="24"/>
          <w:highlight w:val="none"/>
        </w:rPr>
        <w:t xml:space="preserve">中“二、申请人的资格要求”。</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1.1.2投标人不得存在下列情形之一：</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（2）为采购项目提供整体设计、规范编制或者项目管理、监理、监测等服务的供应商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不得再参加该采购项目的其他采购活动；本项目的此类供应商是：无。</w:t>
      </w:r>
      <w:r/>
    </w:p>
    <w:p>
      <w:pPr>
        <w:ind w:firstLine="426"/>
        <w:spacing w:line="360" w:lineRule="auto"/>
        <w:tabs>
          <w:tab w:val="left" w:pos="540"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（3）单位负责人为同一人或者存在直接控股、管理关系的不同供应商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不得参加同一合同项下的政府采购活动。</w:t>
      </w:r>
      <w:r/>
    </w:p>
    <w:p>
      <w:pPr>
        <w:numPr>
          <w:ilvl w:val="2"/>
          <w:numId w:val="0"/>
        </w:numPr>
        <w:ind w:left="0"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1.1.3联合体投标：</w:t>
      </w:r>
      <w:r>
        <w:rPr>
          <w:rFonts w:hint="eastAsia" w:ascii="宋体" w:hAnsi="宋体" w:eastAsia="宋体" w:cs="宋体"/>
          <w:b w:val="0"/>
          <w:bCs/>
          <w:color w:val="auto"/>
          <w:sz w:val="24"/>
          <w:szCs w:val="24"/>
          <w:highlight w:val="none"/>
        </w:rPr>
        <w:t xml:space="preserve">第一章投标邀请函规定接受联合体投标的</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联合体除应符合上述资格要求外</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还应遵守以下规定：</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rPr>
        <w:t xml:space="preserve">联合体各方应当向采购人提交联合体协议书</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载明联合体各方承担的工作和义务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否则投标无效。</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rPr>
        <w:t xml:space="preserve">本项目接受联合体投标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但一个联合体最多接受两个单位进行联合投标。</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rPr>
        <w:t xml:space="preserve">联合体中有同类资质的供应商按照联合体分工承担相同工作的</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应当按照资质等级较低的供应商确定资质等级。</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rPr>
        <w:t xml:space="preserve">联合体各方不得再单独参加或者与其他供应商另外组成联合体参加同一合同项下的政府采购活动</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否则各相关投标均无效。</w:t>
      </w:r>
      <w:r/>
    </w:p>
    <w:p>
      <w:pPr>
        <w:numPr>
          <w:ilvl w:val="0"/>
          <w:numId w:val="0"/>
        </w:numPr>
        <w:ind w:firstLine="484"/>
        <w:spacing w:line="360" w:lineRule="auto"/>
        <w:shd w:val="clear" w:color="auto"/>
        <w:tabs>
          <w:tab w:val="left" w:pos="85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（5）</w:t>
      </w:r>
      <w:r>
        <w:rPr>
          <w:rFonts w:hint="eastAsia" w:ascii="宋体" w:hAnsi="宋体" w:eastAsia="宋体" w:cs="宋体"/>
          <w:b w:val="0"/>
          <w:bCs/>
          <w:color w:val="auto"/>
          <w:sz w:val="24"/>
          <w:szCs w:val="24"/>
          <w:highlight w:val="none"/>
        </w:rPr>
        <w:t xml:space="preserve">联合体各方应当共同与采购人签订采购合同</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就采购合同约定的事项对采购人承担连带责任。</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 分包、转包</w:t>
      </w:r>
      <w:r/>
    </w:p>
    <w:p>
      <w:pPr>
        <w:ind w:left="525"/>
        <w:spacing w:line="360" w:lineRule="auto"/>
        <w:tabs>
          <w:tab w:val="left" w:pos="851" w:leader="none"/>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本项目不允许分包或转包。</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1.3投标费用</w:t>
      </w:r>
      <w:r/>
    </w:p>
    <w:p>
      <w:pPr>
        <w:ind w:left="525"/>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（1）投标人应自行承担所有准备及参加投标的相关费用。</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1.4保密</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参与采购活动的各方应对招标文件和投标文件中的商业和技术等秘密保密，否则应承担相应的法律责任。</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1.5语言文字</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投标文件使用的语言文字为中文。使用外文的，应附有中文注释或译本，对不同文本投标文件的解释发生异议的，以中文文本为准。因未附注释或译本引起的对投标人不利的后果由投标人自行承担。</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1.6计量单位</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除招标文件有特殊要求外，所有计量均采用中华人民共和国法定计量单位。</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1.7知识产权</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2、招标文件的说明</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2.1招标文件的获取见第一章</w:t>
      </w:r>
      <w:r>
        <w:rPr>
          <w:rFonts w:hint="eastAsia" w:ascii="宋体" w:hAnsi="宋体" w:eastAsia="宋体" w:cs="宋体"/>
          <w:b/>
          <w:bCs/>
          <w:color w:val="auto"/>
          <w:sz w:val="24"/>
          <w:szCs w:val="24"/>
          <w:highlight w:val="none"/>
          <w:lang w:eastAsia="zh-CN"/>
        </w:rPr>
        <w:t xml:space="preserve">投标邀请函</w:t>
      </w:r>
      <w:r>
        <w:rPr>
          <w:rFonts w:hint="eastAsia" w:ascii="宋体" w:hAnsi="宋体" w:eastAsia="宋体" w:cs="宋体"/>
          <w:b/>
          <w:bCs/>
          <w:color w:val="auto"/>
          <w:sz w:val="24"/>
          <w:szCs w:val="24"/>
          <w:highlight w:val="none"/>
        </w:rPr>
        <w:t xml:space="preserve">。</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2.2招标文件的询问</w:t>
      </w:r>
      <w:r/>
    </w:p>
    <w:p>
      <w:pPr>
        <w:ind w:firstLine="420"/>
        <w:spacing w:line="360" w:lineRule="auto"/>
        <w:tabs>
          <w:tab w:val="left" w:pos="540" w:leader="none"/>
          <w:tab w:val="left" w:pos="851"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供应商在收到</w:t>
      </w:r>
      <w:r>
        <w:rPr>
          <w:rFonts w:hint="eastAsia" w:ascii="宋体" w:hAnsi="宋体" w:eastAsia="宋体" w:cs="宋体"/>
          <w:color w:val="auto"/>
          <w:sz w:val="24"/>
          <w:szCs w:val="24"/>
          <w:highlight w:val="none"/>
        </w:rPr>
        <w:t xml:space="preserve">招标</w:t>
      </w:r>
      <w:r>
        <w:rPr>
          <w:rFonts w:ascii="宋体" w:hAnsi="宋体" w:eastAsia="宋体" w:cs="宋体"/>
          <w:color w:val="auto"/>
          <w:sz w:val="24"/>
          <w:szCs w:val="24"/>
          <w:highlight w:val="none"/>
        </w:rPr>
        <w:t xml:space="preserve">文件后，若有问题需要询问，应于下载</w:t>
      </w:r>
      <w:r>
        <w:rPr>
          <w:rFonts w:hint="eastAsia" w:ascii="宋体" w:hAnsi="宋体" w:eastAsia="宋体" w:cs="宋体"/>
          <w:color w:val="auto"/>
          <w:sz w:val="24"/>
          <w:szCs w:val="24"/>
          <w:highlight w:val="none"/>
        </w:rPr>
        <w:t xml:space="preserve">招标</w:t>
      </w:r>
      <w:r>
        <w:rPr>
          <w:rFonts w:ascii="宋体" w:hAnsi="宋体" w:eastAsia="宋体" w:cs="宋体"/>
          <w:color w:val="auto"/>
          <w:sz w:val="24"/>
          <w:szCs w:val="24"/>
          <w:highlight w:val="none"/>
        </w:rPr>
        <w:t xml:space="preserve">文件后</w:t>
      </w:r>
      <w:r>
        <w:rPr>
          <w:rFonts w:hint="eastAsia" w:ascii="宋体" w:hAnsi="宋体" w:eastAsia="宋体" w:cs="宋体"/>
          <w:color w:val="auto"/>
          <w:sz w:val="24"/>
          <w:szCs w:val="24"/>
          <w:highlight w:val="none"/>
        </w:rPr>
        <w:t xml:space="preserve">，可通过投标邀请函中的联系方式</w:t>
      </w:r>
      <w:r>
        <w:rPr>
          <w:rFonts w:ascii="宋体" w:hAnsi="宋体" w:eastAsia="宋体" w:cs="宋体"/>
          <w:color w:val="auto"/>
          <w:sz w:val="24"/>
          <w:szCs w:val="24"/>
          <w:highlight w:val="none"/>
        </w:rPr>
        <w:t xml:space="preserve">及时提出，</w:t>
      </w:r>
      <w:r>
        <w:rPr>
          <w:rFonts w:hint="eastAsia" w:ascii="宋体" w:hAnsi="宋体" w:eastAsia="宋体" w:cs="宋体"/>
          <w:color w:val="auto"/>
          <w:sz w:val="24"/>
          <w:szCs w:val="24"/>
          <w:highlight w:val="none"/>
        </w:rPr>
        <w:t xml:space="preserve">采购人或</w:t>
      </w:r>
      <w:r>
        <w:rPr>
          <w:rFonts w:ascii="宋体" w:hAnsi="宋体" w:eastAsia="宋体" w:cs="宋体"/>
          <w:color w:val="auto"/>
          <w:sz w:val="24"/>
          <w:szCs w:val="24"/>
          <w:highlight w:val="none"/>
        </w:rPr>
        <w:t xml:space="preserve">采购代理机构将予以解答。</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2.3招标文件的澄清或修改</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2.3.1采购人或采购代理机构无论出于自己的考虑，还是出于对投标人提问的澄清，均可对已发出的招标文件用补充通知（包括更正公告）的方式进行澄清或者修改，</w:t>
      </w:r>
      <w:r>
        <w:rPr>
          <w:rFonts w:hint="eastAsia" w:ascii="宋体" w:hAnsi="宋体" w:eastAsia="宋体" w:cs="宋体"/>
          <w:color w:val="auto"/>
          <w:sz w:val="24"/>
          <w:szCs w:val="24"/>
          <w:highlight w:val="none"/>
        </w:rPr>
        <w:t xml:space="preserve">并通过苏州市政府采购网对外进行发布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但不得改变采购标的和资格条件。澄清或者修改的内容作为招标文件的组成部分，对所有投标人具有约束力。</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w:t>
      </w:r>
      <w:r>
        <w:rPr>
          <w:rFonts w:hint="eastAsia" w:ascii="宋体" w:hAnsi="宋体" w:eastAsia="宋体" w:cs="宋体"/>
          <w:color w:val="auto"/>
          <w:sz w:val="24"/>
          <w:szCs w:val="24"/>
          <w:highlight w:val="none"/>
        </w:rPr>
        <w:t xml:space="preserve">为保证投标人有足够时间修正投标文件，或出于其他合理原因，</w:t>
      </w:r>
      <w:r>
        <w:rPr>
          <w:rFonts w:hint="eastAsia" w:ascii="宋体" w:hAnsi="宋体" w:eastAsia="宋体" w:cs="宋体"/>
          <w:color w:val="auto"/>
          <w:sz w:val="24"/>
          <w:szCs w:val="24"/>
          <w:highlight w:val="none"/>
          <w:lang w:val="en-US" w:eastAsia="zh-CN"/>
        </w:rPr>
        <w:t xml:space="preserve">采购人或</w:t>
      </w:r>
      <w:r>
        <w:rPr>
          <w:rFonts w:hint="eastAsia" w:ascii="宋体" w:hAnsi="宋体" w:eastAsia="宋体" w:cs="宋体"/>
          <w:color w:val="auto"/>
          <w:sz w:val="24"/>
          <w:szCs w:val="24"/>
          <w:highlight w:val="none"/>
        </w:rPr>
        <w:t xml:space="preserve">采购代理机构可依法顺延投标截止时间和开标时间。</w:t>
      </w:r>
      <w:r/>
    </w:p>
    <w:p>
      <w:pPr>
        <w:ind w:firstLine="484"/>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2.3.3</w:t>
      </w:r>
      <w:r>
        <w:rPr>
          <w:rFonts w:hint="eastAsia" w:ascii="宋体" w:hAnsi="宋体" w:eastAsia="宋体" w:cs="宋体"/>
          <w:color w:val="auto"/>
          <w:sz w:val="24"/>
          <w:szCs w:val="24"/>
          <w:highlight w:val="none"/>
        </w:rPr>
        <w:t xml:space="preserve">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2.3.4</w:t>
      </w:r>
      <w:r>
        <w:rPr>
          <w:rFonts w:hint="eastAsia" w:ascii="宋体" w:hAnsi="宋体" w:eastAsia="宋体" w:cs="宋体"/>
          <w:color w:val="auto"/>
          <w:sz w:val="24"/>
          <w:szCs w:val="24"/>
          <w:highlight w:val="none"/>
        </w:rPr>
        <w:t xml:space="preserve">招标文件的澄清、修改、补充等内容均以苏州市政府采购网上发布的内容为准。</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3、投标文件的说明</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投标人应详细阅读招标文件的全部内容，不按招标文件的要求提供的投标文件和资料，其风险由投标人自行承担，并根据有关条款规定，可能导致投标无效。</w:t>
      </w:r>
      <w:r/>
    </w:p>
    <w:p>
      <w:pPr>
        <w:ind w:left="525"/>
        <w:spacing w:line="360" w:lineRule="auto"/>
        <w:tabs>
          <w:tab w:val="left" w:pos="851"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3.1</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保证金：无</w:t>
      </w:r>
      <w:r>
        <w:rPr>
          <w:rFonts w:hint="eastAsia" w:ascii="宋体" w:hAnsi="宋体" w:eastAsia="宋体" w:cs="宋体"/>
          <w:b/>
          <w:bCs/>
          <w:color w:val="auto"/>
          <w:sz w:val="24"/>
          <w:szCs w:val="24"/>
          <w:highlight w:val="none"/>
          <w:lang w:eastAsia="zh-CN"/>
        </w:rPr>
        <w:t xml:space="preserve">。</w:t>
      </w:r>
      <w:r/>
    </w:p>
    <w:p>
      <w:pPr>
        <w:ind w:left="525"/>
        <w:spacing w:line="360" w:lineRule="auto"/>
        <w:tabs>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文件的组成</w:t>
      </w:r>
      <w:r/>
    </w:p>
    <w:p>
      <w:pPr>
        <w:ind w:left="525"/>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3.2.1封面；</w:t>
      </w:r>
      <w:r/>
    </w:p>
    <w:p>
      <w:pPr>
        <w:ind w:left="525"/>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3.2.2开标一览表（格式见第三章）；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3.2.3公开</w:t>
      </w:r>
      <w:r>
        <w:rPr>
          <w:rFonts w:hint="eastAsia" w:ascii="宋体" w:hAnsi="宋体" w:eastAsia="宋体" w:cs="宋体"/>
          <w:b w:val="0"/>
          <w:bCs w:val="0"/>
          <w:color w:val="auto"/>
          <w:sz w:val="24"/>
          <w:szCs w:val="24"/>
          <w:highlight w:val="none"/>
        </w:rPr>
        <w:t xml:space="preserve">分项报价表</w:t>
      </w:r>
      <w:r>
        <w:rPr>
          <w:rFonts w:hint="eastAsia" w:ascii="宋体" w:hAnsi="宋体" w:eastAsia="宋体" w:cs="宋体"/>
          <w:color w:val="auto"/>
          <w:sz w:val="24"/>
          <w:szCs w:val="24"/>
          <w:highlight w:val="none"/>
          <w:lang w:val="en-US" w:eastAsia="zh-CN"/>
        </w:rPr>
        <w:t xml:space="preserve">（如有，格式见第三章）；</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3.2.4资格审查投标文件：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rPr>
        <w:t xml:space="preserve">的资格要求</w:t>
      </w:r>
      <w:r>
        <w:rPr>
          <w:rFonts w:hint="eastAsia" w:ascii="宋体" w:hAnsi="宋体" w:eastAsia="宋体" w:cs="宋体"/>
          <w:b w:val="0"/>
          <w:bCs w:val="0"/>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（1）具有独立承担民事责任的能力的材料复印件：包括法人或者其他组织的营业执照等证明文件，自然人的身份证明；</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（2）具有良好的商业信誉和健全的财务会计制度的材料：包括但不限于法人提供2022年度或2023年度经审计的财务报告或基本开户银行在本年度内出具的资信证明复印件；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（3）具有履行合同所必需的设备和专业技术能力的证明材料复印件或承诺；</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（5）参加政府采购活动前三年内，在经营活动中没有出现重大违法记录的书面声明函；</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（6）按照相关法律法规参与本项目所必须取得国家有关主管部门的行政许可证明资料复印件（如有须提供）。</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（7）《中小企业声明函》或《残疾人福利性单位声明函》或由省级以上监狱管理局、戒毒管理局（含新疆生产建设兵团）出具的属于监狱企业的证明文件；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（8）具备在有效期内的测绘资质证书（专业范围须包括：地理信息系统工程和工程测量）。</w:t>
      </w:r>
      <w:r/>
    </w:p>
    <w:p>
      <w:pPr>
        <w:ind w:left="5" w:firstLine="518"/>
        <w:spacing w:line="360" w:lineRule="auto"/>
        <w:tabs>
          <w:tab w:val="left" w:pos="851" w:leader="none"/>
        </w:tabs>
        <w:rPr>
          <w:rFonts w:hint="eastAsia" w:ascii="宋体" w:hAnsi="宋体" w:eastAsia="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w:t>
      </w:r>
      <w:r>
        <w:rPr>
          <w:rFonts w:hint="eastAsia" w:ascii="宋体" w:hAnsi="宋体" w:eastAsia="宋体"/>
          <w:b w:val="0"/>
          <w:bCs w:val="0"/>
          <w:color w:val="auto"/>
          <w:sz w:val="24"/>
          <w:szCs w:val="24"/>
          <w:highlight w:val="none"/>
          <w:lang w:val="en-US" w:eastAsia="zh-CN"/>
        </w:rPr>
        <w:t xml:space="preserve">其他有关资格证明的文件（若有）。</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3.2.5符合性审查投标文件：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3.2.5.1投标函（格式见第三章）；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3.2.5.2</w:t>
      </w:r>
      <w:r>
        <w:rPr>
          <w:rFonts w:hint="eastAsia" w:ascii="宋体" w:hAnsi="宋体" w:eastAsia="宋体" w:cs="宋体"/>
          <w:color w:val="auto"/>
          <w:sz w:val="24"/>
          <w:szCs w:val="24"/>
          <w:highlight w:val="none"/>
        </w:rPr>
        <w:t xml:space="preserve">关于资格文件的声明函</w:t>
      </w:r>
      <w:r>
        <w:rPr>
          <w:rFonts w:hint="eastAsia" w:ascii="宋体" w:hAnsi="宋体" w:eastAsia="宋体" w:cs="宋体"/>
          <w:color w:val="auto"/>
          <w:sz w:val="24"/>
          <w:szCs w:val="24"/>
          <w:highlight w:val="none"/>
          <w:lang w:val="en-US" w:eastAsia="zh-CN"/>
        </w:rPr>
        <w:t xml:space="preserve">（格式见第三章）；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3.2.5.3法定代表人身份证复印件；</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3.2.5.4法定代表人授权委托书及授权委托人身份证复印件（如有授权，格式见第三章）；</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3.2.5.5未被“信用中国”、“信用江苏”及“中国政府采购网”列入失信被执行人、重大税收违法案件当事人名单、政府采购严重失信行为记录名单的查询记录页面截图；</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3.2.5.6对属于《节能产品政府采购品目清单》政府强制采购产品的，须提供该产品有效期内的认证等相关证明材料（若有）；</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3.2.5.7其他有关符合性证明的文件（若有）。</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3.2.6综合评审投标文件（见</w:t>
      </w:r>
      <w:r>
        <w:rPr>
          <w:rFonts w:hint="eastAsia" w:ascii="宋体" w:hAnsi="宋体" w:eastAsia="宋体" w:cs="宋体"/>
          <w:b/>
          <w:bCs/>
          <w:color w:val="auto"/>
          <w:sz w:val="24"/>
          <w:szCs w:val="24"/>
          <w:highlight w:val="none"/>
        </w:rPr>
        <w:t xml:space="preserve">第六章</w:t>
      </w:r>
      <w:r>
        <w:rPr>
          <w:rFonts w:hint="eastAsia" w:ascii="宋体" w:hAnsi="宋体" w:eastAsia="宋体" w:cs="宋体"/>
          <w:b/>
          <w:bCs/>
          <w:color w:val="auto"/>
          <w:sz w:val="24"/>
          <w:szCs w:val="24"/>
          <w:highlight w:val="none"/>
          <w:lang w:val="en-US"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3.2.7与本次采购相关的其他证明材料。</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以上3.2.2-3.2.3项为供应商报价的依据，投标供应商必须提供并加盖电子公章，</w:t>
      </w:r>
      <w:r>
        <w:rPr>
          <w:rFonts w:hint="eastAsia" w:ascii="宋体" w:hAnsi="宋体" w:eastAsia="宋体" w:cs="宋体"/>
          <w:b/>
          <w:bCs/>
          <w:color w:val="auto"/>
          <w:sz w:val="24"/>
          <w:szCs w:val="24"/>
          <w:highlight w:val="none"/>
          <w:lang w:val="en-US" w:eastAsia="zh-CN" w:bidi="ar-SA"/>
        </w:rPr>
        <w:t xml:space="preserve">否则，</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en-US" w:eastAsia="zh-CN" w:bidi="ar-SA"/>
        </w:rPr>
        <w:t xml:space="preserve">文件将被认定为未实质性响应。</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以上3.2.4.1项为资格审查提供的资料，是作为对供应商资格审查、质疑身份认定的依据，响应供应商必须提供并加盖电子公章，否则，投标文件将被认定为不符合资格审查要求。</w:t>
      </w:r>
      <w:r/>
    </w:p>
    <w:p>
      <w:pPr>
        <w:ind w:firstLine="482"/>
        <w:spacing w:line="360" w:lineRule="auto"/>
        <w:shd w:val="clear" w:color="auto"/>
        <w:tabs>
          <w:tab w:val="left" w:pos="0" w:leader="none"/>
          <w:tab w:val="left" w:pos="600" w:leader="none"/>
        </w:tabs>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以上3.2.5.1-3.2.5.4为符合性审查必须提供的资料，</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en-US" w:eastAsia="zh-CN" w:bidi="ar-SA"/>
        </w:rPr>
        <w:t xml:space="preserve">供应商必须提供并加盖</w:t>
      </w:r>
      <w:r>
        <w:rPr>
          <w:rFonts w:hint="eastAsia" w:ascii="宋体" w:hAnsi="宋体" w:eastAsia="宋体" w:cs="宋体"/>
          <w:b/>
          <w:bCs/>
          <w:color w:val="auto"/>
          <w:sz w:val="24"/>
          <w:szCs w:val="24"/>
          <w:highlight w:val="none"/>
          <w:lang w:val="en-US" w:eastAsia="zh-CN"/>
        </w:rPr>
        <w:t xml:space="preserve">电子公章</w:t>
      </w:r>
      <w:r>
        <w:rPr>
          <w:rFonts w:hint="eastAsia" w:ascii="宋体" w:hAnsi="宋体" w:eastAsia="宋体" w:cs="宋体"/>
          <w:b/>
          <w:bCs/>
          <w:color w:val="auto"/>
          <w:sz w:val="24"/>
          <w:szCs w:val="24"/>
          <w:highlight w:val="none"/>
          <w:lang w:val="en-US" w:eastAsia="zh-CN" w:bidi="ar-SA"/>
        </w:rPr>
        <w:t xml:space="preserve">，否则，</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en-US" w:eastAsia="zh-CN" w:bidi="ar-SA"/>
        </w:rPr>
        <w:t xml:space="preserve">将被认定为未实质性响应。</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制作电子投标文件时需与投标文件制作软件目录一一对应，将相关资料上传至相应模块。</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供应商应保证上传的</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lang w:val="en-US" w:eastAsia="zh-CN"/>
        </w:rPr>
        <w:t xml:space="preserve">文件完整、清晰可辨认，若因上传资料过小或模糊不清等无法辨认的都视为该资料未提供。</w:t>
      </w:r>
      <w:r/>
    </w:p>
    <w:p>
      <w:pPr>
        <w:ind w:firstLine="472"/>
        <w:spacing w:line="360" w:lineRule="auto"/>
        <w:tabs>
          <w:tab w:val="left" w:pos="540" w:leader="none"/>
          <w:tab w:val="left" w:pos="851"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如供应商</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rPr>
        <w:t xml:space="preserve">文件中某些条款不响应</w:t>
      </w:r>
      <w:r>
        <w:rPr>
          <w:rFonts w:hint="eastAsia" w:ascii="宋体" w:hAnsi="宋体" w:eastAsia="宋体" w:cs="宋体"/>
          <w:b/>
          <w:bCs/>
          <w:color w:val="auto"/>
          <w:sz w:val="24"/>
          <w:szCs w:val="24"/>
          <w:highlight w:val="none"/>
          <w:lang w:eastAsia="zh-CN"/>
        </w:rPr>
        <w:t xml:space="preserve">招标文件</w:t>
      </w:r>
      <w:r>
        <w:rPr>
          <w:rFonts w:hint="eastAsia" w:ascii="宋体" w:hAnsi="宋体" w:eastAsia="宋体" w:cs="宋体"/>
          <w:b/>
          <w:bCs/>
          <w:color w:val="auto"/>
          <w:sz w:val="24"/>
          <w:szCs w:val="24"/>
          <w:highlight w:val="none"/>
        </w:rPr>
        <w:t xml:space="preserve">提出的全部服务内容与要求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须在</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bCs/>
          <w:color w:val="auto"/>
          <w:sz w:val="24"/>
          <w:szCs w:val="24"/>
          <w:highlight w:val="none"/>
        </w:rPr>
        <w:t xml:space="preserve">文件中逐条列出</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未列出的视同响应。</w:t>
      </w:r>
      <w:r/>
    </w:p>
    <w:p>
      <w:pPr>
        <w:ind w:firstLine="482"/>
        <w:spacing w:line="360" w:lineRule="auto"/>
        <w:tabs>
          <w:tab w:val="left" w:pos="142" w:leader="none"/>
          <w:tab w:val="left" w:pos="600" w:leader="none"/>
        </w:tabs>
        <w:rPr>
          <w:rFonts w:hint="eastAsia" w:ascii="宋体" w:hAnsi="宋体" w:eastAsia="宋体" w:cs="宋体"/>
          <w:color w:val="auto"/>
          <w:highlight w:val="none"/>
        </w:rPr>
      </w:pPr>
      <w:r>
        <w:rPr>
          <w:rFonts w:hint="eastAsia" w:ascii="宋体" w:hAnsi="宋体" w:eastAsia="宋体" w:cs="宋体"/>
          <w:b/>
          <w:color w:val="auto"/>
          <w:sz w:val="24"/>
          <w:szCs w:val="24"/>
          <w:highlight w:val="none"/>
          <w:lang w:val="en-US" w:eastAsia="zh-CN"/>
        </w:rPr>
        <w:t xml:space="preserve">如不同供应商使用同一台电脑制作的电子</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color w:val="auto"/>
          <w:sz w:val="24"/>
          <w:szCs w:val="24"/>
          <w:highlight w:val="none"/>
          <w:lang w:val="en-US" w:eastAsia="zh-CN"/>
        </w:rPr>
        <w:t xml:space="preserve">文件的，双方“文件制作机器码”一致的，则其</w:t>
      </w:r>
      <w:r>
        <w:rPr>
          <w:rFonts w:hint="eastAsia" w:ascii="宋体" w:hAnsi="宋体" w:eastAsia="宋体" w:cs="宋体"/>
          <w:b/>
          <w:bCs/>
          <w:color w:val="auto"/>
          <w:sz w:val="24"/>
          <w:szCs w:val="24"/>
          <w:highlight w:val="none"/>
          <w:lang w:val="en-US" w:eastAsia="zh-CN" w:bidi="ar-SA"/>
        </w:rPr>
        <w:t xml:space="preserve">投标</w:t>
      </w:r>
      <w:r>
        <w:rPr>
          <w:rFonts w:hint="eastAsia" w:ascii="宋体" w:hAnsi="宋体" w:eastAsia="宋体" w:cs="宋体"/>
          <w:b/>
          <w:color w:val="auto"/>
          <w:sz w:val="24"/>
          <w:szCs w:val="24"/>
          <w:highlight w:val="none"/>
          <w:lang w:val="en-US" w:eastAsia="zh-CN"/>
        </w:rPr>
        <w:t xml:space="preserve">文件将被认定为无效响应。</w:t>
      </w:r>
      <w:r/>
    </w:p>
    <w:p>
      <w:pPr>
        <w:ind w:left="525"/>
        <w:spacing w:line="360" w:lineRule="auto"/>
        <w:tabs>
          <w:tab w:val="left" w:pos="142" w:leader="none"/>
          <w:tab w:val="left" w:pos="600"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3.3</w:t>
      </w:r>
      <w:r>
        <w:rPr>
          <w:rFonts w:hint="eastAsia" w:ascii="宋体" w:hAnsi="宋体" w:eastAsia="宋体" w:cs="宋体"/>
          <w:b/>
          <w:color w:val="auto"/>
          <w:sz w:val="24"/>
          <w:szCs w:val="24"/>
          <w:highlight w:val="none"/>
          <w:lang w:val="en-US" w:eastAsia="zh-CN"/>
        </w:rPr>
        <w:t xml:space="preserve">投标报价</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投标报价应包括完成本招标项目全部内容的一切费用，除非合同条款中另有规定，投标人所报价格在合同实施期间不因市场变化因素而变动</w:t>
      </w:r>
      <w:r>
        <w:rPr>
          <w:rFonts w:hint="eastAsia" w:ascii="宋体" w:hAnsi="宋体" w:eastAsia="宋体" w:cs="宋体"/>
          <w:color w:val="auto"/>
          <w:sz w:val="24"/>
          <w:szCs w:val="24"/>
          <w:highlight w:val="none"/>
          <w:lang w:val="en-US"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3.3.2</w:t>
      </w:r>
      <w:r>
        <w:rPr>
          <w:rFonts w:hint="eastAsia" w:ascii="宋体" w:hAnsi="宋体" w:eastAsia="宋体" w:cs="宋体"/>
          <w:color w:val="auto"/>
          <w:sz w:val="24"/>
          <w:szCs w:val="24"/>
          <w:highlight w:val="none"/>
        </w:rPr>
        <w:t xml:space="preserve">如果招标文件要求分标段投标的，则投标人可以根据自身经营许可范围，选择投标其中部分或者全部标段，但各标段应分别计算填写单价和总价</w:t>
      </w:r>
      <w:r>
        <w:rPr>
          <w:rFonts w:hint="eastAsia" w:ascii="宋体" w:hAnsi="宋体" w:eastAsia="宋体" w:cs="宋体"/>
          <w:color w:val="auto"/>
          <w:sz w:val="24"/>
          <w:szCs w:val="24"/>
          <w:highlight w:val="none"/>
          <w:lang w:val="en-US"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3.3.3</w:t>
      </w:r>
      <w:r>
        <w:rPr>
          <w:rFonts w:hint="eastAsia" w:ascii="宋体" w:hAnsi="宋体" w:eastAsia="宋体" w:cs="宋体"/>
          <w:color w:val="auto"/>
          <w:sz w:val="24"/>
          <w:szCs w:val="24"/>
          <w:highlight w:val="none"/>
        </w:rPr>
        <w:t xml:space="preserve">投标人应对招标文件内所要采购的全部内容进行报价，只对其中部分内容报价的，投标无效</w:t>
      </w:r>
      <w:r>
        <w:rPr>
          <w:rFonts w:hint="eastAsia" w:ascii="宋体" w:hAnsi="宋体" w:eastAsia="宋体" w:cs="宋体"/>
          <w:color w:val="auto"/>
          <w:sz w:val="24"/>
          <w:szCs w:val="24"/>
          <w:highlight w:val="none"/>
          <w:lang w:val="en-US"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3.3.4</w:t>
      </w:r>
      <w:r>
        <w:rPr>
          <w:rFonts w:hint="eastAsia" w:ascii="宋体" w:hAnsi="宋体" w:eastAsia="宋体" w:cs="宋体"/>
          <w:color w:val="auto"/>
          <w:sz w:val="24"/>
          <w:szCs w:val="24"/>
          <w:highlight w:val="none"/>
        </w:rPr>
        <w:t xml:space="preserve">投标报价超过招标文件中规定的预算金额或者最高限价的，或者各标的物的单价超过该项预算单价的（针对招标文件标明预算单价的项目），其投标无效</w:t>
      </w:r>
      <w:r>
        <w:rPr>
          <w:rFonts w:hint="eastAsia" w:ascii="宋体" w:hAnsi="宋体" w:eastAsia="宋体" w:cs="宋体"/>
          <w:color w:val="auto"/>
          <w:sz w:val="24"/>
          <w:szCs w:val="24"/>
          <w:highlight w:val="none"/>
          <w:lang w:val="en-US"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一项投标内容只允许一个报价，任何有选择性投标报价的，其投标无效。</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3.3.6</w:t>
      </w:r>
      <w:r>
        <w:rPr>
          <w:rFonts w:hint="eastAsia" w:ascii="宋体" w:hAnsi="宋体" w:eastAsia="宋体" w:cs="宋体"/>
          <w:color w:val="auto"/>
          <w:sz w:val="24"/>
          <w:szCs w:val="24"/>
          <w:highlight w:val="none"/>
        </w:rPr>
        <w:t xml:space="preserve">投标文件报价中的单价和总价全部采用人民币表示，除非另有规定</w:t>
      </w:r>
      <w:r>
        <w:rPr>
          <w:rFonts w:hint="eastAsia" w:ascii="宋体" w:hAnsi="宋体" w:eastAsia="宋体" w:cs="宋体"/>
          <w:b w:val="0"/>
          <w:bCs w:val="0"/>
          <w:color w:val="auto"/>
          <w:sz w:val="24"/>
          <w:szCs w:val="24"/>
          <w:highlight w:val="none"/>
          <w:lang w:val="en-US" w:eastAsia="zh-CN"/>
        </w:rPr>
        <w:t xml:space="preserve">。</w:t>
      </w:r>
      <w:r/>
    </w:p>
    <w:p>
      <w:pPr>
        <w:ind w:left="525"/>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3.4电子投标文件的编制与提交</w:t>
      </w:r>
      <w:r/>
    </w:p>
    <w:p>
      <w:pPr>
        <w:pStyle w:val="1007"/>
        <w:numPr>
          <w:ilvl w:val="0"/>
          <w:numId w:val="2"/>
        </w:numPr>
        <w:spacing w:line="360" w:lineRule="auto"/>
        <w:tabs>
          <w:tab w:val="left" w:pos="142" w:leader="none"/>
          <w:tab w:val="left" w:pos="600"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007"/>
        <w:numPr>
          <w:ilvl w:val="0"/>
          <w:numId w:val="2"/>
        </w:numPr>
        <w:spacing w:line="360" w:lineRule="auto"/>
        <w:tabs>
          <w:tab w:val="left" w:pos="142" w:leader="none"/>
          <w:tab w:val="left" w:pos="600"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007"/>
        <w:numPr>
          <w:ilvl w:val="0"/>
          <w:numId w:val="2"/>
        </w:numPr>
        <w:spacing w:line="360" w:lineRule="auto"/>
        <w:tabs>
          <w:tab w:val="left" w:pos="142" w:leader="none"/>
          <w:tab w:val="left" w:pos="600"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007"/>
        <w:numPr>
          <w:ilvl w:val="1"/>
          <w:numId w:val="2"/>
        </w:numPr>
        <w:spacing w:line="360" w:lineRule="auto"/>
        <w:tabs>
          <w:tab w:val="left" w:pos="142" w:leader="none"/>
          <w:tab w:val="left" w:pos="600"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007"/>
        <w:numPr>
          <w:ilvl w:val="1"/>
          <w:numId w:val="2"/>
        </w:numPr>
        <w:spacing w:line="360" w:lineRule="auto"/>
        <w:tabs>
          <w:tab w:val="left" w:pos="142" w:leader="none"/>
          <w:tab w:val="left" w:pos="600"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007"/>
        <w:numPr>
          <w:ilvl w:val="1"/>
          <w:numId w:val="2"/>
        </w:numPr>
        <w:spacing w:line="360" w:lineRule="auto"/>
        <w:tabs>
          <w:tab w:val="left" w:pos="142" w:leader="none"/>
          <w:tab w:val="left" w:pos="600"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007"/>
        <w:numPr>
          <w:ilvl w:val="1"/>
          <w:numId w:val="2"/>
        </w:numPr>
        <w:spacing w:line="360" w:lineRule="auto"/>
        <w:tabs>
          <w:tab w:val="left" w:pos="142" w:leader="none"/>
          <w:tab w:val="left" w:pos="600"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bookmarkStart w:id="2" w:name="_Hlk154589874"/>
      <w:r>
        <w:rPr>
          <w:rFonts w:hint="eastAsia" w:ascii="宋体" w:hAnsi="宋体" w:eastAsia="宋体" w:cs="宋体"/>
          <w:color w:val="auto"/>
          <w:sz w:val="24"/>
          <w:szCs w:val="24"/>
          <w:highlight w:val="none"/>
          <w:lang w:val="en-US" w:eastAsia="zh-CN"/>
        </w:rPr>
        <w:t xml:space="preserve">3.4.1投标文件编制要求：本项目为网上招投标项目，请供应商插入CA 证书登陆“苏采云”系统下载客户端（参与项目页面可下载客户端及客户端使用说明），在客户端编制电子投标文件并进行CA加密。操作步骤详见“苏采云”系统页面提示和《操作手册》。</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本项目在政府采购信息发布媒体上发布了更正（补充）公告，请供应商务必在“苏采云”系统中下载更正（补充）资料，根据更正后的招标文件重新编制电子响应文件并递交，否则可能无法解密，因此导致的响应失败等不利后果由供应商自行承担。</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3.4.3投标文件未按照招标文件要求加盖CA电子公章的，响应无效。</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3.5投标文件的开启（解密）</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3.5.1线上参加（观看）开标（开启）会方式：登录苏采云系统，点击“开标大厅”，选择对应项目。</w:t>
      </w:r>
      <w:r/>
    </w:p>
    <w:p>
      <w:pPr>
        <w:ind w:left="5" w:firstLine="518"/>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eastAsia="宋体" w:cs="宋体"/>
          <w:b/>
          <w:bCs/>
          <w:color w:val="auto"/>
          <w:sz w:val="24"/>
          <w:szCs w:val="24"/>
          <w:highlight w:val="none"/>
          <w:lang w:val="en-US" w:eastAsia="zh-CN"/>
        </w:rPr>
        <w:t xml:space="preserve">否则导致的对供应商不利的后果由供应商自行承担。</w:t>
      </w:r>
      <w:r/>
    </w:p>
    <w:p>
      <w:pPr>
        <w:ind w:left="5" w:firstLine="520"/>
        <w:spacing w:line="360" w:lineRule="auto"/>
        <w:tabs>
          <w:tab w:val="left" w:pos="851"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3.5.3供应商在苏采云系统规定的时间内未成功解密电子投标文件的，投标无效。</w:t>
      </w:r>
      <w:r/>
    </w:p>
    <w:p>
      <w:pPr>
        <w:ind w:left="5" w:firstLine="520"/>
        <w:spacing w:line="360" w:lineRule="auto"/>
        <w:tabs>
          <w:tab w:val="left" w:pos="851"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供应商在制作、上传、解密电子标书过程中若遇到问题，请及时联系CA技术人员或“苏采云”系统客服热线，否则由此产生的后果由供应商自行负责。</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3.5.4</w:t>
      </w:r>
      <w:bookmarkEnd w:id="2"/>
      <w:r>
        <w:rPr>
          <w:rFonts w:hint="eastAsia" w:ascii="宋体" w:hAnsi="宋体" w:eastAsia="宋体" w:cs="宋体"/>
          <w:color w:val="auto"/>
          <w:sz w:val="24"/>
          <w:szCs w:val="24"/>
          <w:highlight w:val="none"/>
          <w:lang w:val="en-US" w:eastAsia="zh-CN"/>
        </w:rPr>
        <w:t xml:space="preserve">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3.5.5 </w:t>
      </w:r>
      <w:r>
        <w:rPr>
          <w:rFonts w:hint="eastAsia" w:ascii="宋体" w:hAnsi="宋体" w:eastAsia="宋体" w:cs="宋体"/>
          <w:color w:val="auto"/>
          <w:sz w:val="24"/>
          <w:szCs w:val="24"/>
          <w:highlight w:val="none"/>
        </w:rPr>
        <w:t xml:space="preserve">CA技术咨询服务电话：400-608-6099</w:t>
      </w:r>
      <w:r>
        <w:rPr>
          <w:rFonts w:hint="eastAsia" w:ascii="宋体" w:hAnsi="宋体" w:eastAsia="宋体" w:cs="宋体"/>
          <w:color w:val="auto"/>
          <w:sz w:val="24"/>
          <w:szCs w:val="24"/>
          <w:highlight w:val="none"/>
          <w:lang w:eastAsia="zh-CN"/>
        </w:rPr>
        <w:t xml:space="preserve">；</w:t>
      </w:r>
      <w:r/>
    </w:p>
    <w:p>
      <w:pPr>
        <w:ind w:left="5" w:firstLine="518"/>
        <w:spacing w:line="360" w:lineRule="auto"/>
        <w:tabs>
          <w:tab w:val="left" w:pos="85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电子签章技术咨询服务电话：025-83633811、025-83633812、15380932027、15371015030；</w:t>
      </w:r>
      <w:r/>
    </w:p>
    <w:p>
      <w:pPr>
        <w:ind w:left="5" w:firstLine="518"/>
        <w:spacing w:line="360" w:lineRule="auto"/>
        <w:tabs>
          <w:tab w:val="left" w:pos="85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苏州市及区县“苏采云”系统</w:t>
      </w:r>
      <w:r>
        <w:rPr>
          <w:rFonts w:hint="eastAsia" w:ascii="宋体" w:hAnsi="宋体" w:eastAsia="宋体" w:cs="宋体"/>
          <w:color w:val="auto"/>
          <w:sz w:val="24"/>
          <w:szCs w:val="24"/>
          <w:highlight w:val="none"/>
        </w:rPr>
        <w:t xml:space="preserve">使用指导与咨询：联系电话：0512-69820854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18261002950；QQ：3048755361、1315179389、895706745</w:t>
      </w:r>
      <w:r>
        <w:rPr>
          <w:rFonts w:hint="eastAsia" w:ascii="宋体" w:hAnsi="宋体" w:eastAsia="宋体" w:cs="宋体"/>
          <w:color w:val="auto"/>
          <w:sz w:val="24"/>
          <w:szCs w:val="24"/>
          <w:highlight w:val="none"/>
        </w:rPr>
        <w:t xml:space="preserve">；智能客服：登录苏采云系统后，联系系统右下方智能客服图标进行咨询。 </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响应文件的修改和撤回</w:t>
      </w:r>
      <w:r>
        <w:rPr>
          <w:rFonts w:hint="eastAsia" w:ascii="宋体" w:hAnsi="宋体" w:eastAsia="宋体" w:cs="宋体"/>
          <w:b/>
          <w:color w:val="auto"/>
          <w:sz w:val="24"/>
          <w:szCs w:val="24"/>
          <w:highlight w:val="none"/>
          <w:lang w:eastAsia="zh-CN"/>
        </w:rPr>
        <w:t xml:space="preserve">：</w:t>
      </w:r>
      <w:r/>
    </w:p>
    <w:p>
      <w:pPr>
        <w:pStyle w:val="100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.1供应商在提交投标文件截止时间前，可以对所递交的投标文件进行补充、修改或者撤回，具体操作方法见《操作手册》。提交投标文件截止时间后供应商不得撤回投标文件。</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4、开标和评标</w:t>
      </w:r>
      <w:r>
        <w:rPr>
          <w:rFonts w:hint="eastAsia" w:ascii="宋体" w:hAnsi="宋体" w:eastAsia="宋体" w:cs="宋体"/>
          <w:b/>
          <w:color w:val="auto"/>
          <w:sz w:val="24"/>
          <w:szCs w:val="24"/>
          <w:highlight w:val="none"/>
          <w:lang w:eastAsia="zh-CN"/>
        </w:rPr>
        <w:t xml:space="preserve">：</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4.1开标</w:t>
      </w:r>
      <w:r/>
    </w:p>
    <w:p>
      <w:pPr>
        <w:pStyle w:val="996"/>
        <w:ind w:left="0" w:firstLine="420"/>
        <w:spacing w:line="360" w:lineRule="auto"/>
        <w:rPr>
          <w:rFonts w:ascii="宋体" w:hAnsi="宋体" w:cs="宋体"/>
          <w:color w:val="auto"/>
          <w:sz w:val="21"/>
          <w:szCs w:val="21"/>
          <w:highlight w:val="none"/>
        </w:rPr>
      </w:pP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4.1.</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zh-CN" w:eastAsia="zh-CN" w:bidi="ar-SA"/>
        </w:rPr>
        <w:t xml:space="preserve">开标时，由采购代理机构</w:t>
      </w:r>
      <w:r>
        <w:rPr>
          <w:rFonts w:hint="eastAsia" w:ascii="宋体" w:hAnsi="宋体" w:eastAsia="宋体" w:cs="宋体"/>
          <w:color w:val="auto"/>
          <w:sz w:val="24"/>
          <w:szCs w:val="24"/>
          <w:highlight w:val="none"/>
          <w:lang w:val="en-US" w:eastAsia="zh-CN" w:bidi="ar-SA"/>
        </w:rPr>
        <w:t xml:space="preserve">通过“苏采云”系统在线</w:t>
      </w:r>
      <w:r>
        <w:rPr>
          <w:rFonts w:hint="eastAsia" w:ascii="宋体" w:hAnsi="宋体" w:eastAsia="宋体" w:cs="宋体"/>
          <w:color w:val="auto"/>
          <w:sz w:val="24"/>
          <w:szCs w:val="24"/>
          <w:highlight w:val="none"/>
          <w:lang w:val="zh-CN" w:eastAsia="zh-CN" w:bidi="ar-SA"/>
        </w:rPr>
        <w:t xml:space="preserve">宣布投标人名称、投标价格和招标文件规定的需要宣布的其他内容。</w:t>
      </w:r>
      <w:r>
        <w:rPr>
          <w:rFonts w:hint="eastAsia" w:ascii="宋体" w:hAnsi="宋体" w:eastAsia="宋体" w:cs="宋体"/>
          <w:color w:val="auto"/>
          <w:sz w:val="24"/>
          <w:szCs w:val="24"/>
          <w:highlight w:val="none"/>
          <w:lang w:val="en-US" w:eastAsia="zh-CN" w:bidi="ar-SA"/>
        </w:rPr>
        <w:t xml:space="preserve">投标人在不见面开标系统中确认投标价格，如</w:t>
      </w:r>
      <w:r>
        <w:rPr>
          <w:rFonts w:hint="eastAsia" w:ascii="宋体" w:hAnsi="宋体" w:eastAsia="宋体" w:cs="宋体"/>
          <w:color w:val="auto"/>
          <w:sz w:val="24"/>
          <w:szCs w:val="24"/>
          <w:highlight w:val="none"/>
          <w:lang w:val="zh-CN" w:eastAsia="zh-CN" w:bidi="ar-SA"/>
        </w:rPr>
        <w:t xml:space="preserve">投标人未</w:t>
      </w:r>
      <w:r>
        <w:rPr>
          <w:rFonts w:hint="eastAsia" w:ascii="宋体" w:hAnsi="宋体" w:eastAsia="宋体" w:cs="宋体"/>
          <w:color w:val="auto"/>
          <w:sz w:val="24"/>
          <w:szCs w:val="24"/>
          <w:highlight w:val="none"/>
          <w:lang w:val="en-US" w:eastAsia="zh-CN" w:bidi="ar-SA"/>
        </w:rPr>
        <w:t xml:space="preserve">在线</w:t>
      </w:r>
      <w:r>
        <w:rPr>
          <w:rFonts w:hint="eastAsia" w:ascii="宋体" w:hAnsi="宋体" w:eastAsia="宋体" w:cs="宋体"/>
          <w:color w:val="auto"/>
          <w:sz w:val="24"/>
          <w:szCs w:val="24"/>
          <w:highlight w:val="none"/>
          <w:lang w:val="zh-CN" w:eastAsia="zh-CN" w:bidi="ar-SA"/>
        </w:rPr>
        <w:t xml:space="preserve">参加开标</w:t>
      </w:r>
      <w:r>
        <w:rPr>
          <w:rFonts w:hint="eastAsia" w:ascii="宋体" w:hAnsi="宋体" w:eastAsia="宋体" w:cs="宋体"/>
          <w:color w:val="auto"/>
          <w:sz w:val="24"/>
          <w:szCs w:val="24"/>
          <w:highlight w:val="none"/>
          <w:lang w:val="en-US" w:eastAsia="zh-CN" w:bidi="ar-SA"/>
        </w:rPr>
        <w:t xml:space="preserve">或未在规定时间内确认价格</w:t>
      </w:r>
      <w:r>
        <w:rPr>
          <w:rFonts w:hint="eastAsia" w:ascii="宋体" w:hAnsi="宋体" w:eastAsia="宋体" w:cs="宋体"/>
          <w:color w:val="auto"/>
          <w:sz w:val="24"/>
          <w:szCs w:val="24"/>
          <w:highlight w:val="none"/>
          <w:lang w:val="zh-CN" w:eastAsia="zh-CN" w:bidi="ar-SA"/>
        </w:rPr>
        <w:t xml:space="preserve">的，视同认可开标结果。</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4.2</w:t>
      </w:r>
      <w:r>
        <w:rPr>
          <w:rFonts w:hint="eastAsia" w:ascii="宋体" w:hAnsi="宋体" w:eastAsia="宋体" w:cs="宋体"/>
          <w:b/>
          <w:color w:val="auto"/>
          <w:sz w:val="24"/>
          <w:szCs w:val="24"/>
          <w:highlight w:val="none"/>
        </w:rPr>
        <w:t xml:space="preserve">资格审查</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4.2.1</w:t>
      </w:r>
      <w:r>
        <w:rPr>
          <w:rFonts w:hint="eastAsia" w:ascii="宋体" w:hAnsi="宋体" w:eastAsia="宋体" w:cs="宋体"/>
          <w:color w:val="auto"/>
          <w:sz w:val="24"/>
          <w:szCs w:val="24"/>
          <w:highlight w:val="none"/>
        </w:rPr>
        <w:t xml:space="preserve">公开招标采购项目开标结束后，采购人应当依法对投标人的资格进行审查，未通过资格审查的视为无效投标。</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4.2.2根据政府采购法及相关法规，以及苏州市财政局《关于印发苏州市市级政府采购信用记录查询和使用工作试行办法的通知》（苏财购（2017）11号）文件的规定，采购代理机构将对供应商进行信用查询。</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4.2.2.1查询时间：投标文件提交截止时间。</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4.2.2.2查询渠道：通过“信用中国”、“信用江苏”及“中国政府采购网” 上的信用信息查询供应商的信用记录。 </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4.2.2.3查询证据留存方式：对存在失信信息的供应商，评审小组应填写《苏州市级政府采购供应商失信信息确认函》，由失信供应商应签名确认。</w:t>
      </w:r>
      <w:r>
        <w:rPr>
          <w:rFonts w:hint="eastAsia" w:ascii="宋体" w:hAnsi="宋体" w:eastAsia="宋体" w:cs="宋体"/>
          <w:color w:val="auto"/>
          <w:sz w:val="24"/>
          <w:szCs w:val="24"/>
          <w:highlight w:val="none"/>
          <w:lang w:val="zh-CN" w:eastAsia="zh-CN"/>
        </w:rPr>
        <w:t xml:space="preserve">采购代理机构工作人员应登陆到来源网站页面进行复核并打印，</w:t>
      </w:r>
      <w:r>
        <w:rPr>
          <w:rFonts w:hint="eastAsia" w:ascii="宋体" w:hAnsi="宋体" w:eastAsia="宋体" w:cs="宋体"/>
          <w:color w:val="auto"/>
          <w:sz w:val="24"/>
          <w:szCs w:val="24"/>
          <w:highlight w:val="none"/>
          <w:lang w:val="en-US" w:eastAsia="zh-CN"/>
        </w:rPr>
        <w:t xml:space="preserve">作为证据留存。</w:t>
      </w:r>
      <w:r/>
    </w:p>
    <w:p>
      <w:pPr>
        <w:numPr>
          <w:ilvl w:val="0"/>
          <w:numId w:val="0"/>
        </w:numPr>
        <w:ind w:firstLine="480"/>
        <w:spacing w:line="360" w:lineRule="auto"/>
        <w:shd w:val="clear" w:color="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eastAsia="宋体" w:cs="宋体"/>
          <w:b/>
          <w:bCs/>
          <w:color w:val="auto"/>
          <w:sz w:val="24"/>
          <w:szCs w:val="24"/>
          <w:highlight w:val="none"/>
          <w:lang w:val="en-US" w:eastAsia="zh-CN"/>
        </w:rPr>
        <w:t xml:space="preserve">信用记录属于应依法拒绝供应商参加政府采购的失信信息，存在此类失信信息的投标人的投标无效。</w:t>
      </w:r>
      <w:r/>
    </w:p>
    <w:p>
      <w:pPr>
        <w:ind w:firstLine="482"/>
        <w:spacing w:line="360" w:lineRule="auto"/>
        <w:tabs>
          <w:tab w:val="left" w:pos="142" w:leader="none"/>
          <w:tab w:val="left" w:pos="6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4.3评标委员会</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4.3.1采购人或采购代理机构负责组织评标工作，评标委员会由采购人代表和评审专家组成，负责具体评标事务，并独立履行职责。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4.3.2评审专家与参加采购活动的供应商存在下列利害关系之一的，应当回避：</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参加采购活动前三年内，与供应商存在劳动关系，或者担任过供应商的董事、监事，或者是供应商的控股股东或实际控制人；</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与供应商的法定代表人或者负责人有夫妻、直系血亲、三代以内旁系血亲或者近姻亲关系；</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与供应商有其他可能影响政府采购活动公平、公正进行的关系。</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评审专家发现本人与参加采购活动的供应商有利害关系的，应当主动提出回避。采购人或者采购代理机构发现评审专家与参加采购活动的供应商有利害关系的，应当要求其回避。</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4.3.4评标委员会成员应当按照客观、公正、审慎的原则，根据</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规定的评审程序、评审方法和评审标准进行独立评审。</w:t>
      </w:r>
      <w:r/>
    </w:p>
    <w:p>
      <w:pPr>
        <w:ind w:firstLine="482"/>
        <w:spacing w:line="360" w:lineRule="auto"/>
        <w:tabs>
          <w:tab w:val="left" w:pos="142" w:leader="none"/>
          <w:tab w:val="left" w:pos="6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4.4评标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4.4.1符合性审查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评标委员会应当对符合资格的投标人的投标文件进行符合性审查，以确定其是否满足招标文件的实质性要求。未满足本项目实质性要求的认定为无效投标。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4.4.2投标文件的比较和评价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4.4.2.1评标委员会应当按照招标文件中规定的评标方法和标准，对符合性审查合格的投标文件进行商务和技术评估，综合比较与评价。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4.4.2.2本项目采用综合评分法，即指投标文件满足招标文件全部实质性要求，且按照评审因素的量化指标评审得分最高的投标人为中标候选人的评标方法。评标</w:t>
      </w:r>
      <w:r>
        <w:rPr>
          <w:rFonts w:hint="eastAsia" w:ascii="宋体" w:hAnsi="宋体" w:eastAsia="宋体" w:cs="宋体"/>
          <w:color w:val="auto"/>
          <w:sz w:val="24"/>
          <w:szCs w:val="24"/>
          <w:highlight w:val="none"/>
          <w:lang w:val="en-US" w:eastAsia="zh-CN"/>
        </w:rPr>
        <w:t xml:space="preserve">方法</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val="en-US" w:eastAsia="zh-CN"/>
        </w:rPr>
        <w:t xml:space="preserve">评分</w:t>
      </w:r>
      <w:r>
        <w:rPr>
          <w:rFonts w:hint="eastAsia" w:ascii="宋体" w:hAnsi="宋体" w:eastAsia="宋体" w:cs="宋体"/>
          <w:color w:val="auto"/>
          <w:sz w:val="24"/>
          <w:szCs w:val="24"/>
          <w:highlight w:val="none"/>
        </w:rPr>
        <w:t xml:space="preserve">标准见第六章。</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4.4.2.3价格修正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投标文件报价出现前后不一致的，除招标文件另有规定外，按下列规定修正：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修正后的报价按照《中华人民共和国财政部令第87号》第五十一条第二款的规定经投标人确认后产生约束力，投标人不确认的，其投标无效。</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将其作为无效投标处理。</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4.4.2.5评标委员会成员对需要共同认定的事项存在争议的，应当按照少数服从多数的原则作出结论。持不同意见的评标委员会成员应当在评标报告上签署不同意见及理由，否则视为同意评标报告。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4.4.3投标的澄清</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w:t>
      </w: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rPr>
        <w:t xml:space="preserve">本项目采用线上澄清。</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w:t>
      </w: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线上澄清答复的方式：需要供应商进行澄清、说明和更正的，</w:t>
      </w:r>
      <w:r>
        <w:rPr>
          <w:rFonts w:hint="eastAsia" w:ascii="宋体" w:hAnsi="宋体" w:eastAsia="宋体" w:cs="宋体"/>
          <w:color w:val="auto"/>
          <w:sz w:val="24"/>
          <w:szCs w:val="24"/>
          <w:highlight w:val="none"/>
          <w:lang w:eastAsia="zh-CN"/>
        </w:rPr>
        <w:t xml:space="preserve">评审</w:t>
      </w:r>
      <w:r>
        <w:rPr>
          <w:rFonts w:hint="eastAsia" w:ascii="宋体" w:hAnsi="宋体" w:eastAsia="宋体" w:cs="宋体"/>
          <w:color w:val="auto"/>
          <w:sz w:val="24"/>
          <w:szCs w:val="24"/>
          <w:highlight w:val="none"/>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接到</w:t>
      </w:r>
      <w:r>
        <w:rPr>
          <w:rFonts w:hint="eastAsia" w:ascii="宋体" w:hAnsi="宋体" w:eastAsia="宋体" w:cs="宋体"/>
          <w:color w:val="auto"/>
          <w:sz w:val="24"/>
          <w:szCs w:val="24"/>
          <w:highlight w:val="none"/>
          <w:lang w:eastAsia="zh-CN"/>
        </w:rPr>
        <w:t xml:space="preserve">评审</w:t>
      </w:r>
      <w:r>
        <w:rPr>
          <w:rFonts w:hint="eastAsia" w:ascii="宋体" w:hAnsi="宋体" w:eastAsia="宋体" w:cs="宋体"/>
          <w:color w:val="auto"/>
          <w:sz w:val="24"/>
          <w:szCs w:val="24"/>
          <w:highlight w:val="none"/>
        </w:rPr>
        <w:t xml:space="preserve">小组澄清、说明和更正要求的供应商如未按规定做出澄清、说明和更正，其风险由供应商自行承担。</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5、废标</w:t>
      </w:r>
      <w:r/>
    </w:p>
    <w:p>
      <w:pPr>
        <w:ind w:firstLine="482"/>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5.1出现下列情形之一的，应予废标：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（一）符合专业条件的供应商或者对招标文件作实质响应的供应商不足三家的；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（二）出现影响采购公正的违法、违规行为的；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（三）投标人的报价均超过了采购预算，采购人不能支付的；</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（四）因重大变故，采购任务取消的。</w:t>
      </w:r>
      <w:r/>
    </w:p>
    <w:p>
      <w:pPr>
        <w:ind w:firstLine="482"/>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5.2废标后，采购人应当将废标理由通知所有投标人。</w:t>
      </w:r>
      <w:r/>
    </w:p>
    <w:p>
      <w:pPr>
        <w:ind w:firstLine="482"/>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中标</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w:t>
      </w:r>
      <w:r>
        <w:rPr>
          <w:rFonts w:hint="eastAsia" w:ascii="宋体" w:hAnsi="宋体" w:eastAsia="宋体" w:cs="宋体"/>
          <w:color w:val="auto"/>
          <w:sz w:val="24"/>
          <w:szCs w:val="24"/>
          <w:highlight w:val="none"/>
          <w:lang w:val="en-US" w:eastAsia="zh-CN"/>
        </w:rPr>
        <w:t xml:space="preserve">本项目评标方法</w:t>
      </w:r>
      <w:r>
        <w:rPr>
          <w:rFonts w:hint="eastAsia" w:ascii="宋体" w:hAnsi="宋体" w:eastAsia="宋体" w:cs="宋体"/>
          <w:color w:val="auto"/>
          <w:sz w:val="24"/>
          <w:szCs w:val="24"/>
          <w:highlight w:val="none"/>
        </w:rPr>
        <w:t xml:space="preserve">采用综合评分法，即指投标文件满足招标文件全部实质性要求，且按照评审因素的量化指标评审得分最高的投标人为中标候选人的评标方法。</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6.2评标结果按评审后得分由高到低顺序排列。得分相同的，按投标报价由低到高顺序排列。得分且投标报价相同的，则由</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rPr>
        <w:t xml:space="preserve">组织抽签确定中标</w:t>
      </w:r>
      <w:r>
        <w:rPr>
          <w:rFonts w:hint="eastAsia" w:ascii="宋体" w:hAnsi="宋体" w:eastAsia="宋体" w:cs="宋体"/>
          <w:color w:val="auto"/>
          <w:sz w:val="24"/>
          <w:szCs w:val="24"/>
          <w:highlight w:val="none"/>
          <w:lang w:val="en-US" w:eastAsia="zh-CN"/>
        </w:rPr>
        <w:t xml:space="preserve">候选人顺序</w:t>
      </w:r>
      <w:r>
        <w:rPr>
          <w:rFonts w:hint="eastAsia" w:ascii="宋体" w:hAnsi="宋体" w:eastAsia="宋体" w:cs="宋体"/>
          <w:color w:val="auto"/>
          <w:sz w:val="24"/>
          <w:szCs w:val="24"/>
          <w:highlight w:val="none"/>
        </w:rPr>
        <w:t xml:space="preserve">。</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6.3评标委员会在确定的中标候选人名单中按顺序确定中标单位，中标候选人并列的，按照招标文件规定的方式确定中标单位。</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6.4采购人或者采购代理机构应当自中标单位确定之日起2个工作日内将中标单位在政府采购信息媒体上发布中标公告，中标公告期限为1个工作日。</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采购人或采购代理机构根据相关规定发布</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公告，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公告发出的同时应当向</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供应商发出《</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bookmarkStart w:id="3" w:name="_Hlk132389804"/>
      <w:r/>
      <w:bookmarkStart w:id="4" w:name="_Hlk132385599"/>
      <w:r/>
      <w:bookmarkStart w:id="5" w:name="_Hlk132385577"/>
      <w:r>
        <w:rPr>
          <w:rFonts w:hint="eastAsia" w:ascii="宋体" w:hAnsi="宋体" w:eastAsia="宋体" w:cs="宋体"/>
          <w:color w:val="auto"/>
          <w:sz w:val="24"/>
          <w:szCs w:val="24"/>
          <w:highlight w:val="none"/>
        </w:rPr>
        <w:t xml:space="preserve">。请</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结果公告届满之日起30日内,使用CA数字证书登录苏采云系统及时下载成交通知书。因系统存储空间有限，自</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结果公告届满之日起30日后，苏采云系统不再保证提供下载成交通知书服务,因未及时下载而造成的不利后果由成交供应商自行承担）；</w:t>
      </w:r>
      <w:bookmarkEnd w:id="3"/>
      <w:r/>
      <w:bookmarkEnd w:id="4"/>
      <w:r/>
      <w:bookmarkEnd w:id="5"/>
      <w:r>
        <w:rPr>
          <w:rFonts w:hint="eastAsia" w:ascii="宋体" w:hAnsi="宋体" w:eastAsia="宋体" w:cs="宋体"/>
          <w:color w:val="auto"/>
          <w:sz w:val="24"/>
          <w:szCs w:val="24"/>
          <w:highlight w:val="none"/>
        </w:rPr>
        <w:t xml:space="preserve">对未通过资格性审查的供应商，应当告知其未通过的原因；未</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供应商须在成交公告发出之日起2个工作日内向采购代理机构另行提供用以接收《未</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通知书》的电子邮件地址，未按时提供电子邮件地址或提供信息有误的，视为自动放弃并自行承担相应后果。</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6.6中标通知书发出后，采购人不得违法改变中标结果，中标单位无正当理由不得放弃中标。</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7、履约保证金</w:t>
      </w:r>
      <w:r/>
    </w:p>
    <w:p>
      <w:pPr>
        <w:pStyle w:val="100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见第五章合同文本履约保证金条款。</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8、合同的签订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8.1采购人应当自</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通知书发出之日起</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日内</w:t>
      </w:r>
      <w:r>
        <w:rPr>
          <w:rFonts w:hint="eastAsia" w:ascii="宋体" w:hAnsi="宋体" w:eastAsia="宋体" w:cs="宋体"/>
          <w:color w:val="auto"/>
          <w:sz w:val="24"/>
          <w:szCs w:val="24"/>
          <w:highlight w:val="none"/>
          <w:lang w:val="en-US" w:eastAsia="zh-CN"/>
        </w:rPr>
        <w:t xml:space="preserve">（最迟30日内</w:t>
      </w:r>
      <w:r>
        <w:rPr>
          <w:rFonts w:hint="eastAsia"/>
          <w:color w:val="auto"/>
          <w:szCs w:val="21"/>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按照招标文件及投标文件规定与中标单位签订书面合同。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8.2</w:t>
      </w:r>
      <w:r>
        <w:rPr>
          <w:rFonts w:hint="eastAsia" w:ascii="宋体" w:hAnsi="宋体" w:eastAsia="宋体" w:cs="宋体"/>
          <w:color w:val="auto"/>
          <w:sz w:val="24"/>
          <w:szCs w:val="24"/>
          <w:highlight w:val="none"/>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 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8.5中标供应商无正当理由不得放弃中标。</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9、质疑</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9.1质疑及答复遵守《政府采购质疑和投诉办法》（中华人民共和国财政部令第94号）规定。</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tabs>
          <w:tab w:val="left" w:pos="142" w:leader="none"/>
          <w:tab w:val="left" w:pos="600" w:leader="none"/>
        </w:tabs>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 xml:space="preserve">9.4</w:t>
      </w:r>
      <w:r>
        <w:rPr>
          <w:rFonts w:hint="eastAsia" w:ascii="宋体" w:hAnsi="宋体" w:eastAsia="宋体" w:cs="宋体"/>
          <w:b w:val="0"/>
          <w:bCs/>
          <w:color w:val="auto"/>
          <w:sz w:val="24"/>
          <w:szCs w:val="24"/>
          <w:highlight w:val="none"/>
          <w:lang w:val="en-US" w:eastAsia="zh-CN"/>
        </w:rPr>
        <w:t xml:space="preserve">对招标</w:t>
      </w:r>
      <w:r>
        <w:rPr>
          <w:rFonts w:hint="eastAsia" w:ascii="宋体" w:hAnsi="宋体" w:eastAsia="宋体" w:cs="宋体"/>
          <w:b w:val="0"/>
          <w:bCs/>
          <w:color w:val="auto"/>
          <w:sz w:val="24"/>
          <w:szCs w:val="24"/>
          <w:highlight w:val="none"/>
        </w:rPr>
        <w:t xml:space="preserve">文件内容质疑时，</w:t>
      </w:r>
      <w:r>
        <w:rPr>
          <w:rFonts w:hint="eastAsia" w:ascii="宋体" w:hAnsi="宋体" w:eastAsia="宋体" w:cs="宋体"/>
          <w:b/>
          <w:bCs w:val="0"/>
          <w:color w:val="auto"/>
          <w:sz w:val="24"/>
          <w:szCs w:val="24"/>
          <w:highlight w:val="none"/>
        </w:rPr>
        <w:t xml:space="preserve">需提供在苏采云系统中下载本项目</w:t>
      </w:r>
      <w:r>
        <w:rPr>
          <w:rFonts w:hint="eastAsia" w:ascii="宋体" w:hAnsi="宋体" w:eastAsia="宋体" w:cs="宋体"/>
          <w:b/>
          <w:bCs w:val="0"/>
          <w:color w:val="auto"/>
          <w:sz w:val="24"/>
          <w:szCs w:val="24"/>
          <w:highlight w:val="none"/>
          <w:lang w:val="en-US" w:eastAsia="zh-CN"/>
        </w:rPr>
        <w:t xml:space="preserve">招标</w:t>
      </w:r>
      <w:r>
        <w:rPr>
          <w:rFonts w:hint="eastAsia" w:ascii="宋体" w:hAnsi="宋体" w:eastAsia="宋体" w:cs="宋体"/>
          <w:b/>
          <w:bCs w:val="0"/>
          <w:color w:val="auto"/>
          <w:sz w:val="24"/>
          <w:szCs w:val="24"/>
          <w:highlight w:val="none"/>
        </w:rPr>
        <w:t xml:space="preserve">文件的《投标供应商确认函》，未提供的视为未依照采购公告要求获取</w:t>
      </w:r>
      <w:r>
        <w:rPr>
          <w:rFonts w:hint="eastAsia" w:ascii="宋体" w:hAnsi="宋体" w:eastAsia="宋体" w:cs="宋体"/>
          <w:b/>
          <w:bCs w:val="0"/>
          <w:color w:val="auto"/>
          <w:sz w:val="24"/>
          <w:szCs w:val="24"/>
          <w:highlight w:val="none"/>
          <w:lang w:eastAsia="zh-CN"/>
        </w:rPr>
        <w:t xml:space="preserve">招标文件</w:t>
      </w:r>
      <w:r>
        <w:rPr>
          <w:rFonts w:hint="eastAsia" w:ascii="宋体" w:hAnsi="宋体" w:eastAsia="宋体" w:cs="宋体"/>
          <w:b/>
          <w:bCs w:val="0"/>
          <w:color w:val="auto"/>
          <w:sz w:val="24"/>
          <w:szCs w:val="24"/>
          <w:highlight w:val="none"/>
        </w:rPr>
        <w:t xml:space="preserve">的供应商，不具备对该政府采购项目提出质疑的法定权利。</w:t>
      </w:r>
      <w:r/>
    </w:p>
    <w:p>
      <w:pPr>
        <w:ind w:firstLine="48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接收质疑函的方式为书面形式（当场送达或邮寄方式）</w:t>
      </w:r>
      <w:r>
        <w:rPr>
          <w:rFonts w:hint="eastAsia" w:ascii="宋体" w:hAnsi="宋体" w:eastAsia="宋体" w:cs="宋体"/>
          <w:bCs/>
          <w:color w:val="auto"/>
          <w:sz w:val="24"/>
          <w:szCs w:val="24"/>
          <w:highlight w:val="none"/>
        </w:rPr>
        <w:t xml:space="preserve">向采购人、采购代理机构提出质疑，联系人、联系电话和通讯地址等信息以</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公告中</w:t>
      </w:r>
      <w:r>
        <w:rPr>
          <w:rFonts w:hint="eastAsia" w:ascii="宋体" w:hAnsi="宋体" w:eastAsia="宋体" w:cs="宋体"/>
          <w:b w:val="0"/>
          <w:bCs w:val="0"/>
          <w:color w:val="auto"/>
          <w:sz w:val="24"/>
          <w:szCs w:val="24"/>
          <w:highlight w:val="none"/>
        </w:rPr>
        <w:t xml:space="preserve">对本次招标提出询问</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请按以下方式联系</w:t>
      </w:r>
      <w:r>
        <w:rPr>
          <w:rFonts w:hint="eastAsia" w:ascii="宋体" w:hAnsi="宋体" w:eastAsia="宋体" w:cs="宋体"/>
          <w:bCs/>
          <w:color w:val="auto"/>
          <w:sz w:val="24"/>
          <w:szCs w:val="24"/>
          <w:highlight w:val="none"/>
        </w:rPr>
        <w:t xml:space="preserve">为准</w:t>
      </w:r>
      <w:r>
        <w:rPr>
          <w:rFonts w:hint="eastAsia" w:ascii="宋体" w:hAnsi="宋体" w:eastAsia="宋体" w:cs="宋体"/>
          <w:color w:val="auto"/>
          <w:sz w:val="24"/>
          <w:szCs w:val="24"/>
          <w:highlight w:val="none"/>
        </w:rPr>
        <w:t xml:space="preserve">。供应商质疑函范本格式请参照“苏州市政府采购”网站——“下载中心”——“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52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w:t>
      </w: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rPr>
        <w:t xml:space="preserve">文件的有效期</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文件的有效期自提交</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文件的截止之日起</w:t>
      </w:r>
      <w:r>
        <w:rPr>
          <w:rFonts w:hint="eastAsia" w:ascii="宋体" w:hAnsi="宋体" w:eastAsia="宋体" w:cs="宋体"/>
          <w:bCs/>
          <w:color w:val="auto"/>
          <w:sz w:val="24"/>
          <w:szCs w:val="24"/>
          <w:highlight w:val="none"/>
          <w:lang w:val="en-US" w:eastAsia="zh-CN"/>
        </w:rPr>
        <w:t xml:space="preserve">九十</w:t>
      </w:r>
      <w:r>
        <w:rPr>
          <w:rFonts w:hint="eastAsia" w:ascii="宋体" w:hAnsi="宋体" w:eastAsia="宋体" w:cs="宋体"/>
          <w:bCs/>
          <w:color w:val="auto"/>
          <w:sz w:val="24"/>
          <w:szCs w:val="24"/>
          <w:highlight w:val="none"/>
        </w:rPr>
        <w:t xml:space="preserve">天，</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文件应保持有效。</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文件的有效期不明确或短于上述规定期限的，</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文件无效。</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10.2在特殊情况下，采购人可与供应商协商延长响应文件的有效期，这种要求和答复都应以书面形式进行。</w:t>
      </w:r>
      <w:r/>
    </w:p>
    <w:p>
      <w:pPr>
        <w:ind w:firstLine="52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、代理服务费</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由中标单位承担。</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.1代理服务费以采购预算金额为基数依据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按如下规定的标准和差额定率累进法进行计算收取：</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费率为该部分预算金额的1.5％；</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费率为该部分预算金额的1.1％；</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费率为该部分预算金额的0.8％；</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费率为该部分预算金额的0.5％；</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费率为该部分预算金额的0.25％。</w:t>
      </w:r>
      <w:r/>
    </w:p>
    <w:p>
      <w:pPr>
        <w:ind w:firstLine="518"/>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.2本项目代理服务费（人民币）：</w:t>
      </w:r>
      <w:r>
        <w:rPr>
          <w:rFonts w:hint="eastAsia" w:ascii="宋体" w:hAnsi="宋体" w:eastAsia="宋体" w:cs="宋体"/>
          <w:bCs/>
          <w:color w:val="auto"/>
          <w:sz w:val="24"/>
          <w:szCs w:val="24"/>
          <w:highlight w:val="none"/>
          <w:lang w:val="en-US" w:eastAsia="zh-CN"/>
        </w:rPr>
        <w:t xml:space="preserve">87800.00元。</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.3代理服务费由中标</w:t>
      </w:r>
      <w:r>
        <w:rPr>
          <w:rFonts w:hint="eastAsia" w:ascii="宋体" w:hAnsi="宋体" w:eastAsia="宋体" w:cs="宋体"/>
          <w:bCs/>
          <w:color w:val="auto"/>
          <w:sz w:val="24"/>
          <w:szCs w:val="24"/>
          <w:highlight w:val="none"/>
          <w:lang w:val="en-US" w:eastAsia="zh-CN"/>
        </w:rPr>
        <w:t xml:space="preserve">单位</w:t>
      </w:r>
      <w:r>
        <w:rPr>
          <w:rFonts w:hint="eastAsia" w:ascii="宋体" w:hAnsi="宋体" w:eastAsia="宋体" w:cs="宋体"/>
          <w:bCs/>
          <w:color w:val="auto"/>
          <w:sz w:val="24"/>
          <w:szCs w:val="24"/>
          <w:highlight w:val="none"/>
        </w:rPr>
        <w:t xml:space="preserve">在领取中标通知书时一次性付清并含在其投标报价中。</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.4中标</w:t>
      </w:r>
      <w:r>
        <w:rPr>
          <w:rFonts w:hint="eastAsia" w:ascii="宋体" w:hAnsi="宋体" w:eastAsia="宋体" w:cs="宋体"/>
          <w:bCs/>
          <w:color w:val="auto"/>
          <w:sz w:val="24"/>
          <w:szCs w:val="24"/>
          <w:highlight w:val="none"/>
          <w:lang w:val="en-US" w:eastAsia="zh-CN"/>
        </w:rPr>
        <w:t xml:space="preserve">单位</w:t>
      </w:r>
      <w:r>
        <w:rPr>
          <w:rFonts w:hint="eastAsia" w:ascii="宋体" w:hAnsi="宋体" w:eastAsia="宋体" w:cs="宋体"/>
          <w:bCs/>
          <w:color w:val="auto"/>
          <w:sz w:val="24"/>
          <w:szCs w:val="24"/>
          <w:highlight w:val="none"/>
        </w:rPr>
        <w:t xml:space="preserve">如果未按上述规定缴纳中标服务费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采购代理机构将保留诉讼的权利。</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.5采购代理机构服务费账号如下：</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收款单位：苏州正杰招投标咨询服务有限公司。</w:t>
      </w:r>
      <w:r>
        <w:rPr>
          <w:rFonts w:hint="eastAsia" w:ascii="宋体" w:hAnsi="宋体" w:eastAsia="宋体" w:cs="宋体"/>
          <w:bCs/>
          <w:color w:val="auto"/>
          <w:sz w:val="24"/>
          <w:szCs w:val="24"/>
          <w:highlight w:val="none"/>
        </w:rPr>
        <w:tab/>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银行账号：89190154740002582。</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开户银行：上海浦东发展银行苏州姑苏支行。</w:t>
      </w:r>
      <w:r/>
    </w:p>
    <w:p>
      <w:pPr>
        <w:ind w:firstLine="5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、其他事项</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.1招标过程将通过公证机关进行公证。</w:t>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.2未尽事宜按《中华人民共和国政府采购法》及其他有关法律法规文件的规定执行。</w:t>
      </w:r>
      <w:r/>
    </w:p>
    <w:p>
      <w:pPr>
        <w:pStyle w:val="925"/>
        <w:ind w:firstLine="502"/>
        <w:jc w:val="both"/>
        <w:spacing w:line="360" w:lineRule="auto"/>
        <w:shd w:val="clear" w:color="auto"/>
        <w:rPr>
          <w:rFonts w:hint="eastAsia" w:ascii="宋体" w:hAnsi="宋体" w:eastAsia="宋体" w:cs="宋体"/>
          <w:b/>
          <w:bCs/>
          <w:color w:val="auto"/>
          <w:highlight w:val="none"/>
        </w:rPr>
      </w:pPr>
      <w:r>
        <w:rPr>
          <w:rFonts w:hint="eastAsia" w:ascii="宋体" w:hAnsi="宋体" w:eastAsia="宋体" w:cs="宋体"/>
          <w:color w:val="auto"/>
          <w:szCs w:val="24"/>
          <w:highlight w:val="none"/>
        </w:rPr>
        <w:br w:type="page" w:clear="all"/>
      </w:r>
      <w:r/>
    </w:p>
    <w:p>
      <w:pPr>
        <w:pStyle w:val="925"/>
        <w:ind w:firstLine="482"/>
        <w:jc w:val="center"/>
        <w:spacing w:line="360" w:lineRule="auto"/>
        <w:shd w:val="clear" w:color="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第三章 投标文件格式</w:t>
      </w:r>
      <w:r/>
    </w:p>
    <w:p>
      <w:pPr>
        <w:pStyle w:val="997"/>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w:t>
      </w:r>
      <w:r/>
    </w:p>
    <w:p>
      <w:pPr>
        <w:pStyle w:val="997"/>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苏州正杰招投标咨询服务有限公司：</w:t>
      </w:r>
      <w:r/>
    </w:p>
    <w:p>
      <w:pPr>
        <w:pStyle w:val="997"/>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我们收到贵公司</w:t>
      </w:r>
      <w:r>
        <w:rPr>
          <w:rFonts w:hint="eastAsia" w:ascii="宋体" w:hAnsi="宋体" w:eastAsia="宋体" w:cs="宋体"/>
          <w:color w:val="auto"/>
          <w:szCs w:val="24"/>
          <w:highlight w:val="none"/>
        </w:rPr>
        <w:t xml:space="preserve">________</w:t>
      </w:r>
      <w:r>
        <w:rPr>
          <w:rFonts w:hint="eastAsia" w:ascii="宋体" w:hAnsi="宋体" w:eastAsia="宋体" w:cs="宋体"/>
          <w:color w:val="auto"/>
          <w:sz w:val="24"/>
          <w:szCs w:val="24"/>
          <w:highlight w:val="none"/>
        </w:rPr>
        <w:t xml:space="preserve">号招标文件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经仔细阅读和研究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我们决定参加采购活动。</w:t>
      </w:r>
      <w:r/>
    </w:p>
    <w:p>
      <w:pPr>
        <w:pStyle w:val="997"/>
        <w:numPr>
          <w:ilvl w:val="0"/>
          <w:numId w:val="0"/>
        </w:numPr>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我们愿意按照招标文件的一切要求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提供完成该项目的全部内容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我们的投标报价包括完成所有采购内容以及本项目所需的劳务支出、保险、配套费用、税费及服务相关等所发生的全部费用以及企业利润、税金和政策性文件规定及合同包含的所有风险、责任等各项应有费用。</w:t>
      </w:r>
      <w:r/>
    </w:p>
    <w:p>
      <w:pPr>
        <w:pStyle w:val="997"/>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2、如果我们的投标被接受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我们将严格履行招标文件中规定的每一项要求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严格履行合同的责任和义务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保证按期、按质履行合同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完成合同内容所规定的全部工作。</w:t>
      </w:r>
      <w:r/>
    </w:p>
    <w:p>
      <w:pPr>
        <w:pStyle w:val="997"/>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3、我们同意按招标文件规定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本投标书的有效期限自提交投标文件的截止之日起</w:t>
      </w:r>
      <w:r>
        <w:rPr>
          <w:rFonts w:hint="eastAsia" w:ascii="宋体" w:hAnsi="宋体" w:eastAsia="宋体" w:cs="宋体"/>
          <w:color w:val="auto"/>
          <w:szCs w:val="24"/>
          <w:highlight w:val="none"/>
        </w:rPr>
        <w:t xml:space="preserve">___</w:t>
      </w:r>
      <w:r>
        <w:rPr>
          <w:rFonts w:hint="eastAsia" w:ascii="宋体" w:hAnsi="宋体" w:eastAsia="宋体" w:cs="宋体"/>
          <w:color w:val="auto"/>
          <w:sz w:val="24"/>
          <w:szCs w:val="24"/>
          <w:highlight w:val="none"/>
        </w:rPr>
        <w:t xml:space="preserve">天。如果我们在开标后规定的投标有效期内撤回投标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我们愿承担由此造成的一切后果。</w:t>
      </w:r>
      <w:r/>
    </w:p>
    <w:p>
      <w:pPr>
        <w:pStyle w:val="997"/>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4、我们愿意提供招标文件中要求的所有资料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也同意向贵方提供贵方可能另外要求的与其投标有关的任何证据或资料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并保证所提供的资料全部是真实的、有效的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我们愿承担由此造成的一切后果。</w:t>
      </w:r>
      <w:r/>
    </w:p>
    <w:p>
      <w:pPr>
        <w:pStyle w:val="997"/>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5、我们认为你们有权决定中标单位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还认为你们有权接受或拒绝投标人。</w:t>
      </w:r>
      <w:r/>
    </w:p>
    <w:p>
      <w:pPr>
        <w:pStyle w:val="997"/>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6、我们愿意遵守招标公告及招标文件中所列的收费标准。</w:t>
      </w:r>
      <w:r/>
    </w:p>
    <w:p>
      <w:pPr>
        <w:pStyle w:val="997"/>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7、我们承诺本项投标文件在开标后的全过程中保持有效。我们同意中标后若不履行投标文件的内容要求和各项承诺及义务的即被视为违约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我们愿承担由此造成的一切后果。</w:t>
      </w:r>
      <w:r/>
    </w:p>
    <w:p>
      <w:pPr>
        <w:pStyle w:val="997"/>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8、如果我们中标，我们愿意在签订合同时按招标文件规定支付中标服务费。</w:t>
      </w:r>
      <w:r/>
    </w:p>
    <w:p>
      <w:pPr>
        <w:pStyle w:val="997"/>
        <w:ind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、与本次招标有关的通讯地址：</w:t>
      </w:r>
      <w:r/>
    </w:p>
    <w:p>
      <w:pPr>
        <w:pStyle w:val="997"/>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                                 联系人员：</w:t>
      </w:r>
      <w:r/>
    </w:p>
    <w:p>
      <w:pPr>
        <w:pStyle w:val="997"/>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单位地址：                                 邮政编码：</w:t>
      </w:r>
      <w:r/>
    </w:p>
    <w:p>
      <w:pPr>
        <w:pStyle w:val="997"/>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联系电话：                                 传真号码：</w:t>
      </w:r>
      <w:r/>
    </w:p>
    <w:p>
      <w:pPr>
        <w:pStyle w:val="925"/>
        <w:ind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投标人</w:t>
      </w:r>
      <w:r>
        <w:rPr>
          <w:rFonts w:hint="eastAsia" w:ascii="宋体" w:hAnsi="宋体" w:eastAsia="宋体" w:cs="宋体"/>
          <w:color w:val="auto"/>
          <w:sz w:val="24"/>
          <w:szCs w:val="24"/>
          <w:highlight w:val="none"/>
        </w:rPr>
        <w:t xml:space="preserve">（单位盖章）</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                       </w:t>
      </w:r>
      <w:r/>
    </w:p>
    <w:p>
      <w:pPr>
        <w:pStyle w:val="925"/>
        <w:ind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Cs w:val="24"/>
          <w:highlight w:val="none"/>
        </w:rPr>
        <w:t xml:space="preserve">：</w:t>
      </w:r>
      <w:r/>
    </w:p>
    <w:p>
      <w:pPr>
        <w:pStyle w:val="925"/>
        <w:ind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line="360" w:lineRule="auto"/>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法定代表人授权委托书</w:t>
      </w:r>
      <w:r/>
    </w:p>
    <w:p>
      <w:pPr>
        <w:pStyle w:val="925"/>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（姓名）为我公司代理人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并以本公司的名义在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编号）采购项目的开标、评标和合同签订过程中所签署的一切文件和处理与这有关的一切事务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我公司均予以承认。</w:t>
      </w:r>
      <w:r/>
    </w:p>
    <w:p>
      <w:pPr>
        <w:pStyle w:val="925"/>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代理人在授权委托书有效期内签署的所有文件不因授权委托的撤销而失效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除非有撤销授权委托的书面通知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本授权委托书有效期自投标文件提交开始至合同履行完毕止。</w:t>
      </w:r>
      <w:r/>
    </w:p>
    <w:p>
      <w:pPr>
        <w:pStyle w:val="925"/>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代理人无转委托权。特此委托。</w:t>
      </w:r>
      <w:r/>
    </w:p>
    <w:p>
      <w:pPr>
        <w:pStyle w:val="99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9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Style w:val="925"/>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法定代表人：（签字或盖章）</w:t>
      </w:r>
      <w:r/>
    </w:p>
    <w:p>
      <w:pPr>
        <w:pStyle w:val="925"/>
        <w:ind w:firstLine="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代理人：（签字或盖章）</w:t>
      </w:r>
      <w:r/>
    </w:p>
    <w:p>
      <w:pPr>
        <w:pStyle w:val="99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925"/>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25"/>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注：本授权委托书仅限于法人性质投标人投标</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投标文件中必须提供法定代表人和代理人身份证复印件。非法人性质投标人投标</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授权委托书格式自拟</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但必须同时提供受托双方身份证复印件。</w:t>
      </w:r>
      <w:r/>
    </w:p>
    <w:p>
      <w:pPr>
        <w:pStyle w:val="960"/>
        <w:ind w:firstLine="480"/>
        <w:jc w:val="both"/>
        <w:spacing w:line="360" w:lineRule="auto"/>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firstLine="0"/>
        <w:jc w:val="center"/>
        <w:spacing w:line="360" w:lineRule="auto"/>
        <w:shd w:val="clear" w:color="auto"/>
        <w:rPr>
          <w:rFonts w:hint="eastAsia" w:ascii="宋体" w:hAnsi="宋体" w:eastAsia="宋体" w:cs="宋体"/>
          <w:color w:val="auto"/>
          <w:szCs w:val="24"/>
          <w:highlight w:val="none"/>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outlineLvl w:val="1"/>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bCs/>
          <w:color w:val="auto"/>
          <w:szCs w:val="24"/>
          <w:highlight w:val="none"/>
        </w:rPr>
        <w:t xml:space="preserve">、关于资格文件的声明函</w:t>
      </w:r>
      <w:r/>
    </w:p>
    <w:p>
      <w:pPr>
        <w:pStyle w:val="997"/>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苏州正杰招投标咨询服务有限公司：</w:t>
      </w:r>
      <w:r/>
    </w:p>
    <w:p>
      <w:pPr>
        <w:pStyle w:val="99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本公司愿就由贵公司组织实施的</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号的招标活动进行投标。本公司所提交的投标文件中所有关于投标资格的文件、证明和陈述均是真实的、准确的和有效的。若与事实情况不符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本公司愿意承担由此而产生的一切后果。</w:t>
      </w:r>
      <w:r/>
    </w:p>
    <w:p>
      <w:pPr>
        <w:pStyle w:val="997"/>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97"/>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color w:val="auto"/>
          <w:sz w:val="24"/>
          <w:szCs w:val="24"/>
          <w:highlight w:val="none"/>
        </w:rPr>
        <w:t xml:space="preserve">（单位盖章）</w:t>
      </w:r>
      <w:r>
        <w:rPr>
          <w:rFonts w:hint="eastAsia" w:ascii="宋体" w:hAnsi="宋体" w:eastAsia="宋体" w:cs="宋体"/>
          <w:bCs/>
          <w:color w:val="auto"/>
          <w:sz w:val="24"/>
          <w:szCs w:val="24"/>
          <w:highlight w:val="none"/>
        </w:rPr>
        <w:t xml:space="preserve">：</w:t>
      </w:r>
      <w:r/>
    </w:p>
    <w:p>
      <w:pPr>
        <w:pStyle w:val="997"/>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bCs/>
          <w:color w:val="auto"/>
          <w:sz w:val="24"/>
          <w:szCs w:val="24"/>
          <w:highlight w:val="none"/>
        </w:rPr>
        <w:t xml:space="preserve">：</w:t>
      </w:r>
      <w:r/>
    </w:p>
    <w:p>
      <w:pPr>
        <w:pStyle w:val="997"/>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1"/>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1"/>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1"/>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11"/>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4、开标一览表</w:t>
      </w:r>
      <w:r/>
    </w:p>
    <w:tbl>
      <w:tblPr>
        <w:tblStyle w:val="92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061"/>
        <w:gridCol w:w="2293"/>
        <w:gridCol w:w="1801"/>
        <w:gridCol w:w="1331"/>
      </w:tblGrid>
      <w:tr>
        <w:trPr>
          <w:jc w:val="center"/>
          <w:trHeight w:val="567"/>
        </w:trPr>
        <w:tc>
          <w:tcPr>
            <w:tcW w:w="1152" w:type="dxa"/>
            <w:vAlign w:val="center"/>
            <w:textDirection w:val="lrTb"/>
            <w:noWrap w:val="false"/>
          </w:tcPr>
          <w:p>
            <w:pPr>
              <w:pStyle w:val="93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3061" w:type="dxa"/>
            <w:vAlign w:val="center"/>
            <w:textDirection w:val="lrTb"/>
            <w:noWrap w:val="false"/>
          </w:tcPr>
          <w:p>
            <w:pPr>
              <w:pStyle w:val="93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2293" w:type="dxa"/>
            <w:vAlign w:val="center"/>
            <w:textDirection w:val="lrTb"/>
            <w:noWrap w:val="false"/>
          </w:tcPr>
          <w:p>
            <w:pPr>
              <w:pStyle w:val="938"/>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投标总价（元）</w:t>
            </w:r>
            <w:r/>
          </w:p>
        </w:tc>
        <w:tc>
          <w:tcPr>
            <w:tcW w:w="1801" w:type="dxa"/>
            <w:vAlign w:val="center"/>
            <w:textDirection w:val="lrTb"/>
            <w:noWrap w:val="false"/>
          </w:tcPr>
          <w:p>
            <w:pPr>
              <w:pStyle w:val="93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合同履行期限</w:t>
            </w:r>
            <w:r/>
          </w:p>
        </w:tc>
        <w:tc>
          <w:tcPr>
            <w:tcW w:w="1331" w:type="dxa"/>
            <w:vAlign w:val="center"/>
            <w:textDirection w:val="lrTb"/>
            <w:noWrap w:val="false"/>
          </w:tcPr>
          <w:p>
            <w:pPr>
              <w:pStyle w:val="93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567"/>
        </w:trPr>
        <w:tc>
          <w:tcPr>
            <w:tcW w:w="115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3061"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tc>
        <w:tc>
          <w:tcPr>
            <w:tcW w:w="2293" w:type="dxa"/>
            <w:vAlign w:val="center"/>
            <w:textDirection w:val="lrTb"/>
            <w:noWrap w:val="false"/>
          </w:tcPr>
          <w:p>
            <w:pPr>
              <w:pStyle w:val="93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1" w:type="dxa"/>
            <w:vAlign w:val="center"/>
            <w:textDirection w:val="lrTb"/>
            <w:noWrap w:val="false"/>
          </w:tcPr>
          <w:p>
            <w:pPr>
              <w:pStyle w:val="93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31" w:type="dxa"/>
            <w:vAlign w:val="center"/>
            <w:textDirection w:val="lrTb"/>
            <w:noWrap w:val="false"/>
          </w:tcPr>
          <w:p>
            <w:pPr>
              <w:pStyle w:val="93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9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97"/>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color w:val="auto"/>
          <w:sz w:val="24"/>
          <w:szCs w:val="24"/>
          <w:highlight w:val="none"/>
        </w:rPr>
        <w:t xml:space="preserve">（单位盖章）</w:t>
      </w:r>
      <w:r>
        <w:rPr>
          <w:rFonts w:hint="eastAsia" w:ascii="宋体" w:hAnsi="宋体" w:eastAsia="宋体" w:cs="宋体"/>
          <w:bCs/>
          <w:color w:val="auto"/>
          <w:sz w:val="24"/>
          <w:szCs w:val="24"/>
          <w:highlight w:val="none"/>
        </w:rPr>
        <w:t xml:space="preserve">：</w:t>
      </w:r>
      <w:r/>
    </w:p>
    <w:p>
      <w:pPr>
        <w:pStyle w:val="997"/>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bCs/>
          <w:color w:val="auto"/>
          <w:sz w:val="24"/>
          <w:szCs w:val="24"/>
          <w:highlight w:val="none"/>
        </w:rPr>
        <w:t xml:space="preserve">：</w:t>
      </w:r>
      <w:r/>
    </w:p>
    <w:p>
      <w:pPr>
        <w:pStyle w:val="997"/>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bookmarkStart w:id="6" w:name="_Toc142194269"/>
      <w:r>
        <w:rPr>
          <w:rFonts w:hint="eastAsia" w:ascii="宋体" w:hAnsi="宋体" w:eastAsia="宋体" w:cs="宋体"/>
          <w:color w:val="auto"/>
          <w:szCs w:val="24"/>
          <w:highlight w:val="none"/>
        </w:rPr>
        <w:br/>
      </w:r>
      <w:r>
        <w:rPr>
          <w:rFonts w:hint="eastAsia" w:ascii="宋体" w:hAnsi="宋体" w:eastAsia="宋体" w:cs="宋体"/>
          <w:b w:val="0"/>
          <w:bCs w:val="0"/>
          <w:color w:val="auto"/>
          <w:szCs w:val="24"/>
          <w:highlight w:val="none"/>
        </w:rPr>
        <w:t xml:space="preserve">5、</w:t>
      </w:r>
      <w:r>
        <w:rPr>
          <w:rFonts w:hint="eastAsia" w:ascii="宋体" w:hAnsi="宋体" w:eastAsia="宋体" w:cs="宋体"/>
          <w:b w:val="0"/>
          <w:bCs w:val="0"/>
          <w:color w:val="auto"/>
          <w:sz w:val="24"/>
          <w:szCs w:val="24"/>
          <w:highlight w:val="none"/>
          <w:lang w:val="en-US" w:eastAsia="zh-CN"/>
        </w:rPr>
        <w:t xml:space="preserve">公开</w:t>
      </w:r>
      <w:r>
        <w:rPr>
          <w:rFonts w:hint="eastAsia" w:ascii="宋体" w:hAnsi="宋体" w:eastAsia="宋体" w:cs="宋体"/>
          <w:b w:val="0"/>
          <w:bCs w:val="0"/>
          <w:color w:val="auto"/>
          <w:sz w:val="24"/>
          <w:szCs w:val="24"/>
          <w:highlight w:val="none"/>
        </w:rPr>
        <w:t xml:space="preserve">分项报价表</w:t>
      </w:r>
      <w:bookmarkEnd w:id="6"/>
      <w:r/>
      <w:r/>
    </w:p>
    <w:tbl>
      <w:tblPr>
        <w:tblStyle w:val="923"/>
        <w:tblW w:w="96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3"/>
        <w:gridCol w:w="3091"/>
        <w:gridCol w:w="906"/>
        <w:gridCol w:w="906"/>
        <w:gridCol w:w="906"/>
        <w:gridCol w:w="906"/>
        <w:gridCol w:w="1846"/>
      </w:tblGrid>
      <w:tr>
        <w:trPr>
          <w:jc w:val="center"/>
          <w:trHeight w:val="567"/>
        </w:trPr>
        <w:tc>
          <w:tcPr>
            <w:tcW w:w="1093" w:type="dxa"/>
            <w:vAlign w:val="center"/>
            <w:textDirection w:val="lrTb"/>
            <w:noWrap w:val="false"/>
          </w:tcPr>
          <w:p>
            <w:pPr>
              <w:jc w:val="center"/>
              <w:spacing w:line="360" w:lineRule="auto"/>
              <w:shd w:val="clear" w:color="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3091" w:type="dxa"/>
            <w:vAlign w:val="center"/>
            <w:textDirection w:val="lrTb"/>
            <w:noWrap w:val="false"/>
          </w:tcPr>
          <w:p>
            <w:pPr>
              <w:jc w:val="center"/>
              <w:spacing w:line="360" w:lineRule="auto"/>
              <w:shd w:val="clear" w:color="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费用条目</w:t>
            </w:r>
            <w:r/>
          </w:p>
        </w:tc>
        <w:tc>
          <w:tcPr>
            <w:tcW w:w="906" w:type="dxa"/>
            <w:vAlign w:val="center"/>
            <w:textDirection w:val="lrTb"/>
            <w:noWrap w:val="false"/>
          </w:tcPr>
          <w:p>
            <w:pPr>
              <w:jc w:val="center"/>
              <w:spacing w:line="360" w:lineRule="auto"/>
              <w:shd w:val="clear" w:color="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单位</w:t>
            </w:r>
            <w:r/>
          </w:p>
        </w:tc>
        <w:tc>
          <w:tcPr>
            <w:tcW w:w="906" w:type="dxa"/>
            <w:vAlign w:val="center"/>
            <w:textDirection w:val="lrTb"/>
            <w:noWrap w:val="false"/>
          </w:tcPr>
          <w:p>
            <w:pPr>
              <w:jc w:val="center"/>
              <w:spacing w:line="360" w:lineRule="auto"/>
              <w:shd w:val="clear" w:color="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906" w:type="dxa"/>
            <w:vAlign w:val="center"/>
            <w:textDirection w:val="lrTb"/>
            <w:noWrap w:val="false"/>
          </w:tcPr>
          <w:p>
            <w:pPr>
              <w:jc w:val="center"/>
              <w:spacing w:line="360" w:lineRule="auto"/>
              <w:shd w:val="clear" w:color="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单价</w:t>
            </w:r>
            <w:r/>
          </w:p>
        </w:tc>
        <w:tc>
          <w:tcPr>
            <w:tcW w:w="906" w:type="dxa"/>
            <w:vAlign w:val="center"/>
            <w:textDirection w:val="lrTb"/>
            <w:noWrap w:val="false"/>
          </w:tcPr>
          <w:p>
            <w:pPr>
              <w:jc w:val="center"/>
              <w:spacing w:line="360" w:lineRule="auto"/>
              <w:shd w:val="clear" w:color="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总价</w:t>
            </w:r>
            <w:r/>
          </w:p>
        </w:tc>
        <w:tc>
          <w:tcPr>
            <w:tcW w:w="1846" w:type="dxa"/>
            <w:vAlign w:val="center"/>
            <w:textDirection w:val="lrTb"/>
            <w:noWrap w:val="false"/>
          </w:tcPr>
          <w:p>
            <w:pPr>
              <w:jc w:val="center"/>
              <w:spacing w:line="360" w:lineRule="auto"/>
              <w:shd w:val="clear" w:color="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备注</w:t>
            </w:r>
            <w:r/>
          </w:p>
        </w:tc>
      </w:tr>
      <w:tr>
        <w:trPr>
          <w:jc w:val="center"/>
          <w:trHeight w:val="567"/>
        </w:trPr>
        <w:tc>
          <w:tcPr>
            <w:tcW w:w="1093" w:type="dxa"/>
            <w:vAlign w:val="center"/>
            <w:textDirection w:val="lrTb"/>
            <w:noWrap w:val="false"/>
          </w:tcPr>
          <w:p>
            <w:pPr>
              <w:pStyle w:val="925"/>
              <w:ind w:right="21" w:firstLine="0"/>
              <w:jc w:val="center"/>
              <w:spacing w:line="360" w:lineRule="auto"/>
              <w:shd w:val="clear" w:color="auto" w:fill="auto"/>
              <w:rPr>
                <w:rFonts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rPr>
              <w:t xml:space="preserve">1</w:t>
            </w:r>
            <w:r/>
          </w:p>
        </w:tc>
        <w:tc>
          <w:tcPr>
            <w:tcW w:w="3091" w:type="dxa"/>
            <w:vAlign w:val="center"/>
            <w:textDirection w:val="lrTb"/>
            <w:noWrap w:val="false"/>
          </w:tcPr>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84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925"/>
              <w:ind w:right="21" w:firstLine="0"/>
              <w:jc w:val="center"/>
              <w:spacing w:line="360" w:lineRule="auto"/>
              <w:shd w:val="clear" w:color="auto" w:fill="auto"/>
              <w:rPr>
                <w:rFonts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rPr>
              <w:t xml:space="preserve">2</w:t>
            </w:r>
            <w:r/>
          </w:p>
        </w:tc>
        <w:tc>
          <w:tcPr>
            <w:tcW w:w="3091" w:type="dxa"/>
            <w:vAlign w:val="center"/>
            <w:textDirection w:val="lrTb"/>
            <w:noWrap w:val="false"/>
          </w:tcPr>
          <w:p>
            <w:pPr>
              <w:spacing w:line="360" w:lineRule="auto"/>
              <w:rPr>
                <w:rStyle w:val="967"/>
                <w:color w:val="auto"/>
                <w:highlight w:val="none"/>
              </w:rPr>
            </w:pPr>
            <w:r>
              <w:rPr>
                <w:color w:val="auto"/>
                <w:highlight w:val="none"/>
              </w:rPr>
            </w:r>
            <w:r/>
          </w:p>
        </w:tc>
        <w:tc>
          <w:tcPr>
            <w:tcW w:w="90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84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925"/>
              <w:ind w:right="21" w:firstLine="0"/>
              <w:jc w:val="center"/>
              <w:spacing w:line="360" w:lineRule="auto"/>
              <w:shd w:val="clear" w:color="auto" w:fill="auto"/>
              <w:rPr>
                <w:rFonts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rPr>
              <w:t xml:space="preserve">3</w:t>
            </w:r>
            <w:r/>
          </w:p>
        </w:tc>
        <w:tc>
          <w:tcPr>
            <w:tcW w:w="3091" w:type="dxa"/>
            <w:vAlign w:val="center"/>
            <w:textDirection w:val="lrTb"/>
            <w:noWrap w:val="false"/>
          </w:tcPr>
          <w:p>
            <w:pPr>
              <w:spacing w:line="360" w:lineRule="auto"/>
              <w:rPr>
                <w:rStyle w:val="967"/>
                <w:color w:val="auto"/>
                <w:highlight w:val="none"/>
              </w:rPr>
            </w:pPr>
            <w:r>
              <w:rPr>
                <w:color w:val="auto"/>
                <w:highlight w:val="none"/>
              </w:rPr>
            </w:r>
            <w:r/>
          </w:p>
        </w:tc>
        <w:tc>
          <w:tcPr>
            <w:tcW w:w="90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84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925"/>
              <w:ind w:right="21" w:firstLine="0"/>
              <w:jc w:val="center"/>
              <w:spacing w:line="360" w:lineRule="auto"/>
              <w:shd w:val="clear" w:color="auto" w:fill="auto"/>
              <w:rPr>
                <w:rFonts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rPr>
              <w:t xml:space="preserve">4</w:t>
            </w:r>
            <w:r/>
          </w:p>
        </w:tc>
        <w:tc>
          <w:tcPr>
            <w:tcW w:w="3091" w:type="dxa"/>
            <w:vAlign w:val="center"/>
            <w:textDirection w:val="lrTb"/>
            <w:noWrap w:val="false"/>
          </w:tcPr>
          <w:p>
            <w:pPr>
              <w:spacing w:line="360" w:lineRule="auto"/>
              <w:rPr>
                <w:rStyle w:val="967"/>
                <w:color w:val="auto"/>
                <w:highlight w:val="none"/>
              </w:rPr>
            </w:pPr>
            <w:r>
              <w:rPr>
                <w:color w:val="auto"/>
                <w:highlight w:val="none"/>
              </w:rPr>
            </w:r>
            <w:r/>
          </w:p>
        </w:tc>
        <w:tc>
          <w:tcPr>
            <w:tcW w:w="90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84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567"/>
        </w:trPr>
        <w:tc>
          <w:tcPr>
            <w:tcW w:w="1093" w:type="dxa"/>
            <w:vAlign w:val="center"/>
            <w:textDirection w:val="lrTb"/>
            <w:noWrap w:val="false"/>
          </w:tcPr>
          <w:p>
            <w:pPr>
              <w:pStyle w:val="925"/>
              <w:ind w:right="-94" w:firstLine="0"/>
              <w:jc w:val="both"/>
              <w:spacing w:line="360" w:lineRule="auto"/>
              <w:shd w:val="clear" w:color="auto" w:fill="auto"/>
              <w:rPr>
                <w:rFonts w:ascii="宋体" w:hAnsi="宋体" w:eastAsia="宋体" w:cs="宋体"/>
                <w:color w:val="auto"/>
                <w:szCs w:val="24"/>
                <w:highlight w:val="none"/>
              </w:rPr>
            </w:pPr>
            <w:r>
              <w:rPr>
                <w:rFonts w:hint="eastAsia" w:ascii="宋体" w:hAnsi="宋体" w:eastAsia="宋体" w:cs="宋体"/>
                <w:color w:val="auto"/>
                <w:sz w:val="24"/>
                <w:szCs w:val="24"/>
                <w:highlight w:val="none"/>
                <w:lang w:val="en-US" w:eastAsia="zh-CN"/>
              </w:rPr>
              <w:t xml:space="preserve">......</w:t>
            </w:r>
            <w:r/>
          </w:p>
        </w:tc>
        <w:tc>
          <w:tcPr>
            <w:tcW w:w="3091" w:type="dxa"/>
            <w:vAlign w:val="center"/>
            <w:textDirection w:val="lrTb"/>
            <w:noWrap w:val="false"/>
          </w:tcPr>
          <w:p>
            <w:pPr>
              <w:pStyle w:val="925"/>
              <w:ind w:right="420" w:firstLine="0"/>
              <w:spacing w:line="360" w:lineRule="auto"/>
              <w:shd w:val="clear" w:color="auto" w:fill="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90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846"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567"/>
        </w:trPr>
        <w:tc>
          <w:tcPr>
            <w:gridSpan w:val="2"/>
            <w:tcW w:w="4184"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合计金额</w:t>
            </w:r>
            <w:r/>
          </w:p>
        </w:tc>
        <w:tc>
          <w:tcPr>
            <w:gridSpan w:val="5"/>
            <w:tcW w:w="5470" w:type="dxa"/>
            <w:vAlign w:val="center"/>
            <w:textDirection w:val="lrTb"/>
            <w:noWrap w:val="false"/>
          </w:tcPr>
          <w:p>
            <w:pPr>
              <w:pStyle w:val="925"/>
              <w:ind w:right="420" w:firstLine="0"/>
              <w:spacing w:line="360" w:lineRule="auto"/>
              <w:shd w:val="clear" w:color="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人民币（大写）</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圆（¥（小写）</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元）</w:t>
            </w:r>
            <w:r/>
          </w:p>
        </w:tc>
      </w:tr>
    </w:tbl>
    <w:p>
      <w:pPr>
        <w:pStyle w:val="925"/>
        <w:ind w:left="0"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left="0"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w:t>
      </w:r>
      <w:r/>
    </w:p>
    <w:p>
      <w:pPr>
        <w:pStyle w:val="925"/>
        <w:ind w:left="0" w:right="420" w:firstLine="48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 w:val="24"/>
          <w:szCs w:val="24"/>
          <w:highlight w:val="none"/>
        </w:rPr>
        <w:t xml:space="preserve">各投标人应根据此表格式按项目分别填写报价详细清单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w:t>
      </w:r>
      <w:r>
        <w:rPr>
          <w:rFonts w:hint="eastAsia" w:ascii="宋体" w:hAnsi="宋体" w:eastAsia="宋体" w:cs="宋体"/>
          <w:color w:val="auto"/>
          <w:sz w:val="24"/>
          <w:szCs w:val="24"/>
          <w:highlight w:val="none"/>
          <w:lang w:val="en-US" w:eastAsia="zh-CN"/>
        </w:rPr>
        <w:t xml:space="preserve">表格内容不够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可自行添加。</w:t>
      </w:r>
      <w:r/>
    </w:p>
    <w:p>
      <w:pPr>
        <w:pStyle w:val="925"/>
        <w:numPr>
          <w:ilvl w:val="0"/>
          <w:numId w:val="0"/>
        </w:numPr>
        <w:ind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投标人须对全部采购内容进行报价。如未按照本表规定提供或本表中合计金额与“开标一览表”投标总价不一致的按无效投标报价的投标文件处理。</w:t>
      </w:r>
      <w:r/>
    </w:p>
    <w:p>
      <w:pPr>
        <w:pStyle w:val="925"/>
        <w:ind w:left="0" w:right="420" w:firstLine="48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7"/>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w:t>
      </w:r>
      <w:r>
        <w:rPr>
          <w:rFonts w:hint="eastAsia" w:ascii="宋体" w:hAnsi="宋体" w:eastAsia="宋体" w:cs="宋体"/>
          <w:color w:val="auto"/>
          <w:sz w:val="24"/>
          <w:szCs w:val="24"/>
          <w:highlight w:val="none"/>
        </w:rPr>
        <w:t xml:space="preserve">（单位盖章）</w:t>
      </w:r>
      <w:r>
        <w:rPr>
          <w:rFonts w:hint="eastAsia" w:ascii="宋体" w:hAnsi="宋体" w:eastAsia="宋体" w:cs="宋体"/>
          <w:bCs/>
          <w:color w:val="auto"/>
          <w:sz w:val="24"/>
          <w:szCs w:val="24"/>
          <w:highlight w:val="none"/>
        </w:rPr>
        <w:t xml:space="preserve">：</w:t>
      </w:r>
      <w:r/>
    </w:p>
    <w:p>
      <w:pPr>
        <w:pStyle w:val="997"/>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法定代表人或代理人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bCs/>
          <w:color w:val="auto"/>
          <w:sz w:val="24"/>
          <w:szCs w:val="24"/>
          <w:highlight w:val="none"/>
        </w:rPr>
        <w:t xml:space="preserve">：</w:t>
      </w:r>
      <w:r/>
    </w:p>
    <w:p>
      <w:pPr>
        <w:pStyle w:val="997"/>
        <w:ind w:firstLine="48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年     月     日</w:t>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25"/>
        <w:ind w:right="420" w:firstLine="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lang w:val="en-US" w:eastAsia="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color w:val="auto"/>
          <w:sz w:val="24"/>
          <w:szCs w:val="24"/>
          <w:highlight w:val="none"/>
          <w:lang w:val="en-US" w:eastAsia="zh-CN"/>
        </w:rPr>
      </w:r>
      <w:r/>
    </w:p>
    <w:p>
      <w:pPr>
        <w:pStyle w:val="997"/>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、中小企业声明函</w:t>
      </w:r>
      <w:r/>
    </w:p>
    <w:p>
      <w:pPr>
        <w:pStyle w:val="932"/>
        <w:ind w:left="0" w:right="130"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lang w:val="zh-CN"/>
        </w:rPr>
        <w:t xml:space="preserve">（联合体）</w:t>
      </w:r>
      <w:r>
        <w:rPr>
          <w:rFonts w:hint="eastAsia" w:ascii="宋体" w:hAnsi="宋体" w:eastAsia="宋体" w:cs="宋体"/>
          <w:color w:val="auto"/>
          <w:sz w:val="24"/>
          <w:szCs w:val="24"/>
          <w:highlight w:val="none"/>
        </w:rPr>
        <w:t xml:space="preserve">郑重声明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根据《政府采购促进中小企业发展管理办法》（财库﹝2020﹞46 号）的规定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lang w:val="zh-CN"/>
        </w:rPr>
        <w:t xml:space="preserve">（联合体）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承接</w:t>
      </w:r>
      <w:r>
        <w:rPr>
          <w:rFonts w:hint="eastAsia" w:ascii="宋体" w:hAnsi="宋体" w:eastAsia="宋体" w:cs="宋体"/>
          <w:color w:val="auto"/>
          <w:sz w:val="24"/>
          <w:szCs w:val="24"/>
          <w:highlight w:val="none"/>
        </w:rPr>
        <w:t xml:space="preserve">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；承</w:t>
      </w:r>
      <w:r>
        <w:rPr>
          <w:rFonts w:hint="eastAsia" w:ascii="宋体" w:hAnsi="宋体" w:eastAsia="宋体" w:cs="宋体"/>
          <w:color w:val="auto"/>
          <w:sz w:val="24"/>
          <w:szCs w:val="24"/>
          <w:highlight w:val="none"/>
          <w:lang w:val="en-US" w:eastAsia="zh-CN"/>
        </w:rPr>
        <w:t xml:space="preserve">接</w:t>
      </w:r>
      <w:r>
        <w:rPr>
          <w:rFonts w:hint="eastAsia" w:ascii="宋体" w:hAnsi="宋体" w:eastAsia="宋体" w:cs="宋体"/>
          <w:color w:val="auto"/>
          <w:sz w:val="24"/>
          <w:szCs w:val="24"/>
          <w:highlight w:val="none"/>
        </w:rPr>
        <w:t xml:space="preserve">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不属于大企业的分支机构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不存在控股股东为大企业的情形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也不存在与大企业的负责人为同一人的情形。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若供应商未在此函中对（中型企业、小型企业、微型企业）明确选择，视为非中小企业，不享受中小企业扶持政策；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若供应商提供的“中小企业声明函”内容不实的，属于提供虚假材料谋取中标、成交，依照《中华人民共和国政府采购法》等国家有关规定追究相应责任。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shd w:val="clear" w:color="auto"/>
        <w:rPr>
          <w:rFonts w:hint="eastAsia" w:ascii="宋体" w:hAnsi="宋体" w:eastAsia="宋体" w:cs="宋体"/>
          <w:b/>
          <w:color w:val="auto"/>
          <w:sz w:val="24"/>
          <w:szCs w:val="24"/>
          <w:highlight w:val="none"/>
        </w:rPr>
        <w:outlineLvl w:val="0"/>
      </w:pPr>
      <w:r>
        <w:rPr>
          <w:rFonts w:hint="eastAsia" w:ascii="宋体" w:hAnsi="宋体" w:eastAsia="宋体" w:cs="宋体"/>
          <w:color w:val="auto"/>
          <w:sz w:val="24"/>
          <w:szCs w:val="24"/>
          <w:highlight w:val="none"/>
          <w:lang w:val="en-US" w:eastAsia="zh-CN"/>
        </w:rPr>
        <w:t xml:space="preserve">5、中标供应商为中小企业的，《中小企业声明函》将随中标结果同时公告。</w:t>
      </w:r>
      <w:r>
        <w:rPr>
          <w:rFonts w:hint="eastAsia" w:ascii="宋体" w:hAnsi="宋体" w:eastAsia="宋体" w:cs="宋体"/>
          <w:color w:val="auto"/>
          <w:sz w:val="24"/>
          <w:szCs w:val="24"/>
          <w:highlight w:val="none"/>
          <w:lang w:val="en-US" w:eastAsia="zh-CN"/>
        </w:rPr>
        <w:br w:type="page" w:clear="all"/>
      </w:r>
      <w:r>
        <w:rPr>
          <w:rFonts w:hint="eastAsia" w:ascii="宋体" w:hAnsi="宋体" w:eastAsia="宋体" w:cs="宋体"/>
          <w:b/>
          <w:color w:val="auto"/>
          <w:sz w:val="24"/>
          <w:szCs w:val="24"/>
          <w:highlight w:val="none"/>
        </w:rPr>
        <w:t xml:space="preserve">附：中小企业划型标准规定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营业收入500万元及以上的为中型企业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营业收入50万元及以上的为小型企业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营业收入50万元以下的为微型企业。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从业人员300人及以上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且营业收入2000万元及以上的为中型企业；从业人员20人及以上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且营业收入300万元及以上的为小型企业；从业人员20人以下或营业收入300万元以下的为微型企业。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营业收入6000万元及以上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且资产总额5000万元及以上的为中型企业；营业收入300万元及以上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且资产总额300万元及以上的为小型企业；营业收入300万元以下或资产总额300万元以下的为微型企业。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且营业收入5000万元及以上的为中型企业；从业人员5人及以上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且营业收入1000万元及以上的为小型企业；从业人员5人以下或营业收入1000万元以下的为微型企业。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从业人员50人及以上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且营业收入500万元及以上的为中型企业；从业人员10人及以上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且营业收入100万元及以上的为小型企业；从业人员10人以下或营业收入100万元以下的为微型企业。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从业人员300人及以上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且营业收入3000万元及以上的为中型企业；从业人员20人及以上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且营业收入200万元及以上的为小型企业；从业人员20人以下或营业收入200万元以下的为微型企业。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且营业收入1000万元及以上的为中型企业；从业人员20人及以上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且营业收入100万元及以上的为小型企业；从业人员20人以下或营业收入100万元以下的为微型企业。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从业人员300人及以上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且营业收入2000万元及以上的为中型企业；从业人员20人及以上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且营业收入100万元及以上的为小型企业；从业人员20人以下或营业收入100万元以下的为微型企业。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且营业收入100万元及以上的为小型企业；从业人员10人以下或营业收入100万元以下的为微型企业。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且营业收入2000万元及以上的为中型企业；从业人员10人及以上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且营业收入100万元及以上的为小型企业；从业人员10人以下或营业收入100万元以下的为微型企业。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且营业收入100万元及以上的为小型企业；从业人员10人以下或营业收入100万元以下的为微型企业。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且营业收入50万元及以上的为小型企业；从业人员10人以下或营业收入50万元以下的为微型企业。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营业收入1000万元及以上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且资产总额5000万元及以上的为中型企业；营业收入100万元及以上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且资产总额2000万元及以上的为小型企业；营业收入100万元以下或资产总额2000万元以下的为微型企业。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p>
    <w:p>
      <w:pPr>
        <w:ind w:lef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且营业收入1000万元及以上的为中型企业；从业人员100人及以上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且营业收入500万元及以上的为小型企业；从业人员100人以下或营业收入500万元以下的为微型企业。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且资产总额8000万元及以上的为中型企业；从业人员10人及以上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且资产总额100万元及以上的为小型企业；从业人员10人以下或资产总额100万元以下的为微型企业。</w:t>
      </w:r>
      <w:r/>
    </w:p>
    <w:p>
      <w:pPr>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从业人员100人及以上的为中型企业；从业人员10人及以上的为小型企业；从业人员10人以下的为微型企业。</w:t>
      </w:r>
      <w:r/>
    </w:p>
    <w:p>
      <w:pPr>
        <w:spacing w:line="360" w:lineRule="auto"/>
        <w:shd w:val="clear" w:color="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spacing w:line="360" w:lineRule="auto"/>
        <w:shd w:val="clear" w:color="auto"/>
        <w:rPr>
          <w:rFonts w:hint="eastAsia" w:ascii="宋体" w:hAnsi="宋体" w:eastAsia="宋体" w:cs="宋体"/>
          <w:b/>
          <w:bCs/>
          <w:color w:val="auto"/>
          <w:sz w:val="24"/>
          <w:szCs w:val="24"/>
          <w:highlight w:val="none"/>
          <w:lang w:val="en-US" w:eastAsia="zh-CN"/>
        </w:rPr>
        <w:sectPr>
          <w:footnotePr/>
          <w:endnotePr/>
          <w:type w:val="nextPage"/>
          <w:pgSz w:w="11906" w:h="16838" w:orient="portrait"/>
          <w:pgMar w:top="1134" w:right="1134" w:bottom="1134" w:left="1134" w:header="851" w:footer="992" w:gutter="0"/>
          <w:cols w:num="1" w:sep="0" w:space="720" w:equalWidth="1"/>
          <w:docGrid w:linePitch="360"/>
        </w:sectPr>
        <w:outlineLvl w:val="0"/>
      </w:pPr>
      <w:r>
        <w:rPr>
          <w:rFonts w:hint="eastAsia" w:ascii="宋体" w:hAnsi="宋体" w:eastAsia="宋体" w:cs="宋体"/>
          <w:b/>
          <w:bCs/>
          <w:color w:val="auto"/>
          <w:sz w:val="24"/>
          <w:szCs w:val="24"/>
          <w:highlight w:val="none"/>
          <w:lang w:val="en-US" w:eastAsia="zh-CN"/>
        </w:rPr>
      </w:r>
      <w:r/>
    </w:p>
    <w:p>
      <w:pPr>
        <w:spacing w:line="360" w:lineRule="auto"/>
        <w:shd w:val="clear" w:color="auto"/>
        <w:rPr>
          <w:rFonts w:hint="eastAsia" w:ascii="宋体" w:hAnsi="宋体" w:eastAsia="宋体" w:cs="宋体"/>
          <w:b w:val="0"/>
          <w:bCs w:val="0"/>
          <w:color w:val="auto"/>
          <w:sz w:val="24"/>
          <w:szCs w:val="24"/>
          <w:highlight w:val="none"/>
        </w:rPr>
        <w:outlineLvl w:val="0"/>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、残疾人福利性单位声明函</w:t>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根据《财政部  民政部  中国残疾人联合会关于促进残疾人就业政府采购政策的通知》（财库〔2017〕141号）的规定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本单位为符合条件的残疾人福利性单位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或者提供其他残疾人福利性单位制造的货物（不包括使用非残疾人福利性单位注册商标的货物）。</w:t>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本单位对上述声明的真实性负责。如有虚假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（单位公章）：</w:t>
      </w:r>
      <w:r/>
    </w:p>
    <w:p>
      <w:pPr>
        <w:ind w:firstLine="42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7"/>
        <w:spacing w:line="360" w:lineRule="auto"/>
        <w:rPr>
          <w:rFonts w:hint="eastAsia" w:ascii="宋体" w:hAnsi="宋体" w:eastAsia="宋体" w:cs="宋体"/>
          <w:b/>
          <w:bCs/>
          <w:color w:val="auto"/>
          <w:sz w:val="24"/>
          <w:szCs w:val="24"/>
          <w:highlight w:val="none"/>
          <w:lang w:val="en-US" w:eastAsia="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bCs/>
          <w:color w:val="auto"/>
          <w:sz w:val="24"/>
          <w:szCs w:val="24"/>
          <w:highlight w:val="none"/>
          <w:lang w:val="en-US" w:eastAsia="zh-CN"/>
        </w:rPr>
      </w:r>
      <w:r/>
    </w:p>
    <w:p>
      <w:pPr>
        <w:jc w:val="center"/>
        <w:spacing w:line="360" w:lineRule="auto"/>
        <w:shd w:val="clear" w:color="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第四章 </w:t>
      </w:r>
      <w:r>
        <w:rPr>
          <w:rFonts w:hint="eastAsia" w:ascii="宋体" w:hAnsi="宋体" w:eastAsia="宋体" w:cs="宋体"/>
          <w:b/>
          <w:color w:val="auto"/>
          <w:sz w:val="24"/>
          <w:szCs w:val="24"/>
          <w:highlight w:val="none"/>
          <w:lang w:val="en-US" w:eastAsia="zh-CN"/>
        </w:rPr>
        <w:t xml:space="preserve">采购需求</w:t>
      </w:r>
      <w:r/>
    </w:p>
    <w:p>
      <w:pPr>
        <w:ind w:firstLine="480"/>
        <w:spacing w:line="360" w:lineRule="auto"/>
        <w:shd w:val="clear" w:color="auto"/>
        <w:rPr>
          <w:rFonts w:hint="eastAsia" w:ascii="宋体" w:hAnsi="宋体" w:eastAsia="宋体" w:cs="宋体"/>
          <w:color w:val="auto"/>
          <w:sz w:val="24"/>
          <w:szCs w:val="24"/>
          <w:highlight w:val="none"/>
        </w:rPr>
      </w:pPr>
      <w:r/>
      <w:bookmarkStart w:id="7" w:name="_Toc13642116"/>
      <w:r>
        <w:rPr>
          <w:rFonts w:hint="eastAsia" w:ascii="宋体" w:hAnsi="宋体" w:eastAsia="宋体" w:cs="宋体"/>
          <w:color w:val="auto"/>
          <w:sz w:val="24"/>
          <w:szCs w:val="24"/>
          <w:highlight w:val="none"/>
        </w:rPr>
        <w:t xml:space="preserve">苏州正杰招投标咨询服务有限公司受</w:t>
      </w:r>
      <w:r>
        <w:rPr>
          <w:rFonts w:hint="eastAsia" w:ascii="宋体" w:hAnsi="宋体" w:eastAsia="宋体" w:cs="宋体"/>
          <w:color w:val="auto"/>
          <w:sz w:val="24"/>
          <w:szCs w:val="24"/>
          <w:highlight w:val="none"/>
          <w:lang w:eastAsia="zh-CN"/>
        </w:rPr>
        <w:t xml:space="preserve">苏州市文物保护管理所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就其所需的</w:t>
      </w:r>
      <w:r>
        <w:rPr>
          <w:rFonts w:hint="eastAsia" w:ascii="宋体" w:hAnsi="宋体" w:eastAsia="宋体" w:cs="宋体"/>
          <w:color w:val="auto"/>
          <w:sz w:val="24"/>
          <w:szCs w:val="24"/>
          <w:highlight w:val="none"/>
          <w:lang w:eastAsia="zh-CN"/>
        </w:rPr>
        <w:t xml:space="preserve">苏州市区国保单位及大运河（苏州段）精密三维数字化建设和监测</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的采购进行公开招标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欢迎有资格的供应商前来参加投标。</w:t>
      </w:r>
      <w:r/>
    </w:p>
    <w:p>
      <w:pPr>
        <w:ind w:firstLine="480"/>
        <w:spacing w:line="360" w:lineRule="auto"/>
        <w:shd w:val="clear" w:color="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一、项目编号：JSZC-320500-SZZJ-G2024-0031号。</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w:t>
      </w:r>
      <w:bookmarkEnd w:id="7"/>
      <w:r/>
      <w:bookmarkStart w:id="8" w:name="_Toc13543213"/>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（一）项目概况：</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计划采用现代监测技术手段，从水平、垂直等不同形变方向，从水下、水面（地面）、空中等不同空间维度，开展数字化立体监测工作。同时利用三维数字化技术对国保单位进行精密三维数字化建设，保存文物本体的真实尺度与面貌，精确还原其结构关系，并将数字化成果作为记录、维修、保护文物的主要依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（二）项目目标和采购内容：</w:t>
      </w:r>
      <w:r/>
    </w:p>
    <w:tbl>
      <w:tblPr>
        <w:tblStyle w:val="923"/>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78"/>
        <w:gridCol w:w="6461"/>
      </w:tblGrid>
      <w:tr>
        <w:trPr>
          <w:jc w:val="center"/>
          <w:trHeight w:val="567"/>
        </w:trPr>
        <w:tc>
          <w:tcPr>
            <w:tcW w:w="317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646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项目内容</w:t>
            </w:r>
            <w:r/>
          </w:p>
        </w:tc>
      </w:tr>
      <w:tr>
        <w:trPr>
          <w:jc w:val="center"/>
          <w:trHeight w:val="567"/>
        </w:trPr>
        <w:tc>
          <w:tcPr>
            <w:tcW w:w="3178" w:type="dxa"/>
            <w:vAlign w:val="center"/>
            <w:vMerge w:val="restar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2024年度苏州市区国保单位及大运河（苏州段）精密三维数字化建设和监测</w:t>
            </w:r>
            <w:r/>
          </w:p>
        </w:tc>
        <w:tc>
          <w:tcPr>
            <w:tcW w:w="646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2024年度苏州市区国保单位精密三维数字化建设</w:t>
            </w:r>
            <w:r/>
          </w:p>
        </w:tc>
      </w:tr>
      <w:tr>
        <w:trPr>
          <w:jc w:val="center"/>
          <w:trHeight w:val="567"/>
        </w:trPr>
        <w:tc>
          <w:tcPr>
            <w:tcW w:w="3178" w:type="dxa"/>
            <w:vAlign w:val="center"/>
            <w:vMerge w:val="continue"/>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6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2024年度大运河苏州段遗产监测</w:t>
            </w:r>
            <w:r/>
          </w:p>
        </w:tc>
      </w:tr>
      <w:tr>
        <w:trPr>
          <w:jc w:val="center"/>
          <w:trHeight w:val="567"/>
        </w:trPr>
        <w:tc>
          <w:tcPr>
            <w:tcW w:w="3178" w:type="dxa"/>
            <w:vAlign w:val="center"/>
            <w:vMerge w:val="continue"/>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6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2024年度轨道交通沿线国保单位变形监测</w:t>
            </w:r>
            <w:r/>
          </w:p>
        </w:tc>
      </w:tr>
    </w:tbl>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（三）服务要求：</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1、2024年度苏州市区国保单位精密三维数字化建设：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东吴大学旧址位于十梓街，始建于清</w:t>
      </w:r>
      <w:r>
        <w:rPr>
          <w:rFonts w:hint="eastAsia" w:ascii="宋体" w:hAnsi="宋体" w:eastAsia="宋体" w:cs="宋体"/>
          <w:color w:val="auto"/>
          <w:sz w:val="24"/>
          <w:szCs w:val="24"/>
        </w:rPr>
        <w:t xml:space="preserve">末、民国时期，2013年被列入第七批全国重点文物保护单位。占地约6万平方米，建筑总面积2.1万平方米。校门北向，总平面略呈纵长方形，主要建筑分布在草坪操场的北、西、东三面。其中有清光绪二十七年秋开工，二十九年春落成，位于全校中心的钟楼“林堂”；宣统元年秋开工，三年落成的图书馆“孙堂”；1924年秋建成的科学馆“葛堂”；1934年建成的学生宿舍“维格堂”；1935年建成的学生宿舍“子实堂”；1936年建成的健身房。这些建筑各具风格，或作欧洲古典式，或仿中世纪城堡式，或效美国教堂式，既多样又统一，至今保持原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东吴大学旧址</w:t>
      </w:r>
      <w:r>
        <w:rPr>
          <w:rFonts w:hint="eastAsia" w:ascii="宋体" w:hAnsi="宋体" w:eastAsia="宋体" w:cs="宋体"/>
          <w:bCs/>
          <w:color w:val="auto"/>
          <w:sz w:val="24"/>
          <w:szCs w:val="24"/>
        </w:rPr>
        <w:t xml:space="preserve">精密三维数字化建设拟开展主要内容包括以下方面：</w:t>
      </w:r>
      <w:r/>
    </w:p>
    <w:p>
      <w:pPr>
        <w:ind w:firstLine="480"/>
        <w:spacing w:line="360" w:lineRule="auto"/>
        <w:rPr>
          <w:rFonts w:hint="eastAsia" w:ascii="宋体" w:hAnsi="宋体" w:eastAsia="宋体" w:cs="宋体"/>
          <w:b w:val="0"/>
          <w:color w:val="auto"/>
          <w:sz w:val="24"/>
          <w:szCs w:val="24"/>
          <w:lang w:eastAsia="zh-CN"/>
        </w:rPr>
      </w:pPr>
      <w:r>
        <w:rPr>
          <w:rFonts w:hint="eastAsia" w:ascii="宋体" w:hAnsi="宋体" w:eastAsia="宋体" w:cs="宋体"/>
          <w:b w:val="0"/>
          <w:color w:val="auto"/>
          <w:sz w:val="24"/>
          <w:szCs w:val="24"/>
        </w:rPr>
        <w:t xml:space="preserve">（1）三维数字化扫描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三维激光扫描技术，对“林堂”、“孙堂”、“葛堂”、“维格堂”、“子实堂”进行全面测绘，为文物现状数据获取、原始风貌保存、数字化展示提供技术依据。数据采集要求采集的点云数据能够全面、精确的反映古建筑整体以及所有局部细节的几何形态、空间结构，对采集的原始点云数据进行处理，提交符合技术指标要求的点云数据模型。</w:t>
      </w:r>
      <w:r/>
    </w:p>
    <w:p>
      <w:pPr>
        <w:ind w:firstLine="480"/>
        <w:spacing w:line="360" w:lineRule="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（2）近景摄影测量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据采集要求利用高像素近景摄影测量设备对“林堂”、“孙堂”、“葛堂”、“维格堂”、“子实堂”展开数据采集，要求采集纹理影像清晰，并利用色彩还原技术真实还原色彩信息，要求古建筑纹理分辨率≥75dpi。</w:t>
      </w:r>
      <w:r/>
    </w:p>
    <w:p>
      <w:pPr>
        <w:ind w:firstLine="480"/>
        <w:spacing w:line="360" w:lineRule="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（3）存档级三维建模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存档级三维模型是基于点云数据，以三角面片形式精密表达空间不规则体的一种精确的表面模型，可实现模型对象的面积、体积等量测查询，是三维数据浏览、存档展示的重要数据格式。通过三维建模方法（软件、算法）构建“林堂”、“孙堂”、“葛堂”、“维格堂”、“子实堂”的三角面片模型，并提交符合技术指标要求的模型。</w:t>
      </w:r>
      <w:r/>
    </w:p>
    <w:p>
      <w:pPr>
        <w:ind w:firstLine="480"/>
        <w:spacing w:line="360" w:lineRule="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（4）三维实景建设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引入三维实景技术，利用地面移动测量系统采集国保单位内部可达区域及周围场景的全景数据，通过数据发布，实现文物真实场景在线浏览及位置共享。</w:t>
      </w:r>
      <w:r/>
    </w:p>
    <w:p>
      <w:pPr>
        <w:ind w:firstLine="480"/>
        <w:spacing w:line="360" w:lineRule="auto"/>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（5）平立剖面图制作</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本项目需要基于点云数据，完成“林堂”、“孙堂”、“葛堂”、“维格堂”、“子实堂”高精度平立剖面图制作。</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（6）主要精度指标：</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A. 几何精度：古建筑单点点云采集精度优于2mm；建筑单体配准后点云成果特征点间距中误差优于±20mm；建筑群配准后点云成果特征点间距中误差优于±30mm。</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B. 纹理精度：纹理的材质、图案、颜色和质感与文物现状保持一致。</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2、2024年度大运河苏州段遗产监测：</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京杭大运河2014年成功入选世界文化遗产名录。根据世界文化遗产保护标准和国家有关部署要求，为了更好地保护世界文化遗产和珍贵文物的安全，需要对世界文化遗产进行保护性监测。</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（1）监测工作量</w:t>
      </w:r>
      <w:r/>
    </w:p>
    <w:tbl>
      <w:tblPr>
        <w:tblStyle w:val="923"/>
        <w:tblW w:w="96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2"/>
        <w:gridCol w:w="1350"/>
        <w:gridCol w:w="3195"/>
        <w:gridCol w:w="2400"/>
        <w:gridCol w:w="1961"/>
      </w:tblGrid>
      <w:tr>
        <w:trPr>
          <w:jc w:val="center"/>
          <w:trHeight w:val="567"/>
        </w:trPr>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监测内容</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监测范围</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监测方式</w:t>
            </w:r>
            <w:r/>
          </w:p>
        </w:tc>
        <w:tc>
          <w:tcPr>
            <w:tcBorders>
              <w:top w:val="single" w:color="auto" w:sz="4" w:space="0"/>
              <w:left w:val="single" w:color="auto" w:sz="4" w:space="0"/>
              <w:bottom w:val="single" w:color="auto" w:sz="4" w:space="0"/>
              <w:right w:val="single" w:color="auto" w:sz="4" w:space="0"/>
            </w:tcBorders>
            <w:tcW w:w="1961"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成果样式</w:t>
            </w:r>
            <w:r/>
          </w:p>
        </w:tc>
      </w:tr>
      <w:tr>
        <w:trPr>
          <w:cantSplit/>
          <w:jc w:val="center"/>
          <w:trHeight w:val="567"/>
        </w:trPr>
        <w:tc>
          <w:tcPr>
            <w:tcBorders>
              <w:top w:val="single" w:color="auto" w:sz="4" w:space="0"/>
              <w:left w:val="single" w:color="auto" w:sz="4" w:space="0"/>
              <w:right w:val="single" w:color="auto" w:sz="4" w:space="0"/>
            </w:tcBorders>
            <w:tcW w:w="732"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Borders>
              <w:top w:val="single" w:color="auto" w:sz="4" w:space="0"/>
              <w:left w:val="single" w:color="auto" w:sz="4" w:space="0"/>
              <w:right w:val="single" w:color="auto" w:sz="4" w:space="0"/>
            </w:tcBorders>
            <w:tcW w:w="1350"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水下监测</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重点河段</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（共计测线长度10km）</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基于单波束测深技术</w:t>
            </w:r>
            <w:r/>
          </w:p>
        </w:tc>
        <w:tc>
          <w:tcPr>
            <w:tcBorders>
              <w:top w:val="single" w:color="auto" w:sz="4" w:space="0"/>
              <w:left w:val="single" w:color="auto" w:sz="4" w:space="0"/>
              <w:bottom w:val="single" w:color="auto" w:sz="4" w:space="0"/>
              <w:right w:val="single" w:color="auto" w:sz="4" w:space="0"/>
            </w:tcBorders>
            <w:tcW w:w="1961"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河床断面</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分析图</w:t>
            </w:r>
            <w:r/>
          </w:p>
        </w:tc>
      </w:tr>
      <w:tr>
        <w:trPr>
          <w:cantSplit/>
          <w:jc w:val="center"/>
          <w:trHeight w:val="567"/>
        </w:trPr>
        <w:tc>
          <w:tcPr>
            <w:tcBorders>
              <w:top w:val="single" w:color="auto" w:sz="4" w:space="0"/>
              <w:left w:val="single" w:color="auto" w:sz="4" w:space="0"/>
              <w:right w:val="single" w:color="auto" w:sz="4" w:space="0"/>
            </w:tcBorders>
            <w:tcW w:w="732" w:type="dxa"/>
            <w:vAlign w:val="center"/>
            <w:vMerge w:val="restart"/>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tcBorders>
              <w:top w:val="single" w:color="auto" w:sz="4" w:space="0"/>
              <w:left w:val="single" w:color="auto" w:sz="4" w:space="0"/>
              <w:right w:val="single" w:color="auto" w:sz="4" w:space="0"/>
            </w:tcBorders>
            <w:tcW w:w="1350" w:type="dxa"/>
            <w:vAlign w:val="center"/>
            <w:vMerge w:val="restart"/>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空中监测</w:t>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大运河苏州段</w:t>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缓冲区内部范围</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无人机航空摄影测量</w:t>
            </w:r>
            <w:r/>
          </w:p>
        </w:tc>
        <w:tc>
          <w:tcPr>
            <w:tcBorders>
              <w:top w:val="single" w:color="auto" w:sz="4" w:space="0"/>
              <w:left w:val="single" w:color="auto" w:sz="4" w:space="0"/>
              <w:bottom w:val="single" w:color="auto" w:sz="4" w:space="0"/>
              <w:right w:val="single" w:color="auto" w:sz="4" w:space="0"/>
            </w:tcBorders>
            <w:tcW w:w="196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正射影像图</w:t>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空中实景</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多光谱影像</w:t>
            </w:r>
            <w:r/>
          </w:p>
        </w:tc>
      </w:tr>
      <w:tr>
        <w:trPr>
          <w:cantSplit/>
          <w:jc w:val="center"/>
          <w:trHeight w:val="567"/>
        </w:trPr>
        <w:tc>
          <w:tcPr>
            <w:tcBorders>
              <w:left w:val="single" w:color="auto" w:sz="4" w:space="0"/>
              <w:bottom w:val="single" w:color="auto" w:sz="4" w:space="0"/>
              <w:right w:val="single" w:color="auto" w:sz="4" w:space="0"/>
            </w:tcBorders>
            <w:tcW w:w="732" w:type="dxa"/>
            <w:vAlign w:val="center"/>
            <w:vMerge w:val="continue"/>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left w:val="single" w:color="auto" w:sz="4" w:space="0"/>
              <w:bottom w:val="single" w:color="auto" w:sz="4" w:space="0"/>
              <w:right w:val="single" w:color="auto" w:sz="4" w:space="0"/>
            </w:tcBorders>
            <w:tcW w:w="1350" w:type="dxa"/>
            <w:vAlign w:val="center"/>
            <w:vMerge w:val="continue"/>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auto" w:sz="4" w:space="0"/>
              <w:left w:val="single" w:color="auto" w:sz="4" w:space="0"/>
              <w:bottom w:val="single" w:color="auto" w:sz="4" w:space="0"/>
              <w:right w:val="single" w:color="auto" w:sz="4" w:space="0"/>
            </w:tcBorders>
            <w:tcW w:w="3195"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苏锡段、吴江段1年3次</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其余1年6次</w:t>
            </w:r>
            <w:r/>
          </w:p>
        </w:tc>
        <w:tc>
          <w:tcPr>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航飞视频</w:t>
            </w:r>
            <w:r/>
          </w:p>
        </w:tc>
        <w:tc>
          <w:tcPr>
            <w:tcBorders>
              <w:top w:val="single" w:color="auto" w:sz="4" w:space="0"/>
              <w:left w:val="single" w:color="auto" w:sz="4" w:space="0"/>
              <w:bottom w:val="single" w:color="auto" w:sz="4" w:space="0"/>
              <w:right w:val="single" w:color="auto" w:sz="4" w:space="0"/>
            </w:tcBorders>
            <w:tcW w:w="1961"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变化分析成果</w:t>
            </w:r>
            <w:r/>
          </w:p>
        </w:tc>
      </w:tr>
    </w:tbl>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（2）水下监测</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水下监测主要对河床的保存状况进行监测，采用单波束测深及多时相数据比对技术。</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通过周期性监测数据的对比分析，可获取河床在监测周期内的变化情况，对多个监测周期河床变化情况进行时空分析，可以进一步掌握河床在长周期内的时空演变规律，从而对预测河床变化及采取有效的预防性保护措施提供数据依据。主要监测内容包括以下两个部分</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①</w:t>
      </w:r>
      <w:r>
        <w:rPr>
          <w:rFonts w:hint="eastAsia" w:ascii="宋体" w:hAnsi="宋体" w:eastAsia="宋体" w:cs="宋体"/>
          <w:bCs/>
          <w:color w:val="auto"/>
          <w:sz w:val="24"/>
          <w:szCs w:val="24"/>
        </w:rPr>
        <w:t xml:space="preserve">河床安全性及稳定性监测</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基于本年度河床监测测深数据，制作河床断面图，计算河床坡度比，完成水下河床的安全性分析。通过与往期监测数据对比，完成水下河床的稳定性分析</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②</w:t>
      </w:r>
      <w:r>
        <w:rPr>
          <w:rFonts w:hint="eastAsia" w:ascii="宋体" w:hAnsi="宋体" w:eastAsia="宋体" w:cs="宋体"/>
          <w:bCs/>
          <w:color w:val="auto"/>
          <w:sz w:val="24"/>
          <w:szCs w:val="24"/>
        </w:rPr>
        <w:t xml:space="preserve">河床形态变化分析</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基于不同期的同一位置断面图比对，可直观反映出河床在该断面处的变化情况，可为研究河道演变规律、水库合理调度运用，以及防洪减灾、综合治理提供科学依据</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空中监测</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空中监测主要对遗产区及缓冲区内的绿化、建筑等用地信息变化情况进行监测。利用无人机航空摄影测量技术对遗产区及缓冲区进行变化监测，记录遗产区及缓冲区的整体格局现状，获取遗产区及缓冲区绿化、建筑的变化过程及变化量。通过对无人机采集的正射影像数据进行处理，建立遗产区及缓冲区正射影像图。通过对空中实景数据进行拼接及利用空中实景浏览系统进行数据发布。</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基于不同期倾斜摄影三维模型与正射影像数据比对分析，判断绿地、建筑等的变化状况，统计出相应的变化指标。</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基于不同期空中实景数据，通过浏览查看，记录存在的绿化、建筑、整体格局等变化情况，并给出变化坐标位置、影响范围等数据</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3、2024年度轨道交通沿线国保单位变形监测：</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2024年6月29日，苏州轨道交通6号线也开通了运营，</w:t>
      </w:r>
      <w:r>
        <w:rPr>
          <w:rFonts w:hint="eastAsia" w:ascii="宋体" w:hAnsi="宋体" w:eastAsia="宋体" w:cs="宋体"/>
          <w:bCs/>
          <w:color w:val="auto"/>
          <w:sz w:val="24"/>
          <w:szCs w:val="24"/>
        </w:rPr>
        <w:t xml:space="preserve">为保证在轨道交通4号线、5号线、6号线运营期间沿线国保单位的安全，开展2024年度轨道交通沿线国保单位变形监测项目，通过定期采集监测数据，及时分析监测数据，遵照预警消警原则，全面掌控国保单位安全状态。</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2024年度轨道交通4号线、5号线沿线国保单位变形监测主要内容包括基准网复测和变形监测两项。监测手段、技术、方法和内容均与前期保持一致。</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2024年度轨道交通6号线沿线国保单位变形监测主要内容包括</w:t>
      </w:r>
      <w:r>
        <w:rPr>
          <w:rFonts w:hint="eastAsia" w:ascii="宋体" w:hAnsi="宋体" w:eastAsia="宋体" w:cs="宋体"/>
          <w:color w:val="auto"/>
          <w:sz w:val="24"/>
          <w:szCs w:val="24"/>
        </w:rPr>
        <w:t xml:space="preserve">运营前的基础数据采集和运营后的2024年下半年度变形监测</w:t>
      </w:r>
      <w:r>
        <w:rPr>
          <w:rFonts w:hint="eastAsia" w:ascii="宋体" w:hAnsi="宋体" w:eastAsia="宋体" w:cs="宋体"/>
          <w:bCs/>
          <w:color w:val="auto"/>
          <w:sz w:val="24"/>
          <w:szCs w:val="24"/>
        </w:rPr>
        <w:t xml:space="preserve">。</w:t>
      </w:r>
      <w:r>
        <w:rPr>
          <w:rFonts w:hint="eastAsia" w:ascii="宋体" w:hAnsi="宋体" w:eastAsia="宋体" w:cs="宋体"/>
          <w:color w:val="auto"/>
          <w:sz w:val="24"/>
          <w:szCs w:val="24"/>
        </w:rPr>
        <w:t xml:space="preserve">运营前的基础数据采集工作包括基准网布设、监测网布设和首期观测</w:t>
      </w:r>
      <w:r>
        <w:rPr>
          <w:rFonts w:hint="eastAsia" w:ascii="宋体" w:hAnsi="宋体" w:eastAsia="宋体" w:cs="宋体"/>
          <w:bCs/>
          <w:color w:val="auto"/>
          <w:sz w:val="24"/>
          <w:szCs w:val="24"/>
        </w:rPr>
        <w:t xml:space="preserve">；</w:t>
      </w:r>
      <w:r>
        <w:rPr>
          <w:rFonts w:hint="eastAsia" w:ascii="宋体" w:hAnsi="宋体" w:eastAsia="宋体" w:cs="宋体"/>
          <w:color w:val="auto"/>
          <w:sz w:val="24"/>
          <w:szCs w:val="24"/>
        </w:rPr>
        <w:t xml:space="preserve">运营后的2024年下半年度变形监测包括基准网复测和变形监测两项。</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（1）监测等级</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根据《建筑变形测量规范》规定，采用一等变形监测精度。</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（2）监测内容</w:t>
      </w:r>
      <w:r/>
    </w:p>
    <w:p>
      <w:pPr>
        <w:ind w:firstLine="480"/>
        <w:jc w:val="both"/>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①</w:t>
      </w:r>
      <w:r>
        <w:rPr>
          <w:rFonts w:hint="eastAsia" w:ascii="宋体" w:hAnsi="宋体" w:eastAsia="宋体" w:cs="宋体"/>
          <w:bCs/>
          <w:color w:val="auto"/>
          <w:sz w:val="24"/>
          <w:szCs w:val="24"/>
        </w:rPr>
        <w:t xml:space="preserve">轨道交通4号线沿线国保单位变形监测内容</w:t>
      </w:r>
      <w:r/>
    </w:p>
    <w:tbl>
      <w:tblPr>
        <w:tblStyle w:val="92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4125"/>
        <w:gridCol w:w="4421"/>
      </w:tblGrid>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序号</w:t>
            </w:r>
            <w:r/>
          </w:p>
        </w:tc>
        <w:tc>
          <w:tcPr>
            <w:tcW w:w="4125"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监测内容</w:t>
            </w:r>
            <w:r/>
          </w:p>
        </w:tc>
        <w:tc>
          <w:tcPr>
            <w:tcW w:w="4421"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监测对象</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W w:w="4125"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基准网复测</w:t>
            </w:r>
            <w:r/>
          </w:p>
        </w:tc>
        <w:tc>
          <w:tcPr>
            <w:tcW w:w="4421"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报恩寺塔、文庙、天香小筑、沧浪亭</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tcW w:w="4125" w:type="dxa"/>
            <w:vAlign w:val="center"/>
            <w:vMerge w:val="restart"/>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变形监测、振动监测</w:t>
            </w:r>
            <w:r/>
          </w:p>
        </w:tc>
        <w:tc>
          <w:tcPr>
            <w:tcW w:w="4421"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报恩寺塔</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tcW w:w="4125" w:type="dxa"/>
            <w:vAlign w:val="center"/>
            <w:vMerge w:val="continue"/>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4421"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文庙</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c>
          <w:tcPr>
            <w:tcW w:w="4125" w:type="dxa"/>
            <w:vAlign w:val="center"/>
            <w:vMerge w:val="continue"/>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4421"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天香小筑</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w:t>
            </w:r>
            <w:r/>
          </w:p>
        </w:tc>
        <w:tc>
          <w:tcPr>
            <w:tcW w:w="4125" w:type="dxa"/>
            <w:vAlign w:val="center"/>
            <w:vMerge w:val="continue"/>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4421"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沧浪亭</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w:t>
            </w:r>
            <w:r/>
          </w:p>
        </w:tc>
        <w:tc>
          <w:tcPr>
            <w:tcW w:w="4125" w:type="dxa"/>
            <w:vAlign w:val="center"/>
            <w:vMerge w:val="restart"/>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三维激光扫描监测</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4421"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棂星门</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w:t>
            </w:r>
            <w:r/>
          </w:p>
        </w:tc>
        <w:tc>
          <w:tcPr>
            <w:tcW w:w="4125" w:type="dxa"/>
            <w:vAlign w:val="center"/>
            <w:vMerge w:val="continue"/>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4421"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沧浪亭石亭</w:t>
            </w:r>
            <w:r/>
          </w:p>
        </w:tc>
      </w:tr>
    </w:tbl>
    <w:p>
      <w:pPr>
        <w:ind w:firstLine="480"/>
        <w:jc w:val="both"/>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②</w:t>
      </w:r>
      <w:r>
        <w:rPr>
          <w:rFonts w:hint="eastAsia" w:ascii="宋体" w:hAnsi="宋体" w:eastAsia="宋体" w:cs="宋体"/>
          <w:bCs/>
          <w:color w:val="auto"/>
          <w:sz w:val="24"/>
          <w:szCs w:val="24"/>
        </w:rPr>
        <w:t xml:space="preserve">轨道交通5号线沿线国保单位变形监测内容</w:t>
      </w:r>
      <w:r/>
    </w:p>
    <w:tbl>
      <w:tblPr>
        <w:tblStyle w:val="92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2"/>
        <w:gridCol w:w="4110"/>
        <w:gridCol w:w="4436"/>
      </w:tblGrid>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序号</w:t>
            </w:r>
            <w:r/>
          </w:p>
        </w:tc>
        <w:tc>
          <w:tcPr>
            <w:tcW w:w="4110"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监测内容</w:t>
            </w:r>
            <w:r/>
          </w:p>
        </w:tc>
        <w:tc>
          <w:tcPr>
            <w:tcW w:w="4436"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监测对象</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W w:w="4110"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基准网复测</w:t>
            </w:r>
            <w:r/>
          </w:p>
        </w:tc>
        <w:tc>
          <w:tcPr>
            <w:tcW w:w="4436"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瑞光塔、盘门城墙</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tcW w:w="4110" w:type="dxa"/>
            <w:vAlign w:val="center"/>
            <w:vMerge w:val="restart"/>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变形监测、振动监测</w:t>
            </w:r>
            <w:r/>
          </w:p>
        </w:tc>
        <w:tc>
          <w:tcPr>
            <w:tcW w:w="4436"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瑞光塔</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tcW w:w="4110" w:type="dxa"/>
            <w:vAlign w:val="center"/>
            <w:vMerge w:val="continue"/>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4436"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盘门城墙</w:t>
            </w:r>
            <w:r/>
          </w:p>
        </w:tc>
      </w:tr>
      <w:tr>
        <w:trPr>
          <w:jc w:val="center"/>
          <w:trHeight w:val="567" w:hRule="exact"/>
        </w:trPr>
        <w:tc>
          <w:tcPr>
            <w:tcW w:w="1092"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c>
          <w:tcPr>
            <w:tcW w:w="4110"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三维激光扫描监测</w:t>
            </w:r>
            <w:r/>
          </w:p>
        </w:tc>
        <w:tc>
          <w:tcPr>
            <w:tcW w:w="4436"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盘门城墙重点区域</w:t>
            </w:r>
            <w:r/>
          </w:p>
        </w:tc>
      </w:tr>
    </w:tbl>
    <w:p>
      <w:pPr>
        <w:ind w:firstLine="480"/>
        <w:jc w:val="both"/>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③</w:t>
      </w:r>
      <w:r>
        <w:rPr>
          <w:rFonts w:hint="eastAsia" w:ascii="宋体" w:hAnsi="宋体" w:eastAsia="宋体" w:cs="宋体"/>
          <w:bCs/>
          <w:color w:val="auto"/>
          <w:sz w:val="24"/>
          <w:szCs w:val="24"/>
        </w:rPr>
        <w:t xml:space="preserve">轨道交通6号线沿线国保单位变形监测内容</w:t>
      </w:r>
      <w:r/>
    </w:p>
    <w:tbl>
      <w:tblPr>
        <w:tblStyle w:val="923"/>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4"/>
        <w:gridCol w:w="4113"/>
        <w:gridCol w:w="4451"/>
      </w:tblGrid>
      <w:tr>
        <w:trPr>
          <w:jc w:val="center"/>
          <w:trHeight w:val="567"/>
        </w:trPr>
        <w:tc>
          <w:tcPr>
            <w:tcW w:w="107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序号</w:t>
            </w:r>
            <w:r/>
          </w:p>
        </w:tc>
        <w:tc>
          <w:tcPr>
            <w:tcW w:w="4113"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监测内容</w:t>
            </w:r>
            <w:r/>
          </w:p>
        </w:tc>
        <w:tc>
          <w:tcPr>
            <w:tcW w:w="4451"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监测对象</w:t>
            </w:r>
            <w:r/>
          </w:p>
        </w:tc>
      </w:tr>
      <w:tr>
        <w:trPr>
          <w:jc w:val="center"/>
          <w:trHeight w:val="567"/>
        </w:trPr>
        <w:tc>
          <w:tcPr>
            <w:tcW w:w="107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W w:w="4113"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基准网布设（包括沉降基准点、位移基准点）</w:t>
            </w:r>
            <w:r/>
          </w:p>
        </w:tc>
        <w:tc>
          <w:tcPr>
            <w:tcW w:w="4451"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拙政园、狮子林、忠王府、东吴大学旧址</w:t>
            </w:r>
            <w:r/>
          </w:p>
        </w:tc>
      </w:tr>
      <w:tr>
        <w:trPr>
          <w:jc w:val="center"/>
          <w:trHeight w:val="567"/>
        </w:trPr>
        <w:tc>
          <w:tcPr>
            <w:tcW w:w="107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tcW w:w="4113"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监测网布设（包括沉降、位移、倾斜、裂缝、构件、振动、水位监测点）</w:t>
            </w:r>
            <w:r/>
          </w:p>
        </w:tc>
        <w:tc>
          <w:tcPr>
            <w:tcW w:w="4451"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拙政园、狮子林、忠王府、东吴大学旧址</w:t>
            </w:r>
            <w:r/>
          </w:p>
        </w:tc>
      </w:tr>
      <w:tr>
        <w:trPr>
          <w:jc w:val="center"/>
          <w:trHeight w:val="567"/>
        </w:trPr>
        <w:tc>
          <w:tcPr>
            <w:tcW w:w="107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tcW w:w="4113"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基准网观测</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（含首期和下半年度监测）</w:t>
            </w:r>
            <w:r/>
          </w:p>
        </w:tc>
        <w:tc>
          <w:tcPr>
            <w:tcW w:w="4451"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拙政园、狮子林、忠王府、东吴大学旧址</w:t>
            </w:r>
            <w:r/>
          </w:p>
        </w:tc>
      </w:tr>
      <w:tr>
        <w:trPr>
          <w:jc w:val="center"/>
          <w:trHeight w:val="567"/>
        </w:trPr>
        <w:tc>
          <w:tcPr>
            <w:tcW w:w="107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c>
          <w:tcPr>
            <w:tcW w:w="4113" w:type="dxa"/>
            <w:vAlign w:val="center"/>
            <w:vMerge w:val="restart"/>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变形监测、振动监测</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（含首期和下半年度监测）</w:t>
            </w:r>
            <w:r/>
          </w:p>
        </w:tc>
        <w:tc>
          <w:tcPr>
            <w:tcW w:w="4451"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拙政园</w:t>
            </w:r>
            <w:r/>
          </w:p>
        </w:tc>
      </w:tr>
      <w:tr>
        <w:trPr>
          <w:jc w:val="center"/>
          <w:trHeight w:val="567"/>
        </w:trPr>
        <w:tc>
          <w:tcPr>
            <w:tcW w:w="107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w:t>
            </w:r>
            <w:r/>
          </w:p>
        </w:tc>
        <w:tc>
          <w:tcPr>
            <w:tcW w:w="4113" w:type="dxa"/>
            <w:vAlign w:val="center"/>
            <w:vMerge w:val="continue"/>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4451"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狮子林</w:t>
            </w:r>
            <w:r/>
          </w:p>
        </w:tc>
      </w:tr>
      <w:tr>
        <w:trPr>
          <w:jc w:val="center"/>
          <w:trHeight w:val="567"/>
        </w:trPr>
        <w:tc>
          <w:tcPr>
            <w:tcW w:w="107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w:t>
            </w:r>
            <w:r/>
          </w:p>
        </w:tc>
        <w:tc>
          <w:tcPr>
            <w:tcW w:w="4113" w:type="dxa"/>
            <w:vAlign w:val="center"/>
            <w:vMerge w:val="continue"/>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4451"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忠王府</w:t>
            </w:r>
            <w:r/>
          </w:p>
        </w:tc>
      </w:tr>
      <w:tr>
        <w:trPr>
          <w:jc w:val="center"/>
          <w:trHeight w:val="567"/>
        </w:trPr>
        <w:tc>
          <w:tcPr>
            <w:tcW w:w="107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w:t>
            </w:r>
            <w:r/>
          </w:p>
        </w:tc>
        <w:tc>
          <w:tcPr>
            <w:tcW w:w="4113" w:type="dxa"/>
            <w:vAlign w:val="center"/>
            <w:vMerge w:val="continue"/>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4451"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东吴大学旧址</w:t>
            </w:r>
            <w:r/>
          </w:p>
        </w:tc>
      </w:tr>
      <w:tr>
        <w:trPr>
          <w:jc w:val="center"/>
          <w:trHeight w:val="567"/>
        </w:trPr>
        <w:tc>
          <w:tcPr>
            <w:tcW w:w="1074" w:type="dxa"/>
            <w:vAlign w:val="center"/>
            <w:vMerge w:val="restart"/>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p>
        </w:tc>
        <w:tc>
          <w:tcPr>
            <w:tcW w:w="4113" w:type="dxa"/>
            <w:vAlign w:val="center"/>
            <w:vMerge w:val="restart"/>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三维激光扫描监测</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（含首期和下半年度监测）</w:t>
            </w:r>
            <w:r/>
          </w:p>
        </w:tc>
        <w:tc>
          <w:tcPr>
            <w:tcW w:w="4451"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忠王府前殿</w:t>
            </w:r>
            <w:r/>
          </w:p>
        </w:tc>
      </w:tr>
      <w:tr>
        <w:trPr>
          <w:jc w:val="center"/>
          <w:trHeight w:val="567"/>
        </w:trPr>
        <w:tc>
          <w:tcPr>
            <w:tcW w:w="1074" w:type="dxa"/>
            <w:vAlign w:val="center"/>
            <w:vMerge w:val="continue"/>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4113" w:type="dxa"/>
            <w:vAlign w:val="center"/>
            <w:vMerge w:val="continue"/>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4451"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陶然亭</w:t>
            </w:r>
            <w:r/>
          </w:p>
        </w:tc>
      </w:tr>
    </w:tbl>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（3）成果分析</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对各项监测数据，采用时间分析、空间分析和区域分析方法进行研究分析，对变形随时间、空间分布和区域位置的变化所表现出的规律进行总结，结合变形监测数据采集时天气情况，研究分析变形体的变形规律，对监测对象变形状态进行判断。</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分析研究综合工况下，国保单位的振动响应情况。对变形监测各项监测内容和振动监测结论进行综合，挖掘数据变形之间的联系，进行综合分析。</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根据现有监测数据，研究数据预测模型，并对下一期变形数据进行预测；建立文物古建筑变形预警机制，为文物古建筑保护预案提供参考。</w:t>
      </w:r>
      <w:r/>
    </w:p>
    <w:p>
      <w:pPr>
        <w:ind w:firstLine="480"/>
        <w:spacing w:line="360" w:lineRule="auto"/>
        <w:rPr>
          <w:rFonts w:hint="eastAsia" w:ascii="宋体" w:hAnsi="宋体" w:eastAsia="宋体" w:cs="宋体"/>
          <w:bCs/>
          <w:color w:val="auto"/>
          <w:sz w:val="24"/>
          <w:szCs w:val="24"/>
        </w:rPr>
      </w:pPr>
      <w:r/>
      <w:bookmarkStart w:id="9" w:name="_Toc47620079"/>
      <w:r>
        <w:rPr>
          <w:rFonts w:hint="eastAsia" w:ascii="宋体" w:hAnsi="宋体" w:eastAsia="宋体" w:cs="宋体"/>
          <w:bCs/>
          <w:color w:val="auto"/>
          <w:sz w:val="24"/>
          <w:szCs w:val="24"/>
        </w:rPr>
        <w:t xml:space="preserve">（4）成果样式</w:t>
      </w:r>
      <w:bookmarkEnd w:id="9"/>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①研究与分析报告</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编制轨道交通沿线国保单位变形监测研究与分析报告，研究与分析报告主要成果内容如下：</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A.以变形监测数据和振动监测数据为基础，采用数据归类、数据整理和统计分析方法对监测数据进行预处理。</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B.采用时间分析、空间分析和区域分析方法对变形监测各期数据进行定量和定性分析，结合地理信息系统等表现手段，对各类监测数据赋予时间和空间属性，实现变形量及变形规律的可视化表达，并通过对变形监测时气温条件、季节变化的分析，挖掘文物变形的时空变化规律。</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C.对于振动监测数据，研究综合工况下，国保单位对振动响应情况和频谱变化规律。</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D.根据现有变形监测数据，选择合适的变形预测模型，对下一期变形量进行预测，建立预警机制，为文物保护预案提供参考依据。</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E.总结研究报告内容，对下一阶段继续研究和工作的方向进行展望。</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②信息通报</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编制轨道交通沿线国保单位变形监测信息通报，对研究与分析报告内容进行总结和提炼，形成信息通报，为更好的管理、保护和辅助决策，提供可靠的数据支撑。</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（四）有关要求：</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实施质量必须严格按照国家规范及江苏省、苏州市相应地方规范、招标文件的技术规范的有关要求执行，如果在合同履行过程中有新的国家或行业（部）规范和标准出台的，则中标人应确保其合同标的物达到并符合新的国家或行业（部）规范和标准，因此而增加的费用及风险由中标人自行承担。</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2、中标人须在项目实施前把详细的实施方案报送采购人审批，经批准同意后方可以组织实施。在项目实施期间中标人应遵守项目现场及采购人的各项规章制度。</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3、中标人在项目实施期间应无条件的接受采购人的监督管理，提出的质量问题要及时整改，整改完毕后通知采购人检查验收，合格后书面报送采购人备案。</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4、知识产权的要求</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（1）本项目全部知识产权均归采购人所有（独有），未经采购人书面同意，无论是否被采购人所采用中标人均不得对外发布。</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（2）采购人提供的资料文件，中标人具有保密义务。</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（3）中标人为本项目而引用、收集其他社会上的文件、资料所涉及的知识产权费用和法律纠纷由中标人自行负责，由此而引起的法律纠纷以及费用须由中标人全部承担。</w:t>
      </w:r>
      <w:r/>
    </w:p>
    <w:p>
      <w:pPr>
        <w:ind w:firstLine="480"/>
        <w:jc w:val="left"/>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5、与本次采购项目有关的质量、安全问题均由中标人终生负责，相关的人员、财产责任风险均由中标人全部承担。</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三</w:t>
      </w:r>
      <w:r>
        <w:rPr>
          <w:rFonts w:hint="eastAsia" w:ascii="宋体" w:hAnsi="宋体" w:eastAsia="宋体" w:cs="宋体"/>
          <w:b w:val="0"/>
          <w:bCs w:val="0"/>
          <w:color w:val="auto"/>
          <w:sz w:val="24"/>
          <w:szCs w:val="24"/>
          <w:highlight w:val="none"/>
        </w:rPr>
        <w:t xml:space="preserve">、综合要求：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所提供的相关货物或服务应符合国家有关标准和规范，并遵循招标文件的要求，应达到或优于采购要求，并提供详细说明。若招标要求中涉及品牌或品牌导向，则仅作参考。投标文件必须如实进行实质性响应，量化指标必须列明具体数值。</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在其投标文件中对于招标文件已提供以及未提供的货物或服务情况均须进行完整的阐述和说明，否则其投标文件将有被拒绝的可能。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应保证</w:t>
      </w:r>
      <w:r>
        <w:rPr>
          <w:rFonts w:hint="eastAsia" w:ascii="宋体" w:hAnsi="宋体" w:eastAsia="宋体" w:cs="宋体"/>
          <w:color w:val="auto"/>
          <w:sz w:val="24"/>
          <w:szCs w:val="24"/>
          <w:highlight w:val="none"/>
          <w:lang w:val="zh-CN"/>
        </w:rPr>
        <w:t xml:space="preserve">对所提供货物</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val="zh-CN"/>
        </w:rPr>
        <w:t xml:space="preserve">服务等知识产权方面的一切产权关系负全部责任</w:t>
      </w:r>
      <w:r>
        <w:rPr>
          <w:rFonts w:hint="eastAsia" w:ascii="宋体" w:hAnsi="宋体" w:eastAsia="宋体" w:cs="宋体"/>
          <w:color w:val="auto"/>
          <w:sz w:val="24"/>
          <w:szCs w:val="24"/>
          <w:highlight w:val="none"/>
        </w:rPr>
        <w:t xml:space="preserve">，不会产生因第三方提出侵犯其专利权、商标权或其它知识产权而引起的法律和经济纠纷，如因专利权、商标权或其它知识产权而引起法律和经济纠纷，由供应商承担所有相关责任。</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需编制本项目的技术方案，包括但不限于：提供点云数据处理及配准的关键技术及其符合性、先进性说明；提供纹理映射与色彩真实性还原技术说明；提供三维建模技术方案及其符合性、先进性说明；提供平立剖面图制作技术方案及其关键技术应用说明；提供三维数字化成果后期应用合理化建议；提供水下监测技术方案及其符合性、先进性说明；提供空中正射影像航飞及数据</w:t>
      </w:r>
      <w:r>
        <w:rPr>
          <w:rFonts w:hint="eastAsia" w:ascii="宋体" w:hAnsi="宋体" w:eastAsia="宋体" w:cs="宋体"/>
          <w:color w:val="auto"/>
          <w:sz w:val="24"/>
          <w:szCs w:val="24"/>
          <w:highlight w:val="none"/>
        </w:rPr>
        <w:t xml:space="preserve">处理技术方案及其符合性、先进性说明；提供空中视频拍摄技术方案及其符合性、先进性说明；提供监测数据比对分析方案及数据效果展示说明；提供基准点及变形点点位选择情况、点标石情况和变形点设计样式；结合平面及高程基准网点位布设情况，提供与已有城市基准网衔接方案；提供沉降监测、位移监测、倾斜监测、裂缝监测及主要构部件监测方案；提供振动监测点位布设方案及实施方案；提供项目管理组织体系说明、进度控制措施、质量控制措施、突发事故应急预案与处理措施、数据资料管理措施；投标人承接本项目所具有的技术优势及可提供的本地化服务能力说明</w:t>
      </w:r>
      <w:r>
        <w:rPr>
          <w:rFonts w:hint="eastAsia" w:ascii="宋体" w:hAnsi="宋体" w:eastAsia="宋体" w:cs="宋体"/>
          <w:color w:val="auto"/>
          <w:sz w:val="24"/>
          <w:szCs w:val="24"/>
          <w:highlight w:val="none"/>
          <w:lang w:val="en-US" w:eastAsia="zh-CN"/>
        </w:rPr>
        <w:t xml:space="preserve">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5、供应商拟投入本项目的团队需具有履约能力，有服务项目人员及设备，便于项目实施。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6、供应商需有丰富的类似项目经验</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bidi="ar-SA"/>
        </w:rPr>
        <w:t xml:space="preserve">内容</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、项目地点：</w:t>
      </w:r>
      <w:r>
        <w:rPr>
          <w:rFonts w:hint="eastAsia" w:ascii="宋体" w:hAnsi="宋体" w:eastAsia="宋体" w:cs="宋体"/>
          <w:color w:val="auto"/>
          <w:sz w:val="24"/>
          <w:szCs w:val="24"/>
          <w:highlight w:val="none"/>
          <w:lang w:eastAsia="zh-CN"/>
        </w:rPr>
        <w:t xml:space="preserve">采购人指定地点（苏州大市范围内）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zh-CN"/>
        </w:rPr>
        <w:t xml:space="preserve">、</w:t>
      </w:r>
      <w:r>
        <w:rPr>
          <w:rFonts w:hint="eastAsia" w:ascii="宋体" w:hAnsi="宋体" w:eastAsia="宋体" w:cs="Times New Roman"/>
          <w:color w:val="auto"/>
          <w:sz w:val="24"/>
          <w:szCs w:val="24"/>
          <w:highlight w:val="none"/>
        </w:rPr>
        <w:t xml:space="preserve">服务要求：投标人须为本项目提供每周5个工作日×12小时的免费服务热线，并须在1小时响应、2小时到场、24小时解决售后问题</w:t>
      </w:r>
      <w:r>
        <w:rPr>
          <w:rFonts w:hint="eastAsia" w:ascii="宋体" w:hAnsi="宋体" w:eastAsia="宋体" w:cs="宋体"/>
          <w:bCs/>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、验收要求：标的物须符合我国最新</w:t>
      </w:r>
      <w:r>
        <w:rPr>
          <w:rFonts w:hint="eastAsia" w:ascii="宋体" w:hAnsi="宋体" w:eastAsia="宋体" w:cs="宋体"/>
          <w:color w:val="auto"/>
          <w:sz w:val="24"/>
          <w:szCs w:val="24"/>
          <w:highlight w:val="none"/>
        </w:rPr>
        <w:t xml:space="preserve">颁布的与之相关的技术规范与标准，并同时满足招标文件要求和中标人所作承诺。在中标人完成全部采购内容并交付验收时，采购人应当自标的物交付验收之日起七个工作日内组织验收，对标的物进行详细而全面的验收，并在验收通过后出具一份验收合格报告以作为采购人的验收依据，但不作为有关标的物的最终检验结果。投标人须在其投标文件中提供一份验收办法，但此标准不得对抗相关部门的验收和招标文件中的验收要求，未提供验收办法的投标文件将被视为非实质性响应。中标人对货物或服务缺陷不予更正，采购人有权另请其他单位更正，所发生的费用由中标人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、凡涉及招标文件的补充说明和修改，均以苏州市政府采购网上公示信息为准。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shd w:val="clear" w:color="auto"/>
        <w:tabs>
          <w:tab w:val="left" w:pos="709"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spacing w:line="360" w:lineRule="auto"/>
        <w:shd w:val="clear" w:color="auto"/>
        <w:tabs>
          <w:tab w:val="left" w:pos="709" w:leader="none"/>
        </w:tabs>
        <w:rPr>
          <w:rFonts w:hint="eastAsia" w:ascii="宋体" w:hAnsi="宋体" w:eastAsia="宋体" w:cs="宋体"/>
          <w:b/>
          <w:bCs w:val="0"/>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
          <w:bCs w:val="0"/>
          <w:color w:val="auto"/>
          <w:sz w:val="24"/>
          <w:szCs w:val="24"/>
          <w:highlight w:val="none"/>
        </w:rPr>
      </w:r>
      <w:r/>
    </w:p>
    <w:p>
      <w:pPr>
        <w:jc w:val="center"/>
        <w:spacing w:line="360" w:lineRule="auto"/>
        <w:shd w:val="clear" w:color="auto"/>
        <w:tabs>
          <w:tab w:val="left" w:pos="709"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第五章 合同主要条款</w:t>
      </w:r>
      <w:bookmarkEnd w:id="8"/>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项目名称：</w:t>
      </w:r>
      <w:r>
        <w:rPr>
          <w:rFonts w:hint="eastAsia" w:ascii="宋体" w:hAnsi="宋体" w:eastAsia="宋体" w:cs="宋体"/>
          <w:b/>
          <w:bCs w:val="0"/>
          <w:color w:val="auto"/>
          <w:sz w:val="24"/>
          <w:szCs w:val="24"/>
          <w:highlight w:val="none"/>
          <w:lang w:eastAsia="zh-CN"/>
        </w:rPr>
        <w:t xml:space="preserve">苏州市区国保单位及大运河（苏州段）精密三维数字化建设和监测</w:t>
      </w:r>
      <w:r>
        <w:rPr>
          <w:rFonts w:hint="eastAsia" w:ascii="宋体" w:hAnsi="宋体" w:eastAsia="宋体" w:cs="宋体"/>
          <w:b/>
          <w:bCs w:val="0"/>
          <w:color w:val="auto"/>
          <w:sz w:val="24"/>
          <w:szCs w:val="24"/>
          <w:highlight w:val="none"/>
          <w:lang w:val="en-US" w:eastAsia="zh-CN"/>
        </w:rPr>
        <w:t xml:space="preserve">项目</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项目编号：</w:t>
      </w:r>
      <w:r>
        <w:rPr>
          <w:rFonts w:hint="eastAsia" w:ascii="宋体" w:hAnsi="宋体" w:eastAsia="宋体" w:cs="宋体"/>
          <w:b/>
          <w:bCs w:val="0"/>
          <w:color w:val="auto"/>
          <w:sz w:val="24"/>
          <w:szCs w:val="24"/>
          <w:highlight w:val="none"/>
          <w:lang w:eastAsia="zh-CN"/>
        </w:rPr>
        <w:t xml:space="preserve">JSZC-320500-SZZJ-G2024-0031</w:t>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甲方（项目采购人）：</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2"/>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乙方（</w:t>
      </w:r>
      <w:r>
        <w:rPr>
          <w:rFonts w:hint="eastAsia" w:ascii="宋体" w:hAnsi="宋体" w:eastAsia="宋体" w:cs="宋体"/>
          <w:b/>
          <w:bCs w:val="0"/>
          <w:color w:val="auto"/>
          <w:sz w:val="24"/>
          <w:szCs w:val="24"/>
          <w:highlight w:val="none"/>
          <w:lang w:val="en-US" w:eastAsia="zh-CN"/>
        </w:rPr>
        <w:t xml:space="preserve">中标单位</w:t>
      </w:r>
      <w:r>
        <w:rPr>
          <w:rFonts w:hint="eastAsia" w:ascii="宋体" w:hAnsi="宋体" w:eastAsia="宋体" w:cs="宋体"/>
          <w:b/>
          <w:bCs w:val="0"/>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联系人： </w:t>
      </w:r>
      <w:r>
        <w:rPr>
          <w:rFonts w:hint="eastAsia" w:ascii="宋体" w:hAnsi="宋体" w:eastAsia="宋体" w:cs="宋体"/>
          <w:bCs/>
          <w:color w:val="auto"/>
          <w:sz w:val="24"/>
          <w:szCs w:val="24"/>
          <w:highlight w:val="none"/>
        </w:rPr>
        <w:tab/>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单位地址： </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甲方所需</w:t>
      </w:r>
      <w:r>
        <w:rPr>
          <w:rFonts w:hint="eastAsia" w:ascii="宋体" w:hAnsi="宋体" w:eastAsia="宋体" w:cs="宋体"/>
          <w:color w:val="auto"/>
          <w:sz w:val="24"/>
          <w:szCs w:val="24"/>
          <w:highlight w:val="none"/>
          <w:u w:val="single"/>
          <w:lang w:eastAsia="zh-CN"/>
        </w:rPr>
        <w:t xml:space="preserve">苏州市区国保单位及大运河（苏州段）精密三维数字化建设和监测</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rPr>
        <w:t xml:space="preserve">经</w:t>
      </w:r>
      <w:r>
        <w:rPr>
          <w:rFonts w:hint="eastAsia" w:ascii="宋体" w:hAnsi="宋体" w:eastAsia="宋体" w:cs="宋体"/>
          <w:color w:val="auto"/>
          <w:sz w:val="24"/>
          <w:szCs w:val="24"/>
          <w:highlight w:val="none"/>
          <w:u w:val="single"/>
        </w:rPr>
        <w:t xml:space="preserve">苏州正杰招投标咨询服务有限公司</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rPr>
        <w:t xml:space="preserve">方式进行采购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并依法确定乙方为</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b w:val="0"/>
          <w:bCs/>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根据《中华人民共和国民法典》和《中华人民共和国政府采购法》等有关法律法规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为明确甲方和乙方</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过程中的权利、义务和经济责任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双方遵循平等、自愿、公平和诚实信用原则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经友好协商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同意按照下面的条款和条件订立本合同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以资共同遵守。</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一、合同文件</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以下文件是构成本合同不可分割的部分：</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（一）本项目</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w:t>
      </w:r>
      <w:r>
        <w:rPr>
          <w:rFonts w:hint="eastAsia" w:ascii="宋体" w:hAnsi="宋体" w:eastAsia="宋体" w:cs="宋体"/>
          <w:bCs/>
          <w:color w:val="auto"/>
          <w:sz w:val="24"/>
          <w:szCs w:val="24"/>
          <w:highlight w:val="none"/>
          <w:lang w:val="en-US" w:eastAsia="zh-CN"/>
        </w:rPr>
        <w:t xml:space="preserve">乙方投标</w:t>
      </w:r>
      <w:r>
        <w:rPr>
          <w:rFonts w:hint="eastAsia" w:ascii="宋体" w:hAnsi="宋体" w:eastAsia="宋体" w:cs="宋体"/>
          <w:bCs/>
          <w:color w:val="auto"/>
          <w:sz w:val="24"/>
          <w:szCs w:val="24"/>
          <w:highlight w:val="none"/>
        </w:rPr>
        <w:t xml:space="preserve">文件；</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（三）合同条款；</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做出的有关澄清、说明或者补正文件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若有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（五）确定</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的文件（包括但不限于</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通知书等）；</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（六）本合同附件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若有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二、服务内容</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本合同项下乙方所提供的服务内容为：详见</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文件中的采购需求。</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三、合同金额：</w:t>
      </w:r>
      <w:r>
        <w:rPr>
          <w:rFonts w:hint="eastAsia" w:ascii="宋体" w:hAnsi="宋体" w:eastAsia="宋体" w:cs="宋体"/>
          <w:bCs/>
          <w:color w:val="auto"/>
          <w:sz w:val="24"/>
          <w:szCs w:val="24"/>
          <w:highlight w:val="none"/>
        </w:rPr>
        <w:t xml:space="preserve"> </w:t>
      </w:r>
      <w:r/>
    </w:p>
    <w:p>
      <w:pPr>
        <w:ind w:firstLine="482"/>
        <w:keepLines w:val="0"/>
        <w:keepNext w:val="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合同总金额为</w:t>
      </w:r>
      <w:r>
        <w:rPr>
          <w:rFonts w:hint="eastAsia" w:ascii="宋体" w:hAnsi="宋体" w:eastAsia="宋体" w:cs="宋体"/>
          <w:b/>
          <w:color w:val="auto"/>
          <w:sz w:val="24"/>
          <w:szCs w:val="24"/>
          <w:highlight w:val="none"/>
          <w:u w:val="single"/>
        </w:rPr>
        <w:t xml:space="preserve">人民币          元，大写：        。</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合同金额包括完成所有采购内容以及本项目所需的劳务支出、保险、配套费用、税费及服务相关等所发生的全部费用以及</w:t>
      </w:r>
      <w:r>
        <w:rPr>
          <w:rFonts w:hint="eastAsia" w:ascii="宋体" w:hAnsi="宋体" w:eastAsia="宋体" w:cs="宋体"/>
          <w:b/>
          <w:bCs w:val="0"/>
          <w:color w:val="auto"/>
          <w:sz w:val="24"/>
          <w:szCs w:val="24"/>
          <w:highlight w:val="none"/>
          <w:lang w:val="en-US" w:eastAsia="zh-CN"/>
        </w:rPr>
        <w:t xml:space="preserve">乙方</w:t>
      </w:r>
      <w:r>
        <w:rPr>
          <w:rFonts w:hint="eastAsia" w:ascii="宋体" w:hAnsi="宋体" w:eastAsia="宋体" w:cs="宋体"/>
          <w:b/>
          <w:bCs w:val="0"/>
          <w:color w:val="auto"/>
          <w:sz w:val="24"/>
          <w:szCs w:val="24"/>
          <w:highlight w:val="none"/>
        </w:rPr>
        <w:t xml:space="preserve">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四、付款约定</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1、甲方根据乙方在本合同中所提供银行开户信息转账支付。</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乙方开户名称：</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开户银行：</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银行账号：</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乙方银行账户如需变更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应至少于付款期限届满前10个工作日书面通知甲方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否则产生的一切责任、因变更引起的额外费用由乙方承担。</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2、付款步骤：</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（1）合同生效后，由甲方在十五个工作日内向乙方支付合同金额的20％作为预付款。</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（2）待乙方完成全部采购内容的50％并经甲方确认后，由甲方在十五个工作日内向乙方支付合同金额的30％；</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rPr>
        <w:t xml:space="preserve">（3）待乙方完成全部采购内容并经甲方验收合格后，由甲方在十五个工作日内向乙方支付合同金额的50％。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注：甲方每次付款前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乙方均应当向甲方开具等额、合法的发票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否则甲方有权延迟付款且无须承担任何责任。</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五、服务履行地点、期限</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1、服务履行地点：</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指定地点（苏州大市范围内）</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2、服务期限：</w:t>
      </w:r>
      <w:r>
        <w:rPr>
          <w:rFonts w:hint="eastAsia" w:ascii="宋体" w:hAnsi="宋体" w:eastAsia="宋体" w:cs="宋体"/>
          <w:color w:val="auto"/>
          <w:sz w:val="24"/>
          <w:szCs w:val="24"/>
          <w:highlight w:val="none"/>
          <w:lang w:eastAsia="zh-CN"/>
        </w:rPr>
        <w:t xml:space="preserve">自合同生效之日起至2024年12月31日止</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六、服务要求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须为本项目提供每周5个工作日×12小时的免费服务热线，并须在1小时响应、2小时到场、24小时解决售后问题</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七、验收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1、本项目为一次性验收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具体验收时间、方式等以政府采购招标文件规定为准。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2、验收标准：本合同政府采购招标文件中项目招标书的各项标准和要求。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3、任一项验收不合格的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乙方应负责在甲方限定的期限内完成整改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因整改而导致的费用和损失由乙方自行承担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若导致项目逾期的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乙方承担逾期违约责任。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4、甲方所有验收意见将以书面形式做出并加盖甲方公章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因此除非甲方书面明示通过验收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否则任何其他行为均不代表甲方已验收合格。</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八、服务质量</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1、乙方应保证提供给甲方的服务完全符合本项目</w:t>
      </w:r>
      <w:r>
        <w:rPr>
          <w:rFonts w:hint="eastAsia" w:ascii="宋体" w:hAnsi="宋体" w:eastAsia="宋体" w:cs="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文件规定的服务标准。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2、乙方应保证提供的服务应符合中华人民共和国相关标准及相应的技术规范、本次采购相关文件中的全部相关要求及相关标准及相应的技术规范中之较高者。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3、乙方保证提供的服务符合中华人民共和国国家及行业的安全质量标准、环保标准中之较高者。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4、乙方保证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乙方依据本合同提供的服务及相关的软件和技术资料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乙方均已得到有关知识产权的权利人的合法授权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如发生涉及到专利权、著作权、商标权等争议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乙方负责处理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并承担由此引起的全部法律及经济责任。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5、乙方应保证甲方在中国境内使用服务或服务的任何一部分时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免受第三方提出的侵犯其知识产权的诉讼。如甲方因本合同项下服务成果的知识产权原因而受到第三方的索赔请求</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乙方应负责处理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并承担甲方因此发生的全部费用及损失。</w:t>
      </w:r>
      <w:r/>
    </w:p>
    <w:p>
      <w:pPr>
        <w:ind w:firstLine="482"/>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 xml:space="preserve">九、履约保证金</w:t>
      </w:r>
      <w:r>
        <w:rPr>
          <w:rFonts w:hint="eastAsia" w:ascii="宋体" w:hAnsi="宋体" w:eastAsia="宋体" w:cs="宋体"/>
          <w:b/>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w:t>
      </w:r>
      <w:r>
        <w:rPr>
          <w:rFonts w:ascii="Wingdings 2" w:hAnsi="Wingdings 2" w:eastAsia="Wingdings 2" w:cs="Wingdings 2"/>
          <w:bCs/>
          <w:color w:val="auto"/>
          <w:sz w:val="24"/>
          <w:szCs w:val="24"/>
          <w:highlight w:val="none"/>
        </w:rPr>
        <w:t xml:space="preserve">R</w:t>
      </w:r>
      <w:r>
        <w:rPr>
          <w:rFonts w:hint="eastAsia" w:ascii="宋体" w:hAnsi="宋体" w:eastAsia="宋体" w:cs="宋体"/>
          <w:bCs/>
          <w:color w:val="auto"/>
          <w:sz w:val="24"/>
          <w:szCs w:val="24"/>
          <w:highlight w:val="none"/>
        </w:rPr>
        <w:t xml:space="preserve">不要求提交履约保证金</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ascii="Wingdings 2" w:hAnsi="Wingdings 2" w:eastAsia="Wingdings 2" w:cs="Wingdings 2"/>
          <w:bCs/>
          <w:color w:val="auto"/>
          <w:sz w:val="24"/>
          <w:szCs w:val="24"/>
          <w:highlight w:val="none"/>
        </w:rPr>
        <w:t xml:space="preserve">£</w:t>
      </w:r>
      <w:r>
        <w:rPr>
          <w:rFonts w:hint="eastAsia" w:ascii="宋体" w:hAnsi="宋体" w:eastAsia="宋体" w:cs="宋体"/>
          <w:bCs/>
          <w:color w:val="auto"/>
          <w:sz w:val="24"/>
          <w:szCs w:val="24"/>
          <w:highlight w:val="none"/>
        </w:rPr>
        <w:t xml:space="preserve">要求提交履约保证金，金额：合同金额的</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，要求如下：</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1、在签订合同前，</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应当以支票、汇票、本票或者金融机构、担保机构出具的保函等非现金形式提交。</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无故拖延或拒不提交履约保证金的，视为拒绝与</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签订合同。</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3、履约保证金将在</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合同履行完毕且验收合格后，</w:t>
      </w:r>
      <w:r>
        <w:rPr>
          <w:rFonts w:hint="eastAsia" w:ascii="宋体" w:hAnsi="宋体" w:eastAsia="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在五个工作日内退返</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4、履约保证金（无息）在服务期满且服务缺陷更正，并配合甲方和新</w:t>
      </w:r>
      <w:r>
        <w:rPr>
          <w:rFonts w:hint="eastAsia" w:ascii="宋体" w:hAnsi="宋体" w:eastAsia="宋体" w:cs="宋体"/>
          <w:bCs/>
          <w:color w:val="auto"/>
          <w:sz w:val="24"/>
          <w:szCs w:val="24"/>
          <w:highlight w:val="none"/>
          <w:lang w:val="en-US" w:eastAsia="zh-CN"/>
        </w:rPr>
        <w:t xml:space="preserve">成交</w:t>
      </w:r>
      <w:r>
        <w:rPr>
          <w:rFonts w:hint="eastAsia" w:ascii="宋体" w:hAnsi="宋体" w:eastAsia="宋体" w:cs="宋体"/>
          <w:bCs/>
          <w:color w:val="auto"/>
          <w:sz w:val="24"/>
          <w:szCs w:val="24"/>
          <w:highlight w:val="none"/>
        </w:rPr>
        <w:t xml:space="preserve">单位办理移交手续后退还。如乙方对服务缺陷不予更正，甲方有权另请其他单位更正，所发生的费用在履约保证金中扣除。</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十、违约责任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合同一方不履行合同义务或者履行合同义务不符合约定的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应当承担继续履行、采取补救措施或者赔偿损失等违约责任。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1、甲方违约责任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 在合同生效后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甲方无故要求终止服务的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应向乙方偿付合同总价款的5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作为违约金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违约金不足以补偿损失的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乙方有权要求甲方补足。</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 甲方逾期付款的应按照逾期付款金额的每天万分之四支付逾期付款违约金。</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 甲方违反合同约定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拒绝接受乙方交付的合格服务的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应当承担乙方由此造成的损失。</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2、乙方违约责任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乙方不能服务（逾期超过24小时视为不能服务）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或服务不合格从而影响甲方按期正常使用的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甲方有权解除合同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乙方向甲方赔偿合同总价款5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的违约金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违约金不足以补偿损失的甲方有权要求乙方补足。</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乙方逾期提供服务的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应在服务前与甲方和招标代理协商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甲方仍需求的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乙方应立即提供服务并应按照逾期服务部分贷款的每天万分之四支付逾期服务违约金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同时承担甲方因此遭致的损失费用。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3、如果出现政府采购监管部门在处理投诉事项期间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通知甲方暂停采购活动的情形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或者询问或质疑事项可能影响最终成交结果的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导致甲方中止履行合同的情形</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均不视为甲方违约。</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十一、合同的解除和转让</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1、甲方和乙方协商一致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可以解除合同。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2、有下列情形之一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合同一方可以解除合同：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（1）因不可抗力致使不能实现合同目的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未受不可抗力影响的一方有权解除合同；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（2）招标文件约定的解除合同的情形。</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3、政府采购合同继续履行将损害国家利益和社会公共利益</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甲方有权变更、中止或者终止、解除合同。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4、乙方提交的投标材料虚假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或者乙方故意隐瞒足以导致不能中标的事实被发现的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甲方可以单方解除本合同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由此造成甲方的损失由乙方承担赔偿（包括但不限于诉讼费、合理律师费等）。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5、本合同不得以任何形式转让</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否则视为乙方违约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甲方可以单方解除本合同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由此造成甲方的损失由乙方承担赔偿（包括但不限于诉讼费、合理律师费等）。</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6、本合同未经甲方书面同意不得分包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否则视为乙方违约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甲方可以单方解除本合同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由此造成甲方的损失由乙方承担赔偿（包括但不限于诉讼费、合理律师费等）。</w:t>
      </w:r>
      <w:r/>
    </w:p>
    <w:p>
      <w:pPr>
        <w:pStyle w:val="924"/>
        <w:ind w:firstLine="480"/>
        <w:spacing w:line="360" w:lineRule="auto"/>
        <w:rPr>
          <w:color w:val="auto"/>
          <w:highlight w:val="none"/>
        </w:rPr>
      </w:pPr>
      <w:r>
        <w:rPr>
          <w:rFonts w:hint="eastAsia" w:hAnsi="宋体"/>
          <w:color w:val="auto"/>
          <w:szCs w:val="24"/>
          <w:highlight w:val="none"/>
        </w:rPr>
        <w:t xml:space="preserve">7、有权解除合同的一方</w:t>
      </w:r>
      <w:r>
        <w:rPr>
          <w:rFonts w:hint="eastAsia" w:hAnsi="宋体"/>
          <w:color w:val="auto"/>
          <w:szCs w:val="24"/>
          <w:highlight w:val="none"/>
          <w:lang w:eastAsia="zh-CN"/>
        </w:rPr>
        <w:t xml:space="preserve">，</w:t>
      </w:r>
      <w:r>
        <w:rPr>
          <w:rFonts w:hint="eastAsia" w:hAnsi="宋体"/>
          <w:color w:val="auto"/>
          <w:szCs w:val="24"/>
          <w:highlight w:val="none"/>
        </w:rPr>
        <w:t xml:space="preserve">应当在违约事实或不可抗力发生之后三十天内书面通知对方以主张解除合同</w:t>
      </w:r>
      <w:r>
        <w:rPr>
          <w:rFonts w:hint="eastAsia" w:hAnsi="宋体"/>
          <w:color w:val="auto"/>
          <w:szCs w:val="24"/>
          <w:highlight w:val="none"/>
          <w:lang w:eastAsia="zh-CN"/>
        </w:rPr>
        <w:t xml:space="preserve">，</w:t>
      </w:r>
      <w:r>
        <w:rPr>
          <w:rFonts w:hint="eastAsia" w:hAnsi="宋体"/>
          <w:color w:val="auto"/>
          <w:szCs w:val="24"/>
          <w:highlight w:val="none"/>
        </w:rPr>
        <w:t xml:space="preserve">合同在书面通知到达对方时解除。</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十二、不可抗力</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1、不可抗力指下列事件：战争、动乱、瘟疫、严重火灾、洪水、地震、风暴或其他自然灾害</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以及本合同各方不可预见、不可防止并不能避免或克服的一切其他因素及事件。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2、任何一方因不可抗力不能履行本合同规定的全部或部分义务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该方应尽快通知另一方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并须在不可抗力发生后7日内以书面形式向另一方提供详细情况报告及不可抗力对履行本合同的影响程度的说明。就上述不可抗力的发生须由受到不可抗力影响的一方负责同时提供由公证机关做出的公证证明。</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3、发生不可抗力事件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应当及时通知对方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以减轻可能给对方造成的损失</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并应当在不可抗力发生之日起15日内提供权威部门出具的认定不可抗力的证明。</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4、合同各方应根据不可抗力对本合同履行的影响程度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协商确定是否终止本合同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或是继续履行本合同。</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5、本合同在执行过程中如遇政府征用土地（本合同中规定的养护地点）或其他甲方不能预见的情形发生致使本合同无法履行</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应视为不可抗力事件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甲方免责。本合同终止后甲方应支付乙方实际履行时间（天数）的服务款项（单价不予调整）。</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十三、保密条款</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1、任何一方对其获知的本合同及附件中其他各方的商业秘密和国家秘密等非公开信息负有保密义务。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2、在下列情形下：当国家机关调查、审查、审计时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以及其他符合法律规定的情形下</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无须事先征求乙方同意而可以披露关于采购过程、合同文本、签署情况的资料、乙方的名称及地址、采购内容的有关信息以及补充条款等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但应当在合理的必要范围内。对任何已经公布过的内容或与之内容相同的资料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以及乙方已经泄露或公开的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无须再承担保密责任。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3、此外的其他情形下</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除非法律、法规另有规定或得到本合同之其他各方的书面许可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任何一方不得向第三人泄露前款规定的商业秘密和国家秘密等非公开信息。保密期限自任何一方获知该商业秘密和国家秘密等非公开信息之日起至本条规定的秘密成为公开信息之日止。</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十四、联系方式</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1、合同双方发出与本合同有关的通知或回复</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应以专人送递、传真或特快专递方式发出；如果以专人送递或特快专递发送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以送达至对方的住所地或通讯联络地为送达；如果以传真方式发送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发件人在收到传真报告后视为送达；如果采用电话或电子邮件的方式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则应在发送后由对方以书面方式予以确认。</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2、合同双方发出的与本合同有关的通知或回复均应发至本合同首部载明的通讯地址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一方变更通讯地址</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应自变更之日起3个工作日内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将变更后的地址通知对方。变更方不履行通知义务的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应对此造成的一切后果承担法律责任。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3、上述发出通知、回复的费用由发出一方承担。</w:t>
      </w:r>
      <w:r/>
    </w:p>
    <w:p>
      <w:pPr>
        <w:ind w:firstLine="482"/>
        <w:spacing w:line="360" w:lineRule="auto"/>
        <w:rPr>
          <w:rFonts w:ascii="宋体" w:hAnsi="宋体" w:eastAsia="宋体" w:cs="宋体"/>
          <w:b/>
          <w:color w:val="auto"/>
          <w:sz w:val="24"/>
          <w:szCs w:val="24"/>
          <w:highlight w:val="none"/>
        </w:rPr>
      </w:pPr>
      <w:r/>
      <w:bookmarkStart w:id="10" w:name="_Toc18683"/>
      <w:r/>
      <w:bookmarkStart w:id="11" w:name="_Toc26807"/>
      <w:r/>
      <w:bookmarkStart w:id="12" w:name="_Toc9497"/>
      <w:r/>
      <w:bookmarkStart w:id="13" w:name="_Toc30329"/>
      <w:r/>
      <w:bookmarkStart w:id="14" w:name="_Toc51257766"/>
      <w:r/>
      <w:bookmarkStart w:id="15" w:name="_Toc32454"/>
      <w:r>
        <w:rPr>
          <w:rFonts w:hint="eastAsia" w:ascii="宋体" w:hAnsi="宋体" w:eastAsia="宋体" w:cs="宋体"/>
          <w:b/>
          <w:color w:val="auto"/>
          <w:sz w:val="24"/>
          <w:szCs w:val="24"/>
          <w:highlight w:val="none"/>
        </w:rPr>
        <w:t xml:space="preserve">十五、争议的解决</w:t>
      </w:r>
      <w:bookmarkEnd w:id="10"/>
      <w:r/>
      <w:bookmarkEnd w:id="11"/>
      <w:r/>
      <w:bookmarkEnd w:id="12"/>
      <w:r/>
      <w:bookmarkEnd w:id="13"/>
      <w:r/>
      <w:bookmarkEnd w:id="14"/>
      <w:r/>
      <w:bookmarkEnd w:id="15"/>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与本合同有关的一切争议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双方应通过友好协商解决。如果经协商不能达成协议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可以向甲方所在地有管辖权的人民法院起诉。</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十六、合同生效及其他</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1、本合同经甲乙双方签</w:t>
      </w:r>
      <w:r>
        <w:rPr>
          <w:rFonts w:hint="eastAsia" w:ascii="宋体" w:hAnsi="宋体" w:eastAsia="宋体" w:cs="宋体"/>
          <w:bCs/>
          <w:color w:val="auto"/>
          <w:sz w:val="24"/>
          <w:szCs w:val="24"/>
          <w:highlight w:val="none"/>
          <w:lang w:val="en-US" w:eastAsia="zh-CN"/>
        </w:rPr>
        <w:t xml:space="preserve">字盖</w:t>
      </w:r>
      <w:r>
        <w:rPr>
          <w:rFonts w:hint="eastAsia" w:ascii="宋体" w:hAnsi="宋体" w:eastAsia="宋体" w:cs="宋体"/>
          <w:bCs/>
          <w:color w:val="auto"/>
          <w:sz w:val="24"/>
          <w:szCs w:val="24"/>
          <w:highlight w:val="none"/>
        </w:rPr>
        <w:t xml:space="preserve">章之日起生效。</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2、本合同系指本文件及其附件中的所有部分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招标文件、</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通知书、</w:t>
      </w: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rPr>
        <w:t xml:space="preserve">在招标过程中的澄清和承诺等为本合同不可缺少的组成部分。本合同履行过程中发生相关修改内容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须符合《中华人民共和国政府采购法》和相关法律法规规定；补充协议作为本合同不可分割的一部分。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3、本合同壹式肆份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甲乙双方各执壹份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采购代理机构贰份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具有同等法律效力。</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4、本合同应按照中华人民共和国的现行法律进行解释。</w:t>
      </w:r>
      <w:r/>
    </w:p>
    <w:p>
      <w:pPr>
        <w:pStyle w:val="932"/>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    方：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乙    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名称(公章)：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名称(公章)：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法定代表人/负责人：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法定代表人/负责人：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或授权代理人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或授权代理人：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（签字）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（签字）</w:t>
      </w:r>
      <w:r/>
    </w:p>
    <w:p>
      <w:pPr>
        <w:ind w:firstLine="480"/>
        <w:spacing w:line="360" w:lineRule="auto"/>
        <w:rPr>
          <w:rFonts w:hint="eastAsia" w:ascii="宋体" w:hAnsi="宋体" w:eastAsia="宋体" w:cs="宋体"/>
          <w:b/>
          <w:bCs w:val="0"/>
          <w:color w:val="auto"/>
          <w:sz w:val="24"/>
          <w:szCs w:val="24"/>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color w:val="auto"/>
          <w:sz w:val="24"/>
          <w:szCs w:val="24"/>
          <w:highlight w:val="none"/>
        </w:rPr>
        <w:t xml:space="preserve">签订日期：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签订日期：</w:t>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第六章 </w:t>
      </w:r>
      <w:r>
        <w:rPr>
          <w:rFonts w:hint="eastAsia" w:ascii="宋体" w:hAnsi="宋体" w:eastAsia="宋体" w:cs="宋体"/>
          <w:b/>
          <w:bCs w:val="0"/>
          <w:color w:val="auto"/>
          <w:sz w:val="24"/>
          <w:szCs w:val="24"/>
          <w:highlight w:val="none"/>
          <w:lang w:val="en-US" w:eastAsia="zh-CN"/>
        </w:rPr>
        <w:t xml:space="preserve">评分方法和</w:t>
      </w:r>
      <w:r>
        <w:rPr>
          <w:rFonts w:hint="eastAsia" w:ascii="宋体" w:hAnsi="宋体" w:eastAsia="宋体" w:cs="宋体"/>
          <w:b/>
          <w:bCs w:val="0"/>
          <w:color w:val="auto"/>
          <w:sz w:val="24"/>
          <w:szCs w:val="24"/>
          <w:highlight w:val="none"/>
        </w:rPr>
        <w:t xml:space="preserve">评分标准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w:t>
      </w:r>
      <w:r>
        <w:rPr>
          <w:rFonts w:hint="eastAsia" w:ascii="宋体" w:hAnsi="宋体" w:eastAsia="宋体" w:cs="宋体"/>
          <w:b/>
          <w:color w:val="auto"/>
          <w:sz w:val="24"/>
          <w:szCs w:val="24"/>
          <w:highlight w:val="none"/>
          <w:lang w:val="en-US" w:eastAsia="zh-CN"/>
        </w:rPr>
        <w:t xml:space="preserve">分方法</w:t>
      </w:r>
      <w:r>
        <w:rPr>
          <w:rFonts w:hint="eastAsia" w:ascii="宋体" w:hAnsi="宋体" w:eastAsia="宋体" w:cs="宋体"/>
          <w:b/>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1、本次招标评标采用为综合评分法，即指投标文件满足招标文件全部实质性要求，且按照评审因素的量化指标评审得分最高的投标人为中标候选人的评标方法。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2、评标委员会各成员审查每份投标文件是否实质响应了招标文件的要求，非实质性响应的投标文件将被拒绝，也不进行评审。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的，则由公证机构组织以抽签方式确定。</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二、评分标准：</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总分值为100分，评审因素及各比重如下：价格分值占总分值的比重为</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0％（权重），技术及其他分值占总分值的比重为</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0％（权重）。</w:t>
      </w:r>
      <w:r/>
    </w:p>
    <w:p>
      <w:pPr>
        <w:numPr>
          <w:ilvl w:val="0"/>
          <w:numId w:val="0"/>
        </w:numPr>
        <w:ind w:left="-20" w:firstLine="482"/>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rPr>
        <w:t xml:space="preserve">价格分值</w:t>
      </w:r>
      <w:r>
        <w:rPr>
          <w:rFonts w:hint="eastAsia" w:ascii="宋体" w:hAnsi="宋体" w:eastAsia="宋体" w:cs="宋体"/>
          <w:b/>
          <w:color w:val="auto"/>
          <w:sz w:val="24"/>
          <w:szCs w:val="24"/>
          <w:highlight w:val="none"/>
          <w:lang w:val="en-US" w:eastAsia="zh-CN" w:bidi="ar-SA"/>
        </w:rPr>
        <w:t xml:space="preserve">：10分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第一步：投标报价不高于采购预算及最高限价的为有效报价，超出此范围的投标报价为无效报价，其投标文件不予评审，也不得标。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第二步：以满足</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文件实质性要求且投标价格最低的投标有效报价为评标基准价，其价格分为满分，即</w:t>
      </w: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分。其他有效投标报价得分统一按照下列公式计算：（计算结果均四舍五入保留两位小数）</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投标报价得分＝（基准报价/投标报价）×</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0％×100</w:t>
      </w:r>
      <w:r>
        <w:rPr>
          <w:rFonts w:hint="eastAsia" w:ascii="宋体" w:hAnsi="宋体" w:eastAsia="宋体" w:cs="宋体"/>
          <w:color w:val="auto"/>
          <w:sz w:val="24"/>
          <w:szCs w:val="24"/>
          <w:highlight w:val="none"/>
          <w:lang w:eastAsia="zh-CN"/>
        </w:rPr>
        <w:t xml:space="preserve">。</w:t>
      </w:r>
      <w:r/>
    </w:p>
    <w:p>
      <w:pPr>
        <w:ind w:firstLine="482"/>
        <w:jc w:val="lef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（二）技术及其他分值：</w:t>
      </w:r>
      <w:r>
        <w:rPr>
          <w:rFonts w:hint="eastAsia" w:ascii="宋体" w:hAnsi="宋体" w:eastAsia="宋体" w:cs="宋体"/>
          <w:b/>
          <w:bCs w:val="0"/>
          <w:color w:val="auto"/>
          <w:sz w:val="24"/>
          <w:szCs w:val="24"/>
          <w:highlight w:val="none"/>
          <w:lang w:val="en-US" w:eastAsia="zh-CN"/>
        </w:rPr>
        <w:t xml:space="preserve">90</w:t>
      </w:r>
      <w:r>
        <w:rPr>
          <w:rFonts w:hint="eastAsia" w:ascii="宋体" w:hAnsi="宋体" w:eastAsia="宋体" w:cs="宋体"/>
          <w:b/>
          <w:bCs w:val="0"/>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1、项目技术及实施方案（48分）：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A.2024年度苏州市国保单位精密三维数字化建设相关方案，最高15分，其中：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（1）提供点云数据处理及配准的关键技术及其符合性、先进性说明。本项最高3分，综合评定：优的得3分；综合评定：良的得2分；综合评定：差的得1分；未提供不得分。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（2）提供纹理映射与色彩真实性还原技术说明。本项最高3分，综合评定：优的得3分；综合评定：良的得2分；综合评定：差的得1分；未提供不得分。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（3）提供三维建模技术方案及其符合性、先进性说明。本项最高3分，综合评定：优的得3分；综合评定：良的得2分；综合评定：差的得1分；未提供不得分。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（4）提供平立剖面图制作技术方案及其关键技术应用说明。本项最高3分，综合评定：优的得3分；综合评定：良的得2分；综合评定：差的得1分；未提供不得分。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（5）提供三维数字化成果后期应用合理化建议。本项最高3分，综合评定：优的得3分；综合评定：良的得2分；综合评定：差的得1分；未提供不得分。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B.2024年度大运河苏州段遗产监测相关方案，最高12分，其中：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（1）提供水下监测技术方案及其符合性、先进性说明。本项最高3分，综合评定：优的得3分；综合评定：良的得2分；综合评定：差的得1分；未提供不得分。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（2）提供空中正射影像航飞及数据处理技术方案及其符合性、先进性说明。本项最高3分，综合评定：优的得3分；综合评定：良的得2分；综合评定：差的得1分；未提供不得分。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（3）提供空中视频拍摄技术方案及其符合性、先进性说明。本项最高3分，综合评定：优的得3分；综合评定：良的得2分；综合评定：差的得1分；未提供不得分。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（4）提供监测数据比对分析方案及数据效果展示说明。本项最高3分，综合评定：优的得3分；综合评定：良的得2分；综合评定：差的得1分；未提供不得分。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2024年度轨道交通沿线国保单位变形监测相关方案，最高12分，其中：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（1）提供基准点及变形点点位选择情况、点标石情况和变形点设计样式。本项最高3分，综合评定：优的得3分；综合评定：良的得2分；综合评定：差的得1分；未提供不得分。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（2）结合平面及高程基准网点位布设情况，提供与已有城市基准网衔接方案。本项最高3分，综合评定：优的得3分；综合评定：良的得2分；综合评定：差的得1分；未提供不得分。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（3）提供沉降监测、位移监测、倾斜监测、裂缝监测及主要构部件监测方案。本项最高3分，综合评定：优的得3分；综合评定：良的得2分；综合评定：差的得1分；未提供不得分。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（4）提供振动监测点位布设方案及实施方案。本项最高3分，综合评定：优的得3分；综合评定：良的得2分；综合评定：差的得1分；未提供不得分。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配套服务相关方案，最高9分，其中，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项目管理组织体系说明、进度控制措施、质量控制措施、突发事故应急预案与处理措施、数据资料管理措施。本项最高5分，综合评定：优的得5分；综合评定：良的得3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（2）投标人承接本项目所具有的技术优势及可提供的本地化服务能力说明。本项最高4分，综合评定：优的得4分；综合评定：良的得2分；综合评定：差的得1分；未提供不得分。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2、项目人员及设备配备方案（20分）：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（1）项目负责人具备：注册测绘师证书；研究员级或正高级工程师职称证书；核心涉密人员培训合格证书；PMP项目管理证书的；每提供一个得1分；本项最高4分。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（2）技术负责人（项目负责人除外）具备：注册测绘师证书；研究员级或正高级工程师职称证书；核心涉密人员培训合格证书；测绘地理信息质检员证书的；每有1个得1分；本项最高4分。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（3）除项目负责人</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技术负责人外，其他项目人员具备高级工程师证书</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注册测绘师证书的，每有1个得1分，最高6分。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（4）项目人员具备摄影测量员（无人机测绘操控）职业资格证书的，每人0.5分，最高1分。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（5）配备有地面移动测量系统的得2分。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（6）配备有地面三维激光扫描仪和手持式三维激光扫描仪的得2分。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（7）配备有古建筑工业测试分析系统的得1分。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上述（1）至（4）项须同时提供由投标人为其缴纳的最近一个月的社会保险缴纳证明（由社保部门出具并体现人员姓名，非补缴），否则对应内容不得分。上述（5）至（7）项须同时提供由投标人购买的上述相关设备的购置发票，否则对应内容不得分。投标人应保证在投标文件提供的上述资料复印件可清晰辨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3、投标人综合情况评价（22分）：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（1）提供自2021年至今（以合同签订日期为准）由投标人独立承担（非联合体）的以下同类项目业绩资料：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①精密三维数字化建设项目，每份2分，最高6分。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②变形监测项目，每份1分，最高4分。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本项最高10分，同一项目的业绩资料只计分一次，不重复计分。上述业绩资料须提供项目合同。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（2）提供由2021年至今由投标人独立承担（非联合体）的同类项目获得地理信息优秀工程评定证明：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①精密三维数字化建设项目：省级及以上的得4分；市级的得2分；其他不得分。本项取最高值记一次分。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②不可移动文物监测项目：省级及以上的得4分；市级的得2分；其他不得分。本项取最高值记一次分。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本项最高8分，同一项目的评定证明只计分一次，不重复计分。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（3）提供与本项目技术及实施相关的计算机软件著作权登记证书，每份1分，最高4分。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注：投标人应保证在投标文件提供的上述（1）至（3）项资料复印件可清晰辨识。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1、综合评定释义：</w:t>
      </w:r>
      <w:bookmarkStart w:id="16" w:name="_GoBack"/>
      <w:r/>
      <w:bookmarkEnd w:id="1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综合评定：优，是指方案内容详细完整、技术可行性强、流程标准规范；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综合评定：良，是指方案内容较为完整、技术可行性一般、流程基本符合规范；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综合评定：差，是指方案内容简单笼统、技术可行性弱、流程规范性不足。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2、上述评分项中如有要求提供的资料原件的可用公证件原件代替。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3、其他评标未尽事宜由评标委员会根据有关规定讨论决定。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
          <w:color w:val="auto"/>
          <w:sz w:val="24"/>
          <w:szCs w:val="24"/>
          <w:highlight w:val="none"/>
        </w:rPr>
        <w:t xml:space="preserve">三、政府采购政策：</w:t>
      </w:r>
      <w:r/>
    </w:p>
    <w:p>
      <w:pPr>
        <w:ind w:firstLine="480"/>
        <w:spacing w:line="360" w:lineRule="auto"/>
        <w:tabs>
          <w:tab w:val="left" w:pos="28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针对中小型企业的评审：</w:t>
      </w:r>
      <w:r/>
    </w:p>
    <w:p>
      <w:pPr>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（1）本项目专门面向中小企业采购。</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（2）依据《政府采购促进中小企业发展管理办法》规定享受扶持政策获得政府采购合同的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小微企业不得将合同分包给大中型企业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中型企业不得将合同分包给大型企业。</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（3）本项目采购标的对应的中小企业划型标准规定所属行业为：</w:t>
      </w:r>
      <w:r>
        <w:rPr>
          <w:rFonts w:hint="eastAsia" w:ascii="宋体" w:hAnsi="宋体" w:eastAsia="宋体" w:cs="宋体"/>
          <w:b/>
          <w:color w:val="auto"/>
          <w:sz w:val="24"/>
          <w:szCs w:val="24"/>
          <w:highlight w:val="none"/>
        </w:rPr>
        <w:t xml:space="preserve">其他未列明行业。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Style w:val="1036"/>
          <w:rFonts w:hint="eastAsia" w:ascii="宋体" w:hAnsi="宋体" w:eastAsia="宋体" w:cs="宋体"/>
          <w:bCs/>
          <w:color w:val="auto"/>
          <w:sz w:val="24"/>
          <w:szCs w:val="24"/>
          <w:highlight w:val="none"/>
          <w:lang w:val="en-US" w:eastAsia="zh-CN"/>
        </w:rPr>
        <w:t xml:space="preserve">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注：在货物采购项目中</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供应商提供的货物既有中小企业制造货物</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也有大型企业制造货物的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不享受《政府采购促进中小企业发展管理办法》规定的中小企业扶持政策。若供应商提供的《中小企业声明函》为虚假声明则视同提供虚假材料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按政府采购相关规定处理并报请政府监管部门给予行政处罚。</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未按</w:t>
      </w:r>
      <w:r>
        <w:rPr>
          <w:rFonts w:hint="eastAsia" w:ascii="宋体" w:hAnsi="宋体" w:eastAsia="宋体" w:cs="宋体"/>
          <w:b w:val="0"/>
          <w:bCs w:val="0"/>
          <w:color w:val="auto"/>
          <w:sz w:val="24"/>
          <w:szCs w:val="24"/>
          <w:highlight w:val="none"/>
        </w:rPr>
        <w:t xml:space="preserve">本项目采购标的对应的中小企业划型标准规定所属行业</w:t>
      </w:r>
      <w:r>
        <w:rPr>
          <w:rFonts w:hint="eastAsia" w:ascii="宋体" w:hAnsi="宋体" w:eastAsia="宋体" w:cs="宋体"/>
          <w:b w:val="0"/>
          <w:bCs w:val="0"/>
          <w:color w:val="auto"/>
          <w:sz w:val="24"/>
          <w:szCs w:val="24"/>
          <w:highlight w:val="none"/>
          <w:lang w:eastAsia="zh-CN"/>
        </w:rPr>
        <w:t xml:space="preserve">承诺的</w:t>
      </w:r>
      <w:r>
        <w:rPr>
          <w:rFonts w:hint="eastAsia" w:ascii="宋体" w:hAnsi="宋体" w:eastAsia="宋体" w:cs="宋体"/>
          <w:b w:val="0"/>
          <w:bCs w:val="0"/>
          <w:color w:val="auto"/>
          <w:sz w:val="24"/>
          <w:szCs w:val="24"/>
          <w:highlight w:val="none"/>
        </w:rPr>
        <w:t xml:space="preserve">《中小企业声明函》</w:t>
      </w:r>
      <w:r>
        <w:rPr>
          <w:rFonts w:hint="eastAsia" w:ascii="宋体" w:hAnsi="宋体" w:eastAsia="宋体" w:cs="宋体"/>
          <w:b w:val="0"/>
          <w:bCs w:val="0"/>
          <w:color w:val="auto"/>
          <w:sz w:val="24"/>
          <w:szCs w:val="24"/>
          <w:highlight w:val="none"/>
          <w:lang w:eastAsia="zh-CN"/>
        </w:rPr>
        <w:t xml:space="preserve">为无效</w:t>
      </w:r>
      <w:r>
        <w:rPr>
          <w:rFonts w:hint="eastAsia" w:ascii="宋体" w:hAnsi="宋体" w:eastAsia="宋体" w:cs="宋体"/>
          <w:b w:val="0"/>
          <w:bCs w:val="0"/>
          <w:color w:val="auto"/>
          <w:sz w:val="24"/>
          <w:szCs w:val="24"/>
          <w:highlight w:val="none"/>
        </w:rPr>
        <w:t xml:space="preserve">《中小企业声明函》</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、针对监狱企业的评审：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对属于监狱企业的供应商给予评审：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符合《关于政府采购支持监狱企业发展有关问题的通知》（财库〔2014〕68号）条件的监狱企业参加政府采购活动时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、针对残疾人福利性单位的评审：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根据财政部、民政部、中国残疾人联合会《关于促进残疾人就业政府采购政策的通知》（财库〔2017〕141号）</w:t>
      </w:r>
      <w:r>
        <w:rPr>
          <w:rFonts w:hint="eastAsia" w:ascii="宋体" w:hAnsi="宋体" w:eastAsia="宋体" w:cs="宋体"/>
          <w:bCs/>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对属于残疾人福利性单位的供应商给予评审：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根据供应商提供的《残疾人福利性单位声明函》。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（1）供应商对上述声明的真实性负责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若供应商提供的《残疾人福利性单位声明函》与事实不符的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依照《政府采购法》第七十七条第一款的规定追究法律责任。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采购代理机构将随中标结果同时公告其《残疾人福利性单位声明函》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接受社会监督。</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、上述针对中小型企业、监狱企业和残疾人福利性单位的评审政策不重复享受。</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righ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全文完</w:t>
      </w:r>
      <w:r>
        <w:rPr>
          <w:rFonts w:hint="eastAsia" w:ascii="宋体" w:hAnsi="宋体" w:eastAsia="宋体" w:cs="宋体"/>
          <w:color w:val="auto"/>
          <w:sz w:val="24"/>
          <w:szCs w:val="24"/>
          <w:highlight w:val="none"/>
          <w:lang w:eastAsia="zh-CN"/>
        </w:rPr>
        <w:t xml:space="preserve">）</w:t>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Courier New">
    <w:panose1 w:val="02070309020205020404"/>
  </w:font>
  <w:font w:name="Symbol">
    <w:panose1 w:val="05050102010706020507"/>
  </w:font>
  <w:font w:name="方正仿宋简体">
    <w:panose1 w:val="020B0503020202020204"/>
  </w:font>
  <w:font w:name="Tahoma">
    <w:panose1 w:val="020B0604030504040204"/>
  </w:font>
  <w:font w:name="Calibri">
    <w:panose1 w:val="020F0502020204030204"/>
  </w:font>
  <w:font w:name="仿宋_GB2312">
    <w:panose1 w:val="02010609060101010101"/>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创艺简仿宋">
    <w:panose1 w:val="020B0503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right="360" w:firstLine="342"/>
    </w:pPr>
    <w:r>
      <w:rPr>
        <w:rFonts w:hint="eastAsia"/>
      </w:rPr>
      <w:t xml:space="preserve">苏州正杰招投标咨询服务有限公司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67"/>
      </w:rPr>
      <w:framePr w:wrap="around" w:vAnchor="text" w:hAnchor="margin" w:xAlign="right" w:y="1"/>
    </w:pPr>
    <w:r>
      <w:fldChar w:fldCharType="begin"/>
    </w:r>
    <w:r>
      <w:rPr>
        <w:rStyle w:val="967"/>
      </w:rPr>
      <w:instrText xml:space="preserve">PAGE  </w:instrText>
    </w:r>
    <w:r>
      <w:fldChar w:fldCharType="end"/>
    </w:r>
    <w:r/>
  </w:p>
  <w:p>
    <w:pPr>
      <w:pStyle w:val="94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right="360" w:firstLine="342"/>
    </w:pPr>
    <w:r>
      <w:rPr>
        <w:rFonts w:hint="eastAsia"/>
      </w:rPr>
      <w:t xml:space="preserve">苏州正杰招投标咨询服务有限公司</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944"/>
                          </w:pPr>
                          <w:r>
                            <w:fldChar w:fldCharType="begin"/>
                          </w:r>
                          <w:r>
                            <w:instrText xml:space="preserve"> PAGE  \* MERGEFORMAT </w:instrText>
                          </w:r>
                          <w:r>
                            <w:fldChar w:fldCharType="separate"/>
                          </w:r>
                          <w:r>
                            <w:t xml:space="preserve">63</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4"/>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ind w:right="360"/>
      <w:rPr>
        <w:rFonts w:hint="eastAsia" w:ascii="宋体" w:hAnsi="宋体" w:eastAsia="宋体" w:cs="宋体"/>
      </w:rPr>
    </w:pPr>
    <w:r>
      <w:rPr>
        <w:rFonts w:hint="eastAsia" w:ascii="宋体" w:hAnsi="宋体" w:eastAsia="宋体" w:cs="宋体"/>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4"/>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4"/>
                      <w:rPr>
                        <w:rFonts w:hint="eastAsia" w:ascii="宋体" w:hAnsi="宋体" w:eastAsia="宋体" w:cs="宋体"/>
                        <w:sz w:val="21"/>
                        <w:szCs w:val="21"/>
                      </w:rPr>
                    </w:pPr>
                    <w:r>
                      <w:rPr>
                        <w:rFonts w:hint="eastAsia" w:ascii="宋体" w:hAnsi="宋体" w:eastAsia="宋体" w:cs="宋体"/>
                        <w:sz w:val="21"/>
                        <w:szCs w:val="21"/>
                      </w:rPr>
                      <w:t xml:space="preserve">第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rPr>
                      <w:t xml:space="preserve"> 页</w:t>
                    </w:r>
                    <w:r/>
                  </w:p>
                </w:txbxContent>
              </v:textbox>
            </v:shape>
          </w:pict>
        </mc:Fallback>
      </mc:AlternateContent>
    </w:r>
    <w:r>
      <w:rPr>
        <w:rFonts w:hint="eastAsia" w:ascii="宋体" w:hAnsi="宋体" w:eastAsia="宋体" w:cs="宋体"/>
      </w:rPr>
      <w:t xml:space="preserve">苏州正杰招投标咨询服务有限公司</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jc w:val="both"/>
      <w:rPr>
        <w:rFonts w:hint="eastAsia" w:ascii="宋体" w:hAnsi="宋体" w:eastAsia="宋体" w:cs="宋体"/>
        <w:sz w:val="21"/>
        <w:szCs w:val="21"/>
        <w:lang w:eastAsia="zh-CN"/>
      </w:rPr>
    </w:pPr>
    <w:r>
      <w:rPr>
        <w:rFonts w:hint="eastAsia" w:ascii="宋体" w:hAnsi="宋体" w:eastAsia="宋体" w:cs="宋体"/>
        <w:sz w:val="21"/>
        <w:szCs w:val="21"/>
      </w:rPr>
      <w:t xml:space="preserve">政府采购招标文件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项目编号</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JSZC-320500-SZZJ-G2024-0031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992"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decimal"/>
      <w:pStyle w:val="993"/>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17"/>
      <w:isLgl w:val="false"/>
      <w:suff w:val="tab"/>
      <w:lvlText w:val="%1.%2.%3.%4.%5"/>
      <w:lvlJc w:val="left"/>
      <w:pPr>
        <w:ind w:left="1008" w:hanging="1008"/>
        <w:tabs>
          <w:tab w:val="left" w:pos="1008" w:leader="none"/>
        </w:tabs>
      </w:pPr>
    </w:lvl>
    <w:lvl w:ilvl="5">
      <w:start w:val="1"/>
      <w:numFmt w:val="decimal"/>
      <w:pStyle w:val="918"/>
      <w:isLgl w:val="false"/>
      <w:suff w:val="tab"/>
      <w:lvlText w:val="%1.%2.%3.%4.%5.%6"/>
      <w:lvlJc w:val="left"/>
      <w:pPr>
        <w:ind w:left="1152" w:hanging="1152"/>
        <w:tabs>
          <w:tab w:val="left" w:pos="1152" w:leader="none"/>
        </w:tabs>
      </w:pPr>
    </w:lvl>
    <w:lvl w:ilvl="6">
      <w:start w:val="1"/>
      <w:numFmt w:val="decimal"/>
      <w:pStyle w:val="919"/>
      <w:isLgl w:val="false"/>
      <w:suff w:val="tab"/>
      <w:lvlText w:val="%1.%2.%3.%4.%5.%6.%7"/>
      <w:lvlJc w:val="left"/>
      <w:pPr>
        <w:ind w:left="1296" w:hanging="1296"/>
        <w:tabs>
          <w:tab w:val="left" w:pos="1296" w:leader="none"/>
        </w:tabs>
      </w:pPr>
    </w:lvl>
    <w:lvl w:ilvl="7">
      <w:start w:val="1"/>
      <w:numFmt w:val="decimal"/>
      <w:pStyle w:val="920"/>
      <w:isLgl w:val="false"/>
      <w:suff w:val="tab"/>
      <w:lvlText w:val="%1.%2.%3.%4.%5.%6.%7.%8"/>
      <w:lvlJc w:val="left"/>
      <w:pPr>
        <w:ind w:left="1440" w:hanging="1440"/>
        <w:tabs>
          <w:tab w:val="left" w:pos="1440" w:leader="none"/>
        </w:tabs>
      </w:pPr>
    </w:lvl>
    <w:lvl w:ilvl="8">
      <w:start w:val="1"/>
      <w:numFmt w:val="decimal"/>
      <w:pStyle w:val="921"/>
      <w:isLgl w:val="false"/>
      <w:suff w:val="tab"/>
      <w:lvlText w:val="%1.%2.%3.%4.%5.%6.%7.%8.%9"/>
      <w:lvlJc w:val="left"/>
      <w:pPr>
        <w:ind w:left="1584" w:hanging="1584"/>
        <w:tabs>
          <w:tab w:val="left" w:pos="1584"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1 Char"/>
    <w:basedOn w:val="922"/>
    <w:link w:val="913"/>
    <w:uiPriority w:val="9"/>
    <w:rPr>
      <w:rFonts w:ascii="Arial" w:hAnsi="Arial" w:eastAsia="Arial" w:cs="Arial"/>
      <w:sz w:val="40"/>
      <w:szCs w:val="40"/>
    </w:rPr>
  </w:style>
  <w:style w:type="character" w:styleId="762">
    <w:name w:val="Heading 2 Char"/>
    <w:basedOn w:val="922"/>
    <w:link w:val="914"/>
    <w:uiPriority w:val="9"/>
    <w:rPr>
      <w:rFonts w:ascii="Arial" w:hAnsi="Arial" w:eastAsia="Arial" w:cs="Arial"/>
      <w:sz w:val="34"/>
    </w:rPr>
  </w:style>
  <w:style w:type="character" w:styleId="763">
    <w:name w:val="Heading 3 Char"/>
    <w:basedOn w:val="922"/>
    <w:link w:val="915"/>
    <w:uiPriority w:val="9"/>
    <w:rPr>
      <w:rFonts w:ascii="Arial" w:hAnsi="Arial" w:eastAsia="Arial" w:cs="Arial"/>
      <w:sz w:val="30"/>
      <w:szCs w:val="30"/>
    </w:rPr>
  </w:style>
  <w:style w:type="character" w:styleId="764">
    <w:name w:val="Heading 4 Char"/>
    <w:basedOn w:val="922"/>
    <w:link w:val="916"/>
    <w:uiPriority w:val="9"/>
    <w:rPr>
      <w:rFonts w:ascii="Arial" w:hAnsi="Arial" w:eastAsia="Arial" w:cs="Arial"/>
      <w:b/>
      <w:bCs/>
      <w:sz w:val="26"/>
      <w:szCs w:val="26"/>
    </w:rPr>
  </w:style>
  <w:style w:type="character" w:styleId="765">
    <w:name w:val="Heading 5 Char"/>
    <w:basedOn w:val="922"/>
    <w:link w:val="917"/>
    <w:uiPriority w:val="9"/>
    <w:rPr>
      <w:rFonts w:ascii="Arial" w:hAnsi="Arial" w:eastAsia="Arial" w:cs="Arial"/>
      <w:b/>
      <w:bCs/>
      <w:sz w:val="24"/>
      <w:szCs w:val="24"/>
    </w:rPr>
  </w:style>
  <w:style w:type="character" w:styleId="766">
    <w:name w:val="Heading 6 Char"/>
    <w:basedOn w:val="922"/>
    <w:link w:val="918"/>
    <w:uiPriority w:val="9"/>
    <w:rPr>
      <w:rFonts w:ascii="Arial" w:hAnsi="Arial" w:eastAsia="Arial" w:cs="Arial"/>
      <w:b/>
      <w:bCs/>
      <w:sz w:val="22"/>
      <w:szCs w:val="22"/>
    </w:rPr>
  </w:style>
  <w:style w:type="character" w:styleId="767">
    <w:name w:val="Heading 7 Char"/>
    <w:basedOn w:val="922"/>
    <w:link w:val="919"/>
    <w:uiPriority w:val="9"/>
    <w:rPr>
      <w:rFonts w:ascii="Arial" w:hAnsi="Arial" w:eastAsia="Arial" w:cs="Arial"/>
      <w:b/>
      <w:bCs/>
      <w:i/>
      <w:iCs/>
      <w:sz w:val="22"/>
      <w:szCs w:val="22"/>
    </w:rPr>
  </w:style>
  <w:style w:type="character" w:styleId="768">
    <w:name w:val="Heading 8 Char"/>
    <w:basedOn w:val="922"/>
    <w:link w:val="920"/>
    <w:uiPriority w:val="9"/>
    <w:rPr>
      <w:rFonts w:ascii="Arial" w:hAnsi="Arial" w:eastAsia="Arial" w:cs="Arial"/>
      <w:i/>
      <w:iCs/>
      <w:sz w:val="22"/>
      <w:szCs w:val="22"/>
    </w:rPr>
  </w:style>
  <w:style w:type="character" w:styleId="769">
    <w:name w:val="Heading 9 Char"/>
    <w:basedOn w:val="922"/>
    <w:link w:val="921"/>
    <w:uiPriority w:val="9"/>
    <w:rPr>
      <w:rFonts w:ascii="Arial" w:hAnsi="Arial" w:eastAsia="Arial" w:cs="Arial"/>
      <w:i/>
      <w:iCs/>
      <w:sz w:val="21"/>
      <w:szCs w:val="21"/>
    </w:rPr>
  </w:style>
  <w:style w:type="paragraph" w:styleId="770">
    <w:name w:val="No Spacing"/>
    <w:uiPriority w:val="1"/>
    <w:qFormat/>
    <w:pPr>
      <w:spacing w:before="0" w:after="0" w:line="240" w:lineRule="auto"/>
    </w:pPr>
  </w:style>
  <w:style w:type="character" w:styleId="771">
    <w:name w:val="Title Char"/>
    <w:basedOn w:val="922"/>
    <w:link w:val="962"/>
    <w:uiPriority w:val="10"/>
    <w:rPr>
      <w:sz w:val="48"/>
      <w:szCs w:val="48"/>
    </w:rPr>
  </w:style>
  <w:style w:type="paragraph" w:styleId="772">
    <w:name w:val="Subtitle"/>
    <w:basedOn w:val="912"/>
    <w:next w:val="912"/>
    <w:link w:val="773"/>
    <w:uiPriority w:val="11"/>
    <w:qFormat/>
    <w:pPr>
      <w:spacing w:before="200" w:after="200"/>
    </w:pPr>
    <w:rPr>
      <w:sz w:val="24"/>
      <w:szCs w:val="24"/>
    </w:rPr>
  </w:style>
  <w:style w:type="character" w:styleId="773">
    <w:name w:val="Subtitle Char"/>
    <w:basedOn w:val="922"/>
    <w:link w:val="772"/>
    <w:uiPriority w:val="11"/>
    <w:rPr>
      <w:sz w:val="24"/>
      <w:szCs w:val="24"/>
    </w:rPr>
  </w:style>
  <w:style w:type="paragraph" w:styleId="774">
    <w:name w:val="Quote"/>
    <w:basedOn w:val="912"/>
    <w:next w:val="912"/>
    <w:link w:val="775"/>
    <w:uiPriority w:val="29"/>
    <w:qFormat/>
    <w:pPr>
      <w:ind w:left="720" w:right="720"/>
    </w:pPr>
    <w:rPr>
      <w:i/>
    </w:rPr>
  </w:style>
  <w:style w:type="character" w:styleId="775">
    <w:name w:val="Quote Char"/>
    <w:link w:val="774"/>
    <w:uiPriority w:val="29"/>
    <w:rPr>
      <w:i/>
    </w:rPr>
  </w:style>
  <w:style w:type="paragraph" w:styleId="776">
    <w:name w:val="Intense Quote"/>
    <w:basedOn w:val="912"/>
    <w:next w:val="912"/>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character" w:styleId="778">
    <w:name w:val="Header Char"/>
    <w:basedOn w:val="922"/>
    <w:link w:val="946"/>
    <w:uiPriority w:val="99"/>
  </w:style>
  <w:style w:type="character" w:styleId="779">
    <w:name w:val="Footer Char"/>
    <w:basedOn w:val="922"/>
    <w:link w:val="944"/>
    <w:uiPriority w:val="99"/>
  </w:style>
  <w:style w:type="paragraph" w:styleId="780">
    <w:name w:val="Caption"/>
    <w:basedOn w:val="912"/>
    <w:next w:val="912"/>
    <w:uiPriority w:val="35"/>
    <w:semiHidden/>
    <w:unhideWhenUsed/>
    <w:qFormat/>
    <w:pPr>
      <w:spacing w:line="276" w:lineRule="auto"/>
    </w:pPr>
    <w:rPr>
      <w:b/>
      <w:bCs/>
      <w:color w:val="4f81bd" w:themeColor="accent1"/>
      <w:sz w:val="18"/>
      <w:szCs w:val="18"/>
    </w:rPr>
  </w:style>
  <w:style w:type="character" w:styleId="781">
    <w:name w:val="Caption Char"/>
    <w:basedOn w:val="780"/>
    <w:link w:val="944"/>
    <w:uiPriority w:val="99"/>
  </w:style>
  <w:style w:type="table" w:styleId="782">
    <w:name w:val="Table Grid Light"/>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basedOn w:val="9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9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9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9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basedOn w:val="9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basedOn w:val="9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basedOn w:val="9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basedOn w:val="9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basedOn w:val="9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basedOn w:val="9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basedOn w:val="9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basedOn w:val="9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basedOn w:val="9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basedOn w:val="9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basedOn w:val="9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basedOn w:val="9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basedOn w:val="9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basedOn w:val="9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18">
    <w:name w:val="Grid Table 5 Dark - Accent 2"/>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9">
    <w:name w:val="Grid Table 5 Dark - Accent 3"/>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0">
    <w:name w:val="Grid Table 5 Dark- Accent 4"/>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1">
    <w:name w:val="Grid Table 5 Dark - Accent 5"/>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22">
    <w:name w:val="Grid Table 5 Dark - Accent 6"/>
    <w:basedOn w:val="9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3">
    <w:name w:val="Grid Table 6 Colorful"/>
    <w:basedOn w:val="9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basedOn w:val="9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basedOn w:val="9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basedOn w:val="9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29">
    <w:name w:val="Grid Table 6 Colorful - Accent 6"/>
    <w:basedOn w:val="9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30">
    <w:name w:val="Grid Table 7 Colorful"/>
    <w:basedOn w:val="9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basedOn w:val="9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basedOn w:val="9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basedOn w:val="9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basedOn w:val="9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basedOn w:val="9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basedOn w:val="9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basedOn w:val="9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basedOn w:val="92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basedOn w:val="92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basedOn w:val="92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basedOn w:val="92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basedOn w:val="92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basedOn w:val="92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basedOn w:val="9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basedOn w:val="9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basedOn w:val="9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basedOn w:val="9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basedOn w:val="9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basedOn w:val="9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basedOn w:val="9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basedOn w:val="9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53">
    <w:name w:val="List Table 3 - Accent 2"/>
    <w:basedOn w:val="9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4">
    <w:name w:val="List Table 3 - Accent 3"/>
    <w:basedOn w:val="9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5">
    <w:name w:val="List Table 3 - Accent 4"/>
    <w:basedOn w:val="9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6">
    <w:name w:val="List Table 3 - Accent 5"/>
    <w:basedOn w:val="9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57">
    <w:name w:val="List Table 3 - Accent 6"/>
    <w:basedOn w:val="9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8">
    <w:name w:val="List Table 4"/>
    <w:basedOn w:val="9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basedOn w:val="9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60">
    <w:name w:val="List Table 4 - Accent 2"/>
    <w:basedOn w:val="9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1">
    <w:name w:val="List Table 4 - Accent 3"/>
    <w:basedOn w:val="9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2">
    <w:name w:val="List Table 4 - Accent 4"/>
    <w:basedOn w:val="9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3">
    <w:name w:val="List Table 4 - Accent 5"/>
    <w:basedOn w:val="9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64">
    <w:name w:val="List Table 4 - Accent 6"/>
    <w:basedOn w:val="9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5">
    <w:name w:val="List Table 5 Dark"/>
    <w:basedOn w:val="9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basedOn w:val="9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basedOn w:val="9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basedOn w:val="9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basedOn w:val="9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basedOn w:val="9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basedOn w:val="9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basedOn w:val="9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basedOn w:val="9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74">
    <w:name w:val="List Table 6 Colorful - Accent 2"/>
    <w:basedOn w:val="9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5">
    <w:name w:val="List Table 6 Colorful - Accent 3"/>
    <w:basedOn w:val="9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6">
    <w:name w:val="List Table 6 Colorful - Accent 4"/>
    <w:basedOn w:val="9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7">
    <w:name w:val="List Table 6 Colorful - Accent 5"/>
    <w:basedOn w:val="9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78">
    <w:name w:val="List Table 6 Colorful - Accent 6"/>
    <w:basedOn w:val="9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9">
    <w:name w:val="List Table 7 Colorful"/>
    <w:basedOn w:val="9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basedOn w:val="9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81">
    <w:name w:val="List Table 7 Colorful - Accent 2"/>
    <w:basedOn w:val="9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2">
    <w:name w:val="List Table 7 Colorful - Accent 3"/>
    <w:basedOn w:val="9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3">
    <w:name w:val="List Table 7 Colorful - Accent 4"/>
    <w:basedOn w:val="9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4">
    <w:name w:val="List Table 7 Colorful - Accent 5"/>
    <w:basedOn w:val="9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85">
    <w:name w:val="List Table 7 Colorful - Accent 6"/>
    <w:basedOn w:val="9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6">
    <w:name w:val="Lined - Accent"/>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8">
    <w:name w:val="Lined - Accent 2"/>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9">
    <w:name w:val="Lined - Accent 3"/>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0">
    <w:name w:val="Lined - Accent 4"/>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1">
    <w:name w:val="Lined - Accent 5"/>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2">
    <w:name w:val="Lined - Accent 6"/>
    <w:basedOn w:val="9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3">
    <w:name w:val="Bordered &amp; Lined - Accent"/>
    <w:basedOn w:val="9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basedOn w:val="9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95">
    <w:name w:val="Bordered &amp; Lined - Accent 2"/>
    <w:basedOn w:val="9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6">
    <w:name w:val="Bordered &amp; Lined - Accent 3"/>
    <w:basedOn w:val="9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7">
    <w:name w:val="Bordered &amp; Lined - Accent 4"/>
    <w:basedOn w:val="9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8">
    <w:name w:val="Bordered &amp; Lined - Accent 5"/>
    <w:basedOn w:val="9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99">
    <w:name w:val="Bordered &amp; Lined - Accent 6"/>
    <w:basedOn w:val="9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0">
    <w:name w:val="Bordered"/>
    <w:basedOn w:val="9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basedOn w:val="9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basedOn w:val="9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basedOn w:val="9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basedOn w:val="9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basedOn w:val="9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basedOn w:val="9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Footnote Text Char"/>
    <w:link w:val="951"/>
    <w:uiPriority w:val="99"/>
    <w:rPr>
      <w:sz w:val="18"/>
    </w:rPr>
  </w:style>
  <w:style w:type="paragraph" w:styleId="908">
    <w:name w:val="endnote text"/>
    <w:basedOn w:val="912"/>
    <w:link w:val="909"/>
    <w:uiPriority w:val="99"/>
    <w:semiHidden/>
    <w:unhideWhenUsed/>
    <w:pPr>
      <w:spacing w:after="0" w:line="240" w:lineRule="auto"/>
    </w:pPr>
    <w:rPr>
      <w:sz w:val="20"/>
    </w:rPr>
  </w:style>
  <w:style w:type="character" w:styleId="909">
    <w:name w:val="Endnote Text Char"/>
    <w:link w:val="908"/>
    <w:uiPriority w:val="99"/>
    <w:rPr>
      <w:sz w:val="20"/>
    </w:rPr>
  </w:style>
  <w:style w:type="character" w:styleId="910">
    <w:name w:val="endnote reference"/>
    <w:basedOn w:val="922"/>
    <w:uiPriority w:val="99"/>
    <w:semiHidden/>
    <w:unhideWhenUsed/>
    <w:rPr>
      <w:vertAlign w:val="superscript"/>
    </w:rPr>
  </w:style>
  <w:style w:type="paragraph" w:styleId="911">
    <w:name w:val="TOC Heading"/>
    <w:uiPriority w:val="39"/>
    <w:unhideWhenUsed/>
  </w:style>
  <w:style w:type="paragraph" w:styleId="912" w:default="1">
    <w:name w:val="Normal"/>
    <w:next w:val="924"/>
    <w:uiPriority w:val="0"/>
    <w:qFormat/>
    <w:pPr>
      <w:jc w:val="both"/>
      <w:widowControl w:val="off"/>
    </w:pPr>
    <w:rPr>
      <w:rFonts w:ascii="Times New Roman" w:hAnsi="Times New Roman" w:eastAsia="楷体_GB2312" w:cs="Times New Roman"/>
      <w:sz w:val="26"/>
      <w:lang w:val="en-US" w:eastAsia="zh-CN" w:bidi="ar-SA"/>
    </w:rPr>
  </w:style>
  <w:style w:type="paragraph" w:styleId="913">
    <w:name w:val="Heading 1"/>
    <w:basedOn w:val="912"/>
    <w:next w:val="912"/>
    <w:link w:val="1045"/>
    <w:uiPriority w:val="0"/>
    <w:qFormat/>
    <w:pPr>
      <w:keepLines/>
      <w:keepNext/>
      <w:spacing w:before="340" w:after="330" w:line="578" w:lineRule="auto"/>
      <w:outlineLvl w:val="0"/>
    </w:pPr>
    <w:rPr>
      <w:b/>
      <w:sz w:val="44"/>
    </w:rPr>
  </w:style>
  <w:style w:type="paragraph" w:styleId="914">
    <w:name w:val="Heading 2"/>
    <w:basedOn w:val="912"/>
    <w:next w:val="912"/>
    <w:uiPriority w:val="0"/>
    <w:qFormat/>
    <w:pPr>
      <w:jc w:val="left"/>
      <w:keepLines/>
      <w:keepNext/>
      <w:outlineLvl w:val="1"/>
    </w:pPr>
    <w:rPr>
      <w:rFonts w:ascii="宋体" w:hAnsi="宋体"/>
      <w:b/>
    </w:rPr>
  </w:style>
  <w:style w:type="paragraph" w:styleId="915">
    <w:name w:val="Heading 3"/>
    <w:basedOn w:val="912"/>
    <w:next w:val="912"/>
    <w:uiPriority w:val="0"/>
    <w:qFormat/>
    <w:pPr>
      <w:jc w:val="left"/>
      <w:keepLines/>
      <w:keepNext/>
      <w:outlineLvl w:val="2"/>
    </w:pPr>
    <w:rPr>
      <w:b/>
    </w:rPr>
  </w:style>
  <w:style w:type="paragraph" w:styleId="916">
    <w:name w:val="Heading 4"/>
    <w:basedOn w:val="912"/>
    <w:next w:val="912"/>
    <w:uiPriority w:val="9"/>
    <w:qFormat/>
    <w:pPr>
      <w:keepLines/>
      <w:keepNext/>
      <w:spacing w:before="280" w:after="290" w:line="376" w:lineRule="auto"/>
      <w:outlineLvl w:val="3"/>
    </w:pPr>
    <w:rPr>
      <w:rFonts w:ascii="Cambria" w:hAnsi="Cambria"/>
      <w:bCs/>
      <w:szCs w:val="28"/>
    </w:rPr>
  </w:style>
  <w:style w:type="paragraph" w:styleId="917">
    <w:name w:val="Heading 5"/>
    <w:basedOn w:val="912"/>
    <w:next w:val="925"/>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18">
    <w:name w:val="Heading 6"/>
    <w:basedOn w:val="912"/>
    <w:next w:val="912"/>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19">
    <w:name w:val="Heading 7"/>
    <w:basedOn w:val="912"/>
    <w:next w:val="925"/>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20">
    <w:name w:val="Heading 8"/>
    <w:basedOn w:val="912"/>
    <w:next w:val="925"/>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21">
    <w:name w:val="Heading 9"/>
    <w:basedOn w:val="912"/>
    <w:next w:val="925"/>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22" w:default="1">
    <w:name w:val="Default Paragraph Font"/>
    <w:uiPriority w:val="1"/>
    <w:semiHidden/>
    <w:unhideWhenUsed/>
    <w:qFormat/>
  </w:style>
  <w:style w:type="table" w:styleId="923" w:default="1">
    <w:name w:val="Normal Table"/>
    <w:uiPriority w:val="99"/>
    <w:semiHidden/>
    <w:unhideWhenUsed/>
    <w:qFormat/>
    <w:tblPr>
      <w:tblCellMar>
        <w:left w:w="108" w:type="dxa"/>
        <w:top w:w="0" w:type="dxa"/>
        <w:right w:w="108" w:type="dxa"/>
        <w:bottom w:w="0" w:type="dxa"/>
      </w:tblCellMar>
    </w:tblPr>
  </w:style>
  <w:style w:type="paragraph" w:styleId="924" w:customStyle="1">
    <w:name w:val="段"/>
    <w:next w:val="912"/>
    <w:uiPriority w:val="99"/>
    <w:qFormat/>
    <w:pPr>
      <w:ind w:firstLine="200"/>
      <w:jc w:val="both"/>
      <w:spacing w:line="360" w:lineRule="auto"/>
    </w:pPr>
    <w:rPr>
      <w:rFonts w:ascii="宋体" w:hAnsi="Calibri" w:eastAsia="宋体" w:cs="Times New Roman"/>
      <w:sz w:val="24"/>
      <w:szCs w:val="22"/>
      <w:lang w:val="en-US" w:eastAsia="zh-CN" w:bidi="ar-SA"/>
    </w:rPr>
  </w:style>
  <w:style w:type="paragraph" w:styleId="925">
    <w:name w:val="Normal Indent"/>
    <w:basedOn w:val="912"/>
    <w:next w:val="912"/>
    <w:link w:val="983"/>
    <w:uiPriority w:val="0"/>
    <w:qFormat/>
    <w:pPr>
      <w:ind w:firstLine="420"/>
      <w:jc w:val="left"/>
    </w:pPr>
    <w:rPr>
      <w:sz w:val="24"/>
    </w:rPr>
  </w:style>
  <w:style w:type="paragraph" w:styleId="926">
    <w:name w:val="toc 7"/>
    <w:basedOn w:val="912"/>
    <w:next w:val="912"/>
    <w:uiPriority w:val="0"/>
    <w:qFormat/>
    <w:pPr>
      <w:ind w:left="2520"/>
    </w:pPr>
  </w:style>
  <w:style w:type="paragraph" w:styleId="927">
    <w:name w:val="index 8"/>
    <w:basedOn w:val="912"/>
    <w:next w:val="912"/>
    <w:uiPriority w:val="0"/>
    <w:qFormat/>
    <w:pPr>
      <w:ind w:left="2940"/>
    </w:pPr>
  </w:style>
  <w:style w:type="paragraph" w:styleId="928">
    <w:name w:val="index 5"/>
    <w:basedOn w:val="912"/>
    <w:next w:val="912"/>
    <w:uiPriority w:val="0"/>
    <w:qFormat/>
    <w:pPr>
      <w:ind w:left="1680"/>
    </w:pPr>
  </w:style>
  <w:style w:type="paragraph" w:styleId="929">
    <w:name w:val="Document Map"/>
    <w:basedOn w:val="912"/>
    <w:uiPriority w:val="0"/>
    <w:qFormat/>
    <w:pPr>
      <w:shd w:val="clear" w:color="auto" w:fill="000080"/>
    </w:pPr>
  </w:style>
  <w:style w:type="paragraph" w:styleId="930">
    <w:name w:val="annotation text"/>
    <w:basedOn w:val="912"/>
    <w:link w:val="1035"/>
    <w:uiPriority w:val="0"/>
    <w:qFormat/>
    <w:pPr>
      <w:jc w:val="left"/>
    </w:pPr>
  </w:style>
  <w:style w:type="paragraph" w:styleId="931">
    <w:name w:val="index 6"/>
    <w:basedOn w:val="912"/>
    <w:next w:val="912"/>
    <w:uiPriority w:val="0"/>
    <w:qFormat/>
    <w:pPr>
      <w:ind w:left="2100"/>
    </w:pPr>
  </w:style>
  <w:style w:type="paragraph" w:styleId="932">
    <w:name w:val="Body Text"/>
    <w:basedOn w:val="912"/>
    <w:uiPriority w:val="0"/>
    <w:qFormat/>
    <w:pPr>
      <w:spacing w:line="400" w:lineRule="exact"/>
    </w:pPr>
    <w:rPr>
      <w:rFonts w:ascii="楷体_GB2312"/>
      <w:sz w:val="28"/>
    </w:rPr>
  </w:style>
  <w:style w:type="paragraph" w:styleId="933">
    <w:name w:val="Body Text Indent"/>
    <w:basedOn w:val="912"/>
    <w:uiPriority w:val="0"/>
    <w:qFormat/>
    <w:pPr>
      <w:ind w:left="570"/>
      <w:spacing w:line="520" w:lineRule="exact"/>
    </w:pPr>
    <w:rPr>
      <w:rFonts w:ascii="方正仿宋简体" w:hAnsi="创艺简仿宋" w:eastAsia="方正仿宋简体"/>
      <w:sz w:val="24"/>
    </w:rPr>
  </w:style>
  <w:style w:type="paragraph" w:styleId="934">
    <w:name w:val="List Continue"/>
    <w:basedOn w:val="912"/>
    <w:uiPriority w:val="99"/>
    <w:unhideWhenUsed/>
    <w:qFormat/>
    <w:pPr>
      <w:ind w:left="200"/>
      <w:spacing w:after="120"/>
    </w:pPr>
    <w:rPr>
      <w:rFonts w:ascii="宋体" w:hAnsi="宋体" w:cs="Symbol"/>
      <w:sz w:val="28"/>
    </w:rPr>
  </w:style>
  <w:style w:type="paragraph" w:styleId="935">
    <w:name w:val="index 4"/>
    <w:basedOn w:val="912"/>
    <w:next w:val="912"/>
    <w:uiPriority w:val="0"/>
    <w:qFormat/>
    <w:pPr>
      <w:ind w:left="1260"/>
    </w:pPr>
  </w:style>
  <w:style w:type="paragraph" w:styleId="936">
    <w:name w:val="toc 5"/>
    <w:basedOn w:val="912"/>
    <w:next w:val="912"/>
    <w:uiPriority w:val="0"/>
    <w:qFormat/>
    <w:pPr>
      <w:ind w:left="1680"/>
    </w:pPr>
  </w:style>
  <w:style w:type="paragraph" w:styleId="937">
    <w:name w:val="toc 3"/>
    <w:basedOn w:val="912"/>
    <w:next w:val="912"/>
    <w:uiPriority w:val="0"/>
    <w:qFormat/>
    <w:pPr>
      <w:ind w:left="840"/>
    </w:pPr>
  </w:style>
  <w:style w:type="paragraph" w:styleId="938">
    <w:name w:val="Plain Text"/>
    <w:basedOn w:val="912"/>
    <w:next w:val="925"/>
    <w:link w:val="987"/>
    <w:uiPriority w:val="0"/>
    <w:qFormat/>
    <w:rPr>
      <w:rFonts w:ascii="宋体" w:hAnsi="Courier New"/>
    </w:rPr>
  </w:style>
  <w:style w:type="paragraph" w:styleId="939">
    <w:name w:val="toc 8"/>
    <w:basedOn w:val="912"/>
    <w:next w:val="912"/>
    <w:uiPriority w:val="0"/>
    <w:qFormat/>
    <w:pPr>
      <w:ind w:left="2940"/>
    </w:pPr>
  </w:style>
  <w:style w:type="paragraph" w:styleId="940">
    <w:name w:val="index 3"/>
    <w:basedOn w:val="912"/>
    <w:next w:val="912"/>
    <w:uiPriority w:val="0"/>
    <w:qFormat/>
    <w:pPr>
      <w:ind w:left="840"/>
    </w:pPr>
  </w:style>
  <w:style w:type="paragraph" w:styleId="941">
    <w:name w:val="Date"/>
    <w:basedOn w:val="912"/>
    <w:next w:val="912"/>
    <w:link w:val="988"/>
    <w:uiPriority w:val="0"/>
    <w:qFormat/>
    <w:rPr>
      <w:rFonts w:ascii="宋体" w:hAnsi="宋体"/>
      <w:sz w:val="24"/>
    </w:rPr>
  </w:style>
  <w:style w:type="paragraph" w:styleId="942">
    <w:name w:val="Body Text Indent 2"/>
    <w:basedOn w:val="912"/>
    <w:uiPriority w:val="0"/>
    <w:qFormat/>
    <w:pPr>
      <w:ind w:firstLine="502"/>
      <w:spacing w:line="360" w:lineRule="auto"/>
      <w:tabs>
        <w:tab w:val="left" w:pos="0" w:leader="none"/>
      </w:tabs>
    </w:pPr>
    <w:rPr>
      <w:rFonts w:ascii="宋体" w:eastAsia="宋体"/>
      <w:b/>
      <w:bCs/>
      <w:sz w:val="24"/>
    </w:rPr>
  </w:style>
  <w:style w:type="paragraph" w:styleId="943">
    <w:name w:val="Balloon Text"/>
    <w:basedOn w:val="912"/>
    <w:uiPriority w:val="0"/>
    <w:qFormat/>
    <w:rPr>
      <w:sz w:val="18"/>
      <w:szCs w:val="18"/>
    </w:rPr>
  </w:style>
  <w:style w:type="paragraph" w:styleId="944">
    <w:name w:val="Footer"/>
    <w:basedOn w:val="912"/>
    <w:link w:val="1043"/>
    <w:uiPriority w:val="99"/>
    <w:qFormat/>
    <w:pPr>
      <w:jc w:val="left"/>
      <w:tabs>
        <w:tab w:val="center" w:pos="4153" w:leader="none"/>
        <w:tab w:val="right" w:pos="8306" w:leader="none"/>
      </w:tabs>
    </w:pPr>
    <w:rPr>
      <w:sz w:val="18"/>
    </w:rPr>
  </w:style>
  <w:style w:type="paragraph" w:styleId="945">
    <w:name w:val="envelope return"/>
    <w:basedOn w:val="912"/>
    <w:uiPriority w:val="0"/>
    <w:qFormat/>
    <w:rPr>
      <w:rFonts w:ascii="Arial" w:hAnsi="Arial"/>
    </w:rPr>
  </w:style>
  <w:style w:type="paragraph" w:styleId="946">
    <w:name w:val="Header"/>
    <w:basedOn w:val="912"/>
    <w:link w:val="1044"/>
    <w:uiPriority w:val="99"/>
    <w:qFormat/>
    <w:pPr>
      <w:jc w:val="center"/>
      <w:tabs>
        <w:tab w:val="center" w:pos="4153" w:leader="none"/>
        <w:tab w:val="right" w:pos="8306" w:leader="none"/>
      </w:tabs>
      <w:pBdr>
        <w:bottom w:val="single" w:color="auto" w:sz="6" w:space="1"/>
      </w:pBdr>
    </w:pPr>
    <w:rPr>
      <w:sz w:val="18"/>
    </w:rPr>
  </w:style>
  <w:style w:type="paragraph" w:styleId="947">
    <w:name w:val="toc 1"/>
    <w:basedOn w:val="912"/>
    <w:next w:val="912"/>
    <w:uiPriority w:val="0"/>
    <w:qFormat/>
    <w:pPr>
      <w:tabs>
        <w:tab w:val="right" w:pos="9026" w:leader="dot"/>
      </w:tabs>
    </w:pPr>
    <w:rPr>
      <w:rFonts w:ascii="宋体" w:hAnsi="宋体" w:eastAsia="宋体"/>
      <w:sz w:val="24"/>
    </w:rPr>
  </w:style>
  <w:style w:type="paragraph" w:styleId="948">
    <w:name w:val="toc 4"/>
    <w:basedOn w:val="912"/>
    <w:next w:val="912"/>
    <w:uiPriority w:val="0"/>
    <w:qFormat/>
    <w:pPr>
      <w:ind w:left="1260"/>
    </w:pPr>
  </w:style>
  <w:style w:type="paragraph" w:styleId="949">
    <w:name w:val="index heading"/>
    <w:basedOn w:val="912"/>
    <w:next w:val="950"/>
    <w:uiPriority w:val="0"/>
    <w:qFormat/>
  </w:style>
  <w:style w:type="paragraph" w:styleId="950">
    <w:name w:val="index 1"/>
    <w:basedOn w:val="912"/>
    <w:next w:val="912"/>
    <w:uiPriority w:val="0"/>
    <w:qFormat/>
  </w:style>
  <w:style w:type="paragraph" w:styleId="951">
    <w:name w:val="footnote text"/>
    <w:basedOn w:val="912"/>
    <w:uiPriority w:val="0"/>
    <w:qFormat/>
    <w:pPr>
      <w:jc w:val="left"/>
    </w:pPr>
    <w:rPr>
      <w:sz w:val="18"/>
    </w:rPr>
  </w:style>
  <w:style w:type="paragraph" w:styleId="952">
    <w:name w:val="toc 6"/>
    <w:basedOn w:val="912"/>
    <w:next w:val="912"/>
    <w:uiPriority w:val="0"/>
    <w:qFormat/>
    <w:pPr>
      <w:ind w:left="2100"/>
    </w:pPr>
  </w:style>
  <w:style w:type="paragraph" w:styleId="953">
    <w:name w:val="Body Text Indent 3"/>
    <w:basedOn w:val="912"/>
    <w:uiPriority w:val="0"/>
    <w:qFormat/>
    <w:pPr>
      <w:ind w:firstLine="617"/>
      <w:spacing w:line="360" w:lineRule="auto"/>
    </w:pPr>
    <w:rPr>
      <w:rFonts w:eastAsia="宋体"/>
      <w:sz w:val="24"/>
      <w:szCs w:val="24"/>
    </w:rPr>
  </w:style>
  <w:style w:type="paragraph" w:styleId="954">
    <w:name w:val="index 7"/>
    <w:basedOn w:val="912"/>
    <w:next w:val="912"/>
    <w:uiPriority w:val="0"/>
    <w:qFormat/>
    <w:pPr>
      <w:ind w:left="2520"/>
    </w:pPr>
  </w:style>
  <w:style w:type="paragraph" w:styleId="955">
    <w:name w:val="index 9"/>
    <w:basedOn w:val="912"/>
    <w:next w:val="912"/>
    <w:uiPriority w:val="0"/>
    <w:qFormat/>
    <w:pPr>
      <w:ind w:left="3360"/>
    </w:pPr>
  </w:style>
  <w:style w:type="paragraph" w:styleId="956">
    <w:name w:val="table of figures"/>
    <w:basedOn w:val="912"/>
    <w:next w:val="912"/>
    <w:uiPriority w:val="0"/>
    <w:qFormat/>
    <w:pPr>
      <w:ind w:left="420" w:hanging="420"/>
      <w:jc w:val="left"/>
    </w:pPr>
    <w:rPr>
      <w:smallCaps/>
      <w:sz w:val="24"/>
    </w:rPr>
  </w:style>
  <w:style w:type="paragraph" w:styleId="957">
    <w:name w:val="toc 2"/>
    <w:basedOn w:val="912"/>
    <w:next w:val="912"/>
    <w:uiPriority w:val="0"/>
    <w:qFormat/>
    <w:pPr>
      <w:ind w:left="420"/>
    </w:pPr>
  </w:style>
  <w:style w:type="paragraph" w:styleId="958">
    <w:name w:val="toc 9"/>
    <w:basedOn w:val="912"/>
    <w:next w:val="912"/>
    <w:uiPriority w:val="0"/>
    <w:qFormat/>
    <w:pPr>
      <w:ind w:left="3360"/>
    </w:pPr>
  </w:style>
  <w:style w:type="paragraph" w:styleId="959">
    <w:name w:val="HTML Preformatted"/>
    <w:basedOn w:val="9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60">
    <w:name w:val="Normal (Web)"/>
    <w:basedOn w:val="912"/>
    <w:uiPriority w:val="99"/>
    <w:qFormat/>
    <w:pPr>
      <w:jc w:val="left"/>
      <w:spacing w:before="100" w:beforeAutospacing="1" w:after="100" w:afterAutospacing="1"/>
      <w:widowControl/>
    </w:pPr>
    <w:rPr>
      <w:rFonts w:hint="eastAsia" w:ascii="宋体" w:hAnsi="宋体" w:eastAsia="宋体"/>
      <w:sz w:val="24"/>
      <w:szCs w:val="24"/>
    </w:rPr>
  </w:style>
  <w:style w:type="paragraph" w:styleId="961">
    <w:name w:val="index 2"/>
    <w:basedOn w:val="912"/>
    <w:next w:val="912"/>
    <w:uiPriority w:val="0"/>
    <w:qFormat/>
    <w:pPr>
      <w:ind w:left="420"/>
    </w:pPr>
  </w:style>
  <w:style w:type="paragraph" w:styleId="962">
    <w:name w:val="Title"/>
    <w:basedOn w:val="912"/>
    <w:next w:val="912"/>
    <w:link w:val="1046"/>
    <w:uiPriority w:val="10"/>
    <w:qFormat/>
    <w:pPr>
      <w:jc w:val="center"/>
    </w:pPr>
    <w:rPr>
      <w:rFonts w:ascii="黑体" w:hAnsi="黑体" w:eastAsia="黑体"/>
      <w:sz w:val="28"/>
      <w:szCs w:val="24"/>
    </w:rPr>
  </w:style>
  <w:style w:type="paragraph" w:styleId="963">
    <w:name w:val="annotation subject"/>
    <w:basedOn w:val="930"/>
    <w:next w:val="930"/>
    <w:uiPriority w:val="0"/>
    <w:qFormat/>
    <w:rPr>
      <w:bCs/>
    </w:rPr>
  </w:style>
  <w:style w:type="paragraph" w:styleId="964">
    <w:name w:val="Body Text First Indent 2"/>
    <w:basedOn w:val="933"/>
    <w:next w:val="912"/>
    <w:uiPriority w:val="99"/>
    <w:semiHidden/>
    <w:unhideWhenUsed/>
    <w:qFormat/>
    <w:pPr>
      <w:ind w:firstLine="420"/>
    </w:pPr>
  </w:style>
  <w:style w:type="table" w:styleId="965">
    <w:name w:val="Table Grid"/>
    <w:basedOn w:val="923"/>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6">
    <w:name w:val="Strong"/>
    <w:basedOn w:val="922"/>
    <w:uiPriority w:val="22"/>
    <w:qFormat/>
    <w:rPr>
      <w:b/>
      <w:bCs/>
    </w:rPr>
  </w:style>
  <w:style w:type="character" w:styleId="967">
    <w:name w:val="page number"/>
    <w:basedOn w:val="922"/>
    <w:uiPriority w:val="0"/>
    <w:qFormat/>
  </w:style>
  <w:style w:type="character" w:styleId="968">
    <w:name w:val="FollowedHyperlink"/>
    <w:basedOn w:val="922"/>
    <w:uiPriority w:val="99"/>
    <w:semiHidden/>
    <w:unhideWhenUsed/>
    <w:qFormat/>
    <w:rPr>
      <w:color w:val="333333"/>
      <w:u w:val="none"/>
    </w:rPr>
  </w:style>
  <w:style w:type="character" w:styleId="969">
    <w:name w:val="Emphasis"/>
    <w:basedOn w:val="922"/>
    <w:uiPriority w:val="20"/>
    <w:qFormat/>
  </w:style>
  <w:style w:type="character" w:styleId="970">
    <w:name w:val="HTML Definition"/>
    <w:basedOn w:val="922"/>
    <w:uiPriority w:val="99"/>
    <w:semiHidden/>
    <w:unhideWhenUsed/>
    <w:qFormat/>
  </w:style>
  <w:style w:type="character" w:styleId="971">
    <w:name w:val="HTML Typewriter"/>
    <w:basedOn w:val="922"/>
    <w:uiPriority w:val="99"/>
    <w:semiHidden/>
    <w:unhideWhenUsed/>
    <w:qFormat/>
    <w:rPr>
      <w:rFonts w:hint="default" w:ascii="monospace" w:hAnsi="monospace" w:eastAsia="monospace" w:cs="monospace"/>
      <w:sz w:val="20"/>
    </w:rPr>
  </w:style>
  <w:style w:type="character" w:styleId="972">
    <w:name w:val="HTML Acronym"/>
    <w:basedOn w:val="922"/>
    <w:uiPriority w:val="99"/>
    <w:semiHidden/>
    <w:unhideWhenUsed/>
    <w:qFormat/>
  </w:style>
  <w:style w:type="character" w:styleId="973">
    <w:name w:val="HTML Variable"/>
    <w:basedOn w:val="922"/>
    <w:uiPriority w:val="99"/>
    <w:semiHidden/>
    <w:unhideWhenUsed/>
    <w:qFormat/>
  </w:style>
  <w:style w:type="character" w:styleId="974">
    <w:name w:val="Hyperlink"/>
    <w:basedOn w:val="922"/>
    <w:uiPriority w:val="99"/>
    <w:unhideWhenUsed/>
    <w:qFormat/>
    <w:rPr>
      <w:color w:val="0000ff"/>
      <w:u w:val="none"/>
    </w:rPr>
  </w:style>
  <w:style w:type="character" w:styleId="975">
    <w:name w:val="HTML Code"/>
    <w:basedOn w:val="922"/>
    <w:uiPriority w:val="99"/>
    <w:semiHidden/>
    <w:unhideWhenUsed/>
    <w:qFormat/>
    <w:rPr>
      <w:rFonts w:hint="default" w:ascii="monospace" w:hAnsi="monospace" w:eastAsia="monospace" w:cs="monospace"/>
      <w:sz w:val="20"/>
    </w:rPr>
  </w:style>
  <w:style w:type="character" w:styleId="976">
    <w:name w:val="annotation reference"/>
    <w:uiPriority w:val="0"/>
    <w:qFormat/>
    <w:rPr>
      <w:sz w:val="21"/>
      <w:szCs w:val="21"/>
    </w:rPr>
  </w:style>
  <w:style w:type="character" w:styleId="977">
    <w:name w:val="HTML Cite"/>
    <w:basedOn w:val="922"/>
    <w:uiPriority w:val="99"/>
    <w:semiHidden/>
    <w:unhideWhenUsed/>
    <w:qFormat/>
  </w:style>
  <w:style w:type="character" w:styleId="978">
    <w:name w:val="footnote reference"/>
    <w:uiPriority w:val="0"/>
    <w:qFormat/>
    <w:rPr>
      <w:vertAlign w:val="superscript"/>
    </w:rPr>
  </w:style>
  <w:style w:type="character" w:styleId="979">
    <w:name w:val="HTML Keyboard"/>
    <w:basedOn w:val="922"/>
    <w:uiPriority w:val="99"/>
    <w:semiHidden/>
    <w:unhideWhenUsed/>
    <w:qFormat/>
    <w:rPr>
      <w:rFonts w:ascii="monospace" w:hAnsi="monospace" w:eastAsia="monospace" w:cs="monospace"/>
      <w:sz w:val="20"/>
    </w:rPr>
  </w:style>
  <w:style w:type="character" w:styleId="980">
    <w:name w:val="HTML Sample"/>
    <w:basedOn w:val="922"/>
    <w:uiPriority w:val="99"/>
    <w:semiHidden/>
    <w:unhideWhenUsed/>
    <w:qFormat/>
    <w:rPr>
      <w:rFonts w:hint="default" w:ascii="monospace" w:hAnsi="monospace" w:eastAsia="monospace" w:cs="monospace"/>
    </w:rPr>
  </w:style>
  <w:style w:type="paragraph" w:styleId="981" w:customStyle="1">
    <w:name w:val="目录 51"/>
    <w:next w:val="912"/>
    <w:uiPriority w:val="0"/>
    <w:qFormat/>
    <w:pPr>
      <w:ind w:left="1275"/>
      <w:jc w:val="both"/>
    </w:pPr>
    <w:rPr>
      <w:rFonts w:ascii="Times New Roman" w:hAnsi="Times New Roman" w:eastAsia="宋体" w:cs="Times New Roman"/>
      <w:sz w:val="21"/>
      <w:lang w:val="en-US" w:eastAsia="zh-CN" w:bidi="ar-SA"/>
    </w:rPr>
  </w:style>
  <w:style w:type="paragraph" w:styleId="982" w:customStyle="1">
    <w:name w:val="正文1"/>
    <w:next w:val="912"/>
    <w:uiPriority w:val="0"/>
    <w:qFormat/>
    <w:pPr>
      <w:jc w:val="both"/>
      <w:spacing w:line="360" w:lineRule="atLeast"/>
      <w:widowControl w:val="off"/>
    </w:pPr>
    <w:rPr>
      <w:rFonts w:ascii="Times New Roman" w:hAnsi="Times New Roman" w:eastAsia="宋体" w:cs="Times New Roman"/>
      <w:lang w:val="en-US" w:eastAsia="zh-CN" w:bidi="ar-SA"/>
    </w:rPr>
  </w:style>
  <w:style w:type="character" w:styleId="983" w:customStyle="1">
    <w:name w:val="正文缩进 字符"/>
    <w:link w:val="925"/>
    <w:uiPriority w:val="0"/>
    <w:qFormat/>
    <w:rPr>
      <w:rFonts w:eastAsia="楷体_GB2312"/>
      <w:sz w:val="24"/>
      <w:lang w:val="en-US" w:eastAsia="zh-CN" w:bidi="ar-SA"/>
    </w:rPr>
  </w:style>
  <w:style w:type="character" w:styleId="984" w:customStyle="1">
    <w:name w:val="列出段落 Char"/>
    <w:link w:val="985"/>
    <w:uiPriority w:val="0"/>
    <w:qFormat/>
    <w:rPr>
      <w:rFonts w:eastAsia="楷体_GB2312"/>
      <w:sz w:val="26"/>
      <w:lang w:val="zh-CN" w:eastAsia="zh-CN" w:bidi="ar-SA"/>
    </w:rPr>
  </w:style>
  <w:style w:type="paragraph" w:styleId="985" w:customStyle="1">
    <w:name w:val="序号"/>
    <w:basedOn w:val="912"/>
    <w:next w:val="986"/>
    <w:link w:val="984"/>
    <w:uiPriority w:val="0"/>
    <w:qFormat/>
    <w:pPr>
      <w:ind w:firstLine="420"/>
    </w:pPr>
    <w:rPr>
      <w:lang w:val="zh-CN"/>
    </w:rPr>
  </w:style>
  <w:style w:type="paragraph" w:styleId="986" w:customStyle="1">
    <w:name w:val="列表段落1"/>
    <w:basedOn w:val="912"/>
    <w:uiPriority w:val="34"/>
    <w:qFormat/>
    <w:pPr>
      <w:ind w:firstLine="420"/>
    </w:pPr>
  </w:style>
  <w:style w:type="character" w:styleId="987" w:customStyle="1">
    <w:name w:val="纯文本 字符"/>
    <w:link w:val="938"/>
    <w:uiPriority w:val="0"/>
    <w:qFormat/>
    <w:rPr>
      <w:rFonts w:ascii="宋体" w:hAnsi="Courier New" w:eastAsia="楷体_GB2312"/>
      <w:sz w:val="26"/>
      <w:lang w:val="en-US" w:eastAsia="zh-CN" w:bidi="ar-SA"/>
    </w:rPr>
  </w:style>
  <w:style w:type="character" w:styleId="988" w:customStyle="1">
    <w:name w:val="日期 字符"/>
    <w:link w:val="941"/>
    <w:uiPriority w:val="0"/>
    <w:qFormat/>
    <w:rPr>
      <w:rFonts w:ascii="宋体" w:hAnsi="宋体" w:eastAsia="楷体_GB2312"/>
      <w:sz w:val="24"/>
      <w:lang w:val="en-US" w:eastAsia="zh-CN" w:bidi="ar-SA"/>
    </w:rPr>
  </w:style>
  <w:style w:type="character" w:styleId="989" w:customStyle="1">
    <w:name w:val="表格正文 字符"/>
    <w:link w:val="990"/>
    <w:uiPriority w:val="0"/>
    <w:qFormat/>
    <w:rPr>
      <w:rFonts w:ascii="宋体" w:hAnsi="宋体" w:eastAsia="楷体_GB2312"/>
      <w:sz w:val="26"/>
      <w:szCs w:val="24"/>
      <w:lang w:val="en-US" w:eastAsia="zh-CN" w:bidi="ar-SA"/>
    </w:rPr>
  </w:style>
  <w:style w:type="paragraph" w:styleId="990" w:customStyle="1">
    <w:name w:val="表格正文"/>
    <w:basedOn w:val="912"/>
    <w:next w:val="912"/>
    <w:link w:val="989"/>
    <w:uiPriority w:val="0"/>
    <w:qFormat/>
    <w:rPr>
      <w:rFonts w:ascii="宋体" w:hAnsi="宋体"/>
      <w:szCs w:val="24"/>
    </w:rPr>
  </w:style>
  <w:style w:type="character" w:styleId="991" w:customStyle="1">
    <w:name w:val="缩进正文 字符"/>
    <w:link w:val="992"/>
    <w:uiPriority w:val="0"/>
    <w:qFormat/>
    <w:rPr>
      <w:rFonts w:ascii="Calibri" w:hAnsi="Calibri" w:eastAsia="楷体_GB2312"/>
      <w:sz w:val="26"/>
      <w:szCs w:val="24"/>
      <w:lang w:val="en-US" w:eastAsia="zh-CN" w:bidi="ar-SA"/>
    </w:rPr>
  </w:style>
  <w:style w:type="paragraph" w:styleId="992" w:customStyle="1">
    <w:name w:val="缩进正文"/>
    <w:basedOn w:val="912"/>
    <w:link w:val="991"/>
    <w:uiPriority w:val="0"/>
    <w:qFormat/>
    <w:pPr>
      <w:ind w:firstLine="200"/>
    </w:pPr>
    <w:rPr>
      <w:rFonts w:ascii="Calibri" w:hAnsi="Calibri"/>
      <w:szCs w:val="24"/>
    </w:rPr>
  </w:style>
  <w:style w:type="paragraph" w:styleId="993" w:customStyle="1">
    <w:name w:val="Char Char Char"/>
    <w:basedOn w:val="912"/>
    <w:uiPriority w:val="0"/>
    <w:qFormat/>
    <w:pPr>
      <w:numPr>
        <w:ilvl w:val="0"/>
        <w:numId w:val="1"/>
      </w:numPr>
      <w:tabs>
        <w:tab w:val="clear" w:pos="432" w:leader="none"/>
        <w:tab w:val="left" w:pos="840" w:leader="none"/>
      </w:tabs>
    </w:pPr>
    <w:rPr>
      <w:rFonts w:eastAsia="宋体"/>
      <w:sz w:val="21"/>
      <w:szCs w:val="24"/>
    </w:rPr>
  </w:style>
  <w:style w:type="paragraph" w:styleId="994" w:customStyle="1">
    <w:name w:val="Char Char Char1 Char Char Char Char"/>
    <w:basedOn w:val="912"/>
    <w:uiPriority w:val="0"/>
    <w:qFormat/>
    <w:pPr>
      <w:jc w:val="left"/>
      <w:spacing w:after="160" w:line="240" w:lineRule="exact"/>
      <w:widowControl/>
    </w:pPr>
    <w:rPr>
      <w:rFonts w:eastAsia="宋体"/>
      <w:sz w:val="24"/>
      <w:szCs w:val="24"/>
    </w:rPr>
  </w:style>
  <w:style w:type="paragraph" w:styleId="995" w:customStyle="1">
    <w:name w:val="正文 A"/>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996" w:customStyle="1">
    <w:name w:val="首行缩进"/>
    <w:basedOn w:val="912"/>
    <w:uiPriority w:val="0"/>
    <w:qFormat/>
    <w:pPr>
      <w:ind w:firstLine="480"/>
    </w:pPr>
    <w:rPr>
      <w:lang w:val="zh-CN"/>
    </w:rPr>
  </w:style>
  <w:style w:type="paragraph" w:styleId="997" w:customStyle="1">
    <w:name w:val="纯文本1"/>
    <w:basedOn w:val="912"/>
    <w:uiPriority w:val="0"/>
    <w:qFormat/>
    <w:rPr>
      <w:rFonts w:ascii="宋体" w:hAnsi="Courier New"/>
    </w:rPr>
  </w:style>
  <w:style w:type="paragraph" w:styleId="998" w:customStyle="1">
    <w:name w:val="_Style 1"/>
    <w:basedOn w:val="912"/>
    <w:uiPriority w:val="34"/>
    <w:qFormat/>
    <w:pPr>
      <w:ind w:firstLine="420"/>
      <w:spacing w:line="312" w:lineRule="auto"/>
    </w:pPr>
  </w:style>
  <w:style w:type="paragraph" w:styleId="999" w:customStyle="1">
    <w:name w:val="_Style 12"/>
    <w:basedOn w:val="929"/>
    <w:uiPriority w:val="0"/>
    <w:qFormat/>
    <w:pPr>
      <w:spacing w:line="360" w:lineRule="auto"/>
    </w:pPr>
  </w:style>
  <w:style w:type="paragraph" w:styleId="1000" w:customStyle="1">
    <w:name w:val="列出段落1"/>
    <w:basedOn w:val="912"/>
    <w:uiPriority w:val="0"/>
    <w:qFormat/>
    <w:pPr>
      <w:ind w:firstLine="420"/>
    </w:pPr>
    <w:rPr>
      <w:rFonts w:ascii="Calibri" w:hAnsi="Calibri"/>
      <w:szCs w:val="21"/>
    </w:rPr>
  </w:style>
  <w:style w:type="paragraph" w:styleId="1001" w:customStyle="1">
    <w:name w:val="缩进正文-"/>
    <w:basedOn w:val="912"/>
    <w:uiPriority w:val="0"/>
    <w:qFormat/>
    <w:pPr>
      <w:ind w:firstLine="200"/>
      <w:spacing w:before="100" w:beforeAutospacing="1" w:line="360" w:lineRule="auto"/>
    </w:pPr>
    <w:rPr>
      <w:rFonts w:ascii="宋体" w:hAnsi="宋体" w:eastAsia="宋体"/>
      <w:color w:val="000000"/>
      <w:sz w:val="24"/>
      <w:szCs w:val="21"/>
    </w:rPr>
  </w:style>
  <w:style w:type="paragraph" w:styleId="1002" w:customStyle="1">
    <w:name w:val="*正文"/>
    <w:basedOn w:val="912"/>
    <w:uiPriority w:val="0"/>
    <w:qFormat/>
    <w:pPr>
      <w:ind w:firstLine="200"/>
      <w:spacing w:line="360" w:lineRule="auto"/>
      <w:widowControl/>
    </w:pPr>
    <w:rPr>
      <w:rFonts w:ascii="仿宋_GB2312" w:hAnsi="Calibri" w:eastAsia="仿宋_GB2312"/>
      <w:sz w:val="24"/>
      <w:szCs w:val="28"/>
    </w:rPr>
  </w:style>
  <w:style w:type="paragraph" w:styleId="1003" w:customStyle="1">
    <w:name w:val="纯文本11"/>
    <w:basedOn w:val="912"/>
    <w:uiPriority w:val="99"/>
    <w:qFormat/>
    <w:rPr>
      <w:rFonts w:ascii="宋体" w:hAnsi="Courier New"/>
    </w:rPr>
  </w:style>
  <w:style w:type="paragraph" w:styleId="1004" w:customStyle="1">
    <w:name w:val="Char Char Char1 Char"/>
    <w:basedOn w:val="912"/>
    <w:uiPriority w:val="0"/>
    <w:semiHidden/>
    <w:qFormat/>
    <w:pPr>
      <w:ind w:firstLine="200"/>
      <w:spacing w:line="360" w:lineRule="auto"/>
    </w:pPr>
    <w:rPr>
      <w:rFonts w:ascii="宋体" w:hAnsi="宋体" w:cs="宋体"/>
      <w:sz w:val="24"/>
    </w:rPr>
  </w:style>
  <w:style w:type="paragraph" w:styleId="1005" w:customStyle="1">
    <w:name w:val="Char Char1 Char Char Char Char"/>
    <w:basedOn w:val="929"/>
    <w:uiPriority w:val="0"/>
    <w:qFormat/>
    <w:pPr>
      <w:spacing w:line="360" w:lineRule="auto"/>
    </w:pPr>
    <w:rPr>
      <w:rFonts w:ascii="Tahoma" w:hAnsi="Tahoma" w:eastAsia="宋体"/>
      <w:sz w:val="24"/>
      <w:szCs w:val="24"/>
    </w:rPr>
  </w:style>
  <w:style w:type="paragraph" w:styleId="1006" w:customStyle="1">
    <w:name w:val="p0"/>
    <w:basedOn w:val="912"/>
    <w:uiPriority w:val="0"/>
    <w:qFormat/>
    <w:rPr>
      <w:rFonts w:hint="eastAsia"/>
    </w:rPr>
  </w:style>
  <w:style w:type="paragraph" w:styleId="1007">
    <w:name w:val="List Paragraph"/>
    <w:basedOn w:val="912"/>
    <w:uiPriority w:val="34"/>
    <w:qFormat/>
    <w:pPr>
      <w:ind w:firstLine="420"/>
    </w:pPr>
    <w:rPr>
      <w:rFonts w:ascii="宋体" w:hAnsi="宋体" w:eastAsia="宋体"/>
      <w:sz w:val="24"/>
      <w:szCs w:val="24"/>
    </w:rPr>
  </w:style>
  <w:style w:type="paragraph" w:styleId="1008" w:customStyle="1">
    <w:name w:val="Char"/>
    <w:basedOn w:val="912"/>
    <w:uiPriority w:val="0"/>
    <w:qFormat/>
    <w:rPr>
      <w:rFonts w:ascii="Tahoma" w:hAnsi="Tahoma" w:eastAsia="宋体"/>
      <w:sz w:val="24"/>
    </w:rPr>
  </w:style>
  <w:style w:type="paragraph" w:styleId="1009" w:customStyle="1">
    <w:name w:val="列出段落2"/>
    <w:basedOn w:val="912"/>
    <w:uiPriority w:val="34"/>
    <w:qFormat/>
    <w:pPr>
      <w:ind w:firstLine="420"/>
    </w:pPr>
  </w:style>
  <w:style w:type="paragraph" w:styleId="1010" w:customStyle="1">
    <w:name w:val="纯文本12"/>
    <w:basedOn w:val="912"/>
    <w:uiPriority w:val="0"/>
    <w:qFormat/>
    <w:rPr>
      <w:rFonts w:ascii="宋体" w:hAnsi="Courier New"/>
    </w:rPr>
  </w:style>
  <w:style w:type="paragraph" w:styleId="1011" w:customStyle="1">
    <w:name w:val="纯文本2"/>
    <w:basedOn w:val="912"/>
    <w:uiPriority w:val="0"/>
    <w:qFormat/>
    <w:rPr>
      <w:rFonts w:ascii="宋体" w:hAnsi="Courier New"/>
    </w:rPr>
  </w:style>
  <w:style w:type="paragraph" w:styleId="1012" w:customStyle="1">
    <w:name w:val="Char1"/>
    <w:basedOn w:val="912"/>
    <w:uiPriority w:val="0"/>
    <w:qFormat/>
    <w:rPr>
      <w:rFonts w:ascii="Tahoma" w:hAnsi="Tahoma" w:eastAsia="宋体"/>
      <w:sz w:val="24"/>
    </w:rPr>
  </w:style>
  <w:style w:type="paragraph" w:styleId="1013" w:customStyle="1">
    <w:name w:val="表格内容"/>
    <w:basedOn w:val="912"/>
    <w:uiPriority w:val="0"/>
    <w:qFormat/>
    <w:pPr>
      <w:jc w:val="left"/>
      <w:spacing w:before="100" w:beforeAutospacing="1" w:after="100" w:afterAutospacing="1" w:line="360" w:lineRule="auto"/>
    </w:pPr>
    <w:rPr>
      <w:rFonts w:ascii="宋体" w:hAnsi="宋体" w:eastAsia="宋体"/>
      <w:bCs/>
      <w:sz w:val="21"/>
      <w:szCs w:val="21"/>
    </w:rPr>
  </w:style>
  <w:style w:type="paragraph" w:styleId="1014" w:customStyle="1">
    <w:name w:val="纯文本3"/>
    <w:basedOn w:val="912"/>
    <w:uiPriority w:val="0"/>
    <w:qFormat/>
    <w:rPr>
      <w:rFonts w:ascii="宋体" w:hAnsi="Courier New"/>
      <w:sz w:val="28"/>
    </w:rPr>
  </w:style>
  <w:style w:type="paragraph" w:styleId="1015" w:customStyle="1">
    <w:name w:val="font7"/>
    <w:basedOn w:val="912"/>
    <w:uiPriority w:val="0"/>
    <w:qFormat/>
    <w:pPr>
      <w:jc w:val="left"/>
      <w:spacing w:before="100" w:beforeAutospacing="1" w:after="100" w:afterAutospacing="1"/>
      <w:widowControl/>
    </w:pPr>
    <w:rPr>
      <w:rFonts w:eastAsia="宋体"/>
      <w:sz w:val="20"/>
    </w:rPr>
  </w:style>
  <w:style w:type="paragraph" w:styleId="1016" w:customStyle="1">
    <w:name w:val="纯文本4"/>
    <w:basedOn w:val="912"/>
    <w:uiPriority w:val="0"/>
    <w:qFormat/>
    <w:rPr>
      <w:rFonts w:ascii="宋体" w:hAnsi="Courier New"/>
    </w:rPr>
  </w:style>
  <w:style w:type="paragraph" w:styleId="1017" w:customStyle="1">
    <w:name w:val="纯文本5"/>
    <w:basedOn w:val="912"/>
    <w:uiPriority w:val="0"/>
    <w:qFormat/>
    <w:rPr>
      <w:rFonts w:ascii="宋体" w:hAnsi="Courier New"/>
      <w:sz w:val="28"/>
    </w:rPr>
  </w:style>
  <w:style w:type="paragraph" w:styleId="1018"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19" w:customStyle="1">
    <w:name w:val="font171"/>
    <w:basedOn w:val="922"/>
    <w:uiPriority w:val="0"/>
    <w:qFormat/>
    <w:rPr>
      <w:rFonts w:hint="eastAsia" w:ascii="宋体" w:hAnsi="宋体" w:eastAsia="宋体" w:cs="宋体"/>
      <w:b/>
      <w:bCs/>
      <w:color w:val="000000"/>
      <w:sz w:val="36"/>
      <w:szCs w:val="36"/>
      <w:u w:val="none"/>
    </w:rPr>
  </w:style>
  <w:style w:type="character" w:styleId="1020" w:customStyle="1">
    <w:name w:val="font41"/>
    <w:basedOn w:val="922"/>
    <w:uiPriority w:val="0"/>
    <w:qFormat/>
    <w:rPr>
      <w:rFonts w:hint="default" w:ascii="Times New Roman" w:hAnsi="Times New Roman" w:cs="Times New Roman"/>
      <w:b/>
      <w:bCs/>
      <w:color w:val="000000"/>
      <w:sz w:val="36"/>
      <w:szCs w:val="36"/>
      <w:u w:val="none"/>
    </w:rPr>
  </w:style>
  <w:style w:type="character" w:styleId="1021" w:customStyle="1">
    <w:name w:val="font101"/>
    <w:basedOn w:val="922"/>
    <w:uiPriority w:val="0"/>
    <w:qFormat/>
    <w:rPr>
      <w:rFonts w:hint="eastAsia" w:ascii="宋体" w:hAnsi="宋体" w:eastAsia="宋体" w:cs="宋体"/>
      <w:b/>
      <w:bCs/>
      <w:color w:val="000000"/>
      <w:sz w:val="24"/>
      <w:szCs w:val="24"/>
      <w:u w:val="none"/>
    </w:rPr>
  </w:style>
  <w:style w:type="character" w:styleId="1022" w:customStyle="1">
    <w:name w:val="font91"/>
    <w:basedOn w:val="922"/>
    <w:uiPriority w:val="0"/>
    <w:qFormat/>
    <w:rPr>
      <w:rFonts w:hint="default" w:ascii="Times New Roman" w:hAnsi="Times New Roman" w:cs="Times New Roman"/>
      <w:b/>
      <w:bCs/>
      <w:color w:val="000000"/>
      <w:sz w:val="24"/>
      <w:szCs w:val="24"/>
      <w:u w:val="none"/>
    </w:rPr>
  </w:style>
  <w:style w:type="character" w:styleId="1023" w:customStyle="1">
    <w:name w:val="font121"/>
    <w:basedOn w:val="922"/>
    <w:uiPriority w:val="0"/>
    <w:qFormat/>
    <w:rPr>
      <w:rFonts w:hint="eastAsia" w:ascii="宋体" w:hAnsi="宋体" w:eastAsia="宋体" w:cs="宋体"/>
      <w:color w:val="000000"/>
      <w:sz w:val="24"/>
      <w:szCs w:val="24"/>
      <w:u w:val="none"/>
    </w:rPr>
  </w:style>
  <w:style w:type="character" w:styleId="1024" w:customStyle="1">
    <w:name w:val="font61"/>
    <w:basedOn w:val="922"/>
    <w:uiPriority w:val="0"/>
    <w:qFormat/>
    <w:rPr>
      <w:rFonts w:hint="default" w:ascii="Times New Roman" w:hAnsi="Times New Roman" w:cs="Times New Roman"/>
      <w:color w:val="000000"/>
      <w:sz w:val="24"/>
      <w:szCs w:val="24"/>
      <w:u w:val="none"/>
    </w:rPr>
  </w:style>
  <w:style w:type="character" w:styleId="1025" w:customStyle="1">
    <w:name w:val="font151"/>
    <w:basedOn w:val="922"/>
    <w:uiPriority w:val="0"/>
    <w:qFormat/>
    <w:rPr>
      <w:rFonts w:ascii="宋体" w:hAnsi="宋体" w:eastAsia="宋体" w:cs="宋体"/>
      <w:color w:val="000000"/>
      <w:sz w:val="24"/>
      <w:szCs w:val="24"/>
      <w:u w:val="none"/>
    </w:rPr>
  </w:style>
  <w:style w:type="paragraph" w:styleId="1026" w:customStyle="1">
    <w:name w:val="正文_1_0"/>
    <w:uiPriority w:val="99"/>
    <w:qFormat/>
    <w:pPr>
      <w:jc w:val="both"/>
      <w:widowControl w:val="off"/>
    </w:pPr>
    <w:rPr>
      <w:rFonts w:ascii="Calibri" w:hAnsi="Calibri" w:eastAsia="宋体" w:cs="Times New Roman"/>
      <w:sz w:val="21"/>
      <w:szCs w:val="22"/>
      <w:lang w:val="en-US" w:eastAsia="zh-CN" w:bidi="ar-SA"/>
    </w:rPr>
  </w:style>
  <w:style w:type="paragraph" w:styleId="1027" w:customStyle="1">
    <w:name w:val="msolistparagraph"/>
    <w:basedOn w:val="912"/>
    <w:uiPriority w:val="0"/>
    <w:qFormat/>
    <w:pPr>
      <w:ind w:firstLine="420"/>
    </w:pPr>
    <w:rPr>
      <w:szCs w:val="21"/>
    </w:rPr>
  </w:style>
  <w:style w:type="paragraph" w:styleId="1028" w:customStyle="1">
    <w:name w:val="Table Paragraph"/>
    <w:basedOn w:val="912"/>
    <w:uiPriority w:val="1"/>
    <w:qFormat/>
    <w:rPr>
      <w:rFonts w:ascii="宋体" w:hAnsi="宋体" w:cs="宋体"/>
      <w:lang w:val="zh-CN" w:bidi="zh-CN"/>
    </w:rPr>
  </w:style>
  <w:style w:type="character" w:styleId="1029" w:customStyle="1">
    <w:name w:val="font21"/>
    <w:basedOn w:val="922"/>
    <w:uiPriority w:val="0"/>
    <w:qFormat/>
    <w:rPr>
      <w:rFonts w:hint="eastAsia" w:ascii="仿宋" w:hAnsi="仿宋" w:eastAsia="仿宋" w:cs="仿宋"/>
      <w:color w:val="000000"/>
      <w:sz w:val="22"/>
      <w:szCs w:val="22"/>
      <w:u w:val="none"/>
    </w:rPr>
  </w:style>
  <w:style w:type="character" w:styleId="1030" w:customStyle="1">
    <w:name w:val="font71"/>
    <w:basedOn w:val="922"/>
    <w:uiPriority w:val="0"/>
    <w:qFormat/>
    <w:rPr>
      <w:rFonts w:hint="eastAsia" w:ascii="宋体" w:hAnsi="宋体" w:eastAsia="宋体" w:cs="宋体"/>
      <w:color w:val="000000"/>
      <w:sz w:val="22"/>
      <w:szCs w:val="22"/>
      <w:u w:val="none"/>
    </w:rPr>
  </w:style>
  <w:style w:type="character" w:styleId="1031" w:customStyle="1">
    <w:name w:val="font01"/>
    <w:basedOn w:val="922"/>
    <w:uiPriority w:val="0"/>
    <w:qFormat/>
    <w:rPr>
      <w:rFonts w:hint="eastAsia" w:ascii="宋体" w:hAnsi="宋体" w:eastAsia="宋体" w:cs="宋体"/>
      <w:color w:val="000000"/>
      <w:sz w:val="22"/>
      <w:szCs w:val="22"/>
      <w:u w:val="none"/>
    </w:rPr>
  </w:style>
  <w:style w:type="character" w:styleId="1032" w:customStyle="1">
    <w:name w:val="font11"/>
    <w:basedOn w:val="922"/>
    <w:uiPriority w:val="0"/>
    <w:qFormat/>
    <w:rPr>
      <w:rFonts w:hint="eastAsia" w:ascii="宋体" w:hAnsi="宋体" w:eastAsia="宋体" w:cs="宋体"/>
      <w:color w:val="ff0000"/>
      <w:sz w:val="22"/>
      <w:szCs w:val="22"/>
      <w:u w:val="none"/>
    </w:rPr>
  </w:style>
  <w:style w:type="character" w:styleId="1033" w:customStyle="1">
    <w:name w:val="font31"/>
    <w:basedOn w:val="922"/>
    <w:uiPriority w:val="0"/>
    <w:qFormat/>
    <w:rPr>
      <w:rFonts w:hint="eastAsia" w:ascii="宋体" w:hAnsi="宋体" w:eastAsia="宋体" w:cs="宋体"/>
      <w:color w:val="ff0000"/>
      <w:sz w:val="22"/>
      <w:szCs w:val="22"/>
      <w:u w:val="none"/>
    </w:rPr>
  </w:style>
  <w:style w:type="paragraph" w:styleId="1034" w:customStyle="1">
    <w:name w:val="p2"/>
    <w:basedOn w:val="912"/>
    <w:uiPriority w:val="0"/>
    <w:qFormat/>
    <w:pPr>
      <w:spacing w:before="100" w:beforeAutospacing="1" w:after="100" w:afterAutospacing="1"/>
    </w:pPr>
    <w:rPr>
      <w:rFonts w:ascii="宋体" w:hAnsi="宋体"/>
      <w:sz w:val="24"/>
      <w:szCs w:val="24"/>
    </w:rPr>
  </w:style>
  <w:style w:type="character" w:styleId="1035" w:customStyle="1">
    <w:name w:val="批注文字 字符"/>
    <w:link w:val="930"/>
    <w:uiPriority w:val="0"/>
    <w:qFormat/>
    <w:rPr>
      <w:rFonts w:eastAsia="楷体_GB2312"/>
      <w:sz w:val="26"/>
    </w:rPr>
  </w:style>
  <w:style w:type="character" w:styleId="1036" w:customStyle="1">
    <w:name w:val="NormalCharacter"/>
    <w:link w:val="1037"/>
    <w:uiPriority w:val="0"/>
    <w:qFormat/>
    <w:rPr>
      <w:sz w:val="20"/>
      <w:szCs w:val="20"/>
    </w:rPr>
  </w:style>
  <w:style w:type="paragraph" w:styleId="1037" w:customStyle="1">
    <w:name w:val="UserStyle_4"/>
    <w:basedOn w:val="912"/>
    <w:link w:val="1036"/>
    <w:uiPriority w:val="99"/>
    <w:qFormat/>
    <w:rPr>
      <w:sz w:val="20"/>
    </w:rPr>
  </w:style>
  <w:style w:type="character" w:styleId="1038" w:customStyle="1">
    <w:name w:val="hover"/>
    <w:basedOn w:val="922"/>
    <w:uiPriority w:val="0"/>
    <w:qFormat/>
    <w:rPr>
      <w:color w:val="2590eb"/>
    </w:rPr>
  </w:style>
  <w:style w:type="character" w:styleId="1039" w:customStyle="1">
    <w:name w:val="hover1"/>
    <w:basedOn w:val="922"/>
    <w:uiPriority w:val="0"/>
    <w:qFormat/>
  </w:style>
  <w:style w:type="character" w:styleId="1040" w:customStyle="1">
    <w:name w:val="hover2"/>
    <w:basedOn w:val="922"/>
    <w:uiPriority w:val="0"/>
    <w:qFormat/>
    <w:rPr>
      <w:color w:val="2590eb"/>
    </w:rPr>
  </w:style>
  <w:style w:type="character" w:styleId="1041" w:customStyle="1">
    <w:name w:val="15"/>
    <w:basedOn w:val="922"/>
    <w:uiPriority w:val="0"/>
    <w:qFormat/>
  </w:style>
  <w:style w:type="paragraph" w:styleId="1042" w:customStyle="1">
    <w:name w:val="p"/>
    <w:basedOn w:val="912"/>
    <w:uiPriority w:val="0"/>
    <w:qFormat/>
    <w:pPr>
      <w:jc w:val="left"/>
      <w:spacing w:before="100" w:beforeAutospacing="1" w:after="100" w:afterAutospacing="1"/>
      <w:widowControl/>
    </w:pPr>
    <w:rPr>
      <w:rFonts w:ascii="宋体" w:hAnsi="宋体" w:eastAsia="宋体" w:cs="宋体"/>
      <w:sz w:val="24"/>
      <w:szCs w:val="24"/>
    </w:rPr>
  </w:style>
  <w:style w:type="character" w:styleId="1043" w:customStyle="1">
    <w:name w:val="页脚 字符"/>
    <w:basedOn w:val="922"/>
    <w:link w:val="944"/>
    <w:uiPriority w:val="99"/>
    <w:qFormat/>
    <w:rPr>
      <w:rFonts w:eastAsia="楷体_GB2312"/>
      <w:sz w:val="18"/>
    </w:rPr>
  </w:style>
  <w:style w:type="character" w:styleId="1044" w:customStyle="1">
    <w:name w:val="页眉 字符"/>
    <w:basedOn w:val="922"/>
    <w:link w:val="946"/>
    <w:uiPriority w:val="99"/>
    <w:qFormat/>
    <w:rPr>
      <w:rFonts w:eastAsia="楷体_GB2312"/>
      <w:sz w:val="18"/>
    </w:rPr>
  </w:style>
  <w:style w:type="character" w:styleId="1045" w:customStyle="1">
    <w:name w:val="标题 1 字符"/>
    <w:link w:val="913"/>
    <w:uiPriority w:val="0"/>
    <w:qFormat/>
    <w:rPr>
      <w:rFonts w:eastAsia="楷体_GB2312"/>
      <w:b/>
      <w:sz w:val="44"/>
    </w:rPr>
  </w:style>
  <w:style w:type="character" w:styleId="1046" w:customStyle="1">
    <w:name w:val="标题 字符"/>
    <w:basedOn w:val="922"/>
    <w:link w:val="962"/>
    <w:uiPriority w:val="10"/>
    <w:qFormat/>
    <w:rPr>
      <w:rFonts w:ascii="黑体" w:hAnsi="黑体" w:eastAsia="黑体"/>
      <w:sz w:val="28"/>
      <w:szCs w:val="24"/>
    </w:rPr>
  </w:style>
  <w:style w:type="paragraph" w:styleId="1047" w:customStyle="1">
    <w:name w:val="UserStyle_780"/>
    <w:basedOn w:val="912"/>
    <w:uiPriority w:val="0"/>
    <w:qFormat/>
    <w:rPr>
      <w:rFonts w:ascii="宋体" w:hAnsi="Courier New"/>
      <w:sz w:val="28"/>
      <w:szCs w:val="24"/>
    </w:rPr>
  </w:style>
  <w:style w:type="paragraph" w:styleId="1048" w:customStyle="1">
    <w:name w:val="修订1"/>
    <w:hidden/>
    <w:uiPriority w:val="99"/>
    <w:semiHidden/>
    <w:qFormat/>
    <w:rPr>
      <w:rFonts w:ascii="Times New Roman" w:hAnsi="Times New Roman" w:eastAsia="楷体_GB2312" w:cs="Times New Roman"/>
      <w:sz w:val="26"/>
      <w:lang w:val="en-US" w:eastAsia="zh-CN" w:bidi="ar-SA"/>
    </w:rPr>
  </w:style>
  <w:style w:type="paragraph" w:styleId="1049" w:customStyle="1">
    <w:name w:val="修订2"/>
    <w:hidden/>
    <w:uiPriority w:val="99"/>
    <w:unhideWhenUsed/>
    <w:qFormat/>
    <w:rPr>
      <w:rFonts w:ascii="Times New Roman" w:hAnsi="Times New Roman" w:eastAsia="楷体_GB2312" w:cs="Times New Roman"/>
      <w:sz w:val="26"/>
      <w:lang w:val="en-US" w:eastAsia="zh-CN" w:bidi="ar-SA"/>
    </w:rPr>
  </w:style>
  <w:style w:type="numbering" w:styleId="10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1C3A554-1112-4FD0-BC7E-588FAB29DD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shen</dc:creator>
  <cp:lastModifiedBy>沈鹰</cp:lastModifiedBy>
  <cp:revision>4</cp:revision>
  <dcterms:created xsi:type="dcterms:W3CDTF">2023-12-11T10:15:00Z</dcterms:created>
  <dcterms:modified xsi:type="dcterms:W3CDTF">2024-08-29T07:35:22Z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96890799164A43B583648534B2C3A378_13</vt:lpwstr>
  </property>
</Properties>
</file>