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hint="eastAsia" w:ascii="Times New Roman" w:hAnsi="Times New Roman"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t xml:space="preserve">南京鼓楼医院集成应用门户系统</w:t>
      </w:r>
      <w:r>
        <w:rPr>
          <w:rFonts w:hint="eastAsia" w:ascii="Times New Roman" w:hAnsi="Times New Roman" w:eastAsia="宋体" w:cs="Times New Roman"/>
          <w:b/>
          <w:color w:val="000000"/>
          <w:sz w:val="30"/>
          <w:szCs w:val="30"/>
          <w:highlight w:val="none"/>
          <w:lang w:eastAsia="zh-CN"/>
        </w:rPr>
      </w:r>
      <w:r/>
    </w:p>
    <w:p>
      <w:pPr>
        <w:pStyle w:val="873"/>
        <w:ind w:firstLine="1506"/>
        <w:rPr>
          <w:rFonts w:hint="eastAsia"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JSZC-320100-JZCG-G2025-0557</w:t>
      </w:r>
      <w:r>
        <w:rPr>
          <w:rFonts w:hint="eastAsia" w:ascii="Times New Roman" w:hAnsi="Times New Roman"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p>
    <w:p>
      <w:pPr>
        <w:pStyle w:val="873"/>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14</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17</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26</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30</w:t>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受南京鼓楼医院委托，南京市公共资源交易中心（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）就</w:t>
      </w:r>
      <w:r>
        <w:rPr>
          <w:rFonts w:hint="eastAsia" w:ascii="宋体" w:hAnsi="宋体" w:eastAsia="宋体" w:cs="Times New Roman"/>
          <w:color w:val="000000"/>
          <w:sz w:val="24"/>
          <w:szCs w:val="24"/>
          <w:highlight w:val="none"/>
          <w:lang w:eastAsia="zh-CN"/>
        </w:rPr>
        <w:t xml:space="preserve">南京鼓楼医院集成应用门户系统进行公开招标采购，欢迎符合条件的供应商投标。</w:t>
      </w:r>
      <w:r>
        <w:rPr>
          <w:rFonts w:hint="eastAsia" w:ascii="宋体" w:hAnsi="宋体" w:eastAsia="宋体" w:cs="Times New Roman"/>
          <w:color w:val="000000"/>
          <w:sz w:val="24"/>
          <w:szCs w:val="24"/>
          <w:highlight w:val="none"/>
          <w:lang w:eastAsia="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eastAsia="宋体" w:cs="Times New Roman"/>
          <w:color w:val="000000"/>
          <w:sz w:val="24"/>
          <w:szCs w:val="24"/>
          <w:highlight w:val="none"/>
          <w:lang w:val="en-US" w:eastAsia="zh-CN"/>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JSZC-320100-JZCG-G2025-055</w:t>
      </w: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南京鼓楼医院集成应用门户系统</w:t>
      </w:r>
      <w:r>
        <w:rPr>
          <w:rFonts w:hint="eastAsia" w:ascii="宋体" w:hAnsi="宋体" w:eastAsia="宋体"/>
          <w:color w:val="000000"/>
          <w:sz w:val="24"/>
          <w:szCs w:val="24"/>
          <w:highlight w:val="none"/>
          <w:lang w:eastAsia="zh-CN"/>
        </w:rPr>
      </w:r>
      <w:r/>
    </w:p>
    <w:p>
      <w:pPr>
        <w:pStyle w:val="873"/>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30万元 </w:t>
      </w:r>
      <w:r>
        <w:rPr>
          <w:rFonts w:hint="eastAsia" w:ascii="宋体" w:hAnsi="宋体"/>
          <w:color w:val="000000"/>
          <w:sz w:val="24"/>
          <w:szCs w:val="24"/>
          <w:highlight w:val="none"/>
          <w:lang w:val="en-US" w:eastAsia="zh-CN"/>
        </w:rPr>
      </w:r>
      <w:r/>
    </w:p>
    <w:p>
      <w:pPr>
        <w:pStyle w:val="873"/>
        <w:ind w:firstLine="480"/>
        <w:jc w:val="left"/>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olor w:val="000000"/>
          <w:sz w:val="24"/>
          <w:szCs w:val="24"/>
          <w:highlight w:val="none"/>
          <w:lang w:val="en-US" w:eastAsia="zh-CN"/>
        </w:rPr>
        <w:t xml:space="preserve">29万元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5.采购需求（简介）：由于近年来信息安全工作对医院内网系统的要求不断提升，各业务系统均更新为强密码管理，为加强信息系统安全管理、为临床医务人员提供统一密码管理和消息管理，采购一套</w:t>
      </w:r>
      <w:r>
        <w:rPr>
          <w:rFonts w:hint="eastAsia" w:ascii="宋体" w:hAnsi="宋体"/>
          <w:color w:val="000000"/>
          <w:sz w:val="24"/>
          <w:szCs w:val="24"/>
          <w:highlight w:val="none"/>
        </w:rPr>
        <w:t xml:space="preserve">可实现身份认证与单点登录、统一应用门户、定向消息提醒的应用门户系统。</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olor w:val="000000"/>
          <w:sz w:val="24"/>
          <w:szCs w:val="24"/>
          <w:highlight w:val="none"/>
          <w:lang w:val="en-US" w:eastAsia="zh-CN"/>
        </w:rPr>
        <w:t xml:space="preserve">90</w:t>
      </w:r>
      <w:r>
        <w:rPr>
          <w:rFonts w:hint="eastAsia" w:ascii="宋体" w:hAnsi="宋体"/>
          <w:color w:val="000000"/>
          <w:sz w:val="24"/>
          <w:szCs w:val="24"/>
          <w:highlight w:val="none"/>
        </w:rPr>
        <w:t xml:space="preserve">天（系统开发时间为合同签订后</w:t>
      </w:r>
      <w:r>
        <w:rPr>
          <w:rFonts w:hint="eastAsia" w:ascii="宋体" w:hAnsi="宋体"/>
          <w:color w:val="000000"/>
          <w:sz w:val="24"/>
          <w:szCs w:val="24"/>
          <w:highlight w:val="none"/>
          <w:lang w:val="en-US" w:eastAsia="zh-CN"/>
        </w:rPr>
        <w:t xml:space="preserve">90</w:t>
      </w:r>
      <w:r>
        <w:rPr>
          <w:rFonts w:hint="eastAsia" w:ascii="宋体" w:hAnsi="宋体"/>
          <w:color w:val="000000"/>
          <w:sz w:val="24"/>
          <w:szCs w:val="24"/>
          <w:highlight w:val="none"/>
        </w:rPr>
        <w:t xml:space="preserve">天内）</w:t>
      </w:r>
      <w:r>
        <w:rPr>
          <w:rFonts w:hint="eastAsia" w:ascii="宋体" w:hAnsi="宋体" w:cs="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5393622"/>
      <w:r/>
      <w:bookmarkStart w:id="14" w:name="_Toc28359080"/>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残疾人福利性单位。（声明函格式见第六章）</w:t>
      </w:r>
      <w:r>
        <w:rPr>
          <w:rFonts w:hint="eastAsia" w:ascii="宋体" w:hAnsi="宋体" w:eastAsia="宋体"/>
          <w:color w:val="000000"/>
          <w:sz w:val="24"/>
          <w:szCs w:val="24"/>
          <w:highlight w:val="none"/>
          <w:lang w:val="zh-CN" w:eastAsia="zh-CN"/>
        </w:rPr>
      </w:r>
      <w:r/>
    </w:p>
    <w:p>
      <w:pPr>
        <w:pStyle w:val="873"/>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3"/>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28359084"/>
      <w:r/>
      <w:bookmarkStart w:id="29" w:name="_Toc28359007"/>
      <w:r/>
      <w:bookmarkStart w:id="30" w:name="_Toc38985267"/>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月20</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3"/>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28359085"/>
      <w:r/>
      <w:bookmarkStart w:id="38" w:name="_Toc35393796"/>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8"/>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3"/>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3"/>
        <w:ind w:firstLine="480"/>
        <w:spacing w:line="264" w:lineRule="auto"/>
        <w:rPr>
          <w:rFonts w:hint="eastAsia" w:ascii="宋体" w:hAnsi="宋体"/>
          <w:color w:val="000000"/>
          <w:sz w:val="24"/>
          <w:szCs w:val="24"/>
          <w:highlight w:val="none"/>
        </w:rPr>
      </w:pPr>
      <w:r/>
      <w:bookmarkStart w:id="40" w:name="_Toc28359086"/>
      <w:r/>
      <w:bookmarkStart w:id="41" w:name="_Toc28359009"/>
      <w:r>
        <w:rPr>
          <w:rFonts w:hint="eastAsia" w:ascii="宋体" w:hAnsi="宋体"/>
          <w:color w:val="000000"/>
          <w:sz w:val="24"/>
          <w:szCs w:val="24"/>
          <w:highlight w:val="none"/>
        </w:rPr>
        <w:t xml:space="preserve">名  称：</w:t>
      </w:r>
      <w:r>
        <w:rPr>
          <w:rFonts w:hint="eastAsia" w:ascii="宋体" w:hAnsi="宋体"/>
          <w:color w:val="000000"/>
          <w:sz w:val="24"/>
          <w:szCs w:val="24"/>
          <w:highlight w:val="none"/>
        </w:rPr>
        <w:t xml:space="preserve">南京鼓楼医院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中山</w:t>
      </w:r>
      <w:r>
        <w:rPr>
          <w:rFonts w:hint="eastAsia" w:ascii="宋体" w:hAnsi="宋体" w:cs="宋体"/>
          <w:color w:val="000000"/>
          <w:sz w:val="24"/>
          <w:szCs w:val="24"/>
          <w:highlight w:val="none"/>
        </w:rPr>
        <w:t xml:space="preserve">路</w:t>
      </w:r>
      <w:r>
        <w:rPr>
          <w:rFonts w:ascii="宋体" w:hAnsi="宋体"/>
          <w:color w:val="000000"/>
          <w:sz w:val="24"/>
          <w:szCs w:val="24"/>
          <w:highlight w:val="none"/>
        </w:rPr>
        <w:t xml:space="preserve">321</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t xml:space="preserve">黄老师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t xml:space="preserve">025-</w:t>
      </w:r>
      <w:r>
        <w:rPr>
          <w:rFonts w:ascii="宋体" w:hAnsi="宋体"/>
          <w:color w:val="000000"/>
          <w:sz w:val="24"/>
          <w:szCs w:val="24"/>
          <w:highlight w:val="none"/>
        </w:rPr>
        <w:t xml:space="preserve">83105006</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南京市建邺区江东中路265号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52"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cs="Times New Roman"/>
          <w:color w:val="000000"/>
          <w:sz w:val="24"/>
          <w:szCs w:val="24"/>
          <w:highlight w:val="none"/>
          <w:u w:val="none"/>
          <w:lang w:val="en-US" w:eastAsia="zh-CN"/>
        </w:rPr>
      </w:r>
      <w:r/>
    </w:p>
    <w:p>
      <w:pPr>
        <w:pStyle w:val="873"/>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025-68505085 </w:t>
      </w:r>
      <w:r>
        <w:rPr>
          <w:rFonts w:hint="eastAsia"/>
          <w:color w:val="000000"/>
          <w:highlight w:val="none"/>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16938590"/>
      <w:r/>
      <w:bookmarkStart w:id="46" w:name="_Toc20823346"/>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513029203"/>
      <w:r/>
      <w:bookmarkStart w:id="54" w:name="_Toc513029242"/>
      <w:r/>
      <w:bookmarkStart w:id="55" w:name="_Toc479757207"/>
      <w:r/>
      <w:bookmarkStart w:id="56" w:name="_Toc16938558"/>
      <w:r/>
      <w:bookmarkStart w:id="57" w:name="_Toc120614221"/>
      <w:r/>
      <w:bookmarkStart w:id="58" w:name="_Toc16938519"/>
      <w:r/>
      <w:bookmarkStart w:id="59" w:name="_Toc20823275"/>
      <w:r/>
      <w:bookmarkStart w:id="60" w:name="_Toc120614214"/>
      <w:r/>
      <w:bookmarkStart w:id="61" w:name="_Toc20823314"/>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2" w:name="_Toc458694821"/>
      <w:r/>
      <w:bookmarkStart w:id="63" w:name="_Toc16938520"/>
      <w:r/>
      <w:bookmarkStart w:id="64" w:name="_Toc513029204"/>
      <w:r/>
      <w:bookmarkStart w:id="65" w:name="_Toc20823276"/>
      <w:r/>
      <w:bookmarkStart w:id="66" w:name="_Hlt16619475"/>
      <w:r/>
      <w:bookmarkEnd w:id="66"/>
      <w:r>
        <w:rPr>
          <w:rFonts w:hint="eastAsia" w:ascii="方正楷体_GBK" w:hAnsi="方正楷体_GBK" w:eastAsia="方正楷体_GBK" w:cs="方正楷体_GBK"/>
          <w:b/>
          <w:bCs/>
          <w:color w:val="000000"/>
          <w:sz w:val="28"/>
          <w:szCs w:val="28"/>
          <w:highlight w:val="none"/>
        </w:rPr>
        <w:t xml:space="preserve">1</w:t>
      </w:r>
      <w:bookmarkEnd w:id="62"/>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3"/>
      <w:r/>
      <w:bookmarkEnd w:id="64"/>
      <w:r/>
      <w:bookmarkEnd w:id="65"/>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0" w:name="_Toc16938522"/>
      <w:r/>
      <w:bookmarkStart w:id="71" w:name="_Toc513029206"/>
      <w:r/>
      <w:bookmarkStart w:id="72" w:name="_Toc20823278"/>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3" w:name="_Toc20823279"/>
      <w:r/>
      <w:bookmarkStart w:id="74" w:name="_Toc462564067"/>
      <w:r/>
      <w:bookmarkStart w:id="75" w:name="_Toc16938523"/>
      <w:r/>
      <w:bookmarkStart w:id="76" w:name="_Toc51302920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513029209"/>
      <w:r/>
      <w:bookmarkStart w:id="78" w:name="_Toc120614215"/>
      <w:r/>
      <w:bookmarkStart w:id="79" w:name="_Toc20823281"/>
      <w:r/>
      <w:bookmarkStart w:id="80"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1" w:name="_Toc20823282"/>
      <w:r/>
      <w:bookmarkStart w:id="82" w:name="_Toc16938526"/>
      <w:r/>
      <w:bookmarkStart w:id="83"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4" w:name="_Toc20823283"/>
      <w:r/>
      <w:bookmarkStart w:id="85" w:name="_Toc16938527"/>
      <w:r/>
      <w:bookmarkStart w:id="86" w:name="_Toc462564070"/>
      <w:r/>
      <w:bookmarkStart w:id="87" w:name="_Toc513029211"/>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8" w:name="_Toc16938528"/>
      <w:r/>
      <w:bookmarkStart w:id="89" w:name="_Toc462564071"/>
      <w:r/>
      <w:bookmarkStart w:id="90" w:name="_Toc20823284"/>
      <w:r/>
      <w:bookmarkStart w:id="91" w:name="_Toc513029212"/>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Start w:id="92" w:name="_Toc20823285"/>
      <w:r/>
      <w:bookmarkStart w:id="93" w:name="_Toc462564072"/>
      <w:r/>
      <w:bookmarkStart w:id="94" w:name="_Toc513029213"/>
      <w:r/>
      <w:bookmarkStart w:id="95" w:name="_Toc120614216"/>
      <w:r/>
      <w:bookmarkStart w:id="96" w:name="_Toc16938529"/>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97" w:name="_Toc16938530"/>
      <w:r/>
      <w:bookmarkStart w:id="98" w:name="_Toc462564073"/>
      <w:r/>
      <w:bookmarkStart w:id="99" w:name="_Toc20823286"/>
      <w:r/>
      <w:bookmarkStart w:id="100" w:name="_Toc513029214"/>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1" w:name="_Toc513029215"/>
      <w:r/>
      <w:bookmarkStart w:id="102" w:name="_Toc16938531"/>
      <w:r/>
      <w:bookmarkStart w:id="103" w:name="_Toc20823287"/>
      <w:r/>
      <w:bookmarkStart w:id="104" w:name="_Toc462564074"/>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14577357"/>
      <w:r/>
      <w:bookmarkStart w:id="110" w:name="_Toc513029219"/>
      <w:r/>
      <w:bookmarkStart w:id="111" w:name="_Toc14577354"/>
      <w:r/>
      <w:bookmarkStart w:id="112" w:name="_Toc513029216"/>
      <w:r/>
      <w:bookmarkStart w:id="113" w:name="_Toc49090507"/>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18" w:name="_Hlt26668983"/>
      <w:r/>
      <w:bookmarkEnd w:id="118"/>
      <w:r/>
      <w:bookmarkStart w:id="119" w:name="_Hlt26954848"/>
      <w:r/>
      <w:bookmarkEnd w:id="119"/>
      <w:r/>
      <w:bookmarkStart w:id="120" w:name="_Hlt26954842"/>
      <w:r/>
      <w:bookmarkEnd w:id="120"/>
      <w:r/>
      <w:bookmarkStart w:id="121" w:name="_Hlt26670425"/>
      <w:r/>
      <w:bookmarkEnd w:id="121"/>
      <w:r/>
      <w:bookmarkStart w:id="122" w:name="_Hlt26954731"/>
      <w:r/>
      <w:bookmarkEnd w:id="122"/>
      <w:r/>
      <w:bookmarkStart w:id="123" w:name="_Hlt26670486"/>
      <w:r/>
      <w:bookmarkEnd w:id="123"/>
      <w:r/>
      <w:bookmarkStart w:id="124" w:name="_Hlt26954846"/>
      <w:r/>
      <w:bookmarkEnd w:id="124"/>
      <w:r/>
      <w:bookmarkStart w:id="125" w:name="_Hlt26670403"/>
      <w:r/>
      <w:bookmarkEnd w:id="125"/>
      <w:r/>
      <w:bookmarkStart w:id="126" w:name="_Hlt26954844"/>
      <w:r/>
      <w:bookmarkEnd w:id="126"/>
      <w:r/>
      <w:bookmarkStart w:id="127" w:name="_Hlt26670482"/>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28" w:name="_Toc49090510"/>
      <w:r/>
      <w:bookmarkStart w:id="129" w:name="_Toc14577359"/>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Hlt26670489"/>
      <w:r/>
      <w:bookmarkEnd w:id="130"/>
      <w:r/>
      <w:bookmarkStart w:id="131" w:name="_Hlt26954850"/>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3"/>
      <w:r/>
      <w:bookmarkEnd w:id="134"/>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852"/>
      <w:r/>
      <w:bookmarkEnd w:id="135"/>
      <w:r/>
      <w:bookmarkStart w:id="136" w:name="_Toc120614217"/>
      <w:r/>
      <w:bookmarkStart w:id="137" w:name="_Toc16938540"/>
      <w:r/>
      <w:bookmarkStart w:id="138" w:name="_Toc513029224"/>
      <w:r/>
      <w:bookmarkStart w:id="139" w:name="_Toc20823296"/>
      <w:r/>
      <w:bookmarkStart w:id="140" w:name="_Toc513029237"/>
      <w:r/>
      <w:bookmarkStart w:id="141" w:name="_Toc16938553"/>
      <w:r/>
      <w:bookmarkStart w:id="142" w:name="_Toc20823309"/>
      <w:r/>
      <w:bookmarkStart w:id="143" w:name="_Hlt26954739"/>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44" w:name="_Toc462564084"/>
      <w:r/>
      <w:bookmarkStart w:id="145" w:name="_Toc513029225"/>
      <w:r/>
      <w:bookmarkStart w:id="146" w:name="_Toc20823297"/>
      <w:r/>
      <w:bookmarkStart w:id="147" w:name="_Toc16938541"/>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1" w:name="_Toc20823299"/>
      <w:r/>
      <w:bookmarkStart w:id="152" w:name="_Toc513029227"/>
      <w:r/>
      <w:bookmarkStart w:id="153"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20614218"/>
      <w:r/>
      <w:bookmarkStart w:id="160" w:name="_Toc16938545"/>
      <w:r>
        <w:rPr>
          <w:rFonts w:hint="eastAsia" w:ascii="宋体" w:hAnsi="宋体" w:eastAsia="宋体" w:cs="Times New Roman"/>
          <w:color w:val="000000"/>
          <w:sz w:val="24"/>
          <w:highlight w:val="none"/>
          <w:lang w:val="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1" w:name="_Toc16938546"/>
      <w:r/>
      <w:bookmarkStart w:id="162" w:name="_Toc513029230"/>
      <w:r/>
      <w:bookmarkStart w:id="163"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4" w:name="_Toc513029231"/>
      <w:r/>
      <w:bookmarkStart w:id="165" w:name="_Toc16938547"/>
      <w:r/>
      <w:bookmarkStart w:id="166"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7" w:name="_Toc513029232"/>
      <w:r/>
      <w:bookmarkStart w:id="168" w:name="_Toc20823304"/>
      <w:r/>
      <w:bookmarkStart w:id="169"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lang w:eastAsia="zh-CN"/>
        </w:rPr>
      </w:pPr>
      <w:r/>
      <w:bookmarkStart w:id="170" w:name="_Toc20823305"/>
      <w:r/>
      <w:bookmarkStart w:id="171" w:name="_Toc16938549"/>
      <w:r/>
      <w:bookmarkStart w:id="172"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3" w:name="_Toc16938550"/>
      <w:r/>
      <w:bookmarkStart w:id="174" w:name="_Toc513029234"/>
      <w:r/>
      <w:bookmarkStart w:id="175" w:name="_Toc2082330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6" w:name="_Toc16938551"/>
      <w:r/>
      <w:bookmarkStart w:id="177" w:name="_Toc513029235"/>
      <w:r/>
      <w:bookmarkStart w:id="178"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应对</w:t>
      </w:r>
      <w:r>
        <w:rPr>
          <w:rFonts w:hint="eastAsia" w:ascii="宋体" w:hAnsi="宋体" w:eastAsia="宋体" w:cs="Times New Roman"/>
          <w:color w:val="000000"/>
          <w:sz w:val="24"/>
          <w:highlight w:val="none"/>
          <w:lang w:val="zh-CN" w:eastAsia="zh-CN"/>
        </w:rPr>
        <w:t xml:space="preserve">招标文件是否存在不合理条款</w:t>
      </w:r>
      <w:r>
        <w:rPr>
          <w:rFonts w:hint="eastAsia" w:ascii="宋体" w:hAnsi="宋体" w:eastAsia="宋体" w:cs="Times New Roman"/>
          <w:color w:val="000000"/>
          <w:sz w:val="24"/>
          <w:highlight w:val="none"/>
          <w:lang w:val="en-US" w:eastAsia="zh-CN"/>
        </w:rPr>
        <w:t xml:space="preserve">进行论证，并在评审报告中写明</w:t>
      </w:r>
      <w:r>
        <w:rPr>
          <w:rFonts w:hint="eastAsia" w:ascii="宋体" w:hAnsi="宋体" w:eastAsia="宋体" w:cs="Times New Roman"/>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80" w:name="_Toc16938554"/>
      <w:r/>
      <w:bookmarkStart w:id="181" w:name="_Toc20823310"/>
      <w:r/>
      <w:bookmarkStart w:id="182" w:name="_Toc513029238"/>
      <w:r>
        <w:rPr>
          <w:rFonts w:hint="eastAsia" w:ascii="方正楷体_GBK" w:hAnsi="方正楷体_GBK" w:eastAsia="方正楷体_GBK" w:cs="方正楷体_GBK"/>
          <w:b/>
          <w:bCs/>
          <w:color w:val="000000"/>
          <w:highlight w:val="none"/>
        </w:rPr>
        <w:t xml:space="preserve">2</w:t>
      </w:r>
      <w:bookmarkEnd w:id="182"/>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1"/>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8"/>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w:t>
      </w:r>
      <w:r>
        <w:rPr>
          <w:rFonts w:hint="eastAsia" w:ascii="宋体" w:hAnsi="宋体" w:eastAsia="宋体" w:cs="Times New Roman"/>
          <w:b/>
          <w:bCs/>
          <w:color w:val="000000"/>
          <w:sz w:val="24"/>
          <w:highlight w:val="none"/>
          <w:lang w:val="zh-CN"/>
        </w:rPr>
        <w:t xml:space="preserve">、评标方法和评标标准、合同文本的询问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w:t>
      </w:r>
      <w:r>
        <w:rPr>
          <w:rFonts w:hint="eastAsia" w:ascii="宋体" w:hAnsi="宋体" w:eastAsia="宋体" w:cs="Times New Roman"/>
          <w:b/>
          <w:bCs/>
          <w:color w:val="000000"/>
          <w:sz w:val="24"/>
          <w:highlight w:val="none"/>
          <w:lang w:val="zh-CN"/>
        </w:rPr>
        <w:t xml:space="preserve">复。</w:t>
      </w:r>
      <w:r>
        <w:rPr>
          <w:rFonts w:hint="eastAsia" w:ascii="宋体" w:hAnsi="宋体" w:eastAsia="宋体" w:cs="Times New Roman"/>
          <w:b w:val="0"/>
          <w:bCs w:val="0"/>
          <w:color w:val="000000"/>
          <w:sz w:val="24"/>
          <w:highlight w:val="none"/>
          <w:lang w:val="zh-CN"/>
        </w:rPr>
        <w:t xml:space="preserve">供应商对</w:t>
      </w:r>
      <w:r>
        <w:rPr>
          <w:rFonts w:hint="eastAsia" w:ascii="宋体" w:hAnsi="宋体" w:eastAsia="宋体" w:cs="Times New Roman"/>
          <w:b w:val="0"/>
          <w:bCs w:val="0"/>
          <w:color w:val="000000"/>
          <w:sz w:val="24"/>
          <w:highlight w:val="none"/>
          <w:lang w:val="en-US" w:eastAsia="zh-CN"/>
        </w:rPr>
        <w:t xml:space="preserve">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3"/>
        <w:ind w:firstLine="422"/>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w:t>
      </w:r>
      <w:r>
        <w:rPr>
          <w:rFonts w:hint="eastAsia" w:ascii="宋体" w:hAnsi="宋体"/>
          <w:b/>
          <w:bCs/>
          <w:color w:val="000000"/>
          <w:sz w:val="24"/>
          <w:highlight w:val="none"/>
          <w:lang w:val="zh-CN"/>
        </w:rPr>
        <w:t xml:space="preserve">：南京市玄武区双龙巷5号4楼4</w:t>
      </w:r>
      <w:r>
        <w:rPr>
          <w:rFonts w:ascii="宋体" w:hAnsi="宋体"/>
          <w:b/>
          <w:bCs/>
          <w:color w:val="000000"/>
          <w:sz w:val="24"/>
          <w:highlight w:val="none"/>
          <w:lang w:val="zh-CN"/>
        </w:rPr>
        <w:t xml:space="preserve">10（南京鼓楼医院医用物资采购中心）</w:t>
      </w:r>
      <w:r>
        <w:rPr>
          <w:rFonts w:hint="eastAsia" w:ascii="宋体" w:hAnsi="宋体"/>
          <w:b/>
          <w:bCs/>
          <w:color w:val="000000"/>
          <w:sz w:val="24"/>
          <w:highlight w:val="none"/>
          <w:lang w:val="zh-CN"/>
        </w:rPr>
        <w:t xml:space="preserve">黄</w:t>
      </w:r>
      <w:r>
        <w:rPr>
          <w:rFonts w:ascii="宋体" w:hAnsi="宋体"/>
          <w:b/>
          <w:bCs/>
          <w:color w:val="000000"/>
          <w:sz w:val="24"/>
          <w:highlight w:val="none"/>
          <w:lang w:val="zh-CN"/>
        </w:rPr>
        <w:t xml:space="preserve">老师</w:t>
      </w:r>
      <w:r>
        <w:rPr>
          <w:rFonts w:hint="eastAsia" w:ascii="宋体" w:hAnsi="宋体"/>
          <w:b/>
          <w:bCs/>
          <w:color w:val="000000"/>
          <w:sz w:val="24"/>
          <w:highlight w:val="none"/>
          <w:lang w:val="zh-CN"/>
        </w:rPr>
        <w:t xml:space="preserve"> </w:t>
      </w:r>
      <w:r>
        <w:rPr>
          <w:rFonts w:ascii="宋体" w:hAnsi="宋体"/>
          <w:b/>
          <w:bCs/>
          <w:color w:val="000000"/>
          <w:sz w:val="24"/>
          <w:highlight w:val="none"/>
          <w:lang w:val="zh-CN"/>
        </w:rPr>
        <w:t xml:space="preserve">025-83105006</w:t>
      </w:r>
      <w:r>
        <w:rPr>
          <w:rFonts w:hint="eastAsia" w:ascii="宋体" w:hAnsi="宋体"/>
          <w:b/>
          <w:bCs/>
          <w:color w:val="000000"/>
          <w:sz w:val="24"/>
          <w:highlight w:val="none"/>
          <w:lang w:val="zh-CN"/>
        </w:rPr>
        <w:t xml:space="preserve">。</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3"/>
        <w:ind w:firstLine="422"/>
        <w:spacing w:line="252"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szCs w:val="21"/>
          <w:highlight w:val="none"/>
          <w:lang w:val="zh-CN"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7"/>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8"/>
        <w:ind w:firstLine="420"/>
        <w:pageBreakBefore w:val="0"/>
        <w:spacing w:before="0" w:after="0" w:line="252"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3"/>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zh-CN"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3"/>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8"/>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3"/>
        <w:ind w:firstLine="420"/>
        <w:pageBreakBefore w:val="0"/>
        <w:spacing w:line="252"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73"/>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3"/>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8"/>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3"/>
        <w:ind w:firstLine="420"/>
        <w:keepLines w:val="0"/>
        <w:keepNext w:val="0"/>
        <w:pageBreakBefore w:val="0"/>
        <w:spacing w:line="252"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8"/>
        <w:ind w:firstLine="422"/>
        <w:pageBreakBefore w:val="0"/>
        <w:spacing w:before="0" w:after="0" w:line="252"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8"/>
        <w:ind w:firstLine="422"/>
        <w:pageBreakBefore w:val="0"/>
        <w:spacing w:before="0" w:after="0" w:line="252"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43.</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43.1 </w:t>
      </w: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16938559"/>
      <w:r/>
      <w:bookmarkStart w:id="189" w:name="_Toc513029243"/>
      <w:r/>
      <w:bookmarkStart w:id="190"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1"/>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5"/>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5"/>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5"/>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5"/>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5"/>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5"/>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5"/>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26554093"/>
      <w:r/>
      <w:bookmarkStart w:id="192"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为全面推进</w:t>
      </w:r>
      <w:r>
        <w:rPr>
          <w:rFonts w:hint="eastAsia" w:ascii="宋体" w:hAnsi="宋体"/>
          <w:color w:val="000000"/>
          <w:sz w:val="24"/>
          <w:szCs w:val="24"/>
          <w:highlight w:val="none"/>
          <w:lang w:val="en-US" w:eastAsia="zh-CN"/>
        </w:rPr>
        <w:t xml:space="preserve">南京鼓楼医院</w:t>
      </w:r>
      <w:r>
        <w:rPr>
          <w:rFonts w:hint="eastAsia" w:ascii="宋体" w:hAnsi="宋体"/>
          <w:color w:val="000000"/>
          <w:sz w:val="24"/>
          <w:szCs w:val="24"/>
          <w:highlight w:val="none"/>
        </w:rPr>
        <w:t xml:space="preserve">智慧医院建设，构建安全、高效、一体化的数字业务环境，无缝集成移动应用业务服务，通过统一的身份认证枢纽，实现“一次登录，全网通行”，为全院业务提供标准化、安全、便捷的身份认证服务。</w:t>
      </w:r>
      <w:r>
        <w:rPr>
          <w:rFonts w:hint="eastAsia" w:ascii="宋体" w:hAnsi="宋体"/>
          <w:color w:val="000000"/>
          <w:sz w:val="24"/>
          <w:szCs w:val="24"/>
          <w:highlight w:val="none"/>
          <w:lang w:val="en-US" w:eastAsia="zh-CN"/>
        </w:rPr>
        <w:t xml:space="preserve">医院</w:t>
      </w:r>
      <w:r>
        <w:rPr>
          <w:rFonts w:hint="eastAsia" w:ascii="宋体" w:hAnsi="宋体"/>
          <w:color w:val="000000"/>
          <w:sz w:val="24"/>
          <w:szCs w:val="24"/>
          <w:highlight w:val="none"/>
        </w:rPr>
        <w:t xml:space="preserve">计划采购并部署一套技术先进、安全可靠、扩展性强的集成应用门户系统。</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512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661"/>
        <w:gridCol w:w="635"/>
        <w:gridCol w:w="671"/>
        <w:gridCol w:w="1472"/>
        <w:gridCol w:w="1042"/>
        <w:gridCol w:w="1462"/>
        <w:gridCol w:w="1132"/>
        <w:gridCol w:w="1392"/>
      </w:tblGrid>
      <w:tr>
        <w:trPr>
          <w:trHeight w:val="470"/>
        </w:trPr>
        <w:tc>
          <w:tcPr>
            <w:tcW w:w="271"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829"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hint="eastAsia" w:ascii="宋体" w:hAnsi="宋体"/>
                <w:bCs/>
                <w:color w:val="000000"/>
                <w:sz w:val="24"/>
                <w:szCs w:val="24"/>
                <w:highlight w:val="none"/>
              </w:rPr>
            </w:r>
            <w:r/>
          </w:p>
        </w:tc>
        <w:tc>
          <w:tcPr>
            <w:tcW w:w="317"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rPr>
            </w:r>
            <w:r/>
          </w:p>
        </w:tc>
        <w:tc>
          <w:tcPr>
            <w:tcW w:w="335"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hint="eastAsia" w:ascii="宋体" w:hAnsi="宋体"/>
                <w:bCs/>
                <w:color w:val="000000"/>
                <w:sz w:val="24"/>
                <w:szCs w:val="24"/>
                <w:highlight w:val="none"/>
              </w:rPr>
            </w:r>
            <w:r/>
          </w:p>
        </w:tc>
        <w:tc>
          <w:tcPr>
            <w:tcW w:w="735"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hint="eastAsia" w:ascii="宋体" w:hAnsi="宋体"/>
                <w:bCs/>
                <w:color w:val="000000"/>
                <w:sz w:val="24"/>
                <w:szCs w:val="24"/>
                <w:highlight w:val="none"/>
              </w:rPr>
            </w:r>
            <w:r/>
          </w:p>
        </w:tc>
        <w:tc>
          <w:tcPr>
            <w:tcW w:w="520" w:type="dxa"/>
            <w:vAlign w:val="center"/>
            <w:textDirection w:val="lrTb"/>
            <w:noWrap w:val="false"/>
          </w:tcPr>
          <w:p>
            <w:pPr>
              <w:pStyle w:val="873"/>
              <w:jc w:val="center"/>
              <w:spacing w:line="264" w:lineRule="auto"/>
              <w:rPr>
                <w:rFonts w:hint="eastAsia"/>
                <w:color w:val="000000"/>
                <w:highlight w:val="none"/>
              </w:rPr>
            </w:pPr>
            <w:r>
              <w:rPr>
                <w:rFonts w:hint="eastAsia"/>
                <w:color w:val="000000"/>
                <w:highlight w:val="none"/>
              </w:rPr>
              <w:t xml:space="preserve">单价上限</w:t>
            </w:r>
            <w:r>
              <w:rPr>
                <w:rFonts w:hint="eastAsia"/>
                <w:color w:val="000000"/>
                <w:highlight w:val="none"/>
              </w:rPr>
            </w:r>
            <w:r/>
          </w:p>
          <w:p>
            <w:pPr>
              <w:pStyle w:val="885"/>
              <w:ind w:firstLine="0"/>
              <w:jc w:val="center"/>
              <w:spacing w:line="400" w:lineRule="exact"/>
              <w:rPr>
                <w:color w:val="000000"/>
                <w:highlight w:val="none"/>
              </w:rPr>
            </w:pPr>
            <w:r>
              <w:rPr>
                <w:rFonts w:hint="eastAsia"/>
                <w:bCs/>
                <w:color w:val="000000"/>
                <w:sz w:val="24"/>
                <w:szCs w:val="24"/>
                <w:highlight w:val="none"/>
              </w:rPr>
              <w:t xml:space="preserve">（元）</w:t>
            </w:r>
            <w:r>
              <w:rPr>
                <w:color w:val="000000"/>
                <w:highlight w:val="none"/>
              </w:rPr>
            </w:r>
            <w:r/>
          </w:p>
        </w:tc>
        <w:tc>
          <w:tcPr>
            <w:tcW w:w="730"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hint="eastAsia" w:ascii="宋体" w:hAnsi="宋体"/>
                <w:bCs/>
                <w:color w:val="000000"/>
                <w:sz w:val="24"/>
                <w:szCs w:val="24"/>
                <w:highlight w:val="none"/>
              </w:rPr>
            </w:r>
            <w:r/>
          </w:p>
        </w:tc>
        <w:tc>
          <w:tcPr>
            <w:tcW w:w="565"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bCs/>
                <w:color w:val="000000"/>
                <w:sz w:val="24"/>
                <w:szCs w:val="24"/>
                <w:highlight w:val="none"/>
              </w:rPr>
            </w:r>
            <w:r/>
          </w:p>
        </w:tc>
        <w:tc>
          <w:tcPr>
            <w:tcW w:w="695"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数据交易类型（如有）</w:t>
            </w:r>
            <w:r>
              <w:rPr>
                <w:rFonts w:hint="eastAsia" w:ascii="宋体" w:hAnsi="宋体" w:cs="宋体"/>
                <w:bCs/>
                <w:color w:val="000000"/>
                <w:sz w:val="24"/>
                <w:szCs w:val="24"/>
                <w:highlight w:val="none"/>
              </w:rPr>
            </w:r>
            <w:r/>
          </w:p>
        </w:tc>
      </w:tr>
      <w:tr>
        <w:trPr>
          <w:trHeight w:val="597"/>
        </w:trPr>
        <w:tc>
          <w:tcPr>
            <w:tcW w:w="271"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829" w:type="dxa"/>
            <w:vAlign w:val="center"/>
            <w:textDirection w:val="lrTb"/>
            <w:noWrap w:val="false"/>
          </w:tcPr>
          <w:p>
            <w:pPr>
              <w:pStyle w:val="873"/>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集成应用门户系统</w:t>
            </w:r>
            <w:r>
              <w:rPr>
                <w:rFonts w:hint="eastAsia" w:ascii="宋体" w:hAnsi="宋体"/>
                <w:bCs/>
                <w:color w:val="000000"/>
                <w:sz w:val="24"/>
                <w:szCs w:val="24"/>
                <w:highlight w:val="none"/>
              </w:rPr>
            </w:r>
            <w:r/>
          </w:p>
        </w:tc>
        <w:tc>
          <w:tcPr>
            <w:tcW w:w="317"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335"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735"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hint="eastAsia" w:ascii="宋体" w:hAnsi="宋体"/>
                <w:bCs/>
                <w:color w:val="000000"/>
                <w:sz w:val="24"/>
                <w:szCs w:val="24"/>
                <w:highlight w:val="none"/>
              </w:rPr>
            </w:r>
            <w:r/>
          </w:p>
        </w:tc>
        <w:tc>
          <w:tcPr>
            <w:tcW w:w="520" w:type="dxa"/>
            <w:vAlign w:val="center"/>
            <w:textDirection w:val="lrTb"/>
            <w:noWrap w:val="false"/>
          </w:tcPr>
          <w:p>
            <w:pPr>
              <w:pStyle w:val="873"/>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290000</w:t>
            </w:r>
            <w:r>
              <w:rPr>
                <w:rFonts w:hint="eastAsia" w:ascii="宋体" w:hAnsi="宋体"/>
                <w:bCs/>
                <w:color w:val="000000"/>
                <w:sz w:val="24"/>
                <w:szCs w:val="24"/>
                <w:highlight w:val="none"/>
              </w:rPr>
            </w:r>
            <w:r/>
          </w:p>
        </w:tc>
        <w:tc>
          <w:tcPr>
            <w:tcW w:w="730"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65"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95"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r>
            <w:r/>
          </w:p>
        </w:tc>
      </w:tr>
    </w:tbl>
    <w:p>
      <w:pPr>
        <w:pStyle w:val="905"/>
        <w:rPr>
          <w:rFonts w:hint="eastAsia"/>
          <w:color w:val="000000"/>
          <w:highlight w:val="none"/>
          <w:lang w:eastAsia="zh-CN"/>
        </w:rPr>
      </w:pPr>
      <w:r>
        <w:rPr>
          <w:rFonts w:hint="eastAsia"/>
          <w:color w:val="000000"/>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00"/>
        <w:gridCol w:w="1875"/>
        <w:gridCol w:w="6070"/>
      </w:tblGrid>
      <w:tr>
        <w:trPr>
          <w:trHeight w:val="285"/>
        </w:trPr>
        <w:tc>
          <w:tcPr>
            <w:shd w:val="clear" w:color="auto" w:fill="ffffff"/>
            <w:tcW w:w="355" w:type="dxa"/>
            <w:vAlign w:val="center"/>
            <w:textDirection w:val="lrTb"/>
            <w:noWrap w:val="false"/>
          </w:tcPr>
          <w:p>
            <w:pPr>
              <w:pStyle w:val="873"/>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功能模块</w:t>
            </w:r>
            <w:r>
              <w:rPr>
                <w:rFonts w:hint="eastAsia" w:ascii="宋体" w:hAnsi="宋体" w:cs="宋体"/>
                <w:b/>
                <w:bCs/>
                <w:color w:val="000000"/>
                <w:sz w:val="18"/>
                <w:szCs w:val="18"/>
                <w:highlight w:val="none"/>
              </w:rPr>
            </w:r>
            <w:r/>
          </w:p>
        </w:tc>
        <w:tc>
          <w:tcPr>
            <w:shd w:val="clear" w:color="auto" w:fill="ffffff"/>
            <w:tcW w:w="653" w:type="dxa"/>
            <w:vAlign w:val="center"/>
            <w:textDirection w:val="lrTb"/>
            <w:noWrap/>
          </w:tcPr>
          <w:p>
            <w:pPr>
              <w:pStyle w:val="873"/>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功能子模块</w:t>
            </w:r>
            <w:r>
              <w:rPr>
                <w:rFonts w:hint="eastAsia" w:ascii="宋体" w:hAnsi="宋体" w:cs="宋体"/>
                <w:b/>
                <w:bCs/>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功能项</w:t>
            </w:r>
            <w:r>
              <w:rPr>
                <w:rFonts w:hint="eastAsia" w:ascii="宋体" w:hAnsi="宋体" w:cs="宋体"/>
                <w:b/>
                <w:bCs/>
                <w:color w:val="000000"/>
                <w:sz w:val="18"/>
                <w:szCs w:val="18"/>
                <w:highlight w:val="none"/>
              </w:rPr>
            </w:r>
            <w:r/>
          </w:p>
        </w:tc>
        <w:tc>
          <w:tcPr>
            <w:shd w:val="clear" w:color="auto" w:fill="ffffff"/>
            <w:tcW w:w="3050" w:type="dxa"/>
            <w:vAlign w:val="center"/>
            <w:textDirection w:val="lrTb"/>
            <w:noWrap w:val="false"/>
          </w:tcPr>
          <w:p>
            <w:pPr>
              <w:pStyle w:val="873"/>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功能描述</w:t>
            </w:r>
            <w:r>
              <w:rPr>
                <w:rFonts w:hint="eastAsia" w:ascii="宋体" w:hAnsi="宋体" w:cs="宋体"/>
                <w:b/>
                <w:bCs/>
                <w:color w:val="000000"/>
                <w:sz w:val="18"/>
                <w:szCs w:val="18"/>
                <w:highlight w:val="none"/>
              </w:rPr>
            </w:r>
            <w:r/>
          </w:p>
        </w:tc>
      </w:tr>
      <w:tr>
        <w:trPr>
          <w:trHeight w:val="465"/>
        </w:trPr>
        <w:tc>
          <w:tcPr>
            <w:tcW w:w="355"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1、身份认证与单点登录</w:t>
            </w: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1.1单点登录</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1.1.1单点登录功能</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系统支持用户登录后，生成一个可信的安全令牌，用户可以直接点击登录系统内集成的应用系统，无需再次输入密码</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1.1.2多因素认证</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系统支持用户密码、手机短信、CA二维码等多种登录认证方式</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1.1.3强化认证</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系统支持对敏感操作或特定角色、高风险区域登录时，强制启用双因素认证，即在密码基础上，额外要求输入手机短信验证码登二次验证信息。</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1.1.4主流认证协议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系统支持OAuth2.0、SAML2.0等主流认证协议</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1.1.5定制API接口</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系统支持对于传统的、不支持标准协议的业务系统，提供成熟的API接口进行集成</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1.1.6不同模式客户端对接</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系统支持对接C/S、B/S等不同访问模式的业务系统对接，支持对接IE-Only的业务系统</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1.1.7国密算法加密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系统支持国密算法对所有身份认证信息的网络传输通道进行全程加密</w:t>
            </w:r>
            <w:r>
              <w:rPr>
                <w:rFonts w:hint="eastAsia" w:ascii="宋体" w:hAnsi="宋体" w:cs="宋体"/>
                <w:color w:val="000000"/>
                <w:sz w:val="18"/>
                <w:szCs w:val="18"/>
                <w:highlight w:val="none"/>
              </w:rPr>
            </w:r>
            <w:r/>
          </w:p>
        </w:tc>
      </w:tr>
      <w:tr>
        <w:trPr>
          <w:trHeight w:val="91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1.1.8用户会话生命周期管理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灵活的会话策略，动态管理用户登录状态；支持超时自动注销：系统按全局或角色策略设定会话超时时间，当用户长时间无操作，系统将自动使其登出；支持并发会话控制：可限制同一账号在不同地点的同时登录数量。</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▲1.2快速配置</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1.2.1快速注册助手</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系统支持提供在用户工作计算机上直接运行的客户端exe工具文件，用于实现C/S应用的快速注册</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1.2.2快速注册助手自动扫描</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系统支持快速注册助手自动从服务端获取C/S业务系统清单及其关键识别信息，自动扫描本地计算机硬盘，定位业务系统执行路径。</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1.2.3快速注册助手自动验证可用性</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系统支持快速注册助手自动调用客户端程序，验证客户端程序是否能正常运行。</w:t>
            </w:r>
            <w:r>
              <w:rPr>
                <w:rFonts w:hint="eastAsia" w:ascii="宋体" w:hAnsi="宋体" w:cs="宋体"/>
                <w:color w:val="000000"/>
                <w:sz w:val="18"/>
                <w:szCs w:val="18"/>
                <w:highlight w:val="none"/>
              </w:rPr>
            </w:r>
            <w:r/>
          </w:p>
        </w:tc>
      </w:tr>
      <w:tr>
        <w:trPr>
          <w:trHeight w:val="91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1.2.4快速注册助手扫描结果自动注册</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系统支持快速注册助手自动将扫描结果信息写入注册表中，以便单点登录系统调用。</w:t>
            </w:r>
            <w:r>
              <w:rPr>
                <w:rFonts w:hint="eastAsia" w:ascii="宋体" w:hAnsi="宋体" w:cs="宋体"/>
                <w:color w:val="000000"/>
                <w:sz w:val="18"/>
                <w:szCs w:val="18"/>
                <w:highlight w:val="none"/>
              </w:rPr>
            </w:r>
            <w:r/>
          </w:p>
        </w:tc>
      </w:tr>
      <w:tr>
        <w:trPr>
          <w:trHeight w:val="114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1.2.5快速注册助手扫描结果报告</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快速注册助手将扫描结果自动生成结果报告，报告内容包括用户计算机上各C/S模式业务系统的注册状态（成功/失败）、检测到的路径以及失败原因分析（如“未找到程序”、“启动超时”等）。报告在扫描结束后自动弹窗展示，并保存在本地文件中。</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1.2.6快速注册助手扫描结果上传</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系统支持快速注册助手将扫描结果上传到服务端，以便用户快速访问时使用。</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2、PC端用户门户</w:t>
            </w: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2.1排班与计划信息</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2.1.1排班相关信息展示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系统支持与业务系统对接，获取并展示用户相关的门诊排班信息、住院排班信息、交接班信息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2.1.2手术排班信息展示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系统支持与业务系统对接，获取并展示用户相关的日间手术排班信息、住院手术排班信息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2.1.3随访计划信息展示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系统支持与业务系统对接，获取并展示用户相关的随访计划</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▲2.2医疗相关信息</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2.2.1医疗组统计信息展示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系统支持与业务系统对接，获取并展示用户所在医疗组信息，包括医疗组人员、班次信息、医疗组住院患者入院、出院、空床位等信息</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2.2.2医疗组详细信息查询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系统支持与业务系统对接，获取并展示用户所在医疗组详细信息，包括成员详细信息、当前状态、患者信息，患者状态等，并提供相应的查询功能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2.2.3护理住院病人统计信息显示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系统支持和业务系统对接，获取并显示护理用户负责的住院病人统计信息，包括病人总数，当日入院数、出院数、空床数等</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▲2.3医疗业务提醒</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2.3.1质控提醒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系统支持和业务系统对接，获取并展示与用户相关的护理质控提醒，住院质控提醒信息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2.3.2病历时效提醒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系统支持和业务系统对接，获取并展示病历失效提醒，提醒信息可按照时间分类，包括8小时、24小时待处理提醒，逾期提醒</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2.3.3住院病人诊疗结果提醒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系统支持和业务系统对接，获取并展示用户相关的住院患者的相关业务信息，如报告有异常化验结果等</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2.3.4门诊患者流程状态提醒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系统支持和业务系统对接，获取并展示与用户相关的当日门诊患者的流程状态，如检验报告生成、检查报告生成等，并提供相应的查询功能。</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2.3.5入室提醒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系统支持和业务系统对接，获取与用户相关的手术患者进入手术室的信息，并用强制提醒的方式提醒用户</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2.3.6主动预警提醒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系统支持将预警信息按科室发送给对应的科室负责人，发送的内容包括关键告警指标、阈值、统计时间，相应的详情查询访问地址等。</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2.3.7普通消息提醒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系统支持对消息的不同级别，采用不同的提醒方式，对于普通信息，通过消息展示列表的方式进行提醒</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2.3.8强制消息提醒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系统支持对消息的不同级别，采用不同的提醒方式，对于关键信息，采用弹窗、发声等强制方式进行提醒。</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▲2.4个人日程</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2.4.1支持显示个人日程</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系统支持与业务系统对接，获取并展示用户相关的业务日程信息；系统支持按照时间线显示用户日程信息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2.4.2支持自定义日程</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系统支持用户自定义日程信息，用户可以根据自己的实际情况，添加、修改、删除自己自定义的日程</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2.4.3支持任务协作</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系统支持用户在现有日程上或新增日程时选取其他用户进行业务协作操作，被选取用户允许业务协作，系统自动在被选取用户的日程中增加相应的业务协作日程信息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▲2.5门户应用</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2.5.1业务应用显示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系统支持按分组方式展示用户可以访问的全部业务应用系统信息</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2.5.2应用收藏</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系统支持用户对于经常使用的应用收藏操作，收藏的应用显示在“常用应用”的应用分组中，方便用户快速访问。已经收藏的应用用户可以取消收藏。</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2.5.3首次登录时常用应用自动展示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系统支持对于用户首次登录时，将快速注册助手扫描结果中的可用业务系统，自动作为常用应用自动展示</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2.5.3常用应用自动展示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系统支持分析用户的应用访问情况，自动展示访问频率比较高的应用。对于初次登录的用户，则根据快速注册助手的扫描结果，用户首次登录时自动作为常用应用自动展示</w:t>
            </w:r>
            <w:r>
              <w:rPr>
                <w:rFonts w:hint="eastAsia" w:ascii="宋体" w:hAnsi="宋体" w:cs="宋体"/>
                <w:color w:val="000000"/>
                <w:sz w:val="18"/>
                <w:szCs w:val="18"/>
                <w:highlight w:val="none"/>
              </w:rPr>
            </w:r>
            <w:r/>
          </w:p>
        </w:tc>
      </w:tr>
      <w:tr>
        <w:trPr>
          <w:trHeight w:val="91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2.5.4常用应用自动登录</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系统支持为用户指定的业务系统提供快速登录体验。用户可以设定登录门户时自动访问的业务系统，当用户完成身份认证登录门户后，门户会自动登录相关业务系统，免除用户手动点击登录的步骤</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2.5.5业务系统任务快捷跳转</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系统支持点击消息直接跳转至相应业务系统的处理页面，提升用户工作效率</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2.5.6应用分组排序</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系统支持用户通过直观的拖拽操作，调整应用分组之间的显示顺序</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2.5.7分组内应用排序</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系统支持用户通过直观的拖拽操作，调整应用分组内部每个业务系统的显示顺序，移除或恢复应用分组内业务系统的显示。</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2.5.8应用登录信息配置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系统支持用户自行配置特定应用系统的登录信息，方便部分不能自动登录的业务系统通过模拟登录方式实现快速登录</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2.5.9应用查询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系统支持用户查询全部接入单点登录系统的应用，以便查看是否有应授权而没授权的应用</w:t>
            </w:r>
            <w:r>
              <w:rPr>
                <w:rFonts w:hint="eastAsia" w:ascii="宋体" w:hAnsi="宋体" w:cs="宋体"/>
                <w:color w:val="000000"/>
                <w:sz w:val="18"/>
                <w:szCs w:val="18"/>
                <w:highlight w:val="none"/>
              </w:rPr>
            </w:r>
            <w:r/>
          </w:p>
        </w:tc>
      </w:tr>
      <w:tr>
        <w:trPr>
          <w:trHeight w:val="114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2.5.10个人访问足迹查询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查询自己在指定时间范围内对所有业务系统的访问记录，包括访问详情：访问的具体业务系统名称、访问的精确时间点、访问的终端IP地址；状态信息：每次访问的成功或失败状态，对于失败的登录尝试，可提供初步原因说明（如“密码错误”、“账户已锁定”）。</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系统对原始访问日志进行自动聚合与分析，生成可视化的统计报表。</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2.5.11大模型对话</w:t>
            </w:r>
            <w:r>
              <w:rPr>
                <w:rFonts w:hint="eastAsia" w:ascii="宋体" w:hAnsi="宋体" w:cs="宋体"/>
                <w:color w:val="000000"/>
                <w:sz w:val="18"/>
                <w:szCs w:val="18"/>
                <w:highlight w:val="none"/>
              </w:rPr>
            </w:r>
            <w:r/>
          </w:p>
        </w:tc>
        <w:tc>
          <w:tcPr>
            <w:shd w:val="clear" w:color="auto" w:fill="ffffff"/>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系统支持与大语言模型对接，进行相应的交谈和功能调用</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2.6通知公告</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2.6.1门户公告展示</w:t>
            </w:r>
            <w:r>
              <w:rPr>
                <w:rFonts w:hint="eastAsia" w:ascii="宋体" w:hAnsi="宋体" w:cs="宋体"/>
                <w:color w:val="000000"/>
                <w:sz w:val="18"/>
                <w:szCs w:val="18"/>
                <w:highlight w:val="none"/>
              </w:rPr>
            </w:r>
            <w:r/>
          </w:p>
        </w:tc>
        <w:tc>
          <w:tcPr>
            <w:shd w:val="clear" w:color="auto" w:fill="ffffff"/>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系统支持门户首页滚动展示系统的公告通知，并可以点击进入详细的公告列表查询页面</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2.6.2 OA公告展示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系统支持与OA系统对接，同步OA系统上的通知公告信息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2.7个人中心</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2.7.1个人信息展示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系统支持用户查看自己的工号、姓名、部门、角色、所属医疗组等信息。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2.7.2密码修改</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系统支持用户修改自己的登录密码</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2.7.3手机号修改</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系统支持用户修改自己的手机号</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2.7.4个性化参数设置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系统支持用户再次进行个性化参数设置，如是否启用常用应用自动登录，是否打开强制提醒，相关业务消息的是否显示等</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2.9内外网门户</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2.9.1内外网门户并存</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系统支持同时在一个系统上同时构建内网门户和外网门户</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2.9.2内外网门户数据统一</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系统支持内外网门户底层数据一致，包括用户信息、组织架构信息、应用信息、管理平台等</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2.9.3内外网按属性权限显示内容</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系统支持内外网门户显示内容独立，按照应用属性和用户的数据访问权限显示不同的内容，内网门户只显示内网能访问的应用，外网门户只显示外网能访问的应用</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3、移动端门户</w:t>
            </w: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3.1排班与计划信息</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3.1.1排班相关信息展示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系统支持在移动端门户展示用户相关的门诊排班信息、住院排班信息、交接班信息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3.1.2手术排班信息展示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系统支持在移动端门户展示用户相关的日间手术排班信息、住院手术排班信息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3.1.3随访计划信息展示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系统支持在移动端门户展示用户相关的随访计划</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3.2医疗相关信息</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3.2.1医疗组统计信息展示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系统支持在移动端门户展示用户所在医疗组信息，包括医疗组人员、班次信息、医疗组住院患者入院、出院、空床位等信息</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3.2.2护理住院病人统计信息显示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系统在移动端门户显示护理用户负责的住院病人统计信息，包括病人总数，当日入院数、出院数、空床数等</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3.3医疗业务提醒</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3.3.1质控提醒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系统支持在移动端门户展示与用户相关的护理质控提醒，住院质控提醒信息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3.3.2病历时效提醒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系统支持在移动端门户展示病历失效提醒，提醒信息可按照时间分类，包括8小时、24小时待处理提醒，逾期提醒</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3.3.3住院病人诊疗结果提醒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系统支持在移动端门户展示用户相关的住院患者的相关业务信息，如报告有异常化验结果等</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3.3.4门诊患者流程状态提醒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系统支持在移动端门户展示与用户相关的当日门诊患者的流程状态，如检验报告生成、检查报告生成等，并提供相应的查询功能。</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3.3.5入室提醒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系统支持在移动端门户展示用户相关的手术患者进入手术室的信息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3.3.7消息提醒</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系统支持在移动端门户通过消息展示列表的方式进行提醒</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3.4个人日程</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3.4.1支持显示个人日程</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系统支持在移动端门户展示用户相关的业务日程信息；系统支持按照时间线显示用户日程信息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3.4.2支持自定义日程</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系统支持用户在移动端门户自定义日程信息，用户可以根据自己的实际情况，添加、修改、删除自己自定义的日程</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3.4.3支持任务协作</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系统支持用户在移动端门户，在现有日程上或新增日程时选取其他用户进行业务协作操作，被选取用户允许业务协作，系统自动在被选取用户的日程中增加相应的业务协作日程信息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3.5通知公告</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3.5.1门户公告展示</w:t>
            </w:r>
            <w:r>
              <w:rPr>
                <w:rFonts w:hint="eastAsia" w:ascii="宋体" w:hAnsi="宋体" w:cs="宋体"/>
                <w:color w:val="000000"/>
                <w:sz w:val="18"/>
                <w:szCs w:val="18"/>
                <w:highlight w:val="none"/>
              </w:rPr>
            </w:r>
            <w:r/>
          </w:p>
        </w:tc>
        <w:tc>
          <w:tcPr>
            <w:shd w:val="clear" w:color="auto" w:fill="ffffff"/>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系统支持在移动端门户展示系统的公告通知提醒，并可以点击进入详细的公告列表查询页面</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3.5.2 OA公告展示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系统支持移动端门户展示OA系统上的通知公告信息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3.6个人中心</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3.6.1个人信息展示</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系统支持移动端门户用户查看自己的工号、姓名、部门、角色、所属医疗组等信息。</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3.6.2密码修改</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系统支持移动端门户用户修改自己的登录密码</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3.6.3手机号修改</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系统支持移动端门户用户修改自己的手机号</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3.6.4个性化参数设置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系统支持移动端门户用户进行个性化参数设置，如是否启用常用应用自动登录，是否打开强制提醒，相关业务消息的是否显示等</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4、系统管理</w:t>
            </w: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4.1用户管理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4.1.1用户数据同步</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系统支持与业务系统对接，实现员工入职、转岗、离职时系统账号的自动创建、权限实时调整与自动销户</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4.1.2用户信息管理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系统支持统一的用户管理后台，系统管理员可在此进行用户的增、删、改、查及账户的启用/禁用操作</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4.1.3用户密码重置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系统支持管理员通过重置密码功能，为忘记密码的用户提供了快速恢复访问</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4.2组织架构管理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4.2.1组织架构数据同步</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系统支持与业务系统对接，实现组织架构信息的自动同步和更新，保持组织架构和医院主数据的一致性</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4.1.2组织架构管理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系统支持统一的组织架构管理后台，系统管理员可在此进行组织架构的增、删、改、查。</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4.3角色管理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4.3.1角色管理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系统支持统一角色管理后台，系统管理员在此进行角色的增、删、改、查，以及启动/禁用操作</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4.3.2角色权限管理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系统支持统一的管理后台，管理维护角色能够访问那些应用、访问那些数据，访问那些功能菜单</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4.4应用管理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4.4.1应用注册与接入</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系统支持管理员通过直观的界面，将第三方业务系统作为新的“应用”注册到平台中。提供对应用的“禁用”与“启用”状态控制</w:t>
            </w:r>
            <w:r>
              <w:rPr>
                <w:rFonts w:hint="eastAsia" w:ascii="宋体" w:hAnsi="宋体" w:cs="宋体"/>
                <w:color w:val="000000"/>
                <w:sz w:val="18"/>
                <w:szCs w:val="18"/>
                <w:highlight w:val="none"/>
              </w:rPr>
            </w:r>
            <w:r/>
          </w:p>
        </w:tc>
      </w:tr>
      <w:tr>
        <w:trPr>
          <w:trHeight w:val="114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4.4.2应用应急登录</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为每个关键业务应用配置一个独立的应急登录地址。当统一认证平台出现不可用故障时，系统可自动或由管理员手动切换到应急模式，引导用户通过此地址使用原系统的本地账号密码进行登录，确保核心业务不中断。该地址的访问将被严格记录并审计。</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4.4.3应用对接测试</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系统支持内置的“连接测试”功能，可在应用配置完成后，模拟单点登录流程，验证认证接口的连通性、参数正确性与票据有效性，极大降低联调难度</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4.4.4应用状态监控</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系统支持在管理后台实时展示所有已接入应用的健康状态（在线、离线、异常）、近期SSO失败率、平均登录耗时等关键指标，便于运维人员快速发现并定位问题</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4.4.5应用分组管理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系统支持管理员根据部门、业务类型对应用进行分组管理，方便在大量应用中快速导航与授权</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4.5密钥管理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4.5.1密钥管理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系统支持在应用接入时遵循“一应用一密钥”的原则，自动为每个业务系统生成独一无二的密钥对（如国密SM2）。实现精准的访问隔离与安全审计</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4.5.2密钥失效管理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系统支持检测到某个应用的密钥可能泄露时，管理员可立即在管理台手动紧急吊销该密钥，系统将立即拒绝使用该密钥的所有认证请求</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4.5.3基于密钥的服务功能</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系统支持提供基于密钥的标准化服务，包括：数字签名与验证：用于确保单点登录请求和响应的完整性与来源可信。数据加密与解密：用于保护在平台与业务系统间传输的敏感属性数据</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4.5.4密钥使用日志及报告</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系统支持全链路操作日志：记录密钥的生成、启用、吊销等所有关键操作，做到全程可追溯。</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系统可一键生成密钥管理报告，展示各应用密钥的算法、状态、所涉应用等信息，轻松满足网络安全等级保护（等保）等法规审计对密钥管理的要求。</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4.6应用同步数据管理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4.6.1应用同步数据管理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系统支持统一的管理功能，对从业务系统同步到门户平台的业务数据相关属性进行定义和配置管理</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4.6.2应用同步数据权限管理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系统支持统一的管理功能，对那些角色能访问那些应用同步数据进行统一管理</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4.6.3应用同步数据快速跳转配置</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系统支持配置功能，对应用同步数据的默认业务数据处理路径进行管理配置，用于相关信息没有提供业务处理路径时，能够直接跳转业务系统进行业务处理。</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W w:w="653"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4.7通知公告管理</w:t>
            </w:r>
            <w:r>
              <w:rPr>
                <w:rFonts w:hint="eastAsia" w:ascii="宋体" w:hAnsi="宋体" w:cs="宋体"/>
                <w:color w:val="000000"/>
                <w:sz w:val="18"/>
                <w:szCs w:val="18"/>
                <w:highlight w:val="none"/>
              </w:rPr>
            </w:r>
            <w:r/>
          </w:p>
        </w:tc>
        <w:tc>
          <w:tcPr>
            <w:shd w:val="clear" w:color="auto" w:fill="ffffff"/>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4.7.1通知公告管理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系统支持通知公告管理功能，用于进行公告通知的发布、修改、删除等权限授权用户可以在这里进行通知公告的维护操作。</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▲4.8床位管理</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4.8.1床位信息管理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系统支持和相关业务系统同步床位信息和床位病人信息（如姓名、性别、年龄、主要诊断、入院时间）的功能，形成全院床位的全景实时视图，并提供按病区/科室/医疗组等条件的查询功能</w:t>
            </w:r>
            <w:r>
              <w:rPr>
                <w:rFonts w:hint="eastAsia" w:ascii="宋体" w:hAnsi="宋体" w:cs="宋体"/>
                <w:color w:val="000000"/>
                <w:sz w:val="18"/>
                <w:szCs w:val="18"/>
                <w:highlight w:val="none"/>
              </w:rPr>
            </w:r>
            <w:r/>
          </w:p>
        </w:tc>
      </w:tr>
      <w:tr>
        <w:trPr>
          <w:trHeight w:val="91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4.8.2用户与床位病人管理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系统支持用户管理维护自己与床位病人关系的功能，用户可在权限范围内，主动查询床位和床位当前病人的信息，并将指定床位病人与自己的账户进行绑定或者解绑，以便及时获取病人相关信息提醒。</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▲4.9排班管理</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4.9.1排班信息同步</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系统支持与业务系统对接，自动同步相关排班信息，包括门诊排班和手术排班</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4.9.2门诊排班管理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系统支持针对门诊排班的管理功能，权限用户能够在此进行门诊排班信息的增、删、改、查</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4.9.2手术排班管理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系统支持针对手术排班的管理功能，权限用户能够在此进行手术排班信息的增、删、改、查</w:t>
            </w:r>
            <w:r>
              <w:rPr>
                <w:rFonts w:hint="eastAsia" w:ascii="宋体" w:hAnsi="宋体" w:cs="宋体"/>
                <w:color w:val="000000"/>
                <w:sz w:val="18"/>
                <w:szCs w:val="18"/>
                <w:highlight w:val="none"/>
              </w:rPr>
            </w:r>
            <w:r/>
          </w:p>
        </w:tc>
      </w:tr>
      <w:tr>
        <w:trPr>
          <w:trHeight w:val="45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4.10管理员身份及功能管理</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4.10.1管理员功能管理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系统支持设立不同层级和职责范围的管理员，共同运维系统，可以指定或撤销其他用户的系统管理员身份，并可以细粒度地分配不同的管理权限（如只允许管理用户，不允许查看审计日志）</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4.11数据源管理</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4.11.1数据源管理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系统支持对用户和组织机构数据同步的配置功能，在数据源配置中指定同步的数据源信息及对应的表字段映射，实现用户和组织机构信息的自动同步。</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4.12日志报表</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4.12.1身份认证日志与查询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系统对用户登录/登出的准确时间、IP地址、登录方式及登录结果（成功/失败）等事件进行日志记录，并提供相应的查询审计功能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4.12.2应用访问行为日志与查询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系统支持记录用户访问的具体业务系统、访问时间，与其他应用系统在进行单点登录等交互时的详细通信记录。并提供相应的查询审计功能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4.12.3权限变更记录日志与查询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系统支持记录用户角色、数据权限与应用访问权限的分配、修改及撤销操作。管理员在后台进行的管理操作（如创建用户、修改权限），并提供相应的查询审计功能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4.12.4敏感操作记录日志与查询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系统支持对敏感数据访问、关键业务操作（如用户账号的创建与禁用）等进行重点记录。并提供相应的查询审计功能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4.12.5数据同步日志与与查询</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系统支持记录与权威数据源同步任务的执行情况和结果，并提供相应的查询审计功能</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4.12.6合规报表生成</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系统支持一键生成符合等保要求的安全审计报表，并可导出完整的操作日志，为安全事件溯源、合规性审查与内部调查提供坚实的数据证据链。</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4.13运维管理</w:t>
            </w:r>
            <w:r>
              <w:rPr>
                <w:rFonts w:hint="eastAsia" w:ascii="宋体" w:hAnsi="宋体" w:cs="宋体"/>
                <w:color w:val="000000"/>
                <w:sz w:val="18"/>
                <w:szCs w:val="18"/>
                <w:highlight w:val="none"/>
              </w:rPr>
            </w:r>
            <w:r/>
          </w:p>
        </w:tc>
        <w:tc>
          <w:tcPr>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4.13.1系统健康度监控</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系统支持健康度监控，包括认证吞吐量与延迟：展示登录请求的QPS（每秒查询率）、平均/峰值响应时间，监控系统认证性能。</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API接口成功率：监控与各业务系统单点登录接口的调用成功率，快速定位集成故障。</w:t>
            </w:r>
            <w:r>
              <w:rPr>
                <w:rFonts w:hint="eastAsia" w:ascii="宋体" w:hAnsi="宋体" w:cs="宋体"/>
                <w:color w:val="000000"/>
                <w:sz w:val="18"/>
                <w:szCs w:val="18"/>
                <w:highlight w:val="none"/>
              </w:rPr>
            </w:r>
            <w:r/>
          </w:p>
        </w:tc>
      </w:tr>
      <w:tr>
        <w:trPr>
          <w:trHeight w:val="28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4.13.2用户访问与行为分析</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系统支持用户访问相应的分析，包括：</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实时/历史活跃用户：展示当前在线用户数，以及按日、周、月为维度的活跃用户趋势图。</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用户登录时段分布：以热力图形式展示24小时内用户的登录高峰与低谷，为系统扩容与维护时间选择提供依据。</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应用访问频率排行：列出最热门与最冷门的应用，直观反映业务系统的使用情况。</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应用访问路径分析：分析用户登录后访问应用的常见序列，洞察用户工作流程。</w:t>
            </w:r>
            <w:r>
              <w:rPr>
                <w:rFonts w:hint="eastAsia" w:ascii="宋体" w:hAnsi="宋体" w:cs="宋体"/>
                <w:color w:val="000000"/>
                <w:sz w:val="18"/>
                <w:szCs w:val="18"/>
                <w:highlight w:val="none"/>
              </w:rPr>
            </w:r>
            <w:r/>
          </w:p>
        </w:tc>
      </w:tr>
      <w:tr>
        <w:trPr>
          <w:trHeight w:val="28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4.13.3安全态势与事件监控</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系统支持对安全的监控，包括：</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安全事件总览：统计并高亮显示失败登录尝试、密码暴力破解、账户锁定等安全事件的数量与趋势。</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实时风险告警：对于异常登录行为（如登录错误次数过多、非常用设备登录等）进行实时告警，并在仪表盘上突出显示。</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权限变更追踪：监控并列表展示用户角色、应用权限的批量变更操作，便于审计。</w:t>
            </w:r>
            <w:r>
              <w:rPr>
                <w:rFonts w:hint="eastAsia" w:ascii="宋体" w:hAnsi="宋体" w:cs="宋体"/>
                <w:color w:val="000000"/>
                <w:sz w:val="18"/>
                <w:szCs w:val="18"/>
                <w:highlight w:val="none"/>
              </w:rPr>
            </w:r>
            <w:r/>
          </w:p>
        </w:tc>
      </w:tr>
      <w:tr>
        <w:trPr>
          <w:trHeight w:val="28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4.13.4业务效能分析</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系统支持对业务价值及效能的分析，包括：</w:t>
            </w:r>
            <w:r>
              <w:rPr>
                <w:rFonts w:hint="eastAsia" w:ascii="宋体" w:hAnsi="宋体" w:cs="宋体"/>
                <w:color w:val="000000"/>
                <w:sz w:val="18"/>
                <w:szCs w:val="18"/>
                <w:highlight w:val="none"/>
              </w:rPr>
            </w:r>
            <w:r/>
          </w:p>
        </w:tc>
      </w:tr>
      <w:tr>
        <w:trPr>
          <w:trHeight w:val="465"/>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单点登录成功率：统计通过门户单点登录的成功率，量化系统稳定性</w:t>
            </w:r>
            <w:r>
              <w:rPr>
                <w:rFonts w:hint="eastAsia" w:ascii="宋体" w:hAnsi="宋体" w:cs="宋体"/>
                <w:color w:val="000000"/>
                <w:sz w:val="18"/>
                <w:szCs w:val="18"/>
                <w:highlight w:val="none"/>
              </w:rPr>
            </w:r>
            <w:r/>
          </w:p>
        </w:tc>
      </w:tr>
      <w:tr>
        <w:trPr>
          <w:trHeight w:val="690"/>
        </w:trPr>
        <w:tc>
          <w:tcPr>
            <w:shd w:val="clear" w:color="auto" w:fill="ffffff"/>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用户满意度间接指标：通过“密码重置次数”、“用户访问次数”、“用户访问频率”等指标，间接评估系统的易用性与用户满意度。</w:t>
            </w:r>
            <w:r>
              <w:rPr>
                <w:rFonts w:hint="eastAsia" w:ascii="宋体" w:hAnsi="宋体" w:cs="宋体"/>
                <w:color w:val="000000"/>
                <w:sz w:val="18"/>
                <w:szCs w:val="18"/>
                <w:highlight w:val="none"/>
              </w:rPr>
            </w:r>
            <w:r/>
          </w:p>
        </w:tc>
      </w:tr>
      <w:tr>
        <w:trPr>
          <w:trHeight w:val="690"/>
        </w:trPr>
        <w:tc>
          <w:tcPr>
            <w:tcW w:w="355" w:type="dxa"/>
            <w:vAlign w:val="center"/>
            <w:vMerge w:val="restart"/>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5、安全防护</w:t>
            </w: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5.1应用安全</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5.1.1系统安全防护</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系统支持有效的安全防护能力，能够防范常见的Web应用攻击，包括但不限于SQL注入、跨站脚本、跨站请求伪造、不安全反序列化等。</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5.1.2安全审计</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系统支持记录所有用户的关键操作日志，所有审计日志受保护，防止篡改和删除</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5.1.3开发安全</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系统支持软件安全开发生命周期管理制度，确保从需求、设计、编码、测试到部署运维各阶段的安全管控。</w:t>
            </w:r>
            <w:r>
              <w:rPr>
                <w:rFonts w:hint="eastAsia" w:ascii="宋体" w:hAnsi="宋体" w:cs="宋体"/>
                <w:color w:val="000000"/>
                <w:sz w:val="18"/>
                <w:szCs w:val="18"/>
                <w:highlight w:val="none"/>
              </w:rPr>
            </w:r>
            <w:r/>
          </w:p>
        </w:tc>
      </w:tr>
      <w:tr>
        <w:trPr>
          <w:trHeight w:val="690"/>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restart"/>
            <w:textDirection w:val="lrTb"/>
            <w:noWrap/>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5.2数据安全</w:t>
            </w: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5.2.1数据存储加密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系统支持采用国家密码管理局认可的密码算法，对敏感数据（如个人信息、密码、密钥等）在存储进行加密处理。存储在数据库中的口令需采用不可逆加密。</w:t>
            </w:r>
            <w:r>
              <w:rPr>
                <w:rFonts w:hint="eastAsia" w:ascii="宋体" w:hAnsi="宋体" w:cs="宋体"/>
                <w:color w:val="000000"/>
                <w:sz w:val="18"/>
                <w:szCs w:val="18"/>
                <w:highlight w:val="none"/>
              </w:rPr>
            </w:r>
            <w:r/>
          </w:p>
        </w:tc>
      </w:tr>
      <w:tr>
        <w:trPr>
          <w:trHeight w:val="465"/>
        </w:trPr>
        <w:tc>
          <w:tcPr>
            <w:tcW w:w="355" w:type="dxa"/>
            <w:vAlign w:val="center"/>
            <w:vMerge w:val="continue"/>
            <w:textDirection w:val="lrTb"/>
            <w:noWrap w:val="false"/>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53" w:type="dxa"/>
            <w:vAlign w:val="center"/>
            <w:vMerge w:val="continue"/>
            <w:textDirection w:val="lrTb"/>
            <w:noWrap/>
          </w:tcPr>
          <w:p>
            <w:pPr>
              <w:pStyle w:val="873"/>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41" w:type="dxa"/>
            <w:vAlign w:val="center"/>
            <w:textDirection w:val="lrTb"/>
            <w:noWrap w:val="false"/>
          </w:tcPr>
          <w:p>
            <w:pPr>
              <w:pStyle w:val="87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5.2.2数据传输加密</w:t>
            </w:r>
            <w:r>
              <w:rPr>
                <w:rFonts w:hint="eastAsia" w:ascii="宋体" w:hAnsi="宋体" w:cs="宋体"/>
                <w:color w:val="000000"/>
                <w:sz w:val="18"/>
                <w:szCs w:val="18"/>
                <w:highlight w:val="none"/>
              </w:rPr>
            </w:r>
            <w:r/>
          </w:p>
        </w:tc>
        <w:tc>
          <w:tcPr>
            <w:tcW w:w="3050" w:type="dxa"/>
            <w:vAlign w:val="center"/>
            <w:textDirection w:val="lrTb"/>
            <w:noWrap w:val="false"/>
          </w:tcPr>
          <w:p>
            <w:pPr>
              <w:pStyle w:val="87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系统支持采用国家密码管理局认可的密码算法，对敏感数据（如个人信息、密码、密钥等）在传输过程中进行加密处理。</w:t>
            </w:r>
            <w:r>
              <w:rPr>
                <w:rFonts w:hint="eastAsia" w:ascii="宋体" w:hAnsi="宋体" w:cs="宋体"/>
                <w:color w:val="000000"/>
                <w:sz w:val="18"/>
                <w:szCs w:val="18"/>
                <w:highlight w:val="none"/>
              </w:rPr>
            </w:r>
            <w:r/>
          </w:p>
        </w:tc>
      </w:tr>
    </w:tbl>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负责现场工作的组织、协调和实施工作。</w:t>
      </w:r>
      <w:r>
        <w:rPr>
          <w:rFonts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①供应商提供的系统能够根据采购人实际需求与医院各院区所有信息系统、集成平台做对接及集成</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对接工作由采购人进行协调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对接工作联系人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李工</w:t>
      </w:r>
      <w:r>
        <w:rPr>
          <w:rFonts w:hint="eastAsia" w:ascii="宋体" w:hAnsi="宋体" w:cs="宋体"/>
          <w:color w:val="000000"/>
          <w:sz w:val="24"/>
          <w:szCs w:val="24"/>
          <w:highlight w:val="none"/>
        </w:rPr>
        <w:t xml:space="preserve"> 联系电话：</w:t>
      </w:r>
      <w:r>
        <w:rPr>
          <w:rFonts w:ascii="宋体" w:hAnsi="宋体" w:cs="宋体"/>
          <w:color w:val="000000"/>
          <w:sz w:val="24"/>
          <w:szCs w:val="24"/>
          <w:highlight w:val="none"/>
        </w:rPr>
        <w:t xml:space="preserve">025-83106666转</w:t>
      </w:r>
      <w:r>
        <w:rPr>
          <w:rFonts w:hint="eastAsia" w:ascii="宋体" w:hAnsi="宋体" w:cs="宋体"/>
          <w:color w:val="000000"/>
          <w:sz w:val="24"/>
          <w:szCs w:val="24"/>
          <w:highlight w:val="none"/>
        </w:rPr>
        <w:t xml:space="preserve">60626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②本章中所列技术要求以国家最新政策标准为准。</w:t>
      </w:r>
      <w:r>
        <w:rPr>
          <w:rFonts w:hint="eastAsia"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rPr>
          <w:rFonts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①维保期：供应商应确保本次采购所有项目的安全稳定的运行，</w:t>
      </w:r>
      <w:r>
        <w:rPr>
          <w:rFonts w:hint="eastAsia" w:ascii="宋体" w:hAnsi="宋体" w:cs="宋体"/>
          <w:b/>
          <w:bCs/>
          <w:color w:val="000000"/>
          <w:sz w:val="24"/>
          <w:szCs w:val="24"/>
          <w:highlight w:val="none"/>
        </w:rPr>
        <w:t xml:space="preserve">并提供</w:t>
      </w: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年维保服务</w:t>
      </w:r>
      <w:r>
        <w:rPr>
          <w:rFonts w:hint="eastAsia" w:ascii="宋体" w:hAnsi="宋体" w:cs="宋体"/>
          <w:color w:val="000000"/>
          <w:sz w:val="24"/>
          <w:szCs w:val="24"/>
          <w:highlight w:val="none"/>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②维保期内，对采购人提出的合理服务要求，供应商必须即时进行电话、邮件及远程网络支持，并在2小时内到场服务，小型故障恢复时间为4个小时</w:t>
      </w: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，严重故障恢复时间为24小时内，并及时有效的提供解决方案。如不到场，采购人有权自行处理，相关费用由供应商负责。</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③供应商须提供定期回访服务，对采购人提出的合理优化建议应提供升级服务。</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⑤本采购项目出保后每年的维护费不超过合同总金额的5%。</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⑥质保期内供应商提供的系统软件升级，保证采购人使用最新版本软件。质保期满后软件版本内终身</w:t>
      </w:r>
      <w:r>
        <w:rPr>
          <w:rFonts w:hint="eastAsia" w:ascii="宋体" w:hAnsi="宋体" w:cs="宋体"/>
          <w:color w:val="000000"/>
          <w:sz w:val="24"/>
          <w:szCs w:val="24"/>
          <w:highlight w:val="none"/>
          <w:lang w:val="en-US" w:eastAsia="zh-CN"/>
        </w:rPr>
        <w:t xml:space="preserve">免费</w:t>
      </w:r>
      <w:r>
        <w:rPr>
          <w:rFonts w:hint="eastAsia" w:ascii="宋体" w:hAnsi="宋体" w:cs="宋体"/>
          <w:color w:val="000000"/>
          <w:sz w:val="24"/>
          <w:szCs w:val="24"/>
          <w:highlight w:val="none"/>
        </w:rPr>
        <w:t xml:space="preserve">升级。</w:t>
      </w:r>
      <w:r>
        <w:rPr>
          <w:rFonts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本项目实施期间至本项目验收合格之日止要求服务人数不低于</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人（含项目经理1人），且项目实施期内提供不低于</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人的驻场服务。</w:t>
      </w:r>
      <w:r>
        <w:rPr>
          <w:rFonts w:hint="eastAsia"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（6）知识产权要求</w:t>
      </w:r>
      <w:r>
        <w:rPr>
          <w:rFonts w:hint="eastAsia" w:ascii="宋体" w:hAnsi="宋体" w:eastAsia="宋体" w:cs="宋体"/>
          <w:bCs/>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③基于本项目合同履行形成的知识产权和其他权益，其权属归采购人所有，法律另有规定的除外。</w:t>
      </w:r>
      <w:r>
        <w:rPr>
          <w:rFonts w:ascii="宋体" w:hAnsi="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olor w:val="000000"/>
          <w:sz w:val="24"/>
          <w:szCs w:val="24"/>
          <w:highlight w:val="none"/>
          <w:lang w:val="en-US" w:eastAsia="zh-CN"/>
        </w:rPr>
        <w:t xml:space="preserve">90天</w:t>
      </w:r>
      <w:r>
        <w:rPr>
          <w:rFonts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完成系统开发</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不得大于300M）。文件上传方式见《操作手册》，上传的演示视频将作为投标文件的组成部分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w:t>
      </w:r>
      <w:r>
        <w:rPr>
          <w:rFonts w:hint="eastAsia" w:ascii="宋体" w:hAnsi="宋体" w:eastAsia="宋体" w:cs="宋体"/>
          <w:color w:val="000000"/>
          <w:sz w:val="24"/>
          <w:szCs w:val="24"/>
          <w:highlight w:val="none"/>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演示内容详见“第五章  评标方法与评标标准”。</w:t>
      </w:r>
      <w:r>
        <w:rPr>
          <w:rFonts w:hint="eastAsia" w:ascii="宋体" w:hAnsi="宋体" w:eastAsia="宋体" w:cs="Times New Roman"/>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1"/>
        <w:rPr>
          <w:rFonts w:hint="eastAsia"/>
          <w:color w:val="000000"/>
          <w:highlight w:val="none"/>
          <w:lang w:val="en-US" w:eastAsia="zh-CN"/>
        </w:rPr>
      </w:pPr>
      <w:r>
        <w:rPr>
          <w:rFonts w:hint="eastAsia"/>
          <w:color w:val="000000"/>
          <w:highlight w:val="none"/>
          <w:lang w:val="en-US" w:eastAsia="zh-CN"/>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、评标标准中</w:t>
      </w:r>
      <w:r>
        <w:rPr>
          <w:rFonts w:ascii="宋体" w:hAnsi="宋体"/>
          <w:color w:val="000000"/>
          <w:sz w:val="24"/>
          <w:szCs w:val="24"/>
          <w:highlight w:val="none"/>
        </w:rPr>
        <w:t xml:space="preserve">2.1-2.6</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highlight w:val="none"/>
                <w:lang w:val="en-US" w:eastAsia="zh-CN"/>
              </w:rPr>
              <w:t xml:space="preserve">价格分值（小数点保留两位）</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其余指标有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0.35</w:t>
            </w:r>
            <w:r>
              <w:rPr>
                <w:rFonts w:ascii="宋体" w:hAnsi="宋体" w:eastAsia="宋体" w:cs="宋体"/>
                <w:color w:val="000000"/>
                <w:sz w:val="21"/>
                <w:szCs w:val="21"/>
                <w:highlight w:val="none"/>
                <w:lang w:val="en-US" w:eastAsia="zh-CN"/>
              </w:rPr>
              <w:t xml:space="preserve">分，扣完为止。</w:t>
            </w:r>
            <w:r>
              <w:rPr>
                <w:color w:val="000000"/>
                <w:sz w:val="2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需求理解</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73"/>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评委根据投标人提供的需求理解材料</w:t>
            </w:r>
            <w:r>
              <w:rPr>
                <w:rFonts w:hint="eastAsia" w:ascii="宋体" w:hAnsi="宋体" w:eastAsia="宋体" w:cs="宋体"/>
                <w:color w:val="000000"/>
                <w:sz w:val="21"/>
                <w:szCs w:val="21"/>
                <w:highlight w:val="none"/>
                <w:lang w:val="en-US" w:eastAsia="zh-CN"/>
              </w:rPr>
              <w:t xml:space="preserve">综合评分，</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1.重点难点分析；2.服务目标及用户分析；3.建设需求内容；4、接入系统分析</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r>
            <w:r/>
          </w:p>
          <w:p>
            <w:pPr>
              <w:pStyle w:val="873"/>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完整深刻、针对性强、紧贴采购需求的，得</w:t>
            </w: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较为完整深刻、针对性较强、能够满足采购需求的，得 </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基本完整、具有一定针对性、基本符合采购需求的，得 </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spacing w:line="264" w:lineRule="auto"/>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不符合采购需求或未提供需求理解材料的不得分。</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评委根据投标人提供的项目总体技术方案</w:t>
            </w:r>
            <w:r>
              <w:rPr>
                <w:rFonts w:hint="eastAsia" w:ascii="宋体" w:hAnsi="宋体" w:eastAsia="宋体" w:cs="宋体"/>
                <w:color w:val="000000"/>
                <w:sz w:val="21"/>
                <w:szCs w:val="21"/>
                <w:highlight w:val="none"/>
                <w:lang w:val="en-US" w:eastAsia="zh-CN"/>
              </w:rPr>
              <w:t xml:space="preserve">综合评分，包括：</w:t>
            </w:r>
            <w:r>
              <w:rPr>
                <w:rFonts w:hint="eastAsia" w:ascii="宋体" w:hAnsi="宋体" w:eastAsia="宋体" w:cs="宋体"/>
                <w:color w:val="000000"/>
                <w:sz w:val="21"/>
                <w:szCs w:val="21"/>
                <w:highlight w:val="none"/>
                <w:lang w:bidi="ar"/>
              </w:rPr>
              <w:t xml:space="preserve">1.技术架构；2.业务架构；3.核心功能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sz w:val="21"/>
                <w:szCs w:val="21"/>
                <w:highlight w:val="none"/>
                <w:lang w:val="en-US" w:eastAsia="zh-CN"/>
              </w:rPr>
            </w:r>
            <w:r/>
          </w:p>
          <w:p>
            <w:pPr>
              <w:pStyle w:val="873"/>
              <w:jc w:val="left"/>
              <w:keepLines w:val="0"/>
              <w:keepNext w:val="0"/>
              <w:spacing w:line="264" w:lineRule="auto"/>
              <w:widowControl/>
              <w:rPr>
                <w:rFonts w:ascii="宋体" w:hAnsi="宋体" w:eastAsia="宋体" w:cs="宋体"/>
                <w:color w:val="000000"/>
                <w:sz w:val="21"/>
                <w:szCs w:val="21"/>
                <w:highlight w:val="none"/>
                <w:lang w:val="en-US" w:eastAsia="zh-CN"/>
              </w:rPr>
              <w:suppressLineNumbers w:val="0"/>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设计思路科学、前瞻性、技术先进可行</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紧贴采购需求的，得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设计思路较科学、前瞻性、技术较先进可行、能够满足采购需求的，得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设计思路基本满足采购需求、具有一定可行性的，得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spacing w:line="264" w:lineRule="auto"/>
              <w:rPr>
                <w:rFonts w:hint="eastAsia"/>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设计思路不能满足采购需求或未提供方案的不得分。</w:t>
            </w:r>
            <w:r>
              <w:rPr>
                <w:rFonts w:hint="eastAsia"/>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评委根据投标人提供的项目实施方案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bidi="ar"/>
              </w:rPr>
              <w:t xml:space="preserve">1.工作时间进度表；2.工作程序和步骤；3.管理和协调方法。</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完整深刻、可行性强、紧贴采购需求的，得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较为完整深刻、可行性较强、能够满足采购需求的，得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基本完整、具有一定可行性、基本符合采购需求的，得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951"/>
              <w:ind w:left="0"/>
              <w:spacing w:line="264" w:lineRule="auto"/>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不合理可行或未提供方案的不得分。</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pacing w:val="-6"/>
                <w:sz w:val="21"/>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系统对接方案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评委根据投标人提供的系统对接方案综合评分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包括：1.对接系统及难点分析；2.对接进度计划。以上每项内容逐</w:t>
            </w:r>
            <w:r>
              <w:rPr>
                <w:rFonts w:hint="eastAsia" w:ascii="宋体" w:hAnsi="宋体" w:eastAsia="宋体" w:cs="宋体"/>
                <w:color w:val="000000"/>
                <w:sz w:val="21"/>
                <w:szCs w:val="21"/>
                <w:highlight w:val="none"/>
                <w:lang w:val="en-US" w:eastAsia="zh-CN" w:bidi="ar-SA"/>
              </w:rPr>
              <w:t xml:space="preserve">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紧贴采购需求、详尽合理、针对性强、技术先进可行的，得</w:t>
            </w: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满足采购需求、较为详尽合理、针对性较强、技术较先进可行的，得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基本符合采购需求、基本详尽合理、具有一定的针对性、基本可行的，得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不合理可行或未提供方案的不得分。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评委根据供应商提供的演示视频（总演示时间不超</w:t>
            </w:r>
            <w:r>
              <w:rPr>
                <w:rFonts w:hint="eastAsia" w:ascii="宋体" w:hAnsi="宋体" w:eastAsia="宋体" w:cs="宋体"/>
                <w:color w:val="000000"/>
                <w:sz w:val="21"/>
                <w:szCs w:val="21"/>
                <w:highlight w:val="none"/>
                <w:lang w:val="en-US" w:eastAsia="zh-CN"/>
              </w:rPr>
              <w:t xml:space="preserve">过15分</w:t>
            </w:r>
            <w:r>
              <w:rPr>
                <w:rFonts w:hint="eastAsia" w:ascii="Times New Roman" w:hAnsi="Times New Roman" w:eastAsia="宋体" w:cs="Times New Roman"/>
                <w:color w:val="000000"/>
                <w:sz w:val="21"/>
                <w:szCs w:val="21"/>
                <w:highlight w:val="none"/>
                <w:lang w:val="en-US" w:eastAsia="zh-CN"/>
              </w:rPr>
              <w:t xml:space="preserve">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3"/>
              <w:numPr>
                <w:ilvl w:val="0"/>
                <w:numId w:val="0"/>
              </w:numPr>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t xml:space="preserve">客户端快速注册工具自动获取服务端系统清单并本地扫描注册。得分判定要求：在客户端运行exe文件，自动从服务端获取 C/S 业务系统清单；自动扫描本地路径并匹配对应系统；实时展示扫描进度。</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客户端快速注册工具自动弹窗提醒与扫描结果展示。得分判定要求：扫描结束后自动弹窗提示，扫描成功及扫描失败的应用系统数量及列表。</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客户端快速注册工具实时验证扫描应用系统。得分判定要求：至少演示5个以上应用系统验证扫描过程，并唤起成功验证的应用系统界面。</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客户端快速注册工具本地扫描报告自动生成。得分判定要求：扫描结束后自动生成结果报告，报告内容包括应用名称、应用地址、注册状态、异常分析、扫描时间等信息。</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PC端应用门户查询客户端快速注册工具扫描结果。得分判定要求：服务端可实时查询客户端扫描信息，包括终端信息、系统名、路径、状态、异常原因、扫描时间等。</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PC端应用门户具有多种通知提醒机制。得分判定要求：普通信息提醒（消息列表）；关键信息提醒（弹窗、声音）；钉钉集成推送提醒。</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PC端应用门户关联自动访问业务系统。得分判定要求：门户可自定义用户自动访问指定业务系统；登录门户后自动跳转启动业务系统，无需用户二次点击。</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t xml:space="preserve">PC端应用门户可授权核查。得分判定要求：门户可查询所有接入的应用系统，查看授权状态，识别未授权但应授权的应用。</w:t>
            </w:r>
            <w:r>
              <w:rPr>
                <w:rFonts w:hint="eastAsia" w:ascii="宋体" w:hAnsi="宋体" w:eastAsia="宋体" w:cs="宋体"/>
                <w:color w:val="000000"/>
                <w:sz w:val="21"/>
                <w:szCs w:val="21"/>
                <w:highlight w:val="none"/>
              </w:rPr>
            </w:r>
            <w:r/>
          </w:p>
          <w:p>
            <w:pPr>
              <w:pStyle w:val="873"/>
              <w:numPr>
                <w:ilvl w:val="0"/>
                <w:numId w:val="0"/>
              </w:numPr>
              <w:ind w:firstLine="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PC端应用门户关联患者实时就诊流程状态。得分判定要求：用户展示当日门诊患者实时轨迹图（挂号、候诊、检验、检查、取药等），患者对应节点签到后，就诊轨迹更新。</w:t>
            </w:r>
            <w:r>
              <w:rPr>
                <w:rFonts w:hint="eastAsia" w:ascii="宋体" w:hAnsi="宋体" w:eastAsia="宋体" w:cs="宋体"/>
                <w:color w:val="000000"/>
                <w:sz w:val="21"/>
                <w:szCs w:val="21"/>
                <w:highlight w:val="none"/>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PC端应用门户维护用户业务日程。得分判定要求：用户在个人日程中，新增日程，并添加其他用户进行远程协作，被添加用户的个人日程中自动新增该协助日程信息。</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73"/>
              <w:jc w:val="left"/>
              <w:spacing w:line="264" w:lineRule="auto"/>
              <w:rPr>
                <w:rFonts w:hint="eastAsia"/>
                <w:color w:val="000000"/>
                <w:highlight w:val="none"/>
              </w:rPr>
            </w:pPr>
            <w:r>
              <w:rPr>
                <w:rFonts w:hint="eastAsia"/>
                <w:color w:val="000000"/>
                <w:highlight w:val="none"/>
              </w:rPr>
              <w:t xml:space="preserve">以上每项内容采用</w:t>
            </w:r>
            <w:r>
              <w:rPr>
                <w:rFonts w:hint="eastAsia"/>
                <w:color w:val="000000"/>
                <w:highlight w:val="none"/>
                <w:lang w:val="en-US" w:eastAsia="zh-CN"/>
              </w:rPr>
              <w:t xml:space="preserve">类似</w:t>
            </w:r>
            <w:r>
              <w:rPr>
                <w:rFonts w:hint="eastAsia"/>
                <w:color w:val="000000"/>
                <w:highlight w:val="none"/>
              </w:rPr>
              <w:t xml:space="preserve">真实系统演示：（1）演示内容全面、功能设计合理、用户界面友好的，得</w:t>
            </w:r>
            <w:r>
              <w:rPr>
                <w:rFonts w:hint="eastAsia"/>
                <w:color w:val="000000"/>
                <w:highlight w:val="none"/>
                <w:lang w:val="en-US" w:eastAsia="zh-CN"/>
              </w:rPr>
              <w:t xml:space="preserve">1</w:t>
            </w:r>
            <w:r>
              <w:rPr>
                <w:rFonts w:hint="eastAsia"/>
                <w:color w:val="000000"/>
                <w:highlight w:val="none"/>
              </w:rPr>
              <w:t xml:space="preserve">分；（2）演示内容较全面、功能设计较合理、用户界面较友好的，得</w:t>
            </w:r>
            <w:r>
              <w:rPr>
                <w:rFonts w:hint="eastAsia"/>
                <w:color w:val="000000"/>
                <w:highlight w:val="none"/>
                <w:lang w:val="en-US" w:eastAsia="zh-CN"/>
              </w:rPr>
              <w:t xml:space="preserve">0.6</w:t>
            </w:r>
            <w:r>
              <w:rPr>
                <w:rFonts w:hint="eastAsia"/>
                <w:color w:val="000000"/>
                <w:highlight w:val="none"/>
              </w:rPr>
              <w:t xml:space="preserve">分；（3）演示内容基本全面、功能设基本合理、用户界面基本友好的，得0.</w:t>
            </w:r>
            <w:r>
              <w:rPr>
                <w:rFonts w:hint="eastAsia"/>
                <w:color w:val="000000"/>
                <w:highlight w:val="none"/>
                <w:lang w:val="en-US" w:eastAsia="zh-CN"/>
              </w:rPr>
              <w:t xml:space="preserve">4</w:t>
            </w:r>
            <w:r>
              <w:rPr>
                <w:rFonts w:hint="eastAsia"/>
                <w:color w:val="000000"/>
                <w:highlight w:val="none"/>
              </w:rPr>
              <w:t xml:space="preserve">分；（4）演示内容不全面、功能设计不合理、用户界面不友好或者未提供演示的，不得分。</w:t>
            </w:r>
            <w:r>
              <w:rPr>
                <w:rFonts w:hint="eastAsia"/>
                <w:color w:val="000000"/>
                <w:highlight w:val="none"/>
              </w:rPr>
            </w:r>
            <w:r/>
          </w:p>
          <w:p>
            <w:pPr>
              <w:pStyle w:val="873"/>
              <w:jc w:val="left"/>
              <w:keepLines w:val="0"/>
              <w:keepNext w:val="0"/>
              <w:pageBreakBefore w:val="0"/>
              <w:spacing w:line="264" w:lineRule="auto"/>
              <w:widowControl w:val="off"/>
              <w:rPr>
                <w:color w:val="000000"/>
                <w:sz w:val="21"/>
                <w:szCs w:val="21"/>
                <w:highlight w:val="none"/>
                <w:lang w:val="zh-CN" w:eastAsia="zh-CN"/>
              </w:rPr>
            </w:pPr>
            <w:r>
              <w:rPr>
                <w:rFonts w:hint="eastAsia"/>
                <w:color w:val="000000"/>
                <w:highlight w:val="none"/>
              </w:rPr>
              <w:t xml:space="preserve">采用系统原型（DEMO）、PPT等非真实系统演示的，上述对应得分减</w:t>
            </w:r>
            <w:r>
              <w:rPr>
                <w:rFonts w:hint="eastAsia"/>
                <w:color w:val="000000"/>
                <w:highlight w:val="none"/>
                <w:lang w:val="en-US" w:eastAsia="zh-CN"/>
              </w:rPr>
              <w:t xml:space="preserve">半</w:t>
            </w:r>
            <w:r>
              <w:rPr>
                <w:rFonts w:hint="eastAsia"/>
                <w:color w:val="000000"/>
                <w:highlight w:val="none"/>
              </w:rPr>
              <w:t xml:space="preserve">。</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评委根据投标人提供的维保服务方案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1.技术支持；2.保障措施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完整、合理性、操作性强的，得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基本完整、基本合理，有可操作性的，得1分； </w:t>
            </w:r>
            <w:r>
              <w:rPr>
                <w:rFonts w:ascii="宋体" w:hAnsi="宋体" w:eastAsia="宋体" w:cs="宋体"/>
                <w:color w:val="000000"/>
                <w:sz w:val="21"/>
                <w:szCs w:val="21"/>
                <w:highlight w:val="none"/>
                <w:lang w:val="en-US" w:eastAsia="zh-CN"/>
              </w:rPr>
            </w:r>
            <w:r/>
          </w:p>
          <w:p>
            <w:pPr>
              <w:pStyle w:val="951"/>
              <w:ind w:left="0"/>
              <w:spacing w:line="264" w:lineRule="auto"/>
              <w:rPr>
                <w:color w:val="000000"/>
                <w:sz w:val="21"/>
                <w:szCs w:val="21"/>
                <w:highlight w:val="none"/>
                <w:lang w:val="zh-CN"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不完整、不科学合理、不具可操作性或未提供的不得分。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培训方案</w:t>
            </w:r>
            <w:r>
              <w:rPr>
                <w:rFonts w:hint="eastAsia" w:ascii="宋体" w:hAnsi="宋体" w:eastAsia="宋体" w:cs="宋体"/>
                <w:color w:val="000000"/>
                <w:sz w:val="21"/>
                <w:szCs w:val="21"/>
                <w:highlight w:val="none"/>
                <w:lang w:bidi="ar"/>
              </w:rPr>
              <w:t xml:space="preserve">及推广方案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评委根据投标人提供的项目培训方案</w:t>
            </w:r>
            <w:r>
              <w:rPr>
                <w:rFonts w:hint="eastAsia" w:ascii="宋体" w:hAnsi="宋体" w:eastAsia="宋体" w:cs="宋体"/>
                <w:color w:val="000000"/>
                <w:sz w:val="21"/>
                <w:szCs w:val="21"/>
                <w:highlight w:val="none"/>
                <w:lang w:bidi="ar"/>
              </w:rPr>
              <w:t xml:space="preserve">及推广方案</w:t>
            </w:r>
            <w:r>
              <w:rPr>
                <w:rFonts w:hint="eastAsia" w:ascii="宋体" w:hAnsi="宋体" w:eastAsia="宋体" w:cs="宋体"/>
                <w:color w:val="000000"/>
                <w:sz w:val="21"/>
                <w:szCs w:val="21"/>
                <w:highlight w:val="none"/>
                <w:lang w:val="en-US" w:eastAsia="zh-CN"/>
              </w:rPr>
              <w:t xml:space="preserve">综合评分，</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：1、培训计划；2、培训内容；3、推广使用方案</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完整详细、针对性强的，得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基本满足采购需求，有一定针对性的，得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951"/>
              <w:ind w:left="0"/>
              <w:spacing w:line="264" w:lineRule="auto"/>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没有针对性或未提供方案的不得分。</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（含）以来类似项目业绩</w:t>
            </w:r>
            <w:r>
              <w:rPr>
                <w:rFonts w:hint="eastAsia" w:ascii="宋体" w:hAnsi="宋体" w:eastAsia="宋体" w:cs="宋体"/>
                <w:color w:val="000000"/>
                <w:sz w:val="21"/>
                <w:szCs w:val="21"/>
                <w:highlight w:val="none"/>
                <w:lang w:val="en-US" w:eastAsia="zh-CN"/>
              </w:rPr>
              <w:t xml:space="preserve">（至少包含</w:t>
            </w:r>
            <w:r>
              <w:rPr>
                <w:rFonts w:hint="eastAsia" w:ascii="宋体" w:hAnsi="宋体" w:eastAsia="宋体" w:cs="宋体"/>
                <w:color w:val="000000"/>
                <w:sz w:val="21"/>
                <w:szCs w:val="21"/>
                <w:highlight w:val="none"/>
                <w:lang w:bidi="ar"/>
              </w:rPr>
              <w:t xml:space="preserve">门户类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单点登录类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监控类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移动应用类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集成服务类</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个得2分。（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hint="eastAsia" w:ascii="宋体" w:hAnsi="宋体" w:eastAsia="宋体" w:cs="宋体"/>
                <w:color w:val="000000"/>
                <w:sz w:val="21"/>
                <w:szCs w:val="21"/>
                <w:highlight w:val="none"/>
                <w:lang w:bidi="ar"/>
              </w:rPr>
              <w:t xml:space="preserve">（包括采购内容、签约日期、双方盖章）</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6</w:t>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numPr>
                <w:ilvl w:val="0"/>
                <w:numId w:val="6"/>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投标人拟投入本项目的项目经理：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具有高级</w:t>
            </w:r>
            <w:r>
              <w:rPr>
                <w:rFonts w:hint="eastAsia" w:ascii="宋体" w:hAnsi="宋体" w:eastAsia="宋体" w:cs="宋体"/>
                <w:color w:val="000000"/>
                <w:sz w:val="21"/>
                <w:szCs w:val="21"/>
                <w:highlight w:val="none"/>
                <w:lang w:bidi="ar"/>
              </w:rPr>
              <w:t xml:space="preserve">软件技术开发工程师</w:t>
            </w:r>
            <w:r>
              <w:rPr>
                <w:rFonts w:hint="eastAsia" w:ascii="宋体" w:hAnsi="宋体" w:eastAsia="宋体" w:cs="宋体"/>
                <w:color w:val="000000"/>
                <w:sz w:val="21"/>
                <w:szCs w:val="21"/>
                <w:highlight w:val="none"/>
                <w:lang w:val="en-US" w:eastAsia="zh-CN" w:bidi="ar"/>
              </w:rPr>
              <w:t xml:space="preserve">证书或</w:t>
            </w:r>
            <w:r>
              <w:rPr>
                <w:rFonts w:hint="eastAsia" w:ascii="宋体" w:hAnsi="宋体" w:eastAsia="宋体" w:cs="宋体"/>
                <w:color w:val="000000"/>
                <w:sz w:val="21"/>
                <w:szCs w:val="21"/>
                <w:highlight w:val="none"/>
                <w:lang w:bidi="ar"/>
              </w:rPr>
              <w:t xml:space="preserve">信息系统</w:t>
            </w:r>
            <w:r>
              <w:rPr>
                <w:rFonts w:hint="eastAsia" w:ascii="宋体" w:hAnsi="宋体" w:eastAsia="宋体" w:cs="宋体"/>
                <w:color w:val="000000"/>
                <w:sz w:val="21"/>
                <w:szCs w:val="21"/>
                <w:highlight w:val="none"/>
                <w:lang w:val="en-US" w:eastAsia="zh-CN" w:bidi="ar"/>
              </w:rPr>
              <w:t xml:space="preserve">项目管理师证书</w:t>
            </w:r>
            <w:r>
              <w:rPr>
                <w:rFonts w:hint="eastAsia" w:ascii="宋体" w:hAnsi="宋体" w:eastAsia="宋体" w:cs="宋体"/>
                <w:color w:val="000000"/>
                <w:sz w:val="21"/>
                <w:szCs w:val="21"/>
                <w:highlight w:val="none"/>
                <w:lang w:bidi="ar"/>
              </w:rPr>
              <w:t xml:space="preserve">或</w:t>
            </w:r>
            <w:r>
              <w:rPr>
                <w:rFonts w:hint="eastAsia" w:ascii="宋体" w:hAnsi="宋体" w:eastAsia="宋体" w:cs="宋体"/>
                <w:color w:val="000000"/>
                <w:sz w:val="21"/>
                <w:szCs w:val="21"/>
                <w:highlight w:val="none"/>
                <w:lang w:val="en-US" w:eastAsia="zh-CN" w:bidi="ar"/>
              </w:rPr>
              <w:t xml:space="preserve">信息安全保障人员认证证书（</w:t>
            </w:r>
            <w:r>
              <w:rPr>
                <w:rFonts w:ascii="宋体" w:hAnsi="宋体" w:eastAsia="宋体" w:cs="宋体"/>
                <w:color w:val="000000"/>
                <w:sz w:val="21"/>
                <w:szCs w:val="21"/>
                <w:highlight w:val="none"/>
                <w:lang w:val="en-US" w:eastAsia="zh-CN" w:bidi="ar"/>
              </w:rPr>
              <w:t xml:space="preserve">CISAW</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，得1分，最多得1分。</w:t>
            </w:r>
            <w:r>
              <w:rPr>
                <w:rFonts w:hint="eastAsia" w:ascii="宋体" w:hAnsi="宋体" w:eastAsia="宋体" w:cs="宋体"/>
                <w:color w:val="000000"/>
                <w:sz w:val="21"/>
                <w:szCs w:val="21"/>
                <w:highlight w:val="none"/>
                <w:lang w:bidi="ar"/>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w:t>
            </w:r>
            <w:r>
              <w:rPr>
                <w:rFonts w:ascii="宋体" w:hAnsi="宋体" w:eastAsia="宋体" w:cs="宋体"/>
                <w:color w:val="000000"/>
                <w:sz w:val="21"/>
                <w:szCs w:val="21"/>
                <w:highlight w:val="none"/>
                <w:lang w:val="zh-CN" w:eastAsia="zh-CN" w:bidi="ar"/>
              </w:rPr>
              <w:t xml:space="preserve">提供上述</w:t>
            </w:r>
            <w:r>
              <w:rPr>
                <w:rFonts w:hint="eastAsia" w:ascii="宋体" w:hAnsi="宋体" w:eastAsia="宋体" w:cs="宋体"/>
                <w:color w:val="000000"/>
                <w:sz w:val="21"/>
                <w:szCs w:val="21"/>
                <w:highlight w:val="none"/>
                <w:lang w:val="zh-CN" w:eastAsia="zh-CN" w:bidi="ar"/>
              </w:rPr>
              <w:t xml:space="preserve">人员</w:t>
            </w:r>
            <w:r>
              <w:rPr>
                <w:rFonts w:ascii="宋体" w:hAnsi="宋体" w:eastAsia="宋体" w:cs="宋体"/>
                <w:color w:val="000000"/>
                <w:sz w:val="21"/>
                <w:szCs w:val="21"/>
                <w:highlight w:val="none"/>
                <w:lang w:val="zh-CN" w:eastAsia="zh-CN" w:bidi="ar"/>
              </w:rPr>
              <w:t xml:space="preserve">证书</w:t>
            </w:r>
            <w:r>
              <w:rPr>
                <w:rFonts w:hint="eastAsia" w:ascii="宋体" w:hAnsi="宋体" w:eastAsia="宋体" w:cs="宋体"/>
                <w:color w:val="000000"/>
                <w:sz w:val="21"/>
                <w:szCs w:val="21"/>
                <w:highlight w:val="none"/>
                <w:lang w:val="en-US" w:eastAsia="zh-CN" w:bidi="ar"/>
              </w:rPr>
              <w:t xml:space="preserve">以及投标人为其缴纳的2025年6月以来任意一个月的社保证明材料，缺一不可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（2）投标人拟投入本项目的</w:t>
            </w:r>
            <w:r>
              <w:rPr>
                <w:rFonts w:hint="eastAsia" w:ascii="宋体" w:hAnsi="宋体" w:eastAsia="宋体" w:cs="宋体"/>
                <w:color w:val="000000"/>
                <w:sz w:val="21"/>
                <w:szCs w:val="21"/>
                <w:highlight w:val="none"/>
                <w:lang w:bidi="ar"/>
              </w:rPr>
              <w:t xml:space="preserve">团队人员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不含项目经理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具有</w:t>
            </w:r>
            <w:r>
              <w:rPr>
                <w:rFonts w:hint="eastAsia" w:ascii="宋体" w:hAnsi="宋体" w:eastAsia="宋体" w:cs="宋体"/>
                <w:color w:val="000000"/>
                <w:sz w:val="21"/>
                <w:szCs w:val="21"/>
                <w:highlight w:val="none"/>
                <w:lang w:val="en-US" w:eastAsia="zh-CN" w:bidi="ar"/>
              </w:rPr>
              <w:t xml:space="preserve">中级以上（含中级）</w:t>
            </w:r>
            <w:r>
              <w:rPr>
                <w:rFonts w:hint="eastAsia" w:ascii="宋体" w:hAnsi="宋体" w:eastAsia="宋体" w:cs="宋体"/>
                <w:color w:val="000000"/>
                <w:sz w:val="21"/>
                <w:szCs w:val="21"/>
                <w:highlight w:val="none"/>
                <w:lang w:bidi="ar"/>
              </w:rPr>
              <w:t xml:space="preserve">软件技术开发工程师或</w:t>
            </w:r>
            <w:r>
              <w:rPr>
                <w:rFonts w:hint="eastAsia" w:ascii="宋体" w:hAnsi="宋体" w:eastAsia="宋体" w:cs="宋体"/>
                <w:color w:val="000000"/>
                <w:sz w:val="21"/>
                <w:szCs w:val="21"/>
                <w:highlight w:val="none"/>
                <w:lang w:val="en-US" w:eastAsia="zh-CN" w:bidi="ar"/>
              </w:rPr>
              <w:t xml:space="preserve">软件设计师或</w:t>
            </w:r>
            <w:r>
              <w:rPr>
                <w:rFonts w:hint="eastAsia" w:ascii="宋体" w:hAnsi="宋体" w:eastAsia="宋体" w:cs="宋体"/>
                <w:color w:val="000000"/>
                <w:sz w:val="21"/>
                <w:szCs w:val="21"/>
                <w:highlight w:val="none"/>
                <w:lang w:bidi="ar"/>
              </w:rPr>
              <w:t xml:space="preserve">信息系统</w:t>
            </w:r>
            <w:r>
              <w:rPr>
                <w:rFonts w:hint="eastAsia" w:ascii="宋体" w:hAnsi="宋体" w:eastAsia="宋体" w:cs="宋体"/>
                <w:color w:val="000000"/>
                <w:sz w:val="21"/>
                <w:szCs w:val="21"/>
                <w:highlight w:val="none"/>
                <w:lang w:val="en-US" w:eastAsia="zh-CN" w:bidi="ar"/>
              </w:rPr>
              <w:t xml:space="preserve">项目管理师</w:t>
            </w:r>
            <w:r>
              <w:rPr>
                <w:rFonts w:hint="eastAsia" w:ascii="宋体" w:hAnsi="宋体" w:eastAsia="宋体" w:cs="宋体"/>
                <w:color w:val="000000"/>
                <w:sz w:val="21"/>
                <w:szCs w:val="21"/>
                <w:highlight w:val="none"/>
                <w:lang w:bidi="ar"/>
              </w:rPr>
              <w:t xml:space="preserve">或</w:t>
            </w:r>
            <w:r>
              <w:rPr>
                <w:rFonts w:hint="eastAsia" w:ascii="宋体" w:hAnsi="宋体" w:eastAsia="宋体" w:cs="宋体"/>
                <w:color w:val="000000"/>
                <w:sz w:val="21"/>
                <w:szCs w:val="21"/>
                <w:highlight w:val="none"/>
                <w:lang w:val="en-US" w:eastAsia="zh-CN" w:bidi="ar"/>
              </w:rPr>
              <w:t xml:space="preserve">信息安全保障人员认证证书（</w:t>
            </w:r>
            <w:r>
              <w:rPr>
                <w:rFonts w:ascii="宋体" w:hAnsi="宋体" w:eastAsia="宋体" w:cs="宋体"/>
                <w:color w:val="000000"/>
                <w:sz w:val="21"/>
                <w:szCs w:val="21"/>
                <w:highlight w:val="none"/>
                <w:lang w:val="en-US" w:eastAsia="zh-CN" w:bidi="ar"/>
              </w:rPr>
              <w:t xml:space="preserve">CISAW</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，每有1人具有得1分，最多得4</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873"/>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多人一证，一人多证不重复计分，</w:t>
            </w:r>
            <w:r>
              <w:rPr>
                <w:rFonts w:ascii="宋体" w:hAnsi="宋体" w:eastAsia="宋体" w:cs="宋体"/>
                <w:color w:val="000000"/>
                <w:sz w:val="21"/>
                <w:szCs w:val="21"/>
                <w:highlight w:val="none"/>
                <w:lang w:val="zh-CN" w:eastAsia="zh-CN" w:bidi="ar"/>
              </w:rPr>
              <w:t xml:space="preserve">提供上述</w:t>
            </w:r>
            <w:r>
              <w:rPr>
                <w:rFonts w:hint="eastAsia" w:ascii="宋体" w:hAnsi="宋体" w:eastAsia="宋体" w:cs="宋体"/>
                <w:color w:val="000000"/>
                <w:sz w:val="21"/>
                <w:szCs w:val="21"/>
                <w:highlight w:val="none"/>
                <w:lang w:val="zh-CN" w:eastAsia="zh-CN" w:bidi="ar"/>
              </w:rPr>
              <w:t xml:space="preserve">人员</w:t>
            </w:r>
            <w:r>
              <w:rPr>
                <w:rFonts w:ascii="宋体" w:hAnsi="宋体" w:eastAsia="宋体" w:cs="宋体"/>
                <w:color w:val="000000"/>
                <w:sz w:val="21"/>
                <w:szCs w:val="21"/>
                <w:highlight w:val="none"/>
                <w:lang w:val="zh-CN" w:eastAsia="zh-CN" w:bidi="ar"/>
              </w:rPr>
              <w:t xml:space="preserve">证书</w:t>
            </w:r>
            <w:r>
              <w:rPr>
                <w:rFonts w:hint="eastAsia" w:ascii="宋体" w:hAnsi="宋体" w:eastAsia="宋体" w:cs="宋体"/>
                <w:color w:val="000000"/>
                <w:sz w:val="21"/>
                <w:szCs w:val="21"/>
                <w:highlight w:val="none"/>
                <w:lang w:val="en-US" w:eastAsia="zh-CN" w:bidi="ar"/>
              </w:rPr>
              <w:t xml:space="preserve">以及投标人为其缴纳的2025年6月以来任意一个月的社保证明材料，缺一不可）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投标人拟投入本项目的相关产品具有软件著作权证书，软件名称包含</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移动服务类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监控类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总线类</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单点登录类”</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等关键字，每提供1个证书得</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 </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pStyle w:val="873"/>
              <w:spacing w:line="264"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投标人提供有效期内的</w:t>
            </w:r>
            <w:r>
              <w:rPr>
                <w:rFonts w:hint="eastAsia" w:ascii="宋体" w:hAnsi="宋体" w:cs="宋体"/>
                <w:color w:val="000000"/>
                <w:highlight w:val="none"/>
                <w:lang w:bidi="ar"/>
              </w:rPr>
              <w:t xml:space="preserve">知识产权管理体系认证证书</w:t>
            </w:r>
            <w:r>
              <w:rPr>
                <w:rFonts w:hint="eastAsia" w:ascii="宋体" w:hAnsi="宋体" w:cs="宋体"/>
                <w:color w:val="000000"/>
                <w:highlight w:val="none"/>
                <w:lang w:eastAsia="zh-CN" w:bidi="ar"/>
              </w:rPr>
              <w:t xml:space="preserve">，</w:t>
            </w:r>
            <w:r>
              <w:rPr>
                <w:rFonts w:hint="eastAsia" w:ascii="宋体" w:hAnsi="宋体" w:eastAsia="宋体" w:cs="宋体"/>
                <w:color w:val="000000"/>
                <w:sz w:val="21"/>
                <w:szCs w:val="21"/>
                <w:highlight w:val="none"/>
                <w:lang w:bidi="ar"/>
              </w:rPr>
              <w:t xml:space="preserve">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color w:val="000000"/>
          <w:sz w:val="72"/>
          <w:highlight w:val="none"/>
        </w:rPr>
      </w:pPr>
      <w:r/>
      <w:bookmarkStart w:id="194" w:name="_Toc120614282"/>
      <w:r/>
      <w:bookmarkStart w:id="195" w:name="_Toc26554094"/>
      <w:r/>
      <w:bookmarkStart w:id="196" w:name="_Toc49090576"/>
      <w:r/>
      <w:bookmarkStart w:id="197" w:name="_Hlt26671244"/>
      <w:r/>
      <w:bookmarkEnd w:id="197"/>
      <w:r/>
      <w:bookmarkStart w:id="198" w:name="_Hlt26955039"/>
      <w:r/>
      <w:bookmarkEnd w:id="198"/>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highlight w:val="none"/>
        </w:rPr>
      </w:pPr>
      <w:r>
        <w:rPr>
          <w:rFonts w:ascii="宋体" w:hAnsi="宋体"/>
          <w:color w:val="000000"/>
          <w:highlight w:val="none"/>
        </w:rPr>
      </w:r>
      <w:r/>
    </w:p>
    <w:p>
      <w:pPr>
        <w:pStyle w:val="873"/>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十二、分包承诺书（如有）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957"/>
        <w:rPr>
          <w:rFonts w:ascii="宋体" w:hAnsi="宋体"/>
          <w:color w:val="000000"/>
          <w:sz w:val="24"/>
          <w:highlight w:val="none"/>
        </w:rPr>
      </w:pPr>
      <w:r>
        <w:rPr>
          <w:rFonts w:ascii="宋体" w:hAnsi="宋体"/>
          <w:color w:val="000000"/>
          <w:sz w:val="24"/>
          <w:highlight w:val="none"/>
        </w:rPr>
      </w:r>
      <w:r/>
    </w:p>
    <w:p>
      <w:pPr>
        <w:pStyle w:val="957"/>
        <w:rPr>
          <w:rFonts w:ascii="宋体" w:hAnsi="宋体"/>
          <w:color w:val="000000"/>
          <w:sz w:val="24"/>
          <w:highlight w:val="none"/>
        </w:rPr>
      </w:pPr>
      <w:r>
        <w:rPr>
          <w:rFonts w:ascii="宋体" w:hAnsi="宋体"/>
          <w:color w:val="000000"/>
          <w:sz w:val="24"/>
          <w:highlight w:val="none"/>
        </w:rPr>
      </w:r>
      <w:r/>
    </w:p>
    <w:p>
      <w:pPr>
        <w:pStyle w:val="957"/>
        <w:rPr>
          <w:rFonts w:ascii="宋体" w:hAnsi="宋体"/>
          <w:color w:val="000000"/>
          <w:sz w:val="24"/>
          <w:highlight w:val="none"/>
        </w:rPr>
      </w:pPr>
      <w:r>
        <w:rPr>
          <w:rFonts w:ascii="宋体" w:hAnsi="宋体"/>
          <w:color w:val="000000"/>
          <w:sz w:val="24"/>
          <w:highlight w:val="none"/>
        </w:rPr>
      </w:r>
      <w:r/>
    </w:p>
    <w:p>
      <w:pPr>
        <w:pStyle w:val="957"/>
        <w:rPr>
          <w:rFonts w:ascii="宋体" w:hAnsi="宋体"/>
          <w:color w:val="000000"/>
          <w:sz w:val="24"/>
          <w:highlight w:val="none"/>
        </w:rPr>
      </w:pPr>
      <w:r>
        <w:rPr>
          <w:rFonts w:ascii="宋体" w:hAnsi="宋体"/>
          <w:color w:val="000000"/>
          <w:sz w:val="24"/>
          <w:highlight w:val="none"/>
        </w:rPr>
      </w:r>
      <w:r/>
    </w:p>
    <w:p>
      <w:pPr>
        <w:pStyle w:val="957"/>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rPr>
          <w:rFonts w:hint="eastAsia" w:ascii="黑体" w:hAnsi="黑体" w:eastAsia="黑体" w:cs="Times New Roman"/>
          <w:i/>
          <w:color w:val="000000"/>
          <w:sz w:val="32"/>
          <w:szCs w:val="32"/>
          <w:highlight w:val="none"/>
          <w:u w:val="single"/>
          <w:lang w:val="en-US" w:eastAsia="zh-CN"/>
        </w:rPr>
      </w:pPr>
      <w:r/>
      <w:bookmarkEnd w:id="194"/>
      <w:r/>
      <w:bookmarkEnd w:id="195"/>
      <w:r/>
      <w:bookmarkEnd w:id="196"/>
      <w:r/>
      <w:bookmarkStart w:id="199" w:name="_Toc120614284"/>
      <w:r>
        <w:rPr>
          <w:rFonts w:hint="eastAsia" w:ascii="黑体" w:hAnsi="黑体" w:eastAsia="黑体" w:cs="Times New Roman"/>
          <w:i/>
          <w:color w:val="000000"/>
          <w:sz w:val="32"/>
          <w:szCs w:val="32"/>
          <w:highlight w:val="none"/>
          <w:u w:val="single"/>
          <w:lang w:val="en-US" w:eastAsia="zh-CN"/>
        </w:rPr>
      </w:r>
      <w:r/>
    </w:p>
    <w:p>
      <w:pPr>
        <w:pStyle w:val="873"/>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3"/>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6"/>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73"/>
        <w:rPr>
          <w:rFonts w:hint="eastAsia"/>
          <w:color w:val="000000"/>
          <w:highlight w:val="none"/>
          <w:lang w:eastAsia="zh-CN"/>
        </w:rPr>
      </w:pPr>
      <w:r>
        <w:rPr>
          <w:rFonts w:hint="eastAsia"/>
          <w:color w:val="000000"/>
          <w:highlight w:val="none"/>
          <w:lang w:eastAsia="zh-CN"/>
        </w:rPr>
      </w:r>
      <w:r/>
    </w:p>
    <w:p>
      <w:pPr>
        <w:pStyle w:val="885"/>
        <w:rPr>
          <w:rFonts w:hint="eastAsia"/>
          <w:color w:val="000000"/>
          <w:highlight w:val="none"/>
          <w:lang w:eastAsia="zh-CN"/>
        </w:rPr>
      </w:pPr>
      <w:r>
        <w:rPr>
          <w:rFonts w:hint="eastAsia"/>
          <w:color w:val="000000"/>
          <w:highlight w:val="none"/>
          <w:lang w:eastAsia="zh-CN"/>
        </w:rPr>
      </w:r>
      <w:r/>
    </w:p>
    <w:p>
      <w:pPr>
        <w:pStyle w:val="873"/>
        <w:rPr>
          <w:rFonts w:hint="eastAsia"/>
          <w:color w:val="000000"/>
          <w:highlight w:val="none"/>
          <w:lang w:eastAsia="zh-CN"/>
        </w:rPr>
      </w:pPr>
      <w:r>
        <w:rPr>
          <w:rFonts w:hint="eastAsia"/>
          <w:color w:val="000000"/>
          <w:highlight w:val="none"/>
          <w:lang w:eastAsia="zh-CN"/>
        </w:rPr>
      </w:r>
      <w:r/>
    </w:p>
    <w:p>
      <w:pPr>
        <w:pStyle w:val="873"/>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6"/>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6"/>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6"/>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6"/>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6"/>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0" w:name="_格式3__银行出具的资信证明"/>
      <w:r/>
      <w:bookmarkEnd w:id="200"/>
      <w:r/>
      <w:bookmarkStart w:id="201" w:name="_Hlt26955070"/>
      <w:r/>
      <w:bookmarkEnd w:id="201"/>
      <w:r/>
      <w:bookmarkStart w:id="202" w:name="_Hlt26671380"/>
      <w:r/>
      <w:bookmarkEnd w:id="202"/>
      <w:r>
        <w:rPr>
          <w:rFonts w:hint="eastAsia"/>
          <w:color w:val="000000"/>
          <w:sz w:val="24"/>
          <w:szCs w:val="24"/>
          <w:highlight w:val="non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ind w:firstLine="0"/>
        <w:rPr>
          <w:rFonts w:hint="eastAsia"/>
          <w:color w:val="000000"/>
          <w:highlight w:val="none"/>
        </w:rPr>
      </w:pPr>
      <w:r>
        <w:rPr>
          <w:rFonts w:hint="eastAsia"/>
          <w:color w:val="000000"/>
          <w:highlight w:val="none"/>
        </w:rPr>
      </w:r>
      <w:r/>
    </w:p>
    <w:p>
      <w:pPr>
        <w:pStyle w:val="873"/>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7"/>
        <w:rPr>
          <w:rFonts w:hint="eastAsia" w:ascii="宋体" w:hAnsi="宋体"/>
          <w:bCs/>
          <w:color w:val="000000"/>
          <w:sz w:val="24"/>
          <w:highlight w:val="none"/>
        </w:rPr>
      </w:pPr>
      <w:r>
        <w:rPr>
          <w:rFonts w:hint="eastAsia" w:ascii="宋体" w:hAnsi="宋体"/>
          <w:bCs/>
          <w:color w:val="000000"/>
          <w:sz w:val="24"/>
          <w:highlight w:val="none"/>
        </w:rPr>
      </w:r>
      <w:r/>
    </w:p>
    <w:p>
      <w:pPr>
        <w:pStyle w:val="957"/>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3"/>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8"/>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8"/>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3"/>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3"/>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color w:val="000000"/>
          <w:highlight w:val="none"/>
        </w:rPr>
      </w:pPr>
      <w:r>
        <w:rPr>
          <w:rFonts w:hint="eastAsia"/>
          <w:color w:val="000000"/>
          <w:highlight w:val="none"/>
        </w:rPr>
      </w:r>
      <w:r/>
    </w:p>
    <w:p>
      <w:pPr>
        <w:pStyle w:val="873"/>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w:t>
      </w:r>
      <w:r>
        <w:rPr>
          <w:rFonts w:hint="eastAsia" w:ascii="宋体" w:hAnsi="宋体" w:eastAsia="宋体" w:cs="Times New Roman"/>
          <w:b/>
          <w:bCs/>
          <w:color w:val="000000"/>
          <w:sz w:val="24"/>
          <w:szCs w:val="24"/>
          <w:highlight w:val="none"/>
          <w:lang w:val="en-US" w:eastAsia="zh-CN"/>
        </w:rPr>
        <w:t xml:space="preserve">启动异常低价投标审查机制，投标人</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73"/>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3"/>
        <w:rPr>
          <w:rFonts w:hint="eastAsia"/>
          <w:color w:val="000000"/>
          <w:highlight w:val="none"/>
          <w:lang w:val="en-US" w:eastAsia="zh-CN"/>
        </w:rPr>
      </w:pPr>
      <w:r>
        <w:rPr>
          <w:rFonts w:hint="eastAsia"/>
          <w:color w:val="000000"/>
          <w:highlight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3"/>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3"/>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3"/>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2"/>
      <w:r/>
      <w:bookmarkEnd w:id="43"/>
      <w:r/>
      <w:bookmarkEnd w:id="199"/>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bookmarkStart w:id="203" w:name="_Hlt26955054"/>
      <w:r/>
      <w:bookmarkEnd w:id="203"/>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204" w:name="_Hlt26671372"/>
            <w:r/>
            <w:bookmarkEnd w:id="204"/>
            <w:r/>
            <w:bookmarkStart w:id="205" w:name="_Hlt26782999"/>
            <w:r/>
            <w:bookmarkEnd w:id="205"/>
            <w:r/>
            <w:bookmarkStart w:id="206" w:name="_Hlt24879081"/>
            <w:r/>
            <w:bookmarkEnd w:id="206"/>
            <w:r/>
            <w:bookmarkStart w:id="207" w:name="_Hlt26955056"/>
            <w:r/>
            <w:bookmarkEnd w:id="207"/>
            <w:r/>
            <w:bookmarkStart w:id="208" w:name="_Hlt26671343"/>
            <w:r/>
            <w:bookmarkEnd w:id="208"/>
            <w:r/>
            <w:bookmarkStart w:id="209" w:name="_Hlt26955064"/>
            <w:r/>
            <w:bookmarkEnd w:id="209"/>
            <w:r/>
            <w:bookmarkStart w:id="210" w:name="_Hlt26580838"/>
            <w:r/>
            <w:bookmarkEnd w:id="210"/>
            <w:r/>
            <w:bookmarkStart w:id="211" w:name="_Hlt26609391"/>
            <w:r/>
            <w:bookmarkEnd w:id="21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1"/>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3"/>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1"/>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3"/>
        <w:ind w:firstLine="480"/>
        <w:spacing w:line="480" w:lineRule="exact"/>
        <w:rPr>
          <w:rFonts w:ascii="宋体" w:hAnsi="宋体"/>
          <w:color w:val="000000"/>
          <w:sz w:val="24"/>
          <w:highlight w:val="none"/>
        </w:rPr>
      </w:pPr>
      <w:r>
        <w:rPr>
          <w:rFonts w:ascii="宋体" w:hAnsi="宋体"/>
          <w:color w:val="000000"/>
          <w:sz w:val="24"/>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3"/>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3"/>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3"/>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3"/>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3"/>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3"/>
        <w:rPr>
          <w:rFonts w:hint="eastAsia"/>
          <w:color w:val="000000"/>
          <w:highlight w:val="none"/>
        </w:rPr>
      </w:pPr>
      <w:r>
        <w:rPr>
          <w:rFonts w:hint="eastAsia"/>
          <w:color w:val="000000"/>
          <w:highlight w:val="none"/>
        </w:rPr>
      </w:r>
      <w:r/>
    </w:p>
    <w:p>
      <w:pPr>
        <w:pStyle w:val="873"/>
        <w:ind w:firstLine="645"/>
        <w:spacing w:line="560" w:lineRule="exact"/>
        <w:rPr>
          <w:rFonts w:ascii="宋体" w:hAnsi="宋体"/>
          <w:color w:val="000000"/>
          <w:sz w:val="24"/>
          <w:highlight w:val="none"/>
        </w:rPr>
      </w:pPr>
      <w:r>
        <w:rPr>
          <w:rFonts w:ascii="宋体" w:hAnsi="宋体"/>
          <w:color w:val="000000"/>
          <w:sz w:val="24"/>
          <w:highlight w:val="none"/>
        </w:rPr>
      </w:r>
      <w:r/>
    </w:p>
    <w:p>
      <w:pPr>
        <w:pStyle w:val="87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1"/>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951"/>
        <w:rPr>
          <w:rFonts w:hint="eastAsia"/>
          <w:color w:val="000000"/>
          <w:highlight w:val="none"/>
        </w:rPr>
      </w:pPr>
      <w:r>
        <w:rPr>
          <w:rFonts w:hint="eastAsia"/>
          <w:color w:val="000000"/>
          <w:highlight w:val="none"/>
        </w:rPr>
      </w:r>
      <w:r/>
    </w:p>
    <w:p>
      <w:pPr>
        <w:pStyle w:val="873"/>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873"/>
        <w:rPr>
          <w:rFonts w:hint="eastAsia"/>
          <w:color w:val="000000"/>
          <w:highlight w:val="none"/>
        </w:rPr>
      </w:pPr>
      <w:r>
        <w:rPr>
          <w:rFonts w:hint="eastAsia"/>
          <w:color w:val="000000"/>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zh-CN" w:eastAsia="zh-CN"/>
        </w:rPr>
      </w:pPr>
      <w:r>
        <w:rPr>
          <w:rFonts w:hint="eastAsia" w:ascii="方正小标宋简体" w:hAnsi="方正小标宋简体" w:eastAsia="方正小标宋简体" w:cs="方正小标宋简体"/>
          <w:b w:val="0"/>
          <w:bCs w:val="0"/>
          <w:color w:val="000000"/>
          <w:sz w:val="32"/>
          <w:szCs w:val="32"/>
          <w:highlight w:val="none"/>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highlight w:val="none"/>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873"/>
        <w:jc w:val="center"/>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7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7"/>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Char"/>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 w:val="32"/>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Char"/>
    <w:next w:val="893"/>
    <w:link w:val="892"/>
    <w:rPr>
      <w:rFonts w:ascii="Times New Roman" w:hAnsi="Times New Roman" w:eastAsia="宋体" w:cs="Times New Roman"/>
      <w:szCs w:val="21"/>
    </w:rPr>
  </w:style>
  <w:style w:type="character" w:styleId="894">
    <w:name w:val="标题 3 Char"/>
    <w:next w:val="894"/>
    <w:link w:val="876"/>
    <w:rPr>
      <w:rFonts w:ascii="Times New Roman" w:hAnsi="Times New Roman" w:eastAsia="宋体" w:cs="Times New Roman"/>
      <w:b/>
      <w:bCs/>
      <w:sz w:val="32"/>
      <w:szCs w:val="32"/>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引文目录标题"/>
    <w:basedOn w:val="873"/>
    <w:next w:val="873"/>
    <w:link w:val="873"/>
    <w:uiPriority w:val="99"/>
    <w:unhideWhenUsed/>
    <w:qFormat/>
    <w:pPr>
      <w:spacing w:before="120"/>
    </w:pPr>
    <w:rPr>
      <w:rFonts w:ascii="Cambria" w:hAnsi="Cambria"/>
      <w:sz w:val="24"/>
    </w:rPr>
  </w:style>
  <w:style w:type="paragraph" w:styleId="906">
    <w:name w:val="批注文字"/>
    <w:basedOn w:val="873"/>
    <w:next w:val="906"/>
    <w:link w:val="907"/>
    <w:semiHidden/>
    <w:pPr>
      <w:jc w:val="left"/>
    </w:pPr>
  </w:style>
  <w:style w:type="character" w:styleId="907">
    <w:name w:val="批注文字 Char"/>
    <w:next w:val="907"/>
    <w:link w:val="906"/>
    <w:semiHidden/>
    <w:rPr>
      <w:rFonts w:ascii="Times New Roman" w:hAnsi="Times New Roman" w:eastAsia="宋体" w:cs="Times New Roman"/>
      <w:szCs w:val="21"/>
    </w:rPr>
  </w:style>
  <w:style w:type="paragraph" w:styleId="908">
    <w:name w:val="正文文本 3"/>
    <w:basedOn w:val="873"/>
    <w:next w:val="908"/>
    <w:link w:val="909"/>
    <w:rPr>
      <w:rFonts w:ascii="仿宋_GB2312" w:hAnsi="Arial" w:eastAsia="仿宋_GB2312"/>
      <w:sz w:val="32"/>
      <w:szCs w:val="32"/>
    </w:rPr>
  </w:style>
  <w:style w:type="character" w:styleId="909">
    <w:name w:val="正文文本 3 Char"/>
    <w:next w:val="909"/>
    <w:link w:val="908"/>
    <w:rPr>
      <w:rFonts w:ascii="仿宋_GB2312" w:hAnsi="Arial" w:eastAsia="仿宋_GB2312" w:cs="Times New Roman"/>
      <w:sz w:val="32"/>
      <w:szCs w:val="32"/>
    </w:rPr>
  </w:style>
  <w:style w:type="paragraph" w:styleId="910">
    <w:name w:val="正文文本"/>
    <w:basedOn w:val="873"/>
    <w:next w:val="910"/>
    <w:link w:val="911"/>
    <w:rPr>
      <w:rFonts w:ascii="楷体_GB2312" w:hAnsi="Arial" w:eastAsia="楷体_GB2312"/>
      <w:sz w:val="28"/>
      <w:szCs w:val="28"/>
    </w:rPr>
  </w:style>
  <w:style w:type="character" w:styleId="911">
    <w:name w:val="正文文本 Char"/>
    <w:next w:val="911"/>
    <w:link w:val="910"/>
    <w:rPr>
      <w:rFonts w:ascii="楷体_GB2312" w:hAnsi="Arial" w:eastAsia="楷体_GB2312" w:cs="Times New Roman"/>
      <w:sz w:val="28"/>
      <w:szCs w:val="28"/>
    </w:rPr>
  </w:style>
  <w:style w:type="paragraph" w:styleId="912">
    <w:name w:val="列表 2"/>
    <w:basedOn w:val="873"/>
    <w:next w:val="912"/>
    <w:link w:val="873"/>
    <w:pPr>
      <w:ind w:left="100" w:hanging="200"/>
    </w:pPr>
  </w:style>
  <w:style w:type="paragraph" w:styleId="913">
    <w:name w:val="目录 5"/>
    <w:basedOn w:val="873"/>
    <w:next w:val="873"/>
    <w:link w:val="873"/>
    <w:semiHidden/>
    <w:pPr>
      <w:ind w:left="840"/>
      <w:jc w:val="left"/>
    </w:pPr>
  </w:style>
  <w:style w:type="paragraph" w:styleId="914">
    <w:name w:val="目录 3"/>
    <w:basedOn w:val="873"/>
    <w:next w:val="873"/>
    <w:link w:val="873"/>
    <w:semiHidden/>
    <w:pPr>
      <w:ind w:left="420"/>
      <w:jc w:val="left"/>
    </w:pPr>
    <w:rPr>
      <w:i/>
      <w:iCs/>
      <w:szCs w:val="24"/>
    </w:rPr>
  </w:style>
  <w:style w:type="paragraph" w:styleId="915">
    <w:name w:val="纯文本"/>
    <w:basedOn w:val="873"/>
    <w:next w:val="915"/>
    <w:link w:val="916"/>
    <w:rPr>
      <w:rFonts w:ascii="宋体" w:hAnsi="Courier New" w:cs="Courier New"/>
    </w:rPr>
  </w:style>
  <w:style w:type="character" w:styleId="916">
    <w:name w:val="纯文本 Char"/>
    <w:next w:val="916"/>
    <w:link w:val="915"/>
    <w:rPr>
      <w:rFonts w:ascii="宋体" w:hAnsi="Courier New" w:eastAsia="宋体" w:cs="Courier New"/>
      <w:szCs w:val="21"/>
    </w:rPr>
  </w:style>
  <w:style w:type="paragraph" w:styleId="917">
    <w:name w:val="目录 8"/>
    <w:basedOn w:val="873"/>
    <w:next w:val="873"/>
    <w:link w:val="873"/>
    <w:semiHidden/>
    <w:pPr>
      <w:ind w:left="1470"/>
      <w:jc w:val="left"/>
    </w:pPr>
  </w:style>
  <w:style w:type="paragraph" w:styleId="918">
    <w:name w:val="日期"/>
    <w:basedOn w:val="873"/>
    <w:next w:val="873"/>
    <w:link w:val="919"/>
    <w:rPr>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3"/>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3"/>
    <w:next w:val="922"/>
    <w:link w:val="923"/>
    <w:semiHidden/>
    <w:rPr>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3"/>
    <w:next w:val="924"/>
    <w:link w:val="925"/>
    <w:pPr>
      <w:jc w:val="left"/>
      <w:tabs>
        <w:tab w:val="center" w:pos="4153" w:leader="none"/>
        <w:tab w:val="right" w:pos="8306" w:leader="none"/>
      </w:tabs>
    </w:pPr>
    <w:rPr>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3"/>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9">
    <w:name w:val="目录 4"/>
    <w:basedOn w:val="873"/>
    <w:next w:val="873"/>
    <w:link w:val="873"/>
    <w:semiHidden/>
    <w:pPr>
      <w:ind w:left="630"/>
      <w:jc w:val="left"/>
    </w:pPr>
  </w:style>
  <w:style w:type="paragraph" w:styleId="930">
    <w:name w:val="列表"/>
    <w:basedOn w:val="873"/>
    <w:next w:val="930"/>
    <w:link w:val="873"/>
    <w:pPr>
      <w:ind w:left="200" w:hanging="200"/>
    </w:pPr>
  </w:style>
  <w:style w:type="paragraph" w:styleId="931">
    <w:name w:val="目录 6"/>
    <w:basedOn w:val="873"/>
    <w:next w:val="873"/>
    <w:link w:val="873"/>
    <w:semiHidden/>
    <w:pPr>
      <w:ind w:left="1050"/>
      <w:jc w:val="left"/>
    </w:pPr>
  </w:style>
  <w:style w:type="paragraph" w:styleId="932">
    <w:name w:val="正文文本缩进 3"/>
    <w:basedOn w:val="873"/>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3"/>
    <w:next w:val="873"/>
    <w:link w:val="873"/>
    <w:semiHidden/>
    <w:pPr>
      <w:ind w:left="840" w:hanging="420"/>
    </w:pPr>
  </w:style>
  <w:style w:type="paragraph" w:styleId="935">
    <w:name w:val="目录 2"/>
    <w:basedOn w:val="873"/>
    <w:next w:val="873"/>
    <w:link w:val="873"/>
    <w:semiHidden/>
    <w:pPr>
      <w:ind w:left="210"/>
      <w:jc w:val="left"/>
    </w:pPr>
    <w:rPr>
      <w:smallCaps/>
      <w:szCs w:val="24"/>
    </w:rPr>
  </w:style>
  <w:style w:type="paragraph" w:styleId="936">
    <w:name w:val="目录 9"/>
    <w:basedOn w:val="873"/>
    <w:next w:val="873"/>
    <w:link w:val="873"/>
    <w:semiHidden/>
    <w:pPr>
      <w:ind w:left="1680"/>
      <w:jc w:val="left"/>
    </w:pPr>
  </w:style>
  <w:style w:type="paragraph" w:styleId="937">
    <w:name w:val="正文文本 2"/>
    <w:basedOn w:val="873"/>
    <w:next w:val="937"/>
    <w:link w:val="938"/>
    <w:pPr>
      <w:jc w:val="center"/>
      <w:widowControl/>
    </w:pPr>
    <w:rPr>
      <w:rFonts w:ascii="楷体_GB2312" w:eastAsia="楷体_GB2312"/>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3"/>
    <w:next w:val="939"/>
    <w:link w:val="873"/>
    <w:uiPriority w:val="99"/>
    <w:pPr>
      <w:jc w:val="left"/>
      <w:spacing w:before="100" w:beforeAutospacing="1" w:after="100" w:afterAutospacing="1"/>
      <w:widowControl/>
    </w:pPr>
    <w:rPr>
      <w:rFonts w:ascii="宋体" w:hAnsi="宋体" w:cs="宋体"/>
      <w:sz w:val="24"/>
      <w:szCs w:val="24"/>
    </w:rPr>
  </w:style>
  <w:style w:type="paragraph" w:styleId="940">
    <w:name w:val="索引 1"/>
    <w:basedOn w:val="873"/>
    <w:next w:val="873"/>
    <w:link w:val="873"/>
    <w:semiHidden/>
    <w:pPr>
      <w:spacing w:line="240" w:lineRule="atLeast"/>
    </w:pPr>
    <w:rPr>
      <w:b/>
      <w:bCs/>
    </w:rPr>
  </w:style>
  <w:style w:type="paragraph" w:styleId="941">
    <w:name w:val="批注主题"/>
    <w:basedOn w:val="906"/>
    <w:next w:val="906"/>
    <w:link w:val="942"/>
    <w:semiHidden/>
    <w:rPr>
      <w:b/>
      <w:bCs/>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873"/>
    <w:next w:val="943"/>
    <w:link w:val="944"/>
    <w:pPr>
      <w:ind w:firstLine="200"/>
      <w:spacing w:line="360" w:lineRule="auto"/>
    </w:pPr>
    <w:rPr>
      <w:rFonts w:ascii="仿宋_GB2312" w:eastAsia="仿宋_GB2312"/>
      <w:sz w:val="30"/>
      <w:szCs w:val="30"/>
    </w:rPr>
  </w:style>
  <w:style w:type="character" w:styleId="944">
    <w:name w:val="正文首行缩进 Char"/>
    <w:next w:val="944"/>
    <w:link w:val="943"/>
    <w:rPr>
      <w:rFonts w:ascii="仿宋_GB2312" w:hAnsi="Times New Roman" w:eastAsia="仿宋_GB2312" w:cs="Times New Roman"/>
      <w:sz w:val="30"/>
      <w:szCs w:val="3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首行缩进 21"/>
    <w:basedOn w:val="953"/>
    <w:next w:val="873"/>
    <w:link w:val="873"/>
    <w:qFormat/>
    <w:pPr>
      <w:ind w:firstLine="420"/>
      <w:spacing w:line="360" w:lineRule="auto"/>
    </w:pPr>
    <w:rPr>
      <w:rFonts w:ascii="宋体" w:hAnsi="宋体" w:eastAsia="宋体"/>
      <w:sz w:val="21"/>
      <w:szCs w:val="20"/>
    </w:rPr>
  </w:style>
  <w:style w:type="paragraph" w:styleId="953">
    <w:name w:val="正文文本缩进11"/>
    <w:basedOn w:val="873"/>
    <w:next w:val="954"/>
    <w:link w:val="873"/>
    <w:qFormat/>
    <w:pPr>
      <w:ind w:firstLine="645"/>
    </w:pPr>
    <w:rPr>
      <w:rFonts w:ascii="楷体_GB2312" w:eastAsia="楷体_GB2312"/>
      <w:sz w:val="32"/>
      <w:szCs w:val="32"/>
    </w:rPr>
  </w:style>
  <w:style w:type="paragraph" w:styleId="954">
    <w:name w:val="寄信人地址1"/>
    <w:basedOn w:val="873"/>
    <w:next w:val="954"/>
    <w:link w:val="873"/>
    <w:qFormat/>
    <w:rPr>
      <w:rFonts w:ascii="Arial" w:hAnsi="Arial" w:eastAsia="宋体" w:cs="宋体"/>
    </w:rPr>
  </w:style>
  <w:style w:type="paragraph" w:styleId="955">
    <w:name w:val="标题 41"/>
    <w:basedOn w:val="873"/>
    <w:next w:val="956"/>
    <w:link w:val="873"/>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3"/>
    <w:next w:val="956"/>
    <w:link w:val="873"/>
    <w:qFormat/>
    <w:pPr>
      <w:ind w:firstLine="420"/>
    </w:pPr>
  </w:style>
  <w:style w:type="paragraph" w:styleId="957">
    <w:name w:val="正文文本12"/>
    <w:basedOn w:val="873"/>
    <w:next w:val="957"/>
    <w:link w:val="873"/>
    <w:uiPriority w:val="1"/>
    <w:qFormat/>
    <w:pPr>
      <w:ind w:left="120"/>
    </w:pPr>
    <w:rPr>
      <w:rFonts w:ascii="宋体" w:hAnsi="宋体" w:eastAsia="宋体" w:cs="宋体"/>
      <w:sz w:val="21"/>
      <w:szCs w:val="21"/>
      <w:lang w:val="zh-CN" w:eastAsia="zh-CN" w:bidi="zh-CN"/>
    </w:rPr>
  </w:style>
  <w:style w:type="character" w:styleId="958">
    <w:name w:val="font5 Char"/>
    <w:next w:val="958"/>
    <w:link w:val="873"/>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3"/>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3"/>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3"/>
    <w:next w:val="910"/>
    <w:link w:val="873"/>
    <w:pPr>
      <w:spacing w:after="120"/>
    </w:pPr>
    <w:rPr>
      <w:rFonts w:ascii="宋体" w:hAnsi="Arial"/>
      <w:bCs/>
      <w:iCs/>
      <w:szCs w:val="24"/>
    </w:rPr>
  </w:style>
  <w:style w:type="paragraph" w:styleId="964">
    <w:name w:val="xl27"/>
    <w:basedOn w:val="873"/>
    <w:next w:val="96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3"/>
    <w:next w:val="965"/>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3"/>
    <w:next w:val="966"/>
    <w:link w:val="873"/>
    <w:pPr>
      <w:ind w:firstLine="200"/>
      <w:tabs>
        <w:tab w:val="left" w:pos="360" w:leader="none"/>
      </w:tabs>
    </w:pPr>
    <w:rPr>
      <w:sz w:val="28"/>
      <w:szCs w:val="30"/>
    </w:rPr>
  </w:style>
  <w:style w:type="paragraph" w:styleId="967">
    <w:name w:val=" Char"/>
    <w:basedOn w:val="903"/>
    <w:next w:val="967"/>
    <w:link w:val="873"/>
    <w:rPr>
      <w:rFonts w:ascii="Tahoma" w:hAnsi="Tahoma"/>
      <w:sz w:val="24"/>
      <w:szCs w:val="24"/>
    </w:rPr>
  </w:style>
  <w:style w:type="paragraph" w:styleId="968">
    <w:name w:val="普通正文"/>
    <w:basedOn w:val="873"/>
    <w:next w:val="968"/>
    <w:link w:val="873"/>
    <w:pPr>
      <w:ind w:firstLine="480"/>
      <w:jc w:val="left"/>
      <w:spacing w:before="120" w:after="120" w:line="360" w:lineRule="auto"/>
    </w:pPr>
    <w:rPr>
      <w:rFonts w:ascii="Arial" w:hAnsi="Arial"/>
      <w:sz w:val="24"/>
      <w:szCs w:val="24"/>
    </w:rPr>
  </w:style>
  <w:style w:type="paragraph" w:styleId="969">
    <w:name w:val="table_lines"/>
    <w:basedOn w:val="873"/>
    <w:next w:val="969"/>
    <w:link w:val="873"/>
    <w:pPr>
      <w:jc w:val="left"/>
      <w:widowControl/>
    </w:pPr>
    <w:rPr>
      <w:sz w:val="20"/>
      <w:szCs w:val="20"/>
      <w:lang w:val="de-DE" w:eastAsia="de-DE"/>
    </w:rPr>
  </w:style>
  <w:style w:type="paragraph" w:styleId="970">
    <w:name w:val="附录1"/>
    <w:next w:val="970"/>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3"/>
    <w:next w:val="971"/>
    <w:link w:val="873"/>
    <w:pPr>
      <w:jc w:val="left"/>
      <w:spacing w:before="100" w:beforeAutospacing="1" w:after="100" w:afterAutospacing="1"/>
      <w:widowControl/>
    </w:pPr>
    <w:rPr>
      <w:rFonts w:hint="eastAsia" w:ascii="宋体" w:hAnsi="宋体"/>
      <w:sz w:val="18"/>
      <w:szCs w:val="18"/>
    </w:rPr>
  </w:style>
  <w:style w:type="paragraph" w:styleId="972">
    <w:name w:val=" Char Char Char Char"/>
    <w:basedOn w:val="903"/>
    <w:next w:val="972"/>
    <w:link w:val="873"/>
    <w:pPr>
      <w:spacing w:line="360" w:lineRule="auto"/>
    </w:pPr>
    <w:rPr>
      <w:rFonts w:ascii="Tahoma" w:hAnsi="Tahoma"/>
      <w:sz w:val="24"/>
      <w:szCs w:val="24"/>
    </w:rPr>
  </w:style>
  <w:style w:type="paragraph" w:styleId="973">
    <w:name w:val="列出段落"/>
    <w:basedOn w:val="873"/>
    <w:next w:val="973"/>
    <w:link w:val="873"/>
    <w:qFormat/>
    <w:pPr>
      <w:contextualSpacing/>
      <w:ind w:left="720"/>
      <w:jc w:val="left"/>
      <w:widowControl/>
    </w:pPr>
    <w:rPr>
      <w:rFonts w:ascii="Calibri" w:hAnsi="Calibri"/>
      <w:sz w:val="24"/>
      <w:szCs w:val="24"/>
      <w:lang w:eastAsia="en-US" w:bidi="en-US"/>
    </w:rPr>
  </w:style>
  <w:style w:type="paragraph" w:styleId="974">
    <w:name w:val="4"/>
    <w:basedOn w:val="873"/>
    <w:next w:val="932"/>
    <w:link w:val="873"/>
    <w:pPr>
      <w:ind w:firstLine="420"/>
      <w:spacing w:line="360" w:lineRule="auto"/>
    </w:pPr>
    <w:rPr>
      <w:color w:val="ff0000"/>
      <w:sz w:val="24"/>
      <w:szCs w:val="24"/>
    </w:rPr>
  </w:style>
  <w:style w:type="paragraph" w:styleId="975">
    <w:name w:val="普通 (Web)"/>
    <w:basedOn w:val="873"/>
    <w:next w:val="975"/>
    <w:link w:val="873"/>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3"/>
    <w:next w:val="976"/>
    <w:link w:val="873"/>
    <w:pPr>
      <w:spacing w:line="360" w:lineRule="auto"/>
    </w:pPr>
    <w:rPr>
      <w:sz w:val="24"/>
      <w:szCs w:val="20"/>
    </w:rPr>
  </w:style>
  <w:style w:type="paragraph" w:styleId="977">
    <w:name w:val="样式1"/>
    <w:basedOn w:val="873"/>
    <w:next w:val="977"/>
    <w:link w:val="873"/>
    <w:pPr>
      <w:numPr>
        <w:ilvl w:val="0"/>
        <w:numId w:val="3"/>
      </w:numPr>
      <w:tabs>
        <w:tab w:val="left" w:pos="709" w:leader="none"/>
      </w:tabs>
    </w:pPr>
    <w:rPr>
      <w:rFonts w:ascii="宋体" w:hAnsi="宋体"/>
    </w:rPr>
  </w:style>
  <w:style w:type="paragraph" w:styleId="978">
    <w:name w:val="font6"/>
    <w:basedOn w:val="873"/>
    <w:next w:val="978"/>
    <w:link w:val="873"/>
    <w:pPr>
      <w:jc w:val="left"/>
      <w:spacing w:before="100" w:beforeAutospacing="1" w:after="100" w:afterAutospacing="1"/>
      <w:widowControl/>
    </w:pPr>
    <w:rPr>
      <w:rFonts w:hint="eastAsia" w:ascii="宋体" w:hAnsi="宋体"/>
      <w:sz w:val="28"/>
      <w:szCs w:val="28"/>
      <w:u w:val="single"/>
    </w:rPr>
  </w:style>
  <w:style w:type="paragraph" w:styleId="979">
    <w:name w:val="xl25"/>
    <w:basedOn w:val="873"/>
    <w:next w:val="979"/>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3"/>
    <w:next w:val="873"/>
    <w:link w:val="873"/>
    <w:pPr>
      <w:ind w:firstLine="624"/>
      <w:spacing w:line="590" w:lineRule="atLeast"/>
    </w:pPr>
    <w:rPr>
      <w:rFonts w:ascii="方正黑体_GBK" w:eastAsia="方正黑体_GBK"/>
      <w:sz w:val="32"/>
      <w:szCs w:val="32"/>
    </w:rPr>
  </w:style>
  <w:style w:type="paragraph" w:styleId="982">
    <w:name w:val="xl24"/>
    <w:basedOn w:val="873"/>
    <w:next w:val="98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3"/>
    <w:next w:val="983"/>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3"/>
    <w:next w:val="984"/>
    <w:link w:val="873"/>
    <w:pPr>
      <w:jc w:val="left"/>
      <w:spacing w:after="160" w:line="240" w:lineRule="exact"/>
      <w:widowControl/>
    </w:pPr>
    <w:rPr>
      <w:rFonts w:ascii="Verdana" w:hAnsi="Verdana"/>
      <w:sz w:val="20"/>
      <w:szCs w:val="20"/>
      <w:lang w:eastAsia="en-US"/>
    </w:rPr>
  </w:style>
  <w:style w:type="paragraph" w:styleId="985">
    <w:name w:val="xl28"/>
    <w:basedOn w:val="873"/>
    <w:next w:val="985"/>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3"/>
    <w:next w:val="986"/>
    <w:link w:val="873"/>
    <w:pPr>
      <w:jc w:val="left"/>
      <w:spacing w:after="160" w:line="240" w:lineRule="exact"/>
      <w:widowControl/>
    </w:pPr>
    <w:rPr>
      <w:rFonts w:ascii="Verdana" w:hAnsi="Verdana"/>
      <w:sz w:val="20"/>
      <w:szCs w:val="20"/>
      <w:lang w:eastAsia="en-US"/>
    </w:rPr>
  </w:style>
  <w:style w:type="paragraph" w:styleId="987">
    <w:name w:val="xl30"/>
    <w:basedOn w:val="873"/>
    <w:next w:val="987"/>
    <w:link w:val="873"/>
    <w:pPr>
      <w:jc w:val="center"/>
      <w:spacing w:before="100" w:beforeAutospacing="1" w:after="100" w:afterAutospacing="1"/>
      <w:widowControl/>
    </w:pPr>
    <w:rPr>
      <w:rFonts w:ascii="宋体" w:hAnsi="宋体"/>
      <w:b/>
      <w:bCs/>
      <w:sz w:val="36"/>
      <w:szCs w:val="36"/>
    </w:rPr>
  </w:style>
  <w:style w:type="paragraph" w:styleId="988">
    <w:name w:val="Char Char Char Char"/>
    <w:basedOn w:val="903"/>
    <w:next w:val="988"/>
    <w:link w:val="873"/>
    <w:pPr>
      <w:spacing w:line="360" w:lineRule="auto"/>
    </w:pPr>
    <w:rPr>
      <w:rFonts w:ascii="Tahoma" w:hAnsi="Tahoma"/>
      <w:sz w:val="24"/>
      <w:szCs w:val="24"/>
    </w:rPr>
  </w:style>
  <w:style w:type="paragraph" w:styleId="989">
    <w:name w:val="table_1stline"/>
    <w:basedOn w:val="873"/>
    <w:next w:val="989"/>
    <w:link w:val="873"/>
    <w:pPr>
      <w:jc w:val="left"/>
      <w:spacing w:before="120"/>
      <w:widowControl/>
    </w:pPr>
    <w:rPr>
      <w:bCs/>
      <w:sz w:val="20"/>
      <w:szCs w:val="20"/>
      <w:lang w:val="de-DE" w:eastAsia="de-DE"/>
    </w:rPr>
  </w:style>
  <w:style w:type="paragraph" w:styleId="990">
    <w:name w:val="font5"/>
    <w:basedOn w:val="873"/>
    <w:next w:val="990"/>
    <w:link w:val="873"/>
    <w:pPr>
      <w:jc w:val="left"/>
      <w:spacing w:before="100" w:beforeAutospacing="1" w:after="100" w:afterAutospacing="1"/>
      <w:widowControl/>
    </w:pPr>
    <w:rPr>
      <w:rFonts w:hint="eastAsia" w:ascii="宋体" w:hAnsi="宋体"/>
      <w:sz w:val="28"/>
      <w:szCs w:val="28"/>
    </w:rPr>
  </w:style>
  <w:style w:type="paragraph" w:styleId="991">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3"/>
    <w:uiPriority w:val="99"/>
    <w:semiHidden/>
    <w:rPr>
      <w:rFonts w:ascii="Times New Roman" w:hAnsi="Times New Roman"/>
      <w:sz w:val="21"/>
      <w:szCs w:val="21"/>
      <w:lang w:val="en-US" w:eastAsia="zh-CN" w:bidi="ar-SA"/>
    </w:rPr>
  </w:style>
  <w:style w:type="paragraph" w:styleId="993">
    <w:name w:val="无间隔"/>
    <w:next w:val="993"/>
    <w:link w:val="873"/>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3"/>
    <w:next w:val="994"/>
    <w:link w:val="873"/>
    <w:uiPriority w:val="99"/>
    <w:qFormat/>
    <w:pPr>
      <w:jc w:val="center"/>
    </w:pPr>
    <w:rPr>
      <w:b/>
      <w:bCs/>
      <w:sz w:val="20"/>
      <w:szCs w:val="20"/>
    </w:rPr>
  </w:style>
  <w:style w:type="table" w:styleId="995">
    <w:name w:val="Table Normal"/>
    <w:next w:val="995"/>
    <w:link w:val="873"/>
    <w:qFormat/>
    <w:tblPr/>
  </w:style>
  <w:style w:type="paragraph" w:styleId="996">
    <w:name w:val="正文文本1"/>
    <w:basedOn w:val="873"/>
    <w:next w:val="873"/>
    <w:link w:val="873"/>
    <w:semiHidden/>
    <w:qFormat/>
    <w:rPr>
      <w:rFonts w:ascii="Arial" w:hAnsi="Arial" w:eastAsia="Arial" w:cs="Arial"/>
      <w:sz w:val="21"/>
      <w:szCs w:val="21"/>
      <w:lang w:val="en-US" w:eastAsia="en-US" w:bidi="ar-SA"/>
    </w:rPr>
  </w:style>
  <w:style w:type="paragraph" w:styleId="997">
    <w:name w:val="纯文本1"/>
    <w:basedOn w:val="873"/>
    <w:next w:val="997"/>
    <w:link w:val="873"/>
    <w:qFormat/>
    <w:rPr>
      <w:rFonts w:ascii="宋体" w:hAnsi="Courier New" w:cs="Courier New"/>
    </w:rPr>
  </w:style>
  <w:style w:type="table" w:styleId="998">
    <w:name w:val="网格型1"/>
    <w:basedOn w:val="999"/>
    <w:next w:val="998"/>
    <w:link w:val="873"/>
    <w:qFormat/>
    <w:pPr>
      <w:jc w:val="both"/>
      <w:widowControl w:val="off"/>
    </w:pPr>
    <w:tblPr/>
  </w:style>
  <w:style w:type="table" w:styleId="999">
    <w:name w:val="普通表格1"/>
    <w:next w:val="999"/>
    <w:link w:val="873"/>
    <w:uiPriority w:val="99"/>
    <w:unhideWhenUsed/>
    <w:qFormat/>
    <w:tbl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5</cp:revision>
  <dcterms:created xsi:type="dcterms:W3CDTF">2023-03-16T02:16:00Z</dcterms:created>
  <dcterms:modified xsi:type="dcterms:W3CDTF">2025-12-26T09:49:39Z</dcterms:modified>
</cp:coreProperties>
</file>