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6"/>
        <w:jc w:val="both"/>
        <w:keepLines w:val="0"/>
        <w:keepNext w:val="0"/>
        <w:pageBreakBefore w:val="0"/>
        <w:spacing w:line="240" w:lineRule="auto"/>
        <w:widowControl w:val="off"/>
        <w:rPr>
          <w:rFonts w:hint="eastAsia" w:ascii="宋体" w:hAnsi="宋体" w:eastAsia="宋体"/>
          <w:b/>
          <w:bCs/>
          <w:color w:val="000000"/>
          <w:spacing w:val="80"/>
          <w:sz w:val="64"/>
          <w:szCs w:val="24"/>
          <w:highlight w:val="none"/>
          <w:lang w:eastAsia="zh-CN"/>
        </w:rPr>
      </w:pPr>
      <w:r>
        <w:rPr>
          <w:rFonts w:hint="eastAsia" w:ascii="宋体" w:hAnsi="宋体" w:eastAsia="宋体"/>
          <w:b/>
          <w:bCs/>
          <w:color w:val="000000"/>
          <w:spacing w:val="80"/>
          <w:sz w:val="64"/>
          <w:szCs w:val="24"/>
          <w:highlight w:val="none"/>
          <w:lang w:eastAsia="zh-CN"/>
        </w:rPr>
        <mc:AlternateContent>
          <mc:Choice Requires="wpg">
            <w:drawing>
              <wp:inline xmlns:wp="http://schemas.openxmlformats.org/drawingml/2006/wordprocessingDrawing" distT="0" distB="0" distL="0" distR="0">
                <wp:extent cx="6083872" cy="842137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rcRect l="301" t="838" r="259" b="837"/>
                        <a:stretch/>
                      </pic:blipFill>
                      <pic:spPr bwMode="auto">
                        <a:xfrm>
                          <a:off x="0" y="0"/>
                          <a:ext cx="6083872" cy="8421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9.0pt;height:663.1pt;mso-wrap-distance-left:0.0pt;mso-wrap-distance-top:0.0pt;mso-wrap-distance-right:0.0pt;mso-wrap-distance-bottom:0.0pt;" stroked="f">
                <v:path textboxrect="0,0,0,0"/>
                <v:imagedata r:id="rId11" o:title=""/>
              </v:shape>
            </w:pict>
          </mc:Fallback>
        </mc:AlternateContent>
      </w:r>
      <w:r>
        <w:rPr>
          <w:rFonts w:hint="eastAsia" w:ascii="宋体" w:hAnsi="宋体" w:eastAsia="宋体"/>
          <w:b/>
          <w:bCs/>
          <w:color w:val="000000"/>
          <w:spacing w:val="80"/>
          <w:sz w:val="64"/>
          <w:szCs w:val="24"/>
          <w:highlight w:val="none"/>
          <w:lang w:eastAsia="zh-CN"/>
        </w:rPr>
      </w:r>
      <w:r/>
    </w:p>
    <w:p>
      <w:pPr>
        <w:pStyle w:val="856"/>
        <w:jc w:val="center"/>
        <w:spacing w:line="720" w:lineRule="exact"/>
        <w:rPr>
          <w:rFonts w:hint="eastAsia" w:ascii="宋体" w:hAnsi="宋体"/>
          <w:b/>
          <w:bCs/>
          <w:color w:val="000000"/>
          <w:spacing w:val="80"/>
          <w:sz w:val="64"/>
          <w:szCs w:val="24"/>
          <w:highlight w:val="none"/>
        </w:rPr>
      </w:pPr>
      <w:r>
        <w:rPr>
          <w:rFonts w:hint="eastAsia" w:ascii="宋体" w:hAnsi="宋体"/>
          <w:b/>
          <w:bCs/>
          <w:color w:val="000000"/>
          <w:spacing w:val="80"/>
          <w:sz w:val="64"/>
          <w:szCs w:val="24"/>
          <w:highlight w:val="none"/>
        </w:rPr>
        <w:br w:type="page" w:clear="all"/>
      </w:r>
      <w:r>
        <w:rPr>
          <w:rFonts w:hint="eastAsia" w:ascii="宋体" w:hAnsi="宋体"/>
          <w:b/>
          <w:bCs/>
          <w:color w:val="000000"/>
          <w:spacing w:val="80"/>
          <w:sz w:val="64"/>
          <w:szCs w:val="24"/>
          <w:highlight w:val="none"/>
        </w:rPr>
      </w:r>
      <w:r/>
    </w:p>
    <w:p>
      <w:pPr>
        <w:pStyle w:val="856"/>
        <w:jc w:val="center"/>
        <w:spacing w:line="720" w:lineRule="exact"/>
        <w:rPr>
          <w:rFonts w:ascii="宋体" w:hAnsi="宋体"/>
          <w:color w:val="000000"/>
          <w:sz w:val="56"/>
          <w:szCs w:val="24"/>
          <w:highlight w:val="none"/>
        </w:rPr>
      </w:pPr>
      <w:r>
        <w:rPr>
          <w:rFonts w:hint="eastAsia" w:ascii="宋体" w:hAnsi="宋体"/>
          <w:b/>
          <w:bCs/>
          <w:color w:val="000000"/>
          <w:spacing w:val="80"/>
          <w:sz w:val="64"/>
          <w:szCs w:val="24"/>
          <w:highlight w:val="none"/>
        </w:rPr>
        <w:t xml:space="preserve">江苏省政府采购</w:t>
      </w:r>
      <w:r>
        <w:rPr>
          <w:rFonts w:ascii="宋体" w:hAnsi="宋体"/>
          <w:color w:val="000000"/>
          <w:sz w:val="56"/>
          <w:szCs w:val="24"/>
          <w:highlight w:val="none"/>
        </w:rPr>
      </w:r>
      <w:r/>
    </w:p>
    <w:p>
      <w:pPr>
        <w:pStyle w:val="856"/>
        <w:jc w:val="center"/>
        <w:spacing w:line="720" w:lineRule="exact"/>
        <w:rPr>
          <w:rFonts w:ascii="宋体" w:hAnsi="宋体"/>
          <w:color w:val="000000"/>
          <w:sz w:val="52"/>
          <w:szCs w:val="24"/>
          <w:highlight w:val="none"/>
        </w:rPr>
      </w:pPr>
      <w:r>
        <w:rPr>
          <w:rFonts w:ascii="宋体" w:hAnsi="宋体"/>
          <w:color w:val="000000"/>
          <w:sz w:val="52"/>
          <w:szCs w:val="24"/>
          <w:highlight w:val="none"/>
        </w:rPr>
      </w:r>
      <w:r/>
    </w:p>
    <w:p>
      <w:pPr>
        <w:pStyle w:val="856"/>
        <w:jc w:val="center"/>
        <w:spacing w:line="360" w:lineRule="auto"/>
        <w:rPr>
          <w:rFonts w:ascii="宋体" w:hAnsi="宋体"/>
          <w:b/>
          <w:bCs/>
          <w:color w:val="000000"/>
          <w:spacing w:val="80"/>
          <w:sz w:val="72"/>
          <w:szCs w:val="72"/>
          <w:highlight w:val="none"/>
        </w:rPr>
      </w:pPr>
      <w:r>
        <w:rPr>
          <w:rFonts w:hint="eastAsia" w:ascii="宋体" w:hAnsi="宋体"/>
          <w:b/>
          <w:bCs/>
          <w:color w:val="000000"/>
          <w:spacing w:val="80"/>
          <w:sz w:val="72"/>
          <w:szCs w:val="72"/>
          <w:highlight w:val="none"/>
        </w:rPr>
        <w:t xml:space="preserve">招标文件</w:t>
      </w:r>
      <w:r>
        <w:rPr>
          <w:rFonts w:ascii="宋体" w:hAnsi="宋体"/>
          <w:b/>
          <w:bCs/>
          <w:color w:val="000000"/>
          <w:spacing w:val="80"/>
          <w:sz w:val="72"/>
          <w:szCs w:val="72"/>
          <w:highlight w:val="none"/>
        </w:rPr>
      </w:r>
      <w:r/>
    </w:p>
    <w:p>
      <w:pPr>
        <w:pStyle w:val="856"/>
        <w:jc w:val="center"/>
        <w:spacing w:line="720" w:lineRule="exact"/>
        <w:rPr>
          <w:rFonts w:ascii="宋体" w:hAnsi="宋体"/>
          <w:color w:val="000000"/>
          <w:sz w:val="52"/>
          <w:szCs w:val="24"/>
          <w:highlight w:val="none"/>
        </w:rPr>
      </w:pPr>
      <w:r>
        <w:rPr>
          <w:rFonts w:ascii="宋体" w:hAnsi="宋体"/>
          <w:color w:val="000000"/>
          <w:sz w:val="52"/>
          <w:szCs w:val="24"/>
          <w:highlight w:val="none"/>
        </w:rPr>
      </w:r>
      <w:r/>
    </w:p>
    <w:p>
      <w:pPr>
        <w:pStyle w:val="856"/>
        <w:jc w:val="center"/>
        <w:spacing w:line="720" w:lineRule="exact"/>
        <w:rPr>
          <w:rFonts w:hint="eastAsia" w:ascii="宋体" w:hAnsi="宋体"/>
          <w:color w:val="000000"/>
          <w:sz w:val="72"/>
          <w:szCs w:val="24"/>
          <w:highlight w:val="none"/>
        </w:rPr>
      </w:pPr>
      <w:r>
        <w:rPr>
          <w:rFonts w:hint="eastAsia" w:ascii="宋体" w:hAnsi="宋体"/>
          <w:color w:val="000000"/>
          <w:sz w:val="72"/>
          <w:szCs w:val="24"/>
          <w:highlight w:val="none"/>
        </w:rPr>
      </w:r>
      <w:r/>
    </w:p>
    <w:p>
      <w:pPr>
        <w:pStyle w:val="856"/>
        <w:jc w:val="center"/>
        <w:spacing w:line="720" w:lineRule="exact"/>
        <w:rPr>
          <w:rFonts w:hint="eastAsia" w:ascii="宋体" w:hAnsi="宋体"/>
          <w:color w:val="000000"/>
          <w:sz w:val="72"/>
          <w:szCs w:val="24"/>
          <w:highlight w:val="none"/>
        </w:rPr>
      </w:pPr>
      <w:r>
        <w:rPr>
          <w:rFonts w:hint="eastAsia" w:ascii="宋体" w:hAnsi="宋体"/>
          <w:color w:val="000000"/>
          <w:sz w:val="72"/>
          <w:szCs w:val="24"/>
          <w:highlight w:val="none"/>
        </w:rPr>
      </w:r>
      <w:r/>
    </w:p>
    <w:p>
      <w:pPr>
        <w:pStyle w:val="856"/>
        <w:jc w:val="center"/>
        <w:spacing w:line="720" w:lineRule="exact"/>
        <w:rPr>
          <w:rFonts w:ascii="宋体" w:hAnsi="宋体"/>
          <w:color w:val="000000"/>
          <w:sz w:val="70"/>
          <w:szCs w:val="24"/>
          <w:highlight w:val="none"/>
        </w:rPr>
      </w:pPr>
      <w:r>
        <w:rPr>
          <w:rFonts w:ascii="宋体" w:hAnsi="宋体"/>
          <w:color w:val="000000"/>
          <w:sz w:val="70"/>
          <w:szCs w:val="24"/>
          <w:highlight w:val="none"/>
        </w:rPr>
      </w:r>
      <w:r/>
    </w:p>
    <w:p>
      <w:pPr>
        <w:pStyle w:val="856"/>
        <w:jc w:val="center"/>
        <w:spacing w:line="720" w:lineRule="exact"/>
        <w:rPr>
          <w:rFonts w:ascii="宋体" w:hAnsi="宋体"/>
          <w:color w:val="000000"/>
          <w:sz w:val="70"/>
          <w:szCs w:val="24"/>
          <w:highlight w:val="none"/>
        </w:rPr>
      </w:pPr>
      <w:r>
        <w:rPr>
          <w:rFonts w:ascii="宋体" w:hAnsi="宋体"/>
          <w:color w:val="000000"/>
          <w:sz w:val="70"/>
          <w:szCs w:val="24"/>
          <w:highlight w:val="none"/>
        </w:rPr>
      </w:r>
      <w:r/>
    </w:p>
    <w:p>
      <w:pPr>
        <w:pStyle w:val="856"/>
        <w:jc w:val="center"/>
        <w:spacing w:line="720" w:lineRule="exact"/>
        <w:rPr>
          <w:rFonts w:ascii="宋体" w:hAnsi="宋体"/>
          <w:color w:val="000000"/>
          <w:sz w:val="70"/>
          <w:szCs w:val="24"/>
          <w:highlight w:val="none"/>
        </w:rPr>
      </w:pPr>
      <w:r>
        <w:rPr>
          <w:rFonts w:ascii="宋体" w:hAnsi="宋体"/>
          <w:color w:val="000000"/>
          <w:sz w:val="70"/>
          <w:szCs w:val="24"/>
          <w:highlight w:val="none"/>
        </w:rPr>
      </w:r>
      <w:r/>
    </w:p>
    <w:p>
      <w:pPr>
        <w:pStyle w:val="856"/>
        <w:jc w:val="center"/>
        <w:spacing w:line="720" w:lineRule="exact"/>
        <w:rPr>
          <w:rFonts w:ascii="宋体" w:hAnsi="宋体"/>
          <w:color w:val="000000"/>
          <w:sz w:val="70"/>
          <w:szCs w:val="24"/>
          <w:highlight w:val="none"/>
        </w:rPr>
      </w:pPr>
      <w:r>
        <w:rPr>
          <w:rFonts w:ascii="宋体" w:hAnsi="宋体"/>
          <w:color w:val="000000"/>
          <w:sz w:val="70"/>
          <w:szCs w:val="24"/>
          <w:highlight w:val="none"/>
        </w:rPr>
      </w:r>
      <w:r/>
    </w:p>
    <w:p>
      <w:pPr>
        <w:pStyle w:val="856"/>
        <w:jc w:val="center"/>
        <w:rPr>
          <w:rFonts w:hint="eastAsia" w:ascii="宋体" w:hAnsi="宋体"/>
          <w:bCs/>
          <w:color w:val="000000"/>
          <w:spacing w:val="16"/>
          <w:sz w:val="32"/>
          <w:szCs w:val="32"/>
          <w:highlight w:val="none"/>
        </w:rPr>
      </w:pPr>
      <w:r>
        <w:rPr>
          <w:rFonts w:hint="eastAsia" w:ascii="宋体" w:hAnsi="宋体"/>
          <w:bCs/>
          <w:color w:val="000000"/>
          <w:sz w:val="32"/>
          <w:szCs w:val="32"/>
          <w:highlight w:val="none"/>
        </w:rPr>
        <w:t xml:space="preserve"> </w:t>
      </w:r>
      <w:r>
        <w:rPr>
          <w:rFonts w:ascii="宋体" w:hAnsi="宋体"/>
          <w:bCs/>
          <w:color w:val="000000"/>
          <w:sz w:val="32"/>
          <w:szCs w:val="32"/>
          <w:highlight w:val="none"/>
        </w:rPr>
        <w:t xml:space="preserve">  </w:t>
      </w:r>
      <w:r>
        <w:rPr>
          <w:rFonts w:hint="eastAsia" w:ascii="宋体" w:hAnsi="宋体"/>
          <w:bCs/>
          <w:color w:val="000000"/>
          <w:sz w:val="32"/>
          <w:szCs w:val="32"/>
          <w:highlight w:val="none"/>
        </w:rPr>
        <w:t xml:space="preserve">标段名称：连云港市区污水设施委托运行维护项目</w:t>
      </w:r>
      <w:r>
        <w:rPr>
          <w:rFonts w:hint="eastAsia" w:ascii="宋体" w:hAnsi="宋体"/>
          <w:bCs/>
          <w:color w:val="000000"/>
          <w:spacing w:val="16"/>
          <w:sz w:val="32"/>
          <w:szCs w:val="32"/>
          <w:highlight w:val="none"/>
        </w:rPr>
      </w:r>
      <w:r/>
    </w:p>
    <w:p>
      <w:pPr>
        <w:pStyle w:val="856"/>
        <w:ind w:firstLine="1824"/>
        <w:jc w:val="left"/>
        <w:spacing w:before="150" w:after="150" w:line="390" w:lineRule="atLeast"/>
        <w:shd w:val="clear" w:color="auto" w:fill="ffffff"/>
        <w:widowControl/>
        <w:rPr>
          <w:rFonts w:ascii="微软雅黑" w:hAnsi="微软雅黑" w:eastAsia="微软雅黑" w:cs="微软雅黑"/>
          <w:color w:val="000000"/>
          <w:sz w:val="19"/>
          <w:szCs w:val="19"/>
          <w:highlight w:val="none"/>
        </w:rPr>
      </w:pPr>
      <w:r>
        <w:rPr>
          <w:rFonts w:hint="eastAsia" w:ascii="宋体" w:hAnsi="宋体"/>
          <w:bCs/>
          <w:color w:val="000000"/>
          <w:sz w:val="32"/>
          <w:szCs w:val="32"/>
          <w:highlight w:val="none"/>
        </w:rPr>
        <w:t xml:space="preserve">标段编号</w:t>
      </w:r>
      <w:r>
        <w:rPr>
          <w:rFonts w:hint="eastAsia" w:ascii="宋体" w:hAnsi="宋体" w:eastAsia="宋体" w:cs="Times New Roman"/>
          <w:bCs/>
          <w:color w:val="000000"/>
          <w:sz w:val="32"/>
          <w:szCs w:val="32"/>
          <w:highlight w:val="none"/>
        </w:rPr>
        <w:t xml:space="preserve">：JSZC-320700-ZYCG-G2024-0042</w:t>
      </w:r>
      <w:r>
        <w:rPr>
          <w:rFonts w:ascii="微软雅黑" w:hAnsi="微软雅黑" w:eastAsia="微软雅黑" w:cs="微软雅黑"/>
          <w:color w:val="000000"/>
          <w:sz w:val="19"/>
          <w:szCs w:val="19"/>
          <w:highlight w:val="none"/>
        </w:rPr>
      </w:r>
      <w:r/>
    </w:p>
    <w:p>
      <w:pPr>
        <w:pStyle w:val="856"/>
        <w:ind w:firstLine="608"/>
        <w:jc w:val="left"/>
        <w:spacing w:before="150" w:after="150" w:line="390" w:lineRule="atLeast"/>
        <w:shd w:val="clear" w:color="auto" w:fill="ffffff"/>
        <w:widowControl/>
        <w:rPr>
          <w:rFonts w:ascii="宋体" w:hAnsi="宋体"/>
          <w:bCs/>
          <w:color w:val="000000"/>
          <w:sz w:val="32"/>
          <w:szCs w:val="32"/>
          <w:highlight w:val="none"/>
        </w:rPr>
      </w:pPr>
      <w:r>
        <w:rPr>
          <w:rFonts w:hint="eastAsia" w:ascii="宋体" w:hAnsi="宋体"/>
          <w:bCs/>
          <w:color w:val="000000"/>
          <w:sz w:val="32"/>
          <w:szCs w:val="32"/>
          <w:highlight w:val="none"/>
        </w:rPr>
        <w:t xml:space="preserve">本项目技术参数、评分标准等经我单位审核，完全符合我单位要求，同意按此文件发布信息。</w:t>
      </w:r>
      <w:r>
        <w:rPr>
          <w:rFonts w:ascii="宋体" w:hAnsi="宋体"/>
          <w:bCs/>
          <w:color w:val="000000"/>
          <w:sz w:val="32"/>
          <w:szCs w:val="32"/>
          <w:highlight w:val="none"/>
        </w:rPr>
      </w:r>
      <w:r/>
    </w:p>
    <w:p>
      <w:pPr>
        <w:pStyle w:val="856"/>
        <w:ind w:firstLine="1520"/>
        <w:rPr>
          <w:rFonts w:hint="eastAsia" w:ascii="宋体" w:hAnsi="宋体"/>
          <w:bCs/>
          <w:color w:val="000000"/>
          <w:sz w:val="32"/>
          <w:szCs w:val="32"/>
          <w:highlight w:val="none"/>
        </w:rPr>
      </w:pPr>
      <w:r>
        <w:rPr>
          <w:rFonts w:hint="eastAsia" w:ascii="宋体" w:hAnsi="宋体"/>
          <w:bCs/>
          <w:color w:val="000000"/>
          <w:sz w:val="32"/>
          <w:szCs w:val="32"/>
          <w:highlight w:val="none"/>
        </w:rPr>
        <w:t xml:space="preserve">采   购   人：连云港市市政公用事业发展中心</w:t>
      </w:r>
      <w:r>
        <w:rPr>
          <w:rFonts w:hint="eastAsia" w:ascii="宋体" w:hAnsi="宋体"/>
          <w:bCs/>
          <w:color w:val="000000"/>
          <w:sz w:val="32"/>
          <w:szCs w:val="32"/>
          <w:highlight w:val="none"/>
        </w:rPr>
      </w:r>
      <w:r/>
    </w:p>
    <w:p>
      <w:pPr>
        <w:pStyle w:val="856"/>
        <w:ind w:firstLine="1520"/>
        <w:spacing w:line="480" w:lineRule="auto"/>
        <w:rPr>
          <w:rFonts w:ascii="宋体" w:hAnsi="宋体" w:eastAsia="宋体"/>
          <w:bCs/>
          <w:color w:val="000000"/>
          <w:sz w:val="32"/>
          <w:szCs w:val="32"/>
          <w:highlight w:val="none"/>
          <w:lang w:val="en-US" w:eastAsia="zh-CN"/>
        </w:rPr>
        <w:outlineLvl w:val="0"/>
      </w:pPr>
      <w:r>
        <w:rPr>
          <w:rFonts w:hint="eastAsia" w:ascii="宋体" w:hAnsi="宋体"/>
          <w:bCs/>
          <w:color w:val="000000"/>
          <w:sz w:val="32"/>
          <w:szCs w:val="32"/>
          <w:highlight w:val="none"/>
        </w:rPr>
        <w:t xml:space="preserve">采购代理机构：</w:t>
      </w:r>
      <w:r>
        <w:rPr>
          <w:rFonts w:hint="eastAsia" w:ascii="宋体" w:hAnsi="宋体"/>
          <w:bCs/>
          <w:color w:val="000000"/>
          <w:sz w:val="32"/>
          <w:szCs w:val="32"/>
          <w:highlight w:val="none"/>
          <w:lang w:val="en-US" w:eastAsia="zh-CN"/>
        </w:rPr>
        <w:t xml:space="preserve">扬州筑苑工程招标咨询有限公司</w:t>
      </w:r>
      <w:r>
        <w:rPr>
          <w:rFonts w:ascii="宋体" w:hAnsi="宋体" w:eastAsia="宋体"/>
          <w:bCs/>
          <w:color w:val="000000"/>
          <w:sz w:val="32"/>
          <w:szCs w:val="32"/>
          <w:highlight w:val="none"/>
          <w:lang w:val="en-US" w:eastAsia="zh-CN"/>
        </w:rPr>
      </w:r>
      <w:r/>
    </w:p>
    <w:p>
      <w:pPr>
        <w:pStyle w:val="856"/>
        <w:ind w:left="840" w:firstLine="2736"/>
        <w:rPr>
          <w:rFonts w:ascii="宋体" w:hAnsi="宋体"/>
          <w:bCs/>
          <w:color w:val="000000"/>
          <w:sz w:val="32"/>
          <w:szCs w:val="32"/>
          <w:highlight w:val="none"/>
        </w:rPr>
      </w:pPr>
      <w:r>
        <w:rPr>
          <w:rFonts w:hint="eastAsia" w:ascii="宋体" w:hAnsi="宋体"/>
          <w:bCs/>
          <w:color w:val="000000"/>
          <w:sz w:val="32"/>
          <w:szCs w:val="32"/>
          <w:highlight w:val="none"/>
        </w:rPr>
        <w:t xml:space="preserve">202</w:t>
      </w:r>
      <w:r>
        <w:rPr>
          <w:rFonts w:hint="eastAsia" w:ascii="宋体" w:hAnsi="宋体"/>
          <w:bCs/>
          <w:color w:val="000000"/>
          <w:sz w:val="32"/>
          <w:szCs w:val="32"/>
          <w:highlight w:val="none"/>
          <w:lang w:val="en-US" w:eastAsia="zh-CN"/>
        </w:rPr>
        <w:t xml:space="preserve">4</w:t>
      </w:r>
      <w:r>
        <w:rPr>
          <w:rFonts w:hint="eastAsia" w:ascii="宋体" w:hAnsi="宋体"/>
          <w:bCs/>
          <w:color w:val="000000"/>
          <w:sz w:val="32"/>
          <w:szCs w:val="32"/>
          <w:highlight w:val="none"/>
        </w:rPr>
        <w:t xml:space="preserve">年1</w:t>
      </w:r>
      <w:r>
        <w:rPr>
          <w:rFonts w:hint="eastAsia" w:ascii="宋体" w:hAnsi="宋体"/>
          <w:bCs/>
          <w:color w:val="000000"/>
          <w:sz w:val="32"/>
          <w:szCs w:val="32"/>
          <w:highlight w:val="none"/>
          <w:lang w:val="en-US" w:eastAsia="zh-CN"/>
        </w:rPr>
        <w:t xml:space="preserve">2</w:t>
      </w:r>
      <w:r>
        <w:rPr>
          <w:rFonts w:hint="eastAsia" w:ascii="宋体" w:hAnsi="宋体"/>
          <w:bCs/>
          <w:color w:val="000000"/>
          <w:sz w:val="32"/>
          <w:szCs w:val="32"/>
          <w:highlight w:val="none"/>
        </w:rPr>
        <w:t xml:space="preserve">月</w:t>
      </w:r>
      <w:r>
        <w:rPr>
          <w:rFonts w:ascii="宋体" w:hAnsi="宋体"/>
          <w:bCs/>
          <w:color w:val="000000"/>
          <w:sz w:val="32"/>
          <w:szCs w:val="32"/>
          <w:highlight w:val="none"/>
        </w:rPr>
      </w:r>
      <w:r/>
    </w:p>
    <w:p>
      <w:pPr>
        <w:pStyle w:val="856"/>
        <w:rPr>
          <w:rFonts w:hint="eastAsia" w:hAnsi="宋体" w:eastAsia="黑体"/>
          <w:color w:val="000000"/>
          <w:sz w:val="36"/>
          <w:szCs w:val="20"/>
          <w:highlight w:val="none"/>
        </w:rPr>
      </w:pPr>
      <w:r>
        <w:rPr>
          <w:color w:val="000000"/>
          <w:szCs w:val="24"/>
          <w:highlight w:val="none"/>
          <w:lang w:val="zh-CN"/>
        </w:rPr>
        <w:br w:type="page" w:clear="all"/>
      </w:r>
      <w:bookmarkStart w:id="0" w:name="_Toc58260780"/>
      <w:r>
        <w:rPr>
          <w:rFonts w:hint="eastAsia" w:hAnsi="宋体" w:eastAsia="黑体"/>
          <w:color w:val="000000"/>
          <w:sz w:val="36"/>
          <w:szCs w:val="20"/>
          <w:highlight w:val="none"/>
        </w:rPr>
      </w:r>
      <w:r/>
    </w:p>
    <w:p>
      <w:pPr>
        <w:pStyle w:val="856"/>
        <w:jc w:val="center"/>
        <w:keepLines/>
        <w:keepNext/>
        <w:spacing w:line="360" w:lineRule="auto"/>
        <w:rPr>
          <w:rFonts w:hAnsi="宋体" w:eastAsia="黑体"/>
          <w:color w:val="000000"/>
          <w:sz w:val="36"/>
          <w:szCs w:val="20"/>
          <w:highlight w:val="none"/>
        </w:rPr>
        <w:outlineLvl w:val="0"/>
      </w:pPr>
      <w:r>
        <w:rPr>
          <w:rFonts w:hint="eastAsia" w:hAnsi="宋体" w:eastAsia="黑体"/>
          <w:color w:val="000000"/>
          <w:sz w:val="36"/>
          <w:szCs w:val="20"/>
          <w:highlight w:val="none"/>
        </w:rPr>
        <w:t xml:space="preserve">目   录</w:t>
      </w:r>
      <w:bookmarkEnd w:id="0"/>
      <w:r>
        <w:rPr>
          <w:rFonts w:hAnsi="宋体" w:eastAsia="黑体"/>
          <w:color w:val="000000"/>
          <w:sz w:val="36"/>
          <w:szCs w:val="20"/>
          <w:highlight w:val="none"/>
        </w:rPr>
      </w:r>
      <w:r/>
    </w:p>
    <w:p>
      <w:pPr>
        <w:pStyle w:val="856"/>
        <w:spacing w:line="360" w:lineRule="auto"/>
        <w:tabs>
          <w:tab w:val="right" w:pos="9638" w:leader="dot"/>
        </w:tabs>
        <w:rPr>
          <w:bCs/>
          <w:color w:val="000000"/>
          <w:sz w:val="28"/>
          <w:szCs w:val="28"/>
          <w:highlight w:val="none"/>
        </w:rPr>
      </w:pPr>
      <w:r>
        <w:rPr>
          <w:rFonts w:ascii="宋体" w:hAnsi="宋体"/>
          <w:bCs/>
          <w:caps/>
          <w:color w:val="000000"/>
          <w:sz w:val="24"/>
          <w:szCs w:val="24"/>
          <w:highlight w:val="none"/>
        </w:rPr>
        <w:fldChar w:fldCharType="begin"/>
      </w:r>
      <w:r>
        <w:rPr>
          <w:rFonts w:ascii="宋体" w:hAnsi="宋体"/>
          <w:bCs/>
          <w:caps/>
          <w:color w:val="000000"/>
          <w:sz w:val="24"/>
          <w:szCs w:val="24"/>
          <w:highlight w:val="none"/>
        </w:rPr>
        <w:instrText xml:space="preserve"> </w:instrText>
      </w:r>
      <w:r>
        <w:rPr>
          <w:rFonts w:hint="eastAsia" w:ascii="宋体" w:hAnsi="宋体"/>
          <w:bCs/>
          <w:caps/>
          <w:color w:val="000000"/>
          <w:sz w:val="24"/>
          <w:szCs w:val="24"/>
          <w:highlight w:val="none"/>
        </w:rPr>
        <w:instrText xml:space="preserve">TOC \o "1-1" \h \z \u</w:instrText>
      </w:r>
      <w:r>
        <w:rPr>
          <w:rFonts w:ascii="宋体" w:hAnsi="宋体"/>
          <w:bCs/>
          <w:caps/>
          <w:color w:val="000000"/>
          <w:sz w:val="24"/>
          <w:szCs w:val="24"/>
          <w:highlight w:val="none"/>
        </w:rPr>
        <w:instrText xml:space="preserve"> </w:instrText>
      </w:r>
      <w:r>
        <w:rPr>
          <w:rFonts w:ascii="宋体" w:hAnsi="宋体"/>
          <w:bCs/>
          <w:caps/>
          <w:color w:val="000000"/>
          <w:sz w:val="24"/>
          <w:szCs w:val="24"/>
          <w:highlight w:val="none"/>
        </w:rPr>
        <w:fldChar w:fldCharType="separate"/>
      </w:r>
      <w:r>
        <w:rPr>
          <w:color w:val="000000"/>
          <w:highlight w:val="none"/>
        </w:rPr>
        <w:fldChar w:fldCharType="begin"/>
      </w:r>
      <w:r>
        <w:rPr>
          <w:color w:val="000000"/>
          <w:highlight w:val="none"/>
        </w:rPr>
        <w:instrText xml:space="preserve"> HYPERLINK \l "_Toc58260780" </w:instrText>
      </w:r>
      <w:r>
        <w:rPr>
          <w:color w:val="000000"/>
          <w:highlight w:val="none"/>
        </w:rPr>
        <w:fldChar w:fldCharType="separate"/>
      </w:r>
      <w:r>
        <w:rPr>
          <w:rFonts w:hint="eastAsia"/>
          <w:bCs/>
          <w:color w:val="000000"/>
          <w:sz w:val="28"/>
          <w:szCs w:val="28"/>
          <w:highlight w:val="none"/>
        </w:rPr>
        <w:t xml:space="preserve">目</w:t>
      </w:r>
      <w:r>
        <w:rPr>
          <w:bCs/>
          <w:color w:val="000000"/>
          <w:sz w:val="28"/>
          <w:szCs w:val="28"/>
          <w:highlight w:val="none"/>
        </w:rPr>
        <w:t xml:space="preserve">   </w:t>
      </w:r>
      <w:r>
        <w:rPr>
          <w:rFonts w:hint="eastAsia"/>
          <w:bCs/>
          <w:color w:val="000000"/>
          <w:sz w:val="28"/>
          <w:szCs w:val="28"/>
          <w:highlight w:val="none"/>
        </w:rPr>
        <w:t xml:space="preserve">录</w:t>
      </w:r>
      <w:r>
        <w:rPr>
          <w:bCs/>
          <w:color w:val="000000"/>
          <w:sz w:val="28"/>
          <w:szCs w:val="28"/>
          <w:highlight w:val="none"/>
        </w:rPr>
        <w:tab/>
      </w:r>
      <w:r>
        <w:rPr>
          <w:bCs/>
          <w:color w:val="000000"/>
          <w:sz w:val="28"/>
          <w:szCs w:val="28"/>
          <w:highlight w:val="none"/>
        </w:rPr>
        <w:fldChar w:fldCharType="begin"/>
      </w:r>
      <w:r>
        <w:rPr>
          <w:bCs/>
          <w:color w:val="000000"/>
          <w:sz w:val="28"/>
          <w:szCs w:val="28"/>
          <w:highlight w:val="none"/>
        </w:rPr>
        <w:instrText xml:space="preserve"> PAGEREF _Toc58260780 \h </w:instrText>
      </w:r>
      <w:r>
        <w:rPr>
          <w:bCs/>
          <w:color w:val="000000"/>
          <w:sz w:val="28"/>
          <w:szCs w:val="28"/>
          <w:highlight w:val="none"/>
        </w:rPr>
        <w:fldChar w:fldCharType="separate"/>
      </w:r>
      <w:r>
        <w:rPr>
          <w:bCs/>
          <w:color w:val="000000"/>
          <w:sz w:val="28"/>
          <w:szCs w:val="28"/>
          <w:highlight w:val="none"/>
        </w:rPr>
        <w:t xml:space="preserve">2</w:t>
      </w:r>
      <w:r>
        <w:rPr>
          <w:bCs/>
          <w:color w:val="000000"/>
          <w:sz w:val="28"/>
          <w:szCs w:val="28"/>
          <w:highlight w:val="none"/>
        </w:rPr>
        <w:fldChar w:fldCharType="end"/>
      </w:r>
      <w:r>
        <w:rPr>
          <w:bCs/>
          <w:color w:val="000000"/>
          <w:sz w:val="28"/>
          <w:szCs w:val="28"/>
          <w:highlight w:val="none"/>
        </w:rPr>
        <w:fldChar w:fldCharType="end"/>
      </w:r>
      <w:r>
        <w:rPr>
          <w:bCs/>
          <w:color w:val="000000"/>
          <w:sz w:val="28"/>
          <w:szCs w:val="28"/>
          <w:highlight w:val="none"/>
        </w:rPr>
      </w:r>
      <w:r/>
    </w:p>
    <w:p>
      <w:pPr>
        <w:pStyle w:val="856"/>
        <w:spacing w:line="360" w:lineRule="auto"/>
        <w:tabs>
          <w:tab w:val="right" w:pos="9638" w:leader="dot"/>
        </w:tabs>
        <w:rPr>
          <w:bCs/>
          <w:color w:val="000000"/>
          <w:sz w:val="28"/>
          <w:szCs w:val="28"/>
          <w:highlight w:val="none"/>
        </w:rPr>
      </w:pPr>
      <w:r>
        <w:rPr>
          <w:color w:val="000000"/>
          <w:highlight w:val="none"/>
        </w:rPr>
        <w:fldChar w:fldCharType="begin"/>
      </w:r>
      <w:r>
        <w:rPr>
          <w:color w:val="000000"/>
          <w:highlight w:val="none"/>
        </w:rPr>
        <w:instrText xml:space="preserve"> HYPERLINK \l "_Toc58260781" </w:instrText>
      </w:r>
      <w:r>
        <w:rPr>
          <w:color w:val="000000"/>
          <w:highlight w:val="none"/>
        </w:rPr>
        <w:fldChar w:fldCharType="separate"/>
      </w:r>
      <w:r>
        <w:rPr>
          <w:rFonts w:hint="eastAsia"/>
          <w:bCs/>
          <w:color w:val="000000"/>
          <w:sz w:val="28"/>
          <w:szCs w:val="28"/>
          <w:highlight w:val="none"/>
        </w:rPr>
        <w:t xml:space="preserve">第一部分</w:t>
      </w:r>
      <w:r>
        <w:rPr>
          <w:bCs/>
          <w:color w:val="000000"/>
          <w:sz w:val="28"/>
          <w:szCs w:val="28"/>
          <w:highlight w:val="none"/>
        </w:rPr>
        <w:t xml:space="preserve">  </w:t>
      </w:r>
      <w:r>
        <w:rPr>
          <w:rFonts w:hint="eastAsia"/>
          <w:bCs/>
          <w:color w:val="000000"/>
          <w:sz w:val="28"/>
          <w:szCs w:val="28"/>
          <w:highlight w:val="none"/>
        </w:rPr>
        <w:t xml:space="preserve">投标邀请</w:t>
      </w:r>
      <w:r>
        <w:rPr>
          <w:bCs/>
          <w:color w:val="000000"/>
          <w:sz w:val="28"/>
          <w:szCs w:val="28"/>
          <w:highlight w:val="none"/>
        </w:rPr>
        <w:tab/>
      </w:r>
      <w:r>
        <w:rPr>
          <w:bCs/>
          <w:color w:val="000000"/>
          <w:sz w:val="28"/>
          <w:szCs w:val="28"/>
          <w:highlight w:val="none"/>
        </w:rPr>
        <w:fldChar w:fldCharType="begin"/>
      </w:r>
      <w:r>
        <w:rPr>
          <w:bCs/>
          <w:color w:val="000000"/>
          <w:sz w:val="28"/>
          <w:szCs w:val="28"/>
          <w:highlight w:val="none"/>
        </w:rPr>
        <w:instrText xml:space="preserve"> PAGEREF _Toc58260781 \h </w:instrText>
      </w:r>
      <w:r>
        <w:rPr>
          <w:bCs/>
          <w:color w:val="000000"/>
          <w:sz w:val="28"/>
          <w:szCs w:val="28"/>
          <w:highlight w:val="none"/>
        </w:rPr>
        <w:fldChar w:fldCharType="separate"/>
      </w:r>
      <w:r>
        <w:rPr>
          <w:bCs/>
          <w:color w:val="000000"/>
          <w:sz w:val="28"/>
          <w:szCs w:val="28"/>
          <w:highlight w:val="none"/>
        </w:rPr>
        <w:t xml:space="preserve">3</w:t>
      </w:r>
      <w:r>
        <w:rPr>
          <w:bCs/>
          <w:color w:val="000000"/>
          <w:sz w:val="28"/>
          <w:szCs w:val="28"/>
          <w:highlight w:val="none"/>
        </w:rPr>
        <w:fldChar w:fldCharType="end"/>
      </w:r>
      <w:r>
        <w:rPr>
          <w:bCs/>
          <w:color w:val="000000"/>
          <w:sz w:val="28"/>
          <w:szCs w:val="28"/>
          <w:highlight w:val="none"/>
        </w:rPr>
        <w:fldChar w:fldCharType="end"/>
      </w:r>
      <w:r>
        <w:rPr>
          <w:bCs/>
          <w:color w:val="000000"/>
          <w:sz w:val="28"/>
          <w:szCs w:val="28"/>
          <w:highlight w:val="none"/>
        </w:rPr>
      </w:r>
      <w:r/>
    </w:p>
    <w:p>
      <w:pPr>
        <w:pStyle w:val="856"/>
        <w:spacing w:line="360" w:lineRule="auto"/>
        <w:tabs>
          <w:tab w:val="right" w:pos="9638" w:leader="dot"/>
        </w:tabs>
        <w:rPr>
          <w:bCs/>
          <w:color w:val="000000"/>
          <w:sz w:val="28"/>
          <w:szCs w:val="28"/>
          <w:highlight w:val="none"/>
        </w:rPr>
      </w:pPr>
      <w:r>
        <w:rPr>
          <w:color w:val="000000"/>
          <w:highlight w:val="none"/>
        </w:rPr>
        <w:fldChar w:fldCharType="begin"/>
      </w:r>
      <w:r>
        <w:rPr>
          <w:color w:val="000000"/>
          <w:highlight w:val="none"/>
        </w:rPr>
        <w:instrText xml:space="preserve"> HYPERLINK \l "_Toc58260782" </w:instrText>
      </w:r>
      <w:r>
        <w:rPr>
          <w:color w:val="000000"/>
          <w:highlight w:val="none"/>
        </w:rPr>
        <w:fldChar w:fldCharType="separate"/>
      </w:r>
      <w:r>
        <w:rPr>
          <w:rFonts w:hint="eastAsia"/>
          <w:bCs/>
          <w:color w:val="000000"/>
          <w:sz w:val="28"/>
          <w:szCs w:val="28"/>
          <w:highlight w:val="none"/>
        </w:rPr>
        <w:t xml:space="preserve">第二部分</w:t>
      </w:r>
      <w:r>
        <w:rPr>
          <w:bCs/>
          <w:color w:val="000000"/>
          <w:sz w:val="28"/>
          <w:szCs w:val="28"/>
          <w:highlight w:val="none"/>
        </w:rPr>
        <w:t xml:space="preserve">  </w:t>
      </w:r>
      <w:r>
        <w:rPr>
          <w:rFonts w:hint="eastAsia"/>
          <w:bCs/>
          <w:color w:val="000000"/>
          <w:sz w:val="28"/>
          <w:szCs w:val="28"/>
          <w:highlight w:val="none"/>
        </w:rPr>
        <w:t xml:space="preserve">投标人须知</w:t>
      </w:r>
      <w:r>
        <w:rPr>
          <w:bCs/>
          <w:color w:val="000000"/>
          <w:sz w:val="28"/>
          <w:szCs w:val="28"/>
          <w:highlight w:val="none"/>
        </w:rPr>
        <w:tab/>
      </w:r>
      <w:r>
        <w:rPr>
          <w:bCs/>
          <w:color w:val="000000"/>
          <w:sz w:val="28"/>
          <w:szCs w:val="28"/>
          <w:highlight w:val="none"/>
        </w:rPr>
        <w:fldChar w:fldCharType="begin"/>
      </w:r>
      <w:r>
        <w:rPr>
          <w:bCs/>
          <w:color w:val="000000"/>
          <w:sz w:val="28"/>
          <w:szCs w:val="28"/>
          <w:highlight w:val="none"/>
        </w:rPr>
        <w:instrText xml:space="preserve"> PAGEREF _Toc58260782 \h </w:instrText>
      </w:r>
      <w:r>
        <w:rPr>
          <w:bCs/>
          <w:color w:val="000000"/>
          <w:sz w:val="28"/>
          <w:szCs w:val="28"/>
          <w:highlight w:val="none"/>
        </w:rPr>
        <w:fldChar w:fldCharType="separate"/>
      </w:r>
      <w:r>
        <w:rPr>
          <w:bCs/>
          <w:color w:val="000000"/>
          <w:sz w:val="28"/>
          <w:szCs w:val="28"/>
          <w:highlight w:val="none"/>
        </w:rPr>
        <w:t xml:space="preserve">6</w:t>
      </w:r>
      <w:r>
        <w:rPr>
          <w:bCs/>
          <w:color w:val="000000"/>
          <w:sz w:val="28"/>
          <w:szCs w:val="28"/>
          <w:highlight w:val="none"/>
        </w:rPr>
        <w:fldChar w:fldCharType="end"/>
      </w:r>
      <w:r>
        <w:rPr>
          <w:bCs/>
          <w:color w:val="000000"/>
          <w:sz w:val="28"/>
          <w:szCs w:val="28"/>
          <w:highlight w:val="none"/>
        </w:rPr>
        <w:fldChar w:fldCharType="end"/>
      </w:r>
      <w:r>
        <w:rPr>
          <w:bCs/>
          <w:color w:val="000000"/>
          <w:sz w:val="28"/>
          <w:szCs w:val="28"/>
          <w:highlight w:val="none"/>
        </w:rPr>
      </w:r>
      <w:r/>
    </w:p>
    <w:p>
      <w:pPr>
        <w:pStyle w:val="856"/>
        <w:spacing w:line="360" w:lineRule="auto"/>
        <w:tabs>
          <w:tab w:val="right" w:pos="9638" w:leader="dot"/>
        </w:tabs>
        <w:rPr>
          <w:bCs/>
          <w:color w:val="000000"/>
          <w:sz w:val="28"/>
          <w:szCs w:val="28"/>
          <w:highlight w:val="none"/>
        </w:rPr>
      </w:pPr>
      <w:r>
        <w:rPr>
          <w:color w:val="000000"/>
          <w:highlight w:val="none"/>
        </w:rPr>
        <w:fldChar w:fldCharType="begin"/>
      </w:r>
      <w:r>
        <w:rPr>
          <w:color w:val="000000"/>
          <w:highlight w:val="none"/>
        </w:rPr>
        <w:instrText xml:space="preserve"> HYPERLINK \l "_Toc58260783" </w:instrText>
      </w:r>
      <w:r>
        <w:rPr>
          <w:color w:val="000000"/>
          <w:highlight w:val="none"/>
        </w:rPr>
        <w:fldChar w:fldCharType="separate"/>
      </w:r>
      <w:r>
        <w:rPr>
          <w:rFonts w:hint="eastAsia"/>
          <w:bCs/>
          <w:color w:val="000000"/>
          <w:sz w:val="28"/>
          <w:szCs w:val="28"/>
          <w:highlight w:val="none"/>
        </w:rPr>
        <w:t xml:space="preserve">第三部分</w:t>
      </w:r>
      <w:r>
        <w:rPr>
          <w:bCs/>
          <w:color w:val="000000"/>
          <w:sz w:val="28"/>
          <w:szCs w:val="28"/>
          <w:highlight w:val="none"/>
        </w:rPr>
        <w:t xml:space="preserve">  </w:t>
      </w:r>
      <w:r>
        <w:rPr>
          <w:rFonts w:hint="eastAsia"/>
          <w:bCs/>
          <w:color w:val="000000"/>
          <w:sz w:val="28"/>
          <w:szCs w:val="28"/>
          <w:highlight w:val="none"/>
        </w:rPr>
        <w:t xml:space="preserve">评标办法</w:t>
      </w:r>
      <w:r>
        <w:rPr>
          <w:bCs/>
          <w:color w:val="000000"/>
          <w:sz w:val="28"/>
          <w:szCs w:val="28"/>
          <w:highlight w:val="none"/>
        </w:rPr>
        <w:tab/>
      </w:r>
      <w:r>
        <w:rPr>
          <w:bCs/>
          <w:color w:val="000000"/>
          <w:sz w:val="28"/>
          <w:szCs w:val="28"/>
          <w:highlight w:val="none"/>
        </w:rPr>
        <w:fldChar w:fldCharType="begin"/>
      </w:r>
      <w:r>
        <w:rPr>
          <w:bCs/>
          <w:color w:val="000000"/>
          <w:sz w:val="28"/>
          <w:szCs w:val="28"/>
          <w:highlight w:val="none"/>
        </w:rPr>
        <w:instrText xml:space="preserve"> PAGEREF _Toc58260783 \h </w:instrText>
      </w:r>
      <w:r>
        <w:rPr>
          <w:bCs/>
          <w:color w:val="000000"/>
          <w:sz w:val="28"/>
          <w:szCs w:val="28"/>
          <w:highlight w:val="none"/>
        </w:rPr>
        <w:fldChar w:fldCharType="separate"/>
      </w:r>
      <w:r>
        <w:rPr>
          <w:bCs/>
          <w:color w:val="000000"/>
          <w:sz w:val="28"/>
          <w:szCs w:val="28"/>
          <w:highlight w:val="none"/>
        </w:rPr>
        <w:t xml:space="preserve">18</w:t>
      </w:r>
      <w:r>
        <w:rPr>
          <w:bCs/>
          <w:color w:val="000000"/>
          <w:sz w:val="28"/>
          <w:szCs w:val="28"/>
          <w:highlight w:val="none"/>
        </w:rPr>
        <w:fldChar w:fldCharType="end"/>
      </w:r>
      <w:r>
        <w:rPr>
          <w:bCs/>
          <w:color w:val="000000"/>
          <w:sz w:val="28"/>
          <w:szCs w:val="28"/>
          <w:highlight w:val="none"/>
        </w:rPr>
        <w:fldChar w:fldCharType="end"/>
      </w:r>
      <w:r>
        <w:rPr>
          <w:bCs/>
          <w:color w:val="000000"/>
          <w:sz w:val="28"/>
          <w:szCs w:val="28"/>
          <w:highlight w:val="none"/>
        </w:rPr>
      </w:r>
      <w:r/>
    </w:p>
    <w:p>
      <w:pPr>
        <w:pStyle w:val="856"/>
        <w:spacing w:line="360" w:lineRule="auto"/>
        <w:tabs>
          <w:tab w:val="right" w:pos="9638" w:leader="dot"/>
        </w:tabs>
        <w:rPr>
          <w:bCs/>
          <w:color w:val="000000"/>
          <w:sz w:val="28"/>
          <w:szCs w:val="28"/>
          <w:highlight w:val="none"/>
        </w:rPr>
      </w:pPr>
      <w:r>
        <w:rPr>
          <w:color w:val="000000"/>
          <w:highlight w:val="none"/>
        </w:rPr>
        <w:fldChar w:fldCharType="begin"/>
      </w:r>
      <w:r>
        <w:rPr>
          <w:color w:val="000000"/>
          <w:highlight w:val="none"/>
        </w:rPr>
        <w:instrText xml:space="preserve"> HYPERLINK \l "_Toc58260784" </w:instrText>
      </w:r>
      <w:r>
        <w:rPr>
          <w:color w:val="000000"/>
          <w:highlight w:val="none"/>
        </w:rPr>
        <w:fldChar w:fldCharType="separate"/>
      </w:r>
      <w:r>
        <w:rPr>
          <w:rFonts w:hint="eastAsia"/>
          <w:bCs/>
          <w:color w:val="000000"/>
          <w:sz w:val="28"/>
          <w:szCs w:val="28"/>
          <w:highlight w:val="none"/>
        </w:rPr>
        <w:t xml:space="preserve">第四部分</w:t>
      </w:r>
      <w:r>
        <w:rPr>
          <w:bCs/>
          <w:color w:val="000000"/>
          <w:sz w:val="28"/>
          <w:szCs w:val="28"/>
          <w:highlight w:val="none"/>
        </w:rPr>
        <w:t xml:space="preserve">  </w:t>
      </w:r>
      <w:r>
        <w:rPr>
          <w:rFonts w:hint="eastAsia"/>
          <w:bCs/>
          <w:color w:val="000000"/>
          <w:sz w:val="28"/>
          <w:szCs w:val="28"/>
          <w:highlight w:val="none"/>
        </w:rPr>
        <w:t xml:space="preserve">项目需求</w:t>
      </w:r>
      <w:r>
        <w:rPr>
          <w:bCs/>
          <w:color w:val="000000"/>
          <w:sz w:val="28"/>
          <w:szCs w:val="28"/>
          <w:highlight w:val="none"/>
        </w:rPr>
        <w:tab/>
      </w:r>
      <w:r>
        <w:rPr>
          <w:bCs/>
          <w:color w:val="000000"/>
          <w:sz w:val="28"/>
          <w:szCs w:val="28"/>
          <w:highlight w:val="none"/>
        </w:rPr>
        <w:fldChar w:fldCharType="begin"/>
      </w:r>
      <w:r>
        <w:rPr>
          <w:bCs/>
          <w:color w:val="000000"/>
          <w:sz w:val="28"/>
          <w:szCs w:val="28"/>
          <w:highlight w:val="none"/>
        </w:rPr>
        <w:instrText xml:space="preserve"> PAGEREF _Toc58260784 \h </w:instrText>
      </w:r>
      <w:r>
        <w:rPr>
          <w:bCs/>
          <w:color w:val="000000"/>
          <w:sz w:val="28"/>
          <w:szCs w:val="28"/>
          <w:highlight w:val="none"/>
        </w:rPr>
        <w:fldChar w:fldCharType="separate"/>
      </w:r>
      <w:r>
        <w:rPr>
          <w:bCs/>
          <w:color w:val="000000"/>
          <w:sz w:val="28"/>
          <w:szCs w:val="28"/>
          <w:highlight w:val="none"/>
        </w:rPr>
        <w:t xml:space="preserve">21</w:t>
      </w:r>
      <w:r>
        <w:rPr>
          <w:bCs/>
          <w:color w:val="000000"/>
          <w:sz w:val="28"/>
          <w:szCs w:val="28"/>
          <w:highlight w:val="none"/>
        </w:rPr>
        <w:fldChar w:fldCharType="end"/>
      </w:r>
      <w:r>
        <w:rPr>
          <w:bCs/>
          <w:color w:val="000000"/>
          <w:sz w:val="28"/>
          <w:szCs w:val="28"/>
          <w:highlight w:val="none"/>
        </w:rPr>
        <w:fldChar w:fldCharType="end"/>
      </w:r>
      <w:r>
        <w:rPr>
          <w:bCs/>
          <w:color w:val="000000"/>
          <w:sz w:val="28"/>
          <w:szCs w:val="28"/>
          <w:highlight w:val="none"/>
        </w:rPr>
      </w:r>
      <w:r/>
    </w:p>
    <w:p>
      <w:pPr>
        <w:pStyle w:val="856"/>
        <w:spacing w:line="360" w:lineRule="auto"/>
        <w:tabs>
          <w:tab w:val="right" w:pos="9638" w:leader="dot"/>
        </w:tabs>
        <w:rPr>
          <w:bCs/>
          <w:color w:val="000000"/>
          <w:sz w:val="28"/>
          <w:szCs w:val="28"/>
          <w:highlight w:val="none"/>
        </w:rPr>
      </w:pPr>
      <w:r>
        <w:rPr>
          <w:color w:val="000000"/>
          <w:highlight w:val="none"/>
        </w:rPr>
        <w:fldChar w:fldCharType="begin"/>
      </w:r>
      <w:r>
        <w:rPr>
          <w:color w:val="000000"/>
          <w:highlight w:val="none"/>
        </w:rPr>
        <w:instrText xml:space="preserve"> HYPERLINK \l "_Toc58260785" </w:instrText>
      </w:r>
      <w:r>
        <w:rPr>
          <w:color w:val="000000"/>
          <w:highlight w:val="none"/>
        </w:rPr>
        <w:fldChar w:fldCharType="separate"/>
      </w:r>
      <w:r>
        <w:rPr>
          <w:rFonts w:hint="eastAsia"/>
          <w:bCs/>
          <w:color w:val="000000"/>
          <w:sz w:val="28"/>
          <w:szCs w:val="28"/>
          <w:highlight w:val="none"/>
        </w:rPr>
        <w:t xml:space="preserve">第五部分</w:t>
      </w:r>
      <w:r>
        <w:rPr>
          <w:bCs/>
          <w:color w:val="000000"/>
          <w:sz w:val="28"/>
          <w:szCs w:val="28"/>
          <w:highlight w:val="none"/>
        </w:rPr>
        <w:t xml:space="preserve">  </w:t>
      </w:r>
      <w:r>
        <w:rPr>
          <w:rFonts w:hint="eastAsia"/>
          <w:bCs/>
          <w:color w:val="000000"/>
          <w:sz w:val="28"/>
          <w:szCs w:val="28"/>
          <w:highlight w:val="none"/>
        </w:rPr>
        <w:t xml:space="preserve">合同</w:t>
      </w:r>
      <w:r>
        <w:rPr>
          <w:bCs/>
          <w:color w:val="000000"/>
          <w:sz w:val="28"/>
          <w:szCs w:val="28"/>
          <w:highlight w:val="none"/>
        </w:rPr>
        <w:tab/>
      </w:r>
      <w:r>
        <w:rPr>
          <w:bCs/>
          <w:color w:val="000000"/>
          <w:sz w:val="28"/>
          <w:szCs w:val="28"/>
          <w:highlight w:val="none"/>
        </w:rPr>
        <w:fldChar w:fldCharType="begin"/>
      </w:r>
      <w:r>
        <w:rPr>
          <w:bCs/>
          <w:color w:val="000000"/>
          <w:sz w:val="28"/>
          <w:szCs w:val="28"/>
          <w:highlight w:val="none"/>
        </w:rPr>
        <w:instrText xml:space="preserve"> PAGEREF _Toc58260785 \h </w:instrText>
      </w:r>
      <w:r>
        <w:rPr>
          <w:bCs/>
          <w:color w:val="000000"/>
          <w:sz w:val="28"/>
          <w:szCs w:val="28"/>
          <w:highlight w:val="none"/>
        </w:rPr>
        <w:fldChar w:fldCharType="separate"/>
      </w:r>
      <w:r>
        <w:rPr>
          <w:bCs/>
          <w:color w:val="000000"/>
          <w:sz w:val="28"/>
          <w:szCs w:val="28"/>
          <w:highlight w:val="none"/>
        </w:rPr>
        <w:t xml:space="preserve">122</w:t>
      </w:r>
      <w:r>
        <w:rPr>
          <w:bCs/>
          <w:color w:val="000000"/>
          <w:sz w:val="28"/>
          <w:szCs w:val="28"/>
          <w:highlight w:val="none"/>
        </w:rPr>
        <w:fldChar w:fldCharType="end"/>
      </w:r>
      <w:r>
        <w:rPr>
          <w:bCs/>
          <w:color w:val="000000"/>
          <w:sz w:val="28"/>
          <w:szCs w:val="28"/>
          <w:highlight w:val="none"/>
        </w:rPr>
        <w:fldChar w:fldCharType="end"/>
      </w:r>
      <w:r>
        <w:rPr>
          <w:bCs/>
          <w:color w:val="000000"/>
          <w:sz w:val="28"/>
          <w:szCs w:val="28"/>
          <w:highlight w:val="none"/>
        </w:rPr>
      </w:r>
      <w:r/>
    </w:p>
    <w:p>
      <w:pPr>
        <w:pStyle w:val="856"/>
        <w:spacing w:line="360" w:lineRule="auto"/>
        <w:tabs>
          <w:tab w:val="right" w:pos="9638" w:leader="dot"/>
        </w:tabs>
        <w:rPr>
          <w:color w:val="000000"/>
          <w:highlight w:val="none"/>
        </w:rPr>
      </w:pPr>
      <w:r>
        <w:rPr>
          <w:color w:val="000000"/>
          <w:highlight w:val="none"/>
        </w:rPr>
        <w:fldChar w:fldCharType="begin"/>
      </w:r>
      <w:r>
        <w:rPr>
          <w:color w:val="000000"/>
          <w:highlight w:val="none"/>
        </w:rPr>
        <w:instrText xml:space="preserve"> HYPERLINK \l "_Toc58260786" </w:instrText>
      </w:r>
      <w:r>
        <w:rPr>
          <w:color w:val="000000"/>
          <w:highlight w:val="none"/>
        </w:rPr>
        <w:fldChar w:fldCharType="separate"/>
      </w:r>
      <w:r>
        <w:rPr>
          <w:rFonts w:hint="eastAsia"/>
          <w:bCs/>
          <w:color w:val="000000"/>
          <w:sz w:val="28"/>
          <w:szCs w:val="28"/>
          <w:highlight w:val="none"/>
        </w:rPr>
        <w:t xml:space="preserve">第六部分</w:t>
      </w:r>
      <w:r>
        <w:rPr>
          <w:bCs/>
          <w:color w:val="000000"/>
          <w:sz w:val="28"/>
          <w:szCs w:val="28"/>
          <w:highlight w:val="none"/>
        </w:rPr>
        <w:t xml:space="preserve">  </w:t>
      </w:r>
      <w:r>
        <w:rPr>
          <w:rFonts w:hint="eastAsia"/>
          <w:bCs/>
          <w:color w:val="000000"/>
          <w:sz w:val="28"/>
          <w:szCs w:val="28"/>
          <w:highlight w:val="none"/>
        </w:rPr>
        <w:t xml:space="preserve">投标文件格式</w:t>
      </w:r>
      <w:r>
        <w:rPr>
          <w:bCs/>
          <w:color w:val="000000"/>
          <w:sz w:val="28"/>
          <w:szCs w:val="28"/>
          <w:highlight w:val="none"/>
        </w:rPr>
        <w:tab/>
      </w:r>
      <w:r>
        <w:rPr>
          <w:bCs/>
          <w:color w:val="000000"/>
          <w:sz w:val="28"/>
          <w:szCs w:val="28"/>
          <w:highlight w:val="none"/>
        </w:rPr>
        <w:fldChar w:fldCharType="begin"/>
      </w:r>
      <w:r>
        <w:rPr>
          <w:bCs/>
          <w:color w:val="000000"/>
          <w:sz w:val="28"/>
          <w:szCs w:val="28"/>
          <w:highlight w:val="none"/>
        </w:rPr>
        <w:instrText xml:space="preserve"> PAGEREF _Toc58260786 \h </w:instrText>
      </w:r>
      <w:r>
        <w:rPr>
          <w:bCs/>
          <w:color w:val="000000"/>
          <w:sz w:val="28"/>
          <w:szCs w:val="28"/>
          <w:highlight w:val="none"/>
        </w:rPr>
        <w:fldChar w:fldCharType="separate"/>
      </w:r>
      <w:r>
        <w:rPr>
          <w:bCs/>
          <w:color w:val="000000"/>
          <w:sz w:val="28"/>
          <w:szCs w:val="28"/>
          <w:highlight w:val="none"/>
        </w:rPr>
        <w:t xml:space="preserve">129</w:t>
      </w:r>
      <w:r>
        <w:rPr>
          <w:bCs/>
          <w:color w:val="000000"/>
          <w:sz w:val="28"/>
          <w:szCs w:val="28"/>
          <w:highlight w:val="none"/>
        </w:rPr>
        <w:fldChar w:fldCharType="end"/>
      </w:r>
      <w:r>
        <w:rPr>
          <w:bCs/>
          <w:color w:val="000000"/>
          <w:sz w:val="28"/>
          <w:szCs w:val="28"/>
          <w:highlight w:val="none"/>
        </w:rPr>
        <w:fldChar w:fldCharType="end"/>
      </w:r>
      <w:r>
        <w:rPr>
          <w:color w:val="000000"/>
          <w:highlight w:val="none"/>
        </w:rPr>
      </w:r>
      <w:r/>
    </w:p>
    <w:p>
      <w:pPr>
        <w:pStyle w:val="856"/>
        <w:rPr>
          <w:rFonts w:ascii="宋体" w:hAnsi="宋体"/>
          <w:color w:val="000000"/>
          <w:sz w:val="24"/>
          <w:szCs w:val="24"/>
          <w:highlight w:val="none"/>
        </w:rPr>
      </w:pPr>
      <w:r>
        <w:rPr>
          <w:rFonts w:ascii="宋体" w:hAnsi="宋体"/>
          <w:color w:val="000000"/>
          <w:sz w:val="24"/>
          <w:szCs w:val="24"/>
          <w:highlight w:val="none"/>
        </w:rPr>
        <w:fldChar w:fldCharType="end"/>
      </w:r>
      <w:r>
        <w:rPr>
          <w:rFonts w:ascii="宋体" w:hAnsi="宋体"/>
          <w:color w:val="000000"/>
          <w:sz w:val="24"/>
          <w:szCs w:val="24"/>
          <w:highlight w:val="none"/>
        </w:rPr>
      </w:r>
      <w:r/>
    </w:p>
    <w:p>
      <w:pPr>
        <w:pStyle w:val="856"/>
        <w:jc w:val="center"/>
        <w:keepLines/>
        <w:keepNext/>
        <w:spacing w:line="360" w:lineRule="auto"/>
        <w:rPr>
          <w:rFonts w:ascii="宋体" w:hAnsi="宋体"/>
          <w:color w:val="000000"/>
          <w:sz w:val="28"/>
          <w:szCs w:val="24"/>
          <w:highlight w:val="none"/>
        </w:rPr>
        <w:outlineLvl w:val="0"/>
      </w:pPr>
      <w:r>
        <w:rPr>
          <w:rFonts w:ascii="宋体" w:hAnsi="宋体" w:eastAsia="仿宋_GB2312"/>
          <w:color w:val="000000"/>
          <w:sz w:val="24"/>
          <w:szCs w:val="24"/>
          <w:highlight w:val="none"/>
        </w:rPr>
        <w:br w:type="page" w:clear="all"/>
      </w:r>
      <w:bookmarkStart w:id="1" w:name="_Toc58260781"/>
      <w:r>
        <w:rPr>
          <w:rFonts w:hint="eastAsia" w:hAnsi="宋体" w:eastAsia="黑体"/>
          <w:color w:val="000000"/>
          <w:sz w:val="36"/>
          <w:szCs w:val="20"/>
          <w:highlight w:val="none"/>
        </w:rPr>
        <w:t xml:space="preserve">第一部分  投标邀请</w:t>
      </w:r>
      <w:bookmarkEnd w:id="1"/>
      <w:r>
        <w:rPr>
          <w:rFonts w:ascii="宋体" w:hAnsi="宋体"/>
          <w:color w:val="000000"/>
          <w:sz w:val="28"/>
          <w:szCs w:val="24"/>
          <w:highlight w:val="none"/>
        </w:rPr>
      </w:r>
      <w:r/>
    </w:p>
    <w:p>
      <w:pPr>
        <w:pStyle w:val="856"/>
        <w:ind w:firstLine="420"/>
        <w:rPr>
          <w:color w:val="000000"/>
          <w:szCs w:val="24"/>
          <w:highlight w:val="none"/>
        </w:rPr>
      </w:pPr>
      <w:r>
        <w:rPr>
          <w:color w:val="000000"/>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90"/>
        </w:trPr>
        <w:tc>
          <w:tcPr>
            <w:tcW w:w="9854" w:type="dxa"/>
            <w:vAlign w:val="top"/>
            <w:textDirection w:val="lrTb"/>
            <w:noWrap w:val="false"/>
          </w:tcPr>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856"/>
              <w:ind w:firstLine="480"/>
              <w:spacing w:line="360" w:lineRule="auto"/>
              <w:rPr>
                <w:rFonts w:ascii="宋体" w:hAnsi="宋体"/>
                <w:color w:val="000000"/>
                <w:szCs w:val="24"/>
                <w:highlight w:val="none"/>
              </w:rPr>
            </w:pPr>
            <w:r>
              <w:rPr>
                <w:rFonts w:hint="eastAsia" w:ascii="宋体" w:hAnsi="宋体"/>
                <w:color w:val="000000"/>
                <w:sz w:val="24"/>
                <w:szCs w:val="24"/>
                <w:highlight w:val="none"/>
                <w:u w:val="single"/>
              </w:rPr>
              <w:t xml:space="preserve">连云港市区污水设施委托运行维护项目</w:t>
            </w:r>
            <w:r>
              <w:rPr>
                <w:rFonts w:hint="eastAsia" w:ascii="宋体" w:hAnsi="宋体"/>
                <w:color w:val="000000"/>
                <w:sz w:val="24"/>
                <w:szCs w:val="24"/>
                <w:highlight w:val="none"/>
              </w:rPr>
              <w:t xml:space="preserve">招标项目的潜在投标人应在</w:t>
            </w:r>
            <w:r>
              <w:rPr>
                <w:rFonts w:hint="eastAsia" w:ascii="宋体" w:hAnsi="宋体"/>
                <w:color w:val="000000"/>
                <w:sz w:val="24"/>
                <w:highlight w:val="none"/>
                <w:u w:val="single"/>
              </w:rPr>
              <w:t xml:space="preserve">江苏政府采购网</w:t>
            </w:r>
            <w:r>
              <w:rPr>
                <w:rFonts w:hint="eastAsia" w:ascii="宋体" w:hAnsi="宋体"/>
                <w:color w:val="000000"/>
                <w:sz w:val="24"/>
                <w:szCs w:val="24"/>
                <w:highlight w:val="none"/>
              </w:rPr>
              <w:t xml:space="preserve">获取招标文件，并于</w:t>
            </w:r>
            <w:r>
              <w:rPr>
                <w:rFonts w:hint="eastAsia" w:ascii="宋体" w:hAnsi="宋体"/>
                <w:color w:val="000000"/>
                <w:sz w:val="24"/>
                <w:szCs w:val="24"/>
                <w:highlight w:val="none"/>
                <w:u w:val="single"/>
                <w:lang w:eastAsia="zh-CN"/>
              </w:rPr>
              <w:t xml:space="preserve">2024年12月26日</w:t>
            </w:r>
            <w:r>
              <w:rPr>
                <w:rFonts w:hint="eastAsia" w:ascii="宋体" w:hAnsi="宋体"/>
                <w:color w:val="000000"/>
                <w:sz w:val="24"/>
                <w:szCs w:val="24"/>
                <w:highlight w:val="none"/>
                <w:u w:val="single"/>
              </w:rPr>
              <w:t xml:space="preserve">上午</w:t>
            </w:r>
            <w:r>
              <w:rPr>
                <w:rFonts w:hint="eastAsia" w:ascii="宋体" w:hAnsi="宋体"/>
                <w:color w:val="000000"/>
                <w:sz w:val="24"/>
                <w:szCs w:val="24"/>
                <w:highlight w:val="none"/>
                <w:u w:val="single"/>
                <w:lang w:val="en-US" w:eastAsia="zh-CN"/>
              </w:rPr>
              <w:t xml:space="preserve">9</w:t>
            </w:r>
            <w:r>
              <w:rPr>
                <w:rFonts w:hint="eastAsia" w:ascii="宋体" w:hAnsi="宋体"/>
                <w:color w:val="000000"/>
                <w:sz w:val="24"/>
                <w:szCs w:val="24"/>
                <w:highlight w:val="none"/>
                <w:u w:val="single"/>
              </w:rPr>
              <w:t xml:space="preserve">点00分00秒</w:t>
            </w:r>
            <w:r>
              <w:rPr>
                <w:rFonts w:hint="eastAsia" w:ascii="宋体" w:hAnsi="宋体"/>
                <w:color w:val="000000"/>
                <w:sz w:val="24"/>
                <w:szCs w:val="24"/>
                <w:highlight w:val="none"/>
              </w:rPr>
              <w:t xml:space="preserve">（北京时间）前</w:t>
            </w:r>
            <w:r>
              <w:rPr>
                <w:rFonts w:hint="eastAsia" w:ascii="宋体" w:hAnsi="宋体"/>
                <w:b/>
                <w:color w:val="000000"/>
                <w:sz w:val="24"/>
                <w:szCs w:val="24"/>
                <w:highlight w:val="none"/>
              </w:rPr>
              <w:t xml:space="preserve">上传电子投标文件</w:t>
            </w:r>
            <w:r>
              <w:rPr>
                <w:rFonts w:hint="eastAsia" w:ascii="宋体" w:hAnsi="宋体"/>
                <w:color w:val="000000"/>
                <w:sz w:val="24"/>
                <w:szCs w:val="24"/>
                <w:highlight w:val="none"/>
              </w:rPr>
              <w:t xml:space="preserve">。</w:t>
            </w:r>
            <w:r>
              <w:rPr>
                <w:rFonts w:ascii="宋体" w:hAnsi="宋体"/>
                <w:color w:val="000000"/>
                <w:szCs w:val="24"/>
                <w:highlight w:val="none"/>
              </w:rPr>
            </w:r>
            <w:r/>
          </w:p>
        </w:tc>
      </w:tr>
    </w:tbl>
    <w:p>
      <w:pPr>
        <w:pStyle w:val="856"/>
        <w:keepLines/>
        <w:keepNext/>
        <w:spacing w:before="156" w:after="156" w:line="360" w:lineRule="auto"/>
        <w:rPr>
          <w:rFonts w:ascii="Arial" w:hAnsi="Arial" w:eastAsia="黑体"/>
          <w:b/>
          <w:bCs/>
          <w:color w:val="000000"/>
          <w:sz w:val="32"/>
          <w:szCs w:val="32"/>
          <w:highlight w:val="none"/>
        </w:rPr>
        <w:outlineLvl w:val="1"/>
      </w:pPr>
      <w:r>
        <w:rPr>
          <w:rFonts w:hint="eastAsia" w:ascii="Arial" w:hAnsi="Arial" w:eastAsia="黑体"/>
          <w:b/>
          <w:bCs/>
          <w:color w:val="000000"/>
          <w:sz w:val="32"/>
          <w:szCs w:val="32"/>
          <w:highlight w:val="none"/>
        </w:rPr>
        <w:t xml:space="preserve">一、项目基本情况</w:t>
      </w:r>
      <w:r>
        <w:rPr>
          <w:rFonts w:ascii="Arial" w:hAnsi="Arial" w:eastAsia="黑体"/>
          <w:b/>
          <w:bCs/>
          <w:color w:val="000000"/>
          <w:sz w:val="32"/>
          <w:szCs w:val="32"/>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标段编号：JSZC-320700-ZYCG-G2024-0042</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标段名称：连云港市区污水设施委托运行维护项目 </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预算金额：</w:t>
      </w:r>
      <w:r>
        <w:rPr>
          <w:rFonts w:hint="eastAsia" w:ascii="宋体" w:hAnsi="宋体"/>
          <w:color w:val="000000"/>
          <w:sz w:val="24"/>
          <w:szCs w:val="28"/>
          <w:highlight w:val="none"/>
          <w:lang w:val="en-US" w:eastAsia="zh-CN"/>
        </w:rPr>
        <w:t xml:space="preserve">85</w:t>
      </w:r>
      <w:r>
        <w:rPr>
          <w:rFonts w:ascii="宋体" w:hAnsi="宋体"/>
          <w:color w:val="000000"/>
          <w:sz w:val="24"/>
          <w:szCs w:val="28"/>
          <w:highlight w:val="none"/>
        </w:rPr>
        <w:t xml:space="preserve">0</w:t>
      </w:r>
      <w:r>
        <w:rPr>
          <w:rFonts w:hint="eastAsia" w:ascii="宋体" w:hAnsi="宋体"/>
          <w:color w:val="000000"/>
          <w:sz w:val="24"/>
          <w:szCs w:val="24"/>
          <w:highlight w:val="none"/>
        </w:rPr>
        <w:t xml:space="preserve">万元，投标报价超过预算金额的投标无效。</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采购需求：</w:t>
      </w:r>
      <w:r>
        <w:rPr>
          <w:rFonts w:hint="eastAsia" w:ascii="宋体" w:hAnsi="宋体"/>
          <w:color w:val="000000"/>
          <w:sz w:val="24"/>
          <w:szCs w:val="28"/>
          <w:highlight w:val="none"/>
        </w:rPr>
        <w:t xml:space="preserve">连云港市市政公用事业发展中心负责管理的21座污水泵站、2座应急水源泵站巡检、调度、养护、维修、运行维护；约140公里市政污水管网、约8.9公里应急水源输送</w:t>
      </w:r>
      <w:r>
        <w:rPr>
          <w:rFonts w:hint="eastAsia" w:ascii="宋体" w:hAnsi="宋体"/>
          <w:color w:val="000000"/>
          <w:sz w:val="24"/>
          <w:szCs w:val="28"/>
          <w:highlight w:val="none"/>
        </w:rPr>
        <w:t xml:space="preserve">管网巡检、疏通、养护、小中修；开展对市政污水管网、检查井等结构性、功能性、错混接检测，出具检测报告，2025年检测不少于60公里，5月底前完成并提交检测报告；大流量强排泵车、移动发电机、疏通车、行车、变压器（含高低压配电等）等特种设备的保养、维修，按规定定期检测核验；中控室值班值守、运行调度、系统维护；接受防汛指令，开展城市防汛排涝相关工作，做好值班值守，巡查城区市政道路，根据防汛需要对部分积水点开展强排工作，汛前开展排水防涝演练；根据要求，开展排水户、泵站及管网关键点水质检测；配合做好排水管理相关工作等。</w:t>
      </w:r>
      <w:r>
        <w:rPr>
          <w:rFonts w:ascii="宋体" w:hAnsi="宋体"/>
          <w:color w:val="000000"/>
          <w:sz w:val="24"/>
          <w:szCs w:val="24"/>
          <w:highlight w:val="none"/>
        </w:rPr>
      </w:r>
      <w:r/>
    </w:p>
    <w:p>
      <w:pPr>
        <w:pStyle w:val="856"/>
        <w:ind w:firstLine="482"/>
        <w:spacing w:line="360" w:lineRule="auto"/>
        <w:rPr>
          <w:rFonts w:ascii="宋体" w:hAnsi="宋体"/>
          <w:color w:val="000000"/>
          <w:sz w:val="24"/>
          <w:szCs w:val="24"/>
          <w:highlight w:val="none"/>
        </w:rPr>
      </w:pPr>
      <w:r>
        <w:rPr>
          <w:rFonts w:hint="eastAsia" w:ascii="宋体" w:hAnsi="宋体"/>
          <w:b/>
          <w:bCs/>
          <w:color w:val="000000"/>
          <w:sz w:val="24"/>
          <w:szCs w:val="24"/>
          <w:highlight w:val="none"/>
        </w:rPr>
        <w:t xml:space="preserve">对项目采购需求部分的询问、质疑请与采购人联系，由采购人负责答复。</w:t>
      </w:r>
      <w:r>
        <w:rPr>
          <w:rFonts w:ascii="宋体" w:hAnsi="宋体"/>
          <w:color w:val="000000"/>
          <w:sz w:val="24"/>
          <w:szCs w:val="24"/>
          <w:highlight w:val="none"/>
        </w:rPr>
      </w:r>
      <w:r/>
    </w:p>
    <w:p>
      <w:pPr>
        <w:pStyle w:val="856"/>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合同履行期限：</w:t>
      </w:r>
      <w:r>
        <w:rPr>
          <w:rFonts w:hint="eastAsia" w:ascii="宋体" w:hAnsi="宋体"/>
          <w:color w:val="000000"/>
          <w:sz w:val="24"/>
          <w:szCs w:val="28"/>
          <w:highlight w:val="none"/>
        </w:rPr>
        <w:t xml:space="preserve">运营维护期限1年</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本项目</w:t>
      </w:r>
      <w:r>
        <w:rPr>
          <w:rFonts w:hint="eastAsia" w:ascii="宋体" w:hAnsi="宋体"/>
          <w:color w:val="000000"/>
          <w:sz w:val="24"/>
          <w:szCs w:val="24"/>
          <w:highlight w:val="none"/>
          <w:lang w:val="en-US" w:eastAsia="zh-CN"/>
        </w:rPr>
        <w:t xml:space="preserve">不</w:t>
      </w:r>
      <w:r>
        <w:rPr>
          <w:rFonts w:hint="eastAsia" w:ascii="宋体" w:hAnsi="宋体"/>
          <w:color w:val="000000"/>
          <w:sz w:val="24"/>
          <w:szCs w:val="24"/>
          <w:highlight w:val="none"/>
        </w:rPr>
        <w:t xml:space="preserve">接受联合体投标。</w:t>
      </w:r>
      <w:r>
        <w:rPr>
          <w:rFonts w:ascii="宋体" w:hAnsi="宋体"/>
          <w:color w:val="000000"/>
          <w:sz w:val="24"/>
          <w:szCs w:val="24"/>
          <w:highlight w:val="none"/>
        </w:rPr>
      </w:r>
      <w:r/>
    </w:p>
    <w:p>
      <w:pPr>
        <w:pStyle w:val="856"/>
        <w:keepLines/>
        <w:keepNext/>
        <w:spacing w:before="156" w:after="156" w:line="360" w:lineRule="auto"/>
        <w:rPr>
          <w:rFonts w:ascii="Arial" w:hAnsi="Arial" w:eastAsia="黑体"/>
          <w:b/>
          <w:bCs/>
          <w:color w:val="000000"/>
          <w:sz w:val="32"/>
          <w:szCs w:val="32"/>
          <w:highlight w:val="none"/>
        </w:rPr>
        <w:outlineLvl w:val="1"/>
      </w:pPr>
      <w:r>
        <w:rPr>
          <w:rFonts w:hint="eastAsia" w:ascii="Arial" w:hAnsi="Arial" w:eastAsia="黑体"/>
          <w:b/>
          <w:bCs/>
          <w:color w:val="000000"/>
          <w:sz w:val="32"/>
          <w:szCs w:val="32"/>
          <w:highlight w:val="none"/>
        </w:rPr>
        <w:t xml:space="preserve">二、申请人的资格要求</w:t>
      </w:r>
      <w:r>
        <w:rPr>
          <w:rFonts w:ascii="Arial" w:hAnsi="Arial" w:eastAsia="黑体"/>
          <w:b/>
          <w:bCs/>
          <w:color w:val="000000"/>
          <w:sz w:val="32"/>
          <w:szCs w:val="32"/>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1.满足《中华人民共和国政府采购法》第二十二条规定，提供下列材料：</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（1）法人或者其他组织的营业执照等证明文件，自然人的身份证明；</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（2）202</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年度经审计的财务状况报告（</w:t>
      </w:r>
      <w:r>
        <w:rPr>
          <w:rFonts w:hint="eastAsia" w:ascii="宋体" w:hAnsi="宋体"/>
          <w:color w:val="000000"/>
          <w:sz w:val="24"/>
          <w:szCs w:val="28"/>
          <w:highlight w:val="none"/>
        </w:rPr>
        <w:t xml:space="preserve">成立不满一个年度的可提供本公司近期的财务报表</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（3）依法缴纳税收和社会保障资金的相关证明材料；</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（4）具备履行合同所必需的设备和专业技术能力的声明及证明材料；</w:t>
      </w:r>
      <w:r>
        <w:rPr>
          <w:rFonts w:ascii="宋体" w:hAnsi="宋体"/>
          <w:color w:val="000000"/>
          <w:sz w:val="24"/>
          <w:szCs w:val="24"/>
          <w:highlight w:val="none"/>
        </w:rPr>
      </w:r>
      <w:r/>
    </w:p>
    <w:p>
      <w:pPr>
        <w:pStyle w:val="856"/>
        <w:ind w:firstLine="480"/>
        <w:spacing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（5）参加政府采购活动前三年内在经营活动中没有重大违法记录的书面声明。</w:t>
      </w:r>
      <w:r>
        <w:rPr>
          <w:rFonts w:hint="eastAsia" w:ascii="宋体" w:hAnsi="宋体" w:eastAsia="宋体"/>
          <w:color w:val="000000"/>
          <w:sz w:val="24"/>
          <w:szCs w:val="24"/>
          <w:highlight w:val="none"/>
          <w:lang w:val="en-US" w:eastAsia="zh-CN"/>
        </w:rPr>
      </w:r>
      <w:r/>
    </w:p>
    <w:p>
      <w:pPr>
        <w:pStyle w:val="878"/>
        <w:ind w:firstLine="482"/>
        <w:rPr>
          <w:rFonts w:hint="eastAsia" w:ascii="宋体" w:hAnsi="宋体"/>
          <w:color w:val="000000"/>
          <w:sz w:val="24"/>
          <w:highlight w:val="none"/>
        </w:rPr>
      </w:pPr>
      <w:r>
        <w:rPr>
          <w:rFonts w:hint="eastAsia" w:ascii="宋体" w:hAnsi="宋体"/>
          <w:b/>
          <w:bCs/>
          <w:color w:val="000000"/>
          <w:sz w:val="24"/>
          <w:highlight w:val="none"/>
        </w:rPr>
        <w:t xml:space="preserve">根据连财购〔2023〕4号文件精神，第（2）、（3）项可以提供《财务状况报告及税收、社会保障资金缴纳情况承诺函》，详见投标文件格式。</w:t>
      </w:r>
      <w:r>
        <w:rPr>
          <w:rFonts w:hint="eastAsia" w:ascii="宋体" w:hAnsi="宋体"/>
          <w:color w:val="000000"/>
          <w:sz w:val="24"/>
          <w:highlight w:val="none"/>
        </w:rPr>
      </w:r>
      <w:r/>
    </w:p>
    <w:p>
      <w:pPr>
        <w:pStyle w:val="85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2.落实政府采购需满足的资格要求：</w:t>
      </w:r>
      <w:r>
        <w:rPr>
          <w:rFonts w:hint="eastAsia" w:ascii="宋体" w:hAnsi="宋体"/>
          <w:color w:val="000000"/>
          <w:sz w:val="24"/>
          <w:szCs w:val="24"/>
          <w:highlight w:val="none"/>
        </w:rPr>
      </w:r>
      <w:r/>
    </w:p>
    <w:p>
      <w:pPr>
        <w:pStyle w:val="856"/>
        <w:ind w:firstLine="480"/>
        <w:spacing w:line="360" w:lineRule="auto"/>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执行财政部、工业和信息化部关于印发《政府采购促进中小企业发展管理办法》的通知(财库(2020)46号)、苏财购(2022)45号，</w:t>
      </w:r>
      <w:r>
        <w:rPr>
          <w:rFonts w:hint="eastAsia" w:ascii="宋体" w:hAnsi="宋体" w:eastAsia="宋体" w:cs="Times New Roman"/>
          <w:b/>
          <w:bCs/>
          <w:color w:val="000000"/>
          <w:sz w:val="24"/>
          <w:szCs w:val="24"/>
          <w:highlight w:val="none"/>
          <w:lang w:val="en-US" w:eastAsia="zh-CN"/>
        </w:rPr>
        <w:t xml:space="preserve">本项目专门面向中小企业采购</w:t>
      </w:r>
      <w:r>
        <w:rPr>
          <w:rFonts w:hint="eastAsia" w:ascii="宋体" w:hAnsi="宋体" w:eastAsia="宋体" w:cs="Times New Roman"/>
          <w:color w:val="000000"/>
          <w:sz w:val="24"/>
          <w:szCs w:val="24"/>
          <w:highlight w:val="none"/>
          <w:lang w:val="en-US" w:eastAsia="zh-CN"/>
        </w:rPr>
        <w:t xml:space="preserve">，符合文件要求的供应商应提交《中小企业声明函》，并上传至电子响应文件中，详见磋商文件。</w:t>
      </w:r>
      <w:r>
        <w:rPr>
          <w:rFonts w:hint="eastAsia" w:ascii="宋体" w:hAnsi="宋体" w:eastAsia="宋体" w:cs="Times New Roman"/>
          <w:color w:val="000000"/>
          <w:sz w:val="24"/>
          <w:szCs w:val="24"/>
          <w:highlight w:val="none"/>
          <w:lang w:val="en-US" w:eastAsia="zh-CN"/>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3.本项目的特定资格要求：</w:t>
      </w:r>
      <w:r>
        <w:rPr>
          <w:rFonts w:ascii="宋体" w:hAnsi="宋体"/>
          <w:color w:val="000000"/>
          <w:sz w:val="24"/>
          <w:szCs w:val="24"/>
          <w:highlight w:val="none"/>
        </w:rPr>
      </w:r>
      <w:r/>
    </w:p>
    <w:p>
      <w:pPr>
        <w:pStyle w:val="878"/>
        <w:ind w:firstLine="482"/>
        <w:rPr>
          <w:rFonts w:hint="eastAsia" w:ascii="宋体" w:hAnsi="宋体"/>
          <w:b/>
          <w:bCs/>
          <w:color w:val="000000"/>
          <w:sz w:val="24"/>
          <w:highlight w:val="none"/>
        </w:rPr>
      </w:pPr>
      <w:r>
        <w:rPr>
          <w:rFonts w:hint="eastAsia" w:ascii="宋体" w:hAnsi="宋体"/>
          <w:b/>
          <w:bCs/>
          <w:color w:val="000000"/>
          <w:sz w:val="24"/>
          <w:highlight w:val="none"/>
        </w:rPr>
        <w:t xml:space="preserve">（1）投标人须具备市政公用工程施工总承包三级及以上或机电工程施工总承包三级及以上资质（有效期内），并具备安全生产条件，取得安全生产许可证（有效期内）。</w:t>
      </w:r>
      <w:r>
        <w:rPr>
          <w:rFonts w:hint="eastAsia" w:ascii="宋体" w:hAnsi="宋体"/>
          <w:b/>
          <w:bCs/>
          <w:color w:val="000000"/>
          <w:sz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4.本项目的其他资格要求：</w:t>
      </w:r>
      <w:r>
        <w:rPr>
          <w:rFonts w:ascii="宋体" w:hAnsi="宋体"/>
          <w:color w:val="000000"/>
          <w:sz w:val="24"/>
          <w:szCs w:val="24"/>
          <w:highlight w:val="none"/>
        </w:rPr>
      </w:r>
      <w:r/>
    </w:p>
    <w:p>
      <w:pPr>
        <w:pStyle w:val="856"/>
        <w:ind w:firstLine="480"/>
        <w:spacing w:line="360" w:lineRule="auto"/>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（1）投标文件递交截止前，被信用中国、中国政府采购网列入失信被执行人、重大税收违法失信主体、政府采购严重违法失信行为记录名单的投标人，拒绝其参与政府采购活动。</w:t>
      </w:r>
      <w:r>
        <w:rPr>
          <w:rFonts w:hint="eastAsia" w:ascii="宋体" w:hAnsi="宋体" w:eastAsia="宋体" w:cs="Times New Roman"/>
          <w:color w:val="000000"/>
          <w:sz w:val="24"/>
          <w:szCs w:val="24"/>
          <w:highlight w:val="none"/>
        </w:rPr>
      </w:r>
      <w:r/>
    </w:p>
    <w:p>
      <w:pPr>
        <w:pStyle w:val="856"/>
        <w:ind w:firstLine="480"/>
        <w:spacing w:line="360" w:lineRule="auto"/>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备注：采购人或采购代理机构通过信用中国网站（www.creditchina.gov.cn）、中国政府采购网（www.ccgp.gov.cn），对投标人信用记录情况进行查询，查询结果页面打印留存。</w:t>
      </w:r>
      <w:r>
        <w:rPr>
          <w:rFonts w:hint="eastAsia" w:ascii="宋体" w:hAnsi="宋体" w:eastAsia="宋体" w:cs="Times New Roman"/>
          <w:color w:val="000000"/>
          <w:sz w:val="24"/>
          <w:szCs w:val="24"/>
          <w:highlight w:val="none"/>
        </w:rPr>
      </w:r>
      <w:r/>
    </w:p>
    <w:p>
      <w:pPr>
        <w:pStyle w:val="856"/>
        <w:ind w:firstLine="480"/>
        <w:spacing w:line="360" w:lineRule="auto"/>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（2）中标后不允许分包或转包。</w:t>
      </w:r>
      <w:r>
        <w:rPr>
          <w:rFonts w:hint="eastAsia" w:ascii="宋体" w:hAnsi="宋体" w:eastAsia="宋体" w:cs="Times New Roman"/>
          <w:color w:val="000000"/>
          <w:sz w:val="24"/>
          <w:szCs w:val="24"/>
          <w:highlight w:val="none"/>
        </w:rPr>
      </w:r>
      <w:r/>
    </w:p>
    <w:p>
      <w:pPr>
        <w:pStyle w:val="856"/>
        <w:ind w:firstLine="480"/>
        <w:spacing w:line="360" w:lineRule="auto"/>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5.法律法规规定的其他条件。</w:t>
      </w:r>
      <w:r>
        <w:rPr>
          <w:rFonts w:hint="eastAsia" w:ascii="宋体" w:hAnsi="宋体" w:eastAsia="宋体" w:cs="Times New Roman"/>
          <w:color w:val="000000"/>
          <w:sz w:val="24"/>
          <w:szCs w:val="24"/>
          <w:highlight w:val="none"/>
        </w:rPr>
      </w:r>
      <w:r/>
    </w:p>
    <w:p>
      <w:pPr>
        <w:pStyle w:val="856"/>
        <w:keepLines/>
        <w:keepNext/>
        <w:spacing w:before="156" w:after="156" w:line="360" w:lineRule="auto"/>
        <w:rPr>
          <w:rFonts w:ascii="Arial" w:hAnsi="Arial" w:eastAsia="黑体"/>
          <w:b/>
          <w:bCs/>
          <w:color w:val="000000"/>
          <w:sz w:val="32"/>
          <w:szCs w:val="32"/>
          <w:highlight w:val="none"/>
        </w:rPr>
        <w:outlineLvl w:val="1"/>
      </w:pPr>
      <w:r>
        <w:rPr>
          <w:rFonts w:hint="eastAsia" w:ascii="Arial" w:hAnsi="Arial" w:eastAsia="黑体"/>
          <w:b/>
          <w:bCs/>
          <w:color w:val="000000"/>
          <w:sz w:val="32"/>
          <w:szCs w:val="32"/>
          <w:highlight w:val="none"/>
        </w:rPr>
        <w:t xml:space="preserve">三、获取招标文件</w:t>
      </w:r>
      <w:r>
        <w:rPr>
          <w:rFonts w:ascii="Arial" w:hAnsi="Arial" w:eastAsia="黑体"/>
          <w:b/>
          <w:bCs/>
          <w:color w:val="000000"/>
          <w:sz w:val="32"/>
          <w:szCs w:val="32"/>
          <w:highlight w:val="none"/>
        </w:rPr>
      </w:r>
      <w:r/>
    </w:p>
    <w:p>
      <w:pPr>
        <w:pStyle w:val="85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1.时间：202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12</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日至202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12</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11</w:t>
      </w:r>
      <w:r>
        <w:rPr>
          <w:rFonts w:hint="eastAsia" w:ascii="宋体" w:hAnsi="宋体"/>
          <w:color w:val="000000"/>
          <w:sz w:val="24"/>
          <w:highlight w:val="none"/>
        </w:rPr>
        <w:t xml:space="preserve">日18:00:00止（北京时间）</w:t>
      </w:r>
      <w:r>
        <w:rPr>
          <w:rFonts w:hint="eastAsia" w:ascii="宋体" w:hAnsi="宋体"/>
          <w:color w:val="000000"/>
          <w:sz w:val="24"/>
          <w:highlight w:val="none"/>
        </w:rPr>
      </w:r>
      <w:r/>
    </w:p>
    <w:p>
      <w:pPr>
        <w:pStyle w:val="85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2.地点：</w:t>
      </w:r>
      <w:r>
        <w:rPr>
          <w:rFonts w:hint="eastAsia" w:ascii="宋体" w:hAnsi="宋体" w:cs="宋体"/>
          <w:color w:val="000000"/>
          <w:sz w:val="24"/>
          <w:szCs w:val="24"/>
          <w:highlight w:val="none"/>
        </w:rPr>
        <w:t xml:space="preserve">在“江苏政府采购网”自行免费下载招标文件</w:t>
      </w:r>
      <w:r>
        <w:rPr>
          <w:rFonts w:ascii="宋体" w:hAnsi="宋体"/>
          <w:color w:val="000000"/>
          <w:sz w:val="24"/>
          <w:highlight w:val="none"/>
        </w:rPr>
      </w:r>
      <w:r/>
    </w:p>
    <w:p>
      <w:pPr>
        <w:pStyle w:val="856"/>
        <w:keepLines/>
        <w:keepNext/>
        <w:spacing w:before="156" w:after="156" w:line="360" w:lineRule="auto"/>
        <w:rPr>
          <w:rFonts w:ascii="Arial" w:hAnsi="Arial" w:eastAsia="黑体"/>
          <w:b/>
          <w:bCs/>
          <w:color w:val="000000"/>
          <w:sz w:val="32"/>
          <w:szCs w:val="32"/>
          <w:highlight w:val="none"/>
        </w:rPr>
        <w:outlineLvl w:val="1"/>
      </w:pPr>
      <w:r>
        <w:rPr>
          <w:rFonts w:hint="eastAsia" w:ascii="Arial" w:hAnsi="Arial" w:eastAsia="黑体"/>
          <w:b/>
          <w:bCs/>
          <w:color w:val="000000"/>
          <w:sz w:val="32"/>
          <w:szCs w:val="32"/>
          <w:highlight w:val="none"/>
        </w:rPr>
        <w:t xml:space="preserve">四、提交投标文件截止时间、开标时间和地点</w:t>
      </w:r>
      <w:r>
        <w:rPr>
          <w:rFonts w:ascii="Arial" w:hAnsi="Arial" w:eastAsia="黑体"/>
          <w:b/>
          <w:bCs/>
          <w:color w:val="000000"/>
          <w:sz w:val="32"/>
          <w:szCs w:val="32"/>
          <w:highlight w:val="none"/>
        </w:rPr>
      </w:r>
      <w:r/>
    </w:p>
    <w:p>
      <w:pPr>
        <w:pStyle w:val="856"/>
        <w:ind w:firstLine="482"/>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1.投标文件接收（上传）截止时间</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2024年12月26日</w:t>
      </w:r>
      <w:r>
        <w:rPr>
          <w:rFonts w:hint="eastAsia" w:ascii="宋体" w:hAnsi="宋体"/>
          <w:color w:val="000000"/>
          <w:sz w:val="24"/>
          <w:highlight w:val="none"/>
        </w:rPr>
        <w:t xml:space="preserve">上午</w:t>
      </w:r>
      <w:r>
        <w:rPr>
          <w:rFonts w:hint="eastAsia" w:ascii="宋体" w:hAnsi="宋体"/>
          <w:color w:val="000000"/>
          <w:sz w:val="24"/>
          <w:highlight w:val="none"/>
          <w:lang w:val="en-US" w:eastAsia="zh-CN"/>
        </w:rPr>
        <w:t xml:space="preserve">9</w:t>
      </w:r>
      <w:r>
        <w:rPr>
          <w:rFonts w:hint="eastAsia" w:ascii="宋体" w:hAnsi="宋体"/>
          <w:color w:val="000000"/>
          <w:sz w:val="24"/>
          <w:highlight w:val="none"/>
          <w:lang w:eastAsia="zh-CN"/>
        </w:rPr>
        <w:t xml:space="preserve">:00</w:t>
      </w:r>
      <w:r>
        <w:rPr>
          <w:rFonts w:hint="eastAsia" w:ascii="宋体" w:hAnsi="宋体"/>
          <w:color w:val="000000"/>
          <w:sz w:val="24"/>
          <w:highlight w:val="none"/>
        </w:rPr>
        <w:t xml:space="preserve">:00（北京时间）</w:t>
      </w:r>
      <w:r>
        <w:rPr>
          <w:rFonts w:hint="eastAsia" w:ascii="宋体" w:hAnsi="宋体"/>
          <w:color w:val="000000"/>
          <w:sz w:val="24"/>
          <w:highlight w:val="none"/>
        </w:rPr>
      </w:r>
      <w:r/>
    </w:p>
    <w:p>
      <w:pPr>
        <w:pStyle w:val="856"/>
        <w:ind w:firstLine="482"/>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2.开标地点</w:t>
      </w:r>
      <w:r>
        <w:rPr>
          <w:rFonts w:hint="eastAsia" w:ascii="宋体" w:hAnsi="宋体"/>
          <w:color w:val="000000"/>
          <w:sz w:val="24"/>
          <w:highlight w:val="none"/>
        </w:rPr>
        <w:t xml:space="preserve">：“苏采云”政府采购交易系统网上开标大厅</w:t>
      </w:r>
      <w:r>
        <w:rPr>
          <w:rFonts w:hint="eastAsia" w:ascii="宋体" w:hAnsi="宋体"/>
          <w:color w:val="000000"/>
          <w:sz w:val="24"/>
          <w:highlight w:val="none"/>
        </w:rPr>
      </w:r>
      <w:r/>
    </w:p>
    <w:p>
      <w:pPr>
        <w:pStyle w:val="856"/>
        <w:keepLines/>
        <w:keepNext/>
        <w:spacing w:before="156" w:after="156" w:line="360" w:lineRule="auto"/>
        <w:rPr>
          <w:rFonts w:ascii="Arial" w:hAnsi="Arial" w:eastAsia="黑体"/>
          <w:b/>
          <w:bCs/>
          <w:color w:val="000000"/>
          <w:sz w:val="32"/>
          <w:szCs w:val="32"/>
          <w:highlight w:val="none"/>
        </w:rPr>
        <w:outlineLvl w:val="1"/>
      </w:pPr>
      <w:r>
        <w:rPr>
          <w:rFonts w:hint="eastAsia" w:ascii="Arial" w:hAnsi="Arial" w:eastAsia="黑体"/>
          <w:b/>
          <w:bCs/>
          <w:color w:val="000000"/>
          <w:sz w:val="32"/>
          <w:szCs w:val="32"/>
          <w:highlight w:val="none"/>
        </w:rPr>
        <w:t xml:space="preserve">五、公告期限</w:t>
      </w:r>
      <w:r>
        <w:rPr>
          <w:rFonts w:ascii="Arial" w:hAnsi="Arial" w:eastAsia="黑体"/>
          <w:b/>
          <w:bCs/>
          <w:color w:val="000000"/>
          <w:sz w:val="32"/>
          <w:szCs w:val="32"/>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自本公告发布之日起5个工作日。</w:t>
      </w:r>
      <w:r>
        <w:rPr>
          <w:rFonts w:ascii="宋体" w:hAnsi="宋体"/>
          <w:color w:val="000000"/>
          <w:sz w:val="24"/>
          <w:szCs w:val="24"/>
          <w:highlight w:val="none"/>
        </w:rPr>
      </w:r>
      <w:r/>
    </w:p>
    <w:p>
      <w:pPr>
        <w:pStyle w:val="856"/>
        <w:keepLines/>
        <w:keepNext/>
        <w:spacing w:before="156" w:after="156" w:line="360" w:lineRule="auto"/>
        <w:rPr>
          <w:rFonts w:ascii="Arial" w:hAnsi="Arial" w:eastAsia="黑体"/>
          <w:b/>
          <w:bCs/>
          <w:color w:val="000000"/>
          <w:sz w:val="32"/>
          <w:szCs w:val="32"/>
          <w:highlight w:val="none"/>
        </w:rPr>
        <w:outlineLvl w:val="1"/>
      </w:pPr>
      <w:r>
        <w:rPr>
          <w:rFonts w:hint="eastAsia" w:ascii="Arial" w:hAnsi="Arial" w:eastAsia="黑体"/>
          <w:b/>
          <w:bCs/>
          <w:color w:val="000000"/>
          <w:sz w:val="32"/>
          <w:szCs w:val="32"/>
          <w:highlight w:val="none"/>
        </w:rPr>
        <w:t xml:space="preserve">六、其他补充事宜</w:t>
      </w:r>
      <w:r>
        <w:rPr>
          <w:rFonts w:ascii="Arial" w:hAnsi="Arial" w:eastAsia="黑体"/>
          <w:b/>
          <w:bCs/>
          <w:color w:val="000000"/>
          <w:sz w:val="32"/>
          <w:szCs w:val="32"/>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本次公开招标不收取投标保证金。</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2.本招标文件中标注★的款项为实质性响应要求和条件，如不满足将按无效响应处理。 </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3.无论出于何种原因，采购人在采购活动开始前可对采购文件进行修改、补充或变更，其内容作为采购文件的重要组成部分，请各</w:t>
      </w:r>
      <w:r>
        <w:rPr>
          <w:rFonts w:hint="eastAsia" w:ascii="宋体" w:hAnsi="宋体" w:cs="宋体"/>
          <w:color w:val="000000"/>
          <w:sz w:val="24"/>
          <w:szCs w:val="24"/>
          <w:highlight w:val="none"/>
        </w:rPr>
        <w:t xml:space="preserve">投标人</w:t>
      </w:r>
      <w:r>
        <w:rPr>
          <w:rFonts w:hint="eastAsia" w:ascii="宋体" w:hAnsi="宋体"/>
          <w:color w:val="000000"/>
          <w:sz w:val="24"/>
          <w:highlight w:val="none"/>
        </w:rPr>
        <w:t xml:space="preserve">关注江苏政府采购网平台网站</w:t>
      </w:r>
      <w:r>
        <w:rPr>
          <w:rFonts w:hint="eastAsia" w:ascii="宋体" w:hAnsi="宋体"/>
          <w:color w:val="000000"/>
          <w:sz w:val="24"/>
          <w:szCs w:val="24"/>
          <w:highlight w:val="none"/>
        </w:rPr>
        <w:t xml:space="preserve">。若因</w:t>
      </w: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自身原因未及时关注本项目有关修改、补充或变更信息，导致投标文件编制或提交失误，由此造成的一切损失由</w:t>
      </w: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自行承担。 </w:t>
      </w:r>
      <w:r>
        <w:rPr>
          <w:rFonts w:ascii="宋体" w:hAnsi="宋体"/>
          <w:color w:val="000000"/>
          <w:sz w:val="24"/>
          <w:szCs w:val="24"/>
          <w:highlight w:val="none"/>
        </w:rPr>
      </w:r>
      <w:r/>
    </w:p>
    <w:p>
      <w:pPr>
        <w:pStyle w:val="856"/>
        <w:keepLines/>
        <w:keepNext/>
        <w:spacing w:before="156" w:after="156" w:line="360" w:lineRule="auto"/>
        <w:rPr>
          <w:rFonts w:ascii="Arial" w:hAnsi="Arial" w:eastAsia="黑体"/>
          <w:b/>
          <w:bCs/>
          <w:color w:val="000000"/>
          <w:sz w:val="32"/>
          <w:szCs w:val="32"/>
          <w:highlight w:val="none"/>
        </w:rPr>
        <w:outlineLvl w:val="1"/>
      </w:pPr>
      <w:r>
        <w:rPr>
          <w:rFonts w:hint="eastAsia" w:ascii="Arial" w:hAnsi="Arial" w:eastAsia="黑体"/>
          <w:b/>
          <w:bCs/>
          <w:color w:val="000000"/>
          <w:sz w:val="32"/>
          <w:szCs w:val="32"/>
          <w:highlight w:val="none"/>
        </w:rPr>
        <w:t xml:space="preserve">七、对本次招标提出询问，请按以下方式联系</w:t>
      </w:r>
      <w:r>
        <w:rPr>
          <w:rFonts w:ascii="Arial" w:hAnsi="Arial" w:eastAsia="黑体"/>
          <w:b/>
          <w:bCs/>
          <w:color w:val="000000"/>
          <w:sz w:val="32"/>
          <w:szCs w:val="32"/>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1.采购人信息</w:t>
      </w:r>
      <w:r>
        <w:rPr>
          <w:rFonts w:ascii="宋体" w:hAnsi="宋体"/>
          <w:color w:val="000000"/>
          <w:sz w:val="24"/>
          <w:szCs w:val="24"/>
          <w:highlight w:val="none"/>
        </w:rPr>
      </w:r>
      <w:r/>
    </w:p>
    <w:p>
      <w:pPr>
        <w:pStyle w:val="85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    称：连云港市市政公用事业发展中心</w:t>
      </w:r>
      <w:r>
        <w:rPr>
          <w:rFonts w:hint="eastAsia" w:ascii="宋体" w:hAnsi="宋体"/>
          <w:color w:val="000000"/>
          <w:sz w:val="24"/>
          <w:szCs w:val="24"/>
          <w:highlight w:val="none"/>
        </w:rPr>
      </w:r>
      <w:r/>
    </w:p>
    <w:p>
      <w:pPr>
        <w:pStyle w:val="878"/>
        <w:ind w:firstLine="480"/>
        <w:rPr>
          <w:rFonts w:hint="eastAsia"/>
          <w:color w:val="000000"/>
          <w:highlight w:val="none"/>
        </w:rPr>
      </w:pPr>
      <w:r>
        <w:rPr>
          <w:rFonts w:hint="eastAsia" w:ascii="宋体" w:hAnsi="宋体" w:cs="宋体"/>
          <w:color w:val="000000"/>
          <w:sz w:val="24"/>
          <w:szCs w:val="28"/>
          <w:highlight w:val="none"/>
        </w:rPr>
        <w:t xml:space="preserve">地    址：连云港市海州区南极南路64号</w:t>
      </w:r>
      <w:r>
        <w:rPr>
          <w:rFonts w:hint="eastAsia"/>
          <w:color w:val="000000"/>
          <w:highlight w:val="none"/>
        </w:rPr>
      </w:r>
      <w:r/>
    </w:p>
    <w:p>
      <w:pPr>
        <w:pStyle w:val="856"/>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lang w:val="en-US" w:eastAsia="zh-CN"/>
        </w:rPr>
        <w:t xml:space="preserve">梁工   </w:t>
      </w:r>
      <w:r>
        <w:rPr>
          <w:rFonts w:hint="eastAsia" w:ascii="宋体" w:hAnsi="宋体" w:cs="宋体"/>
          <w:color w:val="000000"/>
          <w:sz w:val="24"/>
          <w:szCs w:val="28"/>
          <w:highlight w:val="none"/>
          <w:lang w:eastAsia="zh-CN"/>
        </w:rPr>
        <w:t xml:space="preserve">15105130578</w:t>
      </w:r>
      <w:r>
        <w:rPr>
          <w:rFonts w:hint="eastAsia" w:ascii="宋体" w:hAnsi="宋体" w:eastAsia="宋体"/>
          <w:color w:val="000000"/>
          <w:sz w:val="24"/>
          <w:szCs w:val="24"/>
          <w:highlight w:val="none"/>
          <w:lang w:eastAsia="zh-CN"/>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2.采购代理机构信息</w:t>
      </w:r>
      <w:r>
        <w:rPr>
          <w:rFonts w:ascii="宋体" w:hAnsi="宋体"/>
          <w:color w:val="000000"/>
          <w:sz w:val="24"/>
          <w:szCs w:val="24"/>
          <w:highlight w:val="none"/>
        </w:rPr>
      </w:r>
      <w:r/>
    </w:p>
    <w:p>
      <w:pPr>
        <w:pStyle w:val="856"/>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lang w:eastAsia="zh-CN"/>
        </w:rPr>
        <w:t xml:space="preserve">扬州筑苑工程招标咨询有限公司</w:t>
      </w:r>
      <w:r>
        <w:rPr>
          <w:rFonts w:hint="eastAsia" w:ascii="宋体" w:hAnsi="宋体" w:eastAsia="宋体"/>
          <w:color w:val="000000"/>
          <w:sz w:val="24"/>
          <w:szCs w:val="24"/>
          <w:highlight w:val="none"/>
          <w:lang w:eastAsia="zh-CN"/>
        </w:rPr>
      </w:r>
      <w:r/>
    </w:p>
    <w:p>
      <w:pPr>
        <w:pStyle w:val="856"/>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lang w:eastAsia="zh-CN"/>
        </w:rPr>
        <w:t xml:space="preserve">连云港市海州区鼎派商务中心1-3号</w:t>
      </w:r>
      <w:r>
        <w:rPr>
          <w:rFonts w:hint="eastAsia" w:ascii="宋体" w:hAnsi="宋体" w:eastAsia="宋体"/>
          <w:color w:val="000000"/>
          <w:sz w:val="24"/>
          <w:szCs w:val="24"/>
          <w:highlight w:val="none"/>
          <w:lang w:eastAsia="zh-CN"/>
        </w:rPr>
      </w:r>
      <w:r/>
    </w:p>
    <w:p>
      <w:pPr>
        <w:pStyle w:val="856"/>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lang w:eastAsia="zh-CN"/>
        </w:rPr>
        <w:t xml:space="preserve">王工</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18036661024</w:t>
      </w:r>
      <w:r>
        <w:rPr>
          <w:rFonts w:hint="eastAsia" w:ascii="宋体" w:hAnsi="宋体" w:eastAsia="宋体"/>
          <w:color w:val="000000"/>
          <w:sz w:val="24"/>
          <w:szCs w:val="24"/>
          <w:highlight w:val="none"/>
          <w:lang w:eastAsia="zh-CN"/>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3.项目联系方式</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lang w:val="en-US"/>
        </w:rPr>
      </w:pPr>
      <w:r>
        <w:rPr>
          <w:rFonts w:hint="eastAsia" w:ascii="宋体" w:hAnsi="宋体"/>
          <w:color w:val="000000"/>
          <w:sz w:val="24"/>
          <w:szCs w:val="24"/>
          <w:highlight w:val="none"/>
        </w:rPr>
        <w:t xml:space="preserve">项目联系人：</w:t>
      </w:r>
      <w:r>
        <w:rPr>
          <w:rFonts w:hint="eastAsia" w:ascii="宋体" w:hAnsi="宋体"/>
          <w:color w:val="000000"/>
          <w:sz w:val="24"/>
          <w:szCs w:val="24"/>
          <w:highlight w:val="none"/>
          <w:lang w:val="en-US" w:eastAsia="zh-CN"/>
        </w:rPr>
        <w:t xml:space="preserve">梁工</w:t>
      </w:r>
      <w:r>
        <w:rPr>
          <w:rFonts w:ascii="宋体" w:hAnsi="宋体"/>
          <w:color w:val="000000"/>
          <w:sz w:val="24"/>
          <w:szCs w:val="24"/>
          <w:highlight w:val="none"/>
          <w:lang w:val="en-US"/>
        </w:rPr>
      </w:r>
      <w:r/>
    </w:p>
    <w:p>
      <w:pPr>
        <w:pStyle w:val="856"/>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电      话：</w:t>
      </w:r>
      <w:r>
        <w:rPr>
          <w:rFonts w:hint="eastAsia" w:ascii="宋体" w:hAnsi="宋体" w:cs="宋体"/>
          <w:color w:val="000000"/>
          <w:sz w:val="24"/>
          <w:szCs w:val="28"/>
          <w:highlight w:val="none"/>
          <w:lang w:eastAsia="zh-CN"/>
        </w:rPr>
        <w:t xml:space="preserve">15105130578</w:t>
      </w:r>
      <w:r>
        <w:rPr>
          <w:rFonts w:hint="eastAsia" w:ascii="宋体" w:hAnsi="宋体" w:eastAsia="宋体"/>
          <w:color w:val="000000"/>
          <w:sz w:val="24"/>
          <w:szCs w:val="24"/>
          <w:highlight w:val="none"/>
          <w:lang w:eastAsia="zh-CN"/>
        </w:rPr>
      </w:r>
      <w:r/>
    </w:p>
    <w:p>
      <w:pPr>
        <w:pStyle w:val="856"/>
        <w:keepLines/>
        <w:keepNext/>
        <w:spacing w:before="156" w:after="156" w:line="360" w:lineRule="auto"/>
        <w:rPr>
          <w:rFonts w:ascii="Arial" w:hAnsi="Arial" w:eastAsia="黑体"/>
          <w:b/>
          <w:bCs/>
          <w:color w:val="000000"/>
          <w:sz w:val="32"/>
          <w:szCs w:val="32"/>
          <w:highlight w:val="none"/>
        </w:rPr>
        <w:outlineLvl w:val="1"/>
      </w:pPr>
      <w:r>
        <w:rPr>
          <w:rFonts w:hint="eastAsia" w:ascii="Arial" w:hAnsi="Arial" w:eastAsia="黑体"/>
          <w:b/>
          <w:bCs/>
          <w:color w:val="000000"/>
          <w:sz w:val="32"/>
          <w:szCs w:val="32"/>
          <w:highlight w:val="none"/>
        </w:rPr>
        <w:t xml:space="preserve">八、其他</w:t>
      </w:r>
      <w:r>
        <w:rPr>
          <w:rFonts w:ascii="Arial" w:hAnsi="Arial" w:eastAsia="黑体"/>
          <w:b/>
          <w:bCs/>
          <w:color w:val="000000"/>
          <w:sz w:val="32"/>
          <w:szCs w:val="32"/>
          <w:highlight w:val="none"/>
        </w:rPr>
      </w:r>
      <w:r/>
    </w:p>
    <w:p>
      <w:pPr>
        <w:pStyle w:val="85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 根据省财政厅《关于更</w:t>
      </w:r>
      <w:r>
        <w:rPr>
          <w:rFonts w:hint="eastAsia" w:ascii="宋体" w:hAnsi="宋体"/>
          <w:color w:val="000000"/>
          <w:sz w:val="24"/>
          <w:highlight w:val="none"/>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color w:val="000000"/>
          <w:sz w:val="24"/>
          <w:highlight w:val="none"/>
        </w:rPr>
      </w:r>
      <w:r/>
    </w:p>
    <w:p>
      <w:pPr>
        <w:pStyle w:val="85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如果投标人参与2023年9月18日前发布公告的项目，请使用原CA锁（国信CA和金格电子签章）继续完成投标（响应）流程，操作手册及CA办理指南下载链接：http://www.ccgp-jiangsu.gov.cn/jiangsu/zlxz/aa/aa22e7f645df4922b5056d34396771d3.html。</w:t>
      </w:r>
      <w:r>
        <w:rPr>
          <w:rFonts w:hint="eastAsia" w:ascii="宋体" w:hAnsi="宋体"/>
          <w:color w:val="000000"/>
          <w:sz w:val="24"/>
          <w:highlight w:val="none"/>
        </w:rPr>
      </w:r>
      <w:r/>
    </w:p>
    <w:p>
      <w:pPr>
        <w:pStyle w:val="85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领取CA和办理电子签章（请至连云港市财政局(海州区海连中路66号)西门向南约20米办理，具体联系方式见《苏采云系统供应商操作手册》（以下简称《操作手册》））、进行注册并按《操作手册》要求制作、上传电子投标文件。</w:t>
      </w:r>
      <w:r>
        <w:rPr>
          <w:rFonts w:hint="eastAsia" w:ascii="宋体" w:hAnsi="宋体"/>
          <w:color w:val="000000"/>
          <w:sz w:val="24"/>
          <w:highlight w:val="none"/>
        </w:rPr>
      </w:r>
      <w:r/>
    </w:p>
    <w:p>
      <w:pPr>
        <w:pStyle w:val="85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 有关本次招标的事项若存在变动或修改，敬请及时关注江苏省政府采购中心在“江苏政府采购网”发布的更正公告。</w:t>
      </w:r>
      <w:r>
        <w:rPr>
          <w:rFonts w:hint="eastAsia" w:ascii="宋体" w:hAnsi="宋体"/>
          <w:color w:val="000000"/>
          <w:sz w:val="24"/>
          <w:highlight w:val="none"/>
        </w:rPr>
      </w:r>
      <w:r/>
    </w:p>
    <w:p>
      <w:pPr>
        <w:pStyle w:val="85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 本次招标不收取投标保证金。</w:t>
      </w:r>
      <w:r>
        <w:rPr>
          <w:rFonts w:hint="eastAsia" w:ascii="宋体" w:hAnsi="宋体"/>
          <w:color w:val="000000"/>
          <w:sz w:val="24"/>
          <w:highlight w:val="none"/>
        </w:rPr>
      </w:r>
      <w:r/>
    </w:p>
    <w:p>
      <w:pPr>
        <w:pStyle w:val="856"/>
        <w:ind w:right="630" w:firstLine="480"/>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56"/>
        <w:ind w:right="630" w:firstLine="480"/>
        <w:jc w:val="righ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日</w:t>
      </w:r>
      <w:r>
        <w:rPr>
          <w:rFonts w:ascii="宋体" w:hAnsi="宋体" w:cs="宋体"/>
          <w:color w:val="000000"/>
          <w:sz w:val="24"/>
          <w:szCs w:val="24"/>
          <w:highlight w:val="none"/>
        </w:rPr>
      </w:r>
      <w:r/>
    </w:p>
    <w:p>
      <w:pPr>
        <w:pStyle w:val="856"/>
        <w:jc w:val="center"/>
        <w:keepLines/>
        <w:keepNext/>
        <w:spacing w:line="360" w:lineRule="auto"/>
        <w:rPr>
          <w:rFonts w:ascii="宋体" w:hAnsi="宋体"/>
          <w:b/>
          <w:bCs/>
          <w:color w:val="000000"/>
          <w:sz w:val="28"/>
          <w:szCs w:val="24"/>
          <w:highlight w:val="none"/>
        </w:rPr>
        <w:outlineLvl w:val="0"/>
      </w:pPr>
      <w:r>
        <w:rPr>
          <w:rFonts w:ascii="宋体" w:hAnsi="宋体"/>
          <w:color w:val="000000"/>
          <w:sz w:val="28"/>
          <w:szCs w:val="24"/>
          <w:highlight w:val="none"/>
        </w:rPr>
        <w:br w:type="page" w:clear="all"/>
      </w:r>
      <w:bookmarkStart w:id="2" w:name="_Toc58260782"/>
      <w:r>
        <w:rPr>
          <w:rFonts w:hint="eastAsia" w:hAnsi="宋体" w:eastAsia="黑体"/>
          <w:color w:val="000000"/>
          <w:sz w:val="36"/>
          <w:szCs w:val="20"/>
          <w:highlight w:val="none"/>
        </w:rPr>
        <w:t xml:space="preserve">第二部分  投标人须知</w:t>
      </w:r>
      <w:bookmarkEnd w:id="2"/>
      <w:r>
        <w:rPr>
          <w:rFonts w:ascii="宋体" w:hAnsi="宋体"/>
          <w:b/>
          <w:bCs/>
          <w:color w:val="000000"/>
          <w:sz w:val="28"/>
          <w:szCs w:val="24"/>
          <w:highlight w:val="none"/>
        </w:rPr>
      </w:r>
      <w:r/>
    </w:p>
    <w:p>
      <w:pPr>
        <w:pStyle w:val="856"/>
        <w:keepLines/>
        <w:keepNext/>
        <w:spacing w:before="156" w:after="156" w:line="360" w:lineRule="auto"/>
        <w:rPr>
          <w:rFonts w:ascii="Arial" w:hAnsi="Arial" w:eastAsia="黑体"/>
          <w:b/>
          <w:bCs/>
          <w:color w:val="000000"/>
          <w:sz w:val="32"/>
          <w:szCs w:val="32"/>
          <w:highlight w:val="none"/>
        </w:rPr>
        <w:outlineLvl w:val="1"/>
      </w:pPr>
      <w:r>
        <w:rPr>
          <w:rFonts w:hint="eastAsia" w:ascii="Arial" w:hAnsi="Arial" w:eastAsia="黑体"/>
          <w:b/>
          <w:bCs/>
          <w:color w:val="000000"/>
          <w:sz w:val="32"/>
          <w:szCs w:val="32"/>
          <w:highlight w:val="none"/>
        </w:rPr>
        <w:t xml:space="preserve">一、说明</w:t>
      </w:r>
      <w:r>
        <w:rPr>
          <w:rFonts w:ascii="Arial" w:hAnsi="Arial" w:eastAsia="黑体"/>
          <w:b/>
          <w:bCs/>
          <w:color w:val="000000"/>
          <w:sz w:val="32"/>
          <w:szCs w:val="32"/>
          <w:highlight w:val="none"/>
        </w:rPr>
      </w:r>
      <w:r/>
    </w:p>
    <w:p>
      <w:pPr>
        <w:pStyle w:val="856"/>
        <w:ind w:firstLine="48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一、适用范围</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本招标文件仅适用于本次公开招标中所叙述项目的采购，招标需求详见第四部分“项目需求”。本次招标、投标、开标、评标和中标结果发布全程电子化。</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投标人的投标文件以及投标人与采购代理机构就有关投标的所有来往函电统一使用中文（特别规定除外），既有中文也有外文的，以中文意义为准。</w:t>
      </w:r>
      <w:r>
        <w:rPr>
          <w:rFonts w:ascii="宋体" w:hAnsi="宋体"/>
          <w:color w:val="000000"/>
          <w:sz w:val="24"/>
          <w:szCs w:val="24"/>
          <w:highlight w:val="none"/>
        </w:rPr>
      </w:r>
      <w:r/>
    </w:p>
    <w:p>
      <w:pPr>
        <w:pStyle w:val="856"/>
        <w:ind w:firstLine="48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二、定义：</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“招标人”（采购人）系指组织本次招标的招标机构；“投标人”系指向招标人提交投标文件的制造（研发）商或</w:t>
      </w: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；“投标人代表”系指投标人的法定代表人或者获其授权的代理人。</w:t>
      </w:r>
      <w:r>
        <w:rPr>
          <w:rFonts w:ascii="宋体" w:hAnsi="宋体"/>
          <w:color w:val="000000"/>
          <w:sz w:val="24"/>
          <w:szCs w:val="24"/>
          <w:highlight w:val="none"/>
        </w:rPr>
      </w:r>
      <w:r/>
    </w:p>
    <w:p>
      <w:pPr>
        <w:pStyle w:val="856"/>
        <w:ind w:firstLine="48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三、投标费用：</w:t>
      </w:r>
      <w:r>
        <w:rPr>
          <w:rFonts w:ascii="宋体" w:hAnsi="宋体"/>
          <w:color w:val="000000"/>
          <w:sz w:val="24"/>
          <w:szCs w:val="24"/>
          <w:highlight w:val="none"/>
        </w:rPr>
      </w:r>
      <w:r/>
    </w:p>
    <w:p>
      <w:pPr>
        <w:pStyle w:val="85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无论投标过程中的作法和结果如何，投标人自行承担所有与参加投标有关的全部费用。</w:t>
      </w:r>
      <w:r>
        <w:rPr>
          <w:rFonts w:hint="eastAsia" w:ascii="宋体" w:hAnsi="宋体"/>
          <w:color w:val="000000"/>
          <w:sz w:val="24"/>
          <w:szCs w:val="24"/>
          <w:highlight w:val="none"/>
        </w:rPr>
      </w:r>
      <w:r/>
    </w:p>
    <w:p>
      <w:pPr>
        <w:pStyle w:val="878"/>
        <w:ind w:firstLine="480"/>
        <w:rPr>
          <w:rFonts w:ascii="宋体" w:hAnsi="宋体"/>
          <w:color w:val="000000"/>
          <w:sz w:val="24"/>
          <w:highlight w:val="none"/>
        </w:rPr>
      </w:pPr>
      <w:r>
        <w:rPr>
          <w:rFonts w:hint="eastAsia" w:ascii="宋体" w:hAnsi="宋体"/>
          <w:color w:val="000000"/>
          <w:sz w:val="24"/>
          <w:highlight w:val="none"/>
          <w:lang w:val="en-US" w:eastAsia="zh-CN"/>
        </w:rPr>
        <w:t xml:space="preserve">本次招标</w:t>
      </w:r>
      <w:r>
        <w:rPr>
          <w:rFonts w:hint="eastAsia" w:ascii="宋体" w:hAnsi="宋体"/>
          <w:color w:val="000000"/>
          <w:sz w:val="24"/>
          <w:highlight w:val="none"/>
        </w:rPr>
        <w:t xml:space="preserve">代理费</w:t>
      </w:r>
      <w:r>
        <w:rPr>
          <w:rFonts w:hint="eastAsia" w:ascii="宋体" w:hAnsi="宋体"/>
          <w:color w:val="000000"/>
          <w:sz w:val="24"/>
          <w:highlight w:val="none"/>
          <w:lang w:val="en-US" w:eastAsia="zh-CN"/>
        </w:rPr>
        <w:t xml:space="preserve">按照</w:t>
      </w:r>
      <w:r>
        <w:rPr>
          <w:rFonts w:hint="eastAsia" w:ascii="宋体" w:hAnsi="宋体"/>
          <w:color w:val="000000"/>
          <w:sz w:val="24"/>
          <w:highlight w:val="none"/>
        </w:rPr>
        <w:t xml:space="preserve">计价格（2002）1980号文的59</w:t>
      </w:r>
      <w:r>
        <w:rPr>
          <w:rFonts w:hint="eastAsia" w:ascii="宋体" w:hAnsi="宋体"/>
          <w:color w:val="000000"/>
          <w:sz w:val="24"/>
          <w:highlight w:val="none"/>
          <w:lang w:val="en-US" w:eastAsia="zh-CN"/>
        </w:rPr>
        <w:t xml:space="preserve">.98</w:t>
      </w:r>
      <w:r>
        <w:rPr>
          <w:rFonts w:hint="eastAsia" w:ascii="宋体" w:hAnsi="宋体"/>
          <w:color w:val="000000"/>
          <w:sz w:val="24"/>
          <w:highlight w:val="none"/>
        </w:rPr>
        <w:t xml:space="preserve">%计取</w:t>
      </w:r>
      <w:r>
        <w:rPr>
          <w:rFonts w:hint="eastAsia"/>
          <w:color w:val="000000"/>
          <w:spacing w:val="-12"/>
          <w:sz w:val="24"/>
          <w:highlight w:val="none"/>
          <w:lang w:eastAsia="zh-CN"/>
        </w:rPr>
        <w:t xml:space="preserve">，</w:t>
      </w:r>
      <w:r>
        <w:rPr>
          <w:rFonts w:hint="eastAsia"/>
          <w:color w:val="000000"/>
          <w:spacing w:val="-12"/>
          <w:sz w:val="24"/>
          <w:highlight w:val="none"/>
          <w:lang w:val="en-US" w:eastAsia="zh-CN"/>
        </w:rPr>
        <w:t xml:space="preserve">招标代理费、专家评审费、中标通知书等费用</w:t>
      </w:r>
      <w:r>
        <w:rPr>
          <w:color w:val="000000"/>
          <w:sz w:val="24"/>
          <w:highlight w:val="none"/>
        </w:rPr>
        <w:t xml:space="preserve">由中标人在领取中标通知书时一次性支付</w:t>
      </w:r>
      <w:r>
        <w:rPr>
          <w:rFonts w:hint="eastAsia"/>
          <w:color w:val="000000"/>
          <w:sz w:val="24"/>
          <w:highlight w:val="none"/>
        </w:rPr>
        <w:t xml:space="preserve">，支付方式：电汇，网银，现金。</w:t>
      </w:r>
      <w:r>
        <w:rPr>
          <w:rFonts w:ascii="宋体" w:hAnsi="宋体"/>
          <w:color w:val="000000"/>
          <w:sz w:val="24"/>
          <w:highlight w:val="none"/>
        </w:rPr>
      </w:r>
      <w:r/>
    </w:p>
    <w:p>
      <w:pPr>
        <w:pStyle w:val="856"/>
        <w:keepLines/>
        <w:keepNext/>
        <w:spacing w:before="156" w:after="156" w:line="360" w:lineRule="auto"/>
        <w:rPr>
          <w:rFonts w:ascii="Arial" w:hAnsi="Arial" w:eastAsia="黑体"/>
          <w:b/>
          <w:bCs/>
          <w:color w:val="000000"/>
          <w:sz w:val="32"/>
          <w:szCs w:val="32"/>
          <w:highlight w:val="none"/>
        </w:rPr>
        <w:outlineLvl w:val="1"/>
      </w:pPr>
      <w:r>
        <w:rPr>
          <w:rFonts w:hint="eastAsia" w:ascii="Arial" w:hAnsi="Arial" w:eastAsia="黑体"/>
          <w:b/>
          <w:bCs/>
          <w:color w:val="000000"/>
          <w:sz w:val="32"/>
          <w:szCs w:val="32"/>
          <w:highlight w:val="none"/>
        </w:rPr>
        <w:t xml:space="preserve">二、招标文件说明</w:t>
      </w:r>
      <w:r>
        <w:rPr>
          <w:rFonts w:ascii="Arial" w:hAnsi="Arial" w:eastAsia="黑体"/>
          <w:b/>
          <w:bCs/>
          <w:color w:val="000000"/>
          <w:sz w:val="32"/>
          <w:szCs w:val="32"/>
          <w:highlight w:val="none"/>
        </w:rPr>
      </w:r>
      <w:r/>
    </w:p>
    <w:p>
      <w:pPr>
        <w:pStyle w:val="856"/>
        <w:ind w:firstLine="48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四、招标文件的构成：</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招标文件用以阐明所需服务、招标投标程序等，具体由下述部分组成：</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第一部分 投标邀请</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第二部分 投标人须知</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第三部分 评标办法</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第四部分 项目需求</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第五部分 合同</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第六部分 投标文件格式</w:t>
      </w:r>
      <w:r>
        <w:rPr>
          <w:rFonts w:ascii="宋体" w:hAnsi="宋体"/>
          <w:color w:val="000000"/>
          <w:sz w:val="24"/>
          <w:szCs w:val="24"/>
          <w:highlight w:val="none"/>
        </w:rPr>
      </w:r>
      <w:r/>
    </w:p>
    <w:p>
      <w:pPr>
        <w:pStyle w:val="856"/>
        <w:ind w:firstLine="48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五、招标文件的修改：</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招标文件的修改书（若有）将构成招标文件的一部分，对投标人有约束力。</w:t>
      </w:r>
      <w:r>
        <w:rPr>
          <w:rFonts w:ascii="宋体" w:hAnsi="宋体"/>
          <w:color w:val="000000"/>
          <w:sz w:val="24"/>
          <w:szCs w:val="24"/>
          <w:highlight w:val="none"/>
        </w:rPr>
      </w:r>
      <w:r/>
    </w:p>
    <w:p>
      <w:pPr>
        <w:pStyle w:val="856"/>
        <w:keepLines/>
        <w:keepNext/>
        <w:spacing w:before="156" w:after="156" w:line="360" w:lineRule="auto"/>
        <w:rPr>
          <w:rFonts w:ascii="Arial" w:hAnsi="Arial" w:eastAsia="黑体"/>
          <w:b/>
          <w:bCs/>
          <w:color w:val="000000"/>
          <w:sz w:val="32"/>
          <w:szCs w:val="32"/>
          <w:highlight w:val="none"/>
        </w:rPr>
        <w:outlineLvl w:val="1"/>
      </w:pPr>
      <w:r>
        <w:rPr>
          <w:rFonts w:hint="eastAsia" w:ascii="Arial" w:hAnsi="Arial" w:eastAsia="黑体"/>
          <w:b/>
          <w:bCs/>
          <w:color w:val="000000"/>
          <w:sz w:val="32"/>
          <w:szCs w:val="32"/>
          <w:highlight w:val="none"/>
        </w:rPr>
        <w:t xml:space="preserve">三、投标文件的编制</w:t>
      </w:r>
      <w:r>
        <w:rPr>
          <w:rFonts w:ascii="Arial" w:hAnsi="Arial" w:eastAsia="黑体"/>
          <w:b/>
          <w:bCs/>
          <w:color w:val="000000"/>
          <w:sz w:val="32"/>
          <w:szCs w:val="32"/>
          <w:highlight w:val="none"/>
        </w:rPr>
      </w:r>
      <w:r/>
    </w:p>
    <w:p>
      <w:pPr>
        <w:pStyle w:val="856"/>
        <w:ind w:firstLine="48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六、编制要求：</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投标人应仔细阅读招标文件的所有内容，应当按照招标文件的要求编制电子投标文件。投标文件应当对招标文件提出的要求和条件作出明确响应，并保证所提供的全部资料的真实性，</w:t>
      </w:r>
      <w:r>
        <w:rPr>
          <w:rFonts w:hint="eastAsia" w:ascii="宋体" w:hAnsi="宋体"/>
          <w:b/>
          <w:color w:val="000000"/>
          <w:sz w:val="24"/>
          <w:szCs w:val="24"/>
          <w:highlight w:val="none"/>
        </w:rPr>
        <w:t xml:space="preserve">否则作无效响应处理</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56"/>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七、投标报价：</w:t>
      </w:r>
      <w:r>
        <w:rPr>
          <w:rFonts w:ascii="宋体" w:hAnsi="宋体"/>
          <w:b/>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本项目投标报价最高不得超过预算价（最高限价），否则</w:t>
      </w:r>
      <w:r>
        <w:rPr>
          <w:rFonts w:hint="eastAsia" w:ascii="宋体" w:hAnsi="宋体"/>
          <w:b/>
          <w:color w:val="000000"/>
          <w:sz w:val="24"/>
          <w:szCs w:val="24"/>
          <w:highlight w:val="none"/>
        </w:rPr>
        <w:t xml:space="preserve">作无效响应处理</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投标人应根据投标报价要求在详细报价书上列明各项投标单价、总价等，未全部列示的</w:t>
      </w:r>
      <w:r>
        <w:rPr>
          <w:rFonts w:hint="eastAsia" w:ascii="宋体" w:hAnsi="宋体"/>
          <w:b/>
          <w:color w:val="000000"/>
          <w:sz w:val="24"/>
          <w:szCs w:val="24"/>
          <w:highlight w:val="none"/>
        </w:rPr>
        <w:t xml:space="preserve">作无效响应处理</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56"/>
        <w:ind w:firstLine="48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八、投标人资格的证明文件：</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必须提交证明其有资格进行投标的文件，作为投标文件的一部分。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投标人委托代理时还应提交法定代表人授权委托书，请按第六部分“投标文件格式”填写并附法定代表人与委托代理人身份证明电子件。</w:t>
      </w:r>
      <w:r>
        <w:rPr>
          <w:rFonts w:ascii="宋体" w:hAnsi="宋体"/>
          <w:color w:val="000000"/>
          <w:sz w:val="24"/>
          <w:szCs w:val="24"/>
          <w:highlight w:val="none"/>
        </w:rPr>
      </w:r>
      <w:r/>
    </w:p>
    <w:p>
      <w:pPr>
        <w:pStyle w:val="856"/>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九、投标保证金：</w:t>
      </w:r>
      <w:r>
        <w:rPr>
          <w:rFonts w:hint="eastAsia" w:ascii="宋体" w:hAnsi="宋体"/>
          <w:bCs/>
          <w:color w:val="000000"/>
          <w:sz w:val="24"/>
          <w:highlight w:val="none"/>
        </w:rPr>
        <w:t xml:space="preserve">不收取。</w:t>
      </w:r>
      <w:r>
        <w:rPr>
          <w:rFonts w:ascii="宋体" w:hAnsi="宋体"/>
          <w:b/>
          <w:color w:val="000000"/>
          <w:sz w:val="24"/>
          <w:szCs w:val="24"/>
          <w:highlight w:val="none"/>
        </w:rPr>
      </w:r>
      <w:r/>
    </w:p>
    <w:p>
      <w:pPr>
        <w:pStyle w:val="856"/>
        <w:ind w:firstLine="48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十、投标有效期：</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投标文件接收截止时间结束后60天内。</w:t>
      </w:r>
      <w:r>
        <w:rPr>
          <w:rFonts w:ascii="宋体" w:hAnsi="宋体"/>
          <w:color w:val="000000"/>
          <w:sz w:val="24"/>
          <w:szCs w:val="24"/>
          <w:highlight w:val="none"/>
        </w:rPr>
      </w:r>
      <w:r/>
    </w:p>
    <w:p>
      <w:pPr>
        <w:pStyle w:val="856"/>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十一、投标文件制作工具：</w:t>
      </w:r>
      <w:r>
        <w:rPr>
          <w:rFonts w:ascii="宋体" w:hAnsi="宋体"/>
          <w:b/>
          <w:color w:val="000000"/>
          <w:sz w:val="24"/>
          <w:szCs w:val="24"/>
          <w:highlight w:val="none"/>
        </w:rPr>
      </w:r>
      <w:r/>
    </w:p>
    <w:p>
      <w:pPr>
        <w:pStyle w:val="85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系统操作流程详见江苏政府采购网－办事指南－资料下载-江苏省政府采购管理交易系统（苏采云）供应商操作指南，请及时关注版本更新。</w:t>
      </w:r>
      <w:r>
        <w:rPr>
          <w:rFonts w:hint="eastAsia" w:ascii="宋体" w:hAnsi="宋体"/>
          <w:color w:val="000000"/>
          <w:sz w:val="24"/>
          <w:highlight w:val="none"/>
        </w:rPr>
      </w:r>
      <w:r/>
    </w:p>
    <w:p>
      <w:pPr>
        <w:pStyle w:val="856"/>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十二、电子投标文件编制要求：</w:t>
      </w:r>
      <w:r>
        <w:rPr>
          <w:rFonts w:ascii="宋体" w:hAnsi="宋体"/>
          <w:b/>
          <w:color w:val="000000"/>
          <w:sz w:val="24"/>
          <w:szCs w:val="24"/>
          <w:highlight w:val="none"/>
        </w:rPr>
      </w:r>
      <w:r/>
    </w:p>
    <w:p>
      <w:pPr>
        <w:pStyle w:val="856"/>
        <w:ind w:firstLine="480"/>
        <w:spacing w:line="360" w:lineRule="auto"/>
        <w:rPr>
          <w:rFonts w:hAnsi="宋体"/>
          <w:color w:val="000000"/>
          <w:sz w:val="24"/>
          <w:szCs w:val="24"/>
          <w:highlight w:val="none"/>
        </w:rPr>
      </w:pPr>
      <w:r>
        <w:rPr>
          <w:rFonts w:hint="eastAsia" w:hAnsi="宋体"/>
          <w:color w:val="000000"/>
          <w:sz w:val="24"/>
          <w:szCs w:val="24"/>
          <w:highlight w:val="none"/>
        </w:rPr>
        <w:t xml:space="preserve">投标人编制的投标文件应包括</w:t>
      </w:r>
      <w:r>
        <w:rPr>
          <w:rFonts w:hint="eastAsia" w:ascii="宋体" w:hAnsi="宋体"/>
          <w:b/>
          <w:color w:val="000000"/>
          <w:sz w:val="24"/>
          <w:szCs w:val="24"/>
          <w:highlight w:val="none"/>
        </w:rPr>
        <w:t xml:space="preserve">商务文件、技术文件、评审因素所需材料和其他材料</w:t>
      </w:r>
      <w:r>
        <w:rPr>
          <w:rFonts w:hint="eastAsia" w:hAnsi="宋体"/>
          <w:color w:val="000000"/>
          <w:sz w:val="24"/>
          <w:szCs w:val="24"/>
          <w:highlight w:val="none"/>
        </w:rPr>
        <w:t xml:space="preserve">等内容，相关文件的提交如未特别注明可提供扫描件。</w:t>
      </w:r>
      <w:r>
        <w:rPr>
          <w:rFonts w:hAnsi="宋体"/>
          <w:color w:val="000000"/>
          <w:sz w:val="24"/>
          <w:szCs w:val="24"/>
          <w:highlight w:val="none"/>
        </w:rPr>
      </w:r>
      <w:r/>
    </w:p>
    <w:p>
      <w:pPr>
        <w:pStyle w:val="856"/>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1、投标文件格式：</w:t>
      </w:r>
      <w:r>
        <w:rPr>
          <w:rFonts w:ascii="宋体" w:hAnsi="宋体"/>
          <w:b/>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填写投标人名称、投标人地址、法定代表人、委托代理人、日期等内容。</w:t>
      </w:r>
      <w:r>
        <w:rPr>
          <w:rFonts w:ascii="宋体" w:hAnsi="宋体"/>
          <w:color w:val="000000"/>
          <w:sz w:val="24"/>
          <w:szCs w:val="24"/>
          <w:highlight w:val="none"/>
        </w:rPr>
      </w:r>
      <w:r/>
    </w:p>
    <w:p>
      <w:pPr>
        <w:pStyle w:val="856"/>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2、商务文件：（政府采购政策有关材料可选提交；委托代理时必须提交法定代表人授权委托书，否则投标无效；其他文件必须提交，否则投标无效）</w:t>
      </w:r>
      <w:r>
        <w:rPr>
          <w:rFonts w:ascii="宋体" w:hAnsi="宋体"/>
          <w:b/>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（1）响应函：请按给定格式及要求填写。</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（2）开标一览表：请按给定格式及要求填写。</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（3）报价明细表：请按第六部分“投标文件格式”提供的“报价明细表”格式及要求填写。</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（4）政府采购政策：中小企业声明函、残疾人福利性单位声明函及省级以上监狱管理局、戒毒管理局（含新疆生产建设兵团）出具的属于监狱企业的证明文件，填报要求详见“九、政策功能”。</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（5）资格审查材料：</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招标文件第一部分“投标邀请”“二、申请人的资格要求”。</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（6）法定代表人授权委托书：请按给定格式及要求填写。</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（7）商务条款偏离表：请按给定格式及要求，并根据投标人投标承诺的商务条件与“合同条款”“项目需求”等的差异填写。</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（8）售后服务承诺书：请按给定格式及要求填写。</w:t>
      </w:r>
      <w:r>
        <w:rPr>
          <w:rFonts w:ascii="宋体" w:hAnsi="宋体"/>
          <w:color w:val="000000"/>
          <w:sz w:val="24"/>
          <w:szCs w:val="24"/>
          <w:highlight w:val="none"/>
        </w:rPr>
      </w:r>
      <w:r/>
    </w:p>
    <w:p>
      <w:pPr>
        <w:pStyle w:val="856"/>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3、技术文件：（以下文件必须提交，否则该投标人投标无效）</w:t>
      </w:r>
      <w:r>
        <w:rPr>
          <w:rFonts w:ascii="宋体" w:hAnsi="宋体"/>
          <w:b/>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（1）技术标：可以但不限于技术方案、招标文件规定的其他材料等，格式自定。</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（2）项目需求响应：格式自定。</w:t>
      </w:r>
      <w:r>
        <w:rPr>
          <w:rFonts w:ascii="宋体" w:hAnsi="宋体"/>
          <w:color w:val="000000"/>
          <w:sz w:val="24"/>
          <w:szCs w:val="24"/>
          <w:highlight w:val="none"/>
        </w:rPr>
      </w:r>
      <w:r/>
    </w:p>
    <w:p>
      <w:pPr>
        <w:pStyle w:val="856"/>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4、评审因素所需材料：</w:t>
      </w:r>
      <w:r>
        <w:rPr>
          <w:rFonts w:ascii="宋体" w:hAnsi="宋体"/>
          <w:b/>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如有，请按招标文件要求提供。</w:t>
      </w:r>
      <w:r>
        <w:rPr>
          <w:rFonts w:ascii="宋体" w:hAnsi="宋体"/>
          <w:color w:val="000000"/>
          <w:sz w:val="24"/>
          <w:szCs w:val="24"/>
          <w:highlight w:val="none"/>
        </w:rPr>
      </w:r>
      <w:r/>
    </w:p>
    <w:p>
      <w:pPr>
        <w:pStyle w:val="856"/>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5、其他材料：</w:t>
      </w:r>
      <w:r>
        <w:rPr>
          <w:rFonts w:ascii="宋体" w:hAnsi="宋体"/>
          <w:b/>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如有，请按招标文件要求提供。</w:t>
      </w:r>
      <w:r>
        <w:rPr>
          <w:rFonts w:ascii="宋体" w:hAnsi="宋体"/>
          <w:color w:val="000000"/>
          <w:sz w:val="24"/>
          <w:szCs w:val="24"/>
          <w:highlight w:val="none"/>
        </w:rPr>
      </w:r>
      <w:r/>
    </w:p>
    <w:p>
      <w:pPr>
        <w:pStyle w:val="856"/>
        <w:ind w:firstLine="482"/>
        <w:spacing w:line="360" w:lineRule="auto"/>
        <w:tabs>
          <w:tab w:val="center" w:pos="4677" w:leader="none"/>
        </w:tabs>
        <w:rPr>
          <w:rFonts w:ascii="宋体" w:hAnsi="宋体"/>
          <w:color w:val="000000"/>
          <w:sz w:val="24"/>
          <w:szCs w:val="24"/>
          <w:highlight w:val="none"/>
        </w:rPr>
      </w:pPr>
      <w:r>
        <w:rPr>
          <w:rFonts w:hint="eastAsia" w:ascii="宋体" w:hAnsi="宋体"/>
          <w:b/>
          <w:color w:val="000000"/>
          <w:sz w:val="24"/>
          <w:szCs w:val="24"/>
          <w:highlight w:val="none"/>
        </w:rPr>
        <w:t xml:space="preserve">十三、生成投标文件：</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投标文件应由</w:t>
      </w:r>
      <w:r>
        <w:rPr>
          <w:rFonts w:hint="eastAsia" w:ascii="宋体" w:hAnsi="宋体"/>
          <w:b/>
          <w:color w:val="000000"/>
          <w:sz w:val="24"/>
          <w:szCs w:val="24"/>
          <w:highlight w:val="none"/>
        </w:rPr>
        <w:t xml:space="preserve">法定代表人或其委托代理人在凡规定签章处逐一签字或盖章并加盖投标人公章（相关内容可以打印、签字、盖章后扫描电子件）或使用电子签章</w:t>
      </w:r>
      <w:r>
        <w:rPr>
          <w:rFonts w:hint="eastAsia" w:ascii="宋体" w:hAnsi="宋体"/>
          <w:color w:val="000000"/>
          <w:sz w:val="24"/>
          <w:szCs w:val="24"/>
          <w:highlight w:val="none"/>
        </w:rPr>
        <w:t xml:space="preserve">，本招标文件所表述的公章是指刻有投标人法定名称的印章，不包括合同、财务、税务、发票等形式的业务专用章。</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电子投标文件不得涂改、行间插字或删除，如出现上述情况应重新编制。</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投标文件制作工具生成内容相同、加密与未加密两个版本电子投标文件，加密版本用于提交上传，未加密版本用于特殊情况处理。</w:t>
      </w:r>
      <w:r>
        <w:rPr>
          <w:rFonts w:ascii="宋体" w:hAnsi="宋体"/>
          <w:color w:val="000000"/>
          <w:sz w:val="24"/>
          <w:szCs w:val="24"/>
          <w:highlight w:val="none"/>
        </w:rPr>
      </w:r>
      <w:r/>
    </w:p>
    <w:p>
      <w:pPr>
        <w:pStyle w:val="856"/>
        <w:keepLines/>
        <w:keepNext/>
        <w:spacing w:before="156" w:after="156" w:line="360" w:lineRule="auto"/>
        <w:rPr>
          <w:rFonts w:ascii="Arial" w:hAnsi="Arial" w:eastAsia="黑体"/>
          <w:b/>
          <w:bCs/>
          <w:color w:val="000000"/>
          <w:sz w:val="32"/>
          <w:szCs w:val="32"/>
          <w:highlight w:val="none"/>
        </w:rPr>
        <w:outlineLvl w:val="1"/>
      </w:pPr>
      <w:r>
        <w:rPr>
          <w:rFonts w:hint="eastAsia" w:ascii="Arial" w:hAnsi="Arial" w:eastAsia="黑体"/>
          <w:b/>
          <w:bCs/>
          <w:color w:val="000000"/>
          <w:sz w:val="32"/>
          <w:szCs w:val="32"/>
          <w:highlight w:val="none"/>
        </w:rPr>
        <w:t xml:space="preserve">四、投标文件的提交</w:t>
      </w:r>
      <w:r>
        <w:rPr>
          <w:rFonts w:ascii="Arial" w:hAnsi="Arial" w:eastAsia="黑体"/>
          <w:b/>
          <w:bCs/>
          <w:color w:val="000000"/>
          <w:sz w:val="32"/>
          <w:szCs w:val="32"/>
          <w:highlight w:val="none"/>
        </w:rPr>
      </w:r>
      <w:r/>
    </w:p>
    <w:p>
      <w:pPr>
        <w:pStyle w:val="856"/>
        <w:ind w:firstLine="480"/>
        <w:jc w:val="left"/>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十四、投标文件的上传、修改和撤回：</w:t>
      </w:r>
      <w:r>
        <w:rPr>
          <w:rFonts w:ascii="宋体" w:hAnsi="宋体"/>
          <w:b/>
          <w:color w:val="000000"/>
          <w:sz w:val="24"/>
          <w:szCs w:val="24"/>
          <w:highlight w:val="none"/>
        </w:rPr>
      </w:r>
      <w:r/>
    </w:p>
    <w:p>
      <w:pPr>
        <w:pStyle w:val="856"/>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投标人应当使用投标文件制作工具，生成加密电子投标文件一份，在规定的截止时间前上传。</w:t>
      </w:r>
      <w:r>
        <w:rPr>
          <w:rFonts w:ascii="宋体" w:hAnsi="宋体"/>
          <w:color w:val="000000"/>
          <w:sz w:val="24"/>
          <w:szCs w:val="24"/>
          <w:highlight w:val="none"/>
        </w:rPr>
      </w:r>
      <w:r/>
    </w:p>
    <w:p>
      <w:pPr>
        <w:pStyle w:val="856"/>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投标人在上传投标文件后可以对其修改或撤回，但这种修改或撤回，必须在规定的投标截止时间前。</w:t>
      </w:r>
      <w:r>
        <w:rPr>
          <w:rFonts w:ascii="宋体" w:hAnsi="宋体"/>
          <w:color w:val="000000"/>
          <w:sz w:val="24"/>
          <w:szCs w:val="24"/>
          <w:highlight w:val="none"/>
        </w:rPr>
      </w:r>
      <w:r/>
    </w:p>
    <w:p>
      <w:pPr>
        <w:pStyle w:val="856"/>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对电子投标文件的修改，投标人可以在投标截止时间前登录电子交易平台撤回文件，并上传新的投标文件，投标文件以最终完成上传的为准。</w:t>
      </w:r>
      <w:r>
        <w:rPr>
          <w:rFonts w:ascii="宋体" w:hAnsi="宋体"/>
          <w:color w:val="000000"/>
          <w:sz w:val="24"/>
          <w:szCs w:val="24"/>
          <w:highlight w:val="none"/>
        </w:rPr>
      </w:r>
      <w:r/>
    </w:p>
    <w:p>
      <w:pPr>
        <w:pStyle w:val="856"/>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投标人不得在投标截止时间后修改投标文件，也不得在投标截止时间起至投标有效期满前撤回投标文件。</w:t>
      </w:r>
      <w:r>
        <w:rPr>
          <w:rFonts w:ascii="宋体" w:hAnsi="宋体"/>
          <w:color w:val="000000"/>
          <w:sz w:val="24"/>
          <w:szCs w:val="24"/>
          <w:highlight w:val="none"/>
        </w:rPr>
      </w:r>
      <w:r/>
    </w:p>
    <w:p>
      <w:pPr>
        <w:pStyle w:val="856"/>
        <w:ind w:firstLine="480"/>
        <w:jc w:val="left"/>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十五、递交投标文件的截止时间：</w:t>
      </w:r>
      <w:r>
        <w:rPr>
          <w:rFonts w:ascii="宋体" w:hAnsi="宋体"/>
          <w:b/>
          <w:color w:val="000000"/>
          <w:sz w:val="24"/>
          <w:szCs w:val="24"/>
          <w:highlight w:val="none"/>
        </w:rPr>
      </w:r>
      <w:r/>
    </w:p>
    <w:p>
      <w:pPr>
        <w:pStyle w:val="856"/>
        <w:ind w:firstLine="42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所有投标文件都必须在规定的接收截止时间之前上传，迟于截止时间的</w:t>
      </w:r>
      <w:r>
        <w:rPr>
          <w:rFonts w:hint="eastAsia" w:hAnsi="宋体"/>
          <w:b/>
          <w:color w:val="000000"/>
          <w:sz w:val="24"/>
          <w:szCs w:val="24"/>
          <w:highlight w:val="none"/>
        </w:rPr>
        <w:t xml:space="preserve">不予接收</w:t>
      </w:r>
      <w:r>
        <w:rPr>
          <w:rFonts w:hint="eastAsia" w:ascii="宋体" w:hAnsi="宋体"/>
          <w:b/>
          <w:color w:val="000000"/>
          <w:sz w:val="24"/>
          <w:szCs w:val="24"/>
          <w:highlight w:val="none"/>
        </w:rPr>
        <w:t xml:space="preserve">。</w:t>
      </w:r>
      <w:r>
        <w:rPr>
          <w:rFonts w:ascii="宋体" w:hAnsi="宋体"/>
          <w:color w:val="000000"/>
          <w:sz w:val="24"/>
          <w:szCs w:val="24"/>
          <w:highlight w:val="none"/>
        </w:rPr>
      </w:r>
      <w:r/>
    </w:p>
    <w:p>
      <w:pPr>
        <w:pStyle w:val="856"/>
        <w:ind w:firstLine="480"/>
        <w:jc w:val="left"/>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十六、电报、电话、传真以及纸质投标文件形式的投标概不接受。</w:t>
      </w:r>
      <w:r>
        <w:rPr>
          <w:rFonts w:ascii="宋体" w:hAnsi="宋体"/>
          <w:b/>
          <w:color w:val="000000"/>
          <w:sz w:val="24"/>
          <w:szCs w:val="24"/>
          <w:highlight w:val="none"/>
        </w:rPr>
      </w:r>
      <w:r/>
    </w:p>
    <w:p>
      <w:pPr>
        <w:pStyle w:val="856"/>
        <w:keepLines/>
        <w:keepNext/>
        <w:spacing w:before="156" w:after="156" w:line="360" w:lineRule="auto"/>
        <w:rPr>
          <w:rFonts w:ascii="Arial" w:hAnsi="Arial" w:eastAsia="黑体"/>
          <w:b/>
          <w:bCs/>
          <w:color w:val="000000"/>
          <w:sz w:val="32"/>
          <w:szCs w:val="32"/>
          <w:highlight w:val="none"/>
        </w:rPr>
        <w:outlineLvl w:val="1"/>
      </w:pPr>
      <w:r>
        <w:rPr>
          <w:rFonts w:hint="eastAsia" w:ascii="Arial" w:hAnsi="Arial" w:eastAsia="黑体"/>
          <w:b/>
          <w:bCs/>
          <w:color w:val="000000"/>
          <w:sz w:val="32"/>
          <w:szCs w:val="32"/>
          <w:highlight w:val="none"/>
        </w:rPr>
        <w:t xml:space="preserve">五、开标和评标</w:t>
      </w:r>
      <w:r>
        <w:rPr>
          <w:rFonts w:ascii="Arial" w:hAnsi="Arial" w:eastAsia="黑体"/>
          <w:b/>
          <w:bCs/>
          <w:color w:val="000000"/>
          <w:sz w:val="32"/>
          <w:szCs w:val="32"/>
          <w:highlight w:val="none"/>
        </w:rPr>
      </w:r>
      <w:r/>
    </w:p>
    <w:p>
      <w:pPr>
        <w:pStyle w:val="856"/>
        <w:ind w:firstLine="48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十七、开标：</w:t>
      </w:r>
      <w:r>
        <w:rPr>
          <w:rFonts w:ascii="宋体" w:hAnsi="宋体"/>
          <w:color w:val="000000"/>
          <w:sz w:val="24"/>
          <w:szCs w:val="24"/>
          <w:highlight w:val="none"/>
        </w:rPr>
      </w:r>
      <w:r/>
    </w:p>
    <w:p>
      <w:pPr>
        <w:pStyle w:val="85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采购代理机构将在招标公告中规定的时间和地点组织公开开标。投标人应当按照《操作手册》规定，参加开标活动和在苏采云系统规定的时间内对投标文件进行解密。</w:t>
      </w:r>
      <w:r>
        <w:rPr>
          <w:rFonts w:hint="eastAsia" w:ascii="宋体" w:hAnsi="宋体"/>
          <w:color w:val="000000"/>
          <w:sz w:val="24"/>
          <w:highlight w:val="none"/>
        </w:rPr>
      </w:r>
      <w:r/>
    </w:p>
    <w:p>
      <w:pPr>
        <w:pStyle w:val="85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开标仪式由采购代理机构组织。苏采云系统将自动对项目进行开标，并宣布各投标人名称和投标价格。</w:t>
      </w:r>
      <w:r>
        <w:rPr>
          <w:rFonts w:hint="eastAsia" w:ascii="宋体" w:hAnsi="宋体"/>
          <w:color w:val="000000"/>
          <w:sz w:val="24"/>
          <w:highlight w:val="none"/>
        </w:rPr>
      </w:r>
      <w:r/>
    </w:p>
    <w:p>
      <w:pPr>
        <w:pStyle w:val="85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投标人在开标过程中涉及到的投标文件解密、开标结果确认等工作，应按照《操作手册》规定执行。</w:t>
      </w:r>
      <w:r>
        <w:rPr>
          <w:rFonts w:hint="eastAsia" w:ascii="宋体" w:hAnsi="宋体"/>
          <w:color w:val="000000"/>
          <w:sz w:val="24"/>
          <w:highlight w:val="none"/>
        </w:rPr>
      </w:r>
      <w:r/>
    </w:p>
    <w:p>
      <w:pPr>
        <w:pStyle w:val="85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投标人如果对开标过程和开标记录有疑义，应当根据《操作手册》规定提出，如 苏采云系统中《开标记录表》宣布后5分钟内未提出的，视同认可开标结果</w:t>
      </w:r>
      <w:r>
        <w:rPr>
          <w:rFonts w:hint="eastAsia" w:ascii="宋体" w:hAnsi="宋体"/>
          <w:color w:val="000000"/>
          <w:sz w:val="24"/>
          <w:highlight w:val="none"/>
        </w:rPr>
      </w:r>
      <w:r/>
    </w:p>
    <w:p>
      <w:pPr>
        <w:pStyle w:val="856"/>
        <w:ind w:firstLine="48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十八、评标委员会：</w:t>
      </w:r>
      <w:r>
        <w:rPr>
          <w:rFonts w:ascii="宋体" w:hAnsi="宋体"/>
          <w:color w:val="000000"/>
          <w:sz w:val="24"/>
          <w:szCs w:val="24"/>
          <w:highlight w:val="none"/>
        </w:rPr>
      </w:r>
      <w:r/>
    </w:p>
    <w:p>
      <w:pPr>
        <w:pStyle w:val="85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开标后，采购代理机构将立即组织评标委员会（以下简称评委会）进行评标。</w:t>
      </w:r>
      <w:r>
        <w:rPr>
          <w:rFonts w:hint="eastAsia" w:ascii="宋体" w:hAnsi="宋体"/>
          <w:color w:val="000000"/>
          <w:sz w:val="24"/>
          <w:highlight w:val="none"/>
        </w:rPr>
      </w:r>
      <w:r/>
    </w:p>
    <w:p>
      <w:pPr>
        <w:pStyle w:val="85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评委会由采购人代表和有关技术、经济等方面的专家组成，且人员构成符合政府采购有关规定。</w:t>
      </w:r>
      <w:r>
        <w:rPr>
          <w:rFonts w:hint="eastAsia" w:ascii="宋体" w:hAnsi="宋体"/>
          <w:color w:val="000000"/>
          <w:sz w:val="24"/>
          <w:highlight w:val="none"/>
        </w:rPr>
      </w:r>
      <w:r/>
    </w:p>
    <w:p>
      <w:pPr>
        <w:pStyle w:val="85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评委会独立工作，负责评审所有投标文件并推荐中标候选人。</w:t>
      </w:r>
      <w:r>
        <w:rPr>
          <w:rFonts w:hint="eastAsia" w:ascii="宋体" w:hAnsi="宋体"/>
          <w:color w:val="000000"/>
          <w:sz w:val="24"/>
          <w:highlight w:val="none"/>
        </w:rPr>
      </w:r>
      <w:r/>
    </w:p>
    <w:p>
      <w:pPr>
        <w:pStyle w:val="856"/>
        <w:ind w:firstLine="48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十九、对投标文件的审查和确定：</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1、开标结束后，采购人依法对投标人的资格进行审查。</w:t>
      </w:r>
      <w:r>
        <w:rPr>
          <w:rFonts w:ascii="宋体" w:hAnsi="宋体"/>
          <w:color w:val="000000"/>
          <w:sz w:val="24"/>
          <w:szCs w:val="24"/>
          <w:highlight w:val="none"/>
        </w:rPr>
      </w:r>
      <w:r/>
    </w:p>
    <w:p>
      <w:pPr>
        <w:pStyle w:val="856"/>
        <w:ind w:firstLine="480"/>
        <w:spacing w:line="360" w:lineRule="auto"/>
        <w:rPr>
          <w:rFonts w:hAnsi="宋体"/>
          <w:color w:val="000000"/>
          <w:sz w:val="24"/>
          <w:szCs w:val="24"/>
          <w:highlight w:val="none"/>
        </w:rPr>
      </w:pPr>
      <w:r>
        <w:rPr>
          <w:rFonts w:hint="eastAsia" w:ascii="宋体" w:hAnsi="宋体"/>
          <w:color w:val="000000"/>
          <w:sz w:val="24"/>
          <w:szCs w:val="24"/>
          <w:highlight w:val="none"/>
        </w:rPr>
        <w:t xml:space="preserve">2、</w:t>
      </w:r>
      <w:r>
        <w:rPr>
          <w:rFonts w:hint="eastAsia" w:hAnsi="宋体"/>
          <w:color w:val="000000"/>
          <w:sz w:val="24"/>
          <w:szCs w:val="24"/>
          <w:highlight w:val="none"/>
        </w:rPr>
        <w:t xml:space="preserve">评标委员会负责具体评标事务，并独立履行下列职责：</w:t>
      </w:r>
      <w:r>
        <w:rPr>
          <w:rFonts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）审查、评价投标文件是否符合招标文件的商务、技术等实质性要求；</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）要求投标人对投标文件有关事项作出澄清或者说明；</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）对投标文件进行比较和评价</w:t>
      </w:r>
      <w:r>
        <w:rPr>
          <w:rFonts w:hint="eastAsia" w:ascii="宋体" w:hAnsi="宋体"/>
          <w:color w:val="000000"/>
          <w:sz w:val="24"/>
          <w:szCs w:val="24"/>
          <w:highlight w:val="none"/>
        </w:rPr>
        <w:t xml:space="preserve">(对商务、技术及其他内容的比较和评价结束前，评标委员会不得比较和评价投标报价)</w:t>
      </w:r>
      <w:r>
        <w:rPr>
          <w:rFonts w:ascii="宋体" w:hAnsi="宋体"/>
          <w:color w:val="000000"/>
          <w:sz w:val="24"/>
          <w:szCs w:val="24"/>
          <w:highlight w:val="none"/>
        </w:rPr>
        <w:t xml:space="preserve"> ；</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）确定中标候选人名单，以及根据采购人授权直接确定中标人；</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）向采购人、</w:t>
      </w:r>
      <w:r>
        <w:rPr>
          <w:rFonts w:hint="eastAsia" w:ascii="宋体" w:hAnsi="宋体"/>
          <w:color w:val="000000"/>
          <w:sz w:val="24"/>
          <w:szCs w:val="24"/>
          <w:highlight w:val="none"/>
        </w:rPr>
        <w:t xml:space="preserve">采购代理机构</w:t>
      </w:r>
      <w:r>
        <w:rPr>
          <w:rFonts w:ascii="宋体" w:hAnsi="宋体"/>
          <w:color w:val="000000"/>
          <w:sz w:val="24"/>
          <w:szCs w:val="24"/>
          <w:highlight w:val="none"/>
        </w:rPr>
        <w:t xml:space="preserve">或者有关部门报告评标中发现的违法行为；</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6</w:t>
      </w:r>
      <w:r>
        <w:rPr>
          <w:rFonts w:ascii="宋体" w:hAnsi="宋体"/>
          <w:color w:val="000000"/>
          <w:sz w:val="24"/>
          <w:szCs w:val="24"/>
          <w:highlight w:val="none"/>
        </w:rPr>
        <w:t xml:space="preserve">）编写评标报告</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56"/>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0"/>
          <w:highlight w:val="none"/>
        </w:rPr>
        <w:t xml:space="preserve">评标委员会对符合资格的投标人的投标文件进行符合性检查，以确定其是否满足招标文件的实质性要求。</w:t>
      </w:r>
      <w:r>
        <w:rPr>
          <w:rFonts w:ascii="宋体" w:hAnsi="宋体"/>
          <w:color w:val="000000"/>
          <w:sz w:val="24"/>
          <w:szCs w:val="24"/>
          <w:highlight w:val="none"/>
        </w:rPr>
      </w:r>
      <w:r/>
    </w:p>
    <w:p>
      <w:pPr>
        <w:pStyle w:val="856"/>
        <w:ind w:firstLine="48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符合性检查：</w:t>
      </w:r>
      <w:r>
        <w:rPr>
          <w:rFonts w:hint="eastAsia" w:ascii="宋体" w:hAnsi="宋体"/>
          <w:color w:val="000000"/>
          <w:sz w:val="24"/>
          <w:szCs w:val="24"/>
          <w:highlight w:val="none"/>
        </w:rPr>
        <w:t xml:space="preserve">依据招标文件的规定，从投标文件的有效性、完整性和对招标文件的响应程度进行审查，以确定是否对招标文件的实质性要求作出响应。</w:t>
      </w:r>
      <w:r>
        <w:rPr>
          <w:rFonts w:ascii="宋体" w:hAnsi="宋体"/>
          <w:color w:val="000000"/>
          <w:sz w:val="24"/>
          <w:szCs w:val="24"/>
          <w:highlight w:val="none"/>
        </w:rPr>
      </w:r>
      <w:r/>
    </w:p>
    <w:p>
      <w:pPr>
        <w:pStyle w:val="856"/>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未实质性响应招标文件的投标文件按无效响应处理。</w:t>
      </w:r>
      <w:r>
        <w:rPr>
          <w:rFonts w:ascii="宋体" w:hAnsi="宋体"/>
          <w:b/>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评标委员会首先审查每份投标文件是否实质性响应了招标文件的要求。实质性响应的投标文件是与招标文件要求的全部实质性条款、条件和规格相符</w:t>
      </w:r>
      <w:r>
        <w:rPr>
          <w:rFonts w:ascii="宋体" w:hAnsi="宋体"/>
          <w:color w:val="000000"/>
          <w:sz w:val="24"/>
          <w:szCs w:val="24"/>
          <w:highlight w:val="none"/>
        </w:rPr>
        <w:t xml:space="preserve">且其余非实质性技术及商务条款</w:t>
      </w:r>
      <w:r>
        <w:rPr>
          <w:rFonts w:hint="eastAsia" w:ascii="宋体" w:hAnsi="宋体"/>
          <w:color w:val="000000"/>
          <w:sz w:val="24"/>
          <w:szCs w:val="24"/>
          <w:highlight w:val="none"/>
        </w:rPr>
        <w:t xml:space="preserve">没有重大偏离或保留。</w:t>
      </w:r>
      <w:r>
        <w:rPr>
          <w:rFonts w:ascii="宋体" w:hAnsi="宋体"/>
          <w:color w:val="000000"/>
          <w:sz w:val="24"/>
          <w:szCs w:val="24"/>
          <w:highlight w:val="none"/>
        </w:rPr>
      </w:r>
      <w:r/>
    </w:p>
    <w:p>
      <w:pPr>
        <w:pStyle w:val="856"/>
        <w:ind w:firstLine="482"/>
        <w:jc w:val="left"/>
        <w:spacing w:line="360" w:lineRule="auto"/>
        <w:rPr>
          <w:rFonts w:ascii="宋体" w:hAnsi="宋体"/>
          <w:color w:val="000000"/>
          <w:sz w:val="24"/>
          <w:szCs w:val="24"/>
          <w:highlight w:val="none"/>
        </w:rPr>
      </w:pPr>
      <w:r>
        <w:rPr>
          <w:rFonts w:ascii="宋体" w:hAnsi="宋体"/>
          <w:b/>
          <w:color w:val="000000"/>
          <w:sz w:val="24"/>
          <w:szCs w:val="24"/>
          <w:highlight w:val="none"/>
        </w:rPr>
        <w:t xml:space="preserve">所谓重大偏离或保留</w:t>
      </w:r>
      <w:r>
        <w:rPr>
          <w:rFonts w:ascii="宋体" w:hAnsi="宋体"/>
          <w:color w:val="000000"/>
          <w:sz w:val="24"/>
          <w:szCs w:val="24"/>
          <w:highlight w:val="none"/>
        </w:rPr>
        <w:t xml:space="preserve">，是指与</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文件规定的主要技术指标或重要的商务条款或除上述以外的多项指标要求存在负偏离，或者在实质上与</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文件不一致，</w:t>
      </w:r>
      <w:r>
        <w:rPr>
          <w:rFonts w:hint="eastAsia" w:ascii="宋体" w:hAnsi="宋体"/>
          <w:color w:val="000000"/>
          <w:sz w:val="24"/>
          <w:szCs w:val="24"/>
          <w:highlight w:val="none"/>
        </w:rPr>
        <w:t xml:space="preserve">而且限制了合同中采购人和见证方的权利或</w:t>
      </w: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的义务</w:t>
      </w:r>
      <w:r>
        <w:rPr>
          <w:rFonts w:ascii="宋体" w:hAnsi="宋体"/>
          <w:color w:val="000000"/>
          <w:sz w:val="24"/>
          <w:szCs w:val="24"/>
          <w:highlight w:val="none"/>
        </w:rPr>
        <w:t xml:space="preserve">，保留或给予纠正这些偏离的机会将会对其他实质性响应要求的</w:t>
      </w:r>
      <w:r>
        <w:rPr>
          <w:rFonts w:hint="eastAsia" w:ascii="宋体" w:hAnsi="宋体" w:cs="宋体"/>
          <w:color w:val="000000"/>
          <w:sz w:val="24"/>
          <w:szCs w:val="24"/>
          <w:highlight w:val="none"/>
        </w:rPr>
        <w:t xml:space="preserve">投标人</w:t>
      </w:r>
      <w:r>
        <w:rPr>
          <w:rFonts w:ascii="宋体" w:hAnsi="宋体"/>
          <w:color w:val="000000"/>
          <w:sz w:val="24"/>
          <w:szCs w:val="24"/>
          <w:highlight w:val="none"/>
        </w:rPr>
        <w:t xml:space="preserve">的竞争地位产生不公正的影响。重大偏离的认定需经过</w:t>
      </w:r>
      <w:r>
        <w:rPr>
          <w:rFonts w:hint="eastAsia" w:ascii="宋体" w:hAnsi="宋体"/>
          <w:color w:val="000000"/>
          <w:sz w:val="24"/>
          <w:szCs w:val="24"/>
          <w:highlight w:val="none"/>
        </w:rPr>
        <w:t xml:space="preserve">评标委员会</w:t>
      </w:r>
      <w:r>
        <w:rPr>
          <w:rFonts w:ascii="宋体" w:hAnsi="宋体"/>
          <w:color w:val="000000"/>
          <w:sz w:val="24"/>
          <w:szCs w:val="24"/>
          <w:highlight w:val="none"/>
        </w:rPr>
        <w:t xml:space="preserve">2/3及以上成员的认定。</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0"/>
          <w:highlight w:val="none"/>
        </w:rPr>
      </w:pPr>
      <w:r>
        <w:rPr>
          <w:rFonts w:hint="eastAsia" w:ascii="宋体" w:hAnsi="宋体"/>
          <w:color w:val="000000"/>
          <w:sz w:val="24"/>
          <w:szCs w:val="24"/>
          <w:highlight w:val="none"/>
        </w:rPr>
        <w:t xml:space="preserve">4、</w:t>
      </w:r>
      <w:r>
        <w:rPr>
          <w:rFonts w:hint="eastAsia" w:ascii="宋体" w:hAnsi="宋体"/>
          <w:color w:val="000000"/>
          <w:sz w:val="24"/>
          <w:szCs w:val="20"/>
          <w:highlight w:val="none"/>
        </w:rPr>
        <w:t xml:space="preserve">评标委员会决定投标文件的响应性仅基于投标文件本身的内容，而不寻求外部证据。</w:t>
      </w:r>
      <w:r>
        <w:rPr>
          <w:rFonts w:ascii="宋体" w:hAnsi="宋体"/>
          <w:color w:val="000000"/>
          <w:sz w:val="24"/>
          <w:szCs w:val="20"/>
          <w:highlight w:val="none"/>
        </w:rPr>
      </w:r>
      <w:r/>
    </w:p>
    <w:p>
      <w:pPr>
        <w:pStyle w:val="856"/>
        <w:ind w:firstLine="480"/>
        <w:jc w:val="left"/>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5、评标委员会将拒绝被确定为非实质性响应的投标人，投标人不能通过修正或撤销不符之处而使其投标成为实质性响应的投标。</w:t>
      </w:r>
      <w:r>
        <w:rPr>
          <w:rFonts w:ascii="宋体" w:hAnsi="宋体"/>
          <w:color w:val="000000"/>
          <w:sz w:val="24"/>
          <w:szCs w:val="20"/>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6、投标文件报价出现前后不一致的，按照下列规定修正：</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（1）投标文件中开标一览表（报价表）内容与投标文件中相应内容不一致的，以开标一览表（报价表）为准；</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（2）大写金额和小写金额不一致的，以大写金额为准；</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（3）单价金额小数点或者百分比有明显错位的，以开标一览表的总价为准，并修改单价；</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（4）总价金额与按单价汇总金额不一致的，以单价金额计算结果为准。</w:t>
      </w:r>
      <w:r>
        <w:rPr>
          <w:rFonts w:ascii="宋体" w:hAnsi="宋体"/>
          <w:color w:val="000000"/>
          <w:sz w:val="24"/>
          <w:szCs w:val="24"/>
          <w:highlight w:val="none"/>
        </w:rPr>
      </w:r>
      <w:r/>
    </w:p>
    <w:p>
      <w:pPr>
        <w:pStyle w:val="856"/>
        <w:ind w:firstLine="480"/>
        <w:spacing w:line="360" w:lineRule="auto"/>
        <w:rPr>
          <w:rFonts w:hAnsi="宋体"/>
          <w:color w:val="000000"/>
          <w:sz w:val="24"/>
          <w:szCs w:val="24"/>
          <w:highlight w:val="none"/>
        </w:rPr>
      </w:pPr>
      <w:r>
        <w:rPr>
          <w:rFonts w:hint="eastAsia" w:ascii="宋体" w:hAnsi="宋体"/>
          <w:color w:val="000000"/>
          <w:sz w:val="24"/>
          <w:szCs w:val="24"/>
          <w:highlight w:val="none"/>
        </w:rPr>
        <w:t xml:space="preserve">同时出现两种以上不一致的，按照前款规定的顺序修正。修正后的报价按照政府采购有关规定经投标人确认后产生约束力，投标人不确认的，其投标无效。</w:t>
      </w:r>
      <w:r>
        <w:rPr>
          <w:rFonts w:hAnsi="宋体"/>
          <w:color w:val="000000"/>
          <w:sz w:val="24"/>
          <w:szCs w:val="24"/>
          <w:highlight w:val="none"/>
        </w:rPr>
      </w:r>
      <w:r/>
    </w:p>
    <w:p>
      <w:pPr>
        <w:pStyle w:val="856"/>
        <w:ind w:firstLine="482"/>
        <w:jc w:val="left"/>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二十、投标文件的澄清：</w:t>
      </w:r>
      <w:r>
        <w:rPr>
          <w:rFonts w:ascii="宋体" w:hAnsi="宋体"/>
          <w:b/>
          <w:color w:val="000000"/>
          <w:sz w:val="24"/>
          <w:szCs w:val="20"/>
          <w:highlight w:val="none"/>
        </w:rPr>
      </w:r>
      <w:r/>
    </w:p>
    <w:p>
      <w:pPr>
        <w:pStyle w:val="940"/>
        <w:ind w:firstLine="480"/>
        <w:jc w:val="left"/>
        <w:spacing w:line="360" w:lineRule="auto"/>
        <w:rPr>
          <w:rFonts w:hint="eastAsia" w:hAnsi="宋体"/>
          <w:color w:val="000000"/>
          <w:sz w:val="24"/>
          <w:highlight w:val="none"/>
        </w:rPr>
      </w:pPr>
      <w:r>
        <w:rPr>
          <w:rFonts w:hint="eastAsia" w:hAnsi="宋体"/>
          <w:color w:val="000000"/>
          <w:sz w:val="24"/>
          <w:highlight w:val="none"/>
        </w:rPr>
        <w:t xml:space="preserve">评标期间，评委会对投标文件中含义不明确、同类问题表述不一致或者有明显文字和计算错误的内容 ，有权要求投标人作出必要的澄清、说明或者补正。</w:t>
      </w:r>
      <w:r>
        <w:rPr>
          <w:rFonts w:hint="eastAsia" w:hAnsi="宋体"/>
          <w:color w:val="000000"/>
          <w:sz w:val="24"/>
          <w:highlight w:val="none"/>
        </w:rPr>
      </w:r>
      <w:r/>
    </w:p>
    <w:p>
      <w:pPr>
        <w:pStyle w:val="940"/>
        <w:ind w:firstLine="480"/>
        <w:jc w:val="left"/>
        <w:spacing w:line="360" w:lineRule="auto"/>
        <w:rPr>
          <w:rFonts w:hint="eastAsia" w:hAnsi="宋体"/>
          <w:color w:val="000000"/>
          <w:sz w:val="24"/>
          <w:highlight w:val="none"/>
        </w:rPr>
      </w:pPr>
      <w:r>
        <w:rPr>
          <w:rFonts w:hint="eastAsia" w:hAnsi="宋体"/>
          <w:color w:val="000000"/>
          <w:sz w:val="24"/>
          <w:highlight w:val="none"/>
        </w:rPr>
        <w:t xml:space="preserve">投标人的澄清、说明或者补正不得超出投标文件的范围或者改变投标文件的实质性内容。</w:t>
      </w:r>
      <w:r>
        <w:rPr>
          <w:rFonts w:hint="eastAsia" w:hAnsi="宋体"/>
          <w:color w:val="000000"/>
          <w:sz w:val="24"/>
          <w:highlight w:val="none"/>
        </w:rPr>
      </w:r>
      <w:r/>
    </w:p>
    <w:p>
      <w:pPr>
        <w:pStyle w:val="940"/>
        <w:ind w:firstLine="480"/>
        <w:jc w:val="left"/>
        <w:spacing w:line="360" w:lineRule="auto"/>
        <w:rPr>
          <w:rFonts w:hint="eastAsia" w:hAnsi="宋体"/>
          <w:color w:val="000000"/>
          <w:sz w:val="24"/>
          <w:highlight w:val="none"/>
        </w:rPr>
      </w:pPr>
      <w:r>
        <w:rPr>
          <w:rFonts w:hint="eastAsia" w:hAnsi="宋体"/>
          <w:color w:val="000000"/>
          <w:sz w:val="24"/>
          <w:highlight w:val="none"/>
        </w:rPr>
        <w:t xml:space="preserve">评标委员会并非对每个投标人都做澄清要求。</w:t>
      </w:r>
      <w:r>
        <w:rPr>
          <w:rFonts w:hint="eastAsia" w:hAnsi="宋体"/>
          <w:color w:val="000000"/>
          <w:sz w:val="24"/>
          <w:highlight w:val="none"/>
        </w:rPr>
      </w:r>
      <w:r/>
    </w:p>
    <w:p>
      <w:pPr>
        <w:pStyle w:val="940"/>
        <w:ind w:firstLine="480"/>
        <w:jc w:val="left"/>
        <w:spacing w:line="360" w:lineRule="auto"/>
        <w:rPr>
          <w:rFonts w:hint="eastAsia" w:hAnsi="宋体"/>
          <w:color w:val="000000"/>
          <w:sz w:val="24"/>
          <w:highlight w:val="none"/>
        </w:rPr>
      </w:pPr>
      <w:r>
        <w:rPr>
          <w:rFonts w:hint="eastAsia" w:hAnsi="宋体"/>
          <w:color w:val="000000"/>
          <w:sz w:val="24"/>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hAnsi="宋体"/>
          <w:color w:val="000000"/>
          <w:sz w:val="24"/>
          <w:highlight w:val="none"/>
        </w:rPr>
      </w:r>
      <w:r/>
    </w:p>
    <w:p>
      <w:pPr>
        <w:pStyle w:val="940"/>
        <w:ind w:firstLine="480"/>
        <w:jc w:val="left"/>
        <w:spacing w:line="360" w:lineRule="auto"/>
        <w:rPr>
          <w:rFonts w:hint="eastAsia" w:hAnsi="宋体"/>
          <w:color w:val="000000"/>
          <w:sz w:val="24"/>
          <w:highlight w:val="none"/>
        </w:rPr>
      </w:pPr>
      <w:r>
        <w:rPr>
          <w:rFonts w:hint="eastAsia" w:hAnsi="宋体"/>
          <w:color w:val="000000"/>
          <w:sz w:val="24"/>
          <w:highlight w:val="none"/>
        </w:rPr>
        <w:t xml:space="preserve">接到评委会澄清、说明和补正要求的投标人如未按规定做出澄清、说明和补正，其风险由投标人自行承担。</w:t>
      </w:r>
      <w:r>
        <w:rPr>
          <w:rFonts w:hint="eastAsia" w:hAnsi="宋体"/>
          <w:color w:val="000000"/>
          <w:sz w:val="24"/>
          <w:highlight w:val="none"/>
        </w:rPr>
      </w:r>
      <w:r/>
    </w:p>
    <w:p>
      <w:pPr>
        <w:pStyle w:val="856"/>
        <w:ind w:firstLine="482"/>
        <w:jc w:val="left"/>
        <w:spacing w:line="360" w:lineRule="auto"/>
        <w:rPr>
          <w:rFonts w:ascii="宋体" w:hAnsi="宋体"/>
          <w:color w:val="000000"/>
          <w:sz w:val="24"/>
          <w:szCs w:val="24"/>
          <w:highlight w:val="none"/>
        </w:rPr>
      </w:pPr>
      <w:r>
        <w:rPr>
          <w:rFonts w:hint="eastAsia" w:ascii="宋体" w:hAnsi="宋体"/>
          <w:b/>
          <w:color w:val="000000"/>
          <w:sz w:val="24"/>
          <w:szCs w:val="20"/>
          <w:highlight w:val="none"/>
        </w:rPr>
        <w:t xml:space="preserve">二十一、评标原则、方法和现场开标特殊情况处理：</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评标委员会应当公平、公正、客观，不带任何倾向性和启发性；不得向外界透露任何与评标有关的内容；任何单位和个人不得干扰、影响评标的正常进行；评标委员会及有关工作人员不得私下与</w:t>
      </w: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接触。</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评标时，评标委员会各成员应独立对每个投标人的投标文件进行评价，并汇总每个投标人得分，评标方法详见第三部分“评标办法”。</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因“开评标系统”自身故障，开标活动无法正常进行时，将使用投标文件备份U盘继续进行开标活动（采用不见面交易方式招标的本条款不适用）；“开评标系统”自身故障是指非投标人原因造成所有投标人电子投标文件均无法解密的情形，部分投标文件无法解密的，不适用该条款；对于不同载体的投标文件，开标、评标及认定顺序为电子投标文件、投标备份U盘，前项不能读取的可按后项评审。</w:t>
      </w:r>
      <w:r>
        <w:rPr>
          <w:rFonts w:ascii="宋体" w:hAnsi="宋体"/>
          <w:color w:val="000000"/>
          <w:sz w:val="24"/>
          <w:szCs w:val="24"/>
          <w:highlight w:val="none"/>
        </w:rPr>
      </w:r>
      <w:r/>
    </w:p>
    <w:p>
      <w:pPr>
        <w:pStyle w:val="856"/>
        <w:ind w:firstLine="482"/>
        <w:spacing w:line="360" w:lineRule="auto"/>
        <w:widowControl/>
        <w:rPr>
          <w:rFonts w:ascii="宋体" w:hAnsi="宋体"/>
          <w:b/>
          <w:color w:val="000000"/>
          <w:sz w:val="24"/>
          <w:szCs w:val="24"/>
          <w:highlight w:val="none"/>
        </w:rPr>
      </w:pPr>
      <w:r>
        <w:rPr>
          <w:rFonts w:hint="eastAsia" w:ascii="宋体" w:hAnsi="宋体"/>
          <w:b/>
          <w:color w:val="000000"/>
          <w:sz w:val="24"/>
          <w:szCs w:val="24"/>
          <w:highlight w:val="none"/>
        </w:rPr>
        <w:t xml:space="preserve">二十二、</w:t>
      </w:r>
      <w:r>
        <w:rPr>
          <w:rFonts w:hint="eastAsia" w:ascii="宋体" w:hAnsi="宋体"/>
          <w:b/>
          <w:color w:val="000000"/>
          <w:sz w:val="24"/>
          <w:highlight w:val="none"/>
        </w:rPr>
        <w:t xml:space="preserve">无效投标条款和废标条款：</w:t>
      </w:r>
      <w:r>
        <w:rPr>
          <w:rFonts w:ascii="宋体" w:hAnsi="宋体"/>
          <w:b/>
          <w:color w:val="000000"/>
          <w:sz w:val="24"/>
          <w:szCs w:val="24"/>
          <w:highlight w:val="none"/>
        </w:rPr>
      </w:r>
      <w:r/>
    </w:p>
    <w:p>
      <w:pPr>
        <w:pStyle w:val="856"/>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1.无效投标条款</w:t>
      </w:r>
      <w:r>
        <w:rPr>
          <w:rFonts w:hint="eastAsia" w:ascii="宋体" w:hAnsi="宋体"/>
          <w:b/>
          <w:bCs/>
          <w:color w:val="000000"/>
          <w:sz w:val="24"/>
          <w:highlight w:val="none"/>
        </w:rPr>
      </w:r>
      <w:r/>
    </w:p>
    <w:p>
      <w:pPr>
        <w:pStyle w:val="85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（1）投标人在苏采云系统规定的时间内未成功解密电子投标文件的。</w:t>
      </w:r>
      <w:r>
        <w:rPr>
          <w:rFonts w:hint="eastAsia" w:ascii="宋体" w:hAnsi="宋体"/>
          <w:color w:val="000000"/>
          <w:sz w:val="24"/>
          <w:highlight w:val="none"/>
        </w:rPr>
      </w:r>
      <w:r/>
    </w:p>
    <w:p>
      <w:pPr>
        <w:pStyle w:val="85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（2）投标人未按照招标文件要求上传电子投标文件的。</w:t>
      </w:r>
      <w:r>
        <w:rPr>
          <w:rFonts w:hint="eastAsia" w:ascii="宋体" w:hAnsi="宋体"/>
          <w:color w:val="000000"/>
          <w:sz w:val="24"/>
          <w:highlight w:val="none"/>
        </w:rPr>
      </w:r>
      <w:r/>
    </w:p>
    <w:p>
      <w:pPr>
        <w:pStyle w:val="85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（3）同一投标人提交两个（含两个）以上不同的投标报价的。</w:t>
      </w:r>
      <w:r>
        <w:rPr>
          <w:rFonts w:hint="eastAsia" w:ascii="宋体" w:hAnsi="宋体"/>
          <w:color w:val="000000"/>
          <w:sz w:val="24"/>
          <w:highlight w:val="none"/>
        </w:rPr>
      </w:r>
      <w:r/>
    </w:p>
    <w:p>
      <w:pPr>
        <w:pStyle w:val="85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（4）投标人不具备招标文件中规定资格要求的。</w:t>
      </w:r>
      <w:r>
        <w:rPr>
          <w:rFonts w:hint="eastAsia" w:ascii="宋体" w:hAnsi="宋体"/>
          <w:color w:val="000000"/>
          <w:sz w:val="24"/>
          <w:highlight w:val="none"/>
        </w:rPr>
      </w:r>
      <w:r/>
    </w:p>
    <w:p>
      <w:pPr>
        <w:pStyle w:val="85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（5）投标人的报价超过了采购预算或最高限价的。</w:t>
      </w:r>
      <w:r>
        <w:rPr>
          <w:rFonts w:hint="eastAsia" w:ascii="宋体" w:hAnsi="宋体"/>
          <w:color w:val="000000"/>
          <w:sz w:val="24"/>
          <w:highlight w:val="none"/>
        </w:rPr>
      </w:r>
      <w:r/>
    </w:p>
    <w:p>
      <w:pPr>
        <w:pStyle w:val="85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（6）未通过符合性审查的。</w:t>
      </w:r>
      <w:r>
        <w:rPr>
          <w:rFonts w:hint="eastAsia" w:ascii="宋体" w:hAnsi="宋体"/>
          <w:color w:val="000000"/>
          <w:sz w:val="24"/>
          <w:highlight w:val="none"/>
        </w:rPr>
      </w:r>
      <w:r/>
    </w:p>
    <w:p>
      <w:pPr>
        <w:pStyle w:val="85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（7）不符合招标文件中规定的实质性要求和条件的（本招标文件中斜体且有下划线部分为实质性要求和条件）。</w:t>
      </w:r>
      <w:r>
        <w:rPr>
          <w:rFonts w:hint="eastAsia" w:ascii="宋体" w:hAnsi="宋体"/>
          <w:color w:val="000000"/>
          <w:sz w:val="24"/>
          <w:highlight w:val="none"/>
        </w:rPr>
      </w:r>
      <w:r/>
    </w:p>
    <w:p>
      <w:pPr>
        <w:pStyle w:val="85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olor w:val="000000"/>
          <w:sz w:val="24"/>
          <w:highlight w:val="none"/>
        </w:rPr>
      </w:r>
      <w:r/>
    </w:p>
    <w:p>
      <w:pPr>
        <w:pStyle w:val="85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（8）投标文件含有采购人不能接受的附加条件的。</w:t>
      </w:r>
      <w:r>
        <w:rPr>
          <w:rFonts w:hint="eastAsia" w:ascii="宋体" w:hAnsi="宋体"/>
          <w:color w:val="000000"/>
          <w:sz w:val="24"/>
          <w:highlight w:val="none"/>
        </w:rPr>
      </w:r>
      <w:r/>
    </w:p>
    <w:p>
      <w:pPr>
        <w:pStyle w:val="85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9）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color w:val="000000"/>
          <w:sz w:val="24"/>
          <w:highlight w:val="none"/>
        </w:rPr>
      </w:r>
      <w:r/>
    </w:p>
    <w:p>
      <w:pPr>
        <w:pStyle w:val="85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（10）投标文件未按照招标文件要求加盖CA电子公章的。</w:t>
      </w:r>
      <w:r>
        <w:rPr>
          <w:rFonts w:hint="eastAsia" w:ascii="宋体" w:hAnsi="宋体"/>
          <w:color w:val="000000"/>
          <w:sz w:val="24"/>
          <w:highlight w:val="none"/>
        </w:rPr>
      </w:r>
      <w:r/>
    </w:p>
    <w:p>
      <w:pPr>
        <w:pStyle w:val="85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（11）其他法律、法规及本招标文件规定的属无效投标的情形。</w:t>
      </w:r>
      <w:r>
        <w:rPr>
          <w:rFonts w:hint="eastAsia" w:ascii="宋体" w:hAnsi="宋体"/>
          <w:color w:val="000000"/>
          <w:sz w:val="24"/>
          <w:highlight w:val="none"/>
        </w:rPr>
      </w:r>
      <w:r/>
    </w:p>
    <w:p>
      <w:pPr>
        <w:pStyle w:val="856"/>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2.废标条款</w:t>
      </w:r>
      <w:r>
        <w:rPr>
          <w:rFonts w:hint="eastAsia" w:ascii="宋体" w:hAnsi="宋体"/>
          <w:b/>
          <w:bCs/>
          <w:color w:val="000000"/>
          <w:sz w:val="24"/>
          <w:highlight w:val="none"/>
        </w:rPr>
      </w:r>
      <w:r/>
    </w:p>
    <w:p>
      <w:pPr>
        <w:pStyle w:val="85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（1）符合专业条件的供应商或者对招标文件作实质响应的供应商不足三家的。</w:t>
      </w:r>
      <w:r>
        <w:rPr>
          <w:rFonts w:hint="eastAsia" w:ascii="宋体" w:hAnsi="宋体"/>
          <w:color w:val="000000"/>
          <w:sz w:val="24"/>
          <w:highlight w:val="none"/>
        </w:rPr>
      </w:r>
      <w:r/>
    </w:p>
    <w:p>
      <w:pPr>
        <w:pStyle w:val="85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（2）出现影响采购公正的违法、违规行为的。</w:t>
      </w:r>
      <w:r>
        <w:rPr>
          <w:rFonts w:hint="eastAsia" w:ascii="宋体" w:hAnsi="宋体"/>
          <w:color w:val="000000"/>
          <w:sz w:val="24"/>
          <w:highlight w:val="none"/>
        </w:rPr>
      </w:r>
      <w:r/>
    </w:p>
    <w:p>
      <w:pPr>
        <w:pStyle w:val="85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（3）因重大变故，采购任务取消的。</w:t>
      </w:r>
      <w:r>
        <w:rPr>
          <w:rFonts w:hint="eastAsia" w:ascii="宋体" w:hAnsi="宋体"/>
          <w:color w:val="000000"/>
          <w:sz w:val="24"/>
          <w:highlight w:val="none"/>
        </w:rPr>
      </w:r>
      <w:r/>
    </w:p>
    <w:p>
      <w:pPr>
        <w:pStyle w:val="85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（4）评标委员会认定招标文件存在歧义、重大缺陷导致评审工作无法进行。</w:t>
      </w:r>
      <w:r>
        <w:rPr>
          <w:rFonts w:hint="eastAsia" w:ascii="宋体" w:hAnsi="宋体"/>
          <w:color w:val="000000"/>
          <w:sz w:val="24"/>
          <w:highlight w:val="none"/>
        </w:rPr>
      </w:r>
      <w:r/>
    </w:p>
    <w:p>
      <w:pPr>
        <w:pStyle w:val="856"/>
        <w:ind w:firstLine="480"/>
        <w:spacing w:line="360" w:lineRule="auto"/>
        <w:widowControl/>
        <w:tabs>
          <w:tab w:val="left" w:pos="377" w:leader="none"/>
        </w:tabs>
        <w:rPr>
          <w:rFonts w:hint="eastAsia" w:ascii="宋体" w:hAnsi="宋体"/>
          <w:color w:val="000000"/>
          <w:sz w:val="24"/>
          <w:highlight w:val="none"/>
        </w:rPr>
      </w:pPr>
      <w:r>
        <w:rPr>
          <w:rFonts w:hint="eastAsia" w:ascii="宋体" w:hAnsi="宋体"/>
          <w:color w:val="000000"/>
          <w:sz w:val="24"/>
          <w:highlight w:val="none"/>
        </w:rPr>
        <w:t xml:space="preserve">（5）因苏采云系统系统故障原因造成开标不成功的。</w:t>
      </w:r>
      <w:r>
        <w:rPr>
          <w:rFonts w:hint="eastAsia" w:ascii="宋体" w:hAnsi="宋体"/>
          <w:color w:val="000000"/>
          <w:sz w:val="24"/>
          <w:highlight w:val="none"/>
        </w:rPr>
      </w:r>
      <w:r/>
    </w:p>
    <w:p>
      <w:pPr>
        <w:pStyle w:val="85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（6）投标截止时间结束后参加投标的供应商不足三家的：</w:t>
      </w:r>
      <w:r>
        <w:rPr>
          <w:rFonts w:hint="eastAsia" w:ascii="宋体" w:hAnsi="宋体"/>
          <w:color w:val="000000"/>
          <w:sz w:val="24"/>
          <w:highlight w:val="none"/>
        </w:rPr>
      </w:r>
      <w:r/>
    </w:p>
    <w:p>
      <w:pPr>
        <w:pStyle w:val="85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（7）如出现投标截止时间结束后参加投标的供应商或者在评标期间对招标文件做出实质响应的供应商不足三家情况，按政府采购相关规定执行。</w:t>
      </w:r>
      <w:r>
        <w:rPr>
          <w:rFonts w:hint="eastAsia" w:ascii="宋体" w:hAnsi="宋体"/>
          <w:color w:val="000000"/>
          <w:sz w:val="24"/>
          <w:highlight w:val="none"/>
        </w:rPr>
      </w:r>
      <w:r/>
    </w:p>
    <w:p>
      <w:pPr>
        <w:pStyle w:val="856"/>
        <w:keepLines/>
        <w:keepNext/>
        <w:spacing w:before="156" w:after="156" w:line="360" w:lineRule="auto"/>
        <w:rPr>
          <w:rFonts w:ascii="Arial" w:hAnsi="Arial" w:eastAsia="黑体"/>
          <w:b/>
          <w:bCs/>
          <w:color w:val="000000"/>
          <w:sz w:val="32"/>
          <w:szCs w:val="32"/>
          <w:highlight w:val="none"/>
        </w:rPr>
        <w:outlineLvl w:val="1"/>
      </w:pPr>
      <w:r>
        <w:rPr>
          <w:rFonts w:hint="eastAsia" w:ascii="Arial" w:hAnsi="Arial" w:eastAsia="黑体"/>
          <w:b/>
          <w:bCs/>
          <w:color w:val="000000"/>
          <w:sz w:val="32"/>
          <w:szCs w:val="32"/>
          <w:highlight w:val="none"/>
        </w:rPr>
        <w:t xml:space="preserve">六、中标结果</w:t>
      </w:r>
      <w:r>
        <w:rPr>
          <w:rFonts w:ascii="Arial" w:hAnsi="Arial" w:eastAsia="黑体"/>
          <w:b/>
          <w:bCs/>
          <w:color w:val="000000"/>
          <w:sz w:val="32"/>
          <w:szCs w:val="32"/>
          <w:highlight w:val="none"/>
        </w:rPr>
      </w:r>
      <w:r/>
    </w:p>
    <w:p>
      <w:pPr>
        <w:pStyle w:val="856"/>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二十三、中标人的确定</w:t>
      </w:r>
      <w:r>
        <w:rPr>
          <w:rFonts w:ascii="宋体" w:hAnsi="宋体"/>
          <w:b/>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评标委员会按照评审得分由高到低顺序推荐3名中标候选人，并根据采购人的授权，直接确定排名第一的中标候选人为中标人。</w:t>
      </w:r>
      <w:r>
        <w:rPr>
          <w:rFonts w:ascii="宋体" w:hAnsi="宋体"/>
          <w:color w:val="000000"/>
          <w:sz w:val="24"/>
          <w:szCs w:val="24"/>
          <w:highlight w:val="none"/>
        </w:rPr>
      </w:r>
      <w:r/>
    </w:p>
    <w:p>
      <w:pPr>
        <w:pStyle w:val="856"/>
        <w:ind w:firstLine="48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二十四、中标通知书</w:t>
      </w:r>
      <w:r>
        <w:rPr>
          <w:rFonts w:ascii="宋体" w:hAnsi="宋体"/>
          <w:color w:val="000000"/>
          <w:sz w:val="24"/>
          <w:szCs w:val="24"/>
          <w:highlight w:val="none"/>
        </w:rPr>
      </w:r>
      <w:r/>
    </w:p>
    <w:p>
      <w:pPr>
        <w:pStyle w:val="85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中标人确定后，中标结果由采购代理机构在江苏政府采购网公告，中标公告期限为1个工作日，同时由采购代理机构向中标人发出中标通知书。</w:t>
      </w:r>
      <w:r>
        <w:rPr>
          <w:rFonts w:hint="eastAsia" w:ascii="宋体" w:hAnsi="宋体"/>
          <w:b/>
          <w:color w:val="000000"/>
          <w:sz w:val="24"/>
          <w:highlight w:val="none"/>
        </w:rPr>
        <w:t xml:space="preserve">中标供应商在领取中标通知书时，需提供与电子投标文件一致的纸质打印投标文件（一正四副）</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5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采购代理机构无义务向未中标人解释未中标原因和退回投标文件。</w:t>
      </w:r>
      <w:r>
        <w:rPr>
          <w:rFonts w:hint="eastAsia" w:ascii="宋体" w:hAnsi="宋体"/>
          <w:color w:val="000000"/>
          <w:sz w:val="24"/>
          <w:highlight w:val="none"/>
        </w:rPr>
      </w:r>
      <w:r/>
    </w:p>
    <w:p>
      <w:pPr>
        <w:pStyle w:val="85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若有充分证据证明，中标人出现下列情况之一的，一经查实，将被取消中标资格：</w:t>
      </w:r>
      <w:r>
        <w:rPr>
          <w:rFonts w:hint="eastAsia" w:ascii="宋体" w:hAnsi="宋体"/>
          <w:color w:val="000000"/>
          <w:sz w:val="24"/>
          <w:highlight w:val="none"/>
        </w:rPr>
      </w:r>
      <w:r/>
    </w:p>
    <w:p>
      <w:pPr>
        <w:pStyle w:val="85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（1）提供虚假材料谋取中标的。</w:t>
      </w:r>
      <w:r>
        <w:rPr>
          <w:rFonts w:hint="eastAsia" w:ascii="宋体" w:hAnsi="宋体"/>
          <w:color w:val="000000"/>
          <w:sz w:val="24"/>
          <w:highlight w:val="none"/>
        </w:rPr>
      </w:r>
      <w:r/>
    </w:p>
    <w:p>
      <w:pPr>
        <w:pStyle w:val="85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（2）向采购人、采购中心行贿或者提供其他不正当利益的。</w:t>
      </w:r>
      <w:r>
        <w:rPr>
          <w:rFonts w:hint="eastAsia" w:ascii="宋体" w:hAnsi="宋体"/>
          <w:color w:val="000000"/>
          <w:sz w:val="24"/>
          <w:highlight w:val="none"/>
        </w:rPr>
      </w:r>
      <w:r/>
    </w:p>
    <w:p>
      <w:pPr>
        <w:pStyle w:val="85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（3）属于本文件规定的无效条件，但在评标过程中又未被评委会发现的。</w:t>
      </w:r>
      <w:r>
        <w:rPr>
          <w:rFonts w:hint="eastAsia" w:ascii="宋体" w:hAnsi="宋体"/>
          <w:color w:val="000000"/>
          <w:sz w:val="24"/>
          <w:highlight w:val="none"/>
        </w:rPr>
      </w:r>
      <w:r/>
    </w:p>
    <w:p>
      <w:pPr>
        <w:pStyle w:val="85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（4）与采购人或者其他供应商恶意串通的。</w:t>
      </w:r>
      <w:r>
        <w:rPr>
          <w:rFonts w:hint="eastAsia" w:ascii="宋体" w:hAnsi="宋体"/>
          <w:color w:val="000000"/>
          <w:sz w:val="24"/>
          <w:highlight w:val="none"/>
        </w:rPr>
      </w:r>
      <w:r/>
    </w:p>
    <w:p>
      <w:pPr>
        <w:pStyle w:val="85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（5）采取不正当手段诋毁、排挤其他供应商的。</w:t>
      </w:r>
      <w:r>
        <w:rPr>
          <w:rFonts w:hint="eastAsia" w:ascii="宋体" w:hAnsi="宋体"/>
          <w:color w:val="000000"/>
          <w:sz w:val="24"/>
          <w:highlight w:val="none"/>
        </w:rPr>
      </w:r>
      <w:r/>
    </w:p>
    <w:p>
      <w:pPr>
        <w:pStyle w:val="85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有下列情形之一的，视为投标人串通投标，投标无效：</w:t>
      </w:r>
      <w:r>
        <w:rPr>
          <w:rFonts w:hint="eastAsia" w:ascii="宋体" w:hAnsi="宋体"/>
          <w:color w:val="000000"/>
          <w:sz w:val="24"/>
          <w:highlight w:val="none"/>
        </w:rPr>
      </w:r>
      <w:r/>
    </w:p>
    <w:p>
      <w:pPr>
        <w:pStyle w:val="85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（1）不同投标人的投标文件由同一单位或者个人编制。</w:t>
      </w:r>
      <w:r>
        <w:rPr>
          <w:rFonts w:hint="eastAsia" w:ascii="宋体" w:hAnsi="宋体"/>
          <w:color w:val="000000"/>
          <w:sz w:val="24"/>
          <w:highlight w:val="none"/>
        </w:rPr>
      </w:r>
      <w:r/>
    </w:p>
    <w:p>
      <w:pPr>
        <w:pStyle w:val="85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（2）不同投标人委托同一单位或者个人办理投标事宜。</w:t>
      </w:r>
      <w:r>
        <w:rPr>
          <w:rFonts w:hint="eastAsia" w:ascii="宋体" w:hAnsi="宋体"/>
          <w:color w:val="000000"/>
          <w:sz w:val="24"/>
          <w:highlight w:val="none"/>
        </w:rPr>
      </w:r>
      <w:r/>
    </w:p>
    <w:p>
      <w:pPr>
        <w:pStyle w:val="85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（3）不同投标人的投标文件载明的项目管理成员或者联系人员为同一人。</w:t>
      </w:r>
      <w:r>
        <w:rPr>
          <w:rFonts w:hint="eastAsia" w:ascii="宋体" w:hAnsi="宋体"/>
          <w:color w:val="000000"/>
          <w:sz w:val="24"/>
          <w:highlight w:val="none"/>
        </w:rPr>
      </w:r>
      <w:r/>
    </w:p>
    <w:p>
      <w:pPr>
        <w:pStyle w:val="85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（4）不同投标人的投标文件异常一致或者投标报价呈规律性差异。</w:t>
      </w:r>
      <w:r>
        <w:rPr>
          <w:rFonts w:hint="eastAsia" w:ascii="宋体" w:hAnsi="宋体"/>
          <w:color w:val="000000"/>
          <w:sz w:val="24"/>
          <w:highlight w:val="none"/>
        </w:rPr>
      </w:r>
      <w:r/>
    </w:p>
    <w:p>
      <w:pPr>
        <w:pStyle w:val="856"/>
        <w:keepLines/>
        <w:keepNext/>
        <w:spacing w:before="156" w:after="156" w:line="360" w:lineRule="auto"/>
        <w:rPr>
          <w:rFonts w:ascii="Arial" w:hAnsi="Arial" w:eastAsia="黑体"/>
          <w:b/>
          <w:bCs/>
          <w:color w:val="000000"/>
          <w:sz w:val="32"/>
          <w:szCs w:val="32"/>
          <w:highlight w:val="none"/>
        </w:rPr>
        <w:outlineLvl w:val="1"/>
      </w:pPr>
      <w:r>
        <w:rPr>
          <w:rFonts w:hint="eastAsia" w:ascii="Arial" w:hAnsi="Arial" w:eastAsia="黑体"/>
          <w:b/>
          <w:bCs/>
          <w:color w:val="000000"/>
          <w:sz w:val="32"/>
          <w:szCs w:val="32"/>
          <w:highlight w:val="none"/>
        </w:rPr>
        <w:t xml:space="preserve">七、合同</w:t>
      </w:r>
      <w:r>
        <w:rPr>
          <w:rFonts w:ascii="Arial" w:hAnsi="Arial" w:eastAsia="黑体"/>
          <w:b/>
          <w:bCs/>
          <w:color w:val="000000"/>
          <w:sz w:val="32"/>
          <w:szCs w:val="32"/>
          <w:highlight w:val="none"/>
        </w:rPr>
      </w:r>
      <w:r/>
    </w:p>
    <w:p>
      <w:pPr>
        <w:pStyle w:val="856"/>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二十六、签订合同</w:t>
      </w:r>
      <w:r>
        <w:rPr>
          <w:rFonts w:ascii="宋体" w:hAnsi="宋体"/>
          <w:b/>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采购人应当自中标通知书发出之日起30日内与中标人签订书面合同，再经见证方见证。</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招标文件、中标人的投标文件及其澄清文件(若有)等，均为签订合同的依据。</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所签订的合同不得对招标文件确定的事项和中标人投标文件作实质性的修改。</w:t>
      </w:r>
      <w:r>
        <w:rPr>
          <w:rFonts w:ascii="宋体" w:hAnsi="宋体"/>
          <w:color w:val="000000"/>
          <w:sz w:val="24"/>
          <w:szCs w:val="24"/>
          <w:highlight w:val="none"/>
        </w:rPr>
      </w:r>
      <w:r/>
    </w:p>
    <w:p>
      <w:pPr>
        <w:pStyle w:val="856"/>
        <w:keepLines/>
        <w:keepNext/>
        <w:spacing w:before="156" w:after="156" w:line="360" w:lineRule="auto"/>
        <w:rPr>
          <w:rFonts w:ascii="Arial" w:hAnsi="Arial" w:eastAsia="黑体"/>
          <w:b/>
          <w:bCs/>
          <w:color w:val="000000"/>
          <w:sz w:val="32"/>
          <w:szCs w:val="32"/>
          <w:highlight w:val="none"/>
        </w:rPr>
        <w:outlineLvl w:val="1"/>
      </w:pPr>
      <w:r>
        <w:rPr>
          <w:rFonts w:hint="eastAsia" w:ascii="Arial" w:hAnsi="Arial" w:eastAsia="黑体"/>
          <w:b/>
          <w:bCs/>
          <w:color w:val="000000"/>
          <w:sz w:val="32"/>
          <w:szCs w:val="32"/>
          <w:highlight w:val="none"/>
        </w:rPr>
        <w:t xml:space="preserve">八、质疑、投诉</w:t>
      </w:r>
      <w:r>
        <w:rPr>
          <w:rFonts w:ascii="Arial" w:hAnsi="Arial" w:eastAsia="黑体"/>
          <w:b/>
          <w:bCs/>
          <w:color w:val="000000"/>
          <w:sz w:val="32"/>
          <w:szCs w:val="32"/>
          <w:highlight w:val="none"/>
        </w:rPr>
      </w:r>
      <w:r/>
    </w:p>
    <w:p>
      <w:pPr>
        <w:pStyle w:val="856"/>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二十七、</w:t>
      </w:r>
      <w:r>
        <w:rPr>
          <w:rFonts w:ascii="宋体" w:hAnsi="宋体"/>
          <w:b/>
          <w:color w:val="000000"/>
          <w:sz w:val="24"/>
          <w:szCs w:val="24"/>
          <w:highlight w:val="none"/>
        </w:rPr>
        <w:t xml:space="preserve"> 质疑</w:t>
      </w:r>
      <w:r>
        <w:rPr>
          <w:rFonts w:ascii="宋体" w:hAnsi="宋体"/>
          <w:b/>
          <w:color w:val="000000"/>
          <w:sz w:val="24"/>
          <w:szCs w:val="24"/>
          <w:highlight w:val="none"/>
        </w:rPr>
      </w:r>
      <w:r/>
    </w:p>
    <w:p>
      <w:pPr>
        <w:pStyle w:val="856"/>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质疑的提出</w:t>
      </w:r>
      <w:r>
        <w:rPr>
          <w:rFonts w:ascii="宋体" w:hAnsi="宋体"/>
          <w:b/>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提出质疑的</w:t>
      </w: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应当是参与所质疑项目采购活动的</w:t>
      </w: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56"/>
        <w:ind w:firstLine="480"/>
        <w:spacing w:line="360" w:lineRule="auto"/>
        <w:rPr>
          <w:rFonts w:ascii="宋体" w:hAnsi="宋体"/>
          <w:b/>
          <w:color w:val="000000"/>
          <w:sz w:val="24"/>
          <w:szCs w:val="24"/>
          <w:highlight w:val="none"/>
        </w:rPr>
      </w:pP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认为招标文件、采购过程、中标结果使自己的权益受到损害的，可以在知道或者应知其权益受到损害之日（获取招标文件之日、中标公告发布之日）起七个工作日内以书面形式向采购人、采购代理机构提出质疑。</w:t>
      </w: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应当在法定质疑期内一次性提出针对同一采购程序环节的质疑。</w:t>
      </w:r>
      <w:r>
        <w:rPr>
          <w:rFonts w:hint="eastAsia" w:ascii="宋体" w:hAnsi="宋体"/>
          <w:b/>
          <w:color w:val="000000"/>
          <w:sz w:val="24"/>
          <w:szCs w:val="24"/>
          <w:highlight w:val="none"/>
        </w:rPr>
        <w:t xml:space="preserve">未依照采购公告要求获取招标文件的</w:t>
      </w:r>
      <w:r>
        <w:rPr>
          <w:rFonts w:hint="eastAsia" w:ascii="宋体" w:hAnsi="宋体" w:cs="宋体"/>
          <w:b/>
          <w:bCs/>
          <w:color w:val="000000"/>
          <w:sz w:val="24"/>
          <w:szCs w:val="24"/>
          <w:highlight w:val="none"/>
        </w:rPr>
        <w:t xml:space="preserve">投标人</w:t>
      </w:r>
      <w:r>
        <w:rPr>
          <w:rFonts w:hint="eastAsia" w:ascii="宋体" w:hAnsi="宋体"/>
          <w:b/>
          <w:color w:val="000000"/>
          <w:sz w:val="24"/>
          <w:szCs w:val="24"/>
          <w:highlight w:val="none"/>
        </w:rPr>
        <w:t xml:space="preserve">，视为未参与该项目的采购活动，不具备对该招标文件提出质疑的法定权利。</w:t>
      </w:r>
      <w:r>
        <w:rPr>
          <w:rFonts w:ascii="宋体" w:hAnsi="宋体"/>
          <w:b/>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提出质疑时，必须坚持“谁主张，谁举证”“实事求是”的原则，不能臆测。属于须由法定部门调查、侦查或先行作出相关认定的事项，质疑</w:t>
      </w:r>
      <w:r>
        <w:rPr>
          <w:rFonts w:hint="eastAsia" w:ascii="宋体" w:hAnsi="宋体" w:cs="宋体"/>
          <w:color w:val="000000"/>
          <w:sz w:val="24"/>
          <w:szCs w:val="24"/>
          <w:highlight w:val="none"/>
        </w:rPr>
        <w:t xml:space="preserve">投标人</w:t>
      </w:r>
      <w:r>
        <w:rPr>
          <w:rFonts w:ascii="宋体" w:hAnsi="宋体"/>
          <w:color w:val="000000"/>
          <w:sz w:val="24"/>
          <w:szCs w:val="24"/>
          <w:highlight w:val="none"/>
        </w:rPr>
        <w:t xml:space="preserve">应当依法申请具有法定职权的部门查清、认定，并将相关结果提供给</w:t>
      </w:r>
      <w:r>
        <w:rPr>
          <w:rFonts w:hint="eastAsia" w:ascii="宋体" w:hAnsi="宋体"/>
          <w:color w:val="000000"/>
          <w:sz w:val="24"/>
          <w:szCs w:val="24"/>
          <w:highlight w:val="none"/>
        </w:rPr>
        <w:t xml:space="preserve">采购人、采购代理机构</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采购人、采购代理机构</w:t>
      </w:r>
      <w:r>
        <w:rPr>
          <w:rFonts w:ascii="宋体" w:hAnsi="宋体"/>
          <w:color w:val="000000"/>
          <w:sz w:val="24"/>
          <w:szCs w:val="24"/>
          <w:highlight w:val="none"/>
        </w:rPr>
        <w:t xml:space="preserve">不具有法定调查、认定权限。</w:t>
      </w:r>
      <w:r>
        <w:rPr>
          <w:rFonts w:ascii="宋体" w:hAnsi="宋体"/>
          <w:color w:val="000000"/>
          <w:sz w:val="24"/>
          <w:szCs w:val="24"/>
          <w:highlight w:val="none"/>
        </w:rPr>
      </w:r>
      <w:r/>
    </w:p>
    <w:p>
      <w:pPr>
        <w:pStyle w:val="856"/>
        <w:ind w:firstLine="48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质疑函的接收方式为</w:t>
      </w:r>
      <w:r>
        <w:rPr>
          <w:rFonts w:hint="eastAsia" w:ascii="宋体" w:hAnsi="宋体" w:cs="宋体"/>
          <w:b/>
          <w:bCs/>
          <w:color w:val="000000"/>
          <w:sz w:val="24"/>
          <w:szCs w:val="24"/>
          <w:highlight w:val="none"/>
        </w:rPr>
        <w:t xml:space="preserve">投标人</w:t>
      </w:r>
      <w:r>
        <w:rPr>
          <w:rFonts w:hint="eastAsia" w:ascii="宋体" w:hAnsi="宋体"/>
          <w:b/>
          <w:color w:val="000000"/>
          <w:sz w:val="24"/>
          <w:szCs w:val="24"/>
          <w:highlight w:val="none"/>
        </w:rPr>
        <w:t xml:space="preserve">书面原件提交</w:t>
      </w:r>
      <w:r>
        <w:rPr>
          <w:rFonts w:hint="eastAsia" w:ascii="宋体" w:hAnsi="宋体"/>
          <w:color w:val="000000"/>
          <w:sz w:val="24"/>
          <w:szCs w:val="24"/>
          <w:highlight w:val="none"/>
        </w:rPr>
        <w:t xml:space="preserve">。联系部门、联系电话和通讯地址详见本招标文件第一部分“投标邀请”。</w:t>
      </w:r>
      <w:r>
        <w:rPr>
          <w:rFonts w:ascii="宋体" w:hAnsi="宋体"/>
          <w:color w:val="000000"/>
          <w:sz w:val="24"/>
          <w:szCs w:val="24"/>
          <w:highlight w:val="none"/>
        </w:rPr>
        <w:t xml:space="preserve">质疑实行实名制，不得进行虚假、恶意质疑。</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质疑函应当使用范本（详见连云港市政府采购交易平台-监管信息-意见反馈）。</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提出质疑应当</w:t>
      </w:r>
      <w:r>
        <w:rPr>
          <w:rFonts w:hint="eastAsia" w:ascii="宋体" w:hAnsi="宋体"/>
          <w:b/>
          <w:color w:val="000000"/>
          <w:sz w:val="24"/>
          <w:szCs w:val="24"/>
          <w:highlight w:val="none"/>
        </w:rPr>
        <w:t xml:space="preserve">提交质疑函和必要的证明材料</w:t>
      </w:r>
      <w:r>
        <w:rPr>
          <w:rFonts w:hint="eastAsia" w:ascii="宋体" w:hAnsi="宋体"/>
          <w:color w:val="000000"/>
          <w:sz w:val="24"/>
          <w:szCs w:val="24"/>
          <w:highlight w:val="none"/>
        </w:rPr>
        <w:t xml:space="preserve">，应当包括下列内容：</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的姓名或者名称、地址、邮编、联系人及联系电话；</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（2）质疑项目的名称、编号；</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（3）具体、明确的质疑事项和与质疑事项相关的请求；</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（4）事实依据；</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（5）必要的法律依据；</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（6）提出质疑的日期；</w:t>
      </w:r>
      <w:r>
        <w:rPr>
          <w:rFonts w:ascii="宋体" w:hAnsi="宋体"/>
          <w:color w:val="000000"/>
          <w:sz w:val="24"/>
          <w:szCs w:val="24"/>
          <w:highlight w:val="none"/>
        </w:rPr>
      </w:r>
      <w:r/>
    </w:p>
    <w:p>
      <w:pPr>
        <w:pStyle w:val="856"/>
        <w:ind w:firstLine="480"/>
        <w:spacing w:line="360" w:lineRule="auto"/>
        <w:rPr>
          <w:rFonts w:ascii="宋体" w:hAnsi="宋体"/>
          <w:b/>
          <w:color w:val="000000"/>
          <w:sz w:val="24"/>
          <w:szCs w:val="24"/>
          <w:highlight w:val="none"/>
        </w:rPr>
      </w:pPr>
      <w:r>
        <w:rPr>
          <w:rFonts w:hint="eastAsia" w:ascii="宋体" w:hAnsi="宋体"/>
          <w:color w:val="000000"/>
          <w:sz w:val="24"/>
          <w:szCs w:val="24"/>
          <w:highlight w:val="none"/>
        </w:rPr>
        <w:t xml:space="preserve">（7）</w:t>
      </w:r>
      <w:r>
        <w:rPr>
          <w:rFonts w:hint="eastAsia" w:ascii="宋体" w:hAnsi="宋体"/>
          <w:b/>
          <w:color w:val="000000"/>
          <w:sz w:val="24"/>
          <w:szCs w:val="24"/>
          <w:highlight w:val="none"/>
        </w:rPr>
        <w:t xml:space="preserve">必要的证明材料；</w:t>
      </w:r>
      <w:r>
        <w:rPr>
          <w:rFonts w:ascii="宋体" w:hAnsi="宋体"/>
          <w:b/>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（8）采购文件(交易文件)下载回执函；</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（9）营业执照复印件及法定代表人授权委托书、法定代表人身份证复印件、委托代理人身份证复印件。</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为自然人的，应当由本人签字；</w:t>
      </w: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为法人或者其他组织的，应当由法定代表人、主要负责人，或者其授权代理人签字或者盖章，并加盖单位公章。</w:t>
      </w:r>
      <w:r>
        <w:rPr>
          <w:rFonts w:ascii="宋体" w:hAnsi="宋体"/>
          <w:color w:val="000000"/>
          <w:sz w:val="24"/>
          <w:szCs w:val="24"/>
          <w:highlight w:val="none"/>
        </w:rPr>
      </w:r>
      <w:r/>
    </w:p>
    <w:p>
      <w:pPr>
        <w:pStyle w:val="856"/>
        <w:ind w:firstLine="48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2、</w:t>
      </w:r>
      <w:r>
        <w:rPr>
          <w:rFonts w:ascii="宋体" w:hAnsi="宋体"/>
          <w:b/>
          <w:color w:val="000000"/>
          <w:sz w:val="24"/>
          <w:szCs w:val="24"/>
          <w:highlight w:val="none"/>
        </w:rPr>
        <w:t xml:space="preserve">质疑函的受理和答复</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质疑</w:t>
      </w:r>
      <w:r>
        <w:rPr>
          <w:rFonts w:hint="eastAsia" w:ascii="宋体" w:hAnsi="宋体" w:cs="宋体"/>
          <w:color w:val="000000"/>
          <w:sz w:val="24"/>
          <w:szCs w:val="24"/>
          <w:highlight w:val="none"/>
        </w:rPr>
        <w:t xml:space="preserve">投标人</w:t>
      </w:r>
      <w:r>
        <w:rPr>
          <w:rFonts w:ascii="宋体" w:hAnsi="宋体"/>
          <w:color w:val="000000"/>
          <w:sz w:val="24"/>
          <w:szCs w:val="24"/>
          <w:highlight w:val="none"/>
        </w:rPr>
        <w:t xml:space="preserve">应</w:t>
      </w:r>
      <w:r>
        <w:rPr>
          <w:rFonts w:hint="eastAsia" w:ascii="宋体" w:hAnsi="宋体"/>
          <w:color w:val="000000"/>
          <w:sz w:val="24"/>
          <w:szCs w:val="24"/>
          <w:highlight w:val="none"/>
        </w:rPr>
        <w:t xml:space="preserve">当</w:t>
      </w:r>
      <w:r>
        <w:rPr>
          <w:rFonts w:ascii="宋体" w:hAnsi="宋体"/>
          <w:color w:val="000000"/>
          <w:sz w:val="24"/>
          <w:szCs w:val="24"/>
          <w:highlight w:val="none"/>
        </w:rPr>
        <w:t xml:space="preserve">保证其提出的质疑事项及必要</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证明材料的真实性及来源的合法性，并承担相应的法律责任。</w:t>
      </w:r>
      <w:r>
        <w:rPr>
          <w:rFonts w:ascii="宋体" w:hAnsi="宋体"/>
          <w:b/>
          <w:color w:val="000000"/>
          <w:sz w:val="24"/>
          <w:szCs w:val="24"/>
          <w:highlight w:val="none"/>
        </w:rPr>
        <w:t xml:space="preserve">对不能提供必要</w:t>
      </w:r>
      <w:r>
        <w:rPr>
          <w:rFonts w:hint="eastAsia" w:ascii="宋体" w:hAnsi="宋体"/>
          <w:b/>
          <w:color w:val="000000"/>
          <w:sz w:val="24"/>
          <w:szCs w:val="24"/>
          <w:highlight w:val="none"/>
        </w:rPr>
        <w:t xml:space="preserve">的</w:t>
      </w:r>
      <w:r>
        <w:rPr>
          <w:rFonts w:ascii="宋体" w:hAnsi="宋体"/>
          <w:b/>
          <w:color w:val="000000"/>
          <w:sz w:val="24"/>
          <w:szCs w:val="24"/>
          <w:highlight w:val="none"/>
        </w:rPr>
        <w:t xml:space="preserve">证明材料的、涉及商业秘密的、非书面原件形式的、匿名的质疑函将不予受理</w:t>
      </w:r>
      <w:r>
        <w:rPr>
          <w:rFonts w:ascii="宋体" w:hAnsi="宋体"/>
          <w:color w:val="000000"/>
          <w:sz w:val="24"/>
          <w:szCs w:val="24"/>
          <w:highlight w:val="none"/>
        </w:rPr>
        <w:t xml:space="preserve">。必要</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证明材料要具备客观性、关联性、合法性，无法查实的（如宣传册、媒体报道、猜测、推理等）不能作为证明材料。</w:t>
      </w:r>
      <w:r>
        <w:rPr>
          <w:rFonts w:hint="eastAsia" w:ascii="宋体" w:hAnsi="宋体"/>
          <w:color w:val="000000"/>
          <w:sz w:val="24"/>
          <w:szCs w:val="24"/>
          <w:highlight w:val="none"/>
        </w:rPr>
        <w:t xml:space="preserve">采购人、采购代理机构</w:t>
      </w:r>
      <w:r>
        <w:rPr>
          <w:rFonts w:ascii="宋体" w:hAnsi="宋体"/>
          <w:color w:val="000000"/>
          <w:sz w:val="24"/>
          <w:szCs w:val="24"/>
          <w:highlight w:val="none"/>
        </w:rPr>
        <w:t xml:space="preserve">不负责搜集必要</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证明材料等工作。</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对符合质疑要求的，</w:t>
      </w:r>
      <w:r>
        <w:rPr>
          <w:rFonts w:hint="eastAsia" w:ascii="宋体" w:hAnsi="宋体"/>
          <w:color w:val="000000"/>
          <w:sz w:val="24"/>
          <w:szCs w:val="24"/>
          <w:highlight w:val="none"/>
        </w:rPr>
        <w:t xml:space="preserve">采购人、采购代理机构接收</w:t>
      </w:r>
      <w:r>
        <w:rPr>
          <w:rFonts w:ascii="宋体" w:hAnsi="宋体"/>
          <w:color w:val="000000"/>
          <w:sz w:val="24"/>
          <w:szCs w:val="24"/>
          <w:highlight w:val="none"/>
        </w:rPr>
        <w:t xml:space="preserve">并登记《质疑函登记表》。在处理过程中，发现需要质疑</w:t>
      </w:r>
      <w:r>
        <w:rPr>
          <w:rFonts w:hint="eastAsia" w:ascii="宋体" w:hAnsi="宋体" w:cs="宋体"/>
          <w:color w:val="000000"/>
          <w:sz w:val="24"/>
          <w:szCs w:val="24"/>
          <w:highlight w:val="none"/>
        </w:rPr>
        <w:t xml:space="preserve">投标人</w:t>
      </w:r>
      <w:r>
        <w:rPr>
          <w:rFonts w:ascii="宋体" w:hAnsi="宋体"/>
          <w:color w:val="000000"/>
          <w:sz w:val="24"/>
          <w:szCs w:val="24"/>
          <w:highlight w:val="none"/>
        </w:rPr>
        <w:t xml:space="preserve">进一步补充必要</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证明材料的，质疑</w:t>
      </w: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应</w:t>
      </w:r>
      <w:r>
        <w:rPr>
          <w:rFonts w:ascii="宋体" w:hAnsi="宋体"/>
          <w:color w:val="000000"/>
          <w:sz w:val="24"/>
          <w:szCs w:val="24"/>
          <w:highlight w:val="none"/>
        </w:rPr>
        <w:t xml:space="preserve">在法定的时间内提供，质疑答复时间相应顺延。质疑</w:t>
      </w:r>
      <w:r>
        <w:rPr>
          <w:rFonts w:hint="eastAsia" w:ascii="宋体" w:hAnsi="宋体" w:cs="宋体"/>
          <w:color w:val="000000"/>
          <w:sz w:val="24"/>
          <w:szCs w:val="24"/>
          <w:highlight w:val="none"/>
        </w:rPr>
        <w:t xml:space="preserve">投标人</w:t>
      </w:r>
      <w:r>
        <w:rPr>
          <w:rFonts w:ascii="宋体" w:hAnsi="宋体"/>
          <w:color w:val="000000"/>
          <w:sz w:val="24"/>
          <w:szCs w:val="24"/>
          <w:highlight w:val="none"/>
        </w:rPr>
        <w:t xml:space="preserve">不能按时提供必要</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证明材料的，视同放弃质疑。</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对不符合质疑要求的，</w:t>
      </w:r>
      <w:r>
        <w:rPr>
          <w:rFonts w:hint="eastAsia" w:ascii="宋体" w:hAnsi="宋体"/>
          <w:color w:val="000000"/>
          <w:sz w:val="24"/>
          <w:szCs w:val="24"/>
          <w:highlight w:val="none"/>
        </w:rPr>
        <w:t xml:space="preserve">采购人、采购代理机构</w:t>
      </w:r>
      <w:r>
        <w:rPr>
          <w:rFonts w:ascii="宋体" w:hAnsi="宋体"/>
          <w:color w:val="000000"/>
          <w:sz w:val="24"/>
          <w:szCs w:val="24"/>
          <w:highlight w:val="none"/>
        </w:rPr>
        <w:t xml:space="preserve">有权要求其补充必要</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证明材料，质疑</w:t>
      </w:r>
      <w:r>
        <w:rPr>
          <w:rFonts w:hint="eastAsia" w:ascii="宋体" w:hAnsi="宋体" w:cs="宋体"/>
          <w:color w:val="000000"/>
          <w:sz w:val="24"/>
          <w:szCs w:val="24"/>
          <w:highlight w:val="none"/>
        </w:rPr>
        <w:t xml:space="preserve">投标人</w:t>
      </w:r>
      <w:r>
        <w:rPr>
          <w:rFonts w:ascii="宋体" w:hAnsi="宋体"/>
          <w:color w:val="000000"/>
          <w:sz w:val="24"/>
          <w:szCs w:val="24"/>
          <w:highlight w:val="none"/>
        </w:rPr>
        <w:t xml:space="preserve">未在法定的时间内提供补充必要</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证明材料的，视同放弃质疑。</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采购人、采购代理机构</w:t>
      </w:r>
      <w:r>
        <w:rPr>
          <w:rFonts w:ascii="宋体" w:hAnsi="宋体"/>
          <w:color w:val="000000"/>
          <w:sz w:val="24"/>
          <w:szCs w:val="24"/>
          <w:highlight w:val="none"/>
        </w:rPr>
        <w:t xml:space="preserve">负责将质疑</w:t>
      </w:r>
      <w:r>
        <w:rPr>
          <w:rFonts w:hint="eastAsia" w:ascii="宋体" w:hAnsi="宋体" w:cs="宋体"/>
          <w:color w:val="000000"/>
          <w:sz w:val="24"/>
          <w:szCs w:val="24"/>
          <w:highlight w:val="none"/>
        </w:rPr>
        <w:t xml:space="preserve">投标人</w:t>
      </w:r>
      <w:r>
        <w:rPr>
          <w:rFonts w:ascii="宋体" w:hAnsi="宋体"/>
          <w:color w:val="000000"/>
          <w:sz w:val="24"/>
          <w:szCs w:val="24"/>
          <w:highlight w:val="none"/>
        </w:rPr>
        <w:t xml:space="preserve">提出的质疑函及</w:t>
      </w:r>
      <w:r>
        <w:rPr>
          <w:rFonts w:hint="eastAsia" w:ascii="宋体" w:hAnsi="宋体"/>
          <w:color w:val="000000"/>
          <w:sz w:val="24"/>
          <w:szCs w:val="24"/>
          <w:highlight w:val="none"/>
        </w:rPr>
        <w:t xml:space="preserve">相关</w:t>
      </w:r>
      <w:r>
        <w:rPr>
          <w:rFonts w:ascii="宋体" w:hAnsi="宋体"/>
          <w:color w:val="000000"/>
          <w:sz w:val="24"/>
          <w:szCs w:val="24"/>
          <w:highlight w:val="none"/>
        </w:rPr>
        <w:t xml:space="preserve">材料提供给评审委员会协助答复，并将答复意见回复质疑</w:t>
      </w:r>
      <w:r>
        <w:rPr>
          <w:rFonts w:hint="eastAsia" w:ascii="宋体" w:hAnsi="宋体" w:cs="宋体"/>
          <w:color w:val="000000"/>
          <w:sz w:val="24"/>
          <w:szCs w:val="24"/>
          <w:highlight w:val="none"/>
        </w:rPr>
        <w:t xml:space="preserve">投标人</w:t>
      </w:r>
      <w:r>
        <w:rPr>
          <w:rFonts w:ascii="宋体" w:hAnsi="宋体"/>
          <w:color w:val="000000"/>
          <w:sz w:val="24"/>
          <w:szCs w:val="24"/>
          <w:highlight w:val="none"/>
        </w:rPr>
        <w:t xml:space="preserve">。必要时，可向被质疑</w:t>
      </w:r>
      <w:r>
        <w:rPr>
          <w:rFonts w:hint="eastAsia" w:ascii="宋体" w:hAnsi="宋体" w:cs="宋体"/>
          <w:color w:val="000000"/>
          <w:sz w:val="24"/>
          <w:szCs w:val="24"/>
          <w:highlight w:val="none"/>
        </w:rPr>
        <w:t xml:space="preserve">投标人</w:t>
      </w:r>
      <w:r>
        <w:rPr>
          <w:rFonts w:ascii="宋体" w:hAnsi="宋体"/>
          <w:color w:val="000000"/>
          <w:sz w:val="24"/>
          <w:szCs w:val="24"/>
          <w:highlight w:val="none"/>
        </w:rPr>
        <w:t xml:space="preserve">转发《质疑函》及</w:t>
      </w:r>
      <w:r>
        <w:rPr>
          <w:rFonts w:hint="eastAsia" w:ascii="宋体" w:hAnsi="宋体"/>
          <w:color w:val="000000"/>
          <w:sz w:val="24"/>
          <w:szCs w:val="24"/>
          <w:highlight w:val="none"/>
        </w:rPr>
        <w:t xml:space="preserve">相关</w:t>
      </w:r>
      <w:r>
        <w:rPr>
          <w:rFonts w:ascii="宋体" w:hAnsi="宋体"/>
          <w:color w:val="000000"/>
          <w:sz w:val="24"/>
          <w:szCs w:val="24"/>
          <w:highlight w:val="none"/>
        </w:rPr>
        <w:t xml:space="preserve">材料。被质疑</w:t>
      </w:r>
      <w:r>
        <w:rPr>
          <w:rFonts w:hint="eastAsia" w:ascii="宋体" w:hAnsi="宋体" w:cs="宋体"/>
          <w:color w:val="000000"/>
          <w:sz w:val="24"/>
          <w:szCs w:val="24"/>
          <w:highlight w:val="none"/>
        </w:rPr>
        <w:t xml:space="preserve">投标人</w:t>
      </w:r>
      <w:r>
        <w:rPr>
          <w:rFonts w:ascii="宋体" w:hAnsi="宋体"/>
          <w:color w:val="000000"/>
          <w:sz w:val="24"/>
          <w:szCs w:val="24"/>
          <w:highlight w:val="none"/>
        </w:rPr>
        <w:t xml:space="preserve">应当在要求的时间内，以书面形式作出说明并提交</w:t>
      </w:r>
      <w:r>
        <w:rPr>
          <w:rFonts w:hint="eastAsia" w:ascii="宋体" w:hAnsi="宋体"/>
          <w:color w:val="000000"/>
          <w:sz w:val="24"/>
          <w:szCs w:val="24"/>
          <w:highlight w:val="none"/>
        </w:rPr>
        <w:t xml:space="preserve">相关</w:t>
      </w:r>
      <w:r>
        <w:rPr>
          <w:rFonts w:ascii="宋体" w:hAnsi="宋体"/>
          <w:color w:val="000000"/>
          <w:sz w:val="24"/>
          <w:szCs w:val="24"/>
          <w:highlight w:val="none"/>
        </w:rPr>
        <w:t xml:space="preserve">材料。</w:t>
      </w:r>
      <w:r>
        <w:rPr>
          <w:rFonts w:ascii="宋体" w:hAnsi="宋体"/>
          <w:color w:val="000000"/>
          <w:sz w:val="24"/>
          <w:szCs w:val="24"/>
          <w:highlight w:val="none"/>
        </w:rPr>
      </w:r>
      <w:r/>
    </w:p>
    <w:p>
      <w:pPr>
        <w:pStyle w:val="856"/>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3、</w:t>
      </w:r>
      <w:r>
        <w:rPr>
          <w:rFonts w:ascii="宋体" w:hAnsi="宋体"/>
          <w:b/>
          <w:color w:val="000000"/>
          <w:sz w:val="24"/>
          <w:szCs w:val="24"/>
          <w:highlight w:val="none"/>
        </w:rPr>
        <w:t xml:space="preserve">质疑处理</w:t>
      </w:r>
      <w:r>
        <w:rPr>
          <w:rFonts w:ascii="宋体" w:hAnsi="宋体"/>
          <w:b/>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质疑</w:t>
      </w: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未按照法定程序进行质疑投诉的，</w:t>
      </w:r>
      <w:r>
        <w:rPr>
          <w:rFonts w:ascii="宋体" w:hAnsi="宋体"/>
          <w:color w:val="000000"/>
          <w:sz w:val="24"/>
          <w:szCs w:val="24"/>
          <w:highlight w:val="none"/>
        </w:rPr>
        <w:t xml:space="preserve">视为一般失信行为。</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质疑</w:t>
      </w: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不配合或者采用不正当手段干扰政府采购质疑、投诉处理工作</w:t>
      </w:r>
      <w:r>
        <w:rPr>
          <w:rFonts w:ascii="宋体" w:hAnsi="宋体"/>
          <w:color w:val="000000"/>
          <w:sz w:val="24"/>
          <w:szCs w:val="24"/>
          <w:highlight w:val="none"/>
        </w:rPr>
        <w:t xml:space="preserve">的，视为一般失信行为。</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质疑</w:t>
      </w: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投诉受理期间，就同一事项多头举报，干扰财政部门投诉处理</w:t>
      </w:r>
      <w:r>
        <w:rPr>
          <w:rFonts w:ascii="宋体" w:hAnsi="宋体"/>
          <w:color w:val="000000"/>
          <w:sz w:val="24"/>
          <w:szCs w:val="24"/>
          <w:highlight w:val="none"/>
        </w:rPr>
        <w:t xml:space="preserve">的，视为一般失信行为。</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质疑</w:t>
      </w: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在全国范围12个月内三次以上质疑查无实据</w:t>
      </w:r>
      <w:r>
        <w:rPr>
          <w:rFonts w:ascii="宋体" w:hAnsi="宋体"/>
          <w:color w:val="000000"/>
          <w:sz w:val="24"/>
          <w:szCs w:val="24"/>
          <w:highlight w:val="none"/>
        </w:rPr>
        <w:t xml:space="preserve">的，视为一般失信行为。</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质疑</w:t>
      </w: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采用捏造事实、提供虚假材料或者以非法手段取得证明材料等方式进行虚假、恶意投诉</w:t>
      </w:r>
      <w:r>
        <w:rPr>
          <w:rFonts w:ascii="宋体" w:hAnsi="宋体"/>
          <w:color w:val="000000"/>
          <w:sz w:val="24"/>
          <w:szCs w:val="24"/>
          <w:highlight w:val="none"/>
        </w:rPr>
        <w:t xml:space="preserve">的，视为</w:t>
      </w:r>
      <w:r>
        <w:rPr>
          <w:rFonts w:hint="eastAsia" w:ascii="宋体" w:hAnsi="宋体"/>
          <w:color w:val="000000"/>
          <w:sz w:val="24"/>
          <w:szCs w:val="24"/>
          <w:highlight w:val="none"/>
        </w:rPr>
        <w:t xml:space="preserve">严重失信行为</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证据来源的合法性存在明显疑问，投诉人无法证明其取得方式合法的，视为以非法手段取得证明材料</w:t>
      </w:r>
      <w:r>
        <w:rPr>
          <w:rFonts w:ascii="宋体" w:hAnsi="宋体"/>
          <w:color w:val="000000"/>
          <w:sz w:val="24"/>
          <w:szCs w:val="24"/>
          <w:highlight w:val="none"/>
        </w:rPr>
        <w:t xml:space="preserve">）</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质疑</w:t>
      </w: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在全国范围12个月内三次以上投诉查无实据</w:t>
      </w:r>
      <w:r>
        <w:rPr>
          <w:rFonts w:ascii="宋体" w:hAnsi="宋体"/>
          <w:color w:val="000000"/>
          <w:sz w:val="24"/>
          <w:szCs w:val="24"/>
          <w:highlight w:val="none"/>
        </w:rPr>
        <w:t xml:space="preserve">的，视为</w:t>
      </w:r>
      <w:r>
        <w:rPr>
          <w:rFonts w:hint="eastAsia" w:ascii="宋体" w:hAnsi="宋体"/>
          <w:color w:val="000000"/>
          <w:sz w:val="24"/>
          <w:szCs w:val="24"/>
          <w:highlight w:val="none"/>
        </w:rPr>
        <w:t xml:space="preserve">严重失信行为</w:t>
      </w:r>
      <w:r>
        <w:rPr>
          <w:rFonts w:ascii="宋体" w:hAnsi="宋体"/>
          <w:color w:val="000000"/>
          <w:sz w:val="24"/>
          <w:szCs w:val="24"/>
          <w:highlight w:val="none"/>
        </w:rPr>
        <w:t xml:space="preserve">。</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未尽事宜，依照有关法律、法规执行。</w:t>
      </w:r>
      <w:r>
        <w:rPr>
          <w:rFonts w:ascii="宋体" w:hAnsi="宋体"/>
          <w:color w:val="000000"/>
          <w:sz w:val="24"/>
          <w:szCs w:val="24"/>
          <w:highlight w:val="none"/>
        </w:rPr>
      </w:r>
      <w:r/>
    </w:p>
    <w:p>
      <w:pPr>
        <w:pStyle w:val="856"/>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二十八、投诉</w:t>
      </w:r>
      <w:r>
        <w:rPr>
          <w:rFonts w:ascii="宋体" w:hAnsi="宋体"/>
          <w:b/>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投诉事项依照有关法律、法规执行。</w:t>
      </w:r>
      <w:r>
        <w:rPr>
          <w:rFonts w:ascii="宋体" w:hAnsi="宋体"/>
          <w:color w:val="000000"/>
          <w:sz w:val="24"/>
          <w:szCs w:val="24"/>
          <w:highlight w:val="none"/>
        </w:rPr>
      </w:r>
      <w:r/>
    </w:p>
    <w:p>
      <w:pPr>
        <w:pStyle w:val="856"/>
        <w:jc w:val="left"/>
        <w:keepLines/>
        <w:keepNext/>
        <w:spacing w:before="156" w:after="156" w:line="360" w:lineRule="auto"/>
        <w:rPr>
          <w:rFonts w:ascii="Arial" w:hAnsi="Arial" w:eastAsia="黑体"/>
          <w:b/>
          <w:bCs/>
          <w:color w:val="000000"/>
          <w:sz w:val="32"/>
          <w:szCs w:val="32"/>
          <w:highlight w:val="none"/>
        </w:rPr>
        <w:outlineLvl w:val="1"/>
      </w:pPr>
      <w:r>
        <w:rPr>
          <w:rFonts w:hint="eastAsia" w:ascii="Arial" w:hAnsi="Arial" w:eastAsia="黑体"/>
          <w:b/>
          <w:bCs/>
          <w:color w:val="000000"/>
          <w:sz w:val="32"/>
          <w:szCs w:val="32"/>
          <w:highlight w:val="none"/>
        </w:rPr>
        <w:t xml:space="preserve">九、政策功能</w:t>
      </w:r>
      <w:r>
        <w:rPr>
          <w:rFonts w:ascii="Arial" w:hAnsi="Arial" w:eastAsia="黑体"/>
          <w:b/>
          <w:bCs/>
          <w:color w:val="000000"/>
          <w:sz w:val="32"/>
          <w:szCs w:val="32"/>
          <w:highlight w:val="none"/>
        </w:rPr>
      </w:r>
      <w:r/>
    </w:p>
    <w:p>
      <w:pPr>
        <w:pStyle w:val="856"/>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二十九、政策功能</w:t>
      </w:r>
      <w:r>
        <w:rPr>
          <w:rFonts w:ascii="宋体" w:hAnsi="宋体"/>
          <w:b/>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1、对于小型企业、微型企业、监狱企业、残疾人福利性单位报价以扣除优惠比率后的价格参与评审，但不作为中标价和合同签约价。中标价和合同签约价仍以其投标文件中的一次报价为准。</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2、价格给予扣除标准：</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w:t>
      </w:r>
      <w:r>
        <w:rPr>
          <w:rFonts w:hint="eastAsia" w:ascii="宋体" w:hAnsi="宋体"/>
          <w:color w:val="000000"/>
          <w:sz w:val="24"/>
          <w:szCs w:val="24"/>
          <w:highlight w:val="none"/>
        </w:rPr>
        <w:t xml:space="preserve">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w:t>
      </w: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，不属于中小企业划型标准确定的中小企业，不得按《通知》规定声明为中小微企业，也不适用《办法》。</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服务全部由小型和微型企业、监狱企业、残疾人福利性单位承接的报价给予10%的扣除，用扣除后的价格参与评审。</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本项目价格扣除计算方法如下：参与报价得分计算的价格＝投标人的投标报价-小型企业、微型企业、监狱企业、残疾人福利性单位的投标报价×10%。</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3、参加政府采购活动的</w:t>
      </w: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享受价格评审优惠的应当提供的材料：</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为小型企业、微型企业的，提供《中小企业声明函》（第六部分“投标文件格式”）。</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为残疾人福利性单位的，符合财库〔2017〕141号文件规定条件的残疾人福利性单位视同小型企业、微型企业，提供《残疾人福利性单位声明函》（第六部分“投标文件格式”）。</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为监狱企业的，提供省级以上监狱管理局、戒毒管理局（含新疆生产建设兵团）出具的属于监狱企业的证明文件。</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根据《财政部 司法部</w:t>
      </w:r>
      <w:r>
        <w:rPr>
          <w:rFonts w:hint="eastAsia" w:ascii="宋体" w:hAnsi="宋体"/>
          <w:color w:val="000000"/>
          <w:sz w:val="24"/>
          <w:szCs w:val="24"/>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rPr>
          <w:rFonts w:ascii="宋体" w:hAnsi="宋体"/>
          <w:color w:val="000000"/>
          <w:sz w:val="24"/>
          <w:szCs w:val="24"/>
          <w:highlight w:val="none"/>
        </w:rPr>
      </w:r>
      <w:r/>
    </w:p>
    <w:p>
      <w:pPr>
        <w:pStyle w:val="856"/>
        <w:ind w:firstLine="480"/>
        <w:jc w:val="left"/>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4</w:t>
      </w:r>
      <w:r>
        <w:rPr>
          <w:rFonts w:hint="eastAsia" w:ascii="宋体" w:hAnsi="宋体"/>
          <w:color w:val="000000"/>
          <w:sz w:val="24"/>
          <w:szCs w:val="24"/>
          <w:highlight w:val="none"/>
        </w:rPr>
        <w:t xml:space="preserve">、支持绿色发展</w:t>
      </w:r>
      <w:r>
        <w:rPr>
          <w:rFonts w:hint="eastAsia" w:ascii="宋体" w:hAnsi="宋体"/>
          <w:color w:val="000000"/>
          <w:sz w:val="24"/>
          <w:szCs w:val="24"/>
          <w:highlight w:val="none"/>
        </w:rPr>
      </w:r>
      <w:r/>
    </w:p>
    <w:p>
      <w:pPr>
        <w:pStyle w:val="856"/>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color w:val="000000"/>
          <w:sz w:val="24"/>
          <w:szCs w:val="24"/>
          <w:highlight w:val="none"/>
        </w:rPr>
      </w:r>
      <w:r/>
    </w:p>
    <w:p>
      <w:pPr>
        <w:pStyle w:val="856"/>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宋体" w:hAnsi="宋体"/>
          <w:color w:val="000000"/>
          <w:sz w:val="24"/>
          <w:szCs w:val="24"/>
          <w:highlight w:val="none"/>
        </w:rPr>
      </w:r>
      <w:r/>
    </w:p>
    <w:p>
      <w:pPr>
        <w:pStyle w:val="856"/>
        <w:jc w:val="center"/>
        <w:keepLines/>
        <w:keepNext/>
        <w:spacing w:line="360" w:lineRule="auto"/>
        <w:rPr>
          <w:rFonts w:ascii="仿宋_GB2312" w:hAnsi="宋体" w:eastAsia="仿宋_GB2312"/>
          <w:b/>
          <w:color w:val="000000"/>
          <w:sz w:val="36"/>
          <w:szCs w:val="24"/>
          <w:highlight w:val="none"/>
        </w:rPr>
        <w:outlineLvl w:val="0"/>
      </w:pPr>
      <w:r/>
      <w:bookmarkStart w:id="3" w:name="_Toc58260783"/>
      <w:r/>
      <w:bookmarkStart w:id="4" w:name="_Toc493497032"/>
      <w:r>
        <w:rPr>
          <w:rFonts w:hint="eastAsia" w:hAnsi="宋体" w:eastAsia="黑体"/>
          <w:color w:val="000000"/>
          <w:sz w:val="36"/>
          <w:szCs w:val="20"/>
          <w:highlight w:val="none"/>
        </w:rPr>
        <w:br w:type="page" w:clear="all"/>
      </w:r>
      <w:r>
        <w:rPr>
          <w:rFonts w:hint="eastAsia" w:hAnsi="宋体" w:eastAsia="黑体"/>
          <w:color w:val="000000"/>
          <w:sz w:val="36"/>
          <w:szCs w:val="20"/>
          <w:highlight w:val="none"/>
        </w:rPr>
        <w:t xml:space="preserve">第三部分  评标办法</w:t>
      </w:r>
      <w:bookmarkEnd w:id="3"/>
      <w:r/>
      <w:bookmarkEnd w:id="4"/>
      <w:r>
        <w:rPr>
          <w:rFonts w:ascii="仿宋_GB2312" w:hAnsi="宋体" w:eastAsia="仿宋_GB2312"/>
          <w:b/>
          <w:color w:val="000000"/>
          <w:sz w:val="36"/>
          <w:szCs w:val="24"/>
          <w:highlight w:val="none"/>
        </w:rPr>
      </w:r>
      <w:r/>
    </w:p>
    <w:p>
      <w:pPr>
        <w:pStyle w:val="856"/>
        <w:ind w:firstLine="482"/>
        <w:spacing w:line="360" w:lineRule="auto"/>
        <w:widowControl/>
        <w:rPr>
          <w:rFonts w:ascii="宋体" w:hAnsi="宋体"/>
          <w:b/>
          <w:color w:val="000000"/>
          <w:sz w:val="24"/>
          <w:szCs w:val="24"/>
          <w:highlight w:val="none"/>
        </w:rPr>
      </w:pPr>
      <w:r>
        <w:rPr>
          <w:rFonts w:hint="eastAsia" w:ascii="宋体" w:hAnsi="宋体"/>
          <w:b/>
          <w:color w:val="000000"/>
          <w:sz w:val="24"/>
          <w:szCs w:val="24"/>
          <w:highlight w:val="none"/>
        </w:rPr>
        <w:t xml:space="preserve">一、评标方法：</w:t>
      </w:r>
      <w:r>
        <w:rPr>
          <w:rFonts w:ascii="宋体" w:hAnsi="宋体"/>
          <w:b/>
          <w:color w:val="000000"/>
          <w:sz w:val="24"/>
          <w:szCs w:val="24"/>
          <w:highlight w:val="none"/>
        </w:rPr>
      </w:r>
      <w:r/>
    </w:p>
    <w:p>
      <w:pPr>
        <w:pStyle w:val="856"/>
        <w:ind w:firstLine="480"/>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本项目评标方法采用综合评分法。综合评分法，是指投标文件满足招标文件全部实质性要求，且按照评审因素的量化指标评审得分最高的投标人为中标候选人的评标方法。</w:t>
      </w:r>
      <w:r>
        <w:rPr>
          <w:rFonts w:ascii="宋体" w:hAnsi="宋体"/>
          <w:color w:val="000000"/>
          <w:sz w:val="24"/>
          <w:szCs w:val="24"/>
          <w:highlight w:val="none"/>
        </w:rPr>
      </w:r>
      <w:r/>
    </w:p>
    <w:p>
      <w:pPr>
        <w:pStyle w:val="856"/>
        <w:ind w:firstLine="482"/>
        <w:spacing w:line="360" w:lineRule="auto"/>
        <w:widowControl/>
        <w:rPr>
          <w:rFonts w:ascii="宋体" w:hAnsi="宋体"/>
          <w:color w:val="000000"/>
          <w:sz w:val="24"/>
          <w:szCs w:val="24"/>
          <w:highlight w:val="none"/>
        </w:rPr>
      </w:pPr>
      <w:r>
        <w:rPr>
          <w:rFonts w:hint="eastAsia" w:ascii="宋体" w:hAnsi="宋体"/>
          <w:b/>
          <w:color w:val="000000"/>
          <w:sz w:val="24"/>
          <w:szCs w:val="24"/>
          <w:highlight w:val="none"/>
        </w:rPr>
        <w:t xml:space="preserve">二、评标原则</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56"/>
        <w:ind w:firstLine="480"/>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w:t>
      </w: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接触。</w:t>
      </w:r>
      <w:r>
        <w:rPr>
          <w:rFonts w:ascii="宋体" w:hAnsi="宋体"/>
          <w:color w:val="000000"/>
          <w:sz w:val="24"/>
          <w:szCs w:val="24"/>
          <w:highlight w:val="none"/>
        </w:rPr>
      </w:r>
      <w:r/>
    </w:p>
    <w:p>
      <w:pPr>
        <w:pStyle w:val="856"/>
        <w:ind w:firstLine="482"/>
        <w:spacing w:line="360" w:lineRule="auto"/>
        <w:widowControl/>
        <w:rPr>
          <w:rFonts w:ascii="宋体" w:hAnsi="宋体"/>
          <w:b/>
          <w:color w:val="000000"/>
          <w:sz w:val="24"/>
          <w:szCs w:val="24"/>
          <w:highlight w:val="none"/>
        </w:rPr>
      </w:pPr>
      <w:r>
        <w:rPr>
          <w:rFonts w:hint="eastAsia" w:ascii="宋体" w:hAnsi="宋体"/>
          <w:b/>
          <w:color w:val="000000"/>
          <w:sz w:val="24"/>
          <w:szCs w:val="24"/>
          <w:highlight w:val="none"/>
        </w:rPr>
        <w:t xml:space="preserve">三、评标标准：</w:t>
      </w:r>
      <w:r>
        <w:rPr>
          <w:rFonts w:ascii="宋体" w:hAnsi="宋体"/>
          <w:b/>
          <w:color w:val="000000"/>
          <w:sz w:val="24"/>
          <w:szCs w:val="24"/>
          <w:highlight w:val="none"/>
        </w:rPr>
      </w:r>
      <w:r/>
    </w:p>
    <w:p>
      <w:pPr>
        <w:pStyle w:val="856"/>
        <w:ind w:firstLine="480"/>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1、评标时，评标委员会以招标文件为评标依据，评标委员会各成员独立对每个投标人的投标文件进行评价，并汇总每个投标人的得分。</w:t>
      </w:r>
      <w:r>
        <w:rPr>
          <w:rFonts w:ascii="宋体" w:hAnsi="宋体"/>
          <w:color w:val="000000"/>
          <w:sz w:val="24"/>
          <w:szCs w:val="24"/>
          <w:highlight w:val="none"/>
        </w:rPr>
      </w:r>
      <w:r/>
    </w:p>
    <w:p>
      <w:pPr>
        <w:pStyle w:val="856"/>
        <w:ind w:firstLine="480"/>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2、本项目评分总分为100分，按四舍五入取至小数点后两位。</w:t>
      </w:r>
      <w:r>
        <w:rPr>
          <w:rFonts w:ascii="宋体" w:hAnsi="宋体"/>
          <w:color w:val="000000"/>
          <w:sz w:val="24"/>
          <w:szCs w:val="24"/>
          <w:highlight w:val="none"/>
        </w:rPr>
      </w:r>
      <w:r/>
    </w:p>
    <w:p>
      <w:pPr>
        <w:pStyle w:val="856"/>
        <w:ind w:firstLine="480"/>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3、总得分 = 价格分 + 商务技术分 </w:t>
      </w:r>
      <w:r>
        <w:rPr>
          <w:rFonts w:ascii="宋体" w:hAnsi="宋体"/>
          <w:color w:val="000000"/>
          <w:sz w:val="24"/>
          <w:szCs w:val="24"/>
          <w:highlight w:val="none"/>
        </w:rPr>
      </w:r>
      <w:r/>
    </w:p>
    <w:p>
      <w:pPr>
        <w:pStyle w:val="856"/>
        <w:ind w:firstLine="480"/>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olor w:val="000000"/>
          <w:sz w:val="24"/>
          <w:szCs w:val="24"/>
          <w:highlight w:val="none"/>
        </w:rPr>
      </w:r>
      <w:r/>
    </w:p>
    <w:p>
      <w:pPr>
        <w:pStyle w:val="856"/>
        <w:ind w:left="734" w:hanging="343"/>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综合评分法</w:t>
      </w:r>
      <w:r>
        <w:rPr>
          <w:rFonts w:ascii="宋体" w:hAnsi="宋体" w:cs="宋体"/>
          <w:b/>
          <w:color w:val="000000"/>
          <w:sz w:val="28"/>
          <w:szCs w:val="28"/>
          <w:highlight w:val="none"/>
        </w:rPr>
      </w:r>
      <w:r/>
    </w:p>
    <w:p>
      <w:pPr>
        <w:pStyle w:val="856"/>
        <w:ind w:left="42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1.价格分：10分</w:t>
      </w:r>
      <w:r>
        <w:rPr>
          <w:rFonts w:hint="eastAsia" w:ascii="宋体" w:hAnsi="宋体" w:cs="宋体"/>
          <w:b/>
          <w:color w:val="000000"/>
          <w:sz w:val="24"/>
          <w:szCs w:val="24"/>
          <w:highlight w:val="none"/>
        </w:rPr>
      </w:r>
      <w:r/>
    </w:p>
    <w:p>
      <w:pPr>
        <w:pStyle w:val="85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color w:val="000000"/>
          <w:sz w:val="24"/>
          <w:szCs w:val="24"/>
          <w:highlight w:val="none"/>
        </w:rPr>
      </w:r>
      <w:r/>
    </w:p>
    <w:p>
      <w:pPr>
        <w:pStyle w:val="85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投标报价得分=（评标基准价/投标报价）×10分。</w:t>
      </w:r>
      <w:r>
        <w:rPr>
          <w:rFonts w:hint="eastAsia" w:ascii="宋体" w:hAnsi="宋体" w:cs="宋体"/>
          <w:color w:val="000000"/>
          <w:sz w:val="24"/>
          <w:szCs w:val="24"/>
          <w:highlight w:val="none"/>
        </w:rPr>
      </w:r>
      <w:r/>
    </w:p>
    <w:p>
      <w:pPr>
        <w:pStyle w:val="85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评标过程中，不得去掉报价中的最高报价和最低报价。</w:t>
      </w:r>
      <w:r>
        <w:rPr>
          <w:rFonts w:hint="eastAsia" w:ascii="宋体" w:hAnsi="宋体" w:cs="宋体"/>
          <w:color w:val="000000"/>
          <w:sz w:val="24"/>
          <w:szCs w:val="24"/>
          <w:highlight w:val="none"/>
        </w:rPr>
      </w:r>
      <w:r/>
    </w:p>
    <w:p>
      <w:pPr>
        <w:pStyle w:val="856"/>
        <w:ind w:left="42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2.商务技术分：90分</w:t>
      </w:r>
      <w:r>
        <w:rPr>
          <w:rFonts w:ascii="宋体" w:hAnsi="宋体" w:cs="宋体"/>
          <w:b/>
          <w:color w:val="000000"/>
          <w:sz w:val="24"/>
          <w:szCs w:val="24"/>
          <w:highlight w:val="none"/>
        </w:rPr>
      </w:r>
      <w:r/>
    </w:p>
    <w:tbl>
      <w:tblPr>
        <w:tblW w:w="86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7018"/>
      </w:tblGrid>
      <w:tr>
        <w:trPr>
          <w:trHeight w:val="614"/>
        </w:trPr>
        <w:tc>
          <w:tcPr>
            <w:tcW w:w="1668" w:type="dxa"/>
            <w:vAlign w:val="center"/>
            <w:textDirection w:val="lrTb"/>
            <w:noWrap w:val="false"/>
          </w:tcPr>
          <w:p>
            <w:pPr>
              <w:pStyle w:val="856"/>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Cs w:val="24"/>
                <w:highlight w:val="none"/>
              </w:rPr>
            </w:pPr>
            <w:r>
              <w:rPr>
                <w:rFonts w:hint="eastAsia" w:ascii="宋体" w:hAnsi="宋体"/>
                <w:b/>
                <w:color w:val="000000"/>
                <w:szCs w:val="24"/>
                <w:highlight w:val="none"/>
              </w:rPr>
              <w:t xml:space="preserve">评审因素</w:t>
            </w:r>
            <w:r>
              <w:rPr>
                <w:rFonts w:ascii="宋体" w:hAnsi="宋体"/>
                <w:b/>
                <w:color w:val="000000"/>
                <w:szCs w:val="24"/>
                <w:highlight w:val="none"/>
              </w:rPr>
            </w:r>
            <w:r/>
          </w:p>
        </w:tc>
        <w:tc>
          <w:tcPr>
            <w:tcW w:w="7018" w:type="dxa"/>
            <w:vAlign w:val="center"/>
            <w:textDirection w:val="lrTb"/>
            <w:noWrap w:val="false"/>
          </w:tcPr>
          <w:p>
            <w:pPr>
              <w:pStyle w:val="856"/>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Cs w:val="24"/>
                <w:highlight w:val="none"/>
              </w:rPr>
            </w:pPr>
            <w:r>
              <w:rPr>
                <w:rFonts w:hint="eastAsia" w:ascii="宋体" w:hAnsi="宋体"/>
                <w:b/>
                <w:color w:val="000000"/>
                <w:szCs w:val="24"/>
                <w:highlight w:val="none"/>
              </w:rPr>
              <w:t xml:space="preserve">评审标准</w:t>
            </w:r>
            <w:r>
              <w:rPr>
                <w:rFonts w:ascii="宋体" w:hAnsi="宋体"/>
                <w:b/>
                <w:color w:val="000000"/>
                <w:szCs w:val="24"/>
                <w:highlight w:val="none"/>
              </w:rPr>
            </w:r>
            <w:r/>
          </w:p>
        </w:tc>
      </w:tr>
      <w:tr>
        <w:trPr>
          <w:trHeight w:val="595"/>
        </w:trPr>
        <w:tc>
          <w:tcPr>
            <w:tcW w:w="1668" w:type="dxa"/>
            <w:vAlign w:val="center"/>
            <w:textDirection w:val="lrTb"/>
            <w:noWrap w:val="false"/>
          </w:tcPr>
          <w:p>
            <w:pPr>
              <w:pStyle w:val="856"/>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项目理解</w:t>
            </w:r>
            <w:r>
              <w:rPr>
                <w:rFonts w:ascii="宋体" w:hAnsi="宋体" w:cs="宋体"/>
                <w:color w:val="000000"/>
                <w:szCs w:val="21"/>
                <w:highlight w:val="none"/>
              </w:rPr>
            </w:r>
            <w:r/>
          </w:p>
          <w:p>
            <w:pPr>
              <w:pStyle w:val="856"/>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（5分）</w:t>
            </w:r>
            <w:r>
              <w:rPr>
                <w:rFonts w:ascii="宋体" w:hAnsi="宋体" w:cs="宋体"/>
                <w:color w:val="000000"/>
                <w:szCs w:val="21"/>
                <w:highlight w:val="none"/>
              </w:rPr>
            </w:r>
            <w:r/>
          </w:p>
        </w:tc>
        <w:tc>
          <w:tcPr>
            <w:tcW w:w="7018" w:type="dxa"/>
            <w:vAlign w:val="center"/>
            <w:textDirection w:val="lrTb"/>
            <w:noWrap w:val="false"/>
          </w:tcPr>
          <w:p>
            <w:pPr>
              <w:pStyle w:val="856"/>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对投标人项目充分调查情况</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项目需求、服务内容、质量标准掌握</w:t>
            </w:r>
            <w:r>
              <w:rPr>
                <w:rFonts w:hint="eastAsia" w:ascii="宋体" w:hAnsi="宋体" w:cs="宋体"/>
                <w:color w:val="000000"/>
                <w:szCs w:val="21"/>
                <w:highlight w:val="none"/>
                <w:lang w:val="en-US" w:eastAsia="zh-CN"/>
              </w:rPr>
              <w:t xml:space="preserve">情况</w:t>
            </w:r>
            <w:r>
              <w:rPr>
                <w:rFonts w:hint="eastAsia" w:ascii="宋体" w:hAnsi="宋体" w:cs="宋体"/>
                <w:color w:val="000000"/>
                <w:szCs w:val="21"/>
                <w:highlight w:val="none"/>
              </w:rPr>
              <w:t xml:space="preserve">、勘察详实</w:t>
            </w:r>
            <w:r>
              <w:rPr>
                <w:rFonts w:hint="eastAsia" w:ascii="宋体" w:hAnsi="宋体" w:cs="宋体"/>
                <w:color w:val="000000"/>
                <w:szCs w:val="21"/>
                <w:highlight w:val="none"/>
                <w:lang w:val="en-US" w:eastAsia="zh-CN"/>
              </w:rPr>
              <w:t xml:space="preserve">情况以及</w:t>
            </w:r>
            <w:r>
              <w:rPr>
                <w:rFonts w:hint="eastAsia" w:ascii="宋体" w:hAnsi="宋体" w:cs="宋体"/>
                <w:color w:val="000000"/>
                <w:szCs w:val="21"/>
                <w:highlight w:val="none"/>
              </w:rPr>
              <w:t xml:space="preserve">人员安排合理进行打分。</w:t>
            </w:r>
            <w:r>
              <w:rPr>
                <w:rFonts w:ascii="宋体" w:hAnsi="宋体" w:cs="宋体"/>
                <w:color w:val="000000"/>
                <w:szCs w:val="21"/>
                <w:highlight w:val="none"/>
              </w:rPr>
            </w:r>
            <w:r/>
          </w:p>
          <w:p>
            <w:pPr>
              <w:pStyle w:val="856"/>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优：对本项目</w:t>
            </w:r>
            <w:r>
              <w:rPr>
                <w:rFonts w:hint="eastAsia" w:ascii="宋体" w:hAnsi="宋体" w:cs="宋体"/>
                <w:color w:val="000000"/>
                <w:szCs w:val="21"/>
                <w:highlight w:val="none"/>
                <w:lang w:val="en-US" w:eastAsia="zh-CN"/>
              </w:rPr>
              <w:t xml:space="preserve">情况</w:t>
            </w:r>
            <w:r>
              <w:rPr>
                <w:rFonts w:hint="eastAsia" w:ascii="宋体" w:hAnsi="宋体" w:cs="宋体"/>
                <w:color w:val="000000"/>
                <w:szCs w:val="21"/>
                <w:highlight w:val="none"/>
              </w:rPr>
              <w:t xml:space="preserve">掌握清楚、勘察详实，人员安排合理。4-</w:t>
            </w:r>
            <w:r>
              <w:rPr>
                <w:rFonts w:ascii="宋体" w:hAnsi="宋体" w:cs="宋体"/>
                <w:color w:val="000000"/>
                <w:szCs w:val="21"/>
                <w:highlight w:val="none"/>
              </w:rPr>
              <w:t xml:space="preserve">5分</w:t>
            </w:r>
            <w:r>
              <w:rPr>
                <w:rFonts w:ascii="宋体" w:hAnsi="宋体" w:cs="宋体"/>
                <w:color w:val="000000"/>
                <w:szCs w:val="21"/>
                <w:highlight w:val="none"/>
              </w:rPr>
            </w:r>
            <w:r/>
          </w:p>
          <w:p>
            <w:pPr>
              <w:pStyle w:val="856"/>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良：对本项目</w:t>
            </w:r>
            <w:r>
              <w:rPr>
                <w:rFonts w:hint="eastAsia" w:ascii="宋体" w:hAnsi="宋体" w:cs="宋体"/>
                <w:color w:val="000000"/>
                <w:szCs w:val="21"/>
                <w:highlight w:val="none"/>
                <w:lang w:val="en-US" w:eastAsia="zh-CN"/>
              </w:rPr>
              <w:t xml:space="preserve">情况</w:t>
            </w:r>
            <w:r>
              <w:rPr>
                <w:rFonts w:hint="eastAsia" w:ascii="宋体" w:hAnsi="宋体" w:cs="宋体"/>
                <w:color w:val="000000"/>
                <w:szCs w:val="21"/>
                <w:highlight w:val="none"/>
              </w:rPr>
              <w:t xml:space="preserve">基本掌握清楚、基本勘察详实，人员安排较合理。2-4分</w:t>
            </w:r>
            <w:r>
              <w:rPr>
                <w:rFonts w:ascii="宋体" w:hAnsi="宋体" w:cs="宋体"/>
                <w:color w:val="000000"/>
                <w:szCs w:val="21"/>
                <w:highlight w:val="none"/>
              </w:rPr>
            </w:r>
            <w:r/>
          </w:p>
          <w:p>
            <w:pPr>
              <w:pStyle w:val="856"/>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一般：对本项目</w:t>
            </w:r>
            <w:r>
              <w:rPr>
                <w:rFonts w:hint="eastAsia" w:ascii="宋体" w:hAnsi="宋体" w:cs="宋体"/>
                <w:color w:val="000000"/>
                <w:szCs w:val="21"/>
                <w:highlight w:val="none"/>
                <w:lang w:val="en-US" w:eastAsia="zh-CN"/>
              </w:rPr>
              <w:t xml:space="preserve">情况</w:t>
            </w:r>
            <w:r>
              <w:rPr>
                <w:rFonts w:hint="eastAsia" w:ascii="宋体" w:hAnsi="宋体" w:cs="宋体"/>
                <w:color w:val="000000"/>
                <w:szCs w:val="21"/>
                <w:highlight w:val="none"/>
              </w:rPr>
              <w:t xml:space="preserve">做了一定调查和勘察，但不够完整详实，人员安排一般。1-2分</w:t>
            </w:r>
            <w:r>
              <w:rPr>
                <w:rFonts w:ascii="宋体" w:hAnsi="宋体" w:cs="宋体"/>
                <w:color w:val="000000"/>
                <w:szCs w:val="21"/>
                <w:highlight w:val="none"/>
              </w:rPr>
            </w:r>
            <w:r/>
          </w:p>
          <w:p>
            <w:pPr>
              <w:pStyle w:val="856"/>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差：未掌握相关数据或有重大遗漏，人员安排不合理。0-1分</w:t>
            </w:r>
            <w:r>
              <w:rPr>
                <w:rFonts w:ascii="宋体" w:hAnsi="宋体" w:cs="宋体"/>
                <w:color w:val="000000"/>
                <w:szCs w:val="21"/>
                <w:highlight w:val="none"/>
              </w:rPr>
            </w:r>
            <w:r/>
          </w:p>
          <w:p>
            <w:pPr>
              <w:pStyle w:val="856"/>
              <w:jc w:val="left"/>
              <w:rPr>
                <w:rFonts w:ascii="MS Mincho" w:hAnsi="Calibri"/>
                <w:color w:val="000000"/>
                <w:sz w:val="24"/>
                <w:szCs w:val="24"/>
                <w:highlight w:val="none"/>
              </w:rPr>
            </w:pPr>
            <w:r>
              <w:rPr>
                <w:rFonts w:ascii="宋体" w:hAnsi="宋体" w:cs="宋体"/>
                <w:color w:val="000000"/>
                <w:szCs w:val="21"/>
                <w:highlight w:val="none"/>
              </w:rPr>
              <w:t xml:space="preserve">不提供不得分</w:t>
            </w:r>
            <w:r>
              <w:rPr>
                <w:rFonts w:hint="eastAsia" w:ascii="宋体" w:hAnsi="宋体" w:cs="宋体"/>
                <w:color w:val="000000"/>
                <w:szCs w:val="21"/>
                <w:highlight w:val="none"/>
              </w:rPr>
              <w:t xml:space="preserve">。</w:t>
            </w:r>
            <w:r>
              <w:rPr>
                <w:rFonts w:ascii="MS Mincho" w:hAnsi="Calibri"/>
                <w:color w:val="000000"/>
                <w:sz w:val="24"/>
                <w:szCs w:val="24"/>
                <w:highlight w:val="none"/>
              </w:rPr>
            </w:r>
            <w:r/>
          </w:p>
        </w:tc>
      </w:tr>
      <w:tr>
        <w:trPr>
          <w:trHeight w:val="2204"/>
        </w:trPr>
        <w:tc>
          <w:tcPr>
            <w:tcW w:w="1668" w:type="dxa"/>
            <w:vAlign w:val="center"/>
            <w:textDirection w:val="lrTb"/>
            <w:noWrap w:val="false"/>
          </w:tcPr>
          <w:p>
            <w:pPr>
              <w:pStyle w:val="856"/>
              <w:ind w:left="40"/>
              <w:jc w:val="center"/>
              <w:spacing w:before="103" w:line="300" w:lineRule="exact"/>
              <w:rPr>
                <w:rFonts w:ascii="宋体" w:hAnsi="宋体" w:cs="宋体"/>
                <w:color w:val="000000"/>
                <w:szCs w:val="21"/>
                <w:highlight w:val="none"/>
              </w:rPr>
            </w:pPr>
            <w:r>
              <w:rPr>
                <w:rFonts w:hint="eastAsia" w:ascii="宋体" w:hAnsi="宋体" w:cs="宋体"/>
                <w:color w:val="000000"/>
                <w:szCs w:val="21"/>
                <w:highlight w:val="none"/>
              </w:rPr>
              <w:t xml:space="preserve">项目实施方案（10分）</w:t>
            </w:r>
            <w:r>
              <w:rPr>
                <w:rFonts w:ascii="宋体" w:hAnsi="宋体" w:cs="宋体"/>
                <w:color w:val="000000"/>
                <w:szCs w:val="21"/>
                <w:highlight w:val="none"/>
              </w:rPr>
            </w:r>
            <w:r/>
          </w:p>
        </w:tc>
        <w:tc>
          <w:tcPr>
            <w:tcW w:w="7018" w:type="dxa"/>
            <w:vAlign w:val="center"/>
            <w:textDirection w:val="lrTb"/>
            <w:noWrap w:val="false"/>
          </w:tcPr>
          <w:p>
            <w:pPr>
              <w:pStyle w:val="856"/>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对投标人项目组织总体设想、污水设施运行控制,机械及电气设施维护管理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管网检测</w:t>
            </w:r>
            <w:r>
              <w:rPr>
                <w:rFonts w:hint="eastAsia" w:ascii="宋体" w:hAnsi="宋体" w:cs="宋体"/>
                <w:color w:val="000000"/>
                <w:szCs w:val="21"/>
                <w:highlight w:val="none"/>
              </w:rPr>
              <w:t xml:space="preserve">方案，突发、应急事故预案及</w:t>
            </w:r>
            <w:r>
              <w:rPr>
                <w:rFonts w:hint="eastAsia" w:ascii="宋体" w:hAnsi="宋体" w:cs="宋体"/>
                <w:color w:val="000000"/>
                <w:szCs w:val="21"/>
                <w:highlight w:val="none"/>
                <w:lang w:val="en-US" w:eastAsia="zh-CN"/>
              </w:rPr>
              <w:t xml:space="preserve">排水防涝响应方案</w:t>
            </w:r>
            <w:r>
              <w:rPr>
                <w:rFonts w:hint="eastAsia" w:ascii="宋体" w:hAnsi="宋体" w:cs="宋体"/>
                <w:color w:val="000000"/>
                <w:szCs w:val="21"/>
                <w:highlight w:val="none"/>
              </w:rPr>
              <w:t xml:space="preserve">进行打分。</w:t>
            </w:r>
            <w:r>
              <w:rPr>
                <w:rFonts w:ascii="宋体" w:hAnsi="宋体" w:cs="宋体"/>
                <w:color w:val="000000"/>
                <w:szCs w:val="21"/>
                <w:highlight w:val="none"/>
              </w:rPr>
            </w:r>
            <w:r/>
          </w:p>
          <w:p>
            <w:pPr>
              <w:pStyle w:val="856"/>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优：项目组织合理，方案具有针对性，应急预案合理的。8-10分</w:t>
            </w:r>
            <w:r>
              <w:rPr>
                <w:rFonts w:ascii="宋体" w:hAnsi="宋体" w:cs="宋体"/>
                <w:color w:val="000000"/>
                <w:szCs w:val="21"/>
                <w:highlight w:val="none"/>
              </w:rPr>
            </w:r>
            <w:r/>
          </w:p>
          <w:p>
            <w:pPr>
              <w:pStyle w:val="856"/>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良：项目组织合理，方案具有针对性，应急预案较合理的。4-8分</w:t>
            </w:r>
            <w:r>
              <w:rPr>
                <w:rFonts w:ascii="宋体" w:hAnsi="宋体" w:cs="宋体"/>
                <w:color w:val="000000"/>
                <w:szCs w:val="21"/>
                <w:highlight w:val="none"/>
              </w:rPr>
            </w:r>
            <w:r/>
          </w:p>
          <w:p>
            <w:pPr>
              <w:pStyle w:val="856"/>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一般：项目组织一般，方案针对性一般，应急预案一般。2-4分</w:t>
            </w:r>
            <w:r>
              <w:rPr>
                <w:rFonts w:ascii="宋体" w:hAnsi="宋体" w:cs="宋体"/>
                <w:color w:val="000000"/>
                <w:szCs w:val="21"/>
                <w:highlight w:val="none"/>
              </w:rPr>
            </w:r>
            <w:r/>
          </w:p>
          <w:p>
            <w:pPr>
              <w:pStyle w:val="856"/>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差：项目组织较差，方案针对性较差，应急预案较差。0-2分</w:t>
            </w:r>
            <w:r>
              <w:rPr>
                <w:rFonts w:ascii="宋体" w:hAnsi="宋体" w:cs="宋体"/>
                <w:color w:val="000000"/>
                <w:szCs w:val="21"/>
                <w:highlight w:val="none"/>
              </w:rPr>
            </w:r>
            <w:r/>
          </w:p>
          <w:p>
            <w:pPr>
              <w:pStyle w:val="856"/>
              <w:jc w:val="left"/>
              <w:rPr>
                <w:rFonts w:ascii="MS Mincho" w:hAnsi="Calibri"/>
                <w:color w:val="000000"/>
                <w:sz w:val="24"/>
                <w:szCs w:val="24"/>
                <w:highlight w:val="none"/>
              </w:rPr>
            </w:pPr>
            <w:r>
              <w:rPr>
                <w:rFonts w:ascii="宋体" w:hAnsi="宋体" w:cs="宋体"/>
                <w:color w:val="000000"/>
                <w:szCs w:val="21"/>
                <w:highlight w:val="none"/>
              </w:rPr>
              <w:t xml:space="preserve">不提供不得分</w:t>
            </w:r>
            <w:r>
              <w:rPr>
                <w:rFonts w:hint="eastAsia" w:ascii="宋体" w:hAnsi="宋体" w:cs="宋体"/>
                <w:color w:val="000000"/>
                <w:szCs w:val="21"/>
                <w:highlight w:val="none"/>
              </w:rPr>
              <w:t xml:space="preserve">。</w:t>
            </w:r>
            <w:r>
              <w:rPr>
                <w:rFonts w:ascii="MS Mincho" w:hAnsi="Calibri"/>
                <w:color w:val="000000"/>
                <w:sz w:val="24"/>
                <w:szCs w:val="24"/>
                <w:highlight w:val="none"/>
              </w:rPr>
            </w:r>
            <w:r/>
          </w:p>
        </w:tc>
      </w:tr>
      <w:tr>
        <w:trPr>
          <w:trHeight w:val="614"/>
        </w:trPr>
        <w:tc>
          <w:tcPr>
            <w:tcW w:w="1668" w:type="dxa"/>
            <w:vAlign w:val="center"/>
            <w:textDirection w:val="lrTb"/>
            <w:noWrap w:val="false"/>
          </w:tcPr>
          <w:p>
            <w:pPr>
              <w:pStyle w:val="856"/>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重点分析</w:t>
            </w:r>
            <w:r>
              <w:rPr>
                <w:rFonts w:ascii="宋体" w:hAnsi="宋体" w:cs="宋体"/>
                <w:color w:val="000000"/>
                <w:szCs w:val="21"/>
                <w:highlight w:val="none"/>
              </w:rPr>
            </w:r>
            <w:r/>
          </w:p>
          <w:p>
            <w:pPr>
              <w:pStyle w:val="856"/>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（5分）</w:t>
            </w:r>
            <w:r>
              <w:rPr>
                <w:rFonts w:ascii="宋体" w:hAnsi="宋体" w:cs="宋体"/>
                <w:color w:val="000000"/>
                <w:szCs w:val="21"/>
                <w:highlight w:val="none"/>
              </w:rPr>
            </w:r>
            <w:r/>
          </w:p>
        </w:tc>
        <w:tc>
          <w:tcPr>
            <w:tcW w:w="7018" w:type="dxa"/>
            <w:vAlign w:val="center"/>
            <w:textDirection w:val="lrTb"/>
            <w:noWrap w:val="false"/>
          </w:tcPr>
          <w:p>
            <w:pPr>
              <w:pStyle w:val="856"/>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投标人针对本项目的重点进行系统分析，并给出重点解决对策。</w:t>
            </w:r>
            <w:r>
              <w:rPr>
                <w:rFonts w:ascii="宋体" w:hAnsi="宋体" w:cs="宋体"/>
                <w:color w:val="000000"/>
                <w:szCs w:val="21"/>
                <w:highlight w:val="none"/>
              </w:rPr>
            </w:r>
            <w:r/>
          </w:p>
          <w:p>
            <w:pPr>
              <w:pStyle w:val="856"/>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优：重点分析全面，解决对策可行性很强。4-</w:t>
            </w:r>
            <w:r>
              <w:rPr>
                <w:rFonts w:ascii="宋体" w:hAnsi="宋体" w:cs="宋体"/>
                <w:color w:val="000000"/>
                <w:szCs w:val="21"/>
                <w:highlight w:val="none"/>
              </w:rPr>
              <w:t xml:space="preserve">5分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56"/>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良好：重点分析较全面，解决对策有一定的针对性。3-4分</w:t>
            </w:r>
            <w:r>
              <w:rPr>
                <w:rFonts w:ascii="宋体" w:hAnsi="宋体" w:cs="宋体"/>
                <w:color w:val="000000"/>
                <w:szCs w:val="21"/>
                <w:highlight w:val="none"/>
              </w:rPr>
            </w:r>
            <w:r/>
          </w:p>
          <w:p>
            <w:pPr>
              <w:pStyle w:val="856"/>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一般：有重点分析，但是解决对策缺乏可行性。1-3分</w:t>
            </w:r>
            <w:r>
              <w:rPr>
                <w:rFonts w:ascii="宋体" w:hAnsi="宋体" w:cs="宋体"/>
                <w:color w:val="000000"/>
                <w:szCs w:val="21"/>
                <w:highlight w:val="none"/>
              </w:rPr>
            </w:r>
            <w:r/>
          </w:p>
          <w:p>
            <w:pPr>
              <w:pStyle w:val="856"/>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差：重点未做分析，解决对策缺乏可行性。0-1分</w:t>
            </w:r>
            <w:r>
              <w:rPr>
                <w:rFonts w:ascii="宋体" w:hAnsi="宋体" w:cs="宋体"/>
                <w:color w:val="000000"/>
                <w:szCs w:val="21"/>
                <w:highlight w:val="none"/>
              </w:rPr>
            </w:r>
            <w:r/>
          </w:p>
          <w:p>
            <w:pPr>
              <w:pStyle w:val="856"/>
              <w:jc w:val="left"/>
              <w:rPr>
                <w:rFonts w:ascii="MS Mincho" w:hAnsi="Calibri"/>
                <w:color w:val="000000"/>
                <w:sz w:val="24"/>
                <w:szCs w:val="24"/>
                <w:highlight w:val="none"/>
              </w:rPr>
            </w:pPr>
            <w:r>
              <w:rPr>
                <w:rFonts w:ascii="宋体" w:hAnsi="宋体" w:cs="宋体"/>
                <w:color w:val="000000"/>
                <w:szCs w:val="21"/>
                <w:highlight w:val="none"/>
              </w:rPr>
              <w:t xml:space="preserve">不提供不得分</w:t>
            </w:r>
            <w:r>
              <w:rPr>
                <w:rFonts w:hint="eastAsia" w:ascii="宋体" w:hAnsi="宋体" w:cs="宋体"/>
                <w:color w:val="000000"/>
                <w:szCs w:val="21"/>
                <w:highlight w:val="none"/>
              </w:rPr>
              <w:t xml:space="preserve">。</w:t>
            </w:r>
            <w:r>
              <w:rPr>
                <w:rFonts w:ascii="MS Mincho" w:hAnsi="Calibri"/>
                <w:color w:val="000000"/>
                <w:sz w:val="24"/>
                <w:szCs w:val="24"/>
                <w:highlight w:val="none"/>
              </w:rPr>
            </w:r>
            <w:r/>
          </w:p>
        </w:tc>
      </w:tr>
      <w:tr>
        <w:trPr>
          <w:trHeight w:val="119"/>
        </w:trPr>
        <w:tc>
          <w:tcPr>
            <w:tcW w:w="1668" w:type="dxa"/>
            <w:vAlign w:val="center"/>
            <w:textDirection w:val="lrTb"/>
            <w:noWrap w:val="false"/>
          </w:tcPr>
          <w:p>
            <w:pPr>
              <w:pStyle w:val="856"/>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企业实力（8分）</w:t>
            </w:r>
            <w:r>
              <w:rPr>
                <w:rFonts w:ascii="宋体" w:hAnsi="宋体" w:cs="宋体"/>
                <w:color w:val="000000"/>
                <w:szCs w:val="21"/>
                <w:highlight w:val="none"/>
              </w:rPr>
            </w:r>
            <w:r/>
          </w:p>
        </w:tc>
        <w:tc>
          <w:tcPr>
            <w:tcW w:w="7018" w:type="dxa"/>
            <w:vAlign w:val="top"/>
            <w:textDirection w:val="lrTb"/>
            <w:noWrap w:val="false"/>
          </w:tcPr>
          <w:p>
            <w:pPr>
              <w:pStyle w:val="856"/>
              <w:spacing w:line="3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、201</w:t>
            </w:r>
            <w:r>
              <w:rPr>
                <w:rFonts w:ascii="宋体" w:hAnsi="宋体" w:cs="宋体"/>
                <w:color w:val="000000"/>
                <w:szCs w:val="21"/>
                <w:highlight w:val="none"/>
              </w:rPr>
              <w:t xml:space="preserve">9</w:t>
            </w:r>
            <w:r>
              <w:rPr>
                <w:rFonts w:hint="eastAsia" w:ascii="宋体" w:hAnsi="宋体" w:cs="宋体"/>
                <w:color w:val="000000"/>
                <w:szCs w:val="21"/>
                <w:highlight w:val="none"/>
              </w:rPr>
              <w:t xml:space="preserve">年至今投标人获</w:t>
            </w:r>
            <w:r>
              <w:rPr>
                <w:rFonts w:hint="eastAsia" w:ascii="宋体" w:hAnsi="宋体" w:cs="宋体"/>
                <w:color w:val="000000"/>
                <w:szCs w:val="21"/>
                <w:highlight w:val="none"/>
                <w:lang w:eastAsia="zh-CN"/>
              </w:rPr>
              <w:t xml:space="preserve">连云港市建筑业企业优秀</w:t>
            </w:r>
            <w:r>
              <w:rPr>
                <w:rFonts w:hint="eastAsia" w:ascii="宋体" w:hAnsi="宋体" w:cs="宋体"/>
                <w:color w:val="000000"/>
                <w:szCs w:val="21"/>
                <w:highlight w:val="none"/>
                <w:lang w:val="en-US" w:eastAsia="zh-CN"/>
              </w:rPr>
              <w:t xml:space="preserve">QC小组奖项的</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56"/>
              <w:spacing w:line="300" w:lineRule="exact"/>
              <w:rPr>
                <w:rFonts w:ascii="宋体" w:hAnsi="宋体" w:cs="宋体"/>
                <w:b/>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、201</w:t>
            </w:r>
            <w:r>
              <w:rPr>
                <w:rFonts w:ascii="宋体" w:hAnsi="宋体" w:cs="宋体"/>
                <w:color w:val="000000"/>
                <w:szCs w:val="21"/>
                <w:highlight w:val="none"/>
              </w:rPr>
              <w:t xml:space="preserve">9</w:t>
            </w:r>
            <w:r>
              <w:rPr>
                <w:rFonts w:hint="eastAsia" w:ascii="宋体" w:hAnsi="宋体" w:cs="宋体"/>
                <w:color w:val="000000"/>
                <w:szCs w:val="21"/>
                <w:highlight w:val="none"/>
              </w:rPr>
              <w:t xml:space="preserve">年至今投标人被评为市级文明单位的得2分</w:t>
            </w:r>
            <w:r>
              <w:rPr>
                <w:rFonts w:hint="eastAsia" w:ascii="宋体" w:hAnsi="宋体" w:cs="宋体"/>
                <w:color w:val="000000"/>
                <w:szCs w:val="21"/>
                <w:highlight w:val="none"/>
                <w:lang w:eastAsia="zh-CN"/>
              </w:rPr>
              <w:t xml:space="preserve">，市级</w:t>
            </w:r>
            <w:r>
              <w:rPr>
                <w:rFonts w:hint="eastAsia" w:ascii="宋体" w:hAnsi="宋体" w:cs="宋体"/>
                <w:color w:val="000000"/>
                <w:szCs w:val="21"/>
                <w:highlight w:val="none"/>
              </w:rPr>
              <w:t xml:space="preserve">以上文明单位</w:t>
            </w:r>
            <w:r>
              <w:rPr>
                <w:rFonts w:hint="eastAsia" w:ascii="宋体" w:hAnsi="宋体" w:cs="宋体"/>
                <w:color w:val="000000"/>
                <w:szCs w:val="21"/>
                <w:highlight w:val="none"/>
                <w:lang w:eastAsia="zh-CN"/>
              </w:rPr>
              <w:t xml:space="preserve">得</w:t>
            </w:r>
            <w:r>
              <w:rPr>
                <w:rFonts w:hint="eastAsia" w:ascii="宋体" w:hAnsi="宋体" w:cs="宋体"/>
                <w:color w:val="000000"/>
                <w:szCs w:val="21"/>
                <w:highlight w:val="none"/>
                <w:lang w:val="en-US" w:eastAsia="zh-CN"/>
              </w:rPr>
              <w:t xml:space="preserve">4分</w:t>
            </w:r>
            <w:r>
              <w:rPr>
                <w:rFonts w:hint="eastAsia" w:ascii="宋体" w:hAnsi="宋体" w:cs="宋体"/>
                <w:color w:val="000000"/>
                <w:szCs w:val="21"/>
                <w:highlight w:val="none"/>
              </w:rPr>
              <w:t xml:space="preserve">。</w:t>
            </w:r>
            <w:r>
              <w:rPr>
                <w:rFonts w:ascii="宋体" w:hAnsi="宋体" w:cs="宋体"/>
                <w:b/>
                <w:color w:val="000000"/>
                <w:szCs w:val="21"/>
                <w:highlight w:val="none"/>
              </w:rPr>
            </w:r>
            <w:r/>
          </w:p>
          <w:p>
            <w:pPr>
              <w:pStyle w:val="856"/>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注：以上1-2项须提供</w:t>
            </w:r>
            <w:r>
              <w:rPr>
                <w:rFonts w:hint="eastAsia"/>
                <w:color w:val="000000"/>
                <w:szCs w:val="21"/>
                <w:highlight w:val="none"/>
              </w:rPr>
              <w:t xml:space="preserve">获奖证书或</w:t>
            </w:r>
            <w:r>
              <w:rPr>
                <w:rFonts w:hint="eastAsia" w:ascii="宋体" w:hAnsi="宋体" w:cs="宋体"/>
                <w:color w:val="000000"/>
                <w:szCs w:val="21"/>
                <w:highlight w:val="none"/>
              </w:rPr>
              <w:t xml:space="preserve">获奖文件原件扫描上传至投标文件中，否则不予计分。</w:t>
            </w:r>
            <w:r>
              <w:rPr>
                <w:rFonts w:ascii="宋体" w:hAnsi="宋体" w:cs="宋体"/>
                <w:color w:val="000000"/>
                <w:szCs w:val="21"/>
                <w:highlight w:val="none"/>
              </w:rPr>
            </w:r>
            <w:r/>
          </w:p>
        </w:tc>
      </w:tr>
      <w:tr>
        <w:trPr>
          <w:trHeight w:val="614"/>
        </w:trPr>
        <w:tc>
          <w:tcPr>
            <w:tcW w:w="1668" w:type="dxa"/>
            <w:vAlign w:val="center"/>
            <w:textDirection w:val="lrTb"/>
            <w:noWrap w:val="false"/>
          </w:tcPr>
          <w:p>
            <w:pPr>
              <w:pStyle w:val="856"/>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项目团队（38分）</w:t>
            </w:r>
            <w:r>
              <w:rPr>
                <w:rFonts w:ascii="宋体" w:hAnsi="宋体" w:cs="宋体"/>
                <w:color w:val="000000"/>
                <w:szCs w:val="21"/>
                <w:highlight w:val="none"/>
              </w:rPr>
            </w:r>
            <w:r/>
          </w:p>
        </w:tc>
        <w:tc>
          <w:tcPr>
            <w:tcW w:w="7018" w:type="dxa"/>
            <w:vAlign w:val="top"/>
            <w:textDirection w:val="lrTb"/>
            <w:noWrap w:val="false"/>
          </w:tcPr>
          <w:p>
            <w:pPr>
              <w:pStyle w:val="856"/>
              <w:numPr>
                <w:ilvl w:val="0"/>
                <w:numId w:val="2"/>
              </w:numP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拟派项目团队配备40人及以上人员，满足要求得4分，否则不得分。</w:t>
            </w:r>
            <w:r>
              <w:rPr>
                <w:rFonts w:ascii="宋体" w:hAnsi="宋体" w:cs="宋体"/>
                <w:color w:val="000000"/>
                <w:szCs w:val="21"/>
                <w:highlight w:val="none"/>
              </w:rPr>
            </w:r>
            <w:r/>
          </w:p>
          <w:p>
            <w:pPr>
              <w:pStyle w:val="856"/>
              <w:spacing w:line="300" w:lineRule="exact"/>
              <w:rPr>
                <w:rFonts w:ascii="宋体" w:hAnsi="宋体" w:cs="宋体"/>
                <w:b/>
                <w:color w:val="000000"/>
                <w:szCs w:val="21"/>
                <w:highlight w:val="none"/>
              </w:rPr>
            </w:pPr>
            <w:r>
              <w:rPr>
                <w:rFonts w:hint="eastAsia" w:ascii="宋体" w:hAnsi="宋体" w:cs="宋体"/>
                <w:b/>
                <w:color w:val="000000"/>
                <w:szCs w:val="21"/>
                <w:highlight w:val="none"/>
              </w:rPr>
              <w:t xml:space="preserve">提供人员名单及投标单位为其缴纳的近六个月（202</w:t>
            </w: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rPr>
              <w:t xml:space="preserve">年5月-202</w:t>
            </w: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rPr>
              <w:t xml:space="preserve">年10月）社保缴纳证明材料。</w:t>
            </w:r>
            <w:r>
              <w:rPr>
                <w:rFonts w:ascii="宋体" w:hAnsi="宋体" w:cs="宋体"/>
                <w:b/>
                <w:color w:val="000000"/>
                <w:szCs w:val="21"/>
                <w:highlight w:val="none"/>
              </w:rPr>
            </w:r>
            <w:r/>
          </w:p>
          <w:p>
            <w:pPr>
              <w:pStyle w:val="856"/>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2、拟派项目团队配备高级工程师不少于1人，工程师不少于5人，安全员不少于5人（持有安全员相关证件），全部满足要求得3分，否则不得分。</w:t>
            </w:r>
            <w:r>
              <w:rPr>
                <w:rFonts w:ascii="宋体" w:hAnsi="宋体" w:cs="宋体"/>
                <w:color w:val="000000"/>
                <w:szCs w:val="21"/>
                <w:highlight w:val="none"/>
              </w:rPr>
            </w:r>
            <w:r/>
          </w:p>
          <w:p>
            <w:pPr>
              <w:pStyle w:val="856"/>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3、拟派项目团队中配备人员中同时具备有限空间作业和潜水专业的职业能力证书，有一人得3分，最高得9分。</w:t>
            </w:r>
            <w:r>
              <w:rPr>
                <w:rFonts w:ascii="宋体" w:hAnsi="宋体" w:cs="宋体"/>
                <w:color w:val="000000"/>
                <w:szCs w:val="21"/>
                <w:highlight w:val="none"/>
              </w:rPr>
            </w:r>
            <w:r/>
          </w:p>
          <w:p>
            <w:pPr>
              <w:pStyle w:val="856"/>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4、拟派项目团队人员中具有市政排水管道更新与非开挖修复工程师的得4分。</w:t>
            </w:r>
            <w:r>
              <w:rPr>
                <w:rFonts w:ascii="宋体" w:hAnsi="宋体" w:cs="宋体"/>
                <w:color w:val="000000"/>
                <w:szCs w:val="21"/>
                <w:highlight w:val="none"/>
              </w:rPr>
            </w:r>
            <w:r/>
          </w:p>
          <w:p>
            <w:pPr>
              <w:pStyle w:val="856"/>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5、拟派项目团队中配备焊接工8人（持有焊接与热切割作业证），高压电工5人（持有高压电工证），低压电工5人（持有低压电工证），全部满足要求得4分，否则不得分。</w:t>
            </w:r>
            <w:r>
              <w:rPr>
                <w:rFonts w:ascii="宋体" w:hAnsi="宋体" w:cs="宋体"/>
                <w:color w:val="000000"/>
                <w:szCs w:val="21"/>
                <w:highlight w:val="none"/>
              </w:rPr>
            </w:r>
            <w:r/>
          </w:p>
          <w:p>
            <w:pPr>
              <w:pStyle w:val="856"/>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6、拟派项目团队人员中具有建筑施工特种作业操作资格证的，岗位需包含建筑架子工、建筑电工、建筑焊工、建筑起重信号司索工，全部满足要求得4分，否则不得分。</w:t>
            </w:r>
            <w:r>
              <w:rPr>
                <w:rFonts w:ascii="宋体" w:hAnsi="宋体" w:cs="宋体"/>
                <w:color w:val="000000"/>
                <w:szCs w:val="21"/>
                <w:highlight w:val="none"/>
              </w:rPr>
            </w:r>
            <w:r/>
          </w:p>
          <w:p>
            <w:pPr>
              <w:pStyle w:val="856"/>
              <w:spacing w:line="300" w:lineRule="exact"/>
              <w:rPr>
                <w:rFonts w:ascii="宋体" w:hAnsi="宋体" w:cs="宋体"/>
                <w:b/>
                <w:color w:val="000000"/>
                <w:szCs w:val="21"/>
                <w:highlight w:val="none"/>
              </w:rPr>
            </w:pPr>
            <w:r>
              <w:rPr>
                <w:rFonts w:ascii="宋体" w:hAnsi="宋体" w:cs="宋体"/>
                <w:b/>
                <w:color w:val="000000"/>
                <w:szCs w:val="21"/>
                <w:highlight w:val="none"/>
              </w:rPr>
              <w:t xml:space="preserve">注</w:t>
            </w:r>
            <w:r>
              <w:rPr>
                <w:rFonts w:hint="eastAsia" w:ascii="宋体" w:hAnsi="宋体" w:cs="宋体"/>
                <w:b/>
                <w:color w:val="000000"/>
                <w:szCs w:val="21"/>
                <w:highlight w:val="none"/>
              </w:rPr>
              <w:t xml:space="preserve">：以上</w:t>
            </w:r>
            <w:r>
              <w:rPr>
                <w:rFonts w:ascii="宋体" w:hAnsi="宋体" w:cs="宋体"/>
                <w:b/>
                <w:color w:val="000000"/>
                <w:szCs w:val="21"/>
                <w:highlight w:val="none"/>
              </w:rPr>
              <w:t xml:space="preserve">2</w:t>
            </w:r>
            <w:r>
              <w:rPr>
                <w:rFonts w:hint="eastAsia" w:ascii="宋体" w:hAnsi="宋体" w:cs="宋体"/>
                <w:b/>
                <w:color w:val="000000"/>
                <w:szCs w:val="21"/>
                <w:highlight w:val="none"/>
              </w:rPr>
              <w:t xml:space="preserve">-</w:t>
            </w:r>
            <w:r>
              <w:rPr>
                <w:rFonts w:ascii="宋体" w:hAnsi="宋体" w:cs="宋体"/>
                <w:b/>
                <w:color w:val="000000"/>
                <w:szCs w:val="21"/>
                <w:highlight w:val="none"/>
              </w:rPr>
              <w:t xml:space="preserve">6</w:t>
            </w:r>
            <w:r>
              <w:rPr>
                <w:rFonts w:hint="eastAsia" w:ascii="宋体" w:hAnsi="宋体" w:cs="宋体"/>
                <w:b/>
                <w:color w:val="000000"/>
                <w:szCs w:val="21"/>
                <w:highlight w:val="none"/>
              </w:rPr>
              <w:t xml:space="preserve">项须提供配备人员相关证书原件扫描件，同一人员可以重复计分。</w:t>
            </w:r>
            <w:r>
              <w:rPr>
                <w:rFonts w:ascii="宋体" w:hAnsi="宋体" w:cs="宋体"/>
                <w:b/>
                <w:color w:val="000000"/>
                <w:szCs w:val="21"/>
                <w:highlight w:val="none"/>
              </w:rPr>
            </w:r>
            <w:r/>
          </w:p>
          <w:p>
            <w:pPr>
              <w:pStyle w:val="856"/>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7、拟派项目团队人员中自2016年至今参加省级</w:t>
            </w:r>
            <w:r>
              <w:rPr>
                <w:rFonts w:hint="eastAsia" w:ascii="宋体" w:hAnsi="宋体" w:cs="宋体"/>
                <w:b w:val="0"/>
                <w:bCs w:val="0"/>
                <w:color w:val="000000"/>
                <w:szCs w:val="21"/>
                <w:highlight w:val="none"/>
              </w:rPr>
              <w:t xml:space="preserve">及以上</w:t>
            </w:r>
            <w:r>
              <w:rPr>
                <w:rFonts w:hint="eastAsia" w:ascii="宋体" w:hAnsi="宋体" w:cs="宋体"/>
                <w:color w:val="000000"/>
                <w:szCs w:val="21"/>
                <w:highlight w:val="none"/>
              </w:rPr>
              <w:t xml:space="preserve">排水管道工工种技能竞赛获得前10名表彰的，有一人得5分，最高得10分。</w:t>
            </w:r>
            <w:r>
              <w:rPr>
                <w:rFonts w:ascii="宋体" w:hAnsi="宋体" w:cs="宋体"/>
                <w:color w:val="000000"/>
                <w:szCs w:val="21"/>
                <w:highlight w:val="none"/>
              </w:rPr>
            </w:r>
            <w:r/>
          </w:p>
          <w:p>
            <w:pPr>
              <w:pStyle w:val="856"/>
              <w:spacing w:line="300" w:lineRule="exact"/>
              <w:rPr>
                <w:rFonts w:ascii="宋体" w:hAnsi="宋体" w:cs="宋体"/>
                <w:b/>
                <w:color w:val="000000"/>
                <w:szCs w:val="21"/>
                <w:highlight w:val="none"/>
              </w:rPr>
            </w:pPr>
            <w:r>
              <w:rPr>
                <w:rFonts w:hint="eastAsia" w:ascii="宋体" w:hAnsi="宋体" w:cs="宋体"/>
                <w:b/>
                <w:color w:val="000000"/>
                <w:szCs w:val="21"/>
                <w:highlight w:val="none"/>
              </w:rPr>
              <w:t xml:space="preserve">提供表彰文件原件扫描上传至投标文件中，否则不予计分。</w:t>
            </w:r>
            <w:r>
              <w:rPr>
                <w:rFonts w:ascii="宋体" w:hAnsi="宋体" w:cs="宋体"/>
                <w:b/>
                <w:color w:val="000000"/>
                <w:szCs w:val="21"/>
                <w:highlight w:val="none"/>
              </w:rPr>
            </w:r>
            <w:r/>
          </w:p>
        </w:tc>
      </w:tr>
      <w:tr>
        <w:trPr>
          <w:trHeight w:val="614"/>
        </w:trPr>
        <w:tc>
          <w:tcPr>
            <w:tcW w:w="1668" w:type="dxa"/>
            <w:vAlign w:val="center"/>
            <w:textDirection w:val="lrTb"/>
            <w:noWrap w:val="false"/>
          </w:tcPr>
          <w:p>
            <w:pPr>
              <w:pStyle w:val="856"/>
              <w:jc w:val="left"/>
              <w:rPr>
                <w:rFonts w:ascii="宋体" w:hAnsi="宋体" w:cs="宋体"/>
                <w:color w:val="000000"/>
                <w:szCs w:val="21"/>
                <w:highlight w:val="none"/>
              </w:rPr>
            </w:pPr>
            <w:r>
              <w:rPr>
                <w:color w:val="000000"/>
                <w:szCs w:val="24"/>
                <w:highlight w:val="none"/>
              </w:rPr>
              <w:t xml:space="preserve">本项目拟投入</w:t>
            </w:r>
            <w:r>
              <w:rPr>
                <w:rFonts w:hint="eastAsia"/>
                <w:color w:val="000000"/>
                <w:szCs w:val="24"/>
                <w:highlight w:val="none"/>
              </w:rPr>
              <w:t xml:space="preserve">运维</w:t>
            </w:r>
            <w:r>
              <w:rPr>
                <w:color w:val="000000"/>
                <w:szCs w:val="24"/>
                <w:highlight w:val="none"/>
              </w:rPr>
              <w:t xml:space="preserve">设备</w:t>
            </w:r>
            <w:r>
              <w:rPr>
                <w:rFonts w:hint="eastAsia" w:ascii="宋体" w:hAnsi="宋体" w:cs="宋体"/>
                <w:color w:val="000000"/>
                <w:szCs w:val="21"/>
                <w:highlight w:val="none"/>
              </w:rPr>
              <w:t xml:space="preserve">（12分）</w:t>
            </w:r>
            <w:r>
              <w:rPr>
                <w:rFonts w:ascii="宋体" w:hAnsi="宋体" w:cs="宋体"/>
                <w:color w:val="000000"/>
                <w:szCs w:val="21"/>
                <w:highlight w:val="none"/>
              </w:rPr>
            </w:r>
            <w:r/>
          </w:p>
        </w:tc>
        <w:tc>
          <w:tcPr>
            <w:tcW w:w="7018" w:type="dxa"/>
            <w:vAlign w:val="top"/>
            <w:textDirection w:val="lrTb"/>
            <w:noWrap w:val="false"/>
          </w:tcPr>
          <w:p>
            <w:pPr>
              <w:pStyle w:val="856"/>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1、投标人在本项目拟投入运维设备（包含800m3/h及以上大流量排污泵、管道潜望镜、CCTV机器人、液压动力站、沥青炒料机、窨井圆周切割机），本单位购置的每具有一类设备得1分，租赁设备提供相关租赁合同，每具有一类设备得0.5分，最高得6分。</w:t>
            </w:r>
            <w:r>
              <w:rPr>
                <w:rFonts w:ascii="宋体" w:hAnsi="宋体" w:cs="宋体"/>
                <w:color w:val="000000"/>
                <w:szCs w:val="21"/>
                <w:highlight w:val="none"/>
              </w:rPr>
            </w:r>
            <w:r/>
          </w:p>
          <w:p>
            <w:pPr>
              <w:pStyle w:val="856"/>
              <w:spacing w:line="300" w:lineRule="exact"/>
              <w:rPr>
                <w:rFonts w:ascii="宋体" w:hAnsi="宋体" w:cs="宋体"/>
                <w:b/>
                <w:color w:val="000000"/>
                <w:szCs w:val="21"/>
                <w:highlight w:val="none"/>
              </w:rPr>
            </w:pPr>
            <w:r>
              <w:rPr>
                <w:rFonts w:hint="eastAsia" w:ascii="宋体" w:hAnsi="宋体" w:cs="宋体"/>
                <w:b/>
                <w:color w:val="000000"/>
                <w:szCs w:val="21"/>
                <w:highlight w:val="none"/>
              </w:rPr>
              <w:t xml:space="preserve">注：须提供购置设备的发票原件或相关合同扫描上传至投标文件中，否则不予计分。</w:t>
            </w:r>
            <w:r>
              <w:rPr>
                <w:rFonts w:ascii="宋体" w:hAnsi="宋体" w:cs="宋体"/>
                <w:b/>
                <w:color w:val="000000"/>
                <w:szCs w:val="21"/>
                <w:highlight w:val="none"/>
              </w:rPr>
            </w:r>
            <w:r/>
          </w:p>
          <w:p>
            <w:pPr>
              <w:pStyle w:val="856"/>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2、投标人在本项目拟投入疏通车和清淤车的得4分。</w:t>
            </w:r>
            <w:r>
              <w:rPr>
                <w:rFonts w:ascii="宋体" w:hAnsi="宋体" w:cs="宋体"/>
                <w:color w:val="000000"/>
                <w:szCs w:val="21"/>
                <w:highlight w:val="none"/>
              </w:rPr>
            </w:r>
            <w:r/>
          </w:p>
          <w:p>
            <w:pPr>
              <w:pStyle w:val="856"/>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3、投标人在本项目拟投入4辆货车的得2分。</w:t>
            </w:r>
            <w:r>
              <w:rPr>
                <w:rFonts w:ascii="宋体" w:hAnsi="宋体" w:cs="宋体"/>
                <w:color w:val="000000"/>
                <w:szCs w:val="21"/>
                <w:highlight w:val="none"/>
              </w:rPr>
            </w:r>
            <w:r/>
          </w:p>
          <w:p>
            <w:pPr>
              <w:pStyle w:val="856"/>
              <w:spacing w:line="3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注：1、以上2-3项须提供车辆登记证和购车发票原件扫描上传至投标文件中，否则不予计分。</w:t>
            </w:r>
            <w:r>
              <w:rPr>
                <w:rFonts w:hint="eastAsia" w:ascii="宋体" w:hAnsi="宋体" w:cs="宋体"/>
                <w:b/>
                <w:color w:val="000000"/>
                <w:szCs w:val="21"/>
                <w:highlight w:val="none"/>
              </w:rPr>
            </w:r>
            <w:r/>
          </w:p>
          <w:p>
            <w:pPr>
              <w:pStyle w:val="868"/>
              <w:rPr>
                <w:rFonts w:hint="eastAsia"/>
                <w:color w:val="000000"/>
                <w:highlight w:val="none"/>
              </w:rPr>
            </w:pPr>
            <w:r>
              <w:rPr>
                <w:rFonts w:hint="eastAsia" w:ascii="宋体" w:hAnsi="宋体" w:cs="宋体"/>
                <w:b/>
                <w:color w:val="000000"/>
                <w:szCs w:val="21"/>
                <w:highlight w:val="none"/>
              </w:rPr>
              <w:t xml:space="preserve">2、以上2-3项中是</w:t>
            </w:r>
            <w:r>
              <w:rPr>
                <w:rFonts w:hint="eastAsia" w:ascii="宋体" w:hAnsi="宋体" w:cs="宋体"/>
                <w:color w:val="000000"/>
                <w:szCs w:val="21"/>
                <w:highlight w:val="none"/>
              </w:rPr>
              <w:t xml:space="preserve">本单位购置的设备得满分，租赁设备提供相关</w:t>
            </w:r>
            <w:r>
              <w:rPr>
                <w:rFonts w:hint="eastAsia" w:ascii="宋体" w:hAnsi="宋体" w:cs="宋体"/>
                <w:strike/>
                <w:color w:val="000000"/>
                <w:szCs w:val="21"/>
                <w:highlight w:val="none"/>
                <w:u w:val="single"/>
              </w:rPr>
              <w:t xml:space="preserve">租赁</w:t>
            </w:r>
            <w:r>
              <w:rPr>
                <w:rFonts w:hint="eastAsia" w:ascii="宋体" w:hAnsi="宋体" w:cs="宋体"/>
                <w:color w:val="000000"/>
                <w:szCs w:val="21"/>
                <w:highlight w:val="none"/>
              </w:rPr>
              <w:t xml:space="preserve">合同，每具有一类设备得分减半。</w:t>
            </w:r>
            <w:r>
              <w:rPr>
                <w:rFonts w:hint="eastAsia"/>
                <w:color w:val="000000"/>
                <w:highlight w:val="none"/>
              </w:rPr>
            </w:r>
            <w:r/>
          </w:p>
        </w:tc>
      </w:tr>
      <w:tr>
        <w:trPr>
          <w:trHeight w:val="614"/>
        </w:trPr>
        <w:tc>
          <w:tcPr>
            <w:tcW w:w="1668" w:type="dxa"/>
            <w:vAlign w:val="center"/>
            <w:textDirection w:val="lrTb"/>
            <w:noWrap w:val="false"/>
          </w:tcPr>
          <w:p>
            <w:pPr>
              <w:pStyle w:val="856"/>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业绩（12分）</w:t>
            </w:r>
            <w:r>
              <w:rPr>
                <w:rFonts w:ascii="宋体" w:hAnsi="宋体" w:cs="宋体"/>
                <w:color w:val="000000"/>
                <w:szCs w:val="21"/>
                <w:highlight w:val="none"/>
              </w:rPr>
            </w:r>
            <w:r/>
          </w:p>
        </w:tc>
        <w:tc>
          <w:tcPr>
            <w:tcW w:w="7018" w:type="dxa"/>
            <w:vAlign w:val="top"/>
            <w:textDirection w:val="lrTb"/>
            <w:noWrap w:val="false"/>
          </w:tcPr>
          <w:p>
            <w:pPr>
              <w:pStyle w:val="856"/>
              <w:spacing w:before="50" w:line="300" w:lineRule="exact"/>
              <w:rPr>
                <w:rFonts w:ascii="宋体" w:hAnsi="宋体" w:cs="宋体"/>
                <w:color w:val="000000"/>
                <w:szCs w:val="21"/>
                <w:highlight w:val="none"/>
              </w:rPr>
            </w:pPr>
            <w:r>
              <w:rPr>
                <w:rFonts w:hint="eastAsia" w:ascii="宋体" w:hAnsi="宋体" w:cs="宋体"/>
                <w:color w:val="000000"/>
                <w:szCs w:val="21"/>
                <w:highlight w:val="none"/>
              </w:rPr>
              <w:t xml:space="preserve">投标人</w:t>
            </w:r>
            <w:r>
              <w:rPr>
                <w:rFonts w:ascii="宋体" w:hAnsi="宋体" w:cs="宋体"/>
                <w:color w:val="000000"/>
                <w:szCs w:val="21"/>
                <w:highlight w:val="none"/>
              </w:rPr>
              <w:t xml:space="preserve">201</w:t>
            </w:r>
            <w:r>
              <w:rPr>
                <w:rFonts w:hint="eastAsia" w:ascii="宋体" w:hAnsi="宋体" w:cs="宋体"/>
                <w:color w:val="000000"/>
                <w:szCs w:val="21"/>
                <w:highlight w:val="none"/>
                <w:lang w:val="en-US" w:eastAsia="zh-CN"/>
              </w:rPr>
              <w:t xml:space="preserve">9</w:t>
            </w:r>
            <w:r>
              <w:rPr>
                <w:rFonts w:ascii="宋体" w:hAnsi="宋体" w:cs="宋体"/>
                <w:color w:val="000000"/>
                <w:szCs w:val="21"/>
                <w:highlight w:val="none"/>
              </w:rPr>
              <w:t xml:space="preserve">年1月1日至今（以合同签订时间为准）</w:t>
            </w:r>
            <w:r>
              <w:rPr>
                <w:rFonts w:hint="eastAsia" w:ascii="宋体" w:hAnsi="宋体" w:cs="宋体"/>
                <w:color w:val="000000"/>
                <w:szCs w:val="21"/>
                <w:highlight w:val="none"/>
              </w:rPr>
              <w:t xml:space="preserve">承担过年度运营费用600万及以上的污水管网或污水泵站运营的，每有一个合同得4分，本项最高得12分。</w:t>
            </w:r>
            <w:r>
              <w:rPr>
                <w:rFonts w:ascii="宋体" w:hAnsi="宋体" w:cs="宋体"/>
                <w:color w:val="000000"/>
                <w:szCs w:val="21"/>
                <w:highlight w:val="none"/>
              </w:rPr>
            </w:r>
            <w:r/>
          </w:p>
          <w:p>
            <w:pPr>
              <w:pStyle w:val="856"/>
              <w:spacing w:line="300" w:lineRule="exact"/>
              <w:rPr>
                <w:rFonts w:ascii="宋体" w:hAnsi="宋体" w:cs="宋体"/>
                <w:b/>
                <w:color w:val="000000"/>
                <w:szCs w:val="21"/>
                <w:highlight w:val="none"/>
              </w:rPr>
            </w:pPr>
            <w:r>
              <w:rPr>
                <w:rFonts w:hint="eastAsia" w:ascii="宋体" w:hAnsi="宋体" w:cs="宋体"/>
                <w:b/>
                <w:color w:val="000000"/>
                <w:szCs w:val="21"/>
                <w:highlight w:val="none"/>
              </w:rPr>
              <w:t xml:space="preserve">注：年度为12个月，不足12个月不得分，每个合同仅计分一次；须提供合同原件扫描上传至投标文件中，否则不予计分。</w:t>
            </w:r>
            <w:r>
              <w:rPr>
                <w:rFonts w:ascii="宋体" w:hAnsi="宋体" w:cs="宋体"/>
                <w:b/>
                <w:color w:val="000000"/>
                <w:szCs w:val="21"/>
                <w:highlight w:val="none"/>
              </w:rPr>
            </w:r>
            <w:r/>
          </w:p>
        </w:tc>
      </w:tr>
    </w:tbl>
    <w:p>
      <w:pPr>
        <w:pStyle w:val="868"/>
        <w:rPr>
          <w:color w:val="000000"/>
          <w:highlight w:val="none"/>
        </w:rPr>
      </w:pPr>
      <w:r>
        <w:rPr>
          <w:color w:val="000000"/>
          <w:highlight w:val="none"/>
        </w:rPr>
      </w:r>
      <w:r/>
    </w:p>
    <w:p>
      <w:pPr>
        <w:pStyle w:val="856"/>
        <w:rPr>
          <w:rFonts w:hint="eastAsia"/>
          <w:color w:val="000000"/>
          <w:highlight w:val="none"/>
        </w:rPr>
      </w:pPr>
      <w:r>
        <w:rPr>
          <w:rFonts w:hint="eastAsia"/>
          <w:color w:val="000000"/>
          <w:highlight w:val="none"/>
        </w:rPr>
      </w:r>
      <w:r/>
    </w:p>
    <w:p>
      <w:pPr>
        <w:pStyle w:val="856"/>
        <w:jc w:val="center"/>
        <w:keepLines/>
        <w:keepNext/>
        <w:spacing w:line="360" w:lineRule="auto"/>
        <w:rPr>
          <w:rFonts w:hAnsi="宋体" w:eastAsia="黑体"/>
          <w:color w:val="000000"/>
          <w:sz w:val="36"/>
          <w:szCs w:val="20"/>
          <w:highlight w:val="none"/>
        </w:rPr>
        <w:outlineLvl w:val="0"/>
      </w:pPr>
      <w:r>
        <w:rPr>
          <w:rFonts w:hAnsi="宋体" w:eastAsia="黑体"/>
          <w:color w:val="000000"/>
          <w:sz w:val="36"/>
          <w:szCs w:val="20"/>
          <w:highlight w:val="none"/>
        </w:rPr>
        <w:br w:type="page" w:clear="all"/>
      </w:r>
      <w:bookmarkStart w:id="5" w:name="_Toc58260784"/>
      <w:r>
        <w:rPr>
          <w:rFonts w:hint="eastAsia" w:hAnsi="宋体" w:eastAsia="黑体"/>
          <w:color w:val="000000"/>
          <w:sz w:val="36"/>
          <w:szCs w:val="20"/>
          <w:highlight w:val="none"/>
        </w:rPr>
        <w:t xml:space="preserve">第四部分  项目需求</w:t>
      </w:r>
      <w:bookmarkEnd w:id="5"/>
      <w:r>
        <w:rPr>
          <w:rFonts w:hAnsi="宋体" w:eastAsia="黑体"/>
          <w:color w:val="000000"/>
          <w:sz w:val="36"/>
          <w:szCs w:val="20"/>
          <w:highlight w:val="none"/>
        </w:rPr>
      </w:r>
      <w:r/>
    </w:p>
    <w:p>
      <w:pPr>
        <w:pStyle w:val="856"/>
        <w:ind w:firstLine="562"/>
        <w:spacing w:line="400" w:lineRule="exact"/>
        <w:rPr>
          <w:rFonts w:ascii="宋体" w:hAnsi="宋体"/>
          <w:color w:val="000000"/>
          <w:sz w:val="24"/>
          <w:szCs w:val="24"/>
          <w:highlight w:val="none"/>
        </w:rPr>
      </w:pPr>
      <w:r>
        <w:rPr>
          <w:rFonts w:hint="eastAsia" w:ascii="宋体" w:hAnsi="宋体"/>
          <w:b/>
          <w:color w:val="000000"/>
          <w:sz w:val="28"/>
          <w:szCs w:val="24"/>
          <w:highlight w:val="none"/>
        </w:rPr>
        <w:t xml:space="preserve">说明：</w:t>
      </w:r>
      <w:r>
        <w:rPr>
          <w:rFonts w:hint="eastAsia" w:ascii="宋体" w:hAnsi="宋体"/>
          <w:color w:val="000000"/>
          <w:sz w:val="24"/>
          <w:szCs w:val="24"/>
          <w:highlight w:val="none"/>
        </w:rPr>
        <w:t xml:space="preserve">本项目采购方式为公开招标，项目属性为服务，采购标的对应的中小企业划分标准所属行业为</w:t>
      </w:r>
      <w:r>
        <w:rPr>
          <w:rFonts w:hint="eastAsia"/>
          <w:color w:val="000000"/>
          <w:sz w:val="24"/>
          <w:szCs w:val="24"/>
          <w:highlight w:val="none"/>
          <w:u w:val="single"/>
        </w:rPr>
        <w:t xml:space="preserve">    </w:t>
      </w:r>
      <w:r>
        <w:rPr>
          <w:rFonts w:hint="eastAsia"/>
          <w:b/>
          <w:color w:val="000000"/>
          <w:sz w:val="24"/>
          <w:szCs w:val="24"/>
          <w:highlight w:val="none"/>
          <w:u w:val="single"/>
        </w:rPr>
        <w:t xml:space="preserve">其他未列明行业 </w:t>
      </w:r>
      <w:r>
        <w:rPr>
          <w:rFonts w:hint="eastAsia"/>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56"/>
        <w:numPr>
          <w:ilvl w:val="0"/>
          <w:numId w:val="3"/>
        </w:numPr>
        <w:ind w:firstLine="482"/>
        <w:spacing w:line="480" w:lineRule="auto"/>
        <w:rPr>
          <w:rFonts w:hint="eastAsia" w:ascii="宋体" w:hAnsi="宋体"/>
          <w:bCs/>
          <w:color w:val="000000"/>
          <w:sz w:val="24"/>
          <w:highlight w:val="none"/>
        </w:rPr>
      </w:pPr>
      <w:r>
        <w:rPr>
          <w:rFonts w:hint="eastAsia" w:ascii="宋体" w:hAnsi="宋体"/>
          <w:b/>
          <w:bCs w:val="0"/>
          <w:color w:val="000000"/>
          <w:sz w:val="24"/>
          <w:szCs w:val="24"/>
          <w:highlight w:val="none"/>
        </w:rPr>
        <w:t xml:space="preserve">项目背</w:t>
      </w:r>
      <w:r>
        <w:rPr>
          <w:rFonts w:hint="eastAsia" w:ascii="宋体" w:hAnsi="宋体"/>
          <w:b/>
          <w:bCs w:val="0"/>
          <w:color w:val="000000"/>
          <w:sz w:val="24"/>
          <w:highlight w:val="none"/>
        </w:rPr>
        <w:t xml:space="preserve">景：</w:t>
      </w:r>
      <w:r>
        <w:rPr>
          <w:rFonts w:hint="eastAsia" w:ascii="宋体" w:hAnsi="宋体" w:eastAsia="宋体" w:cs="Times New Roman"/>
          <w:bCs/>
          <w:color w:val="000000"/>
          <w:sz w:val="24"/>
          <w:highlight w:val="none"/>
        </w:rPr>
        <w:t xml:space="preserve">加强连云港市区城市污水泵站、污水管网、监控设施</w:t>
      </w:r>
      <w:r>
        <w:rPr>
          <w:rFonts w:hint="eastAsia" w:ascii="宋体" w:hAnsi="宋体" w:eastAsia="宋体" w:cs="Times New Roman"/>
          <w:bCs/>
          <w:color w:val="000000"/>
          <w:sz w:val="24"/>
          <w:highlight w:val="none"/>
          <w:lang w:val="en-US" w:eastAsia="zh-CN"/>
        </w:rPr>
        <w:t xml:space="preserve">以及大圣湖应急水源设施</w:t>
      </w:r>
      <w:r>
        <w:rPr>
          <w:rFonts w:hint="eastAsia" w:ascii="宋体" w:hAnsi="宋体" w:eastAsia="宋体" w:cs="Times New Roman"/>
          <w:bCs/>
          <w:color w:val="000000"/>
          <w:sz w:val="24"/>
          <w:highlight w:val="none"/>
        </w:rPr>
        <w:t xml:space="preserve">的</w:t>
      </w:r>
      <w:r>
        <w:rPr>
          <w:rFonts w:hint="eastAsia" w:ascii="宋体" w:hAnsi="宋体" w:eastAsia="宋体" w:cs="Times New Roman"/>
          <w:bCs/>
          <w:color w:val="000000"/>
          <w:sz w:val="24"/>
          <w:highlight w:val="none"/>
          <w:lang w:val="en-US" w:eastAsia="zh-CN"/>
        </w:rPr>
        <w:t xml:space="preserve">巡查检查、</w:t>
      </w:r>
      <w:r>
        <w:rPr>
          <w:rFonts w:hint="eastAsia" w:ascii="宋体" w:hAnsi="宋体" w:eastAsia="宋体" w:cs="Times New Roman"/>
          <w:bCs/>
          <w:color w:val="000000"/>
          <w:sz w:val="24"/>
          <w:highlight w:val="none"/>
        </w:rPr>
        <w:t xml:space="preserve">运行维护</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管网检测</w:t>
      </w:r>
      <w:r>
        <w:rPr>
          <w:rFonts w:hint="eastAsia" w:ascii="宋体" w:hAnsi="宋体" w:eastAsia="宋体" w:cs="Times New Roman"/>
          <w:bCs/>
          <w:color w:val="000000"/>
          <w:sz w:val="24"/>
          <w:highlight w:val="none"/>
        </w:rPr>
        <w:t xml:space="preserve">，特种设备的保养维修定期核验</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中控室平台软件维护、监控设施的运行维护，确保设施完好、安全运行</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接受汛期排水防涝任务</w:t>
      </w:r>
      <w:r>
        <w:rPr>
          <w:rFonts w:hint="eastAsia" w:ascii="宋体" w:hAnsi="宋体" w:eastAsia="宋体" w:cs="Times New Roman"/>
          <w:bCs/>
          <w:color w:val="000000"/>
          <w:sz w:val="24"/>
          <w:highlight w:val="none"/>
        </w:rPr>
        <w:t xml:space="preserve">。</w:t>
      </w:r>
      <w:r>
        <w:rPr>
          <w:rFonts w:hint="eastAsia" w:ascii="宋体" w:hAnsi="宋体"/>
          <w:bCs/>
          <w:color w:val="000000"/>
          <w:sz w:val="24"/>
          <w:highlight w:val="none"/>
        </w:rPr>
      </w:r>
      <w:r/>
    </w:p>
    <w:p>
      <w:pPr>
        <w:pStyle w:val="856"/>
        <w:ind w:firstLine="480"/>
        <w:spacing w:line="480" w:lineRule="auto"/>
        <w:rPr>
          <w:rFonts w:ascii="宋体" w:hAnsi="宋体"/>
          <w:bCs/>
          <w:color w:val="000000"/>
          <w:sz w:val="24"/>
          <w:highlight w:val="none"/>
        </w:rPr>
      </w:pPr>
      <w:r>
        <w:rPr>
          <w:rFonts w:hint="eastAsia" w:ascii="宋体" w:hAnsi="宋体"/>
          <w:bCs/>
          <w:color w:val="000000"/>
          <w:sz w:val="24"/>
          <w:highlight w:val="none"/>
        </w:rPr>
        <w:t xml:space="preserve">二、项目概况：连云港市市政公用事业发展中心负责管理的21座污水泵站、2座大圣湖应急水源泵站巡检、调度、养护、维修、运行维护；约140公里市政污水管网、约8.9公里应急水源输送管网巡检、疏通、养护、维修、定期检测；特种设备的保养维修定期核验；中控室值班值守、运行调度、系统维护；接受防汛指令，开展城市防汛排涝相关工作；配合开展排水管理、检查、督导、水质检测等相关工作。</w:t>
      </w:r>
      <w:r>
        <w:rPr>
          <w:rFonts w:ascii="宋体" w:hAnsi="宋体"/>
          <w:bCs/>
          <w:color w:val="000000"/>
          <w:sz w:val="24"/>
          <w:highlight w:val="none"/>
        </w:rPr>
      </w:r>
      <w:r/>
    </w:p>
    <w:p>
      <w:pPr>
        <w:pStyle w:val="856"/>
        <w:ind w:firstLine="480"/>
        <w:spacing w:line="480" w:lineRule="auto"/>
        <w:rPr>
          <w:rFonts w:ascii="宋体" w:hAnsi="宋体"/>
          <w:bCs/>
          <w:color w:val="000000"/>
          <w:sz w:val="24"/>
          <w:highlight w:val="none"/>
        </w:rPr>
      </w:pPr>
      <w:r>
        <w:rPr>
          <w:rFonts w:hint="eastAsia" w:ascii="宋体" w:hAnsi="宋体"/>
          <w:bCs/>
          <w:color w:val="000000"/>
          <w:sz w:val="24"/>
          <w:highlight w:val="none"/>
        </w:rPr>
        <w:t xml:space="preserve">三、服务技术要求及其他：</w:t>
      </w:r>
      <w:r>
        <w:rPr>
          <w:rFonts w:ascii="宋体" w:hAnsi="宋体"/>
          <w:bCs/>
          <w:color w:val="000000"/>
          <w:sz w:val="24"/>
          <w:highlight w:val="none"/>
        </w:rPr>
      </w:r>
      <w:r/>
    </w:p>
    <w:p>
      <w:pPr>
        <w:pStyle w:val="856"/>
        <w:ind w:firstLine="480"/>
        <w:spacing w:line="480" w:lineRule="auto"/>
        <w:rPr>
          <w:rFonts w:ascii="宋体" w:hAnsi="宋体"/>
          <w:bCs/>
          <w:color w:val="000000"/>
          <w:sz w:val="24"/>
          <w:highlight w:val="none"/>
        </w:rPr>
      </w:pPr>
      <w:r>
        <w:rPr>
          <w:rFonts w:hint="eastAsia" w:ascii="宋体" w:hAnsi="宋体"/>
          <w:bCs/>
          <w:color w:val="000000"/>
          <w:sz w:val="24"/>
          <w:szCs w:val="24"/>
          <w:highlight w:val="none"/>
        </w:rPr>
        <w:t xml:space="preserve">1、服务范围：</w:t>
      </w:r>
      <w:r>
        <w:rPr>
          <w:rFonts w:hint="eastAsia" w:ascii="宋体" w:hAnsi="宋体"/>
          <w:bCs/>
          <w:color w:val="000000"/>
          <w:sz w:val="24"/>
          <w:highlight w:val="none"/>
        </w:rPr>
        <w:t xml:space="preserve">连云港市市政公用事业发展中心负责管理的21座污水泵站、约140公里污水管网、监控系统等设施的运行维护；2座大圣湖应急水源泵站、约8.9公里应急水源输送管网；特种设备的保养维修定期核验；汛期道路巡查、应急强排等。具体包括：泵站值班调度、保洁、绿化养护（泵站内道路绿植日常修剪、养护）、围墙道路及泵站建筑等设施的维护；污水管网及排口的巡视；排口及检查井清掏、检修；污水管网的疏通、维修、检测（2025年5月底前检测不少于60公里市政污水管网，提交检测报告）；应急水源泵站、输送管网巡查、运行、保养；污水</w:t>
      </w:r>
      <w:r>
        <w:rPr>
          <w:rFonts w:hint="eastAsia" w:ascii="宋体" w:hAnsi="宋体"/>
          <w:bCs/>
          <w:color w:val="000000"/>
          <w:sz w:val="24"/>
          <w:highlight w:val="none"/>
        </w:rPr>
        <w:t xml:space="preserve">泵站、应急泵站机电设备和工艺设备的巡查、维护、检定、维修；监控系统的维护、运行；大流量强排泵车、移动发电机、疏通车、行车、变压器（含高低压配电等）等特种设备的保养、维修，按规定定期检测核验；以及负责相关设施的小中修（水泵、格栅、闸门、阀门、行车、电气设备、路灯、值班用房、泵站内道路绿化、监控设备、污水管网、检查井、截流井等污水设施单笔维修费用不大于5万元）和涉及到的相关设施运维安全工作；汛期接受防汛指令，做好值班值守，巡查城区市政道路，根据防汛需要对部分积水点开展强排工作，每年汛前至少开展一次排水防涝演练。</w:t>
      </w:r>
      <w:r>
        <w:rPr>
          <w:rFonts w:ascii="宋体" w:hAnsi="宋体"/>
          <w:bCs/>
          <w:color w:val="000000"/>
          <w:sz w:val="24"/>
          <w:highlight w:val="none"/>
        </w:rPr>
      </w:r>
      <w:r/>
    </w:p>
    <w:p>
      <w:pPr>
        <w:pStyle w:val="856"/>
        <w:ind w:firstLine="480"/>
        <w:spacing w:line="480" w:lineRule="auto"/>
        <w:rPr>
          <w:rFonts w:ascii="宋体" w:hAnsi="宋体"/>
          <w:bCs/>
          <w:color w:val="000000"/>
          <w:sz w:val="24"/>
          <w:highlight w:val="none"/>
        </w:rPr>
      </w:pPr>
      <w:r>
        <w:rPr>
          <w:rFonts w:hint="eastAsia" w:ascii="宋体" w:hAnsi="宋体"/>
          <w:bCs/>
          <w:color w:val="000000"/>
          <w:sz w:val="24"/>
          <w:highlight w:val="none"/>
        </w:rPr>
        <w:t xml:space="preserve">2、服务内容</w:t>
      </w:r>
      <w:r>
        <w:rPr>
          <w:rFonts w:ascii="宋体" w:hAnsi="宋体"/>
          <w:bCs/>
          <w:color w:val="000000"/>
          <w:sz w:val="24"/>
          <w:highlight w:val="none"/>
        </w:rPr>
      </w:r>
      <w:r/>
    </w:p>
    <w:tbl>
      <w:tblPr>
        <w:tblW w:w="9351" w:type="dxa"/>
        <w:tblInd w:w="5" w:type="dxa"/>
        <w:tblLayout w:type="autofit"/>
        <w:tblCellMar>
          <w:left w:w="108" w:type="dxa"/>
          <w:top w:w="0" w:type="dxa"/>
          <w:right w:w="108" w:type="dxa"/>
          <w:bottom w:w="0" w:type="dxa"/>
        </w:tblCellMar>
        <w:tblLook w:val="04A0" w:firstRow="1" w:lastRow="0" w:firstColumn="1" w:lastColumn="0" w:noHBand="0" w:noVBand="1"/>
      </w:tblPr>
      <w:tblGrid>
        <w:gridCol w:w="634"/>
        <w:gridCol w:w="2474"/>
        <w:gridCol w:w="4967"/>
        <w:gridCol w:w="1276"/>
      </w:tblGrid>
      <w:tr>
        <w:trPr>
          <w:trHeight w:val="375"/>
        </w:trPr>
        <w:tc>
          <w:tcPr>
            <w:gridSpan w:val="4"/>
            <w:tcBorders>
              <w:top w:val="none" w:color="000000" w:sz="4" w:space="0"/>
              <w:left w:val="none" w:color="000000" w:sz="4" w:space="0"/>
              <w:bottom w:val="none" w:color="000000" w:sz="4" w:space="0"/>
              <w:right w:val="none" w:color="000000" w:sz="4" w:space="0"/>
            </w:tcBorders>
            <w:tcW w:w="9351" w:type="dxa"/>
            <w:vAlign w:val="center"/>
            <w:textDirection w:val="lrTb"/>
            <w:noWrap/>
          </w:tcPr>
          <w:p>
            <w:pPr>
              <w:pStyle w:val="856"/>
              <w:jc w:val="center"/>
              <w:widowControl/>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rPr>
              <w:t xml:space="preserve">服务内容</w:t>
            </w:r>
            <w:r>
              <w:rPr>
                <w:rFonts w:hint="eastAsia" w:ascii="宋体" w:hAnsi="宋体" w:cs="宋体"/>
                <w:b/>
                <w:bCs/>
                <w:color w:val="000000"/>
                <w:sz w:val="24"/>
                <w:szCs w:val="24"/>
                <w:highlight w:val="none"/>
                <w:lang w:val="en-US" w:eastAsia="zh-CN"/>
              </w:rPr>
              <w:t xml:space="preserve">清单</w:t>
            </w:r>
            <w:r>
              <w:rPr>
                <w:rFonts w:hint="eastAsia" w:ascii="宋体" w:hAnsi="宋体" w:eastAsia="宋体" w:cs="宋体"/>
                <w:b/>
                <w:bCs/>
                <w:color w:val="000000"/>
                <w:sz w:val="24"/>
                <w:szCs w:val="24"/>
                <w:highlight w:val="none"/>
                <w:lang w:eastAsia="zh-CN"/>
              </w:rPr>
            </w:r>
            <w:r/>
          </w:p>
        </w:tc>
      </w:tr>
      <w:tr>
        <w:trPr>
          <w:trHeight w:val="240"/>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85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hint="eastAsia"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474" w:type="dxa"/>
            <w:vAlign w:val="center"/>
            <w:textDirection w:val="lrTb"/>
            <w:noWrap/>
          </w:tcPr>
          <w:p>
            <w:pPr>
              <w:pStyle w:val="856"/>
              <w:jc w:val="center"/>
              <w:widowControl/>
              <w:rPr>
                <w:rFonts w:hint="eastAsia" w:ascii="仿宋" w:hAnsi="仿宋" w:eastAsia="仿宋" w:cs="宋体"/>
                <w:b/>
                <w:bCs/>
                <w:color w:val="000000"/>
                <w:sz w:val="24"/>
                <w:szCs w:val="24"/>
                <w:highlight w:val="none"/>
              </w:rPr>
            </w:pPr>
            <w:r>
              <w:rPr>
                <w:rFonts w:hint="eastAsia" w:ascii="仿宋" w:hAnsi="仿宋" w:eastAsia="仿宋" w:cs="宋体"/>
                <w:b/>
                <w:bCs/>
                <w:color w:val="000000"/>
                <w:sz w:val="24"/>
                <w:szCs w:val="24"/>
                <w:highlight w:val="none"/>
              </w:rPr>
              <w:t xml:space="preserve">项目</w:t>
            </w:r>
            <w:r>
              <w:rPr>
                <w:rFonts w:hint="eastAsia" w:ascii="仿宋" w:hAnsi="仿宋" w:eastAsia="仿宋"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4967" w:type="dxa"/>
            <w:vAlign w:val="center"/>
            <w:textDirection w:val="lrTb"/>
            <w:noWrap/>
          </w:tcPr>
          <w:p>
            <w:pPr>
              <w:pStyle w:val="856"/>
              <w:jc w:val="center"/>
              <w:widowControl/>
              <w:rPr>
                <w:rFonts w:hint="eastAsia" w:ascii="仿宋" w:hAnsi="仿宋" w:eastAsia="仿宋" w:cs="宋体"/>
                <w:b/>
                <w:bCs/>
                <w:color w:val="000000"/>
                <w:sz w:val="24"/>
                <w:szCs w:val="24"/>
                <w:highlight w:val="none"/>
              </w:rPr>
            </w:pPr>
            <w:r>
              <w:rPr>
                <w:rFonts w:hint="eastAsia" w:ascii="仿宋" w:hAnsi="仿宋" w:eastAsia="仿宋" w:cs="宋体"/>
                <w:b/>
                <w:bCs/>
                <w:color w:val="000000"/>
                <w:sz w:val="24"/>
                <w:szCs w:val="24"/>
                <w:highlight w:val="none"/>
              </w:rPr>
              <w:t xml:space="preserve">具体内容</w:t>
            </w:r>
            <w:r>
              <w:rPr>
                <w:rFonts w:hint="eastAsia" w:ascii="仿宋" w:hAnsi="仿宋" w:eastAsia="仿宋"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tcPr>
          <w:p>
            <w:pPr>
              <w:pStyle w:val="85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备注</w:t>
            </w:r>
            <w:r>
              <w:rPr>
                <w:rFonts w:hint="eastAsia" w:ascii="宋体" w:hAnsi="宋体" w:cs="宋体"/>
                <w:b/>
                <w:bCs/>
                <w:color w:val="000000"/>
                <w:sz w:val="24"/>
                <w:szCs w:val="24"/>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634" w:type="dxa"/>
            <w:vAlign w:val="center"/>
            <w:textDirection w:val="lrTb"/>
            <w:noWrap/>
          </w:tcPr>
          <w:p>
            <w:pPr>
              <w:pStyle w:val="85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474" w:type="dxa"/>
            <w:vAlign w:val="center"/>
            <w:textDirection w:val="lrTb"/>
            <w:noWrap/>
          </w:tcPr>
          <w:p>
            <w:pPr>
              <w:pStyle w:val="856"/>
              <w:jc w:val="center"/>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21座污水泵站</w:t>
            </w:r>
            <w:r>
              <w:rPr>
                <w:rFonts w:hint="eastAsia" w:ascii="仿宋" w:hAnsi="仿宋" w:eastAsia="仿宋"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7" w:type="dxa"/>
            <w:vAlign w:val="center"/>
            <w:textDirection w:val="lrTb"/>
            <w:noWrap w:val="false"/>
          </w:tcPr>
          <w:p>
            <w:pPr>
              <w:pStyle w:val="856"/>
              <w:jc w:val="left"/>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泵站值班调度、保洁、绿化养护（泵站内道路绿植日常修剪、养护）、围墙道路及泵站建筑等设施的维护，机电设备和工艺设备（水泵、格栅、阀门、行车、电气设备、路灯、值班用房、泵站内道路绿化、监控设备、变压器（含高低压配电等））的巡查、维护、维修，按规定定期检定。</w:t>
            </w:r>
            <w:r>
              <w:rPr>
                <w:rFonts w:hint="eastAsia" w:ascii="仿宋" w:hAnsi="仿宋" w:eastAsia="仿宋"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56"/>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634" w:type="dxa"/>
            <w:vAlign w:val="center"/>
            <w:textDirection w:val="lrTb"/>
            <w:noWrap/>
          </w:tcPr>
          <w:p>
            <w:pPr>
              <w:pStyle w:val="85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474" w:type="dxa"/>
            <w:vAlign w:val="center"/>
            <w:textDirection w:val="lrTb"/>
            <w:noWrap w:val="false"/>
          </w:tcPr>
          <w:p>
            <w:pPr>
              <w:pStyle w:val="856"/>
              <w:jc w:val="center"/>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约140公里污水管网及排口</w:t>
            </w:r>
            <w:r>
              <w:rPr>
                <w:rFonts w:hint="eastAsia" w:ascii="仿宋" w:hAnsi="仿宋" w:eastAsia="仿宋"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7" w:type="dxa"/>
            <w:vAlign w:val="center"/>
            <w:textDirection w:val="lrTb"/>
            <w:noWrap w:val="false"/>
          </w:tcPr>
          <w:p>
            <w:pPr>
              <w:pStyle w:val="856"/>
              <w:jc w:val="left"/>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污水管网及排口的巡视；排口及检查井清掏、检修；污水管网的疏通、维修。</w:t>
            </w:r>
            <w:r>
              <w:rPr>
                <w:rFonts w:hint="eastAsia" w:ascii="仿宋" w:hAnsi="仿宋" w:eastAsia="仿宋"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56"/>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960"/>
        </w:trPr>
        <w:tc>
          <w:tcPr>
            <w:tcBorders>
              <w:top w:val="none" w:color="000000" w:sz="4" w:space="0"/>
              <w:left w:val="single" w:color="000000" w:sz="4" w:space="0"/>
              <w:bottom w:val="single" w:color="000000" w:sz="4" w:space="0"/>
              <w:right w:val="single" w:color="000000" w:sz="4" w:space="0"/>
            </w:tcBorders>
            <w:tcW w:w="634" w:type="dxa"/>
            <w:vAlign w:val="center"/>
            <w:textDirection w:val="lrTb"/>
            <w:noWrap/>
          </w:tcPr>
          <w:p>
            <w:pPr>
              <w:pStyle w:val="85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474" w:type="dxa"/>
            <w:vAlign w:val="center"/>
            <w:textDirection w:val="lrTb"/>
            <w:noWrap w:val="false"/>
          </w:tcPr>
          <w:p>
            <w:pPr>
              <w:pStyle w:val="856"/>
              <w:jc w:val="center"/>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大圣湖应急水源泵站设备及管网</w:t>
            </w:r>
            <w:r>
              <w:rPr>
                <w:rFonts w:hint="eastAsia" w:ascii="仿宋" w:hAnsi="仿宋" w:eastAsia="仿宋"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7" w:type="dxa"/>
            <w:vAlign w:val="center"/>
            <w:textDirection w:val="lrTb"/>
            <w:noWrap w:val="false"/>
          </w:tcPr>
          <w:p>
            <w:pPr>
              <w:pStyle w:val="856"/>
              <w:jc w:val="left"/>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2座应急水源泵站及约8.9公里管网的巡查、检修、运维。</w:t>
            </w:r>
            <w:r>
              <w:rPr>
                <w:rFonts w:hint="eastAsia" w:ascii="仿宋" w:hAnsi="仿宋" w:eastAsia="仿宋"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56"/>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634" w:type="dxa"/>
            <w:vAlign w:val="center"/>
            <w:textDirection w:val="lrTb"/>
            <w:noWrap/>
          </w:tcPr>
          <w:p>
            <w:pPr>
              <w:pStyle w:val="85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474" w:type="dxa"/>
            <w:vAlign w:val="center"/>
            <w:textDirection w:val="lrTb"/>
            <w:noWrap/>
          </w:tcPr>
          <w:p>
            <w:pPr>
              <w:pStyle w:val="856"/>
              <w:jc w:val="center"/>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污水管网泵站联网监控系统运行</w:t>
            </w:r>
            <w:r>
              <w:rPr>
                <w:rFonts w:hint="eastAsia" w:ascii="仿宋" w:hAnsi="仿宋" w:eastAsia="仿宋"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7" w:type="dxa"/>
            <w:vAlign w:val="center"/>
            <w:textDirection w:val="lrTb"/>
            <w:noWrap w:val="false"/>
          </w:tcPr>
          <w:p>
            <w:pPr>
              <w:pStyle w:val="856"/>
              <w:jc w:val="left"/>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连云港市区污水管网泵站联网监控系统中控室维护、</w:t>
            </w:r>
            <w:r>
              <w:rPr>
                <w:rFonts w:hint="eastAsia" w:ascii="仿宋" w:hAnsi="仿宋" w:eastAsia="仿宋" w:cs="宋体"/>
                <w:color w:val="000000"/>
                <w:sz w:val="24"/>
                <w:szCs w:val="24"/>
                <w:highlight w:val="none"/>
                <w:lang w:val="en-US" w:eastAsia="zh-CN"/>
              </w:rPr>
              <w:t xml:space="preserve">相关</w:t>
            </w:r>
            <w:r>
              <w:rPr>
                <w:rFonts w:hint="eastAsia" w:ascii="仿宋" w:hAnsi="仿宋" w:eastAsia="仿宋" w:cs="宋体"/>
                <w:color w:val="000000"/>
                <w:sz w:val="24"/>
                <w:szCs w:val="24"/>
                <w:highlight w:val="none"/>
              </w:rPr>
              <w:t xml:space="preserve">仪器仪表维护；运营值班值守、日常管理、统筹调度、应急指挥、数据分析等保证服务区域内排水安全高效运行。利用已建成的远程控制中心，根据各泵站的水量、水质、水位、下游的泵站和污水处理厂的情况，来控制各泵站的运行，即开泵、停泵，从而实现各泵站的水量收集与输送的任务。</w:t>
            </w:r>
            <w:r>
              <w:rPr>
                <w:rFonts w:hint="eastAsia" w:ascii="仿宋" w:hAnsi="仿宋" w:eastAsia="仿宋"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56"/>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634" w:type="dxa"/>
            <w:vAlign w:val="center"/>
            <w:textDirection w:val="lrTb"/>
            <w:noWrap/>
          </w:tcPr>
          <w:p>
            <w:pPr>
              <w:pStyle w:val="85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474" w:type="dxa"/>
            <w:vAlign w:val="center"/>
            <w:textDirection w:val="lrTb"/>
            <w:noWrap w:val="false"/>
          </w:tcPr>
          <w:p>
            <w:pPr>
              <w:pStyle w:val="856"/>
              <w:jc w:val="center"/>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中控室平台软件</w:t>
            </w:r>
            <w:r>
              <w:rPr>
                <w:rFonts w:hint="eastAsia" w:ascii="仿宋" w:hAnsi="仿宋" w:eastAsia="仿宋" w:cs="宋体"/>
                <w:color w:val="000000"/>
                <w:sz w:val="24"/>
                <w:szCs w:val="24"/>
                <w:highlight w:val="none"/>
              </w:rPr>
            </w:r>
            <w:r/>
          </w:p>
          <w:p>
            <w:pPr>
              <w:pStyle w:val="856"/>
              <w:jc w:val="center"/>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维护</w:t>
            </w:r>
            <w:r>
              <w:rPr>
                <w:rFonts w:hint="eastAsia" w:ascii="仿宋" w:hAnsi="仿宋" w:eastAsia="仿宋"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7" w:type="dxa"/>
            <w:vAlign w:val="center"/>
            <w:textDirection w:val="lrTb"/>
            <w:noWrap w:val="false"/>
          </w:tcPr>
          <w:p>
            <w:pPr>
              <w:pStyle w:val="856"/>
              <w:jc w:val="left"/>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污水管网泵站联网监控平台软件维护（含漏洞修复、运行维护等）</w:t>
            </w:r>
            <w:r>
              <w:rPr>
                <w:rFonts w:hint="eastAsia" w:ascii="仿宋" w:hAnsi="仿宋" w:eastAsia="仿宋"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6"/>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634" w:type="dxa"/>
            <w:vAlign w:val="center"/>
            <w:textDirection w:val="lrTb"/>
            <w:noWrap/>
          </w:tcPr>
          <w:p>
            <w:pPr>
              <w:pStyle w:val="85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474" w:type="dxa"/>
            <w:vAlign w:val="center"/>
            <w:textDirection w:val="lrTb"/>
            <w:noWrap w:val="false"/>
          </w:tcPr>
          <w:p>
            <w:pPr>
              <w:pStyle w:val="856"/>
              <w:jc w:val="center"/>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特种设备的保养维修</w:t>
            </w:r>
            <w:r>
              <w:rPr>
                <w:rFonts w:hint="eastAsia" w:ascii="仿宋" w:hAnsi="仿宋" w:eastAsia="仿宋"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7" w:type="dxa"/>
            <w:vAlign w:val="center"/>
            <w:textDirection w:val="lrTb"/>
            <w:noWrap w:val="false"/>
          </w:tcPr>
          <w:p>
            <w:pPr>
              <w:pStyle w:val="856"/>
              <w:jc w:val="left"/>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4台大流量拖车水泵及进水管、出水带、防洪板、吸水膨胀袋等防涝设备的保养、维修；1台500KW移动发电机、1台疏通车、1台清淤车、1台1500m³/h龙吸水等特种设备的保养、维修，车辆保险等。</w:t>
            </w:r>
            <w:r>
              <w:rPr>
                <w:rFonts w:hint="eastAsia" w:ascii="仿宋" w:hAnsi="仿宋" w:eastAsia="仿宋"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56"/>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634" w:type="dxa"/>
            <w:vAlign w:val="center"/>
            <w:textDirection w:val="lrTb"/>
            <w:noWrap/>
          </w:tcPr>
          <w:p>
            <w:pPr>
              <w:pStyle w:val="85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474" w:type="dxa"/>
            <w:vAlign w:val="center"/>
            <w:textDirection w:val="lrTb"/>
            <w:noWrap w:val="false"/>
          </w:tcPr>
          <w:p>
            <w:pPr>
              <w:pStyle w:val="856"/>
              <w:jc w:val="center"/>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排水防涝工作</w:t>
            </w:r>
            <w:r>
              <w:rPr>
                <w:rFonts w:hint="eastAsia" w:ascii="仿宋" w:hAnsi="仿宋" w:eastAsia="仿宋"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7" w:type="dxa"/>
            <w:vAlign w:val="center"/>
            <w:textDirection w:val="lrTb"/>
            <w:noWrap w:val="false"/>
          </w:tcPr>
          <w:p>
            <w:pPr>
              <w:pStyle w:val="856"/>
              <w:jc w:val="left"/>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配备发电机、大流量水泵等设备、人员，接受防汛指令，参加城市防汛排涝任务，做好值班值守，巡查城区市政道路，根据防汛需要对部分积水点开展强排工作，汛前开展排水防涝演练。</w:t>
            </w:r>
            <w:r>
              <w:rPr>
                <w:rFonts w:hint="eastAsia" w:ascii="仿宋" w:hAnsi="仿宋" w:eastAsia="仿宋"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56"/>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634" w:type="dxa"/>
            <w:vAlign w:val="center"/>
            <w:textDirection w:val="lrTb"/>
            <w:noWrap/>
          </w:tcPr>
          <w:p>
            <w:pPr>
              <w:pStyle w:val="85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474" w:type="dxa"/>
            <w:vAlign w:val="center"/>
            <w:textDirection w:val="lrTb"/>
            <w:noWrap w:val="false"/>
          </w:tcPr>
          <w:p>
            <w:pPr>
              <w:pStyle w:val="856"/>
              <w:jc w:val="center"/>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排水防涝应急物资采购</w:t>
            </w:r>
            <w:r>
              <w:rPr>
                <w:rFonts w:hint="eastAsia" w:ascii="仿宋" w:hAnsi="仿宋" w:eastAsia="仿宋"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7" w:type="dxa"/>
            <w:vAlign w:val="center"/>
            <w:textDirection w:val="lrTb"/>
            <w:noWrap w:val="false"/>
          </w:tcPr>
          <w:p>
            <w:pPr>
              <w:pStyle w:val="856"/>
              <w:jc w:val="left"/>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加强应急救援队伍建设，落实防汛值班人员安全防护措施</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color w:val="000000"/>
                <w:sz w:val="24"/>
                <w:szCs w:val="24"/>
                <w:highlight w:val="none"/>
                <w:lang w:val="en-US" w:eastAsia="zh-CN"/>
              </w:rPr>
              <w:t xml:space="preserve">根据采购人防汛需要，汛前</w:t>
            </w:r>
            <w:r>
              <w:rPr>
                <w:rFonts w:hint="eastAsia" w:ascii="仿宋" w:hAnsi="仿宋" w:eastAsia="仿宋" w:cs="宋体"/>
                <w:color w:val="000000"/>
                <w:sz w:val="24"/>
                <w:szCs w:val="24"/>
                <w:highlight w:val="none"/>
              </w:rPr>
              <w:t xml:space="preserve">采购一批雨靴、雨伞、雨衣以及手电筒等物资。</w:t>
            </w:r>
            <w:r>
              <w:rPr>
                <w:rFonts w:hint="eastAsia" w:ascii="仿宋" w:hAnsi="仿宋" w:eastAsia="仿宋"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56"/>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634" w:type="dxa"/>
            <w:vAlign w:val="center"/>
            <w:textDirection w:val="lrTb"/>
            <w:noWrap/>
          </w:tcPr>
          <w:p>
            <w:pPr>
              <w:pStyle w:val="85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474" w:type="dxa"/>
            <w:vAlign w:val="center"/>
            <w:textDirection w:val="lrTb"/>
            <w:noWrap/>
          </w:tcPr>
          <w:p>
            <w:pPr>
              <w:pStyle w:val="856"/>
              <w:jc w:val="center"/>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管网检测</w:t>
            </w:r>
            <w:r>
              <w:rPr>
                <w:rFonts w:hint="eastAsia" w:ascii="仿宋" w:hAnsi="仿宋" w:eastAsia="仿宋"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7" w:type="dxa"/>
            <w:vAlign w:val="center"/>
            <w:textDirection w:val="lrTb"/>
            <w:noWrap w:val="false"/>
          </w:tcPr>
          <w:p>
            <w:pPr>
              <w:pStyle w:val="856"/>
              <w:jc w:val="left"/>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开展对市政污水管网、检查井、截流井等结构性、功能性、错混接检测，出具检测报告，配合做好管网修复施工，2025年完成市政污水管网检测不少于60公里，5月底前完成并提交检测报告。</w:t>
            </w:r>
            <w:r>
              <w:rPr>
                <w:rFonts w:hint="eastAsia" w:ascii="仿宋" w:hAnsi="仿宋" w:eastAsia="仿宋"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56"/>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480"/>
        </w:trPr>
        <w:tc>
          <w:tcPr>
            <w:tcBorders>
              <w:top w:val="none" w:color="000000" w:sz="4" w:space="0"/>
              <w:left w:val="single" w:color="000000" w:sz="4" w:space="0"/>
              <w:bottom w:val="none" w:color="000000" w:sz="4" w:space="0"/>
              <w:right w:val="single" w:color="000000" w:sz="4" w:space="0"/>
            </w:tcBorders>
            <w:tcW w:w="634" w:type="dxa"/>
            <w:vAlign w:val="center"/>
            <w:textDirection w:val="lrTb"/>
            <w:noWrap/>
          </w:tcPr>
          <w:p>
            <w:pPr>
              <w:pStyle w:val="85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single" w:color="000000" w:sz="4" w:space="0"/>
            </w:tcBorders>
            <w:tcW w:w="2474" w:type="dxa"/>
            <w:vAlign w:val="center"/>
            <w:textDirection w:val="lrTb"/>
            <w:noWrap/>
          </w:tcPr>
          <w:p>
            <w:pPr>
              <w:pStyle w:val="856"/>
              <w:jc w:val="center"/>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水质检测与分析</w:t>
            </w:r>
            <w:r>
              <w:rPr>
                <w:rFonts w:hint="eastAsia" w:ascii="仿宋" w:hAnsi="仿宋" w:eastAsia="仿宋" w:cs="宋体"/>
                <w:color w:val="000000"/>
                <w:sz w:val="24"/>
                <w:szCs w:val="24"/>
                <w:highlight w:val="none"/>
              </w:rPr>
            </w:r>
            <w:r/>
          </w:p>
        </w:tc>
        <w:tc>
          <w:tcPr>
            <w:tcBorders>
              <w:top w:val="none" w:color="000000" w:sz="4" w:space="0"/>
              <w:left w:val="none" w:color="000000" w:sz="4" w:space="0"/>
              <w:bottom w:val="none" w:color="000000" w:sz="4" w:space="0"/>
              <w:right w:val="single" w:color="000000" w:sz="4" w:space="0"/>
            </w:tcBorders>
            <w:tcW w:w="4967" w:type="dxa"/>
            <w:vAlign w:val="center"/>
            <w:textDirection w:val="lrTb"/>
            <w:noWrap w:val="false"/>
          </w:tcPr>
          <w:p>
            <w:pPr>
              <w:pStyle w:val="856"/>
              <w:jc w:val="left"/>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根据需要，开展对排水户、泵站及管网关键点水质检测，同时进行对比分析</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color w:val="000000"/>
                <w:sz w:val="24"/>
                <w:szCs w:val="24"/>
                <w:highlight w:val="none"/>
              </w:rPr>
              <w:t xml:space="preserve">找出问题节点。</w:t>
            </w:r>
            <w:r>
              <w:rPr>
                <w:rFonts w:hint="eastAsia" w:ascii="仿宋" w:hAnsi="仿宋" w:eastAsia="仿宋" w:cs="宋体"/>
                <w:color w:val="000000"/>
                <w:sz w:val="24"/>
                <w:szCs w:val="24"/>
                <w:highlight w:val="none"/>
              </w:rPr>
            </w:r>
            <w:r/>
          </w:p>
        </w:tc>
        <w:tc>
          <w:tcPr>
            <w:tcBorders>
              <w:top w:val="none" w:color="000000" w:sz="4" w:space="0"/>
              <w:left w:val="none" w:color="000000" w:sz="4" w:space="0"/>
              <w:bottom w:val="none" w:color="000000" w:sz="4" w:space="0"/>
              <w:right w:val="single" w:color="000000" w:sz="4" w:space="0"/>
            </w:tcBorders>
            <w:tcW w:w="1276" w:type="dxa"/>
            <w:vAlign w:val="center"/>
            <w:textDirection w:val="lrTb"/>
            <w:noWrap/>
          </w:tcPr>
          <w:p>
            <w:pPr>
              <w:pStyle w:val="856"/>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480"/>
        </w:trPr>
        <w:tc>
          <w:tcPr>
            <w:tcBorders>
              <w:top w:val="none" w:color="000000" w:sz="4" w:space="0"/>
              <w:left w:val="single" w:color="000000" w:sz="4" w:space="0"/>
              <w:bottom w:val="none" w:color="000000" w:sz="4" w:space="0"/>
              <w:right w:val="single" w:color="000000" w:sz="4" w:space="0"/>
            </w:tcBorders>
            <w:tcW w:w="634" w:type="dxa"/>
            <w:vAlign w:val="center"/>
            <w:textDirection w:val="lrTb"/>
            <w:noWrap/>
          </w:tcPr>
          <w:p>
            <w:pPr>
              <w:pStyle w:val="856"/>
              <w:jc w:val="center"/>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w:t>
            </w:r>
            <w:r>
              <w:rPr>
                <w:rFonts w:ascii="宋体" w:hAnsi="宋体" w:eastAsia="宋体" w:cs="宋体"/>
                <w:color w:val="000000"/>
                <w:sz w:val="24"/>
                <w:szCs w:val="24"/>
                <w:highlight w:val="none"/>
                <w:lang w:val="en-US" w:eastAsia="zh-CN"/>
              </w:rPr>
            </w:r>
            <w:r/>
          </w:p>
        </w:tc>
        <w:tc>
          <w:tcPr>
            <w:tcBorders>
              <w:top w:val="none" w:color="000000" w:sz="4" w:space="0"/>
              <w:left w:val="none" w:color="000000" w:sz="4" w:space="0"/>
              <w:bottom w:val="none" w:color="000000" w:sz="4" w:space="0"/>
              <w:right w:val="single" w:color="000000" w:sz="4" w:space="0"/>
            </w:tcBorders>
            <w:tcW w:w="2474" w:type="dxa"/>
            <w:vAlign w:val="center"/>
            <w:textDirection w:val="lrTb"/>
            <w:noWrap/>
          </w:tcPr>
          <w:p>
            <w:pPr>
              <w:pStyle w:val="856"/>
              <w:jc w:val="center"/>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配合排水管理相关工作</w:t>
            </w:r>
            <w:r>
              <w:rPr>
                <w:rFonts w:hint="eastAsia" w:ascii="仿宋" w:hAnsi="仿宋" w:eastAsia="仿宋" w:cs="宋体"/>
                <w:color w:val="000000"/>
                <w:sz w:val="24"/>
                <w:szCs w:val="24"/>
                <w:highlight w:val="none"/>
              </w:rPr>
            </w:r>
            <w:r/>
          </w:p>
        </w:tc>
        <w:tc>
          <w:tcPr>
            <w:tcBorders>
              <w:top w:val="none" w:color="000000" w:sz="4" w:space="0"/>
              <w:left w:val="none" w:color="000000" w:sz="4" w:space="0"/>
              <w:bottom w:val="none" w:color="000000" w:sz="4" w:space="0"/>
              <w:right w:val="single" w:color="000000" w:sz="4" w:space="0"/>
            </w:tcBorders>
            <w:tcW w:w="4967" w:type="dxa"/>
            <w:vAlign w:val="center"/>
            <w:textDirection w:val="lrTb"/>
            <w:noWrap w:val="false"/>
          </w:tcPr>
          <w:p>
            <w:pPr>
              <w:pStyle w:val="856"/>
              <w:jc w:val="left"/>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配合做好排水管理、检查、督导等相关工作，提供车辆、人员、CCTV管道检测机器人、QV管道检测仪等。</w:t>
            </w:r>
            <w:r>
              <w:rPr>
                <w:rFonts w:hint="eastAsia" w:ascii="仿宋" w:hAnsi="仿宋" w:eastAsia="仿宋" w:cs="宋体"/>
                <w:color w:val="000000"/>
                <w:sz w:val="24"/>
                <w:szCs w:val="24"/>
                <w:highlight w:val="none"/>
              </w:rPr>
            </w:r>
            <w:r/>
          </w:p>
        </w:tc>
        <w:tc>
          <w:tcPr>
            <w:tcBorders>
              <w:top w:val="none" w:color="000000" w:sz="4" w:space="0"/>
              <w:left w:val="none" w:color="000000" w:sz="4" w:space="0"/>
              <w:bottom w:val="none" w:color="000000" w:sz="4" w:space="0"/>
              <w:right w:val="single" w:color="000000" w:sz="4" w:space="0"/>
            </w:tcBorders>
            <w:tcW w:w="1276" w:type="dxa"/>
            <w:vAlign w:val="center"/>
            <w:textDirection w:val="lrTb"/>
            <w:noWrap/>
          </w:tcPr>
          <w:p>
            <w:pPr>
              <w:pStyle w:val="85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80"/>
        </w:trPr>
        <w:tc>
          <w:tcPr>
            <w:tcBorders>
              <w:top w:val="none" w:color="000000" w:sz="4" w:space="0"/>
              <w:left w:val="single" w:color="000000" w:sz="4" w:space="0"/>
              <w:bottom w:val="none" w:color="000000" w:sz="4" w:space="0"/>
              <w:right w:val="single" w:color="000000" w:sz="4" w:space="0"/>
            </w:tcBorders>
            <w:tcW w:w="634" w:type="dxa"/>
            <w:vAlign w:val="center"/>
            <w:textDirection w:val="lrTb"/>
            <w:noWrap/>
          </w:tcPr>
          <w:p>
            <w:pPr>
              <w:pStyle w:val="856"/>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w:t>
            </w:r>
            <w:r>
              <w:rPr>
                <w:rFonts w:ascii="宋体" w:hAnsi="宋体" w:cs="宋体"/>
                <w:color w:val="000000"/>
                <w:sz w:val="24"/>
                <w:szCs w:val="24"/>
                <w:highlight w:val="none"/>
                <w:lang w:val="en-US" w:eastAsia="zh-CN"/>
              </w:rPr>
            </w:r>
            <w:r/>
          </w:p>
        </w:tc>
        <w:tc>
          <w:tcPr>
            <w:tcBorders>
              <w:top w:val="none" w:color="000000" w:sz="4" w:space="0"/>
              <w:left w:val="none" w:color="000000" w:sz="4" w:space="0"/>
              <w:bottom w:val="none" w:color="000000" w:sz="4" w:space="0"/>
              <w:right w:val="single" w:color="000000" w:sz="4" w:space="0"/>
            </w:tcBorders>
            <w:tcW w:w="2474" w:type="dxa"/>
            <w:vAlign w:val="center"/>
            <w:textDirection w:val="lrTb"/>
            <w:noWrap/>
          </w:tcPr>
          <w:p>
            <w:pPr>
              <w:pStyle w:val="856"/>
              <w:jc w:val="center"/>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相关设施的小中修</w:t>
            </w:r>
            <w:r>
              <w:rPr>
                <w:rFonts w:hint="eastAsia" w:ascii="仿宋" w:hAnsi="仿宋" w:eastAsia="仿宋" w:cs="宋体"/>
                <w:color w:val="000000"/>
                <w:sz w:val="24"/>
                <w:szCs w:val="24"/>
                <w:highlight w:val="none"/>
              </w:rPr>
            </w:r>
            <w:r/>
          </w:p>
        </w:tc>
        <w:tc>
          <w:tcPr>
            <w:tcBorders>
              <w:top w:val="none" w:color="000000" w:sz="4" w:space="0"/>
              <w:left w:val="none" w:color="000000" w:sz="4" w:space="0"/>
              <w:bottom w:val="none" w:color="000000" w:sz="4" w:space="0"/>
              <w:right w:val="single" w:color="000000" w:sz="4" w:space="0"/>
            </w:tcBorders>
            <w:tcW w:w="4967" w:type="dxa"/>
            <w:vAlign w:val="center"/>
            <w:textDirection w:val="lrTb"/>
            <w:noWrap w:val="false"/>
          </w:tcPr>
          <w:p>
            <w:pPr>
              <w:pStyle w:val="856"/>
              <w:jc w:val="left"/>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水泵、格栅、阀门、行车、电气设备、路灯、值班用房、泵站内道路绿化、监控设备、污水管网、检查井、截流井等污水设施单笔维修费用不大于5万元涉及到的相关设施小中修工作。</w:t>
            </w:r>
            <w:r>
              <w:rPr>
                <w:rFonts w:hint="eastAsia" w:ascii="仿宋" w:hAnsi="仿宋" w:eastAsia="仿宋" w:cs="宋体"/>
                <w:color w:val="000000"/>
                <w:sz w:val="24"/>
                <w:szCs w:val="24"/>
                <w:highlight w:val="none"/>
              </w:rPr>
            </w:r>
            <w:r/>
          </w:p>
        </w:tc>
        <w:tc>
          <w:tcPr>
            <w:tcBorders>
              <w:top w:val="none" w:color="000000" w:sz="4" w:space="0"/>
              <w:left w:val="none" w:color="000000" w:sz="4" w:space="0"/>
              <w:bottom w:val="none" w:color="000000" w:sz="4" w:space="0"/>
              <w:right w:val="single" w:color="000000" w:sz="4" w:space="0"/>
            </w:tcBorders>
            <w:tcW w:w="1276" w:type="dxa"/>
            <w:vAlign w:val="center"/>
            <w:textDirection w:val="lrTb"/>
            <w:noWrap/>
          </w:tcPr>
          <w:p>
            <w:pPr>
              <w:pStyle w:val="85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68"/>
        <w:rPr>
          <w:rFonts w:hint="eastAsia"/>
          <w:color w:val="000000"/>
          <w:highlight w:val="none"/>
        </w:rPr>
      </w:pPr>
      <w:r>
        <w:rPr>
          <w:rFonts w:hint="eastAsia"/>
          <w:color w:val="000000"/>
          <w:highlight w:val="none"/>
        </w:rPr>
      </w:r>
      <w:r/>
    </w:p>
    <w:p>
      <w:pPr>
        <w:pStyle w:val="856"/>
        <w:ind w:firstLine="480"/>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1）承担连云港市区污水管网泵站联网监控系统运行日常管理、统筹调度、应急指挥、数据分析以及平台系统、电气设备、仪器仪表维护等保证服务区域内排水安全高效运行。利用已建成的远程控制中心，根据各泵站的水量、水质、水位、下游的泵站和污水处理厂的情况，来控制各泵站的运行，即开泵、停泵，从而实现各泵站的水量收集与输送的任务。 </w:t>
      </w:r>
      <w:r>
        <w:rPr>
          <w:rFonts w:hint="eastAsia" w:ascii="宋体" w:hAnsi="宋体"/>
          <w:bCs/>
          <w:color w:val="000000"/>
          <w:sz w:val="24"/>
          <w:highlight w:val="none"/>
        </w:rPr>
      </w:r>
      <w:r/>
    </w:p>
    <w:p>
      <w:pPr>
        <w:pStyle w:val="856"/>
        <w:ind w:firstLine="480"/>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2）成立专门的巡视队伍以及监控大厅24小时值班人员，负责每天对各泵站、管网、排口进行巡查，使各泵站保持良好运行状态、排水管渠保持良好的水力功能和结构状况。巡查内容应包括污水冒溢、井盖缺损、管渠塌陷、违章占压、违规排放、私自接管、雨污混接以及影响管渠排水的工程施工，泵站内设施有无丢失或被盗、设备运行有无异常、环境卫生等情况。当遇到突发情况时，要及时处理并在第一时间上报相关部门以及采购人。 </w:t>
      </w:r>
      <w:r>
        <w:rPr>
          <w:rFonts w:hint="eastAsia" w:ascii="宋体" w:hAnsi="宋体"/>
          <w:bCs/>
          <w:color w:val="000000"/>
          <w:sz w:val="24"/>
          <w:highlight w:val="none"/>
        </w:rPr>
      </w:r>
      <w:r/>
    </w:p>
    <w:p>
      <w:pPr>
        <w:pStyle w:val="856"/>
        <w:ind w:firstLine="480"/>
        <w:spacing w:line="48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3）成立专门的运维队伍，负责对泵站、监控中心电气、设备、仪表、管线以及污水管道等污水设施维修、疏通，以及日常的维护保养，运维内容和标准按照《连云港市市区污水管网维护管理质量标准（试行）》执行。管网疏通维护作业过程中发现有支管排水异常情况（水质、水量）做好记录，采取临时管控措施并报送采购人</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及时开展相关</w:t>
      </w:r>
      <w:r>
        <w:rPr>
          <w:rFonts w:hint="eastAsia" w:ascii="宋体" w:hAnsi="宋体" w:eastAsia="宋体" w:cs="Times New Roman"/>
          <w:bCs/>
          <w:color w:val="000000"/>
          <w:sz w:val="24"/>
          <w:highlight w:val="none"/>
        </w:rPr>
        <w:t xml:space="preserve">设施</w:t>
      </w:r>
      <w:r>
        <w:rPr>
          <w:rFonts w:hint="eastAsia" w:ascii="宋体" w:hAnsi="宋体" w:eastAsia="宋体" w:cs="Times New Roman"/>
          <w:bCs/>
          <w:color w:val="000000"/>
          <w:sz w:val="24"/>
          <w:highlight w:val="none"/>
          <w:lang w:val="en-US" w:eastAsia="zh-CN"/>
        </w:rPr>
        <w:t xml:space="preserve">小中修</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保障污水设施安全稳定运行及维护泵站良好环境</w:t>
      </w: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rPr>
      </w:r>
      <w:r/>
    </w:p>
    <w:p>
      <w:pPr>
        <w:pStyle w:val="856"/>
        <w:ind w:firstLine="480"/>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（4）定期对泵站集水池、污水管网进行清淤，对格栅垃圾进行清理，维护期内要求泵站内所有设备运转正常，清淤疏通所产生的污泥、垃圾等固体废弃物自行按规定处理。</w:t>
      </w:r>
      <w:r>
        <w:rPr>
          <w:rFonts w:hint="eastAsia" w:ascii="宋体" w:hAnsi="宋体"/>
          <w:bCs/>
          <w:color w:val="000000"/>
          <w:sz w:val="24"/>
          <w:highlight w:val="none"/>
        </w:rPr>
      </w:r>
      <w:r/>
    </w:p>
    <w:p>
      <w:pPr>
        <w:pStyle w:val="856"/>
        <w:ind w:firstLine="480"/>
        <w:spacing w:line="480" w:lineRule="auto"/>
        <w:rPr>
          <w:rFonts w:hint="eastAsia" w:ascii="宋体" w:hAnsi="宋体" w:eastAsia="宋体" w:cs="Times New Roman"/>
          <w:bCs/>
          <w:color w:val="000000"/>
          <w:sz w:val="24"/>
          <w:highlight w:val="none"/>
        </w:rPr>
      </w:pPr>
      <w:r>
        <w:rPr>
          <w:rFonts w:hint="eastAsia" w:ascii="宋体" w:hAnsi="宋体"/>
          <w:bCs/>
          <w:color w:val="000000"/>
          <w:sz w:val="24"/>
          <w:highlight w:val="none"/>
        </w:rPr>
        <w:t xml:space="preserve">（5）防汛期间，接受防汛指令，落实人员及设备，参加城市防汛排涝任务，做好值班值守，巡查城区市政道路，根据防汛需要对部分积水点做好交通疏导及开展应急强排工作，确保市民生命财产安全。根据工作需要，采购排水防涝防涝物资。编制排水防涝应急预案，汛</w:t>
      </w:r>
      <w:r>
        <w:rPr>
          <w:rFonts w:hint="eastAsia" w:ascii="宋体" w:hAnsi="宋体" w:eastAsia="宋体" w:cs="Times New Roman"/>
          <w:bCs/>
          <w:color w:val="000000"/>
          <w:sz w:val="24"/>
          <w:highlight w:val="none"/>
        </w:rPr>
        <w:t xml:space="preserve">前至少开展一次排水防涝应急演练。</w:t>
      </w:r>
      <w:r>
        <w:rPr>
          <w:rFonts w:hint="eastAsia" w:ascii="宋体" w:hAnsi="宋体" w:eastAsia="宋体" w:cs="Times New Roman"/>
          <w:bCs/>
          <w:color w:val="000000"/>
          <w:sz w:val="24"/>
          <w:highlight w:val="none"/>
        </w:rPr>
      </w:r>
      <w:r/>
    </w:p>
    <w:p>
      <w:pPr>
        <w:pStyle w:val="856"/>
        <w:ind w:firstLine="480"/>
        <w:spacing w:line="480" w:lineRule="auto"/>
        <w:rPr>
          <w:rFonts w:hint="eastAsia" w:ascii="宋体" w:hAnsi="宋体" w:eastAsia="宋体" w:cs="Times New Roman"/>
          <w:bCs/>
          <w:color w:val="000000"/>
          <w:sz w:val="24"/>
          <w:highlight w:val="none"/>
          <w:lang w:eastAsia="zh-CN"/>
        </w:rPr>
      </w:pPr>
      <w:r>
        <w:rPr>
          <w:rFonts w:hint="eastAsia" w:ascii="宋体" w:hAnsi="宋体" w:eastAsia="宋体" w:cs="Times New Roman"/>
          <w:bCs/>
          <w:color w:val="000000"/>
          <w:sz w:val="24"/>
          <w:highlight w:val="none"/>
        </w:rPr>
        <w:t xml:space="preserve">（6）开展对</w:t>
      </w:r>
      <w:r>
        <w:rPr>
          <w:rFonts w:hint="eastAsia" w:ascii="宋体" w:hAnsi="宋体" w:eastAsia="宋体" w:cs="Times New Roman"/>
          <w:bCs/>
          <w:color w:val="000000"/>
          <w:sz w:val="24"/>
          <w:highlight w:val="none"/>
          <w:lang w:val="en-US" w:eastAsia="zh-CN"/>
        </w:rPr>
        <w:t xml:space="preserve">管理范围内的</w:t>
      </w:r>
      <w:r>
        <w:rPr>
          <w:rFonts w:hint="eastAsia" w:ascii="宋体" w:hAnsi="宋体" w:eastAsia="宋体" w:cs="Times New Roman"/>
          <w:bCs/>
          <w:color w:val="000000"/>
          <w:sz w:val="24"/>
          <w:highlight w:val="none"/>
        </w:rPr>
        <w:t xml:space="preserve">市政污水管网、检查井、截流井等结构性、功能性、错混接</w:t>
      </w:r>
      <w:r>
        <w:rPr>
          <w:rFonts w:hint="eastAsia" w:ascii="宋体" w:hAnsi="宋体" w:eastAsia="宋体" w:cs="Times New Roman"/>
          <w:bCs/>
          <w:color w:val="000000"/>
          <w:sz w:val="24"/>
          <w:highlight w:val="none"/>
          <w:lang w:val="en-US" w:eastAsia="zh-CN"/>
        </w:rPr>
        <w:t xml:space="preserve">调查、</w:t>
      </w:r>
      <w:r>
        <w:rPr>
          <w:rFonts w:hint="eastAsia" w:ascii="宋体" w:hAnsi="宋体" w:eastAsia="宋体" w:cs="Times New Roman"/>
          <w:bCs/>
          <w:color w:val="000000"/>
          <w:sz w:val="24"/>
          <w:highlight w:val="none"/>
        </w:rPr>
        <w:t xml:space="preserve">检测</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调查和检测工作完成后及时开展管网评估工作，</w:t>
      </w:r>
      <w:r>
        <w:rPr>
          <w:rFonts w:hint="eastAsia" w:ascii="宋体" w:hAnsi="宋体" w:eastAsia="宋体" w:cs="Times New Roman"/>
          <w:bCs/>
          <w:color w:val="000000"/>
          <w:sz w:val="24"/>
          <w:highlight w:val="none"/>
        </w:rPr>
        <w:t xml:space="preserve">2025年5月底前完成市政污水管网检测不少于60公里</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并</w:t>
      </w:r>
      <w:r>
        <w:rPr>
          <w:rFonts w:hint="eastAsia" w:ascii="宋体" w:hAnsi="宋体" w:eastAsia="宋体" w:cs="Times New Roman"/>
          <w:bCs/>
          <w:color w:val="000000"/>
          <w:sz w:val="24"/>
          <w:highlight w:val="none"/>
        </w:rPr>
        <w:t xml:space="preserve">出具检测</w:t>
      </w:r>
      <w:r>
        <w:rPr>
          <w:rFonts w:hint="eastAsia" w:ascii="宋体" w:hAnsi="宋体" w:eastAsia="宋体" w:cs="Times New Roman"/>
          <w:bCs/>
          <w:color w:val="000000"/>
          <w:sz w:val="24"/>
          <w:highlight w:val="none"/>
          <w:lang w:val="en-US" w:eastAsia="zh-CN"/>
        </w:rPr>
        <w:t xml:space="preserve">评估</w:t>
      </w:r>
      <w:r>
        <w:rPr>
          <w:rFonts w:hint="eastAsia" w:ascii="宋体" w:hAnsi="宋体" w:eastAsia="宋体" w:cs="Times New Roman"/>
          <w:bCs/>
          <w:color w:val="000000"/>
          <w:sz w:val="24"/>
          <w:highlight w:val="none"/>
        </w:rPr>
        <w:t xml:space="preserve">报告</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具体参照</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江苏省城镇排水管网排查评估技术导则</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执行</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配合做好管网修复施工（单笔费用5万元以内的小中修包含在本次投标报价中，中标人自行修复施工）</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eastAsia="zh-CN"/>
        </w:rPr>
      </w:r>
      <w:r/>
    </w:p>
    <w:p>
      <w:pPr>
        <w:pStyle w:val="856"/>
        <w:ind w:firstLine="480"/>
        <w:spacing w:line="480" w:lineRule="auto"/>
        <w:rPr>
          <w:rFonts w:hint="eastAsia" w:ascii="宋体" w:hAnsi="宋体" w:eastAsia="宋体" w:cs="Times New Roman"/>
          <w:bCs/>
          <w:color w:val="000000"/>
          <w:sz w:val="24"/>
          <w:highlight w:val="none"/>
          <w:lang w:eastAsia="zh-CN"/>
        </w:rPr>
      </w:pP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7</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非运维不当原因造成</w:t>
      </w:r>
      <w:r>
        <w:rPr>
          <w:rFonts w:hint="eastAsia" w:ascii="宋体" w:hAnsi="宋体" w:eastAsia="宋体" w:cs="Times New Roman"/>
          <w:bCs/>
          <w:color w:val="000000"/>
          <w:sz w:val="24"/>
          <w:highlight w:val="none"/>
        </w:rPr>
        <w:t xml:space="preserve">相关设施出现</w:t>
      </w:r>
      <w:r>
        <w:rPr>
          <w:rFonts w:hint="eastAsia" w:ascii="宋体" w:hAnsi="宋体" w:eastAsia="宋体" w:cs="Times New Roman"/>
          <w:bCs/>
          <w:color w:val="000000"/>
          <w:sz w:val="24"/>
          <w:highlight w:val="none"/>
          <w:lang w:val="en-US" w:eastAsia="zh-CN"/>
        </w:rPr>
        <w:t xml:space="preserve">故障，影响污水正常输送时</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抢修费用预计</w:t>
      </w:r>
      <w:r>
        <w:rPr>
          <w:rFonts w:hint="eastAsia" w:ascii="宋体" w:hAnsi="宋体" w:eastAsia="宋体" w:cs="Times New Roman"/>
          <w:bCs/>
          <w:color w:val="000000"/>
          <w:sz w:val="24"/>
          <w:highlight w:val="none"/>
        </w:rPr>
        <w:t xml:space="preserve">超过5万元</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根据采购人指令及时</w:t>
      </w:r>
      <w:r>
        <w:rPr>
          <w:rFonts w:hint="eastAsia" w:ascii="宋体" w:hAnsi="宋体" w:eastAsia="宋体" w:cs="Times New Roman"/>
          <w:bCs/>
          <w:color w:val="000000"/>
          <w:sz w:val="24"/>
          <w:highlight w:val="none"/>
        </w:rPr>
        <w:t xml:space="preserve">组织对</w:t>
      </w:r>
      <w:r>
        <w:rPr>
          <w:rFonts w:hint="eastAsia" w:ascii="宋体" w:hAnsi="宋体" w:eastAsia="宋体" w:cs="Times New Roman"/>
          <w:bCs/>
          <w:color w:val="000000"/>
          <w:sz w:val="24"/>
          <w:highlight w:val="none"/>
          <w:lang w:val="en-US" w:eastAsia="zh-CN"/>
        </w:rPr>
        <w:t xml:space="preserve">相关设施进行</w:t>
      </w:r>
      <w:r>
        <w:rPr>
          <w:rFonts w:hint="eastAsia" w:ascii="宋体" w:hAnsi="宋体" w:eastAsia="宋体" w:cs="Times New Roman"/>
          <w:bCs/>
          <w:color w:val="000000"/>
          <w:sz w:val="24"/>
          <w:highlight w:val="none"/>
        </w:rPr>
        <w:t xml:space="preserve">应急抢修，相关费用按工程定额下浮10%结算审计支付。</w:t>
      </w:r>
      <w:r>
        <w:rPr>
          <w:rFonts w:hint="eastAsia" w:ascii="宋体" w:hAnsi="宋体" w:eastAsia="宋体" w:cs="Times New Roman"/>
          <w:bCs/>
          <w:color w:val="000000"/>
          <w:sz w:val="24"/>
          <w:highlight w:val="none"/>
          <w:lang w:eastAsia="zh-CN"/>
        </w:rPr>
      </w:r>
      <w:r/>
    </w:p>
    <w:p>
      <w:pPr>
        <w:pStyle w:val="856"/>
        <w:ind w:firstLine="480"/>
        <w:spacing w:line="48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lang w:val="en-US" w:eastAsia="zh-CN"/>
        </w:rPr>
        <w:t xml:space="preserve">8</w:t>
      </w:r>
      <w:r>
        <w:rPr>
          <w:rFonts w:hint="eastAsia" w:ascii="宋体" w:hAnsi="宋体" w:eastAsia="宋体" w:cs="Times New Roman"/>
          <w:bCs/>
          <w:color w:val="000000"/>
          <w:sz w:val="24"/>
          <w:highlight w:val="none"/>
        </w:rPr>
        <w:t xml:space="preserve">）根据要求，开展排水户、泵站及管网关键点水质检测，同时进行对比分析</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找出问题节点</w:t>
      </w: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rPr>
      </w:r>
      <w:r/>
    </w:p>
    <w:p>
      <w:pPr>
        <w:pStyle w:val="856"/>
        <w:ind w:firstLine="480"/>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）配合采购人做好排水管理、检查、督导等相关工作。</w:t>
      </w:r>
      <w:r>
        <w:rPr>
          <w:rFonts w:hint="eastAsia" w:ascii="宋体" w:hAnsi="宋体"/>
          <w:bCs/>
          <w:color w:val="000000"/>
          <w:sz w:val="24"/>
          <w:highlight w:val="none"/>
        </w:rPr>
      </w:r>
      <w:r/>
    </w:p>
    <w:p>
      <w:pPr>
        <w:pStyle w:val="856"/>
        <w:ind w:firstLine="480"/>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10</w:t>
      </w:r>
      <w:r>
        <w:rPr>
          <w:rFonts w:hint="eastAsia" w:ascii="宋体" w:hAnsi="宋体"/>
          <w:bCs/>
          <w:color w:val="000000"/>
          <w:sz w:val="24"/>
          <w:highlight w:val="none"/>
        </w:rPr>
        <w:t xml:space="preserve">）做好运维期间安全生产管理，按规定开展安全教育培训、安全交底、安全应急演练，落实安全防护措施，做好招标范围内相关设施运行、保养、维护，确保作业人员安全，设备设施安全稳定运行。</w:t>
      </w:r>
      <w:r>
        <w:rPr>
          <w:rFonts w:hint="eastAsia" w:ascii="宋体" w:hAnsi="宋体"/>
          <w:bCs/>
          <w:color w:val="000000"/>
          <w:sz w:val="24"/>
          <w:highlight w:val="none"/>
        </w:rPr>
      </w:r>
      <w:r/>
    </w:p>
    <w:p>
      <w:pPr>
        <w:pStyle w:val="856"/>
        <w:ind w:firstLine="480"/>
        <w:spacing w:line="480" w:lineRule="auto"/>
        <w:rPr>
          <w:rFonts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11</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服务期间所有管网、泵站的运行符合《城镇排水管道维护安全技术规程》、《泵站技术管理规程》、《城镇排水管渠与泵站维护安全技术规程》、《城镇排水管渠与泵站维护技术规程》、《电业安全工作规程》、《连云港市市区污水设施维护管理办法》、《连云港市市区污水设施养护质量标准》等标准规范要求，确保服务范围内的污水以及应急水源设施完好和正常运行，同时做好泵站、管网安全生产标准化工作。</w:t>
      </w:r>
      <w:r>
        <w:rPr>
          <w:rFonts w:hint="eastAsia" w:ascii="宋体" w:hAnsi="宋体" w:eastAsia="宋体" w:cs="Times New Roman"/>
          <w:bCs/>
          <w:color w:val="000000"/>
          <w:sz w:val="24"/>
          <w:highlight w:val="none"/>
          <w:lang w:val="en-US" w:eastAsia="zh-CN"/>
        </w:rPr>
        <w:t xml:space="preserve">按规定开展管网、泵站、电气、设备、仪器、仪表、系统平台等巡查、检修、疏通、维护、检验等工作，确保</w:t>
      </w:r>
      <w:r>
        <w:rPr>
          <w:rFonts w:hint="eastAsia" w:ascii="宋体" w:hAnsi="宋体" w:eastAsia="宋体" w:cs="Times New Roman"/>
          <w:bCs/>
          <w:color w:val="000000"/>
          <w:sz w:val="24"/>
          <w:highlight w:val="none"/>
        </w:rPr>
        <w:t xml:space="preserve">管网、泵站以及市区污水管网泵站联网监控系统安全稳定运行；河道排口</w:t>
      </w:r>
      <w:r>
        <w:rPr>
          <w:rFonts w:hint="eastAsia" w:ascii="宋体" w:hAnsi="宋体" w:eastAsia="宋体" w:cs="Times New Roman"/>
          <w:bCs/>
          <w:color w:val="000000"/>
          <w:sz w:val="24"/>
          <w:highlight w:val="none"/>
          <w:lang w:val="en-US" w:eastAsia="zh-CN"/>
        </w:rPr>
        <w:t xml:space="preserve">晴天</w:t>
      </w:r>
      <w:r>
        <w:rPr>
          <w:rFonts w:hint="eastAsia" w:ascii="宋体" w:hAnsi="宋体" w:eastAsia="宋体" w:cs="Times New Roman"/>
          <w:bCs/>
          <w:color w:val="000000"/>
          <w:sz w:val="24"/>
          <w:highlight w:val="none"/>
        </w:rPr>
        <w:t xml:space="preserve">无溢流；污水检查井防坠网、井盖无脱落、缺失、偏移、破损</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应急水源泵站管网能够保持随时启动正常运行良好状态；汛期及时开展道路巡查，按指令投入应急强排工作</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做好大流量强排泵车、移动</w:t>
      </w:r>
      <w:r>
        <w:rPr>
          <w:rFonts w:hint="eastAsia" w:ascii="宋体" w:hAnsi="宋体" w:eastAsia="宋体" w:cs="Times New Roman"/>
          <w:bCs/>
          <w:color w:val="000000"/>
          <w:sz w:val="24"/>
          <w:highlight w:val="none"/>
        </w:rPr>
        <w:t xml:space="preserve">发电机、疏通车</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行车、变压器（含高低压配电等）</w:t>
      </w:r>
      <w:r>
        <w:rPr>
          <w:rFonts w:hint="eastAsia" w:ascii="宋体" w:hAnsi="宋体" w:eastAsia="宋体" w:cs="Times New Roman"/>
          <w:bCs/>
          <w:color w:val="000000"/>
          <w:sz w:val="24"/>
          <w:highlight w:val="none"/>
        </w:rPr>
        <w:t xml:space="preserve">等特种设备的</w:t>
      </w:r>
      <w:r>
        <w:rPr>
          <w:rFonts w:hint="eastAsia" w:ascii="宋体" w:hAnsi="宋体" w:eastAsia="宋体" w:cs="Times New Roman"/>
          <w:bCs/>
          <w:color w:val="000000"/>
          <w:sz w:val="24"/>
          <w:highlight w:val="none"/>
          <w:lang w:val="en-US" w:eastAsia="zh-CN"/>
        </w:rPr>
        <w:t xml:space="preserve">日常</w:t>
      </w:r>
      <w:r>
        <w:rPr>
          <w:rFonts w:hint="eastAsia" w:ascii="宋体" w:hAnsi="宋体" w:eastAsia="宋体" w:cs="Times New Roman"/>
          <w:bCs/>
          <w:color w:val="000000"/>
          <w:sz w:val="24"/>
          <w:highlight w:val="none"/>
        </w:rPr>
        <w:t xml:space="preserve">保养、维修</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按规定定期检测核验</w:t>
      </w: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lang w:val="en-US" w:eastAsia="zh-CN"/>
        </w:rPr>
        <w:t xml:space="preserve">泵站环境卫生符合全国卫生城市标准</w:t>
      </w:r>
      <w:r>
        <w:rPr>
          <w:rFonts w:hint="eastAsia" w:ascii="宋体" w:hAnsi="宋体" w:eastAsia="宋体" w:cs="Times New Roman"/>
          <w:bCs/>
          <w:color w:val="000000"/>
          <w:sz w:val="24"/>
          <w:highlight w:val="none"/>
        </w:rPr>
        <w:t xml:space="preserve">；具有完备的污水设施运维、安全生产流程、管理制度；从事特种作业人员持证上岗；不发生</w:t>
      </w:r>
      <w:r>
        <w:rPr>
          <w:rFonts w:hint="eastAsia" w:ascii="宋体" w:hAnsi="宋体" w:eastAsia="宋体" w:cs="Times New Roman"/>
          <w:bCs/>
          <w:color w:val="000000"/>
          <w:sz w:val="24"/>
          <w:highlight w:val="none"/>
          <w:lang w:val="en-US" w:eastAsia="zh-CN"/>
        </w:rPr>
        <w:t xml:space="preserve">一般</w:t>
      </w:r>
      <w:r>
        <w:rPr>
          <w:rFonts w:hint="eastAsia" w:ascii="宋体" w:hAnsi="宋体" w:eastAsia="宋体" w:cs="Times New Roman"/>
          <w:bCs/>
          <w:color w:val="000000"/>
          <w:sz w:val="24"/>
          <w:highlight w:val="none"/>
        </w:rPr>
        <w:t xml:space="preserve">以上安全生产事故</w:t>
      </w:r>
      <w:r>
        <w:rPr>
          <w:rFonts w:hint="eastAsia" w:ascii="宋体" w:hAnsi="宋体" w:eastAsia="宋体" w:cs="Times New Roman"/>
          <w:bCs/>
          <w:color w:val="000000"/>
          <w:sz w:val="24"/>
          <w:highlight w:val="none"/>
          <w:lang w:val="en-US" w:eastAsia="zh-CN"/>
        </w:rPr>
        <w:t xml:space="preserve">等。</w:t>
      </w:r>
      <w:r>
        <w:rPr>
          <w:rFonts w:ascii="宋体" w:hAnsi="宋体" w:eastAsia="宋体" w:cs="Times New Roman"/>
          <w:bCs/>
          <w:color w:val="000000"/>
          <w:sz w:val="24"/>
          <w:highlight w:val="none"/>
          <w:lang w:val="en-US" w:eastAsia="zh-CN"/>
        </w:rPr>
      </w:r>
      <w:r/>
    </w:p>
    <w:p>
      <w:pPr>
        <w:pStyle w:val="856"/>
        <w:ind w:firstLine="480"/>
        <w:spacing w:line="480" w:lineRule="auto"/>
        <w:rPr>
          <w:rFonts w:ascii="宋体" w:hAnsi="宋体" w:eastAsia="宋体"/>
          <w:bCs/>
          <w:color w:val="000000"/>
          <w:sz w:val="24"/>
          <w:highlight w:val="none"/>
          <w:lang w:val="en-US" w:eastAsia="zh-CN"/>
        </w:rPr>
      </w:pP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12</w:t>
      </w:r>
      <w:r>
        <w:rPr>
          <w:rFonts w:hint="eastAsia" w:ascii="宋体" w:hAnsi="宋体"/>
          <w:bCs/>
          <w:color w:val="000000"/>
          <w:sz w:val="24"/>
          <w:highlight w:val="none"/>
        </w:rPr>
        <w:t xml:space="preserve">）本项目采用固定总价报价，总价包干。本次投标报价为投标人在投标文件中提出的各项费用支付金额的总和（包括但不限于为完成本招标项目全过程的一切费用，投标报价应包含人工费、材料费、日常设备、设施中小修及日常保养费、清淤费、机械设备费、运维车辆维修保养保险费、中小修挖掘占用和日常运维车辆通行证办理手续费、临时设施费、住宿费、交通费、通讯费、数据处理、安全措施费、资料费、日常办公费（含保洁）、汛期应急费、保险费、管理费、出具相关报告、利润、税金等完成本项目全部内容所涉及的一切费用。）</w:t>
      </w: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因客观原因未能实施的服务内容在年终结算时扣除相应费用。</w:t>
      </w:r>
      <w:r>
        <w:rPr>
          <w:rFonts w:ascii="宋体" w:hAnsi="宋体" w:eastAsia="宋体"/>
          <w:bCs/>
          <w:color w:val="000000"/>
          <w:sz w:val="24"/>
          <w:highlight w:val="none"/>
          <w:lang w:val="en-US" w:eastAsia="zh-CN"/>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13</w:t>
      </w:r>
      <w:r>
        <w:rPr>
          <w:rFonts w:hint="eastAsia" w:ascii="宋体" w:hAnsi="宋体"/>
          <w:color w:val="000000"/>
          <w:sz w:val="24"/>
          <w:szCs w:val="24"/>
          <w:highlight w:val="none"/>
        </w:rPr>
        <w:t xml:space="preserve">）投标人应在收到中标通知书后，自行办理设施小中修涉及市政道路、绿化施工临时占用挖掘、交巡警、城管、供电以及日常运维车辆通行证等相关手续，此项报价综合考虑到报价中。</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采购人提供的运维车辆维修、保养、保险等费用综合考虑到投标报价中。本项目中标人在</w:t>
      </w:r>
      <w:r>
        <w:rPr>
          <w:rFonts w:hint="eastAsia" w:ascii="宋体" w:hAnsi="宋体"/>
          <w:color w:val="000000"/>
          <w:sz w:val="24"/>
          <w:szCs w:val="24"/>
          <w:highlight w:val="none"/>
          <w:lang w:val="en-US" w:eastAsia="zh-CN"/>
        </w:rPr>
        <w:t xml:space="preserve">泵站</w:t>
      </w:r>
      <w:r>
        <w:rPr>
          <w:rFonts w:hint="eastAsia" w:ascii="宋体" w:hAnsi="宋体"/>
          <w:color w:val="000000"/>
          <w:sz w:val="24"/>
          <w:szCs w:val="24"/>
          <w:highlight w:val="none"/>
        </w:rPr>
        <w:t xml:space="preserve">运</w:t>
      </w:r>
      <w:r>
        <w:rPr>
          <w:rFonts w:hint="eastAsia" w:ascii="宋体" w:hAnsi="宋体"/>
          <w:color w:val="000000"/>
          <w:sz w:val="24"/>
          <w:szCs w:val="24"/>
          <w:highlight w:val="none"/>
          <w:lang w:val="en-US" w:eastAsia="zh-CN"/>
        </w:rPr>
        <w:t xml:space="preserve">维</w:t>
      </w:r>
      <w:r>
        <w:rPr>
          <w:rFonts w:hint="eastAsia" w:ascii="宋体" w:hAnsi="宋体"/>
          <w:color w:val="000000"/>
          <w:sz w:val="24"/>
          <w:szCs w:val="24"/>
          <w:highlight w:val="none"/>
        </w:rPr>
        <w:t xml:space="preserve">过程中的水电费由采购人负责，不包含在投标报价中。</w:t>
      </w:r>
      <w:r>
        <w:rPr>
          <w:rFonts w:ascii="宋体" w:hAnsi="宋体"/>
          <w:color w:val="000000"/>
          <w:sz w:val="24"/>
          <w:szCs w:val="24"/>
          <w:highlight w:val="none"/>
        </w:rPr>
      </w:r>
      <w:r/>
    </w:p>
    <w:p>
      <w:pPr>
        <w:pStyle w:val="856"/>
        <w:ind w:firstLine="482"/>
        <w:spacing w:line="36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lang w:val="en-US" w:eastAsia="zh-CN"/>
        </w:rPr>
        <w:t xml:space="preserve">14</w:t>
      </w:r>
      <w:r>
        <w:rPr>
          <w:rFonts w:hint="eastAsia" w:ascii="宋体" w:hAnsi="宋体" w:eastAsia="宋体" w:cs="Times New Roman"/>
          <w:b/>
          <w:bCs/>
          <w:color w:val="000000"/>
          <w:sz w:val="24"/>
          <w:szCs w:val="24"/>
          <w:highlight w:val="none"/>
        </w:rPr>
        <w:t xml:space="preserve">）投标人须在详细报价书中单独列出</w:t>
      </w:r>
      <w:r>
        <w:rPr>
          <w:rFonts w:hint="eastAsia" w:ascii="宋体" w:hAnsi="宋体" w:eastAsia="宋体" w:cs="Times New Roman"/>
          <w:b/>
          <w:bCs/>
          <w:color w:val="000000"/>
          <w:sz w:val="24"/>
          <w:szCs w:val="24"/>
          <w:highlight w:val="none"/>
          <w:lang w:val="en-US" w:eastAsia="zh-CN"/>
        </w:rPr>
        <w:t xml:space="preserve">报价，其中</w:t>
      </w:r>
      <w:r>
        <w:rPr>
          <w:rFonts w:hint="eastAsia" w:ascii="宋体" w:hAnsi="宋体" w:eastAsia="宋体" w:cs="Times New Roman"/>
          <w:b/>
          <w:bCs/>
          <w:color w:val="000000"/>
          <w:sz w:val="24"/>
          <w:szCs w:val="24"/>
          <w:highlight w:val="none"/>
        </w:rPr>
        <w:t xml:space="preserve">管网检测</w:t>
      </w:r>
      <w:r>
        <w:rPr>
          <w:rFonts w:hint="eastAsia" w:ascii="宋体" w:hAnsi="宋体" w:eastAsia="宋体" w:cs="Times New Roman"/>
          <w:b/>
          <w:bCs/>
          <w:color w:val="000000"/>
          <w:sz w:val="24"/>
          <w:szCs w:val="24"/>
          <w:highlight w:val="none"/>
          <w:lang w:val="en-US" w:eastAsia="zh-CN"/>
        </w:rPr>
        <w:t xml:space="preserve">投标报价不得少于150万元/年，</w:t>
      </w:r>
      <w:r>
        <w:rPr>
          <w:rFonts w:hint="eastAsia" w:ascii="宋体" w:hAnsi="宋体" w:eastAsia="宋体" w:cs="Times New Roman"/>
          <w:b/>
          <w:bCs/>
          <w:color w:val="000000"/>
          <w:sz w:val="24"/>
          <w:szCs w:val="24"/>
          <w:highlight w:val="none"/>
        </w:rPr>
        <w:t xml:space="preserve">否则投标无效</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r>
      <w:r/>
    </w:p>
    <w:p>
      <w:pPr>
        <w:pStyle w:val="856"/>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15</w:t>
      </w:r>
      <w:r>
        <w:rPr>
          <w:rFonts w:hint="eastAsia" w:ascii="宋体" w:hAnsi="宋体"/>
          <w:bCs/>
          <w:color w:val="000000"/>
          <w:sz w:val="24"/>
          <w:szCs w:val="24"/>
          <w:highlight w:val="none"/>
        </w:rPr>
        <w:t xml:space="preserve">）本项目招标范围内需运行维护的污水管网情况如表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56"/>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br w:type="page" w:clear="all"/>
      </w:r>
      <w:r>
        <w:rPr>
          <w:rFonts w:ascii="宋体" w:hAnsi="宋体"/>
          <w:bCs/>
          <w:color w:val="000000"/>
          <w:sz w:val="24"/>
          <w:szCs w:val="24"/>
          <w:highlight w:val="none"/>
        </w:rPr>
      </w:r>
      <w:r/>
    </w:p>
    <w:p>
      <w:pPr>
        <w:pStyle w:val="856"/>
        <w:jc w:val="center"/>
        <w:rPr>
          <w:rFonts w:ascii="MS Mincho" w:hAnsi="Calibri"/>
          <w:color w:val="000000"/>
          <w:sz w:val="24"/>
          <w:szCs w:val="24"/>
          <w:highlight w:val="none"/>
        </w:rPr>
      </w:pPr>
      <w:r>
        <w:rPr>
          <w:rFonts w:ascii="MS Mincho" w:hAnsi="Calibri"/>
          <w:color w:val="000000"/>
          <w:sz w:val="24"/>
          <w:szCs w:val="24"/>
          <w:highlight w:val="none"/>
        </w:rPr>
        <w:t xml:space="preserve">表1 </w:t>
      </w:r>
      <w:r>
        <w:rPr>
          <w:rFonts w:hint="eastAsia" w:ascii="MS Mincho" w:hAnsi="Calibri"/>
          <w:color w:val="000000"/>
          <w:sz w:val="24"/>
          <w:szCs w:val="24"/>
          <w:highlight w:val="none"/>
        </w:rPr>
        <w:t xml:space="preserve">连云港市市区污水管网情况</w:t>
      </w:r>
      <w:r>
        <w:rPr>
          <w:rFonts w:ascii="MS Mincho" w:hAnsi="Calibri"/>
          <w:color w:val="000000"/>
          <w:sz w:val="24"/>
          <w:szCs w:val="24"/>
          <w:highlight w:val="none"/>
        </w:rPr>
      </w:r>
      <w:r/>
    </w:p>
    <w:tbl>
      <w:tblPr>
        <w:tblW w:w="9719" w:type="dxa"/>
        <w:tblInd w:w="10" w:type="dxa"/>
        <w:tblLayout w:type="autofit"/>
        <w:tblCellMar>
          <w:left w:w="108" w:type="dxa"/>
          <w:top w:w="0" w:type="dxa"/>
          <w:right w:w="108" w:type="dxa"/>
          <w:bottom w:w="0" w:type="dxa"/>
        </w:tblCellMar>
        <w:tblLook w:val="04A0" w:firstRow="1" w:lastRow="0" w:firstColumn="1" w:lastColumn="0" w:noHBand="0" w:noVBand="1"/>
      </w:tblPr>
      <w:tblGrid>
        <w:gridCol w:w="516"/>
        <w:gridCol w:w="1337"/>
        <w:gridCol w:w="1746"/>
        <w:gridCol w:w="1316"/>
        <w:gridCol w:w="1171"/>
        <w:gridCol w:w="1134"/>
        <w:gridCol w:w="1275"/>
        <w:gridCol w:w="1224"/>
      </w:tblGrid>
      <w:tr>
        <w:trPr>
          <w:trHeight w:val="930"/>
          <w:tblHeader/>
        </w:trPr>
        <w:tc>
          <w:tcPr>
            <w:gridSpan w:val="8"/>
            <w:tcBorders>
              <w:top w:val="none" w:color="000000" w:sz="4" w:space="0"/>
              <w:left w:val="none" w:color="000000" w:sz="4" w:space="0"/>
              <w:bottom w:val="single" w:color="000000" w:sz="8" w:space="0"/>
              <w:right w:val="none" w:color="000000" w:sz="4" w:space="0"/>
            </w:tcBorders>
            <w:tcW w:w="9719" w:type="dxa"/>
            <w:vAlign w:val="center"/>
            <w:textDirection w:val="lrTb"/>
            <w:noWrap/>
          </w:tcPr>
          <w:p>
            <w:pPr>
              <w:pStyle w:val="856"/>
              <w:jc w:val="center"/>
              <w:widowControl/>
              <w:rPr>
                <w:rFonts w:ascii="宋体" w:hAnsi="宋体" w:cs="宋体"/>
                <w:color w:val="000000"/>
                <w:sz w:val="22"/>
                <w:highlight w:val="none"/>
              </w:rPr>
            </w:pPr>
            <w:r>
              <w:rPr>
                <w:rFonts w:hint="eastAsia" w:ascii="宋体" w:hAnsi="宋体" w:cs="宋体"/>
                <w:color w:val="000000"/>
                <w:sz w:val="22"/>
                <w:highlight w:val="none"/>
              </w:rPr>
              <w:t xml:space="preserve">连云港市市区污水管网一览表</w:t>
            </w:r>
            <w:r>
              <w:rPr>
                <w:rFonts w:ascii="宋体" w:hAnsi="宋体" w:cs="宋体"/>
                <w:color w:val="000000"/>
                <w:sz w:val="22"/>
                <w:highlight w:val="none"/>
              </w:rPr>
            </w:r>
            <w:r/>
          </w:p>
        </w:tc>
      </w:tr>
      <w:tr>
        <w:trPr>
          <w:trHeight w:val="312"/>
          <w:tblHeader/>
        </w:trPr>
        <w:tc>
          <w:tcPr>
            <w:tcBorders>
              <w:top w:val="none" w:color="000000" w:sz="4" w:space="0"/>
              <w:left w:val="single" w:color="000000" w:sz="8" w:space="0"/>
              <w:bottom w:val="single" w:color="000000" w:sz="8" w:space="0"/>
              <w:right w:val="single" w:color="000000" w:sz="8" w:space="0"/>
            </w:tcBorders>
            <w:tcW w:w="516" w:type="dxa"/>
            <w:vAlign w:val="center"/>
            <w:vMerge w:val="restart"/>
            <w:textDirection w:val="lrTb"/>
            <w:noWrap w:val="false"/>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序号</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337" w:type="dxa"/>
            <w:vAlign w:val="center"/>
            <w:vMerge w:val="restart"/>
            <w:textDirection w:val="lrTb"/>
            <w:noWrap w:val="false"/>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道路名称</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46" w:type="dxa"/>
            <w:vAlign w:val="center"/>
            <w:vMerge w:val="restart"/>
            <w:textDirection w:val="lrTb"/>
            <w:noWrap w:val="false"/>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起止位置</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316" w:type="dxa"/>
            <w:vAlign w:val="center"/>
            <w:vMerge w:val="restart"/>
            <w:textDirection w:val="lrTb"/>
            <w:noWrap w:val="false"/>
          </w:tcPr>
          <w:p>
            <w:pPr>
              <w:pStyle w:val="856"/>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管道规格</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171" w:type="dxa"/>
            <w:vAlign w:val="center"/>
            <w:vMerge w:val="restart"/>
            <w:textDirection w:val="lrTb"/>
            <w:noWrap w:val="false"/>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工作方式</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134" w:type="dxa"/>
            <w:vAlign w:val="center"/>
            <w:vMerge w:val="restart"/>
            <w:textDirection w:val="lrTb"/>
            <w:noWrap w:val="false"/>
          </w:tcPr>
          <w:p>
            <w:pPr>
              <w:pStyle w:val="856"/>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管道材质</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75" w:type="dxa"/>
            <w:vAlign w:val="center"/>
            <w:vMerge w:val="restart"/>
            <w:textDirection w:val="lrTb"/>
            <w:noWrap w:val="false"/>
          </w:tcPr>
          <w:p>
            <w:pPr>
              <w:pStyle w:val="856"/>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断面位置</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污水管线长度(M)</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海州区管网</w:t>
            </w:r>
            <w:r>
              <w:rPr>
                <w:rFonts w:hint="eastAsia" w:ascii="宋体" w:hAnsi="宋体" w:cs="宋体"/>
                <w:b/>
                <w:bCs/>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朝阳路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运河路～郁州路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南侧绿化带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948.5</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运河路～学院路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DN500/DN400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南侧绿化带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893</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科苑路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苍梧路~凌州泵站</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西侧绿化带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1,041.00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朝阳路～苍梧路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西侧绿化带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962</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朝阳路～海宁路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DN800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西侧绿化带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978.4</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海宁路~红沙路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DN600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西侧绿化带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521</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海宁路~红沙路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西侧绿化带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524</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绿园路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郁州路~巨龙路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582</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巨龙路～运河路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508.9</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科苑路~市府东路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489</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市府东路～学院路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414.6</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海宁路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郁州路~运河路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939.1</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科苑路～学苑路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DN600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948.7</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新海路～幸福路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幸福路～镇海路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891</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镇海路～新孔路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742</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新孔路～盐河路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DN800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1,048.00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盐河路～海昌路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489</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海昌路～通灌路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706</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通灌路～玉龙花园</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503</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玉龙花园～郁州路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DN600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571</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清河路～盐河路泵站</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DN600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109</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清河路～盐河路泵站</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DN800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310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建设路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郁州路～运河路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DN500/400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1,118.00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科苑路～学院路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948.8</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盐河路～清河路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550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新孔路~镇海路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730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运河路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苍梧路~海宁路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西侧快车道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1,684.00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苍梧路~文昌路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672</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学院路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朝阳路~苍梧路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东侧慢车道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819</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海宁路~朝阳路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东侧慢车道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952</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巨龙路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文昌路~朝阳路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东侧慢车道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1,354.00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朝阳路～海宁路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东侧慢车道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865</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海连路～文昌路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机动车道西侧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497</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解放路～陇海路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机动车道西侧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520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郁州路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解放路~人民路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DN1200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东侧绿化带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赢州路～朝阳路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东侧绿化带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794</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朝阳路~绿园路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东侧慢车道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435</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绿园路~苍梧泵站</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DN800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东侧慢车到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420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苍梧泵站～文昌路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东侧绿化带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748</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海连路～文昌路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DN800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东侧绿化带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350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海连路~解放路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东侧绿化带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1,155.00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文昌路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巨龙路~郁州路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601</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规划路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苍梧路～绿园路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东侧绿化带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542</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人民路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海连西路~人民路泵站</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DN1200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629</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人民路泵站~站前广场</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DN800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压力管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北侧慢车道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1,183.00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人民路泵站~工农路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DN600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344</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工农路~财校路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587</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站前广场~南极路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北侧绿化带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424</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南极路~新新路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北侧绿化带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307</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站前广场~南极路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DN800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压力管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球墨铸铁管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南侧机动车道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482</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通灌路~郁州北路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北侧慢车道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772</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通灌路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民主路~人民路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东侧慢车道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海宁路~玉带河桥</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东侧漫车道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230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玉带河桥~新建路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东侧漫车道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450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海宁路~朝阳路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南侧人行道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710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南极路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解放路~海连路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机动车道东侧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690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海连路~大庆路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机动车道东侧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284</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大庆路~朝阳路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机动车道东侧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361</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朝阳路~海宁路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机动车道东侧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780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海宁路~玉带河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机动车道东侧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390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解放路~人民路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1,250.00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海连路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龙河广场~健康路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北侧慢车道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727</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健康路~郁州路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北侧慢车道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295</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郁州路~巨龙路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DN600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北侧慢车道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420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巨龙路~东方乐园</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北侧慢车道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415</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东方乐园~凌州路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北侧慢车道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799</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人民路~蔷薇河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DN600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北侧绿化带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1,166.00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浦南工业园~陇海铁路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DN315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压力管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过蔷薇河与204国道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912</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大庆路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幸福路~镇海路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道路北侧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185</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镇海路~新孔路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道路北侧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490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新孔路~西盐河西岸1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道路北侧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502</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新孔路~西盐河西岸2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DN600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道路北侧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173</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新孔路~西盐河西岸3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DN800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混凝土顶管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道路北侧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71</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海昌路~西盐河东岸</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道路北侧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350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陇海路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新孔路~西盐河西岸</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道路北侧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692</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通灌路~龙尾河西岸</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DN600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北侧人行道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145</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龙尾河东岸~龙河路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北侧人行道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461</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龙河路~郁州路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北侧人行道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502</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郁州路~巨龙路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北侧人行道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新孔路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玉带河桥~海宁路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东侧机动车道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776</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玉带河桥~新建路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东侧机动车道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海宁路~朝阳路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西侧机动车道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479</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孔望山路~新建路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西侧机动车道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540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朝阳路~大庆路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西侧机动车道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394</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海连路-陇海路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西侧机动车道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解放路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和平桥~郁州路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机动车道南侧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916</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郁州路~巨龙路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DN800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机动车道南侧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225</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巨龙路~凌州路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DN800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南侧绿化带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386</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凌州路~高架</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北侧人行道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860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凌州路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解放路~海连路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DN800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西侧绿化带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1,258.00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镇海路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建设路~海宁路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玉带河~海宁路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玉带河~新建路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红砂路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南极路~通灌路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机动车道南侧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1,000.00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通灌路~郁州路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DN560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1,126.00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沙板桥片区</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铁路专用线~泵站</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DN200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钢管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南侧绿化带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64</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铁路专用线~泵站</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DN300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南侧绿化带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125</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铁路专用线~泵站</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南侧绿化带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305</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沙板桥泵站~新建西路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DN300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压力管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球墨铁管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西侧机动车道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595</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新建路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锦屏路~北大街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北侧机动车道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376</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北大街~新海路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DN600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北侧机动车道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260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新海路~幸福路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DN600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268</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南极路~瀛洲路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2,500.00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西盐河~花园路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DN315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北侧机动车道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4,249.00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新海路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新建西路~玉带河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DN800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734</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过玉带河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DN630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过玉带河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409</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玉带河~海宁路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DN1200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1,488.00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海宁路~海连路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DN1200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rPr>
              <w:t xml:space="preserve">机动车道</w:t>
            </w: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1,700.00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公园1号路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人民路~建国路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新生民路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海昌路~南极路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460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幸福路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海连路~幸福桥</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2,200.00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310国道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大浦厂~振兴路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压力管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球墨铸铁管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2,420.00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圣湖路出水管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圣湖路泵站接310国道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压力管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球墨铸铁管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726</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DN700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压力管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560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四院专用污水管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解放路~大浦河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DN160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压力管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2,500.00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节能减排项目</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大浦二厂供水</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DN500\DN800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压力管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球墨铸铁、PE管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616</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郁州泵站~纬三路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DN315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压力管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2,558.00</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8" w:space="0"/>
              <w:bottom w:val="single" w:color="000000" w:sz="8" w:space="0"/>
              <w:right w:val="single" w:color="000000" w:sz="8" w:space="0"/>
            </w:tcBorders>
            <w:tcW w:w="516" w:type="dxa"/>
            <w:vAlign w:val="center"/>
            <w:vMerge w:val="restart"/>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34</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337" w:type="dxa"/>
            <w:vAlign w:val="center"/>
            <w:vMerge w:val="restart"/>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none" w:color="000000" w:sz="4"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新海中学院内</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316" w:type="dxa"/>
            <w:vAlign w:val="center"/>
            <w:vMerge w:val="restart"/>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171" w:type="dxa"/>
            <w:vAlign w:val="center"/>
            <w:vMerge w:val="restart"/>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134" w:type="dxa"/>
            <w:vAlign w:val="center"/>
            <w:vMerge w:val="restart"/>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75" w:type="dxa"/>
            <w:vAlign w:val="center"/>
            <w:vMerge w:val="restart"/>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人行道</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447</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337"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至科苑路西侧，苍梧路南侧</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316"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171"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134"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75"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121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东盐河路西侧-东盐河-科苑路西侧，苍梧路南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DN630、DN500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过河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388</w:t>
            </w:r>
            <w:r>
              <w:rPr>
                <w:rFonts w:hint="eastAsia" w:ascii="宋体" w:hAnsi="宋体" w:cs="宋体"/>
                <w:color w:val="000000"/>
                <w:sz w:val="20"/>
                <w:szCs w:val="20"/>
                <w:highlight w:val="none"/>
              </w:rPr>
            </w:r>
            <w:r/>
          </w:p>
        </w:tc>
      </w:tr>
      <w:tr>
        <w:trPr>
          <w:trHeight w:val="97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东盐河路与苍梧路交叉口、东盐河西岸、苍梧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DN630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285</w:t>
            </w:r>
            <w:r>
              <w:rPr>
                <w:rFonts w:hint="eastAsia" w:ascii="宋体" w:hAnsi="宋体" w:cs="宋体"/>
                <w:color w:val="000000"/>
                <w:sz w:val="20"/>
                <w:szCs w:val="20"/>
                <w:highlight w:val="none"/>
              </w:rPr>
            </w:r>
            <w:r/>
          </w:p>
        </w:tc>
      </w:tr>
      <w:tr>
        <w:trPr>
          <w:trHeight w:val="169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东盐河西岸、绿园路北侧-绿园路南侧、朝阳?DN630、DN500、DN400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w:t>
            </w:r>
            <w:r>
              <w:rPr>
                <w:rFonts w:hint="eastAsia" w:ascii="宋体" w:hAnsi="宋体" w:cs="宋体"/>
                <w:color w:val="000000"/>
                <w:sz w:val="20"/>
                <w:szCs w:val="20"/>
                <w:highlight w:val="none"/>
              </w:rPr>
            </w:r>
            <w:r/>
          </w:p>
        </w:tc>
      </w:tr>
      <w:tr>
        <w:trPr>
          <w:trHeight w:val="49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淮海工学院北侧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217</w:t>
            </w:r>
            <w:r>
              <w:rPr>
                <w:rFonts w:hint="eastAsia" w:ascii="宋体" w:hAnsi="宋体" w:cs="宋体"/>
                <w:color w:val="000000"/>
                <w:sz w:val="20"/>
                <w:szCs w:val="20"/>
                <w:highlight w:val="none"/>
              </w:rPr>
            </w:r>
            <w:r/>
          </w:p>
        </w:tc>
      </w:tr>
      <w:tr>
        <w:trPr>
          <w:trHeight w:val="49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淮海工学院南侧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216</w:t>
            </w:r>
            <w:r>
              <w:rPr>
                <w:rFonts w:hint="eastAsia" w:ascii="宋体" w:hAnsi="宋体" w:cs="宋体"/>
                <w:color w:val="000000"/>
                <w:sz w:val="20"/>
                <w:szCs w:val="20"/>
                <w:highlight w:val="none"/>
              </w:rPr>
            </w:r>
            <w:r/>
          </w:p>
        </w:tc>
      </w:tr>
      <w:tr>
        <w:trPr>
          <w:trHeight w:val="97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朝阳东路南侧、市革命纪念馆、金秋情缘北门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177</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科苑路东侧、苍梧三期、凤凰大厦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114</w:t>
            </w:r>
            <w:r>
              <w:rPr>
                <w:rFonts w:hint="eastAsia" w:ascii="宋体" w:hAnsi="宋体" w:cs="宋体"/>
                <w:color w:val="000000"/>
                <w:sz w:val="20"/>
                <w:szCs w:val="20"/>
                <w:highlight w:val="none"/>
              </w:rPr>
            </w:r>
            <w:r/>
          </w:p>
        </w:tc>
      </w:tr>
      <w:tr>
        <w:trPr>
          <w:trHeight w:val="49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学院路、水木华园</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DN600、DN300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w:t>
            </w:r>
            <w:r>
              <w:rPr>
                <w:rFonts w:hint="eastAsia" w:ascii="宋体" w:hAnsi="宋体" w:cs="宋体"/>
                <w:color w:val="000000"/>
                <w:sz w:val="20"/>
                <w:szCs w:val="20"/>
                <w:highlight w:val="none"/>
              </w:rPr>
            </w:r>
            <w:r/>
          </w:p>
        </w:tc>
      </w:tr>
      <w:tr>
        <w:trPr>
          <w:trHeight w:val="97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东盐河西岸、东盐河路东侧、朝阳东路两侧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DN500、DN400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352</w:t>
            </w:r>
            <w:r>
              <w:rPr>
                <w:rFonts w:hint="eastAsia" w:ascii="宋体" w:hAnsi="宋体" w:cs="宋体"/>
                <w:color w:val="000000"/>
                <w:sz w:val="20"/>
                <w:szCs w:val="20"/>
                <w:highlight w:val="none"/>
              </w:rPr>
            </w:r>
            <w:r/>
          </w:p>
        </w:tc>
      </w:tr>
      <w:tr>
        <w:trPr>
          <w:trHeight w:val="97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建设东路南侧、苍梧小学、凤凰大道西侧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过河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192</w:t>
            </w:r>
            <w:r>
              <w:rPr>
                <w:rFonts w:hint="eastAsia" w:ascii="宋体" w:hAnsi="宋体" w:cs="宋体"/>
                <w:color w:val="000000"/>
                <w:sz w:val="20"/>
                <w:szCs w:val="20"/>
                <w:highlight w:val="none"/>
              </w:rPr>
            </w:r>
            <w:r/>
          </w:p>
        </w:tc>
      </w:tr>
      <w:tr>
        <w:trPr>
          <w:trHeight w:val="97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城乡建设局门口、凤凰大道东侧、建设东路北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DN315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人行道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181</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苍梧三期南门、下穿建设东路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DN300、DN315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35</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新海高级中学北大门两侧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人行道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302.9</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龙尾河瀛洲路建设路通院巷</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过河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92</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龙尾河瀛洲路水产品市场</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HDPE管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通灌路桥北、龙尾河东北侧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HDPE管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w:t>
            </w:r>
            <w:r>
              <w:rPr>
                <w:rFonts w:hint="eastAsia" w:ascii="宋体" w:hAnsi="宋体" w:cs="宋体"/>
                <w:color w:val="000000"/>
                <w:sz w:val="20"/>
                <w:szCs w:val="20"/>
                <w:highlight w:val="none"/>
              </w:rPr>
            </w:r>
            <w:r/>
          </w:p>
        </w:tc>
      </w:tr>
      <w:tr>
        <w:trPr>
          <w:trHeight w:val="97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港城大道与凌州东路交叉口东侧、东盐河西侧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w:t>
            </w:r>
            <w:r>
              <w:rPr>
                <w:rFonts w:hint="eastAsia" w:ascii="宋体" w:hAnsi="宋体" w:cs="宋体"/>
                <w:color w:val="000000"/>
                <w:sz w:val="20"/>
                <w:szCs w:val="20"/>
                <w:highlight w:val="none"/>
              </w:rPr>
            </w:r>
            <w:r/>
          </w:p>
        </w:tc>
      </w:tr>
      <w:tr>
        <w:trPr>
          <w:trHeight w:val="49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龙尾河瀛洲路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过嬴洲路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w:t>
            </w:r>
            <w:r>
              <w:rPr>
                <w:rFonts w:hint="eastAsia" w:ascii="宋体" w:hAnsi="宋体" w:cs="宋体"/>
                <w:color w:val="000000"/>
                <w:sz w:val="20"/>
                <w:szCs w:val="20"/>
                <w:highlight w:val="none"/>
              </w:rPr>
            </w:r>
            <w:r/>
          </w:p>
        </w:tc>
      </w:tr>
      <w:tr>
        <w:trPr>
          <w:trHeight w:val="97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新海路两侧、新海桥东侧、玉带河两岸</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w:t>
            </w:r>
            <w:r>
              <w:rPr>
                <w:rFonts w:hint="eastAsia" w:ascii="宋体" w:hAnsi="宋体" w:cs="宋体"/>
                <w:color w:val="000000"/>
                <w:sz w:val="20"/>
                <w:szCs w:val="20"/>
                <w:highlight w:val="none"/>
              </w:rPr>
            </w:r>
            <w:r/>
          </w:p>
        </w:tc>
      </w:tr>
      <w:tr>
        <w:trPr>
          <w:trHeight w:val="97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江化南路、甲子河东西两侧、玉带河南北两岸</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DN315、DN450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795</w:t>
            </w:r>
            <w:r>
              <w:rPr>
                <w:rFonts w:hint="eastAsia" w:ascii="宋体" w:hAnsi="宋体" w:cs="宋体"/>
                <w:color w:val="000000"/>
                <w:sz w:val="20"/>
                <w:szCs w:val="20"/>
                <w:highlight w:val="none"/>
              </w:rPr>
            </w:r>
            <w:r/>
          </w:p>
        </w:tc>
      </w:tr>
      <w:tr>
        <w:trPr>
          <w:trHeight w:val="49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郁洲南路、景山秀水</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45</w:t>
            </w:r>
            <w:r>
              <w:rPr>
                <w:rFonts w:hint="eastAsia" w:ascii="宋体" w:hAnsi="宋体" w:cs="宋体"/>
                <w:color w:val="000000"/>
                <w:sz w:val="20"/>
                <w:szCs w:val="20"/>
                <w:highlight w:val="none"/>
              </w:rPr>
            </w:r>
            <w:r/>
          </w:p>
        </w:tc>
      </w:tr>
      <w:tr>
        <w:trPr>
          <w:trHeight w:val="97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振兴绿园、兴隆装饰城、东盐河两岸</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DN315、DN450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HDPE管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560</w:t>
            </w:r>
            <w:r>
              <w:rPr>
                <w:rFonts w:hint="eastAsia" w:ascii="宋体" w:hAnsi="宋体" w:cs="宋体"/>
                <w:color w:val="000000"/>
                <w:sz w:val="20"/>
                <w:szCs w:val="20"/>
                <w:highlight w:val="none"/>
              </w:rPr>
            </w:r>
            <w:r/>
          </w:p>
        </w:tc>
      </w:tr>
      <w:tr>
        <w:trPr>
          <w:trHeight w:val="97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沈圩闸东侧排口、市鑫海水利工程质量检测中</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DN300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39.6</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西盐河、南极路北路、南极桥附近</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过河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117.5</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西盐河、南极路北路、南极桥附近</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DN560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过河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87</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西盐河、一号泵站河对面</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DN300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4.6</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西盐河、民主桥东侧排口</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35</w:t>
            </w:r>
            <w:r>
              <w:rPr>
                <w:rFonts w:hint="eastAsia" w:ascii="宋体" w:hAnsi="宋体" w:cs="宋体"/>
                <w:color w:val="000000"/>
                <w:sz w:val="20"/>
                <w:szCs w:val="20"/>
                <w:highlight w:val="none"/>
              </w:rPr>
            </w:r>
            <w:r/>
          </w:p>
        </w:tc>
      </w:tr>
      <w:tr>
        <w:trPr>
          <w:trHeight w:val="97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西盐河西岸、大庆西路与盐河路交叉口</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w:t>
            </w:r>
            <w:r>
              <w:rPr>
                <w:rFonts w:hint="eastAsia" w:ascii="宋体" w:hAnsi="宋体" w:cs="宋体"/>
                <w:color w:val="000000"/>
                <w:sz w:val="20"/>
                <w:szCs w:val="20"/>
                <w:highlight w:val="none"/>
              </w:rPr>
            </w:r>
            <w:r/>
          </w:p>
        </w:tc>
      </w:tr>
      <w:tr>
        <w:trPr>
          <w:trHeight w:val="97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西盐河西岸、海宁路与盐河路交叉口东北角</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130</w:t>
            </w:r>
            <w:r>
              <w:rPr>
                <w:rFonts w:hint="eastAsia" w:ascii="宋体" w:hAnsi="宋体" w:cs="宋体"/>
                <w:color w:val="000000"/>
                <w:sz w:val="20"/>
                <w:szCs w:val="20"/>
                <w:highlight w:val="none"/>
              </w:rPr>
            </w:r>
            <w:r/>
          </w:p>
        </w:tc>
      </w:tr>
      <w:tr>
        <w:trPr>
          <w:trHeight w:val="97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西盐河西岸、海宁路与盐河路交叉口东北角</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DN560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64</w:t>
            </w:r>
            <w:r>
              <w:rPr>
                <w:rFonts w:hint="eastAsia" w:ascii="宋体" w:hAnsi="宋体" w:cs="宋体"/>
                <w:color w:val="000000"/>
                <w:sz w:val="20"/>
                <w:szCs w:val="20"/>
                <w:highlight w:val="none"/>
              </w:rPr>
            </w:r>
            <w:r/>
          </w:p>
        </w:tc>
      </w:tr>
      <w:tr>
        <w:trPr>
          <w:trHeight w:val="97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西盐河东岸、海宁路与盐河路交叉口东北角</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DN560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118</w:t>
            </w:r>
            <w:r>
              <w:rPr>
                <w:rFonts w:hint="eastAsia" w:ascii="宋体" w:hAnsi="宋体" w:cs="宋体"/>
                <w:color w:val="000000"/>
                <w:sz w:val="20"/>
                <w:szCs w:val="20"/>
                <w:highlight w:val="none"/>
              </w:rPr>
            </w:r>
            <w:r/>
          </w:p>
        </w:tc>
      </w:tr>
      <w:tr>
        <w:trPr>
          <w:trHeight w:val="97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建设东路、科苑路至学院路、海连新天、中央</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DN160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PVC管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人行道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175</w:t>
            </w:r>
            <w:r>
              <w:rPr>
                <w:rFonts w:hint="eastAsia" w:ascii="宋体" w:hAnsi="宋体" w:cs="宋体"/>
                <w:color w:val="000000"/>
                <w:sz w:val="20"/>
                <w:szCs w:val="20"/>
                <w:highlight w:val="none"/>
              </w:rPr>
            </w:r>
            <w:r/>
          </w:p>
        </w:tc>
      </w:tr>
      <w:tr>
        <w:trPr>
          <w:trHeight w:val="97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建设东路、科苑路至学院路、海连新天、中央</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DN200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PVC管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人行道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517</w:t>
            </w:r>
            <w:r>
              <w:rPr>
                <w:rFonts w:hint="eastAsia" w:ascii="宋体" w:hAnsi="宋体" w:cs="宋体"/>
                <w:color w:val="000000"/>
                <w:sz w:val="20"/>
                <w:szCs w:val="20"/>
                <w:highlight w:val="none"/>
              </w:rPr>
            </w:r>
            <w:r/>
          </w:p>
        </w:tc>
      </w:tr>
      <w:tr>
        <w:trPr>
          <w:trHeight w:val="97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建设东路、科苑路至学院路、海连新天、中央</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DN300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塑钢缠绕管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人行道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79.2</w:t>
            </w:r>
            <w:r>
              <w:rPr>
                <w:rFonts w:hint="eastAsia" w:ascii="宋体" w:hAnsi="宋体" w:cs="宋体"/>
                <w:color w:val="000000"/>
                <w:sz w:val="20"/>
                <w:szCs w:val="20"/>
                <w:highlight w:val="none"/>
              </w:rPr>
            </w:r>
            <w:r/>
          </w:p>
        </w:tc>
      </w:tr>
      <w:tr>
        <w:trPr>
          <w:trHeight w:val="97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建设东路与学院路交叉口至金秋情缘小区内</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DN355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136</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科苑路---运河路---文昌路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DN400、DN560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866</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海连路与巨龙路交叉口</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118</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民主西路与盐河北路交叉口</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98.4</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龙尾河东岸</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朝阳路~民主路泵站</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DN800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河边绿化带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2,728.00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民主路泵站~人民路泵站</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河边绿化带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970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龙尾河西岸</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海宁路~扁担河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河边绿化带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1,444.00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人民路~扁担河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DN1200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河边绿化带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3,379.00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西盐河东岸</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海宁路~朝阳路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河边绿化带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海连路~朝阳路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DN600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河边绿化带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764</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人民路~海连路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DN800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河边绿化带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2,363.00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西盐河西岸</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海宁路~朝阳路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DN800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河边绿化带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628</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朝阳路~陇海路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河边绿化带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1,227.00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1号泵站~陇海路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DN1200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河边绿化带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800</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8" w:space="0"/>
              <w:bottom w:val="single" w:color="000000" w:sz="8" w:space="0"/>
              <w:right w:val="single" w:color="000000" w:sz="8" w:space="0"/>
            </w:tcBorders>
            <w:tcW w:w="516" w:type="dxa"/>
            <w:vAlign w:val="center"/>
            <w:vMerge w:val="restart"/>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77</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337" w:type="dxa"/>
            <w:vAlign w:val="center"/>
            <w:vMerge w:val="restart"/>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none" w:color="000000" w:sz="4"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人民公园污水泵站</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316" w:type="dxa"/>
            <w:vAlign w:val="center"/>
            <w:vMerge w:val="restart"/>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DN600</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171" w:type="dxa"/>
            <w:vAlign w:val="center"/>
            <w:vMerge w:val="restart"/>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压力管</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134" w:type="dxa"/>
            <w:vAlign w:val="center"/>
            <w:vMerge w:val="restart"/>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75" w:type="dxa"/>
            <w:vAlign w:val="center"/>
            <w:vMerge w:val="restart"/>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1,070.00</w:t>
            </w:r>
            <w:r>
              <w:rPr>
                <w:rFonts w:hint="eastAsia" w:ascii="宋体" w:hAnsi="宋体" w:cs="宋体"/>
                <w:color w:val="000000"/>
                <w:sz w:val="20"/>
                <w:szCs w:val="20"/>
                <w:highlight w:val="none"/>
              </w:rPr>
            </w:r>
            <w:r/>
          </w:p>
        </w:tc>
      </w:tr>
      <w:tr>
        <w:trPr>
          <w:trHeight w:val="495"/>
        </w:trPr>
        <w:tc>
          <w:tcPr>
            <w:tcBorders>
              <w:top w:val="none" w:color="000000" w:sz="4" w:space="0"/>
              <w:left w:val="single" w:color="000000" w:sz="8" w:space="0"/>
              <w:bottom w:val="single" w:color="000000" w:sz="8" w:space="0"/>
              <w:right w:val="single" w:color="000000" w:sz="8" w:space="0"/>
            </w:tcBorders>
            <w:tcW w:w="516"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337"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～化工排污沟污水管道</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316"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171"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134"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75"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480"/>
        </w:trPr>
        <w:tc>
          <w:tcPr>
            <w:tcBorders>
              <w:top w:val="none" w:color="000000" w:sz="4" w:space="0"/>
              <w:left w:val="single" w:color="000000" w:sz="8" w:space="0"/>
              <w:bottom w:val="single" w:color="000000" w:sz="8" w:space="0"/>
              <w:right w:val="single" w:color="000000" w:sz="8" w:space="0"/>
            </w:tcBorders>
            <w:tcW w:w="516" w:type="dxa"/>
            <w:vAlign w:val="center"/>
            <w:vMerge w:val="restart"/>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78</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337" w:type="dxa"/>
            <w:vAlign w:val="center"/>
            <w:vMerge w:val="restart"/>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none" w:color="000000" w:sz="4"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幸福路污水管道</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316" w:type="dxa"/>
            <w:vAlign w:val="center"/>
            <w:vMerge w:val="restart"/>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1800*2000</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171" w:type="dxa"/>
            <w:vAlign w:val="center"/>
            <w:vMerge w:val="restart"/>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134" w:type="dxa"/>
            <w:vAlign w:val="center"/>
            <w:vMerge w:val="restart"/>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石砌</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75" w:type="dxa"/>
            <w:vAlign w:val="center"/>
            <w:vMerge w:val="restart"/>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河边西侧</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6,750.00</w:t>
            </w:r>
            <w:r>
              <w:rPr>
                <w:rFonts w:hint="eastAsia" w:ascii="宋体" w:hAnsi="宋体" w:cs="宋体"/>
                <w:color w:val="000000"/>
                <w:sz w:val="20"/>
                <w:szCs w:val="20"/>
                <w:highlight w:val="none"/>
              </w:rPr>
            </w:r>
            <w:r/>
          </w:p>
        </w:tc>
      </w:tr>
      <w:tr>
        <w:trPr>
          <w:trHeight w:val="495"/>
        </w:trPr>
        <w:tc>
          <w:tcPr>
            <w:tcBorders>
              <w:top w:val="none" w:color="000000" w:sz="4" w:space="0"/>
              <w:left w:val="single" w:color="000000" w:sz="8" w:space="0"/>
              <w:bottom w:val="single" w:color="000000" w:sz="8" w:space="0"/>
              <w:right w:val="single" w:color="000000" w:sz="8" w:space="0"/>
            </w:tcBorders>
            <w:tcW w:w="516"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337"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～大浦方涵化工排污沟</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316"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171"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134"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75"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大浦方涵</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2000*2400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石砌</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2,749.00</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龙尾河西侧、新浦中学北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DN300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河边绿化带内</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39.6</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西盐河、南极北路、南极桥附近</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DN400、DN560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204.5</w:t>
            </w:r>
            <w:r>
              <w:rPr>
                <w:rFonts w:hint="eastAsia" w:ascii="宋体" w:hAnsi="宋体" w:cs="宋体"/>
                <w:color w:val="000000"/>
                <w:sz w:val="20"/>
                <w:szCs w:val="20"/>
                <w:highlight w:val="none"/>
              </w:rPr>
            </w:r>
            <w:r/>
          </w:p>
        </w:tc>
      </w:tr>
      <w:tr>
        <w:trPr>
          <w:trHeight w:val="49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西盐河、江南印象对面</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DN300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绿化带内</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4.6</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西盐河、民主桥西侧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河边绿化带内</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35</w:t>
            </w:r>
            <w:r>
              <w:rPr>
                <w:rFonts w:hint="eastAsia" w:ascii="宋体" w:hAnsi="宋体" w:cs="宋体"/>
                <w:color w:val="000000"/>
                <w:sz w:val="20"/>
                <w:szCs w:val="20"/>
                <w:highlight w:val="none"/>
              </w:rPr>
            </w:r>
            <w:r/>
          </w:p>
        </w:tc>
      </w:tr>
      <w:tr>
        <w:trPr>
          <w:trHeight w:val="49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西盐河西岸、大庆桥北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河边绿化带内</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w:t>
            </w:r>
            <w:r>
              <w:rPr>
                <w:rFonts w:hint="eastAsia" w:ascii="宋体" w:hAnsi="宋体" w:cs="宋体"/>
                <w:color w:val="000000"/>
                <w:sz w:val="20"/>
                <w:szCs w:val="20"/>
                <w:highlight w:val="none"/>
              </w:rPr>
            </w:r>
            <w:r/>
          </w:p>
        </w:tc>
      </w:tr>
      <w:tr>
        <w:trPr>
          <w:trHeight w:val="121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西盐河西岸、海宁路与盐河路交叉口、盐河路东侧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DN450、DN560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河边绿化带内</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259</w:t>
            </w:r>
            <w:r>
              <w:rPr>
                <w:rFonts w:hint="eastAsia" w:ascii="宋体" w:hAnsi="宋体" w:cs="宋体"/>
                <w:color w:val="000000"/>
                <w:sz w:val="20"/>
                <w:szCs w:val="20"/>
                <w:highlight w:val="none"/>
              </w:rPr>
            </w:r>
            <w:r/>
          </w:p>
        </w:tc>
      </w:tr>
      <w:tr>
        <w:trPr>
          <w:trHeight w:val="97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西盐河东侧、海宁路与盐河路交叉口</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DN560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河边绿化带内</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118</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通灌北路桥西、龙尾河北侧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HDPE管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河边绿化带内</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w:t>
            </w:r>
            <w:r>
              <w:rPr>
                <w:rFonts w:hint="eastAsia" w:ascii="宋体" w:hAnsi="宋体" w:cs="宋体"/>
                <w:color w:val="000000"/>
                <w:sz w:val="20"/>
                <w:szCs w:val="20"/>
                <w:highlight w:val="none"/>
              </w:rPr>
            </w:r>
            <w:r/>
          </w:p>
        </w:tc>
      </w:tr>
      <w:tr>
        <w:trPr>
          <w:trHeight w:val="121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通院巷、瀛洲路西侧绿化带过龙尾河至龙尾河西侧绿化带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河边绿化带内</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98</w:t>
            </w:r>
            <w:r>
              <w:rPr>
                <w:rFonts w:hint="eastAsia" w:ascii="宋体" w:hAnsi="宋体" w:cs="宋体"/>
                <w:color w:val="000000"/>
                <w:sz w:val="20"/>
                <w:szCs w:val="20"/>
                <w:highlight w:val="none"/>
              </w:rPr>
            </w:r>
            <w:r/>
          </w:p>
        </w:tc>
      </w:tr>
      <w:tr>
        <w:trPr>
          <w:trHeight w:val="145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建设东路路头，水产品市场门前过龙尾河至龙尾河西侧绿化带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过河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w:t>
            </w:r>
            <w:r>
              <w:rPr>
                <w:rFonts w:hint="eastAsia" w:ascii="宋体" w:hAnsi="宋体" w:cs="宋体"/>
                <w:color w:val="000000"/>
                <w:sz w:val="20"/>
                <w:szCs w:val="20"/>
                <w:highlight w:val="none"/>
              </w:rPr>
            </w:r>
            <w:r/>
          </w:p>
        </w:tc>
      </w:tr>
      <w:tr>
        <w:trPr>
          <w:trHeight w:val="169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郁海广场北，瀛洲路东侧非机动车道过瀛洲路至龙尾河西侧绿化带内</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DN560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非机动车道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167</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龙尾河西侧，郁海广场绿化带内</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HDPE管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绿化带内</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45</w:t>
            </w:r>
            <w:r>
              <w:rPr>
                <w:rFonts w:hint="eastAsia" w:ascii="宋体" w:hAnsi="宋体" w:cs="宋体"/>
                <w:color w:val="000000"/>
                <w:sz w:val="20"/>
                <w:szCs w:val="20"/>
                <w:highlight w:val="none"/>
              </w:rPr>
            </w:r>
            <w:r/>
          </w:p>
        </w:tc>
      </w:tr>
      <w:tr>
        <w:trPr>
          <w:trHeight w:val="145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东盐河西侧，凌州路南侧非机动车道过凌州路至凌州路北侧人行道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非机动车道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135</w:t>
            </w:r>
            <w:r>
              <w:rPr>
                <w:rFonts w:hint="eastAsia" w:ascii="宋体" w:hAnsi="宋体" w:cs="宋体"/>
                <w:color w:val="000000"/>
                <w:sz w:val="20"/>
                <w:szCs w:val="20"/>
                <w:highlight w:val="none"/>
              </w:rPr>
            </w:r>
            <w:r/>
          </w:p>
        </w:tc>
      </w:tr>
      <w:tr>
        <w:trPr>
          <w:trHeight w:val="145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新海路东侧、玉带河南侧绿化带至玉带河北侧新海路污水检查井</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138</w:t>
            </w:r>
            <w:r>
              <w:rPr>
                <w:rFonts w:hint="eastAsia" w:ascii="宋体" w:hAnsi="宋体" w:cs="宋体"/>
                <w:color w:val="000000"/>
                <w:sz w:val="20"/>
                <w:szCs w:val="20"/>
                <w:highlight w:val="none"/>
              </w:rPr>
            </w:r>
            <w:r/>
          </w:p>
        </w:tc>
      </w:tr>
      <w:tr>
        <w:trPr>
          <w:trHeight w:val="19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德邦化肥厂东侧机动车道过玉带河南侧合流排口一段、玉带河南侧，甲子河东西两侧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DN315、DN450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945</w:t>
            </w:r>
            <w:r>
              <w:rPr>
                <w:rFonts w:hint="eastAsia" w:ascii="宋体" w:hAnsi="宋体" w:cs="宋体"/>
                <w:color w:val="000000"/>
                <w:sz w:val="20"/>
                <w:szCs w:val="20"/>
                <w:highlight w:val="none"/>
              </w:rPr>
            </w:r>
            <w:r/>
          </w:p>
        </w:tc>
      </w:tr>
      <w:tr>
        <w:trPr>
          <w:trHeight w:val="49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郁洲南路、玉带河北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非机动车道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47</w:t>
            </w:r>
            <w:r>
              <w:rPr>
                <w:rFonts w:hint="eastAsia" w:ascii="宋体" w:hAnsi="宋体" w:cs="宋体"/>
                <w:color w:val="000000"/>
                <w:sz w:val="20"/>
                <w:szCs w:val="20"/>
                <w:highlight w:val="none"/>
              </w:rPr>
            </w:r>
            <w:r/>
          </w:p>
        </w:tc>
      </w:tr>
      <w:tr>
        <w:trPr>
          <w:trHeight w:val="121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东盐河南侧，兴隆装饰城拖管过河至海宁大道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DN315、DN450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720</w:t>
            </w:r>
            <w:r>
              <w:rPr>
                <w:rFonts w:hint="eastAsia" w:ascii="宋体" w:hAnsi="宋体" w:cs="宋体"/>
                <w:color w:val="000000"/>
                <w:sz w:val="20"/>
                <w:szCs w:val="20"/>
                <w:highlight w:val="none"/>
              </w:rPr>
            </w:r>
            <w:r/>
          </w:p>
        </w:tc>
      </w:tr>
      <w:tr>
        <w:trPr>
          <w:trHeight w:val="145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新海高级中学内，沿北围栏，起点东测信号塔终点大门西侧约50米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人行道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138</w:t>
            </w:r>
            <w:r>
              <w:rPr>
                <w:rFonts w:hint="eastAsia" w:ascii="宋体" w:hAnsi="宋体" w:cs="宋体"/>
                <w:color w:val="000000"/>
                <w:sz w:val="20"/>
                <w:szCs w:val="20"/>
                <w:highlight w:val="none"/>
              </w:rPr>
            </w:r>
            <w:r/>
          </w:p>
        </w:tc>
      </w:tr>
      <w:tr>
        <w:trPr>
          <w:trHeight w:val="145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海连新天、中央华府、金秋情缘沿街（建设路）商铺门前</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DN160、DN200、DN300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人行道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1,027.50</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建设东路与学院路交叉口</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DN355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人行道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136</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东盐河西侧，苍梧路北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DN400、DN560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1,025.00</w:t>
            </w:r>
            <w:r>
              <w:rPr>
                <w:rFonts w:hint="eastAsia" w:ascii="宋体" w:hAnsi="宋体" w:cs="宋体"/>
                <w:color w:val="000000"/>
                <w:sz w:val="20"/>
                <w:szCs w:val="20"/>
                <w:highlight w:val="none"/>
              </w:rPr>
            </w:r>
            <w:r/>
          </w:p>
        </w:tc>
      </w:tr>
      <w:tr>
        <w:trPr>
          <w:trHeight w:val="49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巨龙路，海连路北侧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118</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西盐河西岸，民主路北侧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98.4</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龙尾河西岸，贾圩桥南北两侧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桥底</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66</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东盐河西岸，苍梧路北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122</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南极路东侧，红砂路两侧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812</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建设路南侧（通灌路-龙尾河）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人行道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832</w:t>
            </w:r>
            <w:r>
              <w:rPr>
                <w:rFonts w:hint="eastAsia" w:ascii="宋体" w:hAnsi="宋体" w:cs="宋体"/>
                <w:color w:val="000000"/>
                <w:sz w:val="20"/>
                <w:szCs w:val="20"/>
                <w:highlight w:val="none"/>
              </w:rPr>
            </w:r>
            <w:r/>
          </w:p>
        </w:tc>
      </w:tr>
      <w:tr>
        <w:trPr>
          <w:trHeight w:val="49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淮海工学院南门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DN300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人行道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95</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龙尾河西侧，建设路北侧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西盐河两岸，沈圩桥西侧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过河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264</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龙尾河东侧，通灌路桥-建国路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快车道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847</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玉带河北侧，新海桥东侧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波纹管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386.5</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海宁路南侧，玉带新村段</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58</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玉河路西侧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机动车道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408.9</w:t>
            </w:r>
            <w:r>
              <w:rPr>
                <w:rFonts w:hint="eastAsia" w:ascii="宋体" w:hAnsi="宋体" w:cs="宋体"/>
                <w:color w:val="000000"/>
                <w:sz w:val="20"/>
                <w:szCs w:val="20"/>
                <w:highlight w:val="none"/>
              </w:rPr>
            </w:r>
            <w:r/>
          </w:p>
        </w:tc>
      </w:tr>
      <w:tr>
        <w:trPr>
          <w:trHeight w:val="97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南极南路（海宁路-秦东门大街）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人行道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800</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东望路（红砂路-秦东门大街）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人行道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400</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海昌路（海宁路-玉带河路）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人行道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300</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val="false"/>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经二路（海宁路-玉带河路）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PE管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慢车道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应急水源输送管网</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茅口排灌站院内-大圣湖</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DN1200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压力管道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球墨铸铁管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河边</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8900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小计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139,892.20</w:t>
            </w:r>
            <w:r>
              <w:rPr>
                <w:rFonts w:hint="eastAsia" w:ascii="宋体" w:hAnsi="宋体" w:cs="宋体"/>
                <w:b/>
                <w:bCs/>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连云地区管网</w:t>
            </w:r>
            <w:r>
              <w:rPr>
                <w:rFonts w:hint="eastAsia" w:ascii="宋体" w:hAnsi="宋体" w:cs="宋体"/>
                <w:b/>
                <w:bCs/>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新光路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新墟公路~中华路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DN1200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505</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站前路~中华路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DN600/DN500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365</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站前路~虎平路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DN600/DN800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914</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虎平路~碱厂南路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1,574.00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碱厂南路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平山路~碱厂南路泵站</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1800*1300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现浇方函</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1,440.00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平山路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平山泵站~碱厂南路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压力管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球铁管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938</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大港路~碱厂南路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压力管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混凝土顶管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1,295.00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运盐河东岸</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新光路~碱厂泵站</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696</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大港路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送盐水渠~平山路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混凝土顶管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680</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污水厂~平山路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重力管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混凝土顶管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870</w:t>
            </w:r>
            <w:r>
              <w:rPr>
                <w:rFonts w:hint="eastAsia" w:ascii="宋体" w:hAnsi="宋体" w:cs="宋体"/>
                <w:color w:val="000000"/>
                <w:sz w:val="20"/>
                <w:szCs w:val="20"/>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小计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b/>
                <w:bCs/>
                <w:color w:val="000000"/>
                <w:sz w:val="22"/>
                <w:highlight w:val="none"/>
              </w:rPr>
            </w:pPr>
            <w:r>
              <w:rPr>
                <w:rFonts w:hint="eastAsia" w:ascii="宋体" w:hAnsi="宋体" w:cs="宋体"/>
                <w:b/>
                <w:bCs/>
                <w:color w:val="000000"/>
                <w:sz w:val="22"/>
                <w:highlight w:val="none"/>
              </w:rPr>
              <w:t xml:space="preserve">9,277.00</w:t>
            </w:r>
            <w:r>
              <w:rPr>
                <w:rFonts w:hint="eastAsia" w:ascii="宋体" w:hAnsi="宋体" w:cs="宋体"/>
                <w:b/>
                <w:bCs/>
                <w:color w:val="000000"/>
                <w:sz w:val="22"/>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516" w:type="dxa"/>
            <w:vAlign w:val="center"/>
            <w:textDirection w:val="lrTb"/>
            <w:noWrap/>
          </w:tcPr>
          <w:p>
            <w:pPr>
              <w:pStyle w:val="856"/>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W w:w="1337" w:type="dxa"/>
            <w:vAlign w:val="center"/>
            <w:textDirection w:val="lrTb"/>
            <w:noWrap/>
          </w:tcPr>
          <w:p>
            <w:pPr>
              <w:pStyle w:val="85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合计</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746" w:type="dxa"/>
            <w:vAlign w:val="center"/>
            <w:textDirection w:val="lrTb"/>
            <w:noWrap/>
          </w:tcPr>
          <w:p>
            <w:pPr>
              <w:pStyle w:val="856"/>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W w:w="1316" w:type="dxa"/>
            <w:vAlign w:val="center"/>
            <w:textDirection w:val="lrTb"/>
            <w:noWrap/>
          </w:tcPr>
          <w:p>
            <w:pPr>
              <w:pStyle w:val="856"/>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W w:w="1171" w:type="dxa"/>
            <w:vAlign w:val="center"/>
            <w:textDirection w:val="lrTb"/>
            <w:noWrap/>
          </w:tcPr>
          <w:p>
            <w:pPr>
              <w:pStyle w:val="856"/>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pStyle w:val="856"/>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tcPr>
          <w:p>
            <w:pPr>
              <w:pStyle w:val="856"/>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W w:w="1224" w:type="dxa"/>
            <w:vAlign w:val="center"/>
            <w:textDirection w:val="lrTb"/>
            <w:noWrap/>
          </w:tcPr>
          <w:p>
            <w:pPr>
              <w:pStyle w:val="856"/>
              <w:jc w:val="righ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149,169.20</w:t>
            </w:r>
            <w:r>
              <w:rPr>
                <w:rFonts w:hint="eastAsia" w:ascii="宋体" w:hAnsi="宋体" w:cs="宋体"/>
                <w:b/>
                <w:bCs/>
                <w:color w:val="000000"/>
                <w:sz w:val="20"/>
                <w:szCs w:val="20"/>
                <w:highlight w:val="none"/>
              </w:rPr>
            </w:r>
            <w:r/>
          </w:p>
        </w:tc>
      </w:tr>
    </w:tbl>
    <w:p>
      <w:pPr>
        <w:pStyle w:val="868"/>
        <w:rPr>
          <w:rFonts w:hint="eastAsia"/>
          <w:color w:val="000000"/>
          <w:highlight w:val="none"/>
        </w:rPr>
      </w:pPr>
      <w:r>
        <w:rPr>
          <w:rFonts w:hint="eastAsia"/>
          <w:color w:val="000000"/>
          <w:highlight w:val="none"/>
        </w:rPr>
      </w:r>
      <w:r/>
    </w:p>
    <w:p>
      <w:pPr>
        <w:pStyle w:val="856"/>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本项目招标范围内需运行维护的污水泵站情况如表</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56"/>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br w:type="page" w:clear="all"/>
      </w:r>
      <w:r>
        <w:rPr>
          <w:rFonts w:ascii="宋体" w:hAnsi="宋体"/>
          <w:bCs/>
          <w:color w:val="000000"/>
          <w:sz w:val="24"/>
          <w:szCs w:val="24"/>
          <w:highlight w:val="none"/>
        </w:rPr>
      </w:r>
      <w:r/>
    </w:p>
    <w:p>
      <w:pPr>
        <w:pStyle w:val="856"/>
        <w:jc w:val="center"/>
        <w:spacing w:line="480" w:lineRule="auto"/>
        <w:rPr>
          <w:rFonts w:ascii="宋体" w:hAnsi="宋体"/>
          <w:bCs/>
          <w:color w:val="000000"/>
          <w:sz w:val="24"/>
          <w:szCs w:val="24"/>
          <w:highlight w:val="none"/>
        </w:rPr>
      </w:pPr>
      <w:r>
        <w:rPr>
          <w:rFonts w:ascii="宋体" w:hAnsi="宋体"/>
          <w:bCs/>
          <w:color w:val="000000"/>
          <w:sz w:val="24"/>
          <w:szCs w:val="24"/>
          <w:highlight w:val="none"/>
        </w:rPr>
        <w:t xml:space="preserve">表2</w:t>
      </w:r>
      <w:r>
        <w:rPr>
          <w:rFonts w:hint="eastAsia" w:ascii="宋体" w:hAnsi="宋体"/>
          <w:bCs/>
          <w:color w:val="000000"/>
          <w:sz w:val="24"/>
          <w:szCs w:val="24"/>
          <w:highlight w:val="none"/>
        </w:rPr>
        <w:t xml:space="preserve"> 连云港市区污水泵站情况</w:t>
      </w:r>
      <w:r>
        <w:rPr>
          <w:rFonts w:ascii="宋体" w:hAnsi="宋体"/>
          <w:bCs/>
          <w:color w:val="000000"/>
          <w:sz w:val="24"/>
          <w:szCs w:val="24"/>
          <w:highlight w:val="none"/>
        </w:rPr>
      </w:r>
      <w:r/>
    </w:p>
    <w:tbl>
      <w:tblPr>
        <w:tblW w:w="10360" w:type="dxa"/>
        <w:tblInd w:w="10" w:type="dxa"/>
        <w:tblLayout w:type="autofit"/>
        <w:tblCellMar>
          <w:left w:w="108" w:type="dxa"/>
          <w:top w:w="0" w:type="dxa"/>
          <w:right w:w="108" w:type="dxa"/>
          <w:bottom w:w="0" w:type="dxa"/>
        </w:tblCellMar>
        <w:tblLook w:val="04A0" w:firstRow="1" w:lastRow="0" w:firstColumn="1" w:lastColumn="0" w:noHBand="0" w:noVBand="1"/>
      </w:tblPr>
      <w:tblGrid>
        <w:gridCol w:w="699"/>
        <w:gridCol w:w="1603"/>
        <w:gridCol w:w="1920"/>
        <w:gridCol w:w="1247"/>
        <w:gridCol w:w="3120"/>
        <w:gridCol w:w="1771"/>
      </w:tblGrid>
      <w:tr>
        <w:trPr>
          <w:trHeight w:val="840"/>
          <w:tblHeader/>
        </w:trPr>
        <w:tc>
          <w:tcPr>
            <w:gridSpan w:val="6"/>
            <w:tcBorders>
              <w:top w:val="none" w:color="000000" w:sz="4" w:space="0"/>
              <w:left w:val="none" w:color="000000" w:sz="4" w:space="0"/>
              <w:bottom w:val="single" w:color="000000" w:sz="8" w:space="0"/>
              <w:right w:val="none" w:color="000000" w:sz="4" w:space="0"/>
            </w:tcBorders>
            <w:tcW w:w="10360" w:type="dxa"/>
            <w:vAlign w:val="center"/>
            <w:textDirection w:val="lrTb"/>
            <w:noWrap/>
          </w:tcPr>
          <w:p>
            <w:pPr>
              <w:pStyle w:val="856"/>
              <w:jc w:val="center"/>
              <w:widowControl/>
              <w:rPr>
                <w:rFonts w:ascii="宋体" w:hAnsi="宋体" w:cs="宋体"/>
                <w:color w:val="000000"/>
                <w:sz w:val="36"/>
                <w:szCs w:val="36"/>
                <w:highlight w:val="none"/>
              </w:rPr>
            </w:pPr>
            <w:r>
              <w:rPr>
                <w:rFonts w:hint="eastAsia" w:ascii="宋体" w:hAnsi="宋体" w:cs="宋体"/>
                <w:color w:val="000000"/>
                <w:sz w:val="36"/>
                <w:szCs w:val="36"/>
                <w:highlight w:val="none"/>
              </w:rPr>
              <w:t xml:space="preserve">连云港市市区污水泵站一览表</w:t>
            </w:r>
            <w:r>
              <w:rPr>
                <w:rFonts w:ascii="宋体" w:hAnsi="宋体" w:cs="宋体"/>
                <w:color w:val="000000"/>
                <w:sz w:val="36"/>
                <w:szCs w:val="36"/>
                <w:highlight w:val="none"/>
              </w:rPr>
            </w:r>
            <w:r/>
          </w:p>
        </w:tc>
      </w:tr>
      <w:tr>
        <w:trPr>
          <w:trHeight w:val="1020"/>
          <w:tblHeader/>
        </w:trPr>
        <w:tc>
          <w:tcPr>
            <w:tcBorders>
              <w:top w:val="none" w:color="000000" w:sz="4" w:space="0"/>
              <w:left w:val="single" w:color="000000" w:sz="8" w:space="0"/>
              <w:bottom w:val="single" w:color="000000" w:sz="8" w:space="0"/>
              <w:right w:val="single" w:color="000000" w:sz="8" w:space="0"/>
            </w:tcBorders>
            <w:tcW w:w="699" w:type="dxa"/>
            <w:vAlign w:val="center"/>
            <w:vMerge w:val="restart"/>
            <w:textDirection w:val="lrTb"/>
            <w:noWrap/>
          </w:tcPr>
          <w:p>
            <w:pPr>
              <w:pStyle w:val="856"/>
              <w:jc w:val="center"/>
              <w:widowControl/>
              <w:rPr>
                <w:rFonts w:hint="eastAsia" w:ascii="宋体" w:hAnsi="宋体" w:cs="宋体"/>
                <w:b/>
                <w:bCs/>
                <w:color w:val="000000"/>
                <w:sz w:val="22"/>
                <w:highlight w:val="none"/>
              </w:rPr>
            </w:pPr>
            <w:r>
              <w:rPr>
                <w:rFonts w:hint="eastAsia" w:ascii="宋体" w:hAnsi="宋体" w:cs="宋体"/>
                <w:b/>
                <w:bCs/>
                <w:color w:val="000000"/>
                <w:sz w:val="22"/>
                <w:highlight w:val="none"/>
              </w:rPr>
              <w:t xml:space="preserve">序号</w:t>
            </w:r>
            <w:r>
              <w:rPr>
                <w:rFonts w:hint="eastAsia" w:ascii="宋体" w:hAnsi="宋体" w:cs="宋体"/>
                <w:b/>
                <w:bCs/>
                <w:color w:val="000000"/>
                <w:sz w:val="22"/>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restart"/>
            <w:textDirection w:val="lrTb"/>
            <w:noWrap/>
          </w:tcPr>
          <w:p>
            <w:pPr>
              <w:pStyle w:val="856"/>
              <w:jc w:val="center"/>
              <w:widowControl/>
              <w:rPr>
                <w:rFonts w:hint="eastAsia" w:ascii="宋体" w:hAnsi="宋体" w:cs="宋体"/>
                <w:b/>
                <w:bCs/>
                <w:color w:val="000000"/>
                <w:sz w:val="22"/>
                <w:highlight w:val="none"/>
              </w:rPr>
            </w:pPr>
            <w:r>
              <w:rPr>
                <w:rFonts w:hint="eastAsia" w:ascii="宋体" w:hAnsi="宋体" w:cs="宋体"/>
                <w:b/>
                <w:bCs/>
                <w:color w:val="000000"/>
                <w:sz w:val="22"/>
                <w:highlight w:val="none"/>
              </w:rPr>
              <w:t xml:space="preserve">泵站名称</w:t>
            </w:r>
            <w:r>
              <w:rPr>
                <w:rFonts w:hint="eastAsia" w:ascii="宋体" w:hAnsi="宋体" w:cs="宋体"/>
                <w:b/>
                <w:bCs/>
                <w:color w:val="000000"/>
                <w:sz w:val="22"/>
                <w:highlight w:val="none"/>
              </w:rPr>
            </w:r>
            <w:r/>
          </w:p>
        </w:tc>
        <w:tc>
          <w:tcPr>
            <w:tcBorders>
              <w:top w:val="none" w:color="000000" w:sz="4" w:space="0"/>
              <w:left w:val="single" w:color="000000" w:sz="8" w:space="0"/>
              <w:bottom w:val="single" w:color="000000" w:sz="8" w:space="0"/>
              <w:right w:val="single" w:color="000000" w:sz="8" w:space="0"/>
            </w:tcBorders>
            <w:tcW w:w="1920" w:type="dxa"/>
            <w:vAlign w:val="center"/>
            <w:vMerge w:val="restart"/>
            <w:textDirection w:val="lrTb"/>
            <w:noWrap/>
          </w:tcPr>
          <w:p>
            <w:pPr>
              <w:pStyle w:val="856"/>
              <w:jc w:val="center"/>
              <w:widowControl/>
              <w:rPr>
                <w:rFonts w:hint="eastAsia" w:ascii="宋体" w:hAnsi="宋体" w:cs="宋体"/>
                <w:b/>
                <w:bCs/>
                <w:color w:val="000000"/>
                <w:sz w:val="22"/>
                <w:highlight w:val="none"/>
              </w:rPr>
            </w:pPr>
            <w:r>
              <w:rPr>
                <w:rFonts w:hint="eastAsia" w:ascii="宋体" w:hAnsi="宋体" w:cs="宋体"/>
                <w:b/>
                <w:bCs/>
                <w:color w:val="000000"/>
                <w:sz w:val="22"/>
                <w:highlight w:val="none"/>
              </w:rPr>
              <w:t xml:space="preserve">具体位置</w:t>
            </w:r>
            <w:r>
              <w:rPr>
                <w:rFonts w:hint="eastAsia" w:ascii="宋体" w:hAnsi="宋体" w:cs="宋体"/>
                <w:b/>
                <w:bCs/>
                <w:color w:val="000000"/>
                <w:sz w:val="22"/>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restart"/>
            <w:textDirection w:val="lrTb"/>
            <w:noWrap/>
          </w:tcPr>
          <w:p>
            <w:pPr>
              <w:pStyle w:val="856"/>
              <w:jc w:val="center"/>
              <w:widowControl/>
              <w:rPr>
                <w:rFonts w:hint="eastAsia" w:ascii="宋体" w:hAnsi="宋体" w:cs="宋体"/>
                <w:b/>
                <w:bCs/>
                <w:color w:val="000000"/>
                <w:sz w:val="22"/>
                <w:highlight w:val="none"/>
              </w:rPr>
            </w:pPr>
            <w:r>
              <w:rPr>
                <w:rFonts w:hint="eastAsia" w:ascii="宋体" w:hAnsi="宋体" w:cs="宋体"/>
                <w:b/>
                <w:bCs/>
                <w:color w:val="000000"/>
                <w:sz w:val="22"/>
                <w:highlight w:val="none"/>
              </w:rPr>
              <w:t xml:space="preserve">规模（t/d）</w:t>
            </w:r>
            <w:r>
              <w:rPr>
                <w:rFonts w:hint="eastAsia" w:ascii="宋体" w:hAnsi="宋体" w:cs="宋体"/>
                <w:b/>
                <w:bCs/>
                <w:color w:val="000000"/>
                <w:sz w:val="22"/>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restart"/>
            <w:textDirection w:val="lrTb"/>
            <w:noWrap w:val="false"/>
          </w:tcPr>
          <w:p>
            <w:pPr>
              <w:pStyle w:val="856"/>
              <w:jc w:val="left"/>
              <w:widowControl/>
              <w:rPr>
                <w:rFonts w:hint="eastAsia" w:ascii="宋体" w:hAnsi="宋体" w:cs="宋体"/>
                <w:b/>
                <w:bCs/>
                <w:color w:val="000000"/>
                <w:sz w:val="22"/>
                <w:highlight w:val="none"/>
              </w:rPr>
            </w:pPr>
            <w:r>
              <w:rPr>
                <w:rFonts w:hint="eastAsia" w:ascii="宋体" w:hAnsi="宋体" w:cs="宋体"/>
                <w:b/>
                <w:bCs/>
                <w:color w:val="000000"/>
                <w:sz w:val="22"/>
                <w:highlight w:val="none"/>
              </w:rPr>
              <w:t xml:space="preserve">主要设备（水泵功率、台数；格栅机台数；启闭机台数；行车荷载；皮带输送机台数；变压器台数、容量等。</w:t>
            </w:r>
            <w:r>
              <w:rPr>
                <w:rFonts w:hint="eastAsia" w:ascii="宋体" w:hAnsi="宋体" w:cs="宋体"/>
                <w:b/>
                <w:bCs/>
                <w:color w:val="000000"/>
                <w:sz w:val="22"/>
                <w:highlight w:val="none"/>
              </w:rPr>
            </w:r>
            <w:r/>
          </w:p>
        </w:tc>
        <w:tc>
          <w:tcPr>
            <w:tcBorders>
              <w:top w:val="none" w:color="000000" w:sz="4" w:space="0"/>
              <w:left w:val="none" w:color="000000" w:sz="4" w:space="0"/>
              <w:bottom w:val="none" w:color="000000" w:sz="4" w:space="0"/>
              <w:right w:val="single" w:color="000000" w:sz="8" w:space="0"/>
            </w:tcBorders>
            <w:tcW w:w="1771" w:type="dxa"/>
            <w:vAlign w:val="center"/>
            <w:textDirection w:val="lrTb"/>
            <w:noWrap w:val="false"/>
          </w:tcPr>
          <w:p>
            <w:pPr>
              <w:pStyle w:val="856"/>
              <w:jc w:val="center"/>
              <w:widowControl/>
              <w:rPr>
                <w:rFonts w:hint="eastAsia" w:ascii="宋体" w:hAnsi="宋体" w:cs="宋体"/>
                <w:b/>
                <w:bCs/>
                <w:color w:val="000000"/>
                <w:sz w:val="22"/>
                <w:highlight w:val="none"/>
              </w:rPr>
            </w:pPr>
            <w:r>
              <w:rPr>
                <w:rFonts w:hint="eastAsia" w:ascii="宋体" w:hAnsi="宋体" w:cs="宋体"/>
                <w:b/>
                <w:bCs/>
                <w:color w:val="000000"/>
                <w:sz w:val="22"/>
                <w:highlight w:val="none"/>
              </w:rPr>
              <w:t xml:space="preserve">备注</w:t>
            </w:r>
            <w:r>
              <w:rPr>
                <w:rFonts w:hint="eastAsia" w:ascii="宋体" w:hAnsi="宋体" w:cs="宋体"/>
                <w:b/>
                <w:bCs/>
                <w:color w:val="000000"/>
                <w:sz w:val="22"/>
                <w:highlight w:val="none"/>
              </w:rPr>
            </w:r>
            <w:r/>
          </w:p>
        </w:tc>
      </w:tr>
      <w:tr>
        <w:trPr>
          <w:trHeight w:val="285"/>
          <w:tblHeader/>
        </w:trPr>
        <w:tc>
          <w:tcPr>
            <w:tcBorders>
              <w:top w:val="none" w:color="000000" w:sz="4" w:space="0"/>
              <w:left w:val="single" w:color="000000" w:sz="8" w:space="0"/>
              <w:bottom w:val="single" w:color="000000" w:sz="8" w:space="0"/>
              <w:right w:val="single" w:color="000000" w:sz="8" w:space="0"/>
            </w:tcBorders>
            <w:tcW w:w="699" w:type="dxa"/>
            <w:vAlign w:val="center"/>
            <w:vMerge w:val="continue"/>
            <w:textDirection w:val="lrTb"/>
            <w:noWrap w:val="false"/>
          </w:tcPr>
          <w:p>
            <w:pPr>
              <w:pStyle w:val="856"/>
              <w:jc w:val="left"/>
              <w:widowControl/>
              <w:rPr>
                <w:rFonts w:ascii="宋体" w:hAnsi="宋体" w:cs="宋体"/>
                <w:b/>
                <w:bCs/>
                <w:color w:val="000000"/>
                <w:sz w:val="22"/>
                <w:highlight w:val="none"/>
              </w:rPr>
            </w:pPr>
            <w:r>
              <w:rPr>
                <w:rFonts w:ascii="宋体" w:hAnsi="宋体" w:cs="宋体"/>
                <w:b/>
                <w:bCs/>
                <w:color w:val="000000"/>
                <w:sz w:val="22"/>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856"/>
              <w:jc w:val="left"/>
              <w:widowControl/>
              <w:rPr>
                <w:rFonts w:ascii="宋体" w:hAnsi="宋体" w:cs="宋体"/>
                <w:b/>
                <w:bCs/>
                <w:color w:val="000000"/>
                <w:sz w:val="22"/>
                <w:highlight w:val="none"/>
              </w:rPr>
            </w:pPr>
            <w:r>
              <w:rPr>
                <w:rFonts w:ascii="宋体" w:hAnsi="宋体" w:cs="宋体"/>
                <w:b/>
                <w:bCs/>
                <w:color w:val="000000"/>
                <w:sz w:val="22"/>
                <w:highlight w:val="none"/>
              </w:rPr>
            </w:r>
            <w:r/>
          </w:p>
        </w:tc>
        <w:tc>
          <w:tcPr>
            <w:tcBorders>
              <w:top w:val="none" w:color="000000" w:sz="4" w:space="0"/>
              <w:left w:val="single" w:color="000000" w:sz="8" w:space="0"/>
              <w:bottom w:val="single" w:color="000000" w:sz="8" w:space="0"/>
              <w:right w:val="single" w:color="000000" w:sz="8" w:space="0"/>
            </w:tcBorders>
            <w:tcW w:w="1920" w:type="dxa"/>
            <w:vAlign w:val="center"/>
            <w:vMerge w:val="continue"/>
            <w:textDirection w:val="lrTb"/>
            <w:noWrap w:val="false"/>
          </w:tcPr>
          <w:p>
            <w:pPr>
              <w:pStyle w:val="856"/>
              <w:jc w:val="left"/>
              <w:widowControl/>
              <w:rPr>
                <w:rFonts w:ascii="宋体" w:hAnsi="宋体" w:cs="宋体"/>
                <w:b/>
                <w:bCs/>
                <w:color w:val="000000"/>
                <w:sz w:val="22"/>
                <w:highlight w:val="none"/>
              </w:rPr>
            </w:pPr>
            <w:r>
              <w:rPr>
                <w:rFonts w:ascii="宋体" w:hAnsi="宋体" w:cs="宋体"/>
                <w:b/>
                <w:bCs/>
                <w:color w:val="000000"/>
                <w:sz w:val="22"/>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56"/>
              <w:jc w:val="left"/>
              <w:widowControl/>
              <w:rPr>
                <w:rFonts w:ascii="宋体" w:hAnsi="宋体" w:cs="宋体"/>
                <w:b/>
                <w:bCs/>
                <w:color w:val="000000"/>
                <w:sz w:val="22"/>
                <w:highlight w:val="none"/>
              </w:rPr>
            </w:pPr>
            <w:r>
              <w:rPr>
                <w:rFonts w:ascii="宋体" w:hAnsi="宋体" w:cs="宋体"/>
                <w:b/>
                <w:bCs/>
                <w:color w:val="000000"/>
                <w:sz w:val="22"/>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continue"/>
            <w:textDirection w:val="lrTb"/>
            <w:noWrap w:val="false"/>
          </w:tcPr>
          <w:p>
            <w:pPr>
              <w:pStyle w:val="856"/>
              <w:jc w:val="left"/>
              <w:widowControl/>
              <w:rPr>
                <w:rFonts w:ascii="宋体" w:hAnsi="宋体" w:cs="宋体"/>
                <w:b/>
                <w:bCs/>
                <w:color w:val="000000"/>
                <w:sz w:val="22"/>
                <w:highlight w:val="none"/>
              </w:rPr>
            </w:pPr>
            <w:r>
              <w:rPr>
                <w:rFonts w:ascii="宋体" w:hAnsi="宋体" w:cs="宋体"/>
                <w:b/>
                <w:bCs/>
                <w:color w:val="000000"/>
                <w:sz w:val="22"/>
                <w:highlight w:val="none"/>
              </w:rPr>
            </w:r>
            <w:r/>
          </w:p>
        </w:tc>
        <w:tc>
          <w:tcPr>
            <w:tcBorders>
              <w:top w:val="none" w:color="000000" w:sz="4" w:space="0"/>
              <w:left w:val="none" w:color="000000" w:sz="4" w:space="0"/>
              <w:bottom w:val="single" w:color="000000" w:sz="8" w:space="0"/>
              <w:right w:val="single" w:color="000000" w:sz="8" w:space="0"/>
            </w:tcBorders>
            <w:tcW w:w="1771" w:type="dxa"/>
            <w:vAlign w:val="center"/>
            <w:textDirection w:val="lrTb"/>
            <w:noWrap w:val="false"/>
          </w:tcPr>
          <w:p>
            <w:pPr>
              <w:pStyle w:val="856"/>
              <w:jc w:val="center"/>
              <w:widowControl/>
              <w:rPr>
                <w:rFonts w:hint="eastAsia" w:ascii="宋体" w:hAnsi="宋体" w:cs="宋体"/>
                <w:b/>
                <w:bCs/>
                <w:color w:val="000000"/>
                <w:sz w:val="22"/>
                <w:highlight w:val="none"/>
              </w:rPr>
            </w:pPr>
            <w:r>
              <w:rPr>
                <w:rFonts w:hint="eastAsia" w:ascii="宋体" w:hAnsi="宋体" w:cs="宋体"/>
                <w:b/>
                <w:bCs/>
                <w:color w:val="000000"/>
                <w:sz w:val="22"/>
                <w:highlight w:val="none"/>
              </w:rPr>
              <w:t xml:space="preserve">（地上/地下）</w:t>
            </w:r>
            <w:r>
              <w:rPr>
                <w:rFonts w:hint="eastAsia" w:ascii="宋体" w:hAnsi="宋体" w:cs="宋体"/>
                <w:b/>
                <w:bCs/>
                <w:color w:val="000000"/>
                <w:sz w:val="22"/>
                <w:highlight w:val="none"/>
              </w:rPr>
            </w:r>
            <w:r/>
          </w:p>
        </w:tc>
      </w:tr>
      <w:tr>
        <w:trPr>
          <w:trHeight w:val="690"/>
        </w:trPr>
        <w:tc>
          <w:tcPr>
            <w:tcBorders>
              <w:top w:val="none" w:color="000000" w:sz="4" w:space="0"/>
              <w:left w:val="single" w:color="000000" w:sz="8" w:space="0"/>
              <w:bottom w:val="single" w:color="000000" w:sz="8" w:space="0"/>
              <w:right w:val="single" w:color="000000" w:sz="8" w:space="0"/>
            </w:tcBorders>
            <w:tcW w:w="699"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restart"/>
            <w:textDirection w:val="lrTb"/>
            <w:noWrap/>
          </w:tcPr>
          <w:p>
            <w:pPr>
              <w:pStyle w:val="856"/>
              <w:jc w:val="center"/>
              <w:widowControl/>
              <w:rPr>
                <w:rFonts w:hint="eastAsia" w:ascii="Courier New" w:hAnsi="Courier New" w:cs="Courier New"/>
                <w:color w:val="000000"/>
                <w:sz w:val="20"/>
                <w:szCs w:val="20"/>
                <w:highlight w:val="none"/>
              </w:rPr>
            </w:pPr>
            <w:r>
              <w:rPr>
                <w:rFonts w:ascii="Courier New" w:hAnsi="Courier New" w:cs="Courier New"/>
                <w:color w:val="000000"/>
                <w:sz w:val="20"/>
                <w:szCs w:val="20"/>
                <w:highlight w:val="none"/>
              </w:rPr>
              <w:t xml:space="preserve">1</w:t>
            </w:r>
            <w:r>
              <w:rPr>
                <w:rFonts w:ascii="Arial" w:hAnsi="Arial" w:cs="Arial"/>
                <w:color w:val="000000"/>
                <w:sz w:val="20"/>
                <w:szCs w:val="20"/>
                <w:highlight w:val="none"/>
              </w:rPr>
              <w:t xml:space="preserve">号站</w:t>
            </w:r>
            <w:r>
              <w:rPr>
                <w:rFonts w:hint="eastAsia" w:ascii="Courier New" w:hAnsi="Courier New" w:cs="Courier New"/>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1920" w:type="dxa"/>
            <w:vAlign w:val="center"/>
            <w:textDirection w:val="lrTb"/>
            <w:noWrap w:val="false"/>
          </w:tcPr>
          <w:p>
            <w:pPr>
              <w:pStyle w:val="856"/>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盐河北路</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5.7万吨/日</w:t>
            </w:r>
            <w:r>
              <w:rPr>
                <w:rFonts w:hint="eastAsia"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restart"/>
            <w:textDirection w:val="lrTb"/>
            <w:noWrap w:val="false"/>
          </w:tcPr>
          <w:p>
            <w:pPr>
              <w:pStyle w:val="856"/>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一台功率20KW、两台功率50KW、一台功率24KW；一台国产格栅、一台进口格栅；四台启闭机；行车2.8T；一台皮带机；一台变压器160KVA。</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地上</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856"/>
              <w:jc w:val="left"/>
              <w:widowControl/>
              <w:rPr>
                <w:rFonts w:ascii="Courier New" w:hAnsi="Courier New" w:cs="Courier New"/>
                <w:color w:val="000000"/>
                <w:sz w:val="20"/>
                <w:szCs w:val="20"/>
                <w:highlight w:val="none"/>
              </w:rPr>
            </w:pPr>
            <w:r>
              <w:rPr>
                <w:rFonts w:ascii="Courier New" w:hAnsi="Courier New" w:cs="Courier New"/>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石油公司路对面</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990"/>
        </w:trPr>
        <w:tc>
          <w:tcPr>
            <w:tcBorders>
              <w:top w:val="none" w:color="000000" w:sz="4" w:space="0"/>
              <w:left w:val="single" w:color="000000" w:sz="8" w:space="0"/>
              <w:bottom w:val="single" w:color="000000" w:sz="8" w:space="0"/>
              <w:right w:val="single" w:color="000000" w:sz="8" w:space="0"/>
            </w:tcBorders>
            <w:tcW w:w="699"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2号站</w:t>
            </w:r>
            <w:r>
              <w:rPr>
                <w:rFonts w:hint="eastAsia" w:ascii="Arial" w:hAnsi="Arial" w:cs="Arial"/>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1920" w:type="dxa"/>
            <w:vAlign w:val="center"/>
            <w:textDirection w:val="lrTb"/>
            <w:noWrap w:val="false"/>
          </w:tcPr>
          <w:p>
            <w:pPr>
              <w:pStyle w:val="856"/>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民主路与盐河北路</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2万吨/日</w:t>
            </w:r>
            <w:r>
              <w:rPr>
                <w:rFonts w:hint="eastAsia"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restart"/>
            <w:textDirection w:val="lrTb"/>
            <w:noWrap w:val="false"/>
          </w:tcPr>
          <w:p>
            <w:pPr>
              <w:pStyle w:val="856"/>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一台功率11KW、两台功率12.5KW；一台国产格栅、一台进口格栅；四台启闭机；行车0.5T；一台皮带机；一台变压器100KVA。</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地上</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交叉口向东</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915"/>
        </w:trPr>
        <w:tc>
          <w:tcPr>
            <w:tcBorders>
              <w:top w:val="none" w:color="000000" w:sz="4" w:space="0"/>
              <w:left w:val="single" w:color="000000" w:sz="8" w:space="0"/>
              <w:bottom w:val="single" w:color="000000" w:sz="8" w:space="0"/>
              <w:right w:val="single" w:color="000000" w:sz="8" w:space="0"/>
            </w:tcBorders>
            <w:tcW w:w="699"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3号站</w:t>
            </w:r>
            <w:r>
              <w:rPr>
                <w:rFonts w:hint="eastAsia" w:ascii="Arial" w:hAnsi="Arial" w:cs="Arial"/>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1920" w:type="dxa"/>
            <w:vAlign w:val="center"/>
            <w:textDirection w:val="lrTb"/>
            <w:noWrap w:val="false"/>
          </w:tcPr>
          <w:p>
            <w:pPr>
              <w:pStyle w:val="856"/>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龙溪北路与陇海东路</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5.6万吨/日</w:t>
            </w:r>
            <w:r>
              <w:rPr>
                <w:rFonts w:hint="eastAsia"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restart"/>
            <w:textDirection w:val="lrTb"/>
            <w:noWrap w:val="false"/>
          </w:tcPr>
          <w:p>
            <w:pPr>
              <w:pStyle w:val="856"/>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两台功率30K、两台功率16KW；一台国产格栅、一台进口格栅；四台启闭机；行车1T；一台皮带机；一台变压器125KVA。</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地上</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交叉口向北</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1275"/>
        </w:trPr>
        <w:tc>
          <w:tcPr>
            <w:tcBorders>
              <w:top w:val="none" w:color="000000" w:sz="4" w:space="0"/>
              <w:left w:val="single" w:color="000000" w:sz="8" w:space="0"/>
              <w:bottom w:val="single" w:color="000000" w:sz="8" w:space="0"/>
              <w:right w:val="single" w:color="000000" w:sz="8" w:space="0"/>
            </w:tcBorders>
            <w:tcW w:w="699"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4号站</w:t>
            </w:r>
            <w:r>
              <w:rPr>
                <w:rFonts w:hint="eastAsia" w:ascii="Arial" w:hAnsi="Arial" w:cs="Arial"/>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1920" w:type="dxa"/>
            <w:vAlign w:val="center"/>
            <w:textDirection w:val="lrTb"/>
            <w:noWrap w:val="false"/>
          </w:tcPr>
          <w:p>
            <w:pPr>
              <w:pStyle w:val="856"/>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河边南路与民主东路</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3.96万吨/日</w:t>
            </w:r>
            <w:r>
              <w:rPr>
                <w:rFonts w:hint="eastAsia"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restart"/>
            <w:textDirection w:val="lrTb"/>
            <w:noWrap w:val="false"/>
          </w:tcPr>
          <w:p>
            <w:pPr>
              <w:pStyle w:val="856"/>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一台功率12.5KW、两台功率9KW；一台国产格栅、一台进口格栅；四台启闭机；行车3T；一台皮带机；一台变压器200KVA。</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地上</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交叉口向北</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945"/>
        </w:trPr>
        <w:tc>
          <w:tcPr>
            <w:tcBorders>
              <w:top w:val="none" w:color="000000" w:sz="4" w:space="0"/>
              <w:left w:val="single" w:color="000000" w:sz="8" w:space="0"/>
              <w:bottom w:val="single" w:color="000000" w:sz="8" w:space="0"/>
              <w:right w:val="single" w:color="000000" w:sz="8" w:space="0"/>
            </w:tcBorders>
            <w:tcW w:w="699"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5号站</w:t>
            </w:r>
            <w:r>
              <w:rPr>
                <w:rFonts w:hint="eastAsia" w:ascii="Arial" w:hAnsi="Arial" w:cs="Arial"/>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1920" w:type="dxa"/>
            <w:vAlign w:val="center"/>
            <w:textDirection w:val="lrTb"/>
            <w:noWrap w:val="false"/>
          </w:tcPr>
          <w:p>
            <w:pPr>
              <w:pStyle w:val="856"/>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人民东路与通灌北路</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13.2万吨/日</w:t>
            </w:r>
            <w:r>
              <w:rPr>
                <w:rFonts w:hint="eastAsia"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restart"/>
            <w:textDirection w:val="lrTb"/>
            <w:noWrap w:val="false"/>
          </w:tcPr>
          <w:p>
            <w:pPr>
              <w:pStyle w:val="856"/>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两台功率50KW、两台功率54KW；一台国产格栅、一台进口格栅；四台启闭机；行车3T；一台皮带机；一台变压器315KVA。</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地上</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交叉口向北</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64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海州泵站</w:t>
            </w:r>
            <w:r>
              <w:rPr>
                <w:rFonts w:hint="eastAsia" w:ascii="Arial" w:hAnsi="Arial" w:cs="Arial"/>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tcPr>
          <w:p>
            <w:pPr>
              <w:pStyle w:val="856"/>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幸福桥南 西侧</w:t>
            </w:r>
            <w:r>
              <w:rPr>
                <w:rFonts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2.6万吨/日</w:t>
            </w:r>
            <w:r>
              <w:rPr>
                <w:rFonts w:hint="eastAsia" w:ascii="Arial" w:hAnsi="Arial" w:cs="Arial"/>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3120" w:type="dxa"/>
            <w:vAlign w:val="center"/>
            <w:textDirection w:val="lrTb"/>
            <w:noWrap w:val="false"/>
          </w:tcPr>
          <w:p>
            <w:pPr>
              <w:pStyle w:val="856"/>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三台功率30KW；两台格栅；五台启闭机；行车2T；一台变压器160KVA。</w:t>
            </w:r>
            <w:r>
              <w:rPr>
                <w:rFonts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71" w:type="dxa"/>
            <w:vAlign w:val="center"/>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地上</w:t>
            </w:r>
            <w:r>
              <w:rPr>
                <w:rFonts w:hint="eastAsia" w:ascii="宋体" w:hAnsi="宋体" w:cs="宋体"/>
                <w:color w:val="000000"/>
                <w:sz w:val="20"/>
                <w:szCs w:val="20"/>
                <w:highlight w:val="none"/>
              </w:rPr>
            </w:r>
            <w:r/>
          </w:p>
        </w:tc>
      </w:tr>
      <w:tr>
        <w:trPr>
          <w:trHeight w:val="1065"/>
        </w:trPr>
        <w:tc>
          <w:tcPr>
            <w:tcBorders>
              <w:top w:val="none" w:color="000000" w:sz="4" w:space="0"/>
              <w:left w:val="single" w:color="000000" w:sz="8" w:space="0"/>
              <w:bottom w:val="single" w:color="000000" w:sz="8" w:space="0"/>
              <w:right w:val="single" w:color="000000" w:sz="8" w:space="0"/>
            </w:tcBorders>
            <w:tcW w:w="699"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海宁泵站</w:t>
            </w:r>
            <w:r>
              <w:rPr>
                <w:rFonts w:hint="eastAsia" w:ascii="Arial" w:hAnsi="Arial" w:cs="Arial"/>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1920" w:type="dxa"/>
            <w:vAlign w:val="center"/>
            <w:textDirection w:val="lrTb"/>
            <w:noWrap w:val="false"/>
          </w:tcPr>
          <w:p>
            <w:pPr>
              <w:pStyle w:val="856"/>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南极南路</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0.9万吨/日</w:t>
            </w:r>
            <w:r>
              <w:rPr>
                <w:rFonts w:hint="eastAsia"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restart"/>
            <w:textDirection w:val="lrTb"/>
            <w:noWrap w:val="false"/>
          </w:tcPr>
          <w:p>
            <w:pPr>
              <w:pStyle w:val="856"/>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一台功率5.7KW；一台功率13.5KW；一台功率15KW；两台国产格栅；一台启闭机；行车1T；两台变压器200KVA。</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地上</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水岸新都西侧</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765"/>
        </w:trPr>
        <w:tc>
          <w:tcPr>
            <w:tcBorders>
              <w:top w:val="none" w:color="000000" w:sz="4" w:space="0"/>
              <w:left w:val="single" w:color="000000" w:sz="8" w:space="0"/>
              <w:bottom w:val="single" w:color="000000" w:sz="8" w:space="0"/>
              <w:right w:val="single" w:color="000000" w:sz="8" w:space="0"/>
            </w:tcBorders>
            <w:tcW w:w="699"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苍梧绿园泵站</w:t>
            </w:r>
            <w:r>
              <w:rPr>
                <w:rFonts w:hint="eastAsia" w:ascii="Arial" w:hAnsi="Arial" w:cs="Arial"/>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1920" w:type="dxa"/>
            <w:vAlign w:val="center"/>
            <w:textDirection w:val="lrTb"/>
            <w:noWrap w:val="false"/>
          </w:tcPr>
          <w:p>
            <w:pPr>
              <w:pStyle w:val="856"/>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郁洲路</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1.5万吨/日</w:t>
            </w:r>
            <w:r>
              <w:rPr>
                <w:rFonts w:hint="eastAsia"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restart"/>
            <w:textDirection w:val="lrTb"/>
            <w:noWrap w:val="false"/>
          </w:tcPr>
          <w:p>
            <w:pPr>
              <w:pStyle w:val="856"/>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三台功率16KW；两台格栅；四台启闭机；行车2T；一台皮带机；三台变压器80KVA。</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地上</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苍梧绿园东门北侧</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1035"/>
        </w:trPr>
        <w:tc>
          <w:tcPr>
            <w:tcBorders>
              <w:top w:val="none" w:color="000000" w:sz="4" w:space="0"/>
              <w:left w:val="single" w:color="000000" w:sz="8" w:space="0"/>
              <w:bottom w:val="single" w:color="000000" w:sz="8" w:space="0"/>
              <w:right w:val="single" w:color="000000" w:sz="8" w:space="0"/>
            </w:tcBorders>
            <w:tcW w:w="699"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郁洲公园泵站</w:t>
            </w:r>
            <w:r>
              <w:rPr>
                <w:rFonts w:hint="eastAsia" w:ascii="Arial" w:hAnsi="Arial" w:cs="Arial"/>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1920" w:type="dxa"/>
            <w:vAlign w:val="center"/>
            <w:textDirection w:val="lrTb"/>
            <w:noWrap w:val="false"/>
          </w:tcPr>
          <w:p>
            <w:pPr>
              <w:pStyle w:val="856"/>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郁洲北路</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3万吨/日</w:t>
            </w:r>
            <w:r>
              <w:rPr>
                <w:rFonts w:hint="eastAsia"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restart"/>
            <w:textDirection w:val="lrTb"/>
            <w:noWrap w:val="false"/>
          </w:tcPr>
          <w:p>
            <w:pPr>
              <w:pStyle w:val="856"/>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三台功率30KW；两台格栅；四台启闭机；行车2T；一台皮带机；两台变压器160KVA。</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地上</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郁洲公园东门南侧</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780"/>
        </w:trPr>
        <w:tc>
          <w:tcPr>
            <w:tcBorders>
              <w:top w:val="none" w:color="000000" w:sz="4" w:space="0"/>
              <w:left w:val="single" w:color="000000" w:sz="8" w:space="0"/>
              <w:bottom w:val="single" w:color="000000" w:sz="8" w:space="0"/>
              <w:right w:val="single" w:color="000000" w:sz="8" w:space="0"/>
            </w:tcBorders>
            <w:tcW w:w="699"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建设路泵站</w:t>
            </w:r>
            <w:r>
              <w:rPr>
                <w:rFonts w:hint="eastAsia" w:ascii="Arial" w:hAnsi="Arial" w:cs="Arial"/>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1920" w:type="dxa"/>
            <w:vAlign w:val="center"/>
            <w:textDirection w:val="lrTb"/>
            <w:noWrap w:val="false"/>
          </w:tcPr>
          <w:p>
            <w:pPr>
              <w:pStyle w:val="856"/>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建设东路</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0.75万吨/日</w:t>
            </w:r>
            <w:r>
              <w:rPr>
                <w:rFonts w:hint="eastAsia"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restart"/>
            <w:textDirection w:val="lrTb"/>
            <w:noWrap w:val="false"/>
          </w:tcPr>
          <w:p>
            <w:pPr>
              <w:pStyle w:val="856"/>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两台功率7.5KW、一台功率9KW；一台粉碎型格栅；四台启闭机。</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地下</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交通控股院内</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945"/>
        </w:trPr>
        <w:tc>
          <w:tcPr>
            <w:tcBorders>
              <w:top w:val="none" w:color="000000" w:sz="4" w:space="0"/>
              <w:left w:val="single" w:color="000000" w:sz="8" w:space="0"/>
              <w:bottom w:val="single" w:color="000000" w:sz="8" w:space="0"/>
              <w:right w:val="single" w:color="000000" w:sz="8" w:space="0"/>
            </w:tcBorders>
            <w:tcW w:w="699"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郁洲南路泵站</w:t>
            </w:r>
            <w:r>
              <w:rPr>
                <w:rFonts w:hint="eastAsia" w:ascii="Arial" w:hAnsi="Arial" w:cs="Arial"/>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1920" w:type="dxa"/>
            <w:vAlign w:val="center"/>
            <w:textDirection w:val="lrTb"/>
            <w:noWrap w:val="false"/>
          </w:tcPr>
          <w:p>
            <w:pPr>
              <w:pStyle w:val="856"/>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郁洲南路</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1万吨/日</w:t>
            </w:r>
            <w:r>
              <w:rPr>
                <w:rFonts w:hint="eastAsia"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restart"/>
            <w:textDirection w:val="lrTb"/>
            <w:noWrap w:val="false"/>
          </w:tcPr>
          <w:p>
            <w:pPr>
              <w:pStyle w:val="856"/>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三台功率19.5KW；一台粉碎型格栅；两台启闭机；两台变压器80KVA。</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地下</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江苏中荷花花卉东门南侧</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1080"/>
        </w:trPr>
        <w:tc>
          <w:tcPr>
            <w:tcBorders>
              <w:top w:val="none" w:color="000000" w:sz="4" w:space="0"/>
              <w:left w:val="single" w:color="000000" w:sz="8" w:space="0"/>
              <w:bottom w:val="single" w:color="000000" w:sz="8" w:space="0"/>
              <w:right w:val="single" w:color="000000" w:sz="8" w:space="0"/>
            </w:tcBorders>
            <w:tcW w:w="699"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人民西路泵站</w:t>
            </w:r>
            <w:r>
              <w:rPr>
                <w:rFonts w:hint="eastAsia" w:ascii="Arial" w:hAnsi="Arial" w:cs="Arial"/>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1920" w:type="dxa"/>
            <w:vAlign w:val="center"/>
            <w:textDirection w:val="lrTb"/>
            <w:noWrap w:val="false"/>
          </w:tcPr>
          <w:p>
            <w:pPr>
              <w:pStyle w:val="856"/>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人民西路与工农路路</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7.9万吨/日</w:t>
            </w:r>
            <w:r>
              <w:rPr>
                <w:rFonts w:hint="eastAsia"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restart"/>
            <w:textDirection w:val="lrTb"/>
            <w:noWrap w:val="false"/>
          </w:tcPr>
          <w:p>
            <w:pPr>
              <w:pStyle w:val="856"/>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两台功率45KW、两台功率100KW；两台格栅；四台启闭机；行车4T；一台皮带机；一台变压器250KVA。</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地上</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交叉口向西</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975"/>
        </w:trPr>
        <w:tc>
          <w:tcPr>
            <w:tcBorders>
              <w:top w:val="none" w:color="000000" w:sz="4" w:space="0"/>
              <w:left w:val="single" w:color="000000" w:sz="8" w:space="0"/>
              <w:bottom w:val="single" w:color="000000" w:sz="8" w:space="0"/>
              <w:right w:val="single" w:color="000000" w:sz="8" w:space="0"/>
            </w:tcBorders>
            <w:tcW w:w="699"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平山路泵站</w:t>
            </w:r>
            <w:r>
              <w:rPr>
                <w:rFonts w:hint="eastAsia" w:ascii="Arial" w:hAnsi="Arial" w:cs="Arial"/>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1920" w:type="dxa"/>
            <w:vAlign w:val="center"/>
            <w:textDirection w:val="lrTb"/>
            <w:noWrap w:val="false"/>
          </w:tcPr>
          <w:p>
            <w:pPr>
              <w:pStyle w:val="856"/>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云和路</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10.4万吨/日</w:t>
            </w:r>
            <w:r>
              <w:rPr>
                <w:rFonts w:hint="eastAsia"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restart"/>
            <w:textDirection w:val="lrTb"/>
            <w:noWrap w:val="false"/>
          </w:tcPr>
          <w:p>
            <w:pPr>
              <w:pStyle w:val="856"/>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一台功率100KW、三台功率110KW；两台格栅；四台启闭机；行车4T；一台变压器630KVA。</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地上</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平山花园东门南侧</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915"/>
        </w:trPr>
        <w:tc>
          <w:tcPr>
            <w:tcBorders>
              <w:top w:val="none" w:color="000000" w:sz="4" w:space="0"/>
              <w:left w:val="single" w:color="000000" w:sz="8" w:space="0"/>
              <w:bottom w:val="single" w:color="000000" w:sz="8" w:space="0"/>
              <w:right w:val="single" w:color="000000" w:sz="8" w:space="0"/>
            </w:tcBorders>
            <w:tcW w:w="699"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盐河路泵站</w:t>
            </w:r>
            <w:r>
              <w:rPr>
                <w:rFonts w:hint="eastAsia" w:ascii="Arial" w:hAnsi="Arial" w:cs="Arial"/>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1920" w:type="dxa"/>
            <w:vAlign w:val="center"/>
            <w:textDirection w:val="lrTb"/>
            <w:noWrap w:val="false"/>
          </w:tcPr>
          <w:p>
            <w:pPr>
              <w:pStyle w:val="856"/>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盐河南路与海宁西路</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2.43万吨/日</w:t>
            </w:r>
            <w:r>
              <w:rPr>
                <w:rFonts w:hint="eastAsia"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restart"/>
            <w:textDirection w:val="lrTb"/>
            <w:noWrap w:val="false"/>
          </w:tcPr>
          <w:p>
            <w:pPr>
              <w:pStyle w:val="856"/>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四台功率30KW；一台粉碎型格栅；四台启闭机。</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地下</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交叉口向北</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705"/>
        </w:trPr>
        <w:tc>
          <w:tcPr>
            <w:tcBorders>
              <w:top w:val="none" w:color="000000" w:sz="4" w:space="0"/>
              <w:left w:val="single" w:color="000000" w:sz="8" w:space="0"/>
              <w:bottom w:val="single" w:color="000000" w:sz="8" w:space="0"/>
              <w:right w:val="single" w:color="000000" w:sz="8" w:space="0"/>
            </w:tcBorders>
            <w:tcW w:w="699"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幸福路泵站</w:t>
            </w:r>
            <w:r>
              <w:rPr>
                <w:rFonts w:hint="eastAsia" w:ascii="Arial" w:hAnsi="Arial" w:cs="Arial"/>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1920" w:type="dxa"/>
            <w:vAlign w:val="center"/>
            <w:textDirection w:val="lrTb"/>
            <w:noWrap w:val="false"/>
          </w:tcPr>
          <w:p>
            <w:pPr>
              <w:pStyle w:val="856"/>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幸福路与园丁巷交叉口</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0.46万吨/日</w:t>
            </w:r>
            <w:r>
              <w:rPr>
                <w:rFonts w:hint="eastAsia"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restart"/>
            <w:textDirection w:val="lrTb"/>
            <w:noWrap w:val="false"/>
          </w:tcPr>
          <w:p>
            <w:pPr>
              <w:pStyle w:val="856"/>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两台功率9KW；一台粉碎型格栅；一台启闭机。</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地下</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香格里拉东门南侧</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465"/>
        </w:trPr>
        <w:tc>
          <w:tcPr>
            <w:tcBorders>
              <w:top w:val="none" w:color="000000" w:sz="4" w:space="0"/>
              <w:left w:val="single" w:color="000000" w:sz="8" w:space="0"/>
              <w:bottom w:val="single" w:color="000000" w:sz="8" w:space="0"/>
              <w:right w:val="single" w:color="000000" w:sz="8" w:space="0"/>
            </w:tcBorders>
            <w:tcW w:w="699"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沙板桥泵站</w:t>
            </w:r>
            <w:r>
              <w:rPr>
                <w:rFonts w:hint="eastAsia" w:ascii="Arial" w:hAnsi="Arial" w:cs="Arial"/>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1920" w:type="dxa"/>
            <w:vAlign w:val="center"/>
            <w:textDirection w:val="lrTb"/>
            <w:noWrap w:val="false"/>
          </w:tcPr>
          <w:p>
            <w:pPr>
              <w:pStyle w:val="856"/>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西门路</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0.87万吨/日</w:t>
            </w:r>
            <w:r>
              <w:rPr>
                <w:rFonts w:hint="eastAsia"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restart"/>
            <w:textDirection w:val="lrTb"/>
            <w:noWrap w:val="false"/>
          </w:tcPr>
          <w:p>
            <w:pPr>
              <w:pStyle w:val="856"/>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三台功率16KW；一台粉碎型格栅。</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地下</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馨海名郡院内</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699"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物流园泵站</w:t>
            </w:r>
            <w:r>
              <w:rPr>
                <w:rFonts w:hint="eastAsia" w:ascii="Arial" w:hAnsi="Arial" w:cs="Arial"/>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1920" w:type="dxa"/>
            <w:vAlign w:val="center"/>
            <w:textDirection w:val="lrTb"/>
            <w:noWrap w:val="false"/>
          </w:tcPr>
          <w:p>
            <w:pPr>
              <w:pStyle w:val="856"/>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海连西路</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0.5万吨/日</w:t>
            </w:r>
            <w:r>
              <w:rPr>
                <w:rFonts w:hint="eastAsia"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restart"/>
            <w:textDirection w:val="lrTb"/>
            <w:noWrap w:val="false"/>
          </w:tcPr>
          <w:p>
            <w:pPr>
              <w:pStyle w:val="856"/>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三台功率13.5KW；一台粉碎型格栅。</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地下</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农产品交易市场北路对面</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945"/>
        </w:trPr>
        <w:tc>
          <w:tcPr>
            <w:tcBorders>
              <w:top w:val="none" w:color="000000" w:sz="4" w:space="0"/>
              <w:left w:val="single" w:color="000000" w:sz="8" w:space="0"/>
              <w:bottom w:val="single" w:color="000000" w:sz="8" w:space="0"/>
              <w:right w:val="single" w:color="000000" w:sz="8" w:space="0"/>
            </w:tcBorders>
            <w:tcW w:w="699"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凌州路泵站</w:t>
            </w:r>
            <w:r>
              <w:rPr>
                <w:rFonts w:hint="eastAsia" w:ascii="Arial" w:hAnsi="Arial" w:cs="Arial"/>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1920" w:type="dxa"/>
            <w:vAlign w:val="center"/>
            <w:textDirection w:val="lrTb"/>
            <w:noWrap w:val="false"/>
          </w:tcPr>
          <w:p>
            <w:pPr>
              <w:pStyle w:val="856"/>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科苑路与凌州路交叉口</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2.5万吨/日</w:t>
            </w:r>
            <w:r>
              <w:rPr>
                <w:rFonts w:hint="eastAsia"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restart"/>
            <w:textDirection w:val="lrTb"/>
            <w:noWrap w:val="false"/>
          </w:tcPr>
          <w:p>
            <w:pPr>
              <w:pStyle w:val="856"/>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两台功率45KW、一台功率50KW；两台格栅；四台启闭机；行车8T；两台变压器250KVA。</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地上</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西南角</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1110"/>
        </w:trPr>
        <w:tc>
          <w:tcPr>
            <w:tcBorders>
              <w:top w:val="none" w:color="000000" w:sz="4" w:space="0"/>
              <w:left w:val="single" w:color="000000" w:sz="8" w:space="0"/>
              <w:bottom w:val="single" w:color="000000" w:sz="8" w:space="0"/>
              <w:right w:val="single" w:color="000000" w:sz="8" w:space="0"/>
            </w:tcBorders>
            <w:tcW w:w="699"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19</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圣湖路泵站</w:t>
            </w:r>
            <w:r>
              <w:rPr>
                <w:rFonts w:hint="eastAsia" w:ascii="Arial" w:hAnsi="Arial" w:cs="Arial"/>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1920" w:type="dxa"/>
            <w:vAlign w:val="center"/>
            <w:textDirection w:val="lrTb"/>
            <w:noWrap w:val="false"/>
          </w:tcPr>
          <w:p>
            <w:pPr>
              <w:pStyle w:val="856"/>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圣湖路与杏坛路交叉口</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7.8万吨/日</w:t>
            </w:r>
            <w:r>
              <w:rPr>
                <w:rFonts w:hint="eastAsia"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restart"/>
            <w:textDirection w:val="lrTb"/>
            <w:noWrap w:val="false"/>
          </w:tcPr>
          <w:p>
            <w:pPr>
              <w:pStyle w:val="856"/>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两台功率75KW、两台功率37KW；两台格栅；五台启闭机；行车3T；两台变压器630KVA。</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地上</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向西</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825"/>
        </w:trPr>
        <w:tc>
          <w:tcPr>
            <w:tcBorders>
              <w:top w:val="none" w:color="000000" w:sz="4" w:space="0"/>
              <w:left w:val="single" w:color="000000" w:sz="8" w:space="0"/>
              <w:bottom w:val="single" w:color="000000" w:sz="8" w:space="0"/>
              <w:right w:val="single" w:color="000000" w:sz="8" w:space="0"/>
            </w:tcBorders>
            <w:tcW w:w="699"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青峰路泵站</w:t>
            </w:r>
            <w:r>
              <w:rPr>
                <w:rFonts w:hint="eastAsia" w:ascii="Arial" w:hAnsi="Arial" w:cs="Arial"/>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1920" w:type="dxa"/>
            <w:vAlign w:val="center"/>
            <w:textDirection w:val="lrTb"/>
            <w:noWrap w:val="false"/>
          </w:tcPr>
          <w:p>
            <w:pPr>
              <w:pStyle w:val="856"/>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杏坛路</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1.7万吨/日</w:t>
            </w:r>
            <w:r>
              <w:rPr>
                <w:rFonts w:hint="eastAsia"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restart"/>
            <w:textDirection w:val="lrTb"/>
            <w:noWrap w:val="false"/>
          </w:tcPr>
          <w:p>
            <w:pPr>
              <w:pStyle w:val="856"/>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四台功率30KWW；一台粉碎型格栅；一台启闭机；行车2T；两台变压器125KVA。</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地下</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699"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val="false"/>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美麟常青藤西门路对面</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56"/>
              <w:jc w:val="left"/>
              <w:widowControl/>
              <w:rPr>
                <w:rFonts w:ascii="Arial" w:hAnsi="Arial" w:cs="Arial"/>
                <w:color w:val="000000"/>
                <w:sz w:val="20"/>
                <w:szCs w:val="20"/>
                <w:highlight w:val="none"/>
              </w:rPr>
            </w:pPr>
            <w:r>
              <w:rPr>
                <w:rFonts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continue"/>
            <w:textDirection w:val="lrTb"/>
            <w:noWrap w:val="false"/>
          </w:tcPr>
          <w:p>
            <w:pPr>
              <w:pStyle w:val="856"/>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49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幸福桥截流泵站</w:t>
            </w:r>
            <w:r>
              <w:rPr>
                <w:rFonts w:hint="eastAsia" w:ascii="Arial" w:hAnsi="Arial" w:cs="Arial"/>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tcPr>
          <w:p>
            <w:pPr>
              <w:pStyle w:val="856"/>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幸福桥北 西侧</w:t>
            </w:r>
            <w:r>
              <w:rPr>
                <w:rFonts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2万吨/日</w:t>
            </w:r>
            <w:r>
              <w:rPr>
                <w:rFonts w:hint="eastAsia" w:ascii="Arial" w:hAnsi="Arial" w:cs="Arial"/>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3120" w:type="dxa"/>
            <w:vAlign w:val="center"/>
            <w:textDirection w:val="lrTb"/>
            <w:noWrap w:val="false"/>
          </w:tcPr>
          <w:p>
            <w:pPr>
              <w:pStyle w:val="856"/>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两台功率22KW、一台功率14KW；一台粉碎型；一台启闭机。</w:t>
            </w:r>
            <w:r>
              <w:rPr>
                <w:rFonts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71" w:type="dxa"/>
            <w:vAlign w:val="center"/>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地下</w:t>
            </w:r>
            <w:r>
              <w:rPr>
                <w:rFonts w:hint="eastAsia" w:ascii="宋体" w:hAnsi="宋体" w:cs="宋体"/>
                <w:color w:val="000000"/>
                <w:sz w:val="20"/>
                <w:szCs w:val="20"/>
                <w:highlight w:val="none"/>
              </w:rPr>
            </w:r>
            <w:r/>
          </w:p>
        </w:tc>
      </w:tr>
      <w:tr>
        <w:trPr>
          <w:trHeight w:val="885"/>
        </w:trPr>
        <w:tc>
          <w:tcPr>
            <w:tcBorders>
              <w:top w:val="none" w:color="000000" w:sz="4" w:space="0"/>
              <w:left w:val="single" w:color="000000" w:sz="8" w:space="0"/>
              <w:bottom w:val="single" w:color="000000" w:sz="8" w:space="0"/>
              <w:right w:val="single" w:color="000000" w:sz="8" w:space="0"/>
            </w:tcBorders>
            <w:tcW w:w="699"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w:t>
            </w:r>
            <w:r>
              <w:rPr>
                <w:rFonts w:hint="eastAsia"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03"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大圣湖应急水源泵站</w:t>
            </w:r>
            <w:r>
              <w:rPr>
                <w:rFonts w:hint="eastAsia"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920" w:type="dxa"/>
            <w:vAlign w:val="center"/>
            <w:vMerge w:val="restart"/>
            <w:textDirection w:val="lrTb"/>
            <w:noWrap/>
          </w:tcPr>
          <w:p>
            <w:pPr>
              <w:pStyle w:val="856"/>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大圣湖</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restart"/>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8.6万吨/日</w:t>
            </w:r>
            <w:r>
              <w:rPr>
                <w:rFonts w:hint="eastAsia" w:ascii="Arial" w:hAnsi="Arial" w:cs="Arial"/>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3120" w:type="dxa"/>
            <w:vAlign w:val="center"/>
            <w:vMerge w:val="restart"/>
            <w:textDirection w:val="lrTb"/>
            <w:noWrap w:val="false"/>
          </w:tcPr>
          <w:p>
            <w:pPr>
              <w:pStyle w:val="856"/>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4台上海凯泉水泵，功率37KW，扬程9米，设计流量900m³/小时；一台变压器400KVA。</w:t>
            </w:r>
            <w:r>
              <w:rPr>
                <w:rFonts w:ascii="宋体" w:hAnsi="宋体"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771" w:type="dxa"/>
            <w:vAlign w:val="center"/>
            <w:vMerge w:val="restart"/>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地上</w:t>
            </w:r>
            <w:r>
              <w:rPr>
                <w:rFonts w:hint="eastAsia" w:ascii="宋体" w:hAnsi="宋体" w:cs="宋体"/>
                <w:color w:val="000000"/>
                <w:sz w:val="20"/>
                <w:szCs w:val="20"/>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699" w:type="dxa"/>
            <w:vAlign w:val="center"/>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茅口应急水源泵站</w:t>
            </w:r>
            <w:r>
              <w:rPr>
                <w:rFonts w:hint="eastAsia" w:ascii="Arial" w:hAnsi="Arial" w:cs="Arial"/>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920" w:type="dxa"/>
            <w:vAlign w:val="center"/>
            <w:textDirection w:val="lrTb"/>
            <w:noWrap/>
          </w:tcPr>
          <w:p>
            <w:pPr>
              <w:pStyle w:val="856"/>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茅口排灌站院内</w:t>
            </w:r>
            <w:r>
              <w:rPr>
                <w:rFonts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tcPr>
          <w:p>
            <w:pPr>
              <w:pStyle w:val="856"/>
              <w:jc w:val="center"/>
              <w:widowControl/>
              <w:rPr>
                <w:rFonts w:hint="eastAsia" w:ascii="Arial" w:hAnsi="Arial" w:cs="Arial"/>
                <w:color w:val="000000"/>
                <w:sz w:val="20"/>
                <w:szCs w:val="20"/>
                <w:highlight w:val="none"/>
              </w:rPr>
            </w:pPr>
            <w:r>
              <w:rPr>
                <w:rFonts w:ascii="Arial" w:hAnsi="Arial" w:cs="Arial"/>
                <w:color w:val="000000"/>
                <w:sz w:val="20"/>
                <w:szCs w:val="20"/>
                <w:highlight w:val="none"/>
              </w:rPr>
              <w:t xml:space="preserve">17.2万吨/日</w:t>
            </w:r>
            <w:r>
              <w:rPr>
                <w:rFonts w:hint="eastAsia" w:ascii="Arial" w:hAnsi="Arial" w:cs="Arial"/>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3120" w:type="dxa"/>
            <w:vAlign w:val="center"/>
            <w:textDirection w:val="lrTb"/>
            <w:noWrap w:val="false"/>
          </w:tcPr>
          <w:p>
            <w:pPr>
              <w:pStyle w:val="856"/>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4台上海凯泉水泵，功率250KW，扬程30米，设计流量1800m³/小时；一台变压1200KVA；行车8吨。</w:t>
            </w:r>
            <w:r>
              <w:rPr>
                <w:rFonts w:ascii="宋体" w:hAnsi="宋体"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771" w:type="dxa"/>
            <w:vAlign w:val="center"/>
            <w:textDirection w:val="lrTb"/>
            <w:noWrap/>
          </w:tcPr>
          <w:p>
            <w:pPr>
              <w:pStyle w:val="856"/>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地上</w:t>
            </w:r>
            <w:r>
              <w:rPr>
                <w:rFonts w:hint="eastAsia" w:ascii="宋体" w:hAnsi="宋体" w:cs="宋体"/>
                <w:color w:val="000000"/>
                <w:sz w:val="20"/>
                <w:szCs w:val="20"/>
                <w:highlight w:val="none"/>
              </w:rPr>
            </w:r>
            <w:r/>
          </w:p>
        </w:tc>
      </w:tr>
    </w:tbl>
    <w:p>
      <w:pPr>
        <w:pStyle w:val="856"/>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本项目招标范围内需运行维护的污水管网泵站联网监控设备情况如表</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68"/>
        <w:rPr>
          <w:color w:val="000000"/>
          <w:highlight w:val="none"/>
        </w:rPr>
      </w:pPr>
      <w:r>
        <w:rPr>
          <w:color w:val="000000"/>
          <w:highlight w:val="none"/>
        </w:rPr>
        <w:br w:type="page" w:clear="all"/>
      </w:r>
      <w:r>
        <w:rPr>
          <w:color w:val="000000"/>
          <w:highlight w:val="none"/>
        </w:rPr>
      </w:r>
      <w:r/>
    </w:p>
    <w:p>
      <w:pPr>
        <w:pStyle w:val="856"/>
        <w:jc w:val="center"/>
        <w:rPr>
          <w:rFonts w:ascii="MS Mincho" w:hAnsi="Calibri"/>
          <w:color w:val="000000"/>
          <w:sz w:val="24"/>
          <w:szCs w:val="24"/>
          <w:highlight w:val="none"/>
        </w:rPr>
      </w:pPr>
      <w:r>
        <w:rPr>
          <w:rFonts w:ascii="MS Mincho" w:hAnsi="Calibri"/>
          <w:color w:val="000000"/>
          <w:sz w:val="24"/>
          <w:szCs w:val="24"/>
          <w:highlight w:val="none"/>
        </w:rPr>
        <w:t xml:space="preserve">表3 </w:t>
      </w:r>
      <w:r>
        <w:rPr>
          <w:rFonts w:hint="eastAsia" w:ascii="宋体" w:hAnsi="宋体"/>
          <w:bCs/>
          <w:color w:val="000000"/>
          <w:sz w:val="24"/>
          <w:szCs w:val="24"/>
          <w:highlight w:val="none"/>
        </w:rPr>
        <w:t xml:space="preserve">连云港市区污水管网泵站联网监控设备清单</w:t>
      </w:r>
      <w:r>
        <w:rPr>
          <w:rFonts w:ascii="MS Mincho" w:hAnsi="Calibri"/>
          <w:color w:val="000000"/>
          <w:sz w:val="24"/>
          <w:szCs w:val="24"/>
          <w:highlight w:val="none"/>
        </w:rPr>
      </w:r>
      <w:r/>
    </w:p>
    <w:p>
      <w:pPr>
        <w:pStyle w:val="856"/>
        <w:jc w:val="center"/>
        <w:rPr>
          <w:rFonts w:ascii="MS Mincho" w:hAnsi="Calibri"/>
          <w:color w:val="000000"/>
          <w:sz w:val="24"/>
          <w:szCs w:val="24"/>
          <w:highlight w:val="none"/>
        </w:rPr>
      </w:pPr>
      <w:r>
        <w:rPr>
          <w:rFonts w:ascii="MS Mincho" w:hAnsi="Calibri"/>
          <w:color w:val="000000"/>
          <w:sz w:val="24"/>
          <w:szCs w:val="24"/>
          <w:highlight w:val="none"/>
        </w:rPr>
      </w:r>
      <w:r/>
    </w:p>
    <w:tbl>
      <w:tblPr>
        <w:tblW w:w="10100" w:type="dxa"/>
        <w:tblInd w:w="10" w:type="dxa"/>
        <w:tblLayout w:type="autofit"/>
        <w:tblCellMar>
          <w:left w:w="108" w:type="dxa"/>
          <w:top w:w="0" w:type="dxa"/>
          <w:right w:w="108" w:type="dxa"/>
          <w:bottom w:w="0" w:type="dxa"/>
        </w:tblCellMar>
        <w:tblLook w:val="04A0" w:firstRow="1" w:lastRow="0" w:firstColumn="1" w:lastColumn="0" w:noHBand="0" w:noVBand="1"/>
      </w:tblPr>
      <w:tblGrid>
        <w:gridCol w:w="540"/>
        <w:gridCol w:w="1660"/>
        <w:gridCol w:w="5880"/>
        <w:gridCol w:w="1080"/>
        <w:gridCol w:w="940"/>
      </w:tblGrid>
      <w:tr>
        <w:trPr>
          <w:trHeight w:val="1020"/>
          <w:tblHeader/>
        </w:trPr>
        <w:tc>
          <w:tcPr>
            <w:gridSpan w:val="5"/>
            <w:tcBorders>
              <w:top w:val="single" w:color="000000" w:sz="8" w:space="0"/>
              <w:left w:val="single" w:color="000000" w:sz="8" w:space="0"/>
              <w:bottom w:val="single" w:color="000000" w:sz="8" w:space="0"/>
              <w:right w:val="single" w:color="000000" w:sz="8" w:space="0"/>
            </w:tcBorders>
            <w:tcW w:w="10100" w:type="dxa"/>
            <w:vAlign w:val="center"/>
            <w:textDirection w:val="lrTb"/>
            <w:noWrap w:val="false"/>
          </w:tcPr>
          <w:p>
            <w:pPr>
              <w:pStyle w:val="856"/>
              <w:jc w:val="center"/>
              <w:widowControl/>
              <w:rPr>
                <w:rFonts w:ascii="等线" w:hAnsi="等线" w:eastAsia="等线" w:cs="宋体"/>
                <w:b/>
                <w:bCs/>
                <w:color w:val="000000"/>
                <w:sz w:val="40"/>
                <w:szCs w:val="40"/>
                <w:highlight w:val="none"/>
              </w:rPr>
            </w:pPr>
            <w:r>
              <w:rPr>
                <w:rFonts w:hint="eastAsia" w:ascii="仿宋" w:hAnsi="仿宋" w:eastAsia="仿宋" w:cs="仿宋"/>
                <w:b w:val="0"/>
                <w:bCs w:val="0"/>
                <w:color w:val="000000"/>
                <w:sz w:val="24"/>
                <w:szCs w:val="24"/>
                <w:highlight w:val="none"/>
              </w:rPr>
              <w:t xml:space="preserve">连云港市市区污水管网泵站联网监控设备清单</w:t>
            </w:r>
            <w:r>
              <w:rPr>
                <w:rFonts w:hint="eastAsia" w:ascii="等线" w:hAnsi="等线" w:eastAsia="等线" w:cs="宋体"/>
                <w:b/>
                <w:bCs/>
                <w:color w:val="000000"/>
                <w:sz w:val="40"/>
                <w:szCs w:val="40"/>
                <w:highlight w:val="none"/>
              </w:rPr>
              <w:t xml:space="preserve">                                                                       </w:t>
            </w:r>
            <w:r>
              <w:rPr>
                <w:rFonts w:ascii="等线" w:hAnsi="等线" w:eastAsia="等线" w:cs="宋体"/>
                <w:b/>
                <w:bCs/>
                <w:color w:val="000000"/>
                <w:sz w:val="40"/>
                <w:szCs w:val="40"/>
                <w:highlight w:val="none"/>
              </w:rPr>
            </w:r>
            <w:r/>
          </w:p>
        </w:tc>
      </w:tr>
      <w:tr>
        <w:trPr>
          <w:trHeight w:val="624"/>
          <w:tblHeader/>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序号</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设备名称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58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型号</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计量单位</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数量</w:t>
            </w:r>
            <w:r>
              <w:rPr>
                <w:rFonts w:hint="eastAsia" w:ascii="等线" w:hAnsi="等线" w:eastAsia="等线" w:cs="宋体"/>
                <w:color w:val="000000"/>
                <w:sz w:val="20"/>
                <w:szCs w:val="20"/>
                <w:highlight w:val="none"/>
              </w:rPr>
            </w:r>
            <w:r/>
          </w:p>
        </w:tc>
      </w:tr>
      <w:tr>
        <w:trPr>
          <w:trHeight w:val="330"/>
        </w:trPr>
        <w:tc>
          <w:tcPr>
            <w:gridSpan w:val="5"/>
            <w:tcBorders>
              <w:top w:val="single" w:color="000000" w:sz="8" w:space="0"/>
              <w:left w:val="single" w:color="000000" w:sz="8" w:space="0"/>
              <w:bottom w:val="single" w:color="000000" w:sz="8" w:space="0"/>
              <w:right w:val="single" w:color="000000" w:sz="8" w:space="0"/>
            </w:tcBorders>
            <w:tcW w:w="10100" w:type="dxa"/>
            <w:vAlign w:val="center"/>
            <w:textDirection w:val="lrTb"/>
            <w:noWrap w:val="false"/>
          </w:tcPr>
          <w:p>
            <w:pPr>
              <w:pStyle w:val="856"/>
              <w:jc w:val="center"/>
              <w:widowControl/>
              <w:rPr>
                <w:rFonts w:hint="eastAsia" w:ascii="等线" w:hAnsi="等线" w:eastAsia="等线" w:cs="宋体"/>
                <w:b/>
                <w:bCs/>
                <w:color w:val="000000"/>
                <w:sz w:val="24"/>
                <w:szCs w:val="24"/>
                <w:highlight w:val="none"/>
              </w:rPr>
            </w:pPr>
            <w:r>
              <w:rPr>
                <w:rFonts w:hint="eastAsia" w:ascii="等线" w:hAnsi="等线" w:eastAsia="等线" w:cs="宋体"/>
                <w:b/>
                <w:bCs/>
                <w:color w:val="000000"/>
                <w:sz w:val="24"/>
                <w:szCs w:val="24"/>
                <w:highlight w:val="none"/>
              </w:rPr>
              <w:t xml:space="preserve">一、监控中心</w:t>
            </w:r>
            <w:r>
              <w:rPr>
                <w:rFonts w:hint="eastAsia" w:ascii="等线" w:hAnsi="等线" w:eastAsia="等线" w:cs="宋体"/>
                <w:b/>
                <w:bCs/>
                <w:color w:val="000000"/>
                <w:sz w:val="24"/>
                <w:szCs w:val="24"/>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监控计算机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i7-4790 主频3.3GHZ/4GB (1x4GB) 1600MHz DDR3 非-ECC/1T SATA (7.200 Rpm) 硬盘/DVDRW/24寸宽/3Y，含操作系统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视频监控计算机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lang w:eastAsia="zh-CN"/>
              </w:rPr>
            </w:pPr>
            <w:r>
              <w:rPr>
                <w:rFonts w:hint="eastAsia" w:ascii="等线" w:hAnsi="等线" w:eastAsia="等线" w:cs="宋体"/>
                <w:color w:val="000000"/>
                <w:sz w:val="20"/>
                <w:szCs w:val="20"/>
                <w:highlight w:val="none"/>
                <w:lang w:eastAsia="zh-CN"/>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i7-4790 主频3.3GHZ/4GB (1x4GB) 1600MHz DDR3 非-ECC/1T SATA (7.200 Rpm) 硬盘/DVDRW/24寸宽/3Y，含操作系统</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78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服务器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六核英特尔®至强® E5-2640 v3 2.6GHz,20M 缓存,8.00GT/s QPI,Turbo,HT,8C/16T (90W) 最大内存 1866MHz *2/4G*2/300G SAS*5 10K/raid 5/冗余电源/dvd/导轨/3年,含操作系统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工程师站</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 i5-6200U/4G*1/HD520/256G/8260/(1366x768) /摄像头/蓝牙/WIN10 64/3NBD/无CC/4芯/无保留硬盘/E-DOCK   (便携式计算机)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LED大屏</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规格:3x7x55寸 分辨率1920x1080，屏幕亮度：500cd/m²，尺寸：55寸。</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交换机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三层交换机,多模光口x4、RJ45口x24。</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7</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内网嵌入交换机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24口10/100/1000M自适应电口交换机。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8</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路由器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路由器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9</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UPS不间断电源设备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规格:10KVA  60min</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10</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输出设备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A3幅面、最高分辨率：1200×1200dpi，打印速度&gt;=30PPM</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11</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KVM切换器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8口KVM切换器，17"机架式液晶显示器套件，KVM线，机架式键盘、鼠标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12</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软件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PLC配套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13</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监控调度软件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实时监控软件：运行客户端，无限点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14</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监控调度软件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系统平台软件：System Platform 系统平台，50K IO/25K 实时历史数据库点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15</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监控调度软件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实时监控软件：开发版监控软件，无限点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16</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监控调度软件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关系型数据库</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17</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监控调度软件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Web发布软件，10客户</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18</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监控调度软件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视频管理平台软件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19</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监控调度软件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监控集控、调度、管理系统开发、调试和投运</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排水管理软件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1、名称:智慧排水基础支撑平台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2、内容:智慧排水平台基础软件包、企业门户、企业服务总线、商业智能分析软件、消息中间件、工作流软件、后台日志管理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排水管理软件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1、名称:业务数据接入与开发</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2、内容:生产运行数据集成、下属污水厂运行数据集成、下属窖井水位运行数据集成、泵站运行数据集成、下属管网运行数据集成</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排水管理软件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1、名称:智慧排水数据中心</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2、内容:数据整理、数据转换、数据融合</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排水管理软件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1、名称:综合GIS平台对接</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2、内容:综合查询对接、管网管理对接、管网统计分析对接、管网分析对接</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排水管理软件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1、名称:生产运行监控管理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2、内容:泵站运行监控、污水厂运行监控、实时水位监测、水质监测、视频综合监控、车辆GPS监控、窖井水位监测、水雨情监测、报警管理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排水管理软件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1、名称:设备管理系统</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2、内容:设备档案管理、设备运行管理、保养管理、维修管理、巡检管理、备品备件管理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排水管理软件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1、名称:综合运行管理系统</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2、内容:工程管理、排水用户管理、排放口管理、低洼积水点管理、文件管理、业务考核管理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排水管理软件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1、名称:统计分析系统</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2、内容:泵站流量分析、泵站、管网压力分析、水位分析、水质分析、污水厂处理量分析</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排水管理软件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1、名称:应急指挥系统</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2、内容:应急准备管理、值班管理、排放口管理、应急指挥、应急总结</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排水管理软件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1、名称:信息服务系统</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2、内容:信息发布、公众交流互动、公众服务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排水管理软件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1、名称:排水综合调度系统</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2、内容:综合信息总览、调度模式、预案管理、调度日志、调度分析</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排水管理软件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1、名称:基于大数据分析的辅助决策分析系统</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2、内容:生产综合分析、生产安全分析、偷排、超排监测分析、雨量与排水关系、温度与排水关系、大用户分析与水质关系分析</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32</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外网防火墙</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:吞吐量≥4Gbps，必须支持性能扩展；最大并发会话数≥220万,且必须支持扩展，必须支持基于二进制的日志记录格式,必需具备内网隔离与日志报警功能</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机柜、机架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1、名称:弱电柜</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2、含电源、配线架等全套配齐</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34</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电脑操作台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规格:6000x1000mm钢木结合材质，配五把椅子</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35</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立式变频空调</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规格:3P</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36</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防静电活动地板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含除尘、底漆、防潮等。</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m2</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37</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配电箱</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中控室配电</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卫星全球定位系统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1、名称:车载GPS</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2、型号:全套配齐，包含至少10辆车载GPS</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39</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通讯接口</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1、类别:污水厂通讯接口，数据采集、监控</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物位检测仪表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1、名称:窨井液位采集发送系统</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2、无线、超声波、窨井用</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配管配线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1、名称:配管、配线、辅材等</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2、规格:各系统</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变送单元仪表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1、名称:超声波液位变送器 LT-101~102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2、规格:FMU90 0~10m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物位检测仪表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1、名称:超声波液位传感器 LE-101~102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2、规格:FDU91 0~10m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流量仪表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1、名称:流量转换器 FT-101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2、规格:DN450-DN1000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3、泵房出水总管流量变送</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流量仪表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1、名称:流量传感器 FE-101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2、规格:G3E5-0110-0000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3、泵房出水总管流量检测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过程分析仪表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1、名称:COD在线分析仪 AT-101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2、型号:CODmax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3、规格:0~500mg/l</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4、出水及河道水COD检测变送</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过程分析仪表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1、名称:氨氮分析仪 AT-102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2、型号:Amtax  sc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3、规格:0~50mg/l</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4、出水及河道水NH3-N检测变送</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过程分析仪表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1、名称:总磷分析仪 AT-103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2、型号:Phosphax∑Sigma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3、规格:0~10mg/l</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4、出水及河道水TP检测变送</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分析柜、室</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1、名称:出厂水在线监测室</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2、规格:活动板房(10m2 )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3、包括基础、防水、空调、照明、上下水、预处理装置、取样设备等全套配齐</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50</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防雷接地装置</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防雷接地装置</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51</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物位检测仪表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窨井液位计，0~5m</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2"/>
                <w:highlight w:val="none"/>
              </w:rPr>
            </w:pPr>
            <w:r>
              <w:rPr>
                <w:rFonts w:hint="eastAsia" w:ascii="等线" w:hAnsi="等线" w:eastAsia="等线" w:cs="宋体"/>
                <w:color w:val="000000"/>
                <w:sz w:val="22"/>
                <w:highlight w:val="none"/>
              </w:rPr>
              <w:t xml:space="preserve">套</w:t>
            </w:r>
            <w:r>
              <w:rPr>
                <w:rFonts w:hint="eastAsia" w:ascii="等线" w:hAnsi="等线" w:eastAsia="等线"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52</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声光模拟沙盘</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声光模拟沙盘</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53</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网络键盘</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网络键盘</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54</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解码器采购</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解码器采购</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55</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高科单色显示屏</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高科单色显示屏</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56</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A3彩色激光打印机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A3彩色激光打印机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57</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柱状图自控界面</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柱状图自控界面</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58</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除臭，路灯控制自控界面</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除臭，路灯控制自控界面</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59</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茅口排灌站自动控制自控界面</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茅口排灌站自动控制自控界面</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60</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窨井电池</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窨井电池</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w:t>
            </w:r>
            <w:r>
              <w:rPr>
                <w:rFonts w:hint="eastAsia" w:ascii="等线" w:hAnsi="等线" w:eastAsia="等线" w:cs="宋体"/>
                <w:color w:val="000000"/>
                <w:sz w:val="20"/>
                <w:szCs w:val="20"/>
                <w:highlight w:val="none"/>
              </w:rPr>
            </w:r>
            <w:r/>
          </w:p>
        </w:tc>
      </w:tr>
      <w:tr>
        <w:trPr>
          <w:trHeight w:val="330"/>
        </w:trPr>
        <w:tc>
          <w:tcPr>
            <w:gridSpan w:val="5"/>
            <w:tcBorders>
              <w:top w:val="single" w:color="000000" w:sz="8" w:space="0"/>
              <w:left w:val="single" w:color="000000" w:sz="8" w:space="0"/>
              <w:bottom w:val="single" w:color="000000" w:sz="8" w:space="0"/>
              <w:right w:val="single" w:color="000000" w:sz="8" w:space="0"/>
            </w:tcBorders>
            <w:tcW w:w="10100" w:type="dxa"/>
            <w:vAlign w:val="center"/>
            <w:textDirection w:val="lrTb"/>
            <w:noWrap w:val="false"/>
          </w:tcPr>
          <w:p>
            <w:pPr>
              <w:pStyle w:val="856"/>
              <w:jc w:val="center"/>
              <w:widowControl/>
              <w:rPr>
                <w:rFonts w:hint="eastAsia" w:ascii="等线" w:hAnsi="等线" w:eastAsia="等线" w:cs="宋体"/>
                <w:b/>
                <w:bCs/>
                <w:color w:val="000000"/>
                <w:sz w:val="24"/>
                <w:szCs w:val="24"/>
                <w:highlight w:val="none"/>
              </w:rPr>
            </w:pPr>
            <w:r>
              <w:rPr>
                <w:rFonts w:hint="eastAsia" w:ascii="等线" w:hAnsi="等线" w:eastAsia="等线" w:cs="宋体"/>
                <w:b/>
                <w:bCs/>
                <w:color w:val="000000"/>
                <w:sz w:val="24"/>
                <w:szCs w:val="24"/>
                <w:highlight w:val="none"/>
              </w:rPr>
              <w:t xml:space="preserve">二.1号泵站自控</w:t>
            </w:r>
            <w:r>
              <w:rPr>
                <w:rFonts w:hint="eastAsia" w:ascii="等线" w:hAnsi="等线" w:eastAsia="等线" w:cs="宋体"/>
                <w:b/>
                <w:bCs/>
                <w:color w:val="000000"/>
                <w:sz w:val="24"/>
                <w:szCs w:val="24"/>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机柜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1、名称:PLC控制柜,室内型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103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2、含实际点位：DI:69 DO:19  AI:5： AO:0 M:1；含电源模块、CPU（以太网）、通讯模块及I/O模块；点位余量不少于20%  、10寸触摸屏、过电压保护器、信道防雷器、24VDC电源、断路器、熔断器、中间继电器、无源隔离器等全套；含编程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UPS不间断电源设备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1、名称:UPS</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2、规格:3KVA 60min</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63</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交换机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工业以太网交换机，16电口，RJ45口x16，宽温，冗余24V电源,冗余信号触点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64</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2、型号:DJYPV-450/750V-1x2x1.5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2、型号:DJYPV-450/750V-2x2x1.5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280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2、型号:KVVP-450/750V-4x1.5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130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2、型号:KVVP-450/750V-5x1.5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230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2、型号:KVVP-450/750V-7x1.5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70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80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2、型号:KVVP-450/750V-10x1.5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71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电力电缆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1、名称:电力电缆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95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2、型号:YJV-0.6/1KV-3x2.5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72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1、名称:总线电缆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2、规格:8芯，集成商配套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73</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双绞线缆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1、规格:超五类屏蔽双绞线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245</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74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1、名称:电气配管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20</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2、材质:热镀锌钢管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3、规格:SC32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75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1、名称:电气配管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200</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2、材质:热镀锌钢管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3、规格:SC25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76</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设备支架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1、名称:仪表安装支架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77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控制箱</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 仪表保护箱</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2、规格:500x400x300mm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3、材质:室外不锈钢（防雨型、含立杆、带观察窗口,含辅材）</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78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不锈钢管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1、名称:取样管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26</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2、规格:不锈钢管DN25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79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1、名称:高清彩色快速球形摄像机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2、类别:200万20倍红外高速智能球，视频输出支持1280×720@60fps，分辨力不小于950TVL，支持最低照度可达彩色0.004Lux，黑白0.0004Lux</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80</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低照度球机，DS-2DE7220IW-A</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81</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枪机，DS-2CD3T20D-15</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82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录像设备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1、名称:嵌入式网络数字硬盘录像机</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78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2、规格:8路，支持录像打包时间1-300分钟可设置，支持接入ONVIF协议、RTSP协议、GB28181协议的设备，可一键激活并添加局域网内IPC,15天不间断存储容量</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83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显示设备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1、名称:监视器</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2、规格:19"液晶</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84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避雷器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1、名称:视频防雷</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组</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2、规格:电源+网络，含防雷箱</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85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门禁系统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1、名称:门禁系统</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2、含一套门禁控制器、电锁、读卡器、开门按钮、门禁管理系统、IC卡、管线、辅材等全套配齐，含大门箱体</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86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入侵报警控制器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1、名称:电子围栏</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2、脉冲型、6六制、周界120米，含报警主机、电子脉冲式探测器、管线、辅材等全套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87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扩声系统设备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1、名称:扩音喇叭</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2、含扩声系统全套设备、音响、管线等</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88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1、名称:电源电缆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193</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2、规格:RVV-2x2.5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89</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防雷接地TN-S接地系统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90</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温控仪</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温控仪</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91</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92</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皮带机，格栅自动控制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皮带机，格栅自动控制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93</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大门，院角摄像机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高配DS-2AF6223S</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330"/>
        </w:trPr>
        <w:tc>
          <w:tcPr>
            <w:gridSpan w:val="5"/>
            <w:tcBorders>
              <w:top w:val="single" w:color="000000" w:sz="8" w:space="0"/>
              <w:left w:val="single" w:color="000000" w:sz="8" w:space="0"/>
              <w:bottom w:val="single" w:color="000000" w:sz="8" w:space="0"/>
              <w:right w:val="single" w:color="000000" w:sz="8" w:space="0"/>
            </w:tcBorders>
            <w:tcW w:w="10100" w:type="dxa"/>
            <w:vAlign w:val="center"/>
            <w:textDirection w:val="lrTb"/>
            <w:noWrap w:val="false"/>
          </w:tcPr>
          <w:p>
            <w:pPr>
              <w:pStyle w:val="856"/>
              <w:jc w:val="center"/>
              <w:widowControl/>
              <w:rPr>
                <w:rFonts w:hint="eastAsia" w:ascii="等线" w:hAnsi="等线" w:eastAsia="等线" w:cs="宋体"/>
                <w:b/>
                <w:bCs/>
                <w:color w:val="000000"/>
                <w:sz w:val="24"/>
                <w:szCs w:val="24"/>
                <w:highlight w:val="none"/>
              </w:rPr>
            </w:pPr>
            <w:r>
              <w:rPr>
                <w:rFonts w:hint="eastAsia" w:ascii="等线" w:hAnsi="等线" w:eastAsia="等线" w:cs="宋体"/>
                <w:b/>
                <w:bCs/>
                <w:color w:val="000000"/>
                <w:sz w:val="24"/>
                <w:szCs w:val="24"/>
                <w:highlight w:val="none"/>
              </w:rPr>
              <w:t xml:space="preserve">三.二号泵站自控</w:t>
            </w:r>
            <w:r>
              <w:rPr>
                <w:rFonts w:hint="eastAsia" w:ascii="等线" w:hAnsi="等线" w:eastAsia="等线" w:cs="宋体"/>
                <w:b/>
                <w:bCs/>
                <w:color w:val="000000"/>
                <w:sz w:val="24"/>
                <w:szCs w:val="24"/>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94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机柜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1、名称:PLC控制柜,室内型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103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2、含实际点位：DI:69 DO:19  AI:5： AO:0 M:1；含电源模块、CPU（以太网）、通讯模块及I/O模块；点位余量不少于20%  、10寸触摸屏、过电压保护器、信道防雷器、24VDC电源、断路器、熔断器、中间继电器、无源隔离器等全套,含编程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95</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UPS不间断电源设备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规格:3KVA 60min</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96</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交换机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RJ45口x16，宽温，冗余24V电源,冗余信号触点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97</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98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2、型号:DJYPV-450/750V-1x2x1.5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99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2、型号:DJYPV-450/750V-2x2x1.5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100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140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2、型号:KVVP-450/750V-4x1.5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101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80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2、型号:KVVP-450/750V-5x1.5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102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140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2、型号:KVVP-450/750V-7x1.5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103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54</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2、型号:KVVP-450/750V-10x1.5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104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电力电缆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1、名称:电力电缆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2、型号:YJV-0.6/1KV-3x2.5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105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1、名称:总线电缆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2、规格:8芯，集成商配套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106</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双绞线缆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1、规格:超五类屏蔽双绞线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195</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107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1、名称:电气配管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173</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2、材质:热镀锌钢管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3、规格:SC25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4、配置形式:结合现场情况开槽暗配或支架明配</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108</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设备支架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仪表安装支架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109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控制箱</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 仪表保护箱</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2、规格:500x400x300mm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3、材质:室外不锈钢（防雨型、含立杆、带观察窗口,含辅材）</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110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1、名称:高清彩色快速球形摄像机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2、类别:200万20倍红外高速智能球，视频输出支持1280×720@60fps，分辨力不小于950TVL，支持最低照度可达彩色0.004Lux，黑白0.0004Lux</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111</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低照度球机，DS-2DE7220IW-A</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112</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枪机，DS-2CD3T20D-15</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113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录像设备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1、名称:嵌入式网络数字硬盘录像机</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2、规格:8路</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114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显示设备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1、名称:监视器</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2、规格:19"液晶</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避雷器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1、名称:二合一防雷器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组</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2、型号:PSB-220/2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116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门禁系统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1、名称:门禁系统</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2、含门禁控制器、电锁、读卡器、开门按钮、门禁管理系统、IC卡、管线、辅材等全套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117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入侵报警控制器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1、名称:电子围栏</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2、含报警主机、电子脉冲式探测器、管线、辅材等全套配齐</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118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扩声系统设备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1、名称:扩音喇叭</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2、含扩声系统全套设备、音响、管线等</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119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1、名称:电源电缆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178</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2、规格:RVV-2x2.5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120</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:防雷接地TN-S接地系统。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121</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2"/>
                <w:highlight w:val="none"/>
              </w:rPr>
            </w:pPr>
            <w:r>
              <w:rPr>
                <w:rFonts w:hint="eastAsia" w:ascii="等线" w:hAnsi="等线" w:eastAsia="等线" w:cs="宋体"/>
                <w:color w:val="000000"/>
                <w:sz w:val="22"/>
                <w:highlight w:val="none"/>
              </w:rPr>
              <w:t xml:space="preserve">温控仪</w:t>
            </w:r>
            <w:r>
              <w:rPr>
                <w:rFonts w:hint="eastAsia" w:ascii="等线" w:hAnsi="等线" w:eastAsia="等线"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2"/>
                <w:highlight w:val="none"/>
              </w:rPr>
            </w:pPr>
            <w:r>
              <w:rPr>
                <w:rFonts w:hint="eastAsia" w:ascii="等线" w:hAnsi="等线" w:eastAsia="等线" w:cs="宋体"/>
                <w:color w:val="000000"/>
                <w:sz w:val="22"/>
                <w:highlight w:val="none"/>
              </w:rPr>
              <w:t xml:space="preserve">温控仪</w:t>
            </w:r>
            <w:r>
              <w:rPr>
                <w:rFonts w:hint="eastAsia" w:ascii="等线" w:hAnsi="等线" w:eastAsia="等线"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122</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2"/>
                <w:highlight w:val="none"/>
              </w:rPr>
            </w:pPr>
            <w:r>
              <w:rPr>
                <w:rFonts w:hint="eastAsia" w:ascii="等线" w:hAnsi="等线" w:eastAsia="等线" w:cs="宋体"/>
                <w:color w:val="000000"/>
                <w:sz w:val="22"/>
                <w:highlight w:val="none"/>
              </w:rPr>
              <w:t xml:space="preserve">浮球开关</w:t>
            </w:r>
            <w:r>
              <w:rPr>
                <w:rFonts w:hint="eastAsia" w:ascii="等线" w:hAnsi="等线" w:eastAsia="等线"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2"/>
                <w:highlight w:val="none"/>
              </w:rPr>
            </w:pPr>
            <w:r>
              <w:rPr>
                <w:rFonts w:hint="eastAsia" w:ascii="等线" w:hAnsi="等线" w:eastAsia="等线" w:cs="宋体"/>
                <w:color w:val="000000"/>
                <w:sz w:val="22"/>
                <w:highlight w:val="none"/>
              </w:rPr>
              <w:t xml:space="preserve">浮球开关</w:t>
            </w:r>
            <w:r>
              <w:rPr>
                <w:rFonts w:hint="eastAsia" w:ascii="等线" w:hAnsi="等线" w:eastAsia="等线"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123</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2"/>
                <w:highlight w:val="none"/>
              </w:rPr>
            </w:pPr>
            <w:r>
              <w:rPr>
                <w:rFonts w:hint="eastAsia" w:ascii="等线" w:hAnsi="等线" w:eastAsia="等线" w:cs="宋体"/>
                <w:color w:val="000000"/>
                <w:sz w:val="22"/>
                <w:highlight w:val="none"/>
              </w:rPr>
              <w:t xml:space="preserve">皮带机，格栅自动控制</w:t>
            </w:r>
            <w:r>
              <w:rPr>
                <w:rFonts w:hint="eastAsia" w:ascii="等线" w:hAnsi="等线" w:eastAsia="等线"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2"/>
                <w:highlight w:val="none"/>
              </w:rPr>
            </w:pPr>
            <w:r>
              <w:rPr>
                <w:rFonts w:hint="eastAsia" w:ascii="等线" w:hAnsi="等线" w:eastAsia="等线" w:cs="宋体"/>
                <w:color w:val="000000"/>
                <w:sz w:val="22"/>
                <w:highlight w:val="none"/>
              </w:rPr>
              <w:t xml:space="preserve">皮带机，格栅自动控制</w:t>
            </w:r>
            <w:r>
              <w:rPr>
                <w:rFonts w:hint="eastAsia" w:ascii="等线" w:hAnsi="等线" w:eastAsia="等线"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330"/>
        </w:trPr>
        <w:tc>
          <w:tcPr>
            <w:gridSpan w:val="5"/>
            <w:tcBorders>
              <w:top w:val="single" w:color="000000" w:sz="8" w:space="0"/>
              <w:left w:val="single" w:color="000000" w:sz="8" w:space="0"/>
              <w:bottom w:val="single" w:color="000000" w:sz="8" w:space="0"/>
              <w:right w:val="single" w:color="000000" w:sz="8" w:space="0"/>
            </w:tcBorders>
            <w:tcW w:w="10100" w:type="dxa"/>
            <w:vAlign w:val="center"/>
            <w:textDirection w:val="lrTb"/>
            <w:noWrap w:val="false"/>
          </w:tcPr>
          <w:p>
            <w:pPr>
              <w:pStyle w:val="856"/>
              <w:jc w:val="center"/>
              <w:widowControl/>
              <w:rPr>
                <w:rFonts w:hint="eastAsia" w:ascii="等线" w:hAnsi="等线" w:eastAsia="等线" w:cs="宋体"/>
                <w:b/>
                <w:bCs/>
                <w:color w:val="000000"/>
                <w:sz w:val="24"/>
                <w:szCs w:val="24"/>
                <w:highlight w:val="none"/>
              </w:rPr>
            </w:pPr>
            <w:r>
              <w:rPr>
                <w:rFonts w:hint="eastAsia" w:ascii="等线" w:hAnsi="等线" w:eastAsia="等线" w:cs="宋体"/>
                <w:b/>
                <w:bCs/>
                <w:color w:val="000000"/>
                <w:sz w:val="24"/>
                <w:szCs w:val="24"/>
                <w:highlight w:val="none"/>
              </w:rPr>
              <w:t xml:space="preserve">四、3号泵站自控</w:t>
            </w:r>
            <w:r>
              <w:rPr>
                <w:rFonts w:hint="eastAsia" w:ascii="等线" w:hAnsi="等线" w:eastAsia="等线" w:cs="宋体"/>
                <w:b/>
                <w:bCs/>
                <w:color w:val="000000"/>
                <w:sz w:val="24"/>
                <w:szCs w:val="24"/>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124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机柜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1、名称:PLC控制柜,室内型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103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2、含实际点位：DI:69 DO:19  AI:5： AO:0 M:1；含电源模块、CPU（以太网）、通讯模块及I/O模块；点位余量不少于20%  、10寸触摸屏、过电压保护器、信道防雷器、24VDC电源、断路器、熔断器、中间继电器、无源隔离器等全套,含编程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125</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UPS不间断电源设备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规格:3KVA 60min</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126</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交换机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工业以太网交换机，16电口，RJ45口x16，宽温，冗余24V电源,冗余信号触点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127</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128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2、型号:DJYPV-450/750V-1x2x1.5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129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2、型号:DJYPV-450/750V-2x2x1.5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130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130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2、型号:KVVP-450/750V-4x1.5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131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54</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2、型号:KVVP-450/750V-5x1.5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132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124</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2、型号:KVVP-450/750V-7x1.5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133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2、型号:KVVP-450/750V-10x1.5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134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电力电缆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1、名称:电力电缆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2、型号:YJV-0.6/1KV-3x2.5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135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1、名称:总线电缆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38</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2、规格:8芯，集成商配套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136</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双绞线缆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超五类屏蔽双绞线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157</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137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1、名称:电气配管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20</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2、材质:热镀锌钢管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3、规格:SC32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138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1、名称:电气配管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189</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2、材质:热镀锌钢管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3、规格:SC25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139</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设备支架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仪表安装支架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140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控制箱</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 仪表保护箱</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2、规格:500x400x300mm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141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1、名称:高清彩色快速球形摄像机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2、类别:200万20倍红外高速智能球，视频输出支持1280×720@60fps，分辨力不小于950TVL，支持最低照度可达彩色0.004Lux，黑白0.0004Lux</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142</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低照度球机，DS-2DE7220IW-A</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143</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枪机，DS-2CD3T20D-15</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144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录像设备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1、名称:嵌入式网络数字硬盘录像机</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2、规格:8路</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145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显示设备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1、名称:监视器</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2、规格:19"液晶</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146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避雷器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1、名称:二合一防雷器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组</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2、型号:PSB-220/2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147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门禁系统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1、名称:门禁系统</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2、含门禁控制器、电锁、读卡器、开门按钮、门禁管理系统、IC卡、管线、辅材等全套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148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入侵报警控制器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1、名称:电子围栏</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2、含报警主机、电子脉冲式探测器、管线、辅材等全套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149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扩声系统设备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1、名称:扩音喇叭</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2、含扩声系统全套设备、音响、管线等</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150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1、名称:电源电缆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137</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2、规格:RVV-2x2.5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151</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防雷接地TN-S接地系统。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152</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2"/>
                <w:highlight w:val="none"/>
              </w:rPr>
            </w:pPr>
            <w:r>
              <w:rPr>
                <w:rFonts w:hint="eastAsia" w:ascii="等线" w:hAnsi="等线" w:eastAsia="等线" w:cs="宋体"/>
                <w:color w:val="000000"/>
                <w:sz w:val="22"/>
                <w:highlight w:val="none"/>
              </w:rPr>
              <w:t xml:space="preserve">温控仪</w:t>
            </w:r>
            <w:r>
              <w:rPr>
                <w:rFonts w:hint="eastAsia" w:ascii="等线" w:hAnsi="等线" w:eastAsia="等线"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2"/>
                <w:highlight w:val="none"/>
              </w:rPr>
            </w:pPr>
            <w:r>
              <w:rPr>
                <w:rFonts w:hint="eastAsia" w:ascii="等线" w:hAnsi="等线" w:eastAsia="等线" w:cs="宋体"/>
                <w:color w:val="000000"/>
                <w:sz w:val="22"/>
                <w:highlight w:val="none"/>
              </w:rPr>
              <w:t xml:space="preserve">温控仪</w:t>
            </w:r>
            <w:r>
              <w:rPr>
                <w:rFonts w:hint="eastAsia" w:ascii="等线" w:hAnsi="等线" w:eastAsia="等线"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153</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2"/>
                <w:highlight w:val="none"/>
              </w:rPr>
            </w:pPr>
            <w:r>
              <w:rPr>
                <w:rFonts w:hint="eastAsia" w:ascii="等线" w:hAnsi="等线" w:eastAsia="等线" w:cs="宋体"/>
                <w:color w:val="000000"/>
                <w:sz w:val="22"/>
                <w:highlight w:val="none"/>
              </w:rPr>
              <w:t xml:space="preserve">浮球开关</w:t>
            </w:r>
            <w:r>
              <w:rPr>
                <w:rFonts w:hint="eastAsia" w:ascii="等线" w:hAnsi="等线" w:eastAsia="等线"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2"/>
                <w:highlight w:val="none"/>
              </w:rPr>
            </w:pPr>
            <w:r>
              <w:rPr>
                <w:rFonts w:hint="eastAsia" w:ascii="等线" w:hAnsi="等线" w:eastAsia="等线" w:cs="宋体"/>
                <w:color w:val="000000"/>
                <w:sz w:val="22"/>
                <w:highlight w:val="none"/>
              </w:rPr>
              <w:t xml:space="preserve">浮球开关</w:t>
            </w:r>
            <w:r>
              <w:rPr>
                <w:rFonts w:hint="eastAsia" w:ascii="等线" w:hAnsi="等线" w:eastAsia="等线"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154</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2"/>
                <w:highlight w:val="none"/>
              </w:rPr>
            </w:pPr>
            <w:r>
              <w:rPr>
                <w:rFonts w:hint="eastAsia" w:ascii="等线" w:hAnsi="等线" w:eastAsia="等线" w:cs="宋体"/>
                <w:color w:val="000000"/>
                <w:sz w:val="22"/>
                <w:highlight w:val="none"/>
              </w:rPr>
              <w:t xml:space="preserve">皮带机，格栅自动控制</w:t>
            </w:r>
            <w:r>
              <w:rPr>
                <w:rFonts w:hint="eastAsia" w:ascii="等线" w:hAnsi="等线" w:eastAsia="等线"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2"/>
                <w:highlight w:val="none"/>
              </w:rPr>
            </w:pPr>
            <w:r>
              <w:rPr>
                <w:rFonts w:hint="eastAsia" w:ascii="等线" w:hAnsi="等线" w:eastAsia="等线" w:cs="宋体"/>
                <w:color w:val="000000"/>
                <w:sz w:val="22"/>
                <w:highlight w:val="none"/>
              </w:rPr>
              <w:t xml:space="preserve">皮带机，格栅自动控制</w:t>
            </w:r>
            <w:r>
              <w:rPr>
                <w:rFonts w:hint="eastAsia" w:ascii="等线" w:hAnsi="等线" w:eastAsia="等线"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155</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2"/>
                <w:highlight w:val="none"/>
              </w:rPr>
            </w:pPr>
            <w:r>
              <w:rPr>
                <w:rFonts w:hint="eastAsia" w:ascii="等线" w:hAnsi="等线" w:eastAsia="等线" w:cs="宋体"/>
                <w:color w:val="000000"/>
                <w:sz w:val="22"/>
                <w:highlight w:val="none"/>
              </w:rPr>
              <w:t xml:space="preserve">DB10液位计传感器</w:t>
            </w:r>
            <w:r>
              <w:rPr>
                <w:rFonts w:hint="eastAsia" w:ascii="等线" w:hAnsi="等线" w:eastAsia="等线"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2"/>
                <w:highlight w:val="none"/>
              </w:rPr>
            </w:pPr>
            <w:r>
              <w:rPr>
                <w:rFonts w:hint="eastAsia" w:ascii="等线" w:hAnsi="等线" w:eastAsia="等线" w:cs="宋体"/>
                <w:color w:val="000000"/>
                <w:sz w:val="22"/>
                <w:highlight w:val="none"/>
              </w:rPr>
              <w:t xml:space="preserve">DB10液位计传感器</w:t>
            </w:r>
            <w:r>
              <w:rPr>
                <w:rFonts w:hint="eastAsia" w:ascii="等线" w:hAnsi="等线" w:eastAsia="等线"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156</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2"/>
                <w:highlight w:val="none"/>
              </w:rPr>
            </w:pPr>
            <w:r>
              <w:rPr>
                <w:rFonts w:hint="eastAsia" w:ascii="等线" w:hAnsi="等线" w:eastAsia="等线" w:cs="宋体"/>
                <w:color w:val="000000"/>
                <w:sz w:val="22"/>
                <w:highlight w:val="none"/>
              </w:rPr>
              <w:t xml:space="preserve">进口格栅故障维修</w:t>
            </w:r>
            <w:r>
              <w:rPr>
                <w:rFonts w:hint="eastAsia" w:ascii="等线" w:hAnsi="等线" w:eastAsia="等线"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2"/>
                <w:highlight w:val="none"/>
              </w:rPr>
            </w:pPr>
            <w:r>
              <w:rPr>
                <w:rFonts w:hint="eastAsia" w:ascii="等线" w:hAnsi="等线" w:eastAsia="等线" w:cs="宋体"/>
                <w:color w:val="000000"/>
                <w:sz w:val="22"/>
                <w:highlight w:val="none"/>
              </w:rPr>
              <w:t xml:space="preserve">进口格栅故障维修</w:t>
            </w:r>
            <w:r>
              <w:rPr>
                <w:rFonts w:hint="eastAsia" w:ascii="等线" w:hAnsi="等线" w:eastAsia="等线"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330"/>
        </w:trPr>
        <w:tc>
          <w:tcPr>
            <w:gridSpan w:val="5"/>
            <w:tcBorders>
              <w:top w:val="single" w:color="000000" w:sz="8" w:space="0"/>
              <w:left w:val="single" w:color="000000" w:sz="8" w:space="0"/>
              <w:bottom w:val="single" w:color="000000" w:sz="8" w:space="0"/>
              <w:right w:val="single" w:color="000000" w:sz="8" w:space="0"/>
            </w:tcBorders>
            <w:tcW w:w="10100" w:type="dxa"/>
            <w:vAlign w:val="center"/>
            <w:textDirection w:val="lrTb"/>
            <w:noWrap w:val="false"/>
          </w:tcPr>
          <w:p>
            <w:pPr>
              <w:pStyle w:val="856"/>
              <w:jc w:val="center"/>
              <w:widowControl/>
              <w:rPr>
                <w:rFonts w:hint="eastAsia" w:ascii="等线" w:hAnsi="等线" w:eastAsia="等线" w:cs="宋体"/>
                <w:b/>
                <w:bCs/>
                <w:color w:val="000000"/>
                <w:sz w:val="24"/>
                <w:szCs w:val="24"/>
                <w:highlight w:val="none"/>
              </w:rPr>
            </w:pPr>
            <w:r>
              <w:rPr>
                <w:rFonts w:hint="eastAsia" w:ascii="等线" w:hAnsi="等线" w:eastAsia="等线" w:cs="宋体"/>
                <w:b/>
                <w:bCs/>
                <w:color w:val="000000"/>
                <w:sz w:val="24"/>
                <w:szCs w:val="24"/>
                <w:highlight w:val="none"/>
              </w:rPr>
              <w:t xml:space="preserve">五、4号泵站自控</w:t>
            </w:r>
            <w:r>
              <w:rPr>
                <w:rFonts w:hint="eastAsia" w:ascii="等线" w:hAnsi="等线" w:eastAsia="等线" w:cs="宋体"/>
                <w:b/>
                <w:bCs/>
                <w:color w:val="000000"/>
                <w:sz w:val="24"/>
                <w:szCs w:val="24"/>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157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机柜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1、名称:PLC控制柜,室内型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103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2、含实际点位：DI:69 DO:19  AI:5： AO:0 M:1；含电源模块、CPU（以太网）、通讯模块及I/O模块；点位余量不少于20%  、10寸触摸屏、过电压保护器、信道防雷器、24VDC电源、断路器、熔断器、中间继电器、无源隔离器等全套,含编程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158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UPS不间断电源设备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1、名称:UPS</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2、规格:3KVA 60min</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159</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交换机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工业以太网交换机，16电口，RJ45口x16。</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160</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161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26</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2、型号:DJYPV-450/750V-1x2x1.5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162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2、型号:DJYPV-450/750V-2x2x1.5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163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144</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2、型号:KVVP-450/750V-4x1.5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164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2、型号:KVVP-450/750V-5x1.5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165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95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2、型号:KVVP-450/750V-7x1.5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166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46</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2、型号:KVVP-450/750V-10x1.5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167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2、型号:KVVP-450/750V-14x1.5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168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电力电缆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1、名称:电力电缆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84</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2、型号:YJV-0.6/1KV-3x2.5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169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1、名称:总线电缆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2、规格:8芯，集成商配套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170</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双绞线缆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1、规格:超五类屏蔽双绞线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161</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171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1、名称:电气配管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10</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2、材质:热镀锌钢管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3、规格:SC32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172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1、名称:电气配管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254</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2、材质:热镀锌钢管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3、规格:SC25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173</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设备支架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1、名称:仪表安装支架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174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控制箱</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 仪表保护箱</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2、规格:500x400x300mm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3、材质:室外不锈钢（防雨型、含立杆、带观察窗口,含辅材）</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175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不锈钢管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1、名称:取样管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2、规格:不锈钢管DN25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176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1、名称:高清彩色快速球形摄像机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7</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2、类别:200万20倍红外高速智能球，视频输出支持1280×720@60fps，分辨力不小于950TVL，支持最低照度可达彩色0.004Lux，黑白0.0004Lux</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177</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低照度球机，DS-2DE7220IW-A</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178</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枪机，DS-2CD3T20D-15</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179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录像设备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1、名称:嵌入式网络数字硬盘录像机</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2、规格:8路</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180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显示设备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1、名称:监视器</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2、规格:19"液晶</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181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避雷器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1、名称:二合一防雷器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组</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2、型号:PSB-220/2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182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门禁系统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1、名称:门禁系统</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2、含门禁控制器、电锁、读卡器、开门按钮、门禁管理系统、IC卡、管线、辅材等全套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183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入侵报警控制器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1、名称:电子围栏</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2、含报警主机、电子脉冲式探测器、管线、辅材等全套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184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扩声系统设备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1、名称:扩音喇叭</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2、含扩声系统全套设备、音响、管线等</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185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1、名称:电源电缆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114</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2、规格:RVV-2x2.5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186</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防雷接地TN-S接地系统。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187</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温控仪</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温控仪</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188</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189</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皮带机，格栅自动控制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皮带机，格栅自动控制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190</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流量计井</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流量计井</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座</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191</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格莱流量计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格莱流量计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330"/>
        </w:trPr>
        <w:tc>
          <w:tcPr>
            <w:gridSpan w:val="5"/>
            <w:tcBorders>
              <w:top w:val="single" w:color="000000" w:sz="8" w:space="0"/>
              <w:left w:val="single" w:color="000000" w:sz="8" w:space="0"/>
              <w:bottom w:val="single" w:color="000000" w:sz="8" w:space="0"/>
              <w:right w:val="single" w:color="000000" w:sz="8" w:space="0"/>
            </w:tcBorders>
            <w:tcW w:w="10100" w:type="dxa"/>
            <w:vAlign w:val="center"/>
            <w:textDirection w:val="lrTb"/>
            <w:noWrap w:val="false"/>
          </w:tcPr>
          <w:p>
            <w:pPr>
              <w:pStyle w:val="856"/>
              <w:jc w:val="center"/>
              <w:widowControl/>
              <w:rPr>
                <w:rFonts w:hint="eastAsia" w:ascii="等线" w:hAnsi="等线" w:eastAsia="等线" w:cs="宋体"/>
                <w:b/>
                <w:bCs/>
                <w:color w:val="000000"/>
                <w:sz w:val="24"/>
                <w:szCs w:val="24"/>
                <w:highlight w:val="none"/>
              </w:rPr>
            </w:pPr>
            <w:r>
              <w:rPr>
                <w:rFonts w:hint="eastAsia" w:ascii="等线" w:hAnsi="等线" w:eastAsia="等线" w:cs="宋体"/>
                <w:b/>
                <w:bCs/>
                <w:color w:val="000000"/>
                <w:sz w:val="24"/>
                <w:szCs w:val="24"/>
                <w:highlight w:val="none"/>
              </w:rPr>
              <w:t xml:space="preserve">六、5号泵站自控</w:t>
            </w:r>
            <w:r>
              <w:rPr>
                <w:rFonts w:hint="eastAsia" w:ascii="等线" w:hAnsi="等线" w:eastAsia="等线" w:cs="宋体"/>
                <w:b/>
                <w:bCs/>
                <w:color w:val="000000"/>
                <w:sz w:val="24"/>
                <w:szCs w:val="24"/>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192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机柜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1、名称:PLC控制柜,室内型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103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2、含实际点位：DI:69 DO:19  AI:5： AO:0 M:1；含电源模块、CPU（以太网）、通讯模块及I/O模块；点位余量不少于20%  、10寸触摸屏、过电压保护器、信道防雷器、24VDC电源、断路器、熔断器、中间继电器、无源隔离器等全套,含编程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193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UPS不间断电源设备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1、名称:UPS</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2、规格:3KVA 60min</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194</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交换机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工业以太网交换机，16电口，RJ45口x16，宽温，冗余24V电源。</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195</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196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85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2、型号:DJYPV-450/750V-1x2x1.5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197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2、型号:DJYPV-450/750V-2x2x1.5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198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215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2、型号:KVVP-450/750V-4x1.5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199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99</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2、型号:KVVP-450/750V-5x1.5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200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99</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2、型号:KVVP-450/750V-7x1.5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201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85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2、型号:KVVP-450/750V-10x1.5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202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电力电缆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1、名称:电力电缆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151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2、型号:YJV-0.6/1KV-3x2.5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203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1、名称:总线电缆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2、规格:8芯，集成商配套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204</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双绞线缆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1、规格:超五类屏蔽双绞线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28</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205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1、名称:电气配管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2、材质:热镀锌钢管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3、规格:SC32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206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1、名称:电气配管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315</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2、材质:热镀锌钢管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3、规格:SC25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207</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设备支架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仪表安装支架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208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控制箱</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 仪表保护箱</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2、规格:500x400x300mm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3、材质:室外不锈钢（防雨型、含立杆、带观察窗口,含辅材）</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209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1、名称:高清彩色快速球形摄像机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2、类别:DS-2AF6223S系列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3、安装方式:含立柱、支架、云台、电源、镜头等全套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210</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低照度球机，DS-2DE7220IW-A</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211</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枪机，DS-2CD3T20D-15</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212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录像设备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1、名称:嵌入式网络数字硬盘录像机</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2、规格:8路</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213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显示设备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1、名称:监视器</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2、规格:19"液晶</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214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避雷器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1、名称:二合一防雷器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组</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2、型号:PSB-220/2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门禁系统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1、名称:门禁系统</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2、含门禁控制器、电锁、读卡器、开门按钮、门禁管理系统、IC卡、管线、辅材等全套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216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入侵报警控制器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1、名称:电子围栏</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2、含报警主机、电子脉冲式探测器、管线、辅材等全套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217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扩声系统设备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1、名称:扩音喇叭</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2、含扩声系统全套设备、音响、管线等</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218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1、名称:电源电缆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193</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2、规格:RVV-2x2.5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219</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防雷接地TN-S接地系统。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220</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温控仪</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温控仪</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221</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222</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皮带机，格栅自动控制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皮带机，格栅自动控制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223</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不锈钢管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不锈钢管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224</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取样泵控制箱</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取样泵控制箱</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330"/>
        </w:trPr>
        <w:tc>
          <w:tcPr>
            <w:gridSpan w:val="5"/>
            <w:tcBorders>
              <w:top w:val="single" w:color="000000" w:sz="8" w:space="0"/>
              <w:left w:val="single" w:color="000000" w:sz="8" w:space="0"/>
              <w:bottom w:val="single" w:color="000000" w:sz="8" w:space="0"/>
              <w:right w:val="single" w:color="000000" w:sz="8" w:space="0"/>
            </w:tcBorders>
            <w:tcW w:w="10100" w:type="dxa"/>
            <w:vAlign w:val="center"/>
            <w:textDirection w:val="lrTb"/>
            <w:noWrap w:val="false"/>
          </w:tcPr>
          <w:p>
            <w:pPr>
              <w:pStyle w:val="856"/>
              <w:jc w:val="center"/>
              <w:widowControl/>
              <w:rPr>
                <w:rFonts w:hint="eastAsia" w:ascii="等线" w:hAnsi="等线" w:eastAsia="等线" w:cs="宋体"/>
                <w:b/>
                <w:bCs/>
                <w:color w:val="000000"/>
                <w:sz w:val="24"/>
                <w:szCs w:val="24"/>
                <w:highlight w:val="none"/>
              </w:rPr>
            </w:pPr>
            <w:r>
              <w:rPr>
                <w:rFonts w:hint="eastAsia" w:ascii="仿宋" w:hAnsi="仿宋" w:eastAsia="仿宋" w:cs="仿宋"/>
                <w:b w:val="0"/>
                <w:bCs w:val="0"/>
                <w:color w:val="000000"/>
                <w:sz w:val="24"/>
                <w:szCs w:val="24"/>
                <w:highlight w:val="none"/>
              </w:rPr>
              <w:t xml:space="preserve">七、6海宁泵站自控</w:t>
            </w:r>
            <w:r>
              <w:rPr>
                <w:rFonts w:hint="eastAsia" w:ascii="等线" w:hAnsi="等线" w:eastAsia="等线" w:cs="宋体"/>
                <w:b/>
                <w:bCs/>
                <w:color w:val="000000"/>
                <w:sz w:val="24"/>
                <w:szCs w:val="24"/>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机柜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1、名称:PLC控制柜,室内型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103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2、含实际点位：DI:69 DO:19  AI:5： AO:0 M:1；含电源模块、CPU（以太网）、通讯模块及I/O模块；点位余量不少于20%  、10寸触摸屏、过电压保护器、信道防雷器、24VDC电源、断路器、熔断器、中间继电器、无源隔离器等全套,含编程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226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UPS不间断电源设备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1、名称:UPS</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2、规格:3KVA 60min</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227</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交换机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工业以太网交换机，16电口，RJ45口x16，宽温，冗余24V电源,冗余信号触点。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228</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229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95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2、型号:DJYPV-450/750V-1x2x1.5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230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2、型号:DJYPV-450/750V-2x2x1.5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231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153</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2、型号:KVVP-450/750V-4x1.5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232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72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2、型号:KVVP-450/750V-5x1.5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233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132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2、型号:KVVP-450/750V-7x1.5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234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54</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2、型号:KVVP-450/750V-10x1.5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235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电力电缆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1、名称:电力电缆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109</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2、型号:YJV-0.6/1KV-3x2.5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236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1、名称:总线电缆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28</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2、规格:8芯，集成商配套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237</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双绞线缆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1、规格:超五类屏蔽双绞线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144</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238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1、名称:电气配管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208</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2、材质:热镀锌钢管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3、规格:SC25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239</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设备支架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仪表安装支架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240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控制箱</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 仪表保护箱</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2、规格:500x400x300mm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3、材质:室外不锈钢（防雨型、含立杆、带观察窗口,含辅材）</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241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不锈钢管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1、名称:取样管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2、规格:不锈钢管DN25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242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1、名称:高清彩色快速球形摄像机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2、类别:DS-2AF6223S系列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243</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低照度球机，DS-2DE7220IW-A</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244</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枪机，DS-2CD3T20D-15</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245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录像设备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1、名称:嵌入式网络数字硬盘录像机</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2、规格:8路</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246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显示设备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1、名称:监视器</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2、规格:19"液晶</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247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避雷器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1、名称:二合一防雷器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组</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2、型号:PSB-220/2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248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门禁系统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1、名称:门禁系统</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2、含门禁控制器、电锁、读卡器、开门按钮、门禁管理系统、IC卡、管线、辅材等全套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249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入侵报警控制器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1、名称:电子围栏</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2、含报警主机、电子脉冲式探测器、管线、辅材等全套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250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扩声系统设备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1、名称:扩音喇叭</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2、含扩声系统全套设备、音响、管线等</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251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1、名称:电源电缆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127</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2、规格:RVV-2x2.5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252</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:防雷接地TN-S接地系统。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253</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温控仪</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温控仪</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254</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330"/>
        </w:trPr>
        <w:tc>
          <w:tcPr>
            <w:gridSpan w:val="5"/>
            <w:tcBorders>
              <w:top w:val="single" w:color="000000" w:sz="8" w:space="0"/>
              <w:left w:val="single" w:color="000000" w:sz="8" w:space="0"/>
              <w:bottom w:val="single" w:color="000000" w:sz="8" w:space="0"/>
              <w:right w:val="single" w:color="000000" w:sz="8" w:space="0"/>
            </w:tcBorders>
            <w:tcW w:w="10100" w:type="dxa"/>
            <w:vAlign w:val="center"/>
            <w:textDirection w:val="lrTb"/>
            <w:noWrap w:val="false"/>
          </w:tcPr>
          <w:p>
            <w:pPr>
              <w:pStyle w:val="856"/>
              <w:jc w:val="center"/>
              <w:widowControl/>
              <w:rPr>
                <w:rFonts w:hint="eastAsia" w:ascii="等线" w:hAnsi="等线" w:eastAsia="等线" w:cs="宋体"/>
                <w:b/>
                <w:bCs/>
                <w:color w:val="000000"/>
                <w:sz w:val="24"/>
                <w:szCs w:val="24"/>
                <w:highlight w:val="none"/>
              </w:rPr>
            </w:pPr>
            <w:r>
              <w:rPr>
                <w:rFonts w:hint="eastAsia" w:ascii="仿宋" w:hAnsi="仿宋" w:eastAsia="仿宋" w:cs="仿宋"/>
                <w:b w:val="0"/>
                <w:bCs w:val="0"/>
                <w:color w:val="000000"/>
                <w:sz w:val="24"/>
                <w:szCs w:val="24"/>
                <w:highlight w:val="none"/>
              </w:rPr>
              <w:t xml:space="preserve">八、7海州泵站自控</w:t>
            </w:r>
            <w:r>
              <w:rPr>
                <w:rFonts w:hint="eastAsia" w:ascii="等线" w:hAnsi="等线" w:eastAsia="等线" w:cs="宋体"/>
                <w:b/>
                <w:bCs/>
                <w:color w:val="000000"/>
                <w:sz w:val="24"/>
                <w:szCs w:val="24"/>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255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机柜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1、名称:PLC控制柜,室内型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103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2、含实际点位：DI:69 DO:19  AI:5： AO:0 M:1；含电源模块、CPU（以太网）、通讯模块及I/O模块；点位余量不少于20%  、10寸触摸屏、过电压保护器、信道防雷器、24VDC电源、断路器、熔断器、中间继电器、无源隔离器等全套,含编程。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256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UPS不间断电源设备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1、名称:UPS</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2、规格:3KVA 60min</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257</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交换机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、工业以太网交换机，16电口,RJ45口x16，宽温，冗余24V电源,冗余信号触点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258</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259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2、型号:DJYPV-450/750V-1x2x1.5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260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2、型号:DJYPV-450/750V-2x2x1.5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261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155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2、型号:KVVP-450/750V-4x1.5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262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76</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2、型号:KVVP-450/750V-5x1.5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263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116</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2、型号:KVVP-450/750V-7x1.5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264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2、型号:KVVP-450/750V-10x1.5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265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电力电缆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1、名称:电力电缆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2、型号:YJV-0.6/1KV-3x2.5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266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1、名称:总线电缆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26</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2、规格:8芯，集成商配套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267</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双绞线缆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1、规格:超五类屏蔽双绞线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112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268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1、名称:电气配管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178</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2、材质:热镀锌钢管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3、规格:SC25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269</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设备支架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1、名称:仪表安装支架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270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控制箱</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 仪表保护箱</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2、规格:500x400x300mm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3、材质:室外不锈钢（防雨型、含立杆、带观察窗口,含辅材）</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271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1、名称:高清彩色快速球形摄像机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2、类别:DS-2AF6223S系列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272</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低照度球机，DS-2DE7220IW-A</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273</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枪机，DS-2CD3T20D-15</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274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录像设备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1、名称:嵌入式网络数字硬盘录像机</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2、规格:8路</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275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显示设备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1、名称:监视器</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2、规格:19"液晶</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276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避雷器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1、名称:二合一防雷器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组</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2、型号:PSB-220/2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277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门禁系统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1、名称:门禁系统</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2、含门禁控制器、电锁、读卡器、开门按钮、门禁管理系统、IC卡、管线、辅材等全套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278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入侵报警控制器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1、名称:电子围栏</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2、含报警主机、电子脉冲式探测器、管线、辅材等全套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279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扩声系统设备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1、名称:扩音喇叭</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2、含扩声系统全套设备、音响、管线等</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280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1、名称:电源电缆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114</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2、规格:RVV-2x2.5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281</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防雷接地TN-S接地系统。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282</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温控仪</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温控仪</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283</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284</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不锈钢管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不锈钢管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285</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取样泵控制箱</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取样泵控制箱</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330"/>
        </w:trPr>
        <w:tc>
          <w:tcPr>
            <w:gridSpan w:val="5"/>
            <w:tcBorders>
              <w:top w:val="single" w:color="000000" w:sz="8" w:space="0"/>
              <w:left w:val="single" w:color="000000" w:sz="8" w:space="0"/>
              <w:bottom w:val="single" w:color="000000" w:sz="8" w:space="0"/>
              <w:right w:val="single" w:color="000000" w:sz="8" w:space="0"/>
            </w:tcBorders>
            <w:tcW w:w="10100" w:type="dxa"/>
            <w:vAlign w:val="center"/>
            <w:textDirection w:val="lrTb"/>
            <w:noWrap w:val="false"/>
          </w:tcPr>
          <w:p>
            <w:pPr>
              <w:pStyle w:val="856"/>
              <w:jc w:val="center"/>
              <w:widowControl/>
              <w:rPr>
                <w:rFonts w:hint="eastAsia" w:ascii="等线" w:hAnsi="等线" w:eastAsia="等线" w:cs="宋体"/>
                <w:b/>
                <w:bCs/>
                <w:color w:val="000000"/>
                <w:sz w:val="24"/>
                <w:szCs w:val="24"/>
                <w:highlight w:val="none"/>
              </w:rPr>
            </w:pPr>
            <w:r>
              <w:rPr>
                <w:rFonts w:hint="eastAsia" w:ascii="仿宋" w:hAnsi="仿宋" w:eastAsia="仿宋" w:cs="仿宋"/>
                <w:b w:val="0"/>
                <w:bCs w:val="0"/>
                <w:color w:val="000000"/>
                <w:sz w:val="24"/>
                <w:szCs w:val="24"/>
                <w:highlight w:val="none"/>
              </w:rPr>
              <w:t xml:space="preserve">九、8郁州公园泵站自控</w:t>
            </w:r>
            <w:r>
              <w:rPr>
                <w:rFonts w:hint="eastAsia" w:ascii="等线" w:hAnsi="等线" w:eastAsia="等线" w:cs="宋体"/>
                <w:b/>
                <w:bCs/>
                <w:color w:val="000000"/>
                <w:sz w:val="24"/>
                <w:szCs w:val="24"/>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286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机柜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1、名称:PLC控制柜,室内型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103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2、含实际点位：DI:69 DO:19  AI:5： AO:0 M:1；含电源模块、CPU（以太网）、通讯模块及I/O模块；点位余量不少于20%  、10寸触摸屏、过电压保护器、信道防雷器、24VDC电源、断路器、熔断器、中间继电器、无源隔离器等全套,含编程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287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UPS不间断电源设备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1、名称:UPS</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2、规格:3KVA 60min</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288</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交换机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工业以太网交换机，16电口，RJ45口x16，宽温，冗余24V电源,冗余信号触点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289</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290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75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2、型号:DJYPV-450/750V-1x2x1.5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291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2、型号:DJYPV-450/750V-2x2x1.5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292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315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2、型号:KVVP-450/750V-4x1.5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293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2、型号:KVVP-450/750V-5x1.5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294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120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2、型号:KVVP-450/750V-7x1.5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295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135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2、型号:KVVP-450/750V-10x1.5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296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电力电缆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1、名称:电力电缆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2、型号:YJV-0.6/1KV-3x2.5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297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1、名称:总线电缆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2、规格:8芯，集成商配套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298</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双绞线缆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1、规格:超五类屏蔽双绞线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135</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299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1、名称:电气配管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142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2、材质:热镀锌钢管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3、规格:SC25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300</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设备支架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仪表安装支架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控制箱</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 仪表保护箱</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2、规格:500x400x300mm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3、材质:室外不锈钢（防雨型、含立杆、带观察窗口,含辅材）</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1、名称:高清彩色快速球形摄像机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2、类别:DS-2AF6223S系列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303</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低照度球机，DS-2DE7220IW-A</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录像设备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1、名称:嵌入式网络数字硬盘录像机</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2、规格:8路</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显示设备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1、名称:监视器</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2、规格:19"液晶</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避雷器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1、名称:二合一防雷器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组</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2、型号:PSB-220/2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门禁系统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1、名称:门禁系统</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2、含门禁控制器、电锁、读卡器、开门按钮、门禁管理系统、IC卡、管线、辅材等全套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入侵报警控制器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1、名称:电子围栏</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2、含报警主机、电子脉冲式探测器、管线、辅材等全套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扩声系统设备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1、名称:扩音喇叭</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2、含扩声系统全套设备、音响、管线等</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310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1、名称:电源电缆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150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2、规格:RVV-2x2.5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311</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防雷接地TN-S接地系统。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312</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温控仪</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温控仪</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313</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314</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流量计井</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流量计井</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座</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315</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格莱流量计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格莱流量计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316</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格栅，皮带控制箱</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格栅，皮带控制箱</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330"/>
        </w:trPr>
        <w:tc>
          <w:tcPr>
            <w:gridSpan w:val="5"/>
            <w:tcBorders>
              <w:top w:val="single" w:color="000000" w:sz="8" w:space="0"/>
              <w:left w:val="single" w:color="000000" w:sz="8" w:space="0"/>
              <w:bottom w:val="single" w:color="000000" w:sz="8" w:space="0"/>
              <w:right w:val="single" w:color="000000" w:sz="8" w:space="0"/>
            </w:tcBorders>
            <w:tcW w:w="10100" w:type="dxa"/>
            <w:vAlign w:val="center"/>
            <w:textDirection w:val="lrTb"/>
            <w:noWrap w:val="false"/>
          </w:tcPr>
          <w:p>
            <w:pPr>
              <w:pStyle w:val="856"/>
              <w:jc w:val="center"/>
              <w:widowControl/>
              <w:rPr>
                <w:rFonts w:hint="eastAsia" w:ascii="等线" w:hAnsi="等线" w:eastAsia="等线" w:cs="宋体"/>
                <w:b/>
                <w:bCs/>
                <w:color w:val="000000"/>
                <w:sz w:val="24"/>
                <w:szCs w:val="24"/>
                <w:highlight w:val="none"/>
              </w:rPr>
            </w:pPr>
            <w:r>
              <w:rPr>
                <w:rFonts w:hint="eastAsia" w:ascii="仿宋" w:hAnsi="仿宋" w:eastAsia="仿宋" w:cs="仿宋"/>
                <w:b w:val="0"/>
                <w:bCs w:val="0"/>
                <w:color w:val="000000"/>
                <w:sz w:val="24"/>
                <w:szCs w:val="24"/>
                <w:highlight w:val="none"/>
              </w:rPr>
              <w:t xml:space="preserve">十、10幸福桥排口污水截流泵站</w:t>
            </w:r>
            <w:r>
              <w:rPr>
                <w:rFonts w:hint="eastAsia" w:ascii="等线" w:hAnsi="等线" w:eastAsia="等线" w:cs="宋体"/>
                <w:b/>
                <w:bCs/>
                <w:color w:val="000000"/>
                <w:sz w:val="24"/>
                <w:szCs w:val="24"/>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317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机柜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1、名称:PLC控制柜,室内型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103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2、含实际点位：DI:69 DO:19  AI:5： AO:0 M:1；含电源模块、CPU（以太网）、通讯模块及I/O模块；点位余量不少于20%  、10寸触摸屏、过电压保护器、信道防雷器、24VDC电源、断路器、熔断器、中间继电器、无源隔离器等全套,含编程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318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UPS不间断电源设备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1、名称:UPS</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2、规格:3KVA 60min</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319</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交换机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工业以太网交换机，16电口，RJ45口x16，宽温，冗余24V电源,冗余信号触点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320</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321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38</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2、型号:DJYPV-450/750V-1x2x1.5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322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36</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2、型号:DJYPV-450/750V-2x2x1.5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323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275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2、型号:KVVP-450/750V-4x1.5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324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28</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2、型号:KVVP-450/750V-5x1.5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2、型号:KVVP-450/750V-7x1.5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326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180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2、型号:KVVP-450/750V-10x1.5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327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电力电缆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1、名称:电力电缆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46</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2、型号:YJV-0.6/1KV-3x2.5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328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1、名称:总线电缆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28</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2、规格:8芯，集成商配套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329</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双绞线缆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1、规格:超五类屏蔽双绞线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245</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330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1、名称:电气配管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238</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2、材质:热镀锌钢管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3、规格:SC25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331</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设备支架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仪表安装支架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332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控制箱</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 仪表保护箱</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2、规格:500x400x300mm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3、材质:室外不锈钢（防雨型、含立杆、带观察窗口,含辅材）</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333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1、名称:高清彩色快速球形摄像机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2、类别:DS-2AF6223S系列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3、安装方式:含立柱、支架、云台、电源、镜头等全套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334</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低照度球机，DS-2DE7220IW-A</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335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录像设备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1、名称:嵌入式网络数字硬盘录像机</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2、规格:8路</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336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显示设备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1、名称:监视器</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2、规格:19"液晶</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337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避雷器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1、名称:二合一防雷器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组</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2、型号:PSB-220/2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338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门禁系统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1、名称:门禁系统</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2、含门禁控制器、电锁、读卡器、开门按钮、门禁管理系统、IC卡、管线、辅材等全套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339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入侵报警控制器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1、名称:电子围栏</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2、含报警主机、电子脉冲式探测器、管线、辅材等全套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340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扩声系统设备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1、名称:扩音喇叭</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2、含扩声系统全套设备、音响、管线等</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341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1、名称:电源电缆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193</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2、规格:RVV-2x2.5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342</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防雷接地TN-S接地系统。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343</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330"/>
        </w:trPr>
        <w:tc>
          <w:tcPr>
            <w:gridSpan w:val="5"/>
            <w:tcBorders>
              <w:top w:val="single" w:color="000000" w:sz="8" w:space="0"/>
              <w:left w:val="single" w:color="000000" w:sz="8" w:space="0"/>
              <w:bottom w:val="single" w:color="000000" w:sz="8" w:space="0"/>
              <w:right w:val="single" w:color="000000" w:sz="8" w:space="0"/>
            </w:tcBorders>
            <w:tcW w:w="10100" w:type="dxa"/>
            <w:vAlign w:val="center"/>
            <w:textDirection w:val="lrTb"/>
            <w:noWrap w:val="false"/>
          </w:tcPr>
          <w:p>
            <w:pPr>
              <w:pStyle w:val="856"/>
              <w:jc w:val="center"/>
              <w:widowControl/>
              <w:rPr>
                <w:rFonts w:hint="eastAsia" w:ascii="等线" w:hAnsi="等线" w:eastAsia="等线" w:cs="宋体"/>
                <w:b/>
                <w:bCs/>
                <w:color w:val="000000"/>
                <w:sz w:val="24"/>
                <w:szCs w:val="24"/>
                <w:highlight w:val="none"/>
              </w:rPr>
            </w:pPr>
            <w:r>
              <w:rPr>
                <w:rFonts w:hint="eastAsia" w:ascii="仿宋" w:hAnsi="仿宋" w:eastAsia="仿宋" w:cs="仿宋"/>
                <w:b w:val="0"/>
                <w:bCs w:val="0"/>
                <w:color w:val="000000"/>
                <w:sz w:val="24"/>
                <w:szCs w:val="24"/>
                <w:highlight w:val="none"/>
              </w:rPr>
              <w:t xml:space="preserve">十一、11平山泵站自控</w:t>
            </w:r>
            <w:r>
              <w:rPr>
                <w:rFonts w:hint="eastAsia" w:ascii="等线" w:hAnsi="等线" w:eastAsia="等线" w:cs="宋体"/>
                <w:b/>
                <w:bCs/>
                <w:color w:val="000000"/>
                <w:sz w:val="24"/>
                <w:szCs w:val="24"/>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344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机柜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1、名称:PLC控制柜,室内型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103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2、含实际点位：DI:69 DO:19  AI:5： AO:0 M:1；含电源模块、CPU（以太网）、通讯模块及I/O模块；点位余量不少于20%  、10寸触摸屏、过电压保护器、信道防雷器、24VDC电源、断路器、熔断器、中间继电器、无源隔离器等全套,含编程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345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UPS不间断电源设备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1、名称:UPS</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2、规格:3KVA 60min</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346</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交换机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工业以太网交换机，16电口，RJ45口x16，宽温，冗余24V电源,冗余信号触点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347</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348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195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2、型号:DJYPV-450/750V-1x2x1.5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349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2、型号:DJYPV-450/750V-2x2x1.5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350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217</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2、型号:KVVP-450/750V-4x1.5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351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100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2、型号:KVVP-450/750V-5x1.5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352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190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2、型号:KVVP-450/750V-7x1.5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353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85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2、型号:KVVP-450/750V-10x1.5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354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电力电缆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1、名称:电力电缆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171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2、型号:YJV-0.6/1KV-3x2.5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355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1、名称:总线电缆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23</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2、规格:8芯，集成商配套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356</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双绞线缆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1、规格:超五类屏蔽双绞线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80</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357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1、名称:电气配管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120</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2、材质:热镀锌钢管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3、规格:SC25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358</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设备支架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仪表安装支架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359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控制箱</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 仪表保护箱</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2、规格:500x400x300mm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3、材质:室外不锈钢（防雨型、含立杆、带观察窗口,含辅材）</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360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1、名称:高清彩色快速球形摄像机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2、类别:DS-2AF6223S系列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3、安装方式:含立柱、支架、云台、电源、镜头等全套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361</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低照度球机，DS-2DE7220IW-A</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362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录像设备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1、名称:嵌入式网络数字硬盘录像机</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2、规格:4路</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363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显示设备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1、名称:监视器</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2、规格:19"液晶</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364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避雷器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1、名称:二合一防雷器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组</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2、型号:PSB-220/2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365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门禁系统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1、名称:门禁系统</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2、含门禁控制器、电锁、读卡器、开门按钮、门禁管理系统、IC卡、管线、辅材等全套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366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扩声系统设备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1、名称:扩音喇叭</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2、含扩声系统全套设备、音响、管线等</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367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1、名称:电源电缆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95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2、规格:RVV-2x2.5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368</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防雷接地TN-S接地系统。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369</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温控仪</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温控仪</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370</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371</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不锈钢管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不锈钢管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372</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取样泵控制箱</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取样泵控制箱</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373</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流量计井</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流量计井</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座</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374</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格莱流量计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格莱流量计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330"/>
        </w:trPr>
        <w:tc>
          <w:tcPr>
            <w:gridSpan w:val="5"/>
            <w:tcBorders>
              <w:top w:val="single" w:color="000000" w:sz="8" w:space="0"/>
              <w:left w:val="single" w:color="000000" w:sz="8" w:space="0"/>
              <w:bottom w:val="single" w:color="000000" w:sz="8" w:space="0"/>
              <w:right w:val="single" w:color="000000" w:sz="8" w:space="0"/>
            </w:tcBorders>
            <w:tcW w:w="10100" w:type="dxa"/>
            <w:vAlign w:val="center"/>
            <w:textDirection w:val="lrTb"/>
            <w:noWrap w:val="false"/>
          </w:tcPr>
          <w:p>
            <w:pPr>
              <w:pStyle w:val="856"/>
              <w:jc w:val="center"/>
              <w:widowControl/>
              <w:rPr>
                <w:rFonts w:hint="eastAsia" w:ascii="等线" w:hAnsi="等线" w:eastAsia="等线" w:cs="宋体"/>
                <w:b/>
                <w:bCs/>
                <w:color w:val="000000"/>
                <w:sz w:val="24"/>
                <w:szCs w:val="24"/>
                <w:highlight w:val="none"/>
              </w:rPr>
            </w:pPr>
            <w:r>
              <w:rPr>
                <w:rFonts w:hint="eastAsia" w:ascii="仿宋" w:hAnsi="仿宋" w:eastAsia="仿宋" w:cs="仿宋"/>
                <w:b w:val="0"/>
                <w:bCs w:val="0"/>
                <w:color w:val="000000"/>
                <w:sz w:val="24"/>
                <w:szCs w:val="24"/>
                <w:highlight w:val="none"/>
              </w:rPr>
              <w:t xml:space="preserve">十二、12苍梧绿园泵站自控</w:t>
            </w:r>
            <w:r>
              <w:rPr>
                <w:rFonts w:hint="eastAsia" w:ascii="等线" w:hAnsi="等线" w:eastAsia="等线" w:cs="宋体"/>
                <w:b/>
                <w:bCs/>
                <w:color w:val="000000"/>
                <w:sz w:val="24"/>
                <w:szCs w:val="24"/>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375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机柜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1、名称:PLC控制柜,室内型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103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2、含实际点位：DI:69 DO:19  AI:5： AO:0 M:1；含电源模块、CPU（以太网）、通讯模块及I/O模块；点位余量不少于20%  、10寸触摸屏、过电压保护器、信道防雷器、24VDC电源、断路器、熔断器、中间继电器、无源隔离器等全套,含编程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376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UPS不间断电源设备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1、名称:UPS</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2、规格:3KVA 60min</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377</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交换机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工业以太网交换机，16电口，J45口x16，宽温，冗余24V电源,冗余信号触点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378</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379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75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2、型号:DJYPV-450/750V-1x2x1.5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380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2、型号:DJYPV-450/750V-2x2x1.5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381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315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2、型号:KVVP-450/750V-4x1.5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382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29</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2、型号:KVVP-450/750V-5x1.5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383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120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2、型号:KVVP-450/750V-7x1.5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384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135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2、型号:KVVP-450/750V-10x1.5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385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电力电缆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1、名称:电力电缆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2、型号:YJV-0.6/1KV-3x2.5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386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1、名称:总线电缆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2、规格:8芯，集成商配套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387</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双绞线缆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1、规格:超五类屏蔽双绞线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135</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388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1、名称:电气配管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142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2、材质:热镀锌钢管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3、规格:SC25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389</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设备支架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仪表安装支架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390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控制箱</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 仪表保护箱</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2、规格:500x400x300mm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3、材质:室外不锈钢（防雨型、含立杆、带观察窗口,含辅材）</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391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1、名称:高清彩色快速球形摄像机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2、类别:DS-2AF6223S系列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3、安装方式:含立柱、支架、云台、电源、镜头等全套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392</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低照度球机，DS-2DE7220IW-A</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393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录像设备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1、名称:嵌入式网络数字硬盘录像机</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2、规格:8路</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394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显示设备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1、名称:监视器</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2、规格:19"液晶</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395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避雷器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1、名称:二合一防雷器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组</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2、型号:PSB-220/2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396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扩声系统设备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1、名称:扩音喇叭</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2、含扩声系统全套设备、音响、管线等</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397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1、名称:电源电缆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150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2、规格:RVV-2x2.5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398</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防雷接地TN-S接地系统。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399</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温控仪</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温控仪</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400</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401</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电气控制柜面板更换，电气现场成套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电气控制柜面板更换，电气现场成套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330"/>
        </w:trPr>
        <w:tc>
          <w:tcPr>
            <w:gridSpan w:val="5"/>
            <w:tcBorders>
              <w:top w:val="single" w:color="000000" w:sz="8" w:space="0"/>
              <w:left w:val="single" w:color="000000" w:sz="8" w:space="0"/>
              <w:bottom w:val="single" w:color="000000" w:sz="8" w:space="0"/>
              <w:right w:val="single" w:color="000000" w:sz="8" w:space="0"/>
            </w:tcBorders>
            <w:tcW w:w="10100" w:type="dxa"/>
            <w:vAlign w:val="center"/>
            <w:textDirection w:val="lrTb"/>
            <w:noWrap w:val="false"/>
          </w:tcPr>
          <w:p>
            <w:pPr>
              <w:pStyle w:val="856"/>
              <w:jc w:val="center"/>
              <w:widowControl/>
              <w:rPr>
                <w:rFonts w:hint="eastAsia" w:ascii="等线" w:hAnsi="等线" w:eastAsia="等线" w:cs="宋体"/>
                <w:b/>
                <w:bCs/>
                <w:color w:val="000000"/>
                <w:sz w:val="24"/>
                <w:szCs w:val="24"/>
                <w:highlight w:val="none"/>
              </w:rPr>
            </w:pPr>
            <w:r>
              <w:rPr>
                <w:rFonts w:hint="eastAsia" w:ascii="仿宋" w:hAnsi="仿宋" w:eastAsia="仿宋" w:cs="仿宋"/>
                <w:b w:val="0"/>
                <w:bCs w:val="0"/>
                <w:color w:val="000000"/>
                <w:sz w:val="24"/>
                <w:szCs w:val="24"/>
                <w:highlight w:val="none"/>
              </w:rPr>
              <w:t xml:space="preserve">十三、13人民路泵站自控</w:t>
            </w:r>
            <w:r>
              <w:rPr>
                <w:rFonts w:hint="eastAsia" w:ascii="等线" w:hAnsi="等线" w:eastAsia="等线" w:cs="宋体"/>
                <w:b/>
                <w:bCs/>
                <w:color w:val="000000"/>
                <w:sz w:val="24"/>
                <w:szCs w:val="24"/>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402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机柜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1、名称:PLC控制柜,室内型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103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2、含实际点位：DI:69 DO:19  AI:5： AO:0 M:1；含电源模块、CPU（以太网）、通讯模块及I/O模块；点位余量不少于20%  、10寸触摸屏、过电压保护器、信道防雷器、24VDC电源、断路器、熔断器、中间继电器、无源隔离器等全套,含编程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403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UPS不间断电源设备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1、名称:UPS</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2、规格:3KVA 60min</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404</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交换机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工业以太网交换机，16电口，RJ45口x16，宽温，冗余24V电源,冗余信号触点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405</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406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184</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2、型号:DJYPV-450/750V-1x2x1.5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407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2、型号:DJYPV-450/750V-2x2x1.5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408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217</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2、型号:KVVP-450/750V-4x1.5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3、含电缆头制安</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409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100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2、型号:KVVP-450/750V-5x1.5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410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190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2、型号:KVVP-450/750V-7x1.5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411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90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2、型号:KVVP-450/750V-10x1.5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412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电力电缆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1、名称:电力电缆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161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2、型号:YJV-0.6/1KV-3x2.5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413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1、名称:总线电缆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23</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2、规格:8芯，集成商配套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414</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双绞线缆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1、规格:超五类屏蔽双绞线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83</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1、名称:电气配管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167</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2、材质:热镀锌钢管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3、规格:SC25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416</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设备支架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仪表安装支架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417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控制箱</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 仪表保护箱</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2、规格:500x400x300mm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3、材质:室外不锈钢（防雨型、含立杆、带观察窗口,含辅材）</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418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1、名称:高清彩色快速球形摄像机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2、类别:DS-2AF6223S系列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419</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低照度球机，DS-2DE7220IW-A</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420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录像设备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1、名称:嵌入式网络数字硬盘录像机</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2、规格:4路</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421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显示设备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1、名称:监视器</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2、规格:19"液晶</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422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避雷器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1、名称:二合一防雷器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组</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2、型号:PSB-220/2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423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扩声系统设备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1、名称:扩音喇叭</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2、含扩声系统全套设备、音响、管线等</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424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1、名称:电源电缆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91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2、规格:RVV-2x2.5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425</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防雷接地TN-S接地系统。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426</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温控仪</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温控仪</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427</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428</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室外水泵现场按钮箱全部更换</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室外水泵现场按钮箱全部更换</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429</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不锈钢管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不锈钢管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430</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取样泵泵控制柜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取样泵泵控制柜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330"/>
        </w:trPr>
        <w:tc>
          <w:tcPr>
            <w:gridSpan w:val="5"/>
            <w:tcBorders>
              <w:top w:val="single" w:color="000000" w:sz="8" w:space="0"/>
              <w:left w:val="single" w:color="000000" w:sz="8" w:space="0"/>
              <w:bottom w:val="single" w:color="000000" w:sz="8" w:space="0"/>
              <w:right w:val="single" w:color="000000" w:sz="8" w:space="0"/>
            </w:tcBorders>
            <w:tcW w:w="10100" w:type="dxa"/>
            <w:vAlign w:val="center"/>
            <w:textDirection w:val="lrTb"/>
            <w:noWrap w:val="false"/>
          </w:tcPr>
          <w:p>
            <w:pPr>
              <w:pStyle w:val="856"/>
              <w:jc w:val="center"/>
              <w:widowControl/>
              <w:rPr>
                <w:rFonts w:hint="eastAsia" w:ascii="等线" w:hAnsi="等线" w:eastAsia="等线" w:cs="宋体"/>
                <w:b/>
                <w:bCs/>
                <w:color w:val="000000"/>
                <w:sz w:val="24"/>
                <w:szCs w:val="24"/>
                <w:highlight w:val="none"/>
              </w:rPr>
            </w:pPr>
            <w:r>
              <w:rPr>
                <w:rFonts w:hint="eastAsia" w:ascii="仿宋" w:hAnsi="仿宋" w:eastAsia="仿宋" w:cs="仿宋"/>
                <w:b w:val="0"/>
                <w:bCs w:val="0"/>
                <w:color w:val="000000"/>
                <w:sz w:val="24"/>
                <w:szCs w:val="24"/>
                <w:highlight w:val="none"/>
              </w:rPr>
              <w:t xml:space="preserve">十四、14圣湖路泵站自控</w:t>
            </w:r>
            <w:r>
              <w:rPr>
                <w:rFonts w:hint="eastAsia" w:ascii="等线" w:hAnsi="等线" w:eastAsia="等线" w:cs="宋体"/>
                <w:b/>
                <w:bCs/>
                <w:color w:val="000000"/>
                <w:sz w:val="24"/>
                <w:szCs w:val="24"/>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431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机柜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1、名称:PLC控制柜,室内型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103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2、含实际点位：DI:69 DO:19  AI:5： AO:0 M:1；含电源模块、CPU（以太网）、通讯模块及I/O模块；点位余量不少于20%  、10寸触摸屏、过电压保护器、信道防雷器、24VDC电源、断路器、熔断器、中间继电器、无源隔离器等全套,含编程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432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UPS不间断电源设备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1、名称:UPS</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2、规格:3KVA 60min</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433</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交换机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工业以太网交换机，16电口，RJ45口x16，宽温，冗余24V电源,冗余信号触点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434</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435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75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2、型号:DJYPV-450/750V-1x2x1.5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436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2、型号:DJYPV-450/750V-2x2x1.5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3、含电缆头制安</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437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215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2、型号:KVVP-450/750V-4x1.5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438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120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2、型号:KVVP-450/750V-5x1.5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439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180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2、型号:KVVP-450/750V-7x1.5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440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2、型号:KVVP-450/750V-10x1.5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441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电力电缆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1、名称:电力电缆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119</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2、型号:YJV-0.6/1KV-3x2.5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442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1、名称:总线电缆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2、规格:8芯，集成商配套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443</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双绞线缆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1、规格:超五类屏蔽双绞线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235</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444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1、名称:电气配管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248</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2、材质:热镀锌钢管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3、规格:SC25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445</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设备支架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1、名称:仪表安装支架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446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控制箱</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 仪表保护箱</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2、规格:500x400x300mm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3、材质:室外不锈钢（防雨型、含立杆、带观察窗口,含辅材）</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447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1、名称:高清彩色快速球形摄像机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2、类别:DS-2AF6223S系列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448</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低照度球机，DS-2DE7220IW-A</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449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录像设备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1、名称:嵌入式网络数字硬盘录像机</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2、规格:8路</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450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显示设备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1、名称:监视器</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2、规格:19"液晶</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451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避雷器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1、名称:二合一防雷器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组</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2、型号:PSB-220/2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452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门禁系统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1、名称:门禁系统</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2、含门禁控制器、电锁、读卡器、开门按钮、门禁管理系统、IC卡、管线、辅材等全套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453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入侵报警控制器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1、名称:电子围栏</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2、含报警主机、电子脉冲式探测器、管线、辅材等全套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454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扩声系统设备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1、名称:扩音喇叭</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2、含扩声系统全套设备、音响、管线等</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455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1、名称:电源电缆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198</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2、规格:RVV-2x2.5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456</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防雷接地TN-S接地系统。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457</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温控仪</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温控仪</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458</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459</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取样泵控制柜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取样泵控制柜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460</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不锈钢管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不锈钢管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461</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流量计井</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流量计井</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座</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462</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格莱流量计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格莱流量计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330"/>
        </w:trPr>
        <w:tc>
          <w:tcPr>
            <w:gridSpan w:val="5"/>
            <w:tcBorders>
              <w:top w:val="single" w:color="000000" w:sz="8" w:space="0"/>
              <w:left w:val="single" w:color="000000" w:sz="8" w:space="0"/>
              <w:bottom w:val="single" w:color="000000" w:sz="8" w:space="0"/>
              <w:right w:val="single" w:color="000000" w:sz="8" w:space="0"/>
            </w:tcBorders>
            <w:tcW w:w="10100" w:type="dxa"/>
            <w:vAlign w:val="center"/>
            <w:textDirection w:val="lrTb"/>
            <w:noWrap w:val="false"/>
          </w:tcPr>
          <w:p>
            <w:pPr>
              <w:pStyle w:val="856"/>
              <w:jc w:val="center"/>
              <w:widowControl/>
              <w:rPr>
                <w:rFonts w:hint="eastAsia" w:ascii="等线" w:hAnsi="等线" w:eastAsia="等线" w:cs="宋体"/>
                <w:b/>
                <w:bCs/>
                <w:color w:val="000000"/>
                <w:sz w:val="24"/>
                <w:szCs w:val="24"/>
                <w:highlight w:val="none"/>
              </w:rPr>
            </w:pPr>
            <w:r>
              <w:rPr>
                <w:rFonts w:hint="eastAsia" w:ascii="仿宋" w:hAnsi="仿宋" w:eastAsia="仿宋" w:cs="仿宋"/>
                <w:b w:val="0"/>
                <w:bCs w:val="0"/>
                <w:color w:val="000000"/>
                <w:sz w:val="24"/>
                <w:szCs w:val="24"/>
                <w:highlight w:val="none"/>
              </w:rPr>
              <w:t xml:space="preserve">十五、15物流园泵站自控</w:t>
            </w:r>
            <w:r>
              <w:rPr>
                <w:rFonts w:hint="eastAsia" w:ascii="等线" w:hAnsi="等线" w:eastAsia="等线" w:cs="宋体"/>
                <w:b/>
                <w:bCs/>
                <w:color w:val="000000"/>
                <w:sz w:val="24"/>
                <w:szCs w:val="24"/>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463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机柜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1、名称:PLC控制柜,室内型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103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2、含实际点位：DI:69 DO:19  AI:5： AO:0 M:1；含电源模块、CPU（以太网）、通讯模块及I/O模块；点位余量不少于20%  、10寸触摸屏、过电压保护器、信道防雷器、24VDC电源、断路器、熔断器、中间继电器、无源隔离器等全套,含编程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464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UPS不间断电源设备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1、名称:UPS</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2、规格:3KVA 60min</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465</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交换机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工业以太网交换机，16电口，RJ45口x16，宽温，冗余24V电源,冗余信号触点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466</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467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2、型号:DJYPV-450/750V-1x2x1.5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468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2、型号:DJYPV-450/750V-2x2x1.5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469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120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2、型号:KVVP-450/750V-4x1.5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470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2、型号:KVVP-450/750V-5x1.5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471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2、型号:KVVP-450/750V-7x1.5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472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120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2、型号:KVVP-450/750V-10x1.5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473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电力电缆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1、名称:电力电缆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2、型号:YJV-0.6/1KV-3x2.5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474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1、名称:总线电缆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2、规格:8芯，集成商配套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475</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双绞线缆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1、规格:超五类屏蔽双绞线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7</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476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1、名称:电气配管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93</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2、材质:热镀锌钢管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3、规格:SC25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477</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设备支架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仪表安装支架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478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控制箱</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 仪表保护箱</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2、规格:500x400x300mm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3、材质:室外不锈钢（防雨型、含立杆、带观察窗口,含辅材）</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479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1、名称:高清彩色快速球形摄像机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2、类别:DS-2AF6223S系列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480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录像设备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1、名称:嵌入式网络数字硬盘录像机</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2、规格:4路</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481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显示设备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1、名称:监视器</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2、规格:19"液晶</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482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避雷器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1、名称:二合一防雷器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组</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2、型号:PSB-220/2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483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扩声系统设备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1、名称:扩音喇叭</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2、含扩声系统全套设备、音响、管线等</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484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1、名称:电源电缆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17</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2、规格:RVV-2x2.5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485</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防雷接地TN-S接地系统。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330"/>
        </w:trPr>
        <w:tc>
          <w:tcPr>
            <w:gridSpan w:val="5"/>
            <w:tcBorders>
              <w:top w:val="single" w:color="000000" w:sz="8" w:space="0"/>
              <w:left w:val="single" w:color="000000" w:sz="8" w:space="0"/>
              <w:bottom w:val="single" w:color="000000" w:sz="8" w:space="0"/>
              <w:right w:val="single" w:color="000000" w:sz="8" w:space="0"/>
            </w:tcBorders>
            <w:tcW w:w="10100" w:type="dxa"/>
            <w:vAlign w:val="center"/>
            <w:textDirection w:val="lrTb"/>
            <w:noWrap w:val="false"/>
          </w:tcPr>
          <w:p>
            <w:pPr>
              <w:pStyle w:val="856"/>
              <w:jc w:val="center"/>
              <w:widowControl/>
              <w:rPr>
                <w:rFonts w:hint="eastAsia" w:ascii="等线" w:hAnsi="等线" w:eastAsia="等线" w:cs="宋体"/>
                <w:b/>
                <w:bCs/>
                <w:color w:val="000000"/>
                <w:sz w:val="24"/>
                <w:szCs w:val="24"/>
                <w:highlight w:val="none"/>
              </w:rPr>
            </w:pPr>
            <w:r>
              <w:rPr>
                <w:rFonts w:hint="eastAsia" w:ascii="仿宋" w:hAnsi="仿宋" w:eastAsia="仿宋" w:cs="仿宋"/>
                <w:b w:val="0"/>
                <w:bCs w:val="0"/>
                <w:color w:val="000000"/>
                <w:sz w:val="24"/>
                <w:szCs w:val="24"/>
                <w:highlight w:val="none"/>
              </w:rPr>
              <w:t xml:space="preserve">十六、16盐河路泵站自控</w:t>
            </w:r>
            <w:r>
              <w:rPr>
                <w:rFonts w:hint="eastAsia" w:ascii="等线" w:hAnsi="等线" w:eastAsia="等线" w:cs="宋体"/>
                <w:b/>
                <w:bCs/>
                <w:color w:val="000000"/>
                <w:sz w:val="24"/>
                <w:szCs w:val="24"/>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486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机柜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1、名称:PLC控制柜,室内型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103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2、含实际点位：DI:69 DO:19  AI:5： AO:0 M:1；含电源模块、CPU（以太网）、通讯模块及I/O模块；点位余量不少于20%  、10寸触摸屏、过电压保护器、信道防雷器、24VDC电源、断路器、熔断器、中间继电器、无源隔离器等全套,含编程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487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UPS不间断电源设备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1、名称:UPS</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2、规格:3KVA 60min</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488</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交换机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工业以太网交换机，16电口，RJ45口x16，宽温，冗余24V电源,冗余信号触点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489</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490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47</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2、型号:DJYPV-450/750V-1x2x1.5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491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2、型号:DJYPV-450/750V-2x2x1.5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492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2、型号:KVVP-450/750V-4x1.5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493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58</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2、型号:KVVP-450/750V-5x1.5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494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68</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2、型号:KVVP-450/750V-7x1.5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495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2、型号:KVVP-450/750V-10x1.5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496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电力电缆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1、名称:电力电缆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53</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2、型号:YJV-0.6/1KV-3x2.5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497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1、名称:总线电缆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2、规格:8芯，集成商配套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498</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双绞线缆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1、规格:超五类屏蔽双绞线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33</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499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1、名称:电气配管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98</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2、材质:热镀锌钢管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3、规格:SC25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500</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设备支架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仪表安装支架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501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控制箱</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 仪表保护箱</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2、规格:500x400x300mm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3、材质:室外不锈钢（防雨型、含立杆、带观察窗口,含辅材）</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502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1、名称:高清彩色快速球形摄像机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2、类别:DS-2AF6223S系列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503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录像设备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1、名称:嵌入式网络数字硬盘录像机</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2、规格:4路</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504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显示设备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1、名称:监视器</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2、规格:19"液晶</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505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避雷器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1、名称:二合一防雷器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组</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2、型号:PSB-220/2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506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门禁系统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1、名称:门禁系统</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2、含门禁控制器、电锁、读卡器、开门按钮、门禁管理系统、IC卡、管线、辅材等全套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507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扩声系统设备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1、名称:扩音喇叭</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2、含扩声系统全套设备、音响、管线等</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508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1、名称:电源电缆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68</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2、规格:RVV-2x2.5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509</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防雷接地TN-S接地系统。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510</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511</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取样泵控制柜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取样泵控制柜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512</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不锈钢管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不锈钢管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50</w:t>
            </w:r>
            <w:r>
              <w:rPr>
                <w:rFonts w:hint="eastAsia" w:ascii="等线" w:hAnsi="等线" w:eastAsia="等线" w:cs="宋体"/>
                <w:color w:val="000000"/>
                <w:sz w:val="20"/>
                <w:szCs w:val="20"/>
                <w:highlight w:val="none"/>
              </w:rPr>
            </w:r>
            <w:r/>
          </w:p>
        </w:tc>
      </w:tr>
      <w:tr>
        <w:trPr>
          <w:trHeight w:val="330"/>
        </w:trPr>
        <w:tc>
          <w:tcPr>
            <w:gridSpan w:val="5"/>
            <w:tcBorders>
              <w:top w:val="single" w:color="000000" w:sz="8" w:space="0"/>
              <w:left w:val="single" w:color="000000" w:sz="8" w:space="0"/>
              <w:bottom w:val="single" w:color="000000" w:sz="8" w:space="0"/>
              <w:right w:val="single" w:color="000000" w:sz="8" w:space="0"/>
            </w:tcBorders>
            <w:tcW w:w="10100" w:type="dxa"/>
            <w:vAlign w:val="center"/>
            <w:textDirection w:val="lrTb"/>
            <w:noWrap w:val="false"/>
          </w:tcPr>
          <w:p>
            <w:pPr>
              <w:pStyle w:val="856"/>
              <w:jc w:val="center"/>
              <w:widowControl/>
              <w:rPr>
                <w:rFonts w:hint="eastAsia" w:ascii="等线" w:hAnsi="等线" w:eastAsia="等线" w:cs="宋体"/>
                <w:b/>
                <w:bCs/>
                <w:color w:val="000000"/>
                <w:sz w:val="24"/>
                <w:szCs w:val="24"/>
                <w:highlight w:val="none"/>
              </w:rPr>
            </w:pPr>
            <w:r>
              <w:rPr>
                <w:rFonts w:hint="eastAsia" w:ascii="仿宋" w:hAnsi="仿宋" w:eastAsia="仿宋" w:cs="仿宋"/>
                <w:b w:val="0"/>
                <w:bCs w:val="0"/>
                <w:color w:val="000000"/>
                <w:sz w:val="24"/>
                <w:szCs w:val="24"/>
                <w:highlight w:val="none"/>
              </w:rPr>
              <w:t xml:space="preserve">十七、17建设路泵站自控</w:t>
            </w:r>
            <w:r>
              <w:rPr>
                <w:rFonts w:hint="eastAsia" w:ascii="等线" w:hAnsi="等线" w:eastAsia="等线" w:cs="宋体"/>
                <w:b/>
                <w:bCs/>
                <w:color w:val="000000"/>
                <w:sz w:val="24"/>
                <w:szCs w:val="24"/>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513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机柜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1、名称:PLC控制柜,室内型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103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2、含实际点位：DI:69 DO:19  AI:5： AO:0 M:1；含电源模块、CPU（以太网）、通讯模块及I/O模块；点位余量不少于20%  、10寸触摸屏、过电压保护器、信道防雷器、24VDC电源、断路器、熔断器、中间继电器、无源隔离器等全套,含编程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514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UPS不间断电源设备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1、名称:UPS</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2、规格:3KVA 60min</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515</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交换机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工业以太网交换机，16电口，RJ45口x16，宽温，冗余24V电源,冗余信号触点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516</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517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2、型号:DJYPV-450/750V-1x2x1.5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518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2、型号:DJYPV-450/750V-2x2x1.5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519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2、型号:KVVP-450/750V-4x1.5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520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16</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2、型号:KVVP-450/750V-5x1.5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521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2、型号:KVVP-450/750V-7x1.5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522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2、型号:KVVP-450/750V-10x1.5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523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电力电缆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1、名称:电力电缆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2、型号:YJV-0.6/1KV-3x2.5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524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1、名称:总线电缆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2、规格:8芯，集成商配套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525</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双绞线缆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1、规格:超五类屏蔽双绞线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38</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526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1、名称:电气配管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10</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2、材质:热镀锌钢管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3、规格:SC25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527</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设备支架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1、名称:仪表安装支架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528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控制箱</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 仪表保护箱</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2、规格:500x400x300mm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3、材质:室外不锈钢（防雨型、含立杆、带观察窗口,含辅材）</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529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1、名称:高清彩色快速球形摄像机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2、类别:DS-2AF6223S系列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530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录像设备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1、名称:嵌入式网络数字硬盘录像机</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2、规格:4路</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531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避雷器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1、名称:二合一防雷器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组</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2、型号:PSB-220/2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532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扩声系统设备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1、名称:扩音喇叭</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2、含扩声系统全套设备、音响、管线等</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533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1、名称:电源电缆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2、规格:RVV-2x2.5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534</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防雷接地TN-S接地系统。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535</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电气柜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电气柜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536</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PLC备品备件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PLC备品备件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537</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330"/>
        </w:trPr>
        <w:tc>
          <w:tcPr>
            <w:gridSpan w:val="5"/>
            <w:tcBorders>
              <w:top w:val="single" w:color="000000" w:sz="8" w:space="0"/>
              <w:left w:val="single" w:color="000000" w:sz="8" w:space="0"/>
              <w:bottom w:val="single" w:color="000000" w:sz="8" w:space="0"/>
              <w:right w:val="single" w:color="000000" w:sz="8" w:space="0"/>
            </w:tcBorders>
            <w:tcW w:w="10100" w:type="dxa"/>
            <w:vAlign w:val="center"/>
            <w:textDirection w:val="lrTb"/>
            <w:noWrap w:val="false"/>
          </w:tcPr>
          <w:p>
            <w:pPr>
              <w:pStyle w:val="856"/>
              <w:jc w:val="center"/>
              <w:widowControl/>
              <w:rPr>
                <w:rFonts w:hint="eastAsia" w:ascii="等线" w:hAnsi="等线" w:eastAsia="等线" w:cs="宋体"/>
                <w:b/>
                <w:bCs/>
                <w:color w:val="000000"/>
                <w:sz w:val="24"/>
                <w:szCs w:val="24"/>
                <w:highlight w:val="none"/>
              </w:rPr>
            </w:pPr>
            <w:r>
              <w:rPr>
                <w:rFonts w:hint="eastAsia" w:ascii="仿宋" w:hAnsi="仿宋" w:eastAsia="仿宋" w:cs="仿宋"/>
                <w:b w:val="0"/>
                <w:bCs w:val="0"/>
                <w:color w:val="000000"/>
                <w:sz w:val="24"/>
                <w:szCs w:val="24"/>
                <w:highlight w:val="none"/>
              </w:rPr>
              <w:t xml:space="preserve">十八、19幸福桥泵站自控</w:t>
            </w:r>
            <w:r>
              <w:rPr>
                <w:rFonts w:hint="eastAsia" w:ascii="等线" w:hAnsi="等线" w:eastAsia="等线" w:cs="宋体"/>
                <w:b/>
                <w:bCs/>
                <w:color w:val="000000"/>
                <w:sz w:val="24"/>
                <w:szCs w:val="24"/>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538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机柜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1、名称:PLC控制柜,室内型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103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2、含实际点位：DI:69 DO:19  AI:5： AO:0 M:1；含电源模块、CPU（以太网）、通讯模块及I/O模块；点位余量不少于20%  、10寸触摸屏、过电压保护器、信道防雷器、24VDC电源、断路器、熔断器、中间继电器、无源隔离器等全套,含编程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539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UPS不间断电源设备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1、名称:UPS</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2、规格:3KVA 60min</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540</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交换机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工业以太网交换机，16电口，RJ45口x16，宽温，冗余24V电源,冗余信号触点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541</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542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2、型号:DJYPV-450/750V-1x2x1.5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543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2、型号:DJYPV-450/750V-2x2x1.5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544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2、型号:KVVP-450/750V-4x1.5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545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8</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2、型号:KVVP-450/750V-5x1.5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546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8</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2、型号:KVVP-450/750V-7x1.5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547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2、型号:KVVP-450/750V-10x1.5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548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电力电缆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1、名称:电力电缆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48</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2、型号:YJV-0.6/1KV-3x2.5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549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1、名称:总线电缆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2、规格:8芯，集成商配套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550</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双绞线缆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1、规格:超五类屏蔽双绞线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33</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551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1、名称:电气配管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2、材质:热镀锌钢管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3、规格:SC25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552</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设备支架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1、名称:仪表安装支架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553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控制箱</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 仪表保护箱</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2、规格:500x400x300mm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3、材质:室外不锈钢（防雨型、含立杆、带观察窗口,含辅材）</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554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1、名称:高清彩色快速球形摄像机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2、类别:DS-2AF6223S系列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555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录像设备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1、名称:嵌入式网络数字硬盘录像机</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2、规格:4路</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556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避雷器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1、名称:二合一防雷器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组</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2、型号:PSB-220/2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557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扩声系统设备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1、名称:扩音喇叭</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2、含扩声系统全套设备、音响、管线等</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558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1、名称:电源电缆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53</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2、规格:RVV-2x2.5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559</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防雷接地TN-S接地系统。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330"/>
        </w:trPr>
        <w:tc>
          <w:tcPr>
            <w:gridSpan w:val="5"/>
            <w:tcBorders>
              <w:top w:val="single" w:color="000000" w:sz="8" w:space="0"/>
              <w:left w:val="single" w:color="000000" w:sz="8" w:space="0"/>
              <w:bottom w:val="single" w:color="000000" w:sz="8" w:space="0"/>
              <w:right w:val="single" w:color="000000" w:sz="8" w:space="0"/>
            </w:tcBorders>
            <w:tcW w:w="10100" w:type="dxa"/>
            <w:vAlign w:val="center"/>
            <w:textDirection w:val="lrTb"/>
            <w:noWrap w:val="false"/>
          </w:tcPr>
          <w:p>
            <w:pPr>
              <w:pStyle w:val="856"/>
              <w:jc w:val="center"/>
              <w:widowControl/>
              <w:rPr>
                <w:rFonts w:hint="eastAsia" w:ascii="等线" w:hAnsi="等线" w:eastAsia="等线" w:cs="宋体"/>
                <w:b/>
                <w:bCs/>
                <w:color w:val="000000"/>
                <w:sz w:val="24"/>
                <w:szCs w:val="24"/>
                <w:highlight w:val="none"/>
              </w:rPr>
            </w:pPr>
            <w:r>
              <w:rPr>
                <w:rFonts w:hint="eastAsia" w:ascii="仿宋" w:hAnsi="仿宋" w:eastAsia="仿宋" w:cs="仿宋"/>
                <w:b w:val="0"/>
                <w:bCs w:val="0"/>
                <w:color w:val="000000"/>
                <w:sz w:val="24"/>
                <w:szCs w:val="24"/>
                <w:highlight w:val="none"/>
              </w:rPr>
              <w:t xml:space="preserve">十九、19凌州路泵站自控</w:t>
            </w:r>
            <w:r>
              <w:rPr>
                <w:rFonts w:hint="eastAsia" w:ascii="等线" w:hAnsi="等线" w:eastAsia="等线" w:cs="宋体"/>
                <w:b/>
                <w:bCs/>
                <w:color w:val="000000"/>
                <w:sz w:val="24"/>
                <w:szCs w:val="24"/>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560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机柜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1、名称:PLC控制柜,室内型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103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2、含实际点位：DI:69 DO:19  AI:5： AO:0 M:1；含电源模块、CPU（以太网）、通讯模块及I/O模块；点位余量不少于20%  、10寸触摸屏、过电压保护器、信道防雷器、24VDC电源、断路器、熔断器、中间继电器、无源隔离器等全套，含编程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561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UPS不间断电源设备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1、名称:UPS</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2、规格:3KVA 60min</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562</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交换机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工业以太网交换机，16电口，RJ45口x16，宽温，冗余24V电源,冗余信号触点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563</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7</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564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20</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2、型号:DJYPV-450/750V-1x2x1.5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3、含电缆头制安</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565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2、型号:DJYPV-450/750V-2x2x1.5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566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90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2、型号:KVVP-450/750V-4x1.5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567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53</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2、型号:KVVP-450/750V-5x1.5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568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83</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2、型号:KVVP-450/750V-7x1.5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569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2、型号:KVVP-450/750V-10x1.5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570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2、型号:KVVP-450/750V-14x1.5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571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2、型号:KVVP-450/750V-30x1.5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572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电力电缆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1、名称:电力电缆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48</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2、型号:YJV-0.6/1KV-3x2.5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573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1、名称:总线电缆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58</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2、规格:8芯，集成商配套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574</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双绞线缆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1、规格:超五类屏蔽双绞线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90</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575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1、名称:电气配管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10</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2、材质:热镀锌钢管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3、规格:SC50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576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1、名称:电气配管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20</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2、材质:热镀锌钢管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3、规格:SC32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577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1、名称:电气配管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97</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2、材质:热镀锌钢管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3、规格:SC25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578</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设备支架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仪表安装支架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579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控制箱</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 仪表保护箱</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2、规格:500x400x300mm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3、材质:室外不锈钢（防雨型、含立杆、带观察窗口,含辅材）</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580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不锈钢管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1、名称:取样管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2、规格:不锈钢管DN25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581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1、名称:高清彩色快速球形摄像机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2、类别:DS-2AF6223S系列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582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录像设备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1、名称:嵌入式网络数字硬盘录像机</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2、规格:4路</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583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1、名称:电源电缆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95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2、规格:RVV-2x2.5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584</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防雷接地TN-S接地系统。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585</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电气柜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电气柜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586</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温度巡检仪</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温度巡检仪</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587</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330"/>
        </w:trPr>
        <w:tc>
          <w:tcPr>
            <w:gridSpan w:val="5"/>
            <w:tcBorders>
              <w:top w:val="none" w:color="000000" w:sz="4" w:space="0"/>
              <w:left w:val="single" w:color="000000" w:sz="8" w:space="0"/>
              <w:bottom w:val="single" w:color="000000" w:sz="8" w:space="0"/>
              <w:right w:val="single" w:color="000000" w:sz="8" w:space="0"/>
            </w:tcBorders>
            <w:tcW w:w="10100" w:type="dxa"/>
            <w:vAlign w:val="center"/>
            <w:textDirection w:val="lrTb"/>
            <w:noWrap w:val="false"/>
          </w:tcPr>
          <w:p>
            <w:pPr>
              <w:pStyle w:val="856"/>
              <w:jc w:val="center"/>
              <w:widowControl/>
              <w:rPr>
                <w:rFonts w:hint="eastAsia" w:ascii="等线" w:hAnsi="等线" w:eastAsia="等线" w:cs="宋体"/>
                <w:b/>
                <w:bCs/>
                <w:color w:val="000000"/>
                <w:sz w:val="24"/>
                <w:szCs w:val="24"/>
                <w:highlight w:val="none"/>
              </w:rPr>
            </w:pPr>
            <w:r>
              <w:rPr>
                <w:rFonts w:hint="eastAsia" w:ascii="仿宋" w:hAnsi="仿宋" w:eastAsia="仿宋" w:cs="仿宋"/>
                <w:b w:val="0"/>
                <w:bCs w:val="0"/>
                <w:color w:val="000000"/>
                <w:sz w:val="24"/>
                <w:szCs w:val="24"/>
                <w:highlight w:val="none"/>
              </w:rPr>
              <w:t xml:space="preserve">二十、18沙板桥泵站自控</w:t>
            </w:r>
            <w:r>
              <w:rPr>
                <w:rFonts w:hint="eastAsia" w:ascii="等线" w:hAnsi="等线" w:eastAsia="等线" w:cs="宋体"/>
                <w:b/>
                <w:bCs/>
                <w:color w:val="000000"/>
                <w:sz w:val="24"/>
                <w:szCs w:val="24"/>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588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机柜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1、名称:PLC控制柜,室内型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103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2、含实际点位：DI:69 DO:19  AI:5： AO:0 M:1；含电源模块、CPU（以太网）、通讯模块及I/O模块；点位余量不少于20%  、10寸触摸屏、过电压保护器、信道防雷器、24VDC电源、断路器、熔断器、中间继电器、无源隔离器等全套,含编程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589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UPS不间断电源设备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1、名称:UPS</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2、规格:3KVA 60min</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590</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交换机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工业以太网交换机，16电口，RJ45口x16，宽温，冗余24V电源,冗余信号触点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591</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592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2、型号:DJYPV-450/750V-1x2x1.5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593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2、型号:DJYPV-450/750V-2x2x1.5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594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2、型号:KVVP-450/750V-4x1.5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595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2、型号:KVVP-450/750V-5x1.5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596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2、型号:KVVP-450/750V-7x1.5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597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2、型号:KVVP-450/750V-10x1.5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598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电力电缆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1、名称:电力电缆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15</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2、型号:YJV-0.6/1KV-3x2.5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3、含电缆头制安</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599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1、名称:总线电缆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2、规格:8芯，集成商配套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600</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双绞线缆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1、规格:超五类屏蔽双绞线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601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1、名称:电气配管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28</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2、材质:热镀锌钢管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3、规格:SC25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602</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设备支架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1、名称:仪表安装支架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603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控制箱</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 仪表保护箱</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2、规格:500x400x300mm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3、材质:室外不锈钢（防雨型、含立杆、带观察窗口,含辅材）</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604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1、名称:高清彩色快速球形摄像机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2、类别:DS-2AF6223S系列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605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录像设备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1、名称:嵌入式网络数字硬盘录像机</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2、规格:4路</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606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避雷器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1、名称:二合一防雷器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组</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2、型号:PSB-220/2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607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扩声系统设备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1、名称:扩音喇叭</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2、含扩声系统全套设备、音响、管线等</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608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1、名称:电源电缆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2、规格:RVV-2x2.5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609</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防雷接地TN-S接地系统。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610</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330"/>
        </w:trPr>
        <w:tc>
          <w:tcPr>
            <w:gridSpan w:val="5"/>
            <w:tcBorders>
              <w:top w:val="single" w:color="000000" w:sz="8" w:space="0"/>
              <w:left w:val="single" w:color="000000" w:sz="8" w:space="0"/>
              <w:bottom w:val="single" w:color="000000" w:sz="8" w:space="0"/>
              <w:right w:val="single" w:color="000000" w:sz="8" w:space="0"/>
            </w:tcBorders>
            <w:tcW w:w="10100" w:type="dxa"/>
            <w:vAlign w:val="center"/>
            <w:textDirection w:val="lrTb"/>
            <w:noWrap w:val="false"/>
          </w:tcPr>
          <w:p>
            <w:pPr>
              <w:pStyle w:val="856"/>
              <w:jc w:val="center"/>
              <w:widowControl/>
              <w:rPr>
                <w:rFonts w:hint="eastAsia" w:ascii="等线" w:hAnsi="等线" w:eastAsia="等线" w:cs="宋体"/>
                <w:b/>
                <w:bCs/>
                <w:color w:val="000000"/>
                <w:sz w:val="24"/>
                <w:szCs w:val="24"/>
                <w:highlight w:val="none"/>
              </w:rPr>
            </w:pPr>
            <w:r>
              <w:rPr>
                <w:rFonts w:hint="eastAsia" w:ascii="仿宋" w:hAnsi="仿宋" w:eastAsia="仿宋" w:cs="仿宋"/>
                <w:b w:val="0"/>
                <w:bCs w:val="0"/>
                <w:color w:val="000000"/>
                <w:sz w:val="24"/>
                <w:szCs w:val="24"/>
                <w:highlight w:val="none"/>
              </w:rPr>
              <w:t xml:space="preserve">二十一、20郁州南路泵站自控</w:t>
            </w:r>
            <w:r>
              <w:rPr>
                <w:rFonts w:hint="eastAsia" w:ascii="等线" w:hAnsi="等线" w:eastAsia="等线" w:cs="宋体"/>
                <w:b/>
                <w:bCs/>
                <w:color w:val="000000"/>
                <w:sz w:val="24"/>
                <w:szCs w:val="24"/>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611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机柜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1、名称:PLC控制柜,室内型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103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2、含实际点位：DI:69 DO:19  AI:5： AO:0 M:1；含电源模块、CPU（以太网）、通讯模块及I/O模块；点位余量不少于20%  、10寸触摸屏、过电压保护器、信道防雷器、24VDC电源、断路器、熔断器、中间继电器、无源隔离器等全套,含编程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612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UPS不间断电源设备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1、名称:UPS</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2、规格:3KVA 60min</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613</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交换机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工业以太网交换机，16电口，,RJ45口x16，宽温，冗余24V电源,冗余信号触点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614</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2、型号:DJYPV-450/750V-1x2x1.5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616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2、型号:DJYPV-450/750V-2x2x1.5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617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2、型号:KVVP-450/750V-4x1.5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618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2、型号:KVVP-450/750V-5x1.5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619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2、型号:KVVP-450/750V-7x1.5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620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9</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2、型号:KVVP-450/750V-10x1.5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621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电力电缆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1、名称:电力电缆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2、型号:YJV-0.6/1KV-3x2.5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622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1、名称:总线电缆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2、规格:8芯，集成商配套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623</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双绞线缆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1、规格:超五类屏蔽双绞线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27</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624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1、名称:电气配管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33</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2、材质:热镀锌钢管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3、规格:SC25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625</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设备支架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1、名称:仪表安装支架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626</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控制箱</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 仪表保护箱</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2、规格:500x400x300mm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3、材质:室外不锈钢（防雨型、含立杆、带观察窗口,含辅材）</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627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1、名称:高清彩色快速球形摄像机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2、类别:DS-2AF6223S系列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628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录像设备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1、名称:嵌入式网络数字硬盘录像机</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2、规格:4路</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629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避雷器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1、名称:二合一防雷器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组</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2、型号:PSB-220/2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630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扩声系统设备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1、名称:扩音喇叭</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2、含扩声系统全套设备、音响、管线等</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631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1、名称:电源电缆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2、规格:RVV-2x2.5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632</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防雷接地TN-S接地系统。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633</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330"/>
        </w:trPr>
        <w:tc>
          <w:tcPr>
            <w:gridSpan w:val="5"/>
            <w:tcBorders>
              <w:top w:val="single" w:color="000000" w:sz="8" w:space="0"/>
              <w:left w:val="single" w:color="000000" w:sz="8" w:space="0"/>
              <w:bottom w:val="single" w:color="000000" w:sz="8" w:space="0"/>
              <w:right w:val="single" w:color="000000" w:sz="8" w:space="0"/>
            </w:tcBorders>
            <w:tcW w:w="10100" w:type="dxa"/>
            <w:vAlign w:val="center"/>
            <w:textDirection w:val="lrTb"/>
            <w:noWrap w:val="false"/>
          </w:tcPr>
          <w:p>
            <w:pPr>
              <w:pStyle w:val="856"/>
              <w:jc w:val="center"/>
              <w:widowControl/>
              <w:rPr>
                <w:rFonts w:hint="eastAsia" w:ascii="等线" w:hAnsi="等线" w:eastAsia="等线" w:cs="宋体"/>
                <w:b/>
                <w:bCs/>
                <w:color w:val="000000"/>
                <w:sz w:val="24"/>
                <w:szCs w:val="24"/>
                <w:highlight w:val="none"/>
              </w:rPr>
            </w:pPr>
            <w:r>
              <w:rPr>
                <w:rFonts w:hint="eastAsia" w:ascii="仿宋" w:hAnsi="仿宋" w:eastAsia="仿宋" w:cs="仿宋"/>
                <w:b w:val="0"/>
                <w:bCs w:val="0"/>
                <w:color w:val="000000"/>
                <w:sz w:val="24"/>
                <w:szCs w:val="24"/>
                <w:highlight w:val="none"/>
              </w:rPr>
              <w:t xml:space="preserve">二十二、21青峰路泵站自控</w:t>
            </w:r>
            <w:r>
              <w:rPr>
                <w:rFonts w:hint="eastAsia" w:ascii="等线" w:hAnsi="等线" w:eastAsia="等线" w:cs="宋体"/>
                <w:b/>
                <w:bCs/>
                <w:color w:val="000000"/>
                <w:sz w:val="24"/>
                <w:szCs w:val="24"/>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634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机柜</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1、名称:PLC控制柜,室内型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103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2、含实际点位：DI:69 DO:19  AI:5： AO:0 M:1；含电源模块、CPU（以太网）、通讯模块及I/O模块；点位余量不少于20%  、10寸触摸屏、过电压保护器、信道防雷器、24VDC电源、断路器、熔断器、中间继电器、无源隔离器等全套,含编程</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635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UPS不间断电源设备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1、名称:UPS</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2、规格:3KVA 60min</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636</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交换机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工业以太网交换机，16电口,RJ45口x16，宽温，冗余24V电源,冗余信号触点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637</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多功能表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638</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2、型号:DJYPV-450/750V-1x2x1.5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639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1、名称:信号电缆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2、型号:DJYPV-450/750V-2x2x1.5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640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80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2、型号:KVVP-450/750V-4x1.5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641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2、型号:KVVP-450/750V-5x1.5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642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85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2、型号:KVVP-450/750V-7x1.5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643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1、名称:控制电缆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2、型号:KVVP-450/750V-10x1.5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644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电力电缆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1、名称:电力电缆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65</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2、型号:YJV-0.6/1KV-3x2.5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645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控制电缆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1、名称:总线电缆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24</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2、规格:8芯，集成商配套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646</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双绞线缆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1、规格:超五类屏蔽双绞线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90</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647</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1、名称:电气配管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143</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2、材质:热镀锌钢管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3、规格:SC25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648</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设备支架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1、名称:仪表安装支架</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649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控制箱</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 仪表保护箱</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2、规格:500x400x300mm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3、材质:室外不锈钢（防雨型、含立杆、带观察窗口,含辅材）</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650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1、名称:高清彩色快速球形摄像机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2、类别:DS-2AF6223S系列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651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录像设备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1、名称:嵌入式网络数字硬盘录像机</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2、规格:4路</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652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避雷器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1、名称:二合一防雷器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组</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2、型号:PSB-220/2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653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门禁系统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1、名称:门禁系统</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2、含门禁控制器、电锁、读卡器、开门按钮、门禁管理系统、IC卡、管线、辅材等全套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654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扩声系统设备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1、名称:扩音喇叭</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2、含扩声系统全套设备、音响、管线等</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655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1、名称:电源电缆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53</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2、规格:RVV-2x2.5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656</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防雷接地TN-S接地系统。</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657</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温控仪</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温控仪</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658</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浮球开关</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套</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330"/>
        </w:trPr>
        <w:tc>
          <w:tcPr>
            <w:gridSpan w:val="5"/>
            <w:tcBorders>
              <w:top w:val="single" w:color="000000" w:sz="8" w:space="0"/>
              <w:left w:val="single" w:color="000000" w:sz="8" w:space="0"/>
              <w:bottom w:val="single" w:color="000000" w:sz="8" w:space="0"/>
              <w:right w:val="single" w:color="000000" w:sz="8" w:space="0"/>
            </w:tcBorders>
            <w:tcW w:w="10100" w:type="dxa"/>
            <w:vAlign w:val="center"/>
            <w:textDirection w:val="lrTb"/>
            <w:noWrap w:val="false"/>
          </w:tcPr>
          <w:p>
            <w:pPr>
              <w:pStyle w:val="856"/>
              <w:jc w:val="center"/>
              <w:widowControl/>
              <w:rPr>
                <w:rFonts w:hint="eastAsia" w:ascii="等线" w:hAnsi="等线" w:eastAsia="等线" w:cs="宋体"/>
                <w:b/>
                <w:bCs/>
                <w:color w:val="000000"/>
                <w:sz w:val="24"/>
                <w:szCs w:val="24"/>
                <w:highlight w:val="none"/>
              </w:rPr>
            </w:pPr>
            <w:r>
              <w:rPr>
                <w:rFonts w:hint="eastAsia" w:ascii="仿宋" w:hAnsi="仿宋" w:eastAsia="仿宋" w:cs="仿宋"/>
                <w:b w:val="0"/>
                <w:bCs w:val="0"/>
                <w:color w:val="000000"/>
                <w:sz w:val="24"/>
                <w:szCs w:val="24"/>
                <w:highlight w:val="none"/>
              </w:rPr>
              <w:t xml:space="preserve">二十三、22茅口排灌站自控</w:t>
            </w:r>
            <w:r>
              <w:rPr>
                <w:rFonts w:hint="eastAsia" w:ascii="等线" w:hAnsi="等线" w:eastAsia="等线" w:cs="宋体"/>
                <w:b/>
                <w:bCs/>
                <w:color w:val="000000"/>
                <w:sz w:val="24"/>
                <w:szCs w:val="24"/>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659</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监控摄像设备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1、名称:高清彩色快速球形摄像机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4</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2、类别:DS-2AF6223S系列</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660</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录像设备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1、名称:嵌入式网络数字硬盘录像机</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2、规格:8路</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661</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显示设备</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1、名称:监视器</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2、规格:19"液晶</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662</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交换机</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工业以太网交换机,16电口</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台</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663</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避雷器</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1、名称:二合一防雷器    </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组</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2、型号:PSB-220/2</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664</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1、名称:电源电缆</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300</w:t>
            </w:r>
            <w:r>
              <w:rPr>
                <w:rFonts w:hint="eastAsia"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2、规格:RVV-2x2.5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665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配管</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1、名称:电气配管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restart"/>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300</w:t>
            </w:r>
            <w:r>
              <w:rPr>
                <w:rFonts w:hint="eastAsia" w:ascii="等线" w:hAnsi="等线" w:eastAsia="等线" w:cs="宋体"/>
                <w:color w:val="000000"/>
                <w:sz w:val="20"/>
                <w:szCs w:val="20"/>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none" w:color="000000" w:sz="4"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2、材质:热镀锌钢管</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66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3、规格:SC25</w:t>
            </w:r>
            <w:r>
              <w:rPr>
                <w:rFonts w:hint="eastAsia"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c>
          <w:tcPr>
            <w:tcBorders>
              <w:top w:val="none" w:color="000000" w:sz="4" w:space="0"/>
              <w:left w:val="single" w:color="000000" w:sz="8" w:space="0"/>
              <w:bottom w:val="single" w:color="000000" w:sz="8" w:space="0"/>
              <w:right w:val="single" w:color="000000" w:sz="8" w:space="0"/>
            </w:tcBorders>
            <w:tcW w:w="940" w:type="dxa"/>
            <w:vAlign w:val="center"/>
            <w:vMerge w:val="continue"/>
            <w:textDirection w:val="lrTb"/>
            <w:noWrap w:val="false"/>
          </w:tcPr>
          <w:p>
            <w:pPr>
              <w:pStyle w:val="856"/>
              <w:jc w:val="left"/>
              <w:widowControl/>
              <w:rPr>
                <w:rFonts w:ascii="等线" w:hAnsi="等线" w:eastAsia="等线" w:cs="宋体"/>
                <w:color w:val="000000"/>
                <w:sz w:val="20"/>
                <w:szCs w:val="20"/>
                <w:highlight w:val="none"/>
              </w:rPr>
            </w:pPr>
            <w:r>
              <w:rPr>
                <w:rFonts w:ascii="等线" w:hAnsi="等线" w:eastAsia="等线" w:cs="宋体"/>
                <w:color w:val="000000"/>
                <w:sz w:val="20"/>
                <w:szCs w:val="20"/>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666</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66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双绞线缆</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58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规格:超五类屏蔽双绞线</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m</w:t>
            </w:r>
            <w:r>
              <w:rPr>
                <w:rFonts w:hint="eastAsia" w:ascii="等线" w:hAnsi="等线" w:eastAsia="等线"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856"/>
              <w:jc w:val="center"/>
              <w:widowControl/>
              <w:rPr>
                <w:rFonts w:hint="eastAsia"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300</w:t>
            </w:r>
            <w:r>
              <w:rPr>
                <w:rFonts w:hint="eastAsia" w:ascii="等线" w:hAnsi="等线" w:eastAsia="等线" w:cs="宋体"/>
                <w:color w:val="000000"/>
                <w:sz w:val="20"/>
                <w:szCs w:val="20"/>
                <w:highlight w:val="none"/>
              </w:rPr>
            </w:r>
            <w:r/>
          </w:p>
        </w:tc>
      </w:tr>
    </w:tbl>
    <w:p>
      <w:pPr>
        <w:pStyle w:val="856"/>
        <w:rPr>
          <w:rFonts w:hint="eastAsia"/>
          <w:color w:val="000000"/>
          <w:highlight w:val="none"/>
        </w:rPr>
      </w:pPr>
      <w:r>
        <w:rPr>
          <w:rFonts w:hint="eastAsia"/>
          <w:color w:val="000000"/>
          <w:highlight w:val="none"/>
        </w:rPr>
      </w:r>
      <w:r/>
    </w:p>
    <w:p>
      <w:pPr>
        <w:pStyle w:val="868"/>
        <w:rPr>
          <w:rFonts w:hint="eastAsia"/>
          <w:color w:val="000000"/>
          <w:highlight w:val="none"/>
        </w:rPr>
      </w:pPr>
      <w:r>
        <w:rPr>
          <w:rFonts w:hint="eastAsia"/>
          <w:color w:val="000000"/>
          <w:highlight w:val="none"/>
        </w:rPr>
      </w:r>
      <w:r/>
    </w:p>
    <w:p>
      <w:pPr>
        <w:pStyle w:val="856"/>
        <w:ind w:firstLine="480"/>
        <w:keepLines w:val="0"/>
        <w:keepNext w:val="0"/>
        <w:pageBreakBefore w:val="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、服务要求：</w:t>
      </w:r>
      <w:r>
        <w:rPr>
          <w:rFonts w:ascii="宋体" w:hAnsi="宋体"/>
          <w:bCs/>
          <w:color w:val="000000"/>
          <w:sz w:val="24"/>
          <w:szCs w:val="24"/>
          <w:highlight w:val="none"/>
        </w:rPr>
      </w:r>
      <w:r/>
    </w:p>
    <w:p>
      <w:pPr>
        <w:pStyle w:val="856"/>
        <w:ind w:firstLine="480"/>
        <w:keepLines w:val="0"/>
        <w:keepNext w:val="0"/>
        <w:pageBreakBefore w:val="0"/>
        <w:spacing w:line="360" w:lineRule="auto"/>
        <w:rPr>
          <w:rFonts w:ascii="宋体" w:hAnsi="宋体"/>
          <w:bCs/>
          <w:color w:val="000000"/>
          <w:sz w:val="24"/>
          <w:highlight w:val="none"/>
        </w:rPr>
      </w:pPr>
      <w:r>
        <w:rPr>
          <w:rFonts w:hint="eastAsia" w:ascii="宋体" w:hAnsi="宋体"/>
          <w:bCs/>
          <w:color w:val="000000"/>
          <w:sz w:val="24"/>
          <w:highlight w:val="none"/>
        </w:rPr>
        <w:t xml:space="preserve">（1）按《城镇排水与污水处理条例》、《城镇排水管道维护安全技术规程》、《泵站技术管理规程》、《城镇排水管渠与泵站维护安全技术规程》、《城镇排水管渠与泵站维护技术规程》、《电业安全工作规程》、《连云港市市区污水设施维护管理办法》、《连云港市市区污水设施养护质量标准》、《连云港市市区污水设施养护质量抽查考核管理办法》、《现场安全作业规范》等，以及相关设备的产品说明书和操作手册做好运维养护工作，加强对系统平台和管网、泵站及各设施的管理和巡视力度，发现问题及时处理和维护，确保系统平台和设施正常运行。 </w:t>
      </w:r>
      <w:r>
        <w:rPr>
          <w:rFonts w:ascii="宋体" w:hAnsi="宋体"/>
          <w:bCs/>
          <w:color w:val="000000"/>
          <w:sz w:val="24"/>
          <w:highlight w:val="none"/>
        </w:rPr>
      </w:r>
      <w:r/>
    </w:p>
    <w:p>
      <w:pPr>
        <w:pStyle w:val="856"/>
        <w:ind w:firstLine="480"/>
        <w:keepLines w:val="0"/>
        <w:keepNext w:val="0"/>
        <w:pageBreakBefore w:val="0"/>
        <w:spacing w:line="360" w:lineRule="auto"/>
        <w:rPr>
          <w:rFonts w:ascii="宋体" w:hAnsi="宋体"/>
          <w:bCs/>
          <w:color w:val="000000"/>
          <w:sz w:val="24"/>
          <w:highlight w:val="none"/>
        </w:rPr>
      </w:pPr>
      <w:r>
        <w:rPr>
          <w:rFonts w:hint="eastAsia" w:ascii="宋体" w:hAnsi="宋体"/>
          <w:bCs/>
          <w:color w:val="000000"/>
          <w:sz w:val="24"/>
          <w:highlight w:val="none"/>
        </w:rPr>
        <w:t xml:space="preserve">（2）严格执行《江苏省安全生产条例》相关要求，对运营团队人员加强岗位培训和安全教育，定期进行安全检查，消除安全隐患。</w:t>
      </w:r>
      <w:r>
        <w:rPr>
          <w:rFonts w:ascii="宋体" w:hAnsi="宋体"/>
          <w:bCs/>
          <w:color w:val="000000"/>
          <w:sz w:val="24"/>
          <w:highlight w:val="none"/>
        </w:rPr>
      </w:r>
      <w:r/>
    </w:p>
    <w:p>
      <w:pPr>
        <w:pStyle w:val="856"/>
        <w:ind w:firstLine="480"/>
        <w:keepLines w:val="0"/>
        <w:keepNext w:val="0"/>
        <w:pageBreakBefore w:val="0"/>
        <w:spacing w:line="360" w:lineRule="auto"/>
        <w:rPr>
          <w:rFonts w:ascii="宋体" w:hAnsi="宋体"/>
          <w:bCs/>
          <w:color w:val="000000"/>
          <w:sz w:val="24"/>
          <w:highlight w:val="none"/>
        </w:rPr>
      </w:pPr>
      <w:r>
        <w:rPr>
          <w:rFonts w:hint="eastAsia" w:ascii="宋体" w:hAnsi="宋体"/>
          <w:bCs/>
          <w:color w:val="000000"/>
          <w:sz w:val="24"/>
          <w:highlight w:val="none"/>
        </w:rPr>
        <w:t xml:space="preserve">（3）中标人必须具有保证安全生产、文明施工措施；消防、治安措施；防扬尘污染、防噪音措施；保证运维期间达到相关要求的各项措施及方案；处置突发事件的应急设施和方案；网格化管理的措施方案。</w:t>
      </w:r>
      <w:r>
        <w:rPr>
          <w:rFonts w:ascii="宋体" w:hAnsi="宋体"/>
          <w:bCs/>
          <w:color w:val="000000"/>
          <w:sz w:val="24"/>
          <w:highlight w:val="none"/>
        </w:rPr>
      </w:r>
      <w:r/>
    </w:p>
    <w:p>
      <w:pPr>
        <w:pStyle w:val="856"/>
        <w:ind w:firstLine="480"/>
        <w:keepLines w:val="0"/>
        <w:keepNext w:val="0"/>
        <w:pageBreakBefore w:val="0"/>
        <w:spacing w:line="360" w:lineRule="auto"/>
        <w:rPr>
          <w:rFonts w:ascii="宋体" w:hAnsi="宋体"/>
          <w:bCs/>
          <w:color w:val="000000"/>
          <w:sz w:val="24"/>
          <w:highlight w:val="none"/>
        </w:rPr>
      </w:pPr>
      <w:r>
        <w:rPr>
          <w:rFonts w:hint="eastAsia" w:ascii="宋体" w:hAnsi="宋体"/>
          <w:bCs/>
          <w:color w:val="000000"/>
          <w:sz w:val="24"/>
          <w:highlight w:val="none"/>
        </w:rPr>
        <w:t xml:space="preserve">（4）中标人不得向他人转让运维项目，也不得将运维项目肢解后分别向他人转让，不得转供电、水，并保证托管设施正常安全运行，保证资产完好，不得转移、抵押、租赁或以其它方式处理处置采购人资产。</w:t>
      </w:r>
      <w:r>
        <w:rPr>
          <w:rFonts w:ascii="宋体" w:hAnsi="宋体"/>
          <w:bCs/>
          <w:color w:val="000000"/>
          <w:sz w:val="24"/>
          <w:highlight w:val="none"/>
        </w:rPr>
      </w:r>
      <w:r/>
    </w:p>
    <w:p>
      <w:pPr>
        <w:pStyle w:val="856"/>
        <w:ind w:firstLine="480"/>
        <w:keepLines w:val="0"/>
        <w:keepNext w:val="0"/>
        <w:pageBreakBefore w:val="0"/>
        <w:spacing w:line="360" w:lineRule="auto"/>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（5）</w:t>
      </w:r>
      <w:r>
        <w:rPr>
          <w:rFonts w:hint="eastAsia" w:ascii="宋体" w:hAnsi="宋体"/>
          <w:bCs/>
          <w:color w:val="000000"/>
          <w:sz w:val="24"/>
          <w:highlight w:val="none"/>
          <w:lang w:val="en-US" w:eastAsia="zh-CN"/>
        </w:rPr>
        <w:t xml:space="preserve">中标</w:t>
      </w:r>
      <w:r>
        <w:rPr>
          <w:rFonts w:hint="eastAsia" w:ascii="宋体" w:hAnsi="宋体"/>
          <w:bCs/>
          <w:color w:val="000000"/>
          <w:sz w:val="24"/>
          <w:highlight w:val="none"/>
          <w:lang w:val="en-US" w:eastAsia="zh-CN"/>
        </w:rPr>
        <w:t xml:space="preserve">人</w:t>
      </w:r>
      <w:r>
        <w:rPr>
          <w:rFonts w:hint="eastAsia" w:ascii="宋体" w:hAnsi="宋体"/>
          <w:bCs/>
          <w:color w:val="000000"/>
          <w:sz w:val="24"/>
          <w:highlight w:val="none"/>
        </w:rPr>
        <w:t xml:space="preserve">于</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月</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lang w:val="en-US" w:eastAsia="zh-CN"/>
        </w:rPr>
        <w:t xml:space="preserve">0日</w:t>
      </w:r>
      <w:r>
        <w:rPr>
          <w:rFonts w:hint="eastAsia" w:ascii="宋体" w:hAnsi="宋体"/>
          <w:bCs/>
          <w:color w:val="000000"/>
          <w:sz w:val="24"/>
          <w:highlight w:val="none"/>
        </w:rPr>
        <w:t xml:space="preserve">前</w:t>
      </w:r>
      <w:r>
        <w:rPr>
          <w:rFonts w:hint="eastAsia" w:ascii="宋体" w:hAnsi="宋体"/>
          <w:bCs/>
          <w:color w:val="000000"/>
          <w:sz w:val="24"/>
          <w:highlight w:val="none"/>
        </w:rPr>
        <w:t xml:space="preserve">编制</w:t>
      </w:r>
      <w:r>
        <w:rPr>
          <w:rFonts w:hint="eastAsia" w:ascii="宋体" w:hAnsi="宋体"/>
          <w:bCs/>
          <w:color w:val="000000"/>
          <w:sz w:val="24"/>
          <w:highlight w:val="none"/>
        </w:rPr>
        <w:t xml:space="preserve">上报年度的年度运维计划和小中修计划；每</w:t>
      </w:r>
      <w:r>
        <w:rPr>
          <w:rFonts w:hint="eastAsia" w:ascii="宋体" w:hAnsi="宋体"/>
          <w:bCs/>
          <w:color w:val="000000"/>
          <w:sz w:val="24"/>
          <w:highlight w:val="none"/>
          <w:lang w:val="en-US" w:eastAsia="zh-CN"/>
        </w:rPr>
        <w:t xml:space="preserve">月</w:t>
      </w:r>
      <w:r>
        <w:rPr>
          <w:rFonts w:hint="eastAsia" w:ascii="宋体" w:hAnsi="宋体"/>
          <w:bCs/>
          <w:color w:val="000000"/>
          <w:sz w:val="24"/>
          <w:highlight w:val="none"/>
          <w:lang w:val="en-US" w:eastAsia="zh-CN"/>
        </w:rPr>
        <w:t xml:space="preserve">20日前</w:t>
      </w:r>
      <w:r>
        <w:rPr>
          <w:rFonts w:hint="eastAsia" w:ascii="宋体" w:hAnsi="宋体"/>
          <w:bCs/>
          <w:color w:val="000000"/>
          <w:sz w:val="24"/>
          <w:highlight w:val="none"/>
        </w:rPr>
        <w:t xml:space="preserve">编制完成下一月度运维计划，报采购人批准后组织实施。合理使用运维费用，确保设施完好、整洁</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856"/>
        <w:ind w:firstLine="480"/>
        <w:keepLines w:val="0"/>
        <w:keepNext w:val="0"/>
        <w:pageBreakBefore w:val="0"/>
        <w:spacing w:line="360" w:lineRule="auto"/>
        <w:rPr>
          <w:rFonts w:ascii="宋体" w:hAnsi="宋体"/>
          <w:bCs/>
          <w:color w:val="000000"/>
          <w:sz w:val="24"/>
          <w:highlight w:val="none"/>
        </w:rPr>
      </w:pPr>
      <w:r>
        <w:rPr>
          <w:rFonts w:hint="eastAsia" w:ascii="宋体" w:hAnsi="宋体"/>
          <w:bCs/>
          <w:color w:val="000000"/>
          <w:sz w:val="24"/>
          <w:highlight w:val="none"/>
        </w:rPr>
        <w:t xml:space="preserve">（6）按照规定对设施进行日常巡视和经常检查</w:t>
      </w: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按照年度运维计划分解上报周、</w:t>
      </w:r>
      <w:r>
        <w:rPr>
          <w:rFonts w:hint="eastAsia" w:ascii="宋体" w:hAnsi="宋体"/>
          <w:bCs/>
          <w:color w:val="000000"/>
          <w:sz w:val="24"/>
          <w:highlight w:val="none"/>
        </w:rPr>
        <w:t xml:space="preserve">月、季</w:t>
      </w:r>
      <w:r>
        <w:rPr>
          <w:rFonts w:hint="eastAsia" w:ascii="宋体" w:hAnsi="宋体"/>
          <w:bCs/>
          <w:color w:val="000000"/>
          <w:sz w:val="24"/>
          <w:highlight w:val="none"/>
          <w:lang w:val="en-US" w:eastAsia="zh-CN"/>
        </w:rPr>
        <w:t xml:space="preserve">度运维计划及</w:t>
      </w:r>
      <w:r>
        <w:rPr>
          <w:rFonts w:hint="eastAsia" w:ascii="宋体" w:hAnsi="宋体"/>
          <w:bCs/>
          <w:color w:val="000000"/>
          <w:sz w:val="24"/>
          <w:highlight w:val="none"/>
        </w:rPr>
        <w:t xml:space="preserve">完成情况</w:t>
      </w:r>
      <w:r>
        <w:rPr>
          <w:rFonts w:hint="eastAsia" w:ascii="宋体" w:hAnsi="宋体"/>
          <w:bCs/>
          <w:color w:val="000000"/>
          <w:sz w:val="24"/>
          <w:highlight w:val="none"/>
          <w:lang w:val="en-US" w:eastAsia="zh-CN"/>
        </w:rPr>
        <w:t xml:space="preserve">，并根据实际运维情况分析偏差，调整计划</w:t>
      </w:r>
      <w:r>
        <w:rPr>
          <w:rFonts w:hint="eastAsia" w:ascii="宋体" w:hAnsi="宋体"/>
          <w:bCs/>
          <w:color w:val="000000"/>
          <w:sz w:val="24"/>
          <w:highlight w:val="none"/>
        </w:rPr>
        <w:t xml:space="preserve">。</w:t>
      </w:r>
      <w:r>
        <w:rPr>
          <w:rFonts w:ascii="宋体" w:hAnsi="宋体"/>
          <w:bCs/>
          <w:color w:val="000000"/>
          <w:sz w:val="24"/>
          <w:highlight w:val="none"/>
        </w:rPr>
      </w:r>
      <w:r/>
    </w:p>
    <w:p>
      <w:pPr>
        <w:pStyle w:val="856"/>
        <w:ind w:firstLine="480"/>
        <w:keepLines w:val="0"/>
        <w:keepNext w:val="0"/>
        <w:pageBreakBefore w:val="0"/>
        <w:spacing w:line="360" w:lineRule="auto"/>
        <w:rPr>
          <w:rFonts w:ascii="宋体" w:hAnsi="宋体"/>
          <w:bCs/>
          <w:color w:val="000000"/>
          <w:sz w:val="24"/>
          <w:highlight w:val="none"/>
        </w:rPr>
      </w:pPr>
      <w:r>
        <w:rPr>
          <w:rFonts w:hint="eastAsia" w:ascii="宋体" w:hAnsi="宋体"/>
          <w:bCs/>
          <w:color w:val="000000"/>
          <w:sz w:val="24"/>
          <w:highlight w:val="none"/>
        </w:rPr>
        <w:t xml:space="preserve">（7）搞好内业、外业资料的记录、收集、整理、保管和上报等工作，服从接受采购人和相关管理部门进行设施完好状况抽查、考核及日常安全、质量的检查工作，对存在的问题及时整改。</w:t>
      </w:r>
      <w:r>
        <w:rPr>
          <w:rFonts w:ascii="宋体" w:hAnsi="宋体"/>
          <w:bCs/>
          <w:color w:val="000000"/>
          <w:sz w:val="24"/>
          <w:highlight w:val="none"/>
        </w:rPr>
      </w:r>
      <w:r/>
    </w:p>
    <w:p>
      <w:pPr>
        <w:pStyle w:val="856"/>
        <w:ind w:firstLine="480"/>
        <w:keepLines w:val="0"/>
        <w:keepNext w:val="0"/>
        <w:pageBreakBefore w:val="0"/>
        <w:spacing w:line="360" w:lineRule="auto"/>
        <w:rPr>
          <w:rFonts w:ascii="宋体" w:hAnsi="宋体"/>
          <w:bCs/>
          <w:color w:val="000000"/>
          <w:sz w:val="24"/>
          <w:highlight w:val="none"/>
        </w:rPr>
      </w:pPr>
      <w:r>
        <w:rPr>
          <w:rFonts w:hint="eastAsia" w:ascii="宋体" w:hAnsi="宋体"/>
          <w:bCs/>
          <w:color w:val="000000"/>
          <w:sz w:val="24"/>
          <w:highlight w:val="none"/>
        </w:rPr>
        <w:t xml:space="preserve">（8）定期组织技术人员和养护操作人员参加技术及安全培训，提高技术水平和安全意识，并于每年12月份上报下一年度培训计划。</w:t>
      </w:r>
      <w:r>
        <w:rPr>
          <w:rFonts w:ascii="宋体" w:hAnsi="宋体"/>
          <w:bCs/>
          <w:color w:val="000000"/>
          <w:sz w:val="24"/>
          <w:highlight w:val="none"/>
        </w:rPr>
      </w:r>
      <w:r/>
    </w:p>
    <w:p>
      <w:pPr>
        <w:pStyle w:val="856"/>
        <w:ind w:firstLine="480"/>
        <w:keepLines w:val="0"/>
        <w:keepNext w:val="0"/>
        <w:pageBreakBefore w:val="0"/>
        <w:spacing w:line="360" w:lineRule="auto"/>
        <w:rPr>
          <w:rFonts w:ascii="宋体" w:hAnsi="宋体"/>
          <w:bCs/>
          <w:color w:val="000000"/>
          <w:sz w:val="24"/>
          <w:highlight w:val="none"/>
        </w:rPr>
      </w:pPr>
      <w:r>
        <w:rPr>
          <w:rFonts w:hint="eastAsia" w:ascii="宋体" w:hAnsi="宋体"/>
          <w:bCs/>
          <w:color w:val="000000"/>
          <w:sz w:val="24"/>
          <w:highlight w:val="none"/>
        </w:rPr>
        <w:t xml:space="preserve">（9）按规定定期对电气设备、安全防护用品等校验以及运维车辆维修、保养、保险等。</w:t>
      </w:r>
      <w:r>
        <w:rPr>
          <w:rFonts w:ascii="宋体" w:hAnsi="宋体"/>
          <w:bCs/>
          <w:color w:val="000000"/>
          <w:sz w:val="24"/>
          <w:highlight w:val="none"/>
        </w:rPr>
      </w:r>
      <w:r/>
    </w:p>
    <w:p>
      <w:pPr>
        <w:pStyle w:val="856"/>
        <w:ind w:firstLine="482"/>
        <w:jc w:val="left"/>
        <w:keepLines w:val="0"/>
        <w:keepNext w:val="0"/>
        <w:pageBreakBefore w:val="0"/>
        <w:spacing w:line="360" w:lineRule="auto"/>
        <w:widowControl/>
        <w:rPr>
          <w:rFonts w:ascii="Calibri" w:hAnsi="Calibri"/>
          <w:b/>
          <w:bCs w:val="0"/>
          <w:color w:val="000000"/>
          <w:highlight w:val="none"/>
        </w:rPr>
      </w:pPr>
      <w:r>
        <w:rPr>
          <w:rFonts w:hint="eastAsia" w:ascii="宋体" w:hAnsi="宋体" w:cs="宋体"/>
          <w:b/>
          <w:bCs w:val="0"/>
          <w:color w:val="000000"/>
          <w:sz w:val="24"/>
          <w:szCs w:val="24"/>
          <w:highlight w:val="none"/>
        </w:rPr>
        <w:t xml:space="preserve">★</w:t>
      </w:r>
      <w:r>
        <w:rPr>
          <w:rFonts w:hint="eastAsia" w:ascii="宋体" w:hAnsi="宋体"/>
          <w:b/>
          <w:bCs w:val="0"/>
          <w:color w:val="000000"/>
          <w:sz w:val="24"/>
          <w:szCs w:val="24"/>
          <w:highlight w:val="none"/>
        </w:rPr>
        <w:t xml:space="preserve">4、服务时间：</w:t>
      </w:r>
      <w:r>
        <w:rPr>
          <w:rFonts w:ascii="宋体" w:hAnsi="宋体"/>
          <w:b/>
          <w:bCs w:val="0"/>
          <w:color w:val="000000"/>
          <w:sz w:val="24"/>
          <w:highlight w:val="none"/>
        </w:rPr>
        <w:t xml:space="preserve">1</w:t>
      </w:r>
      <w:r>
        <w:rPr>
          <w:rFonts w:hint="eastAsia" w:ascii="宋体" w:hAnsi="宋体"/>
          <w:b/>
          <w:bCs w:val="0"/>
          <w:color w:val="000000"/>
          <w:sz w:val="24"/>
          <w:highlight w:val="none"/>
        </w:rPr>
        <w:t xml:space="preserve">年</w:t>
      </w:r>
      <w:r>
        <w:rPr>
          <w:rFonts w:hint="eastAsia" w:ascii="宋体" w:hAnsi="宋体"/>
          <w:b/>
          <w:bCs w:val="0"/>
          <w:color w:val="000000"/>
          <w:sz w:val="24"/>
          <w:highlight w:val="none"/>
          <w:lang w:eastAsia="zh-CN"/>
        </w:rPr>
        <w:t xml:space="preserve">（</w:t>
      </w:r>
      <w:r>
        <w:rPr>
          <w:rFonts w:hint="eastAsia" w:ascii="宋体" w:hAnsi="宋体"/>
          <w:b/>
          <w:bCs w:val="0"/>
          <w:color w:val="000000"/>
          <w:sz w:val="24"/>
          <w:highlight w:val="none"/>
          <w:lang w:val="en-US" w:eastAsia="zh-CN"/>
        </w:rPr>
        <w:t xml:space="preserve">2025年1月1日至2025年12月31日</w:t>
      </w:r>
      <w:r>
        <w:rPr>
          <w:rFonts w:hint="eastAsia" w:ascii="宋体" w:hAnsi="宋体"/>
          <w:b/>
          <w:bCs w:val="0"/>
          <w:color w:val="000000"/>
          <w:sz w:val="24"/>
          <w:highlight w:val="none"/>
          <w:lang w:eastAsia="zh-CN"/>
        </w:rPr>
        <w:t xml:space="preserve">）</w:t>
      </w:r>
      <w:r>
        <w:rPr>
          <w:rFonts w:hint="eastAsia" w:ascii="宋体" w:hAnsi="宋体"/>
          <w:b/>
          <w:bCs w:val="0"/>
          <w:color w:val="000000"/>
          <w:sz w:val="24"/>
          <w:highlight w:val="none"/>
        </w:rPr>
        <w:t xml:space="preserve">。</w:t>
      </w:r>
      <w:r>
        <w:rPr>
          <w:rFonts w:ascii="Calibri" w:hAnsi="Calibri"/>
          <w:b/>
          <w:bCs w:val="0"/>
          <w:color w:val="000000"/>
          <w:highlight w:val="none"/>
        </w:rPr>
      </w:r>
      <w:r/>
    </w:p>
    <w:p>
      <w:pPr>
        <w:pStyle w:val="856"/>
        <w:ind w:firstLine="480"/>
        <w:keepLines w:val="0"/>
        <w:keepNext w:val="0"/>
        <w:pageBreakBefore w:val="0"/>
        <w:spacing w:line="360" w:lineRule="auto"/>
        <w:rPr>
          <w:rFonts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rPr>
        <w:t xml:space="preserve">5、服务标准：</w:t>
      </w:r>
      <w:r>
        <w:rPr>
          <w:rFonts w:hint="eastAsia" w:ascii="宋体" w:hAnsi="宋体" w:eastAsia="宋体" w:cs="Times New Roman"/>
          <w:bCs/>
          <w:color w:val="000000"/>
          <w:sz w:val="24"/>
          <w:highlight w:val="none"/>
          <w:lang w:val="en-US" w:eastAsia="zh-CN"/>
        </w:rPr>
        <w:t xml:space="preserve">按规定开展管网、泵站、电气、设备、仪器、仪表、系统平台等巡查、检修、疏通、维护、检验等工作，确保</w:t>
      </w:r>
      <w:r>
        <w:rPr>
          <w:rFonts w:hint="eastAsia" w:ascii="宋体" w:hAnsi="宋体" w:eastAsia="宋体" w:cs="Times New Roman"/>
          <w:bCs/>
          <w:color w:val="000000"/>
          <w:sz w:val="24"/>
          <w:highlight w:val="none"/>
        </w:rPr>
        <w:t xml:space="preserve">管网、泵站以及市区污水管网泵站联网监控系统安全稳定运行；河道排口</w:t>
      </w:r>
      <w:r>
        <w:rPr>
          <w:rFonts w:hint="eastAsia" w:ascii="宋体" w:hAnsi="宋体" w:eastAsia="宋体" w:cs="Times New Roman"/>
          <w:bCs/>
          <w:color w:val="000000"/>
          <w:sz w:val="24"/>
          <w:highlight w:val="none"/>
          <w:lang w:val="en-US" w:eastAsia="zh-CN"/>
        </w:rPr>
        <w:t xml:space="preserve">晴天</w:t>
      </w:r>
      <w:r>
        <w:rPr>
          <w:rFonts w:hint="eastAsia" w:ascii="宋体" w:hAnsi="宋体" w:eastAsia="宋体" w:cs="Times New Roman"/>
          <w:bCs/>
          <w:color w:val="000000"/>
          <w:sz w:val="24"/>
          <w:highlight w:val="none"/>
        </w:rPr>
        <w:t xml:space="preserve">无溢流；污水检查井防坠网、井盖无脱落、缺失、偏移、破损</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应急水源泵站管网能够保持随时启动正常运行良好状态；汛期及时开展道路巡查，按指令投入应急强排工作</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做好大流量强排泵车、移动</w:t>
      </w:r>
      <w:r>
        <w:rPr>
          <w:rFonts w:hint="eastAsia" w:ascii="宋体" w:hAnsi="宋体" w:eastAsia="宋体" w:cs="Times New Roman"/>
          <w:bCs/>
          <w:color w:val="000000"/>
          <w:sz w:val="24"/>
          <w:highlight w:val="none"/>
        </w:rPr>
        <w:t xml:space="preserve">发电机、疏通车</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行车、变压器（含高低压配电等）</w:t>
      </w:r>
      <w:r>
        <w:rPr>
          <w:rFonts w:hint="eastAsia" w:ascii="宋体" w:hAnsi="宋体" w:eastAsia="宋体" w:cs="Times New Roman"/>
          <w:bCs/>
          <w:color w:val="000000"/>
          <w:sz w:val="24"/>
          <w:highlight w:val="none"/>
        </w:rPr>
        <w:t xml:space="preserve">等特种设备的</w:t>
      </w:r>
      <w:r>
        <w:rPr>
          <w:rFonts w:hint="eastAsia" w:ascii="宋体" w:hAnsi="宋体" w:eastAsia="宋体" w:cs="Times New Roman"/>
          <w:bCs/>
          <w:color w:val="000000"/>
          <w:sz w:val="24"/>
          <w:highlight w:val="none"/>
          <w:lang w:val="en-US" w:eastAsia="zh-CN"/>
        </w:rPr>
        <w:t xml:space="preserve">日常</w:t>
      </w:r>
      <w:r>
        <w:rPr>
          <w:rFonts w:hint="eastAsia" w:ascii="宋体" w:hAnsi="宋体" w:eastAsia="宋体" w:cs="Times New Roman"/>
          <w:bCs/>
          <w:color w:val="000000"/>
          <w:sz w:val="24"/>
          <w:highlight w:val="none"/>
        </w:rPr>
        <w:t xml:space="preserve">保养、维修</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按规定定期检测核验</w:t>
      </w: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lang w:val="en-US" w:eastAsia="zh-CN"/>
        </w:rPr>
        <w:t xml:space="preserve">泵站环境卫生符合全国卫生城市标准</w:t>
      </w:r>
      <w:r>
        <w:rPr>
          <w:rFonts w:hint="eastAsia" w:ascii="宋体" w:hAnsi="宋体" w:eastAsia="宋体" w:cs="Times New Roman"/>
          <w:bCs/>
          <w:color w:val="000000"/>
          <w:sz w:val="24"/>
          <w:highlight w:val="none"/>
        </w:rPr>
        <w:t xml:space="preserve">；具有完备的污水设施运维、安全生产流程、管理制度；从事特种作业人员持证上岗；不发生</w:t>
      </w:r>
      <w:r>
        <w:rPr>
          <w:rFonts w:hint="eastAsia" w:ascii="宋体" w:hAnsi="宋体" w:eastAsia="宋体" w:cs="Times New Roman"/>
          <w:bCs/>
          <w:color w:val="000000"/>
          <w:sz w:val="24"/>
          <w:highlight w:val="none"/>
          <w:lang w:val="en-US" w:eastAsia="zh-CN"/>
        </w:rPr>
        <w:t xml:space="preserve">一般</w:t>
      </w:r>
      <w:r>
        <w:rPr>
          <w:rFonts w:hint="eastAsia" w:ascii="宋体" w:hAnsi="宋体" w:eastAsia="宋体" w:cs="Times New Roman"/>
          <w:bCs/>
          <w:color w:val="000000"/>
          <w:sz w:val="24"/>
          <w:highlight w:val="none"/>
        </w:rPr>
        <w:t xml:space="preserve">以上安全生产事故</w:t>
      </w:r>
      <w:r>
        <w:rPr>
          <w:rFonts w:hint="eastAsia" w:ascii="宋体" w:hAnsi="宋体" w:eastAsia="宋体" w:cs="Times New Roman"/>
          <w:bCs/>
          <w:color w:val="000000"/>
          <w:sz w:val="24"/>
          <w:highlight w:val="none"/>
          <w:lang w:val="en-US" w:eastAsia="zh-CN"/>
        </w:rPr>
        <w:t xml:space="preserve">等。</w:t>
      </w:r>
      <w:r>
        <w:rPr>
          <w:rFonts w:ascii="宋体" w:hAnsi="宋体" w:eastAsia="宋体" w:cs="Times New Roman"/>
          <w:bCs/>
          <w:color w:val="000000"/>
          <w:sz w:val="24"/>
          <w:highlight w:val="none"/>
          <w:lang w:val="en-US" w:eastAsia="zh-CN"/>
        </w:rPr>
      </w:r>
      <w:r/>
    </w:p>
    <w:p>
      <w:pPr>
        <w:pStyle w:val="856"/>
        <w:ind w:firstLine="480"/>
        <w:keepLines w:val="0"/>
        <w:keepNext w:val="0"/>
        <w:pageBreakBefore w:val="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6、验收标准：</w:t>
      </w:r>
      <w:r>
        <w:rPr>
          <w:rFonts w:hint="eastAsia" w:ascii="宋体" w:hAnsi="宋体"/>
          <w:bCs/>
          <w:color w:val="000000"/>
          <w:sz w:val="24"/>
          <w:highlight w:val="none"/>
        </w:rPr>
        <w:t xml:space="preserve">《城镇排水管道维护安全技术规程》、《泵站技术管理规程》、《城镇排水管渠与泵站维护安全技术规程》、《城镇排水管渠与泵站维护技术规程》、《电业安全工作规程》、《连云港市市区污水设施维护管理办法》、《连云港市市区污水设施养护质量标准》、《连云港市市区污水设施养护质量抽查考核管理办法》、《现场安全作业规范》等，以及相关设备的产品说明书和操作手册。</w:t>
      </w:r>
      <w:r>
        <w:rPr>
          <w:rFonts w:ascii="宋体" w:hAnsi="宋体"/>
          <w:bCs/>
          <w:color w:val="000000"/>
          <w:sz w:val="24"/>
          <w:szCs w:val="24"/>
          <w:highlight w:val="none"/>
        </w:rPr>
      </w:r>
      <w:r/>
    </w:p>
    <w:p>
      <w:pPr>
        <w:pStyle w:val="856"/>
        <w:ind w:firstLine="480"/>
        <w:keepLines w:val="0"/>
        <w:keepNext w:val="0"/>
        <w:pageBreakBefore w:val="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★7、人员配备要求：结合本项目服务范围及服务要求需要，本项目团队人员配备不少于3</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人。人员要求如下：</w:t>
      </w:r>
      <w:r>
        <w:rPr>
          <w:rFonts w:ascii="宋体" w:hAnsi="宋体"/>
          <w:bCs/>
          <w:color w:val="000000"/>
          <w:sz w:val="24"/>
          <w:szCs w:val="24"/>
          <w:highlight w:val="none"/>
        </w:rPr>
      </w:r>
      <w:r/>
    </w:p>
    <w:p>
      <w:pPr>
        <w:pStyle w:val="856"/>
        <w:ind w:firstLine="480"/>
        <w:keepLines w:val="0"/>
        <w:keepNext w:val="0"/>
        <w:pageBreakBefore w:val="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（1）、智慧排水监控大厅：不少于6人</w:t>
      </w:r>
      <w:r>
        <w:rPr>
          <w:rFonts w:ascii="宋体" w:hAnsi="宋体"/>
          <w:bCs/>
          <w:color w:val="000000"/>
          <w:sz w:val="24"/>
          <w:szCs w:val="24"/>
          <w:highlight w:val="none"/>
        </w:rPr>
      </w:r>
      <w:r/>
    </w:p>
    <w:p>
      <w:pPr>
        <w:pStyle w:val="856"/>
        <w:ind w:firstLine="480"/>
        <w:keepLines w:val="0"/>
        <w:keepNext w:val="0"/>
        <w:pageBreakBefore w:val="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排班要求：</w:t>
      </w:r>
      <w:r>
        <w:rPr>
          <w:rFonts w:hint="eastAsia" w:ascii="宋体" w:hAnsi="宋体"/>
          <w:bCs/>
          <w:color w:val="000000"/>
          <w:sz w:val="24"/>
          <w:szCs w:val="24"/>
          <w:highlight w:val="none"/>
          <w:lang w:val="en-US" w:eastAsia="zh-CN"/>
        </w:rPr>
        <w:t xml:space="preserve">全天24小时值班调度</w:t>
      </w:r>
      <w:r>
        <w:rPr>
          <w:rFonts w:hint="eastAsia" w:ascii="宋体" w:hAnsi="宋体"/>
          <w:bCs/>
          <w:color w:val="000000"/>
          <w:sz w:val="24"/>
          <w:szCs w:val="24"/>
          <w:highlight w:val="none"/>
        </w:rPr>
        <w:t xml:space="preserve">，共分为3班，不少于2 人/班。 </w:t>
      </w:r>
      <w:r>
        <w:rPr>
          <w:rFonts w:ascii="宋体" w:hAnsi="宋体"/>
          <w:bCs/>
          <w:color w:val="000000"/>
          <w:sz w:val="24"/>
          <w:szCs w:val="24"/>
          <w:highlight w:val="none"/>
        </w:rPr>
      </w:r>
      <w:r/>
    </w:p>
    <w:p>
      <w:pPr>
        <w:pStyle w:val="856"/>
        <w:ind w:firstLine="480"/>
        <w:keepLines w:val="0"/>
        <w:keepNext w:val="0"/>
        <w:pageBreakBefore w:val="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年龄要求：45周岁以下（身体健康） </w:t>
      </w:r>
      <w:r>
        <w:rPr>
          <w:rFonts w:ascii="宋体" w:hAnsi="宋体"/>
          <w:bCs/>
          <w:color w:val="000000"/>
          <w:sz w:val="24"/>
          <w:szCs w:val="24"/>
          <w:highlight w:val="none"/>
        </w:rPr>
      </w:r>
      <w:r/>
    </w:p>
    <w:p>
      <w:pPr>
        <w:pStyle w:val="856"/>
        <w:ind w:firstLine="480"/>
        <w:keepLines w:val="0"/>
        <w:keepNext w:val="0"/>
        <w:pageBreakBefore w:val="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工作经验：具有从事过城市排水智能化系统管理平台运营项目或城市污水系统设备安装、设备维护项目经验，或类似工作经验。 </w:t>
      </w:r>
      <w:r>
        <w:rPr>
          <w:rFonts w:ascii="宋体" w:hAnsi="宋体"/>
          <w:bCs/>
          <w:color w:val="000000"/>
          <w:sz w:val="24"/>
          <w:szCs w:val="24"/>
          <w:highlight w:val="none"/>
        </w:rPr>
      </w:r>
      <w:r/>
    </w:p>
    <w:p>
      <w:pPr>
        <w:pStyle w:val="856"/>
        <w:ind w:firstLine="480"/>
        <w:keepLines w:val="0"/>
        <w:keepNext w:val="0"/>
        <w:pageBreakBefore w:val="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办公地点：智慧排水监控大厅</w:t>
      </w:r>
      <w:r>
        <w:rPr>
          <w:rFonts w:ascii="宋体" w:hAnsi="宋体"/>
          <w:bCs/>
          <w:color w:val="000000"/>
          <w:sz w:val="24"/>
          <w:szCs w:val="24"/>
          <w:highlight w:val="none"/>
        </w:rPr>
      </w:r>
      <w:r/>
    </w:p>
    <w:p>
      <w:pPr>
        <w:pStyle w:val="856"/>
        <w:ind w:firstLine="480"/>
        <w:keepLines w:val="0"/>
        <w:keepNext w:val="0"/>
        <w:pageBreakBefore w:val="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电气设备、仪器仪表</w:t>
      </w:r>
      <w:r>
        <w:rPr>
          <w:rFonts w:hint="eastAsia" w:ascii="宋体" w:hAnsi="宋体"/>
          <w:bCs/>
          <w:color w:val="000000"/>
          <w:sz w:val="24"/>
          <w:szCs w:val="24"/>
          <w:highlight w:val="none"/>
        </w:rPr>
        <w:t xml:space="preserve">维修队伍：不少于</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val="en-US" w:eastAsia="zh-CN"/>
        </w:rPr>
        <w:t xml:space="preserve">0</w:t>
      </w:r>
      <w:r>
        <w:rPr>
          <w:rFonts w:hint="eastAsia" w:ascii="宋体" w:hAnsi="宋体"/>
          <w:bCs/>
          <w:color w:val="000000"/>
          <w:sz w:val="24"/>
          <w:szCs w:val="24"/>
          <w:highlight w:val="none"/>
        </w:rPr>
        <w:t xml:space="preserve">人 </w:t>
      </w:r>
      <w:r>
        <w:rPr>
          <w:rFonts w:ascii="宋体" w:hAnsi="宋体"/>
          <w:bCs/>
          <w:color w:val="000000"/>
          <w:sz w:val="24"/>
          <w:szCs w:val="24"/>
          <w:highlight w:val="none"/>
        </w:rPr>
      </w:r>
      <w:r/>
    </w:p>
    <w:p>
      <w:pPr>
        <w:pStyle w:val="856"/>
        <w:ind w:firstLine="480"/>
        <w:keepLines w:val="0"/>
        <w:keepNext w:val="0"/>
        <w:pageBreakBefore w:val="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排班要求：常白班，8：30—18：00。 </w:t>
      </w:r>
      <w:r>
        <w:rPr>
          <w:rFonts w:ascii="宋体" w:hAnsi="宋体"/>
          <w:bCs/>
          <w:color w:val="000000"/>
          <w:sz w:val="24"/>
          <w:szCs w:val="24"/>
          <w:highlight w:val="none"/>
        </w:rPr>
      </w:r>
      <w:r/>
    </w:p>
    <w:p>
      <w:pPr>
        <w:pStyle w:val="856"/>
        <w:ind w:firstLine="480"/>
        <w:keepLines w:val="0"/>
        <w:keepNext w:val="0"/>
        <w:pageBreakBefore w:val="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年龄要求：58 周岁以下（身体健康） </w:t>
      </w:r>
      <w:r>
        <w:rPr>
          <w:rFonts w:ascii="宋体" w:hAnsi="宋体"/>
          <w:bCs/>
          <w:color w:val="000000"/>
          <w:sz w:val="24"/>
          <w:szCs w:val="24"/>
          <w:highlight w:val="none"/>
        </w:rPr>
      </w:r>
      <w:r/>
    </w:p>
    <w:p>
      <w:pPr>
        <w:pStyle w:val="856"/>
        <w:ind w:firstLine="480"/>
        <w:keepLines w:val="0"/>
        <w:keepNext w:val="0"/>
        <w:pageBreakBefore w:val="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性别要求：男性 </w:t>
      </w:r>
      <w:r>
        <w:rPr>
          <w:rFonts w:ascii="宋体" w:hAnsi="宋体"/>
          <w:bCs/>
          <w:color w:val="000000"/>
          <w:sz w:val="24"/>
          <w:szCs w:val="24"/>
          <w:highlight w:val="none"/>
        </w:rPr>
      </w:r>
      <w:r/>
    </w:p>
    <w:p>
      <w:pPr>
        <w:pStyle w:val="856"/>
        <w:ind w:firstLine="480"/>
        <w:keepLines w:val="0"/>
        <w:keepNext w:val="0"/>
        <w:pageBreakBefore w:val="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工作经验：具有从事过与城市污水系统相关设施</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电气设备</w:t>
      </w:r>
      <w:r>
        <w:rPr>
          <w:rFonts w:hint="eastAsia" w:ascii="宋体" w:hAnsi="宋体"/>
          <w:bCs/>
          <w:color w:val="000000"/>
          <w:sz w:val="24"/>
          <w:szCs w:val="24"/>
          <w:highlight w:val="none"/>
        </w:rPr>
        <w:t xml:space="preserve">维修、运营的工作经验。 </w:t>
      </w:r>
      <w:r>
        <w:rPr>
          <w:rFonts w:ascii="宋体" w:hAnsi="宋体"/>
          <w:bCs/>
          <w:color w:val="000000"/>
          <w:sz w:val="24"/>
          <w:szCs w:val="24"/>
          <w:highlight w:val="none"/>
        </w:rPr>
      </w:r>
      <w:r/>
    </w:p>
    <w:p>
      <w:pPr>
        <w:pStyle w:val="856"/>
        <w:ind w:firstLine="480"/>
        <w:keepLines w:val="0"/>
        <w:keepNext w:val="0"/>
        <w:pageBreakBefore w:val="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管网、泵站</w:t>
      </w:r>
      <w:r>
        <w:rPr>
          <w:rFonts w:hint="eastAsia" w:ascii="宋体" w:hAnsi="宋体"/>
          <w:bCs/>
          <w:color w:val="000000"/>
          <w:sz w:val="24"/>
          <w:szCs w:val="24"/>
          <w:highlight w:val="none"/>
        </w:rPr>
        <w:t xml:space="preserve">巡</w:t>
      </w:r>
      <w:r>
        <w:rPr>
          <w:rFonts w:hint="eastAsia" w:ascii="宋体" w:hAnsi="宋体"/>
          <w:bCs/>
          <w:color w:val="000000"/>
          <w:sz w:val="24"/>
          <w:szCs w:val="24"/>
          <w:highlight w:val="none"/>
          <w:lang w:val="en-US" w:eastAsia="zh-CN"/>
        </w:rPr>
        <w:t xml:space="preserve">查</w:t>
      </w:r>
      <w:r>
        <w:rPr>
          <w:rFonts w:hint="eastAsia" w:ascii="宋体" w:hAnsi="宋体"/>
          <w:bCs/>
          <w:color w:val="000000"/>
          <w:sz w:val="24"/>
          <w:szCs w:val="24"/>
          <w:highlight w:val="none"/>
        </w:rPr>
        <w:t xml:space="preserve">队伍：不少于</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人 </w:t>
      </w:r>
      <w:r>
        <w:rPr>
          <w:rFonts w:ascii="宋体" w:hAnsi="宋体"/>
          <w:bCs/>
          <w:color w:val="000000"/>
          <w:sz w:val="24"/>
          <w:szCs w:val="24"/>
          <w:highlight w:val="none"/>
        </w:rPr>
      </w:r>
      <w:r/>
    </w:p>
    <w:p>
      <w:pPr>
        <w:pStyle w:val="856"/>
        <w:ind w:firstLine="480"/>
        <w:keepLines w:val="0"/>
        <w:keepNext w:val="0"/>
        <w:pageBreakBefore w:val="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排班要求：常白班，8：30—18：00。 </w:t>
      </w:r>
      <w:r>
        <w:rPr>
          <w:rFonts w:ascii="宋体" w:hAnsi="宋体"/>
          <w:bCs/>
          <w:color w:val="000000"/>
          <w:sz w:val="24"/>
          <w:szCs w:val="24"/>
          <w:highlight w:val="none"/>
        </w:rPr>
      </w:r>
      <w:r/>
    </w:p>
    <w:p>
      <w:pPr>
        <w:pStyle w:val="856"/>
        <w:ind w:firstLine="480"/>
        <w:keepLines w:val="0"/>
        <w:keepNext w:val="0"/>
        <w:pageBreakBefore w:val="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年龄要求：58 周岁以下（身体健康） </w:t>
      </w:r>
      <w:r>
        <w:rPr>
          <w:rFonts w:ascii="宋体" w:hAnsi="宋体"/>
          <w:bCs/>
          <w:color w:val="000000"/>
          <w:sz w:val="24"/>
          <w:szCs w:val="24"/>
          <w:highlight w:val="none"/>
        </w:rPr>
      </w:r>
      <w:r/>
    </w:p>
    <w:p>
      <w:pPr>
        <w:pStyle w:val="856"/>
        <w:ind w:firstLine="480"/>
        <w:keepLines w:val="0"/>
        <w:keepNext w:val="0"/>
        <w:pageBreakBefore w:val="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工作经验：具有从事与城市污水设施巡查工作经验。 </w:t>
      </w:r>
      <w:r>
        <w:rPr>
          <w:rFonts w:ascii="宋体" w:hAnsi="宋体"/>
          <w:bCs/>
          <w:color w:val="000000"/>
          <w:sz w:val="24"/>
          <w:szCs w:val="24"/>
          <w:highlight w:val="none"/>
        </w:rPr>
      </w:r>
      <w:r/>
    </w:p>
    <w:p>
      <w:pPr>
        <w:pStyle w:val="856"/>
        <w:ind w:firstLine="480"/>
        <w:keepLines w:val="0"/>
        <w:keepNext w:val="0"/>
        <w:pageBreakBefore w:val="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hint="eastAsia" w:ascii="宋体" w:hAnsi="宋体"/>
          <w:bCs/>
          <w:color w:val="000000"/>
          <w:sz w:val="24"/>
          <w:szCs w:val="24"/>
          <w:highlight w:val="none"/>
          <w:lang w:val="en-US" w:eastAsia="zh-CN"/>
        </w:rPr>
        <w:t xml:space="preserve">管网</w:t>
      </w:r>
      <w:r>
        <w:rPr>
          <w:rFonts w:hint="eastAsia" w:ascii="宋体" w:hAnsi="宋体"/>
          <w:bCs/>
          <w:color w:val="000000"/>
          <w:sz w:val="24"/>
          <w:szCs w:val="24"/>
          <w:highlight w:val="none"/>
          <w:lang w:val="en-US" w:eastAsia="zh-CN"/>
        </w:rPr>
        <w:t xml:space="preserve">疏通、检测、维修</w:t>
      </w:r>
      <w:r>
        <w:rPr>
          <w:rFonts w:hint="eastAsia" w:ascii="宋体" w:hAnsi="宋体"/>
          <w:bCs/>
          <w:color w:val="000000"/>
          <w:sz w:val="24"/>
          <w:szCs w:val="24"/>
          <w:highlight w:val="none"/>
        </w:rPr>
        <w:t xml:space="preserve">组：不少于</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val="en-US" w:eastAsia="zh-CN"/>
        </w:rPr>
        <w:t xml:space="preserve">0</w:t>
      </w:r>
      <w:r>
        <w:rPr>
          <w:rFonts w:hint="eastAsia" w:ascii="宋体" w:hAnsi="宋体"/>
          <w:bCs/>
          <w:color w:val="000000"/>
          <w:sz w:val="24"/>
          <w:szCs w:val="24"/>
          <w:highlight w:val="none"/>
        </w:rPr>
        <w:t xml:space="preserve">人 </w:t>
      </w:r>
      <w:r>
        <w:rPr>
          <w:rFonts w:ascii="宋体" w:hAnsi="宋体"/>
          <w:bCs/>
          <w:color w:val="000000"/>
          <w:sz w:val="24"/>
          <w:szCs w:val="24"/>
          <w:highlight w:val="none"/>
        </w:rPr>
      </w:r>
      <w:r/>
    </w:p>
    <w:p>
      <w:pPr>
        <w:pStyle w:val="856"/>
        <w:ind w:firstLine="480"/>
        <w:keepLines w:val="0"/>
        <w:keepNext w:val="0"/>
        <w:pageBreakBefore w:val="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排班要求：常白班，8：30—18：00。 </w:t>
      </w:r>
      <w:r>
        <w:rPr>
          <w:rFonts w:ascii="宋体" w:hAnsi="宋体"/>
          <w:bCs/>
          <w:color w:val="000000"/>
          <w:sz w:val="24"/>
          <w:szCs w:val="24"/>
          <w:highlight w:val="none"/>
        </w:rPr>
      </w:r>
      <w:r/>
    </w:p>
    <w:p>
      <w:pPr>
        <w:pStyle w:val="856"/>
        <w:ind w:firstLine="480"/>
        <w:keepLines w:val="0"/>
        <w:keepNext w:val="0"/>
        <w:pageBreakBefore w:val="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年龄要求：58 周岁以下（身体健康） </w:t>
      </w:r>
      <w:r>
        <w:rPr>
          <w:rFonts w:ascii="宋体" w:hAnsi="宋体"/>
          <w:bCs/>
          <w:color w:val="000000"/>
          <w:sz w:val="24"/>
          <w:szCs w:val="24"/>
          <w:highlight w:val="none"/>
        </w:rPr>
      </w:r>
      <w:r/>
    </w:p>
    <w:p>
      <w:pPr>
        <w:pStyle w:val="856"/>
        <w:ind w:firstLine="480"/>
        <w:keepLines w:val="0"/>
        <w:keepNext w:val="0"/>
        <w:pageBreakBefore w:val="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性别要求：男性 </w:t>
      </w:r>
      <w:r>
        <w:rPr>
          <w:rFonts w:ascii="宋体" w:hAnsi="宋体"/>
          <w:bCs/>
          <w:color w:val="000000"/>
          <w:sz w:val="24"/>
          <w:szCs w:val="24"/>
          <w:highlight w:val="none"/>
        </w:rPr>
      </w:r>
      <w:r/>
    </w:p>
    <w:p>
      <w:pPr>
        <w:pStyle w:val="856"/>
        <w:ind w:firstLine="480"/>
        <w:keepLines w:val="0"/>
        <w:keepNext w:val="0"/>
        <w:pageBreakBefore w:val="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工作要求与经验：</w:t>
      </w:r>
      <w:r>
        <w:rPr>
          <w:rFonts w:hint="eastAsia" w:ascii="宋体" w:hAnsi="宋体"/>
          <w:bCs/>
          <w:color w:val="000000"/>
          <w:sz w:val="24"/>
          <w:szCs w:val="24"/>
          <w:highlight w:val="none"/>
          <w:lang w:val="en-US" w:eastAsia="zh-CN"/>
        </w:rPr>
        <w:t xml:space="preserve">具有</w:t>
      </w:r>
      <w:r>
        <w:rPr>
          <w:rFonts w:hint="eastAsia" w:ascii="宋体" w:hAnsi="宋体"/>
          <w:bCs/>
          <w:color w:val="000000"/>
          <w:sz w:val="24"/>
          <w:szCs w:val="24"/>
          <w:highlight w:val="none"/>
        </w:rPr>
        <w:t xml:space="preserve">从事过城市污水设施</w:t>
      </w:r>
      <w:r>
        <w:rPr>
          <w:rFonts w:hint="eastAsia" w:ascii="宋体" w:hAnsi="宋体"/>
          <w:bCs/>
          <w:color w:val="000000"/>
          <w:sz w:val="24"/>
          <w:szCs w:val="24"/>
          <w:highlight w:val="none"/>
          <w:lang w:val="en-US" w:eastAsia="zh-CN"/>
        </w:rPr>
        <w:t xml:space="preserve">疏通</w:t>
      </w:r>
      <w:r>
        <w:rPr>
          <w:rFonts w:hint="eastAsia" w:ascii="宋体" w:hAnsi="宋体"/>
          <w:bCs/>
          <w:color w:val="000000"/>
          <w:sz w:val="24"/>
          <w:szCs w:val="24"/>
          <w:highlight w:val="none"/>
        </w:rPr>
        <w:t xml:space="preserve">维护经验。 </w:t>
      </w:r>
      <w:r>
        <w:rPr>
          <w:rFonts w:hint="eastAsia" w:ascii="宋体" w:hAnsi="宋体"/>
          <w:bCs/>
          <w:color w:val="000000"/>
          <w:sz w:val="24"/>
          <w:szCs w:val="24"/>
          <w:highlight w:val="none"/>
        </w:rPr>
      </w:r>
      <w:r/>
    </w:p>
    <w:p>
      <w:pPr>
        <w:pStyle w:val="856"/>
        <w:ind w:firstLine="480"/>
        <w:keepLines w:val="0"/>
        <w:keepNext w:val="0"/>
        <w:pageBreakBefore w:val="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排水防涝组：不少于10人</w:t>
      </w:r>
      <w:r>
        <w:rPr>
          <w:rFonts w:hint="eastAsia" w:ascii="宋体" w:hAnsi="宋体" w:eastAsia="宋体" w:cs="Times New Roman"/>
          <w:bCs/>
          <w:color w:val="000000"/>
          <w:sz w:val="24"/>
          <w:szCs w:val="24"/>
          <w:highlight w:val="none"/>
          <w:lang w:val="en-US" w:eastAsia="zh-CN"/>
        </w:rPr>
      </w:r>
      <w:r/>
    </w:p>
    <w:p>
      <w:pPr>
        <w:pStyle w:val="856"/>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排班要求：</w:t>
      </w:r>
      <w:r>
        <w:rPr>
          <w:rFonts w:hint="eastAsia" w:ascii="宋体" w:hAnsi="宋体" w:eastAsia="宋体" w:cs="Times New Roman"/>
          <w:bCs/>
          <w:color w:val="000000"/>
          <w:sz w:val="24"/>
          <w:szCs w:val="24"/>
          <w:highlight w:val="none"/>
          <w:lang w:val="en-US" w:eastAsia="zh-CN"/>
        </w:rPr>
        <w:t xml:space="preserve">汛期</w:t>
      </w:r>
      <w:r>
        <w:rPr>
          <w:rFonts w:hint="eastAsia" w:ascii="宋体" w:hAnsi="宋体" w:eastAsia="宋体" w:cs="Times New Roman"/>
          <w:bCs/>
          <w:color w:val="000000"/>
          <w:sz w:val="24"/>
          <w:szCs w:val="24"/>
          <w:highlight w:val="none"/>
        </w:rPr>
        <w:t xml:space="preserve">常白班</w:t>
      </w:r>
      <w:r>
        <w:rPr>
          <w:rFonts w:hint="eastAsia" w:ascii="宋体" w:hAnsi="宋体" w:eastAsia="宋体" w:cs="Times New Roman"/>
          <w:bCs/>
          <w:color w:val="000000"/>
          <w:sz w:val="24"/>
          <w:szCs w:val="24"/>
          <w:highlight w:val="none"/>
          <w:lang w:val="en-US" w:eastAsia="zh-CN"/>
        </w:rPr>
        <w:t xml:space="preserve">及夜班</w:t>
      </w: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r>
      <w:r/>
    </w:p>
    <w:p>
      <w:pPr>
        <w:pStyle w:val="856"/>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年龄要求：58 周岁以下（身体健康） </w:t>
      </w:r>
      <w:r>
        <w:rPr>
          <w:rFonts w:hint="eastAsia" w:ascii="宋体" w:hAnsi="宋体" w:eastAsia="宋体" w:cs="Times New Roman"/>
          <w:bCs/>
          <w:color w:val="000000"/>
          <w:sz w:val="24"/>
          <w:szCs w:val="24"/>
          <w:highlight w:val="none"/>
        </w:rPr>
      </w:r>
      <w:r/>
    </w:p>
    <w:p>
      <w:pPr>
        <w:pStyle w:val="856"/>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性别要求：男性 </w:t>
      </w:r>
      <w:r>
        <w:rPr>
          <w:rFonts w:hint="eastAsia" w:ascii="宋体" w:hAnsi="宋体" w:eastAsia="宋体" w:cs="Times New Roman"/>
          <w:bCs/>
          <w:color w:val="000000"/>
          <w:sz w:val="24"/>
          <w:szCs w:val="24"/>
          <w:highlight w:val="none"/>
        </w:rPr>
      </w:r>
      <w:r/>
    </w:p>
    <w:p>
      <w:pPr>
        <w:pStyle w:val="856"/>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工作要求与经验：至少有</w:t>
      </w: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t xml:space="preserve">人从事过</w:t>
      </w:r>
      <w:r>
        <w:rPr>
          <w:rFonts w:hint="eastAsia" w:ascii="宋体" w:hAnsi="宋体" w:eastAsia="宋体" w:cs="Times New Roman"/>
          <w:bCs/>
          <w:color w:val="000000"/>
          <w:sz w:val="24"/>
          <w:szCs w:val="24"/>
          <w:highlight w:val="none"/>
          <w:lang w:val="en-US" w:eastAsia="zh-CN"/>
        </w:rPr>
        <w:t xml:space="preserve">城市排水防涝工作经验，雨期安排不少于4人</w:t>
      </w:r>
      <w:r>
        <w:rPr>
          <w:rFonts w:hint="eastAsia" w:ascii="宋体" w:hAnsi="宋体" w:eastAsia="宋体" w:cs="Times New Roman"/>
          <w:bCs/>
          <w:color w:val="000000"/>
          <w:sz w:val="24"/>
          <w:szCs w:val="24"/>
          <w:highlight w:val="none"/>
          <w:lang w:eastAsia="zh-CN"/>
        </w:rPr>
        <w:t xml:space="preserve">巡查城区市政道路</w:t>
      </w:r>
      <w:r>
        <w:rPr>
          <w:rFonts w:hint="eastAsia" w:ascii="宋体" w:hAnsi="宋体" w:eastAsia="宋体" w:cs="Times New Roman"/>
          <w:bCs/>
          <w:color w:val="000000"/>
          <w:sz w:val="24"/>
          <w:szCs w:val="24"/>
          <w:highlight w:val="none"/>
          <w:lang w:val="en-US" w:eastAsia="zh-CN"/>
        </w:rPr>
        <w:t xml:space="preserve">积水情况</w:t>
      </w:r>
      <w:r>
        <w:rPr>
          <w:rFonts w:hint="eastAsia" w:ascii="宋体" w:hAnsi="宋体" w:eastAsia="宋体" w:cs="Times New Roman"/>
          <w:bCs/>
          <w:color w:val="000000"/>
          <w:sz w:val="24"/>
          <w:szCs w:val="24"/>
          <w:highlight w:val="none"/>
          <w:lang w:eastAsia="zh-CN"/>
        </w:rPr>
        <w:t xml:space="preserve">，根据防汛需要对部分积水点做好交通疏导及开展</w:t>
      </w:r>
      <w:r>
        <w:rPr>
          <w:rFonts w:hint="eastAsia" w:ascii="宋体" w:hAnsi="宋体" w:eastAsia="宋体" w:cs="Times New Roman"/>
          <w:bCs/>
          <w:color w:val="000000"/>
          <w:sz w:val="24"/>
          <w:szCs w:val="24"/>
          <w:highlight w:val="none"/>
          <w:lang w:val="en-US" w:eastAsia="zh-CN"/>
        </w:rPr>
        <w:t xml:space="preserve">应急</w:t>
      </w:r>
      <w:r>
        <w:rPr>
          <w:rFonts w:hint="eastAsia" w:ascii="宋体" w:hAnsi="宋体" w:eastAsia="宋体" w:cs="Times New Roman"/>
          <w:bCs/>
          <w:color w:val="000000"/>
          <w:sz w:val="24"/>
          <w:szCs w:val="24"/>
          <w:highlight w:val="none"/>
          <w:lang w:eastAsia="zh-CN"/>
        </w:rPr>
        <w:t xml:space="preserve">强排工作</w:t>
      </w: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r>
      <w:r/>
    </w:p>
    <w:p>
      <w:pPr>
        <w:pStyle w:val="856"/>
        <w:ind w:firstLine="480"/>
        <w:keepLines w:val="0"/>
        <w:keepNext w:val="0"/>
        <w:pageBreakBefore w:val="0"/>
        <w:spacing w:line="360" w:lineRule="auto"/>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（6）、泵站保洁、绿化道路养护、值班用房维修组</w:t>
      </w:r>
      <w:r>
        <w:rPr>
          <w:rFonts w:ascii="宋体" w:hAnsi="宋体" w:eastAsia="宋体" w:cs="Times New Roman"/>
          <w:bCs/>
          <w:color w:val="000000"/>
          <w:sz w:val="24"/>
          <w:szCs w:val="24"/>
          <w:highlight w:val="none"/>
          <w:lang w:val="en-US" w:eastAsia="zh-CN"/>
        </w:rPr>
      </w:r>
      <w:r/>
    </w:p>
    <w:p>
      <w:pPr>
        <w:pStyle w:val="856"/>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排班要求：常白班，8：30—18：00。 </w:t>
      </w:r>
      <w:r>
        <w:rPr>
          <w:rFonts w:hint="eastAsia" w:ascii="宋体" w:hAnsi="宋体" w:eastAsia="宋体" w:cs="Times New Roman"/>
          <w:bCs/>
          <w:color w:val="000000"/>
          <w:sz w:val="24"/>
          <w:szCs w:val="24"/>
          <w:highlight w:val="none"/>
        </w:rPr>
      </w:r>
      <w:r/>
    </w:p>
    <w:p>
      <w:pPr>
        <w:pStyle w:val="856"/>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年龄要求：58 周岁以下（身体健康） </w:t>
      </w:r>
      <w:r>
        <w:rPr>
          <w:rFonts w:hint="eastAsia" w:ascii="宋体" w:hAnsi="宋体" w:eastAsia="宋体" w:cs="Times New Roman"/>
          <w:bCs/>
          <w:color w:val="000000"/>
          <w:sz w:val="24"/>
          <w:szCs w:val="24"/>
          <w:highlight w:val="none"/>
        </w:rPr>
      </w:r>
      <w:r/>
    </w:p>
    <w:p>
      <w:pPr>
        <w:pStyle w:val="856"/>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工作要求与经验</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按照全国卫生城市要求，开展泵站保洁、维护工作</w:t>
      </w: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r>
      <w:r/>
    </w:p>
    <w:p>
      <w:pPr>
        <w:pStyle w:val="856"/>
        <w:ind w:firstLine="482"/>
        <w:keepLines w:val="0"/>
        <w:keepNext w:val="0"/>
        <w:pageBreakBefore w:val="0"/>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★（5）特别提醒：</w:t>
      </w:r>
      <w:r>
        <w:rPr>
          <w:rFonts w:hint="eastAsia" w:ascii="宋体" w:hAnsi="宋体"/>
          <w:b/>
          <w:color w:val="000000"/>
          <w:sz w:val="24"/>
          <w:szCs w:val="24"/>
          <w:highlight w:val="none"/>
          <w:lang w:val="en-US" w:eastAsia="zh-CN"/>
        </w:rPr>
        <w:t xml:space="preserve">投标人</w:t>
      </w:r>
      <w:r>
        <w:rPr>
          <w:rFonts w:hint="eastAsia" w:ascii="宋体" w:hAnsi="宋体"/>
          <w:b/>
          <w:color w:val="000000"/>
          <w:sz w:val="24"/>
          <w:szCs w:val="24"/>
          <w:highlight w:val="none"/>
        </w:rPr>
        <w:t xml:space="preserve">按上述人员要求将人员团队配备齐全，</w:t>
      </w:r>
      <w:r>
        <w:rPr>
          <w:rFonts w:hint="eastAsia" w:ascii="宋体" w:hAnsi="宋体"/>
          <w:b/>
          <w:color w:val="000000"/>
          <w:sz w:val="24"/>
          <w:szCs w:val="24"/>
          <w:highlight w:val="none"/>
          <w:lang w:val="en-US" w:eastAsia="zh-CN"/>
        </w:rPr>
        <w:t xml:space="preserve">其中（1）-（4）项人员不得重复，</w:t>
      </w:r>
      <w:r>
        <w:rPr>
          <w:rFonts w:hint="eastAsia" w:ascii="宋体" w:hAnsi="宋体"/>
          <w:b/>
          <w:color w:val="000000"/>
          <w:sz w:val="24"/>
          <w:szCs w:val="24"/>
          <w:highlight w:val="none"/>
        </w:rPr>
        <w:t xml:space="preserve">并提供所有人员劳动合同、</w:t>
      </w:r>
      <w:r>
        <w:rPr>
          <w:rFonts w:hint="eastAsia" w:ascii="宋体" w:hAnsi="宋体"/>
          <w:b/>
          <w:color w:val="000000"/>
          <w:sz w:val="24"/>
          <w:szCs w:val="24"/>
          <w:highlight w:val="none"/>
          <w:lang w:val="en-US" w:eastAsia="zh-CN"/>
        </w:rPr>
        <w:t xml:space="preserve">社保</w:t>
      </w:r>
      <w:r>
        <w:rPr>
          <w:rFonts w:hint="eastAsia" w:ascii="宋体" w:hAnsi="宋体"/>
          <w:b/>
          <w:color w:val="000000"/>
          <w:sz w:val="24"/>
          <w:szCs w:val="24"/>
          <w:highlight w:val="none"/>
        </w:rPr>
        <w:t xml:space="preserve">证明等相关材料</w:t>
      </w: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rPr>
        <w:t xml:space="preserve">并加盖公章</w:t>
      </w: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rPr>
        <w:t xml:space="preserve"> </w:t>
      </w:r>
      <w:r>
        <w:rPr>
          <w:rFonts w:ascii="宋体" w:hAnsi="宋体"/>
          <w:b/>
          <w:color w:val="000000"/>
          <w:sz w:val="24"/>
          <w:szCs w:val="24"/>
          <w:highlight w:val="none"/>
        </w:rPr>
      </w:r>
      <w:r/>
    </w:p>
    <w:p>
      <w:pPr>
        <w:pStyle w:val="856"/>
        <w:ind w:firstLine="480"/>
        <w:keepLines w:val="0"/>
        <w:keepNext w:val="0"/>
        <w:pageBreakBefore w:val="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四、付款方式与履约保证金</w:t>
      </w:r>
      <w:r>
        <w:rPr>
          <w:rFonts w:ascii="宋体" w:hAnsi="宋体"/>
          <w:color w:val="000000"/>
          <w:sz w:val="24"/>
          <w:szCs w:val="24"/>
          <w:highlight w:val="none"/>
        </w:rPr>
      </w:r>
      <w:r/>
    </w:p>
    <w:p>
      <w:pPr>
        <w:pStyle w:val="856"/>
        <w:ind w:firstLine="482"/>
        <w:keepLines w:val="0"/>
        <w:keepNext w:val="0"/>
        <w:pageBreakBefore w:val="0"/>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1、付款方式：运维费用依据月度综合考核结果按合同总价等比例按月支付，月度考核成绩大于或等于90分为合格，支付当月费用的90%，余10%年终考核合格后合并支付；每低于合格标准（90分）1分罚当月养护经费1%，暂扣当月运维费用的20%，整改合格后拨付。（如考核分值连续两个月在 90 分以下，采购人有权终止服务合同）</w:t>
      </w:r>
      <w:r>
        <w:rPr>
          <w:rFonts w:ascii="宋体" w:hAnsi="宋体" w:eastAsia="宋体" w:cs="Times New Roman"/>
          <w:b/>
          <w:bCs/>
          <w:color w:val="000000"/>
          <w:sz w:val="24"/>
          <w:szCs w:val="24"/>
          <w:highlight w:val="none"/>
        </w:rPr>
      </w:r>
      <w:r/>
    </w:p>
    <w:p>
      <w:pPr>
        <w:pStyle w:val="856"/>
        <w:ind w:firstLine="480"/>
        <w:jc w:val="left"/>
        <w:keepLines w:val="0"/>
        <w:keepNext w:val="0"/>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考核标准按照</w:t>
      </w:r>
      <w:r>
        <w:rPr>
          <w:rFonts w:hint="eastAsia" w:ascii="宋体" w:hAnsi="宋体"/>
          <w:color w:val="000000"/>
          <w:sz w:val="24"/>
          <w:highlight w:val="none"/>
        </w:rPr>
        <w:t xml:space="preserve">《连</w:t>
      </w:r>
      <w:r>
        <w:rPr>
          <w:rFonts w:ascii="宋体" w:hAnsi="宋体"/>
          <w:color w:val="000000"/>
          <w:sz w:val="24"/>
          <w:highlight w:val="none"/>
        </w:rPr>
        <w:t xml:space="preserve">云港市市区</w:t>
      </w:r>
      <w:r>
        <w:rPr>
          <w:rFonts w:hint="eastAsia" w:ascii="宋体" w:hAnsi="宋体"/>
          <w:color w:val="000000"/>
          <w:sz w:val="24"/>
          <w:highlight w:val="none"/>
        </w:rPr>
        <w:t xml:space="preserve">污</w:t>
      </w:r>
      <w:r>
        <w:rPr>
          <w:rFonts w:ascii="宋体" w:hAnsi="宋体"/>
          <w:color w:val="000000"/>
          <w:sz w:val="24"/>
          <w:highlight w:val="none"/>
        </w:rPr>
        <w:t xml:space="preserve">水</w:t>
      </w:r>
      <w:r>
        <w:rPr>
          <w:rFonts w:hint="eastAsia" w:ascii="宋体" w:hAnsi="宋体"/>
          <w:color w:val="000000"/>
          <w:sz w:val="24"/>
          <w:highlight w:val="none"/>
        </w:rPr>
        <w:t xml:space="preserve">设</w:t>
      </w:r>
      <w:r>
        <w:rPr>
          <w:rFonts w:ascii="宋体" w:hAnsi="宋体"/>
          <w:color w:val="000000"/>
          <w:sz w:val="24"/>
          <w:highlight w:val="none"/>
        </w:rPr>
        <w:t xml:space="preserve">施养</w:t>
      </w:r>
      <w:r>
        <w:rPr>
          <w:rFonts w:hint="eastAsia" w:ascii="宋体" w:hAnsi="宋体"/>
          <w:color w:val="000000"/>
          <w:sz w:val="24"/>
          <w:highlight w:val="none"/>
        </w:rPr>
        <w:t xml:space="preserve">护质</w:t>
      </w:r>
      <w:r>
        <w:rPr>
          <w:rFonts w:ascii="宋体" w:hAnsi="宋体"/>
          <w:color w:val="000000"/>
          <w:sz w:val="24"/>
          <w:highlight w:val="none"/>
        </w:rPr>
        <w:t xml:space="preserve">量抽</w:t>
      </w:r>
      <w:r>
        <w:rPr>
          <w:rFonts w:hint="eastAsia" w:ascii="宋体" w:hAnsi="宋体"/>
          <w:color w:val="000000"/>
          <w:sz w:val="24"/>
          <w:highlight w:val="none"/>
        </w:rPr>
        <w:t xml:space="preserve">查</w:t>
      </w:r>
      <w:r>
        <w:rPr>
          <w:rFonts w:ascii="宋体" w:hAnsi="宋体"/>
          <w:color w:val="000000"/>
          <w:sz w:val="24"/>
          <w:highlight w:val="none"/>
        </w:rPr>
        <w:t xml:space="preserve">考核管理</w:t>
      </w:r>
      <w:r>
        <w:rPr>
          <w:rFonts w:hint="eastAsia" w:ascii="宋体" w:hAnsi="宋体"/>
          <w:color w:val="000000"/>
          <w:sz w:val="24"/>
          <w:highlight w:val="none"/>
        </w:rPr>
        <w:t xml:space="preserve">办</w:t>
      </w:r>
      <w:r>
        <w:rPr>
          <w:rFonts w:ascii="宋体" w:hAnsi="宋体"/>
          <w:color w:val="000000"/>
          <w:sz w:val="24"/>
          <w:highlight w:val="none"/>
        </w:rPr>
        <w:t xml:space="preserve">法》执行</w:t>
      </w:r>
      <w:r>
        <w:rPr>
          <w:rFonts w:hint="eastAsia" w:ascii="宋体" w:hAnsi="宋体"/>
          <w:color w:val="000000"/>
          <w:sz w:val="24"/>
          <w:highlight w:val="none"/>
        </w:rPr>
        <w:t xml:space="preserve">。</w:t>
      </w:r>
      <w:r>
        <w:rPr>
          <w:rFonts w:ascii="宋体" w:hAnsi="宋体"/>
          <w:color w:val="000000"/>
          <w:sz w:val="24"/>
          <w:highlight w:val="none"/>
        </w:rPr>
      </w:r>
      <w:r/>
    </w:p>
    <w:p>
      <w:pPr>
        <w:pStyle w:val="856"/>
        <w:ind w:firstLine="480"/>
        <w:keepLines w:val="0"/>
        <w:keepNext w:val="0"/>
        <w:pageBreakBefore w:val="0"/>
        <w:spacing w:line="360" w:lineRule="auto"/>
        <w:rPr>
          <w:rFonts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、履约保证金: 本项目不收取履约保证金。</w:t>
      </w:r>
      <w:r>
        <w:rPr>
          <w:rFonts w:ascii="宋体" w:hAnsi="宋体"/>
          <w:color w:val="000000"/>
          <w:sz w:val="24"/>
          <w:szCs w:val="24"/>
          <w:highlight w:val="none"/>
        </w:rPr>
      </w:r>
      <w:r/>
    </w:p>
    <w:p>
      <w:pPr>
        <w:pStyle w:val="856"/>
        <w:jc w:val="center"/>
        <w:rPr>
          <w:rFonts w:ascii="Calibri" w:hAnsi="Calibri"/>
          <w:b/>
          <w:color w:val="000000"/>
          <w:sz w:val="28"/>
          <w:szCs w:val="28"/>
          <w:highlight w:val="none"/>
        </w:rPr>
      </w:pPr>
      <w:r>
        <w:rPr>
          <w:rFonts w:ascii="Calibri" w:hAnsi="Calibri"/>
          <w:b/>
          <w:color w:val="000000"/>
          <w:sz w:val="28"/>
          <w:szCs w:val="28"/>
          <w:highlight w:val="none"/>
        </w:rPr>
        <w:br w:type="page" w:clear="all"/>
      </w:r>
      <w:r>
        <w:rPr>
          <w:rFonts w:ascii="Calibri" w:hAnsi="Calibri"/>
          <w:b/>
          <w:color w:val="000000"/>
          <w:sz w:val="28"/>
          <w:szCs w:val="28"/>
          <w:highlight w:val="none"/>
        </w:rPr>
      </w:r>
      <w:r/>
    </w:p>
    <w:p>
      <w:pPr>
        <w:pStyle w:val="856"/>
        <w:jc w:val="center"/>
        <w:rPr>
          <w:rFonts w:ascii="Calibri" w:hAnsi="Calibri"/>
          <w:b/>
          <w:color w:val="000000"/>
          <w:sz w:val="28"/>
          <w:szCs w:val="28"/>
          <w:highlight w:val="none"/>
        </w:rPr>
      </w:pPr>
      <w:r>
        <w:rPr>
          <w:rFonts w:hint="eastAsia" w:ascii="Calibri" w:hAnsi="Calibri"/>
          <w:b/>
          <w:color w:val="000000"/>
          <w:sz w:val="28"/>
          <w:szCs w:val="28"/>
          <w:highlight w:val="none"/>
        </w:rPr>
        <w:t xml:space="preserve">附：连云港市市区污水设施维护管理质量抽查考核办法（试行）</w:t>
      </w:r>
      <w:r>
        <w:rPr>
          <w:rFonts w:ascii="Calibri" w:hAnsi="Calibri"/>
          <w:b/>
          <w:color w:val="000000"/>
          <w:sz w:val="28"/>
          <w:szCs w:val="28"/>
          <w:highlight w:val="none"/>
        </w:rPr>
      </w:r>
      <w:r/>
    </w:p>
    <w:p>
      <w:pPr>
        <w:pStyle w:val="856"/>
        <w:rPr>
          <w:rFonts w:ascii="Calibri" w:hAnsi="Calibri"/>
          <w:b/>
          <w:color w:val="000000"/>
          <w:highlight w:val="none"/>
        </w:rPr>
      </w:pPr>
      <w:r>
        <w:rPr>
          <w:rFonts w:ascii="Calibri" w:hAnsi="Calibri"/>
          <w:b/>
          <w:color w:val="000000"/>
          <w:highlight w:val="none"/>
        </w:rPr>
      </w:r>
      <w:r/>
    </w:p>
    <w:p>
      <w:pPr>
        <w:pStyle w:val="856"/>
        <w:rPr>
          <w:rFonts w:ascii="Calibri" w:hAnsi="Calibri"/>
          <w:b/>
          <w:color w:val="000000"/>
          <w:highlight w:val="none"/>
        </w:rPr>
      </w:pPr>
      <w:r>
        <w:rPr>
          <w:rFonts w:ascii="Calibri" w:hAnsi="Calibri"/>
          <w:b/>
          <w:color w:val="000000"/>
          <w:highlight w:val="none"/>
        </w:rPr>
      </w:r>
      <w:r/>
    </w:p>
    <w:p>
      <w:pPr>
        <w:pStyle w:val="856"/>
        <w:rPr>
          <w:rFonts w:ascii="Calibri" w:hAnsi="Calibri"/>
          <w:b/>
          <w:color w:val="000000"/>
          <w:highlight w:val="none"/>
        </w:rPr>
      </w:pPr>
      <w:r>
        <w:rPr>
          <w:rFonts w:hint="eastAsia" w:ascii="Calibri" w:hAnsi="Calibri"/>
          <w:b/>
          <w:color w:val="000000"/>
          <w:highlight w:val="none"/>
        </w:rPr>
        <w:t xml:space="preserve">第一章总则</w:t>
      </w:r>
      <w:r>
        <w:rPr>
          <w:rFonts w:ascii="Calibri" w:hAnsi="Calibri"/>
          <w:b/>
          <w:color w:val="000000"/>
          <w:highlight w:val="none"/>
        </w:rPr>
      </w:r>
      <w:r/>
    </w:p>
    <w:p>
      <w:pPr>
        <w:pStyle w:val="856"/>
        <w:rPr>
          <w:rFonts w:ascii="Calibri" w:hAnsi="Calibri"/>
          <w:color w:val="000000"/>
          <w:highlight w:val="none"/>
        </w:rPr>
      </w:pPr>
      <w:r>
        <w:rPr>
          <w:rFonts w:hint="eastAsia" w:ascii="Calibri" w:hAnsi="Calibri"/>
          <w:color w:val="000000"/>
          <w:highlight w:val="none"/>
        </w:rPr>
        <w:t xml:space="preserve">第一条为配合实施《连云港市市区污水设施维护管理质量标准》，量化对本市污水设施经营单位的维护质量、管理水平的考核工作，特制定本抽查考核办法。</w:t>
      </w:r>
      <w:r>
        <w:rPr>
          <w:rFonts w:ascii="Calibri" w:hAnsi="Calibri"/>
          <w:color w:val="000000"/>
          <w:highlight w:val="none"/>
        </w:rPr>
      </w:r>
      <w:r/>
    </w:p>
    <w:p>
      <w:pPr>
        <w:pStyle w:val="856"/>
        <w:rPr>
          <w:rFonts w:ascii="Calibri" w:hAnsi="Calibri"/>
          <w:color w:val="000000"/>
          <w:highlight w:val="none"/>
        </w:rPr>
      </w:pPr>
      <w:r>
        <w:rPr>
          <w:rFonts w:hint="eastAsia" w:ascii="Calibri" w:hAnsi="Calibri"/>
          <w:color w:val="000000"/>
          <w:highlight w:val="none"/>
        </w:rPr>
        <w:t xml:space="preserve">第二条本考核办法适用于市区权属范围内从事维护、管理污水设施的单位。</w:t>
      </w:r>
      <w:r>
        <w:rPr>
          <w:rFonts w:ascii="Calibri" w:hAnsi="Calibri"/>
          <w:color w:val="000000"/>
          <w:highlight w:val="none"/>
        </w:rPr>
      </w:r>
      <w:r/>
    </w:p>
    <w:p>
      <w:pPr>
        <w:pStyle w:val="856"/>
        <w:rPr>
          <w:rFonts w:ascii="Calibri" w:hAnsi="Calibri"/>
          <w:color w:val="000000"/>
          <w:highlight w:val="none"/>
        </w:rPr>
      </w:pPr>
      <w:r>
        <w:rPr>
          <w:rFonts w:hint="eastAsia" w:ascii="Calibri" w:hAnsi="Calibri"/>
          <w:color w:val="000000"/>
          <w:highlight w:val="none"/>
        </w:rPr>
        <w:t xml:space="preserve">第三条连云港市市政公用事业发展中心将定期对维护管理单位的维护质量和管理水平进行抽查考核。</w:t>
      </w:r>
      <w:r>
        <w:rPr>
          <w:rFonts w:ascii="Calibri" w:hAnsi="Calibri"/>
          <w:color w:val="000000"/>
          <w:highlight w:val="none"/>
        </w:rPr>
      </w:r>
      <w:r/>
    </w:p>
    <w:p>
      <w:pPr>
        <w:pStyle w:val="856"/>
        <w:rPr>
          <w:rFonts w:hint="eastAsia" w:ascii="Calibri" w:hAnsi="Calibri" w:eastAsia="宋体"/>
          <w:color w:val="000000"/>
          <w:highlight w:val="none"/>
          <w:lang w:eastAsia="zh-CN"/>
        </w:rPr>
      </w:pPr>
      <w:r>
        <w:rPr>
          <w:rFonts w:hint="eastAsia" w:ascii="Calibri" w:hAnsi="Calibri" w:eastAsia="宋体"/>
          <w:color w:val="000000"/>
          <w:highlight w:val="none"/>
          <w:lang w:eastAsia="zh-CN"/>
        </w:rPr>
      </w:r>
      <w:r/>
    </w:p>
    <w:p>
      <w:pPr>
        <w:pStyle w:val="856"/>
        <w:rPr>
          <w:rFonts w:ascii="Calibri" w:hAnsi="Calibri"/>
          <w:b/>
          <w:color w:val="000000"/>
          <w:highlight w:val="none"/>
        </w:rPr>
      </w:pPr>
      <w:r>
        <w:rPr>
          <w:rFonts w:hint="eastAsia" w:ascii="Calibri" w:hAnsi="Calibri"/>
          <w:b/>
          <w:color w:val="000000"/>
          <w:highlight w:val="none"/>
        </w:rPr>
        <w:t xml:space="preserve">第二章污水设施维护管理质量抽查考核办法</w:t>
      </w:r>
      <w:r>
        <w:rPr>
          <w:rFonts w:ascii="Calibri" w:hAnsi="Calibri"/>
          <w:b/>
          <w:color w:val="000000"/>
          <w:highlight w:val="none"/>
        </w:rPr>
      </w:r>
      <w:r/>
    </w:p>
    <w:p>
      <w:pPr>
        <w:pStyle w:val="856"/>
        <w:rPr>
          <w:rFonts w:ascii="Calibri" w:hAnsi="Calibri"/>
          <w:color w:val="000000"/>
          <w:highlight w:val="none"/>
        </w:rPr>
      </w:pPr>
      <w:r>
        <w:rPr>
          <w:rFonts w:hint="eastAsia" w:ascii="Calibri" w:hAnsi="Calibri"/>
          <w:color w:val="000000"/>
          <w:highlight w:val="none"/>
        </w:rPr>
        <w:t xml:space="preserve">第五条本办法是我市市区考核城市污水设施维护、管理质量的行业标准，它包括“维护质量”和“管理质量”两大部分，各部分所占比重和抽查数量如下：</w:t>
      </w:r>
      <w:r>
        <w:rPr>
          <w:rFonts w:ascii="Calibri" w:hAnsi="Calibri"/>
          <w:color w:val="000000"/>
          <w:highlight w:val="none"/>
        </w:rPr>
      </w:r>
      <w:r/>
    </w:p>
    <w:tbl>
      <w:tblPr>
        <w:tblW w:w="10832" w:type="dxa"/>
        <w:jc w:val="center"/>
        <w:tblCellSpacing w:w="0"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2630"/>
        <w:gridCol w:w="5552"/>
        <w:gridCol w:w="2650"/>
      </w:tblGrid>
      <w:tr>
        <w:trPr>
          <w:tblCellSpacing w:w="0" w:type="dxa"/>
          <w:trHeight w:val="307"/>
        </w:trPr>
        <w:tc>
          <w:tcPr>
            <w:gridSpan w:val="2"/>
            <w:shd w:val="clear" w:color="auto" w:fill="ffffff"/>
            <w:tcW w:w="8182"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检查项目及所占比重</w:t>
            </w:r>
            <w:r>
              <w:rPr>
                <w:rFonts w:ascii="Calibri" w:hAnsi="Calibri"/>
                <w:color w:val="000000"/>
                <w:highlight w:val="none"/>
              </w:rPr>
            </w:r>
            <w:r/>
          </w:p>
        </w:tc>
        <w:tc>
          <w:tcPr>
            <w:shd w:val="clear" w:color="auto" w:fill="ffffff"/>
            <w:tcW w:w="2650"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抽查数量</w:t>
            </w:r>
            <w:r>
              <w:rPr>
                <w:rFonts w:ascii="Calibri" w:hAnsi="Calibri"/>
                <w:color w:val="000000"/>
                <w:highlight w:val="none"/>
              </w:rPr>
            </w:r>
            <w:r/>
          </w:p>
        </w:tc>
      </w:tr>
      <w:tr>
        <w:trPr>
          <w:tblCellSpacing w:w="0" w:type="dxa"/>
          <w:trHeight w:val="338"/>
        </w:trPr>
        <w:tc>
          <w:tcPr>
            <w:shd w:val="clear" w:color="auto" w:fill="ffffff"/>
            <w:tcW w:w="2630" w:type="dxa"/>
            <w:vAlign w:val="center"/>
            <w:vMerge w:val="restart"/>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维护质量</w:t>
            </w:r>
            <w:r>
              <w:rPr>
                <w:rFonts w:ascii="Calibri" w:hAnsi="Calibri"/>
                <w:color w:val="000000"/>
                <w:highlight w:val="none"/>
              </w:rPr>
            </w:r>
            <w:r/>
          </w:p>
          <w:p>
            <w:pPr>
              <w:pStyle w:val="856"/>
              <w:jc w:val="center"/>
              <w:rPr>
                <w:rFonts w:ascii="Calibri" w:hAnsi="Calibri"/>
                <w:color w:val="000000"/>
                <w:highlight w:val="none"/>
              </w:rPr>
            </w:pPr>
            <w:r>
              <w:rPr>
                <w:rFonts w:hint="eastAsia" w:ascii="Calibri" w:hAnsi="Calibri"/>
                <w:color w:val="000000"/>
                <w:highlight w:val="none"/>
              </w:rPr>
              <w:t xml:space="preserve">（80分）</w:t>
            </w:r>
            <w:r>
              <w:rPr>
                <w:rFonts w:ascii="Calibri" w:hAnsi="Calibri"/>
                <w:color w:val="000000"/>
                <w:highlight w:val="none"/>
              </w:rPr>
            </w:r>
            <w:r/>
          </w:p>
        </w:tc>
        <w:tc>
          <w:tcPr>
            <w:shd w:val="clear" w:color="auto" w:fill="ffffff"/>
            <w:tcW w:w="5552"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污水管道维护质量                20分</w:t>
            </w:r>
            <w:r>
              <w:rPr>
                <w:rFonts w:ascii="Calibri" w:hAnsi="Calibri"/>
                <w:color w:val="000000"/>
                <w:highlight w:val="none"/>
              </w:rPr>
            </w:r>
            <w:r/>
          </w:p>
        </w:tc>
        <w:tc>
          <w:tcPr>
            <w:shd w:val="clear" w:color="auto" w:fill="ffffff"/>
            <w:tcW w:w="265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每次抽查10个管段，</w:t>
            </w:r>
            <w:r>
              <w:rPr>
                <w:rFonts w:ascii="Calibri" w:hAnsi="Calibri"/>
                <w:color w:val="000000"/>
                <w:highlight w:val="none"/>
              </w:rPr>
            </w:r>
            <w:r/>
          </w:p>
        </w:tc>
      </w:tr>
      <w:tr>
        <w:trPr>
          <w:tblCellSpacing w:w="0" w:type="dxa"/>
          <w:trHeight w:val="147"/>
        </w:trPr>
        <w:tc>
          <w:tcPr>
            <w:shd w:val="clear" w:color="auto" w:fill="ffffff"/>
            <w:tcW w:w="2630" w:type="dxa"/>
            <w:vAlign w:val="center"/>
            <w:vMerge w:val="continue"/>
            <w:textDirection w:val="lrTb"/>
            <w:noWrap w:val="false"/>
          </w:tcPr>
          <w:p>
            <w:pPr>
              <w:pStyle w:val="856"/>
              <w:jc w:val="center"/>
              <w:rPr>
                <w:rFonts w:ascii="Calibri" w:hAnsi="Calibri"/>
                <w:color w:val="000000"/>
                <w:highlight w:val="none"/>
              </w:rPr>
            </w:pPr>
            <w:r>
              <w:rPr>
                <w:rFonts w:ascii="Calibri" w:hAnsi="Calibri"/>
                <w:color w:val="000000"/>
                <w:highlight w:val="none"/>
              </w:rPr>
            </w:r>
            <w:r/>
          </w:p>
        </w:tc>
        <w:tc>
          <w:tcPr>
            <w:shd w:val="clear" w:color="auto" w:fill="ffffff"/>
            <w:tcW w:w="5552"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截流井维护质量               6分</w:t>
            </w:r>
            <w:r>
              <w:rPr>
                <w:rFonts w:ascii="Calibri" w:hAnsi="Calibri"/>
                <w:color w:val="000000"/>
                <w:highlight w:val="none"/>
              </w:rPr>
            </w:r>
            <w:r/>
          </w:p>
        </w:tc>
        <w:tc>
          <w:tcPr>
            <w:shd w:val="clear" w:color="auto" w:fill="ffffff"/>
            <w:tcW w:w="265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每月检查3个</w:t>
            </w:r>
            <w:r>
              <w:rPr>
                <w:rFonts w:ascii="Calibri" w:hAnsi="Calibri"/>
                <w:color w:val="000000"/>
                <w:highlight w:val="none"/>
              </w:rPr>
            </w:r>
            <w:r/>
          </w:p>
        </w:tc>
      </w:tr>
      <w:tr>
        <w:trPr>
          <w:tblCellSpacing w:w="0" w:type="dxa"/>
          <w:trHeight w:val="147"/>
        </w:trPr>
        <w:tc>
          <w:tcPr>
            <w:shd w:val="clear" w:color="auto" w:fill="ffffff"/>
            <w:tcW w:w="2630" w:type="dxa"/>
            <w:vAlign w:val="center"/>
            <w:vMerge w:val="continue"/>
            <w:textDirection w:val="lrTb"/>
            <w:noWrap w:val="false"/>
          </w:tcPr>
          <w:p>
            <w:pPr>
              <w:pStyle w:val="856"/>
              <w:jc w:val="center"/>
              <w:rPr>
                <w:rFonts w:ascii="Calibri" w:hAnsi="Calibri"/>
                <w:color w:val="000000"/>
                <w:highlight w:val="none"/>
              </w:rPr>
            </w:pPr>
            <w:r>
              <w:rPr>
                <w:rFonts w:ascii="Calibri" w:hAnsi="Calibri"/>
                <w:color w:val="000000"/>
                <w:highlight w:val="none"/>
              </w:rPr>
            </w:r>
            <w:r/>
          </w:p>
        </w:tc>
        <w:tc>
          <w:tcPr>
            <w:shd w:val="clear" w:color="auto" w:fill="ffffff"/>
            <w:tcW w:w="5552"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检查井维护质量               8分</w:t>
            </w:r>
            <w:r>
              <w:rPr>
                <w:rFonts w:ascii="Calibri" w:hAnsi="Calibri"/>
                <w:color w:val="000000"/>
                <w:highlight w:val="none"/>
              </w:rPr>
            </w:r>
            <w:r/>
          </w:p>
        </w:tc>
        <w:tc>
          <w:tcPr>
            <w:shd w:val="clear" w:color="auto" w:fill="ffffff"/>
            <w:tcW w:w="265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每月检查10个</w:t>
            </w:r>
            <w:r>
              <w:rPr>
                <w:rFonts w:ascii="Calibri" w:hAnsi="Calibri"/>
                <w:color w:val="000000"/>
                <w:highlight w:val="none"/>
              </w:rPr>
            </w:r>
            <w:r/>
          </w:p>
        </w:tc>
      </w:tr>
      <w:tr>
        <w:trPr>
          <w:tblCellSpacing w:w="0" w:type="dxa"/>
          <w:trHeight w:val="147"/>
        </w:trPr>
        <w:tc>
          <w:tcPr>
            <w:shd w:val="clear" w:color="auto" w:fill="ffffff"/>
            <w:tcW w:w="2630" w:type="dxa"/>
            <w:vAlign w:val="center"/>
            <w:vMerge w:val="continue"/>
            <w:textDirection w:val="lrTb"/>
            <w:noWrap w:val="false"/>
          </w:tcPr>
          <w:p>
            <w:pPr>
              <w:pStyle w:val="856"/>
              <w:jc w:val="center"/>
              <w:rPr>
                <w:rFonts w:ascii="Calibri" w:hAnsi="Calibri"/>
                <w:color w:val="000000"/>
                <w:highlight w:val="none"/>
              </w:rPr>
            </w:pPr>
            <w:r>
              <w:rPr>
                <w:rFonts w:ascii="Calibri" w:hAnsi="Calibri"/>
                <w:color w:val="000000"/>
                <w:highlight w:val="none"/>
              </w:rPr>
            </w:r>
            <w:r/>
          </w:p>
        </w:tc>
        <w:tc>
          <w:tcPr>
            <w:shd w:val="clear" w:color="auto" w:fill="ffffff"/>
            <w:tcW w:w="5552"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污水管道疏通质量              10分</w:t>
            </w:r>
            <w:r>
              <w:rPr>
                <w:rFonts w:ascii="Calibri" w:hAnsi="Calibri"/>
                <w:color w:val="000000"/>
                <w:highlight w:val="none"/>
              </w:rPr>
            </w:r>
            <w:r/>
          </w:p>
        </w:tc>
        <w:tc>
          <w:tcPr>
            <w:shd w:val="clear" w:color="auto" w:fill="ffffff"/>
            <w:tcW w:w="2650"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前一天疏通过的管道，选2个</w:t>
            </w:r>
            <w:r>
              <w:rPr>
                <w:rFonts w:ascii="Calibri" w:hAnsi="Calibri"/>
                <w:color w:val="000000"/>
                <w:highlight w:val="none"/>
              </w:rPr>
            </w:r>
            <w:r/>
          </w:p>
        </w:tc>
      </w:tr>
      <w:tr>
        <w:trPr>
          <w:tblCellSpacing w:w="0" w:type="dxa"/>
          <w:trHeight w:val="147"/>
        </w:trPr>
        <w:tc>
          <w:tcPr>
            <w:shd w:val="clear" w:color="auto" w:fill="ffffff"/>
            <w:tcW w:w="2630" w:type="dxa"/>
            <w:vAlign w:val="center"/>
            <w:vMerge w:val="continue"/>
            <w:textDirection w:val="lrTb"/>
            <w:noWrap w:val="false"/>
          </w:tcPr>
          <w:p>
            <w:pPr>
              <w:pStyle w:val="856"/>
              <w:jc w:val="center"/>
              <w:rPr>
                <w:rFonts w:ascii="Calibri" w:hAnsi="Calibri"/>
                <w:color w:val="000000"/>
                <w:highlight w:val="none"/>
              </w:rPr>
            </w:pPr>
            <w:r>
              <w:rPr>
                <w:rFonts w:ascii="Calibri" w:hAnsi="Calibri"/>
                <w:color w:val="000000"/>
                <w:highlight w:val="none"/>
              </w:rPr>
            </w:r>
            <w:r/>
          </w:p>
        </w:tc>
        <w:tc>
          <w:tcPr>
            <w:shd w:val="clear" w:color="auto" w:fill="ffffff"/>
            <w:tcW w:w="5552"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泵站运行维护质量              36分</w:t>
            </w:r>
            <w:r>
              <w:rPr>
                <w:rFonts w:ascii="Calibri" w:hAnsi="Calibri"/>
                <w:color w:val="000000"/>
                <w:highlight w:val="none"/>
              </w:rPr>
            </w:r>
            <w:r/>
          </w:p>
        </w:tc>
        <w:tc>
          <w:tcPr>
            <w:shd w:val="clear" w:color="auto" w:fill="ffffff"/>
            <w:tcW w:w="2650"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每季度不定期检查一次</w:t>
            </w:r>
            <w:r>
              <w:rPr>
                <w:rFonts w:ascii="Calibri" w:hAnsi="Calibri"/>
                <w:color w:val="000000"/>
                <w:highlight w:val="none"/>
              </w:rPr>
            </w:r>
            <w:r/>
          </w:p>
        </w:tc>
      </w:tr>
      <w:tr>
        <w:trPr>
          <w:tblCellSpacing w:w="0" w:type="dxa"/>
          <w:trHeight w:val="338"/>
        </w:trPr>
        <w:tc>
          <w:tcPr>
            <w:shd w:val="clear" w:color="auto" w:fill="ffffff"/>
            <w:tcW w:w="2630" w:type="dxa"/>
            <w:vAlign w:val="center"/>
            <w:vMerge w:val="restart"/>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管理质量</w:t>
            </w:r>
            <w:r>
              <w:rPr>
                <w:rFonts w:ascii="Calibri" w:hAnsi="Calibri"/>
                <w:color w:val="000000"/>
                <w:highlight w:val="none"/>
              </w:rPr>
            </w:r>
            <w:r/>
          </w:p>
          <w:p>
            <w:pPr>
              <w:pStyle w:val="856"/>
              <w:jc w:val="center"/>
              <w:rPr>
                <w:rFonts w:ascii="Calibri" w:hAnsi="Calibri"/>
                <w:color w:val="000000"/>
                <w:highlight w:val="none"/>
              </w:rPr>
            </w:pPr>
            <w:r>
              <w:rPr>
                <w:rFonts w:hint="eastAsia" w:ascii="Calibri" w:hAnsi="Calibri"/>
                <w:color w:val="000000"/>
                <w:highlight w:val="none"/>
              </w:rPr>
              <w:t xml:space="preserve">（20分）</w:t>
            </w:r>
            <w:r>
              <w:rPr>
                <w:rFonts w:ascii="Calibri" w:hAnsi="Calibri"/>
                <w:color w:val="000000"/>
                <w:highlight w:val="none"/>
              </w:rPr>
            </w:r>
            <w:r/>
          </w:p>
        </w:tc>
        <w:tc>
          <w:tcPr>
            <w:shd w:val="clear" w:color="auto" w:fill="ffffff"/>
            <w:tcW w:w="5552"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垃圾处置                     1分</w:t>
            </w:r>
            <w:r>
              <w:rPr>
                <w:rFonts w:ascii="Calibri" w:hAnsi="Calibri"/>
                <w:color w:val="000000"/>
                <w:highlight w:val="none"/>
              </w:rPr>
            </w:r>
            <w:r/>
          </w:p>
        </w:tc>
        <w:tc>
          <w:tcPr>
            <w:shd w:val="clear" w:color="auto" w:fill="ffffff"/>
            <w:tcW w:w="2650"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每季度不定期检查一次</w:t>
            </w:r>
            <w:r>
              <w:rPr>
                <w:rFonts w:ascii="Calibri" w:hAnsi="Calibri"/>
                <w:color w:val="000000"/>
                <w:highlight w:val="none"/>
              </w:rPr>
            </w:r>
            <w:r/>
          </w:p>
        </w:tc>
      </w:tr>
      <w:tr>
        <w:trPr>
          <w:tblCellSpacing w:w="0" w:type="dxa"/>
          <w:trHeight w:val="147"/>
        </w:trPr>
        <w:tc>
          <w:tcPr>
            <w:shd w:val="clear" w:color="auto" w:fill="ffffff"/>
            <w:tcW w:w="2630"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c>
          <w:tcPr>
            <w:shd w:val="clear" w:color="auto" w:fill="ffffff"/>
            <w:tcW w:w="5552"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事故抢修和制定紧急预案          5分</w:t>
            </w:r>
            <w:r>
              <w:rPr>
                <w:rFonts w:ascii="Calibri" w:hAnsi="Calibri"/>
                <w:color w:val="000000"/>
                <w:highlight w:val="none"/>
              </w:rPr>
            </w:r>
            <w:r/>
          </w:p>
        </w:tc>
        <w:tc>
          <w:tcPr>
            <w:shd w:val="clear" w:color="auto" w:fill="ffffff"/>
            <w:tcW w:w="2650"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每季度不定期检查一次</w:t>
            </w:r>
            <w:r>
              <w:rPr>
                <w:rFonts w:ascii="Calibri" w:hAnsi="Calibri"/>
                <w:color w:val="000000"/>
                <w:highlight w:val="none"/>
              </w:rPr>
            </w:r>
            <w:r/>
          </w:p>
        </w:tc>
      </w:tr>
      <w:tr>
        <w:trPr>
          <w:tblCellSpacing w:w="0" w:type="dxa"/>
          <w:trHeight w:val="147"/>
        </w:trPr>
        <w:tc>
          <w:tcPr>
            <w:shd w:val="clear" w:color="auto" w:fill="ffffff"/>
            <w:tcW w:w="2630"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c>
          <w:tcPr>
            <w:shd w:val="clear" w:color="auto" w:fill="ffffff"/>
            <w:tcW w:w="5552"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安全文明作业                5分</w:t>
            </w:r>
            <w:r>
              <w:rPr>
                <w:rFonts w:ascii="Calibri" w:hAnsi="Calibri"/>
                <w:color w:val="000000"/>
                <w:highlight w:val="none"/>
              </w:rPr>
            </w:r>
            <w:r/>
          </w:p>
        </w:tc>
        <w:tc>
          <w:tcPr>
            <w:shd w:val="clear" w:color="auto" w:fill="ffffff"/>
            <w:tcW w:w="2650"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每季度不定期检查一次</w:t>
            </w:r>
            <w:r>
              <w:rPr>
                <w:rFonts w:ascii="Calibri" w:hAnsi="Calibri"/>
                <w:color w:val="000000"/>
                <w:highlight w:val="none"/>
              </w:rPr>
            </w:r>
            <w:r/>
          </w:p>
        </w:tc>
      </w:tr>
      <w:tr>
        <w:trPr>
          <w:tblCellSpacing w:w="0" w:type="dxa"/>
          <w:trHeight w:val="147"/>
        </w:trPr>
        <w:tc>
          <w:tcPr>
            <w:shd w:val="clear" w:color="auto" w:fill="ffffff"/>
            <w:tcW w:w="2630"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c>
          <w:tcPr>
            <w:shd w:val="clear" w:color="auto" w:fill="ffffff"/>
            <w:tcW w:w="5552"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档案资料管理                5分</w:t>
            </w:r>
            <w:r>
              <w:rPr>
                <w:rFonts w:ascii="Calibri" w:hAnsi="Calibri"/>
                <w:color w:val="000000"/>
                <w:highlight w:val="none"/>
              </w:rPr>
            </w:r>
            <w:r/>
          </w:p>
        </w:tc>
        <w:tc>
          <w:tcPr>
            <w:shd w:val="clear" w:color="auto" w:fill="ffffff"/>
            <w:tcW w:w="2650"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每季度不定期检查一次</w:t>
            </w:r>
            <w:r>
              <w:rPr>
                <w:rFonts w:ascii="Calibri" w:hAnsi="Calibri"/>
                <w:color w:val="000000"/>
                <w:highlight w:val="none"/>
              </w:rPr>
            </w:r>
            <w:r/>
          </w:p>
        </w:tc>
      </w:tr>
      <w:tr>
        <w:trPr>
          <w:tblCellSpacing w:w="0" w:type="dxa"/>
          <w:trHeight w:val="147"/>
        </w:trPr>
        <w:tc>
          <w:tcPr>
            <w:shd w:val="clear" w:color="auto" w:fill="ffffff"/>
            <w:tcW w:w="2630"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c>
          <w:tcPr>
            <w:shd w:val="clear" w:color="auto" w:fill="ffffff"/>
            <w:tcW w:w="5552"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社会服务                   2分</w:t>
            </w:r>
            <w:r>
              <w:rPr>
                <w:rFonts w:ascii="Calibri" w:hAnsi="Calibri"/>
                <w:color w:val="000000"/>
                <w:highlight w:val="none"/>
              </w:rPr>
            </w:r>
            <w:r/>
          </w:p>
        </w:tc>
        <w:tc>
          <w:tcPr>
            <w:shd w:val="clear" w:color="auto" w:fill="ffffff"/>
            <w:tcW w:w="2650"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每季度不定期检查一次</w:t>
            </w:r>
            <w:r>
              <w:rPr>
                <w:rFonts w:ascii="Calibri" w:hAnsi="Calibri"/>
                <w:color w:val="000000"/>
                <w:highlight w:val="none"/>
              </w:rPr>
            </w:r>
            <w:r/>
          </w:p>
        </w:tc>
      </w:tr>
      <w:tr>
        <w:trPr>
          <w:tblCellSpacing w:w="0" w:type="dxa"/>
          <w:trHeight w:val="147"/>
        </w:trPr>
        <w:tc>
          <w:tcPr>
            <w:shd w:val="clear" w:color="auto" w:fill="ffffff"/>
            <w:tcW w:w="2630"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c>
          <w:tcPr>
            <w:shd w:val="clear" w:color="auto" w:fill="ffffff"/>
            <w:tcW w:w="5552"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环境保护                   2分</w:t>
            </w:r>
            <w:r>
              <w:rPr>
                <w:rFonts w:ascii="Calibri" w:hAnsi="Calibri"/>
                <w:color w:val="000000"/>
                <w:highlight w:val="none"/>
              </w:rPr>
            </w:r>
            <w:r/>
          </w:p>
        </w:tc>
        <w:tc>
          <w:tcPr>
            <w:shd w:val="clear" w:color="auto" w:fill="ffffff"/>
            <w:tcW w:w="2650"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每季度不定期检查一次</w:t>
            </w:r>
            <w:r>
              <w:rPr>
                <w:rFonts w:ascii="Calibri" w:hAnsi="Calibri"/>
                <w:color w:val="000000"/>
                <w:highlight w:val="none"/>
              </w:rPr>
            </w:r>
            <w:r/>
          </w:p>
        </w:tc>
      </w:tr>
    </w:tbl>
    <w:p>
      <w:pPr>
        <w:pStyle w:val="856"/>
        <w:rPr>
          <w:rFonts w:hint="eastAsia" w:ascii="Calibri" w:hAnsi="Calibri" w:eastAsia="宋体"/>
          <w:color w:val="000000"/>
          <w:highlight w:val="none"/>
          <w:lang w:eastAsia="zh-CN"/>
        </w:rPr>
      </w:pPr>
      <w:r>
        <w:rPr>
          <w:rFonts w:hint="eastAsia" w:ascii="Calibri" w:hAnsi="Calibri" w:eastAsia="宋体"/>
          <w:color w:val="000000"/>
          <w:highlight w:val="none"/>
          <w:lang w:eastAsia="zh-CN"/>
        </w:rPr>
      </w:r>
      <w:r/>
    </w:p>
    <w:p>
      <w:pPr>
        <w:pStyle w:val="856"/>
        <w:rPr>
          <w:rFonts w:ascii="Calibri" w:hAnsi="Calibri"/>
          <w:color w:val="000000"/>
          <w:highlight w:val="none"/>
        </w:rPr>
      </w:pPr>
      <w:r>
        <w:rPr>
          <w:rFonts w:hint="eastAsia" w:ascii="Calibri" w:hAnsi="Calibri"/>
          <w:color w:val="000000"/>
          <w:highlight w:val="none"/>
        </w:rPr>
        <w:t xml:space="preserve">第六条污水管道维护基本要求：</w:t>
      </w:r>
      <w:r>
        <w:rPr>
          <w:rFonts w:ascii="Calibri" w:hAnsi="Calibri"/>
          <w:color w:val="000000"/>
          <w:highlight w:val="none"/>
        </w:rPr>
      </w:r>
      <w:r/>
    </w:p>
    <w:p>
      <w:pPr>
        <w:pStyle w:val="856"/>
        <w:rPr>
          <w:rFonts w:ascii="Calibri" w:hAnsi="Calibri"/>
          <w:color w:val="000000"/>
          <w:highlight w:val="none"/>
        </w:rPr>
      </w:pPr>
      <w:r>
        <w:rPr>
          <w:rFonts w:hint="eastAsia" w:ascii="Calibri" w:hAnsi="Calibri"/>
          <w:color w:val="000000"/>
          <w:highlight w:val="none"/>
        </w:rPr>
        <w:t xml:space="preserve">管道畅通无阻，检查井清洁无硬头；各类井盖完整，阀门启闭灵活，河水不倒灌，污水不外溢。</w:t>
      </w:r>
      <w:r>
        <w:rPr>
          <w:rFonts w:ascii="Calibri" w:hAnsi="Calibri"/>
          <w:color w:val="000000"/>
          <w:highlight w:val="none"/>
        </w:rPr>
      </w:r>
      <w:r/>
    </w:p>
    <w:p>
      <w:pPr>
        <w:pStyle w:val="856"/>
        <w:rPr>
          <w:rFonts w:ascii="Calibri" w:hAnsi="Calibri"/>
          <w:color w:val="000000"/>
          <w:highlight w:val="none"/>
        </w:rPr>
      </w:pPr>
      <w:r>
        <w:rPr>
          <w:rFonts w:hint="eastAsia" w:ascii="Calibri" w:hAnsi="Calibri"/>
          <w:color w:val="000000"/>
          <w:highlight w:val="none"/>
        </w:rPr>
        <w:t xml:space="preserve">第七条污水管道维护质量抽查及考核办法20分</w:t>
      </w:r>
      <w:r>
        <w:rPr>
          <w:rFonts w:ascii="Calibri" w:hAnsi="Calibri"/>
          <w:color w:val="000000"/>
          <w:highlight w:val="none"/>
        </w:rPr>
      </w:r>
      <w:r/>
    </w:p>
    <w:tbl>
      <w:tblPr>
        <w:tblW w:w="10690" w:type="dxa"/>
        <w:jc w:val="center"/>
        <w:tblCellSpacing w:w="0"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1190"/>
        <w:gridCol w:w="1464"/>
        <w:gridCol w:w="4511"/>
        <w:gridCol w:w="975"/>
        <w:gridCol w:w="1215"/>
        <w:gridCol w:w="1335"/>
      </w:tblGrid>
      <w:tr>
        <w:trPr>
          <w:tblCellSpacing w:w="0" w:type="dxa"/>
          <w:trHeight w:val="286"/>
        </w:trPr>
        <w:tc>
          <w:tcPr>
            <w:shd w:val="clear" w:color="auto" w:fill="ffffff"/>
            <w:tcW w:w="1190"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类别</w:t>
            </w:r>
            <w:r>
              <w:rPr>
                <w:rFonts w:ascii="Calibri" w:hAnsi="Calibri"/>
                <w:color w:val="000000"/>
                <w:highlight w:val="none"/>
              </w:rPr>
            </w:r>
            <w:r/>
          </w:p>
        </w:tc>
        <w:tc>
          <w:tcPr>
            <w:shd w:val="clear" w:color="auto" w:fill="ffffff"/>
            <w:tcW w:w="1464"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检查项目</w:t>
            </w:r>
            <w:r>
              <w:rPr>
                <w:rFonts w:ascii="Calibri" w:hAnsi="Calibri"/>
                <w:color w:val="000000"/>
                <w:highlight w:val="none"/>
              </w:rPr>
            </w:r>
            <w:r/>
          </w:p>
        </w:tc>
        <w:tc>
          <w:tcPr>
            <w:shd w:val="clear" w:color="auto" w:fill="ffffff"/>
            <w:tcW w:w="4511"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检 查 要 求</w:t>
            </w:r>
            <w:r>
              <w:rPr>
                <w:rFonts w:ascii="Calibri" w:hAnsi="Calibri"/>
                <w:color w:val="000000"/>
                <w:highlight w:val="none"/>
              </w:rPr>
            </w:r>
            <w:r/>
          </w:p>
        </w:tc>
        <w:tc>
          <w:tcPr>
            <w:shd w:val="clear" w:color="auto" w:fill="ffffff"/>
            <w:tcW w:w="975"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本项总分</w:t>
            </w:r>
            <w:r>
              <w:rPr>
                <w:rFonts w:ascii="Calibri" w:hAnsi="Calibri"/>
                <w:color w:val="000000"/>
                <w:highlight w:val="none"/>
              </w:rPr>
            </w:r>
            <w:r/>
          </w:p>
        </w:tc>
        <w:tc>
          <w:tcPr>
            <w:shd w:val="clear" w:color="auto" w:fill="ffffff"/>
            <w:tcW w:w="1215"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检查频次</w:t>
            </w:r>
            <w:r>
              <w:rPr>
                <w:rFonts w:ascii="Calibri" w:hAnsi="Calibri"/>
                <w:color w:val="000000"/>
                <w:highlight w:val="none"/>
              </w:rPr>
            </w:r>
            <w:r/>
          </w:p>
        </w:tc>
        <w:tc>
          <w:tcPr>
            <w:shd w:val="clear" w:color="auto" w:fill="ffffff"/>
            <w:tcW w:w="1335"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单项扣分</w:t>
            </w:r>
            <w:r>
              <w:rPr>
                <w:rFonts w:ascii="Calibri" w:hAnsi="Calibri"/>
                <w:color w:val="000000"/>
                <w:highlight w:val="none"/>
              </w:rPr>
            </w:r>
            <w:r/>
          </w:p>
        </w:tc>
      </w:tr>
      <w:tr>
        <w:trPr>
          <w:tblCellSpacing w:w="0" w:type="dxa"/>
          <w:trHeight w:val="717"/>
        </w:trPr>
        <w:tc>
          <w:tcPr>
            <w:shd w:val="clear" w:color="auto" w:fill="ffffff"/>
            <w:tcW w:w="1190" w:type="dxa"/>
            <w:vAlign w:val="center"/>
            <w:vMerge w:val="restart"/>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污水管</w:t>
            </w:r>
            <w:r>
              <w:rPr>
                <w:rFonts w:ascii="Calibri" w:hAnsi="Calibri"/>
                <w:color w:val="000000"/>
                <w:highlight w:val="none"/>
              </w:rPr>
            </w:r>
            <w:r/>
          </w:p>
        </w:tc>
        <w:tc>
          <w:tcPr>
            <w:shd w:val="clear" w:color="auto" w:fill="ffffff"/>
            <w:tcW w:w="1464" w:type="dxa"/>
            <w:vAlign w:val="center"/>
            <w:vMerge w:val="restart"/>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管道</w:t>
            </w:r>
            <w:r>
              <w:rPr>
                <w:rFonts w:ascii="Calibri" w:hAnsi="Calibri"/>
                <w:color w:val="000000"/>
                <w:highlight w:val="none"/>
              </w:rPr>
            </w:r>
            <w:r/>
          </w:p>
        </w:tc>
        <w:tc>
          <w:tcPr>
            <w:shd w:val="clear" w:color="auto" w:fill="ffffff"/>
            <w:tcW w:w="4511"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有经过批准的巡查计划并严格执行，每条管道每个排口每个检查井都应该落实到人，管道上方无违章施工、违章占压等情况</w:t>
            </w:r>
            <w:r>
              <w:rPr>
                <w:rFonts w:ascii="Calibri" w:hAnsi="Calibri"/>
                <w:color w:val="000000"/>
                <w:highlight w:val="none"/>
              </w:rPr>
            </w:r>
            <w:r/>
          </w:p>
        </w:tc>
        <w:tc>
          <w:tcPr>
            <w:shd w:val="clear" w:color="auto" w:fill="ffffff"/>
            <w:tcW w:w="975"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c>
          <w:tcPr>
            <w:shd w:val="clear" w:color="auto" w:fill="ffffff"/>
            <w:tcW w:w="1215" w:type="dxa"/>
            <w:vAlign w:val="center"/>
            <w:textDirection w:val="lrTb"/>
            <w:noWrap w:val="false"/>
          </w:tcPr>
          <w:p>
            <w:pPr>
              <w:pStyle w:val="856"/>
              <w:rPr>
                <w:rFonts w:ascii="Calibri" w:hAnsi="Calibri"/>
                <w:color w:val="000000"/>
                <w:highlight w:val="none"/>
              </w:rPr>
            </w:pPr>
            <w:r>
              <w:rPr>
                <w:rFonts w:ascii="Calibri" w:hAnsi="Calibri"/>
                <w:color w:val="000000"/>
                <w:highlight w:val="none"/>
              </w:rPr>
            </w:r>
            <w:r/>
          </w:p>
        </w:tc>
        <w:tc>
          <w:tcPr>
            <w:shd w:val="clear" w:color="auto" w:fill="ffffff"/>
            <w:tcW w:w="1335"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r>
      <w:tr>
        <w:trPr>
          <w:tblCellSpacing w:w="0" w:type="dxa"/>
          <w:trHeight w:val="272"/>
        </w:trPr>
        <w:tc>
          <w:tcPr>
            <w:shd w:val="clear" w:color="auto" w:fill="ffffff"/>
            <w:tcW w:w="1190" w:type="dxa"/>
            <w:vAlign w:val="center"/>
            <w:vMerge w:val="continue"/>
            <w:textDirection w:val="lrTb"/>
            <w:noWrap w:val="false"/>
          </w:tcPr>
          <w:p>
            <w:pPr>
              <w:pStyle w:val="856"/>
              <w:jc w:val="center"/>
              <w:rPr>
                <w:rFonts w:ascii="Calibri" w:hAnsi="Calibri"/>
                <w:color w:val="000000"/>
                <w:highlight w:val="none"/>
              </w:rPr>
            </w:pPr>
            <w:r>
              <w:rPr>
                <w:rFonts w:ascii="Calibri" w:hAnsi="Calibri"/>
                <w:color w:val="000000"/>
                <w:highlight w:val="none"/>
              </w:rPr>
            </w:r>
            <w:r/>
          </w:p>
        </w:tc>
        <w:tc>
          <w:tcPr>
            <w:shd w:val="clear" w:color="auto" w:fill="ffffff"/>
            <w:tcW w:w="1464" w:type="dxa"/>
            <w:vAlign w:val="center"/>
            <w:vMerge w:val="continue"/>
            <w:textDirection w:val="lrTb"/>
            <w:noWrap w:val="false"/>
          </w:tcPr>
          <w:p>
            <w:pPr>
              <w:pStyle w:val="856"/>
              <w:jc w:val="center"/>
              <w:rPr>
                <w:rFonts w:ascii="Calibri" w:hAnsi="Calibri"/>
                <w:color w:val="000000"/>
                <w:highlight w:val="none"/>
              </w:rPr>
            </w:pPr>
            <w:r>
              <w:rPr>
                <w:rFonts w:ascii="Calibri" w:hAnsi="Calibri"/>
                <w:color w:val="000000"/>
                <w:highlight w:val="none"/>
              </w:rPr>
            </w:r>
            <w:r/>
          </w:p>
        </w:tc>
        <w:tc>
          <w:tcPr>
            <w:shd w:val="clear" w:color="auto" w:fill="ffffff"/>
            <w:tcW w:w="4511"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畅通无阻路面无塌陷</w:t>
            </w:r>
            <w:r>
              <w:rPr>
                <w:rFonts w:ascii="Calibri" w:hAnsi="Calibri"/>
                <w:color w:val="000000"/>
                <w:highlight w:val="none"/>
              </w:rPr>
            </w:r>
            <w:r/>
          </w:p>
        </w:tc>
        <w:tc>
          <w:tcPr>
            <w:shd w:val="clear" w:color="auto" w:fill="ffffff"/>
            <w:tcW w:w="975"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16</w:t>
            </w:r>
            <w:r>
              <w:rPr>
                <w:rFonts w:ascii="Calibri" w:hAnsi="Calibri"/>
                <w:color w:val="000000"/>
                <w:highlight w:val="none"/>
              </w:rPr>
            </w:r>
            <w:r/>
          </w:p>
        </w:tc>
        <w:tc>
          <w:tcPr>
            <w:shd w:val="clear" w:color="auto" w:fill="ffffff"/>
            <w:tcW w:w="1215"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10</w:t>
            </w:r>
            <w:r>
              <w:rPr>
                <w:rFonts w:ascii="Calibri" w:hAnsi="Calibri"/>
                <w:color w:val="000000"/>
                <w:highlight w:val="none"/>
              </w:rPr>
            </w:r>
            <w:r/>
          </w:p>
        </w:tc>
        <w:tc>
          <w:tcPr>
            <w:shd w:val="clear" w:color="auto" w:fill="ffffff"/>
            <w:tcW w:w="1335"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1.6</w:t>
            </w:r>
            <w:r>
              <w:rPr>
                <w:rFonts w:ascii="Calibri" w:hAnsi="Calibri"/>
                <w:color w:val="000000"/>
                <w:highlight w:val="none"/>
              </w:rPr>
            </w:r>
            <w:r/>
          </w:p>
        </w:tc>
      </w:tr>
      <w:tr>
        <w:trPr>
          <w:tblCellSpacing w:w="0" w:type="dxa"/>
          <w:trHeight w:val="148"/>
        </w:trPr>
        <w:tc>
          <w:tcPr>
            <w:shd w:val="clear" w:color="auto" w:fill="ffffff"/>
            <w:tcW w:w="1190" w:type="dxa"/>
            <w:vAlign w:val="center"/>
            <w:vMerge w:val="continue"/>
            <w:textDirection w:val="lrTb"/>
            <w:noWrap w:val="false"/>
          </w:tcPr>
          <w:p>
            <w:pPr>
              <w:pStyle w:val="856"/>
              <w:jc w:val="center"/>
              <w:rPr>
                <w:rFonts w:ascii="Calibri" w:hAnsi="Calibri"/>
                <w:color w:val="000000"/>
                <w:highlight w:val="none"/>
              </w:rPr>
            </w:pPr>
            <w:r>
              <w:rPr>
                <w:rFonts w:ascii="Calibri" w:hAnsi="Calibri"/>
                <w:color w:val="000000"/>
                <w:highlight w:val="none"/>
              </w:rPr>
            </w:r>
            <w:r/>
          </w:p>
        </w:tc>
        <w:tc>
          <w:tcPr>
            <w:shd w:val="clear" w:color="auto" w:fill="ffffff"/>
            <w:tcW w:w="1464" w:type="dxa"/>
            <w:vAlign w:val="center"/>
            <w:vMerge w:val="restart"/>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检查井</w:t>
            </w:r>
            <w:r>
              <w:rPr>
                <w:rFonts w:ascii="Calibri" w:hAnsi="Calibri"/>
                <w:color w:val="000000"/>
                <w:highlight w:val="none"/>
              </w:rPr>
            </w:r>
            <w:r/>
          </w:p>
        </w:tc>
        <w:tc>
          <w:tcPr>
            <w:shd w:val="clear" w:color="auto" w:fill="ffffff"/>
            <w:tcW w:w="4511"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井内无影响水流的杂物</w:t>
            </w:r>
            <w:r>
              <w:rPr>
                <w:rFonts w:ascii="Calibri" w:hAnsi="Calibri"/>
                <w:color w:val="000000"/>
                <w:highlight w:val="none"/>
              </w:rPr>
            </w:r>
            <w:r/>
          </w:p>
        </w:tc>
        <w:tc>
          <w:tcPr>
            <w:shd w:val="clear" w:color="auto" w:fill="ffffff"/>
            <w:tcW w:w="975"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2</w:t>
            </w:r>
            <w:r>
              <w:rPr>
                <w:rFonts w:ascii="Calibri" w:hAnsi="Calibri"/>
                <w:color w:val="000000"/>
                <w:highlight w:val="none"/>
              </w:rPr>
            </w:r>
            <w:r/>
          </w:p>
        </w:tc>
        <w:tc>
          <w:tcPr>
            <w:shd w:val="clear" w:color="auto" w:fill="ffffff"/>
            <w:tcW w:w="1215"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10</w:t>
            </w:r>
            <w:r>
              <w:rPr>
                <w:rFonts w:ascii="Calibri" w:hAnsi="Calibri"/>
                <w:color w:val="000000"/>
                <w:highlight w:val="none"/>
              </w:rPr>
            </w:r>
            <w:r/>
          </w:p>
        </w:tc>
        <w:tc>
          <w:tcPr>
            <w:shd w:val="clear" w:color="auto" w:fill="ffffff"/>
            <w:tcW w:w="1335"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0.2</w:t>
            </w:r>
            <w:r>
              <w:rPr>
                <w:rFonts w:ascii="Calibri" w:hAnsi="Calibri"/>
                <w:color w:val="000000"/>
                <w:highlight w:val="none"/>
              </w:rPr>
            </w:r>
            <w:r/>
          </w:p>
        </w:tc>
      </w:tr>
      <w:tr>
        <w:trPr>
          <w:tblCellSpacing w:w="0" w:type="dxa"/>
          <w:trHeight w:val="148"/>
        </w:trPr>
        <w:tc>
          <w:tcPr>
            <w:shd w:val="clear" w:color="auto" w:fill="ffffff"/>
            <w:tcW w:w="1190"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c>
          <w:tcPr>
            <w:shd w:val="clear" w:color="auto" w:fill="ffffff"/>
            <w:tcW w:w="1464"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c>
          <w:tcPr>
            <w:shd w:val="clear" w:color="auto" w:fill="ffffff"/>
            <w:tcW w:w="4511"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标识清晰，盖框不摇动，无缺角</w:t>
            </w:r>
            <w:r>
              <w:rPr>
                <w:rFonts w:ascii="Calibri" w:hAnsi="Calibri"/>
                <w:color w:val="000000"/>
                <w:highlight w:val="none"/>
              </w:rPr>
            </w:r>
            <w:r/>
          </w:p>
          <w:p>
            <w:pPr>
              <w:pStyle w:val="856"/>
              <w:rPr>
                <w:rFonts w:ascii="Calibri" w:hAnsi="Calibri"/>
                <w:color w:val="000000"/>
                <w:highlight w:val="none"/>
              </w:rPr>
            </w:pPr>
            <w:r>
              <w:rPr>
                <w:rFonts w:hint="eastAsia" w:ascii="Calibri" w:hAnsi="Calibri"/>
                <w:color w:val="000000"/>
                <w:highlight w:val="none"/>
              </w:rPr>
              <w:t xml:space="preserve">盖框之间高低差不大于2 cm</w:t>
            </w:r>
            <w:r>
              <w:rPr>
                <w:rFonts w:ascii="Calibri" w:hAnsi="Calibri"/>
                <w:color w:val="000000"/>
                <w:highlight w:val="none"/>
              </w:rPr>
            </w:r>
            <w:r/>
          </w:p>
        </w:tc>
        <w:tc>
          <w:tcPr>
            <w:shd w:val="clear" w:color="auto" w:fill="ffffff"/>
            <w:tcW w:w="975"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c>
          <w:tcPr>
            <w:shd w:val="clear" w:color="auto" w:fill="ffffff"/>
            <w:tcW w:w="1215"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10</w:t>
            </w:r>
            <w:r>
              <w:rPr>
                <w:rFonts w:ascii="Calibri" w:hAnsi="Calibri"/>
                <w:color w:val="000000"/>
                <w:highlight w:val="none"/>
              </w:rPr>
            </w:r>
            <w:r/>
          </w:p>
        </w:tc>
        <w:tc>
          <w:tcPr>
            <w:shd w:val="clear" w:color="auto" w:fill="ffffff"/>
            <w:tcW w:w="1335"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0.1</w:t>
            </w:r>
            <w:r>
              <w:rPr>
                <w:rFonts w:ascii="Calibri" w:hAnsi="Calibri"/>
                <w:color w:val="000000"/>
                <w:highlight w:val="none"/>
              </w:rPr>
            </w:r>
            <w:r/>
          </w:p>
        </w:tc>
      </w:tr>
    </w:tbl>
    <w:p>
      <w:pPr>
        <w:pStyle w:val="856"/>
        <w:rPr>
          <w:rFonts w:ascii="Calibri" w:hAnsi="Calibri"/>
          <w:color w:val="000000"/>
          <w:highlight w:val="none"/>
        </w:rPr>
      </w:pPr>
      <w:r>
        <w:rPr>
          <w:rFonts w:hint="eastAsia" w:ascii="Calibri" w:hAnsi="Calibri"/>
          <w:color w:val="000000"/>
          <w:highlight w:val="none"/>
        </w:rPr>
        <w:t xml:space="preserve">第八条截流井维护质量抽查及考核办法8分</w:t>
      </w:r>
      <w:r>
        <w:rPr>
          <w:rFonts w:ascii="Calibri" w:hAnsi="Calibri"/>
          <w:color w:val="000000"/>
          <w:highlight w:val="none"/>
        </w:rPr>
      </w:r>
      <w:r/>
    </w:p>
    <w:tbl>
      <w:tblPr>
        <w:tblW w:w="10171" w:type="dxa"/>
        <w:tblCellSpacing w:w="0"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1295"/>
        <w:gridCol w:w="5769"/>
        <w:gridCol w:w="1637"/>
        <w:gridCol w:w="1470"/>
      </w:tblGrid>
      <w:tr>
        <w:trPr>
          <w:tblCellSpacing w:w="0" w:type="dxa"/>
          <w:trHeight w:val="387"/>
        </w:trPr>
        <w:tc>
          <w:tcPr>
            <w:shd w:val="clear" w:color="auto" w:fill="ffffff"/>
            <w:tcW w:w="1295"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检查项目</w:t>
            </w:r>
            <w:r>
              <w:rPr>
                <w:rFonts w:ascii="Calibri" w:hAnsi="Calibri"/>
                <w:color w:val="000000"/>
                <w:highlight w:val="none"/>
              </w:rPr>
            </w:r>
            <w:r/>
          </w:p>
        </w:tc>
        <w:tc>
          <w:tcPr>
            <w:shd w:val="clear" w:color="auto" w:fill="ffffff"/>
            <w:tcW w:w="5769"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检查要求</w:t>
            </w:r>
            <w:r>
              <w:rPr>
                <w:rFonts w:ascii="Calibri" w:hAnsi="Calibri"/>
                <w:color w:val="000000"/>
                <w:highlight w:val="none"/>
              </w:rPr>
            </w:r>
            <w:r/>
          </w:p>
        </w:tc>
        <w:tc>
          <w:tcPr>
            <w:shd w:val="clear" w:color="auto" w:fill="ffffff"/>
            <w:tcW w:w="1637"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检查频次</w:t>
            </w:r>
            <w:r>
              <w:rPr>
                <w:rFonts w:ascii="Calibri" w:hAnsi="Calibri"/>
                <w:color w:val="000000"/>
                <w:highlight w:val="none"/>
              </w:rPr>
            </w:r>
            <w:r/>
          </w:p>
        </w:tc>
        <w:tc>
          <w:tcPr>
            <w:shd w:val="clear" w:color="auto" w:fill="ffffff"/>
            <w:tcW w:w="1470"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本项总分</w:t>
            </w:r>
            <w:r>
              <w:rPr>
                <w:rFonts w:ascii="Calibri" w:hAnsi="Calibri"/>
                <w:color w:val="000000"/>
                <w:highlight w:val="none"/>
              </w:rPr>
            </w:r>
            <w:r/>
          </w:p>
        </w:tc>
      </w:tr>
      <w:tr>
        <w:trPr>
          <w:tblCellSpacing w:w="0" w:type="dxa"/>
          <w:trHeight w:val="210"/>
        </w:trPr>
        <w:tc>
          <w:tcPr>
            <w:shd w:val="clear" w:color="auto" w:fill="ffffff"/>
            <w:tcW w:w="1295"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河水倒灌</w:t>
            </w:r>
            <w:r>
              <w:rPr>
                <w:rFonts w:ascii="Calibri" w:hAnsi="Calibri"/>
                <w:color w:val="000000"/>
                <w:highlight w:val="none"/>
              </w:rPr>
            </w:r>
            <w:r/>
          </w:p>
        </w:tc>
        <w:tc>
          <w:tcPr>
            <w:shd w:val="clear" w:color="auto" w:fill="ffffff"/>
            <w:tcW w:w="5769"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河水不倒灌，在晴天检查</w:t>
            </w:r>
            <w:r>
              <w:rPr>
                <w:rFonts w:ascii="Calibri" w:hAnsi="Calibri"/>
                <w:color w:val="000000"/>
                <w:highlight w:val="none"/>
              </w:rPr>
            </w:r>
            <w:r/>
          </w:p>
        </w:tc>
        <w:tc>
          <w:tcPr>
            <w:shd w:val="clear" w:color="auto" w:fill="ffffff"/>
            <w:tcW w:w="1637"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每月一次两个</w:t>
            </w:r>
            <w:r>
              <w:rPr>
                <w:rFonts w:ascii="Calibri" w:hAnsi="Calibri"/>
                <w:color w:val="000000"/>
                <w:highlight w:val="none"/>
              </w:rPr>
            </w:r>
            <w:r/>
          </w:p>
        </w:tc>
        <w:tc>
          <w:tcPr>
            <w:shd w:val="clear" w:color="auto" w:fill="ffffff"/>
            <w:tcW w:w="147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2</w:t>
            </w:r>
            <w:r>
              <w:rPr>
                <w:rFonts w:ascii="Calibri" w:hAnsi="Calibri"/>
                <w:color w:val="000000"/>
                <w:highlight w:val="none"/>
              </w:rPr>
            </w:r>
            <w:r/>
          </w:p>
        </w:tc>
      </w:tr>
      <w:tr>
        <w:trPr>
          <w:tblCellSpacing w:w="0" w:type="dxa"/>
          <w:trHeight w:val="65"/>
        </w:trPr>
        <w:tc>
          <w:tcPr>
            <w:shd w:val="clear" w:color="auto" w:fill="ffffff"/>
            <w:tcW w:w="1295"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污水外溢</w:t>
            </w:r>
            <w:r>
              <w:rPr>
                <w:rFonts w:ascii="Calibri" w:hAnsi="Calibri"/>
                <w:color w:val="000000"/>
                <w:highlight w:val="none"/>
              </w:rPr>
            </w:r>
            <w:r/>
          </w:p>
        </w:tc>
        <w:tc>
          <w:tcPr>
            <w:shd w:val="clear" w:color="auto" w:fill="ffffff"/>
            <w:tcW w:w="5769"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污水不外溢，在晴天检查</w:t>
            </w:r>
            <w:r>
              <w:rPr>
                <w:rFonts w:ascii="Calibri" w:hAnsi="Calibri"/>
                <w:color w:val="000000"/>
                <w:highlight w:val="none"/>
              </w:rPr>
            </w:r>
            <w:r/>
          </w:p>
        </w:tc>
        <w:tc>
          <w:tcPr>
            <w:shd w:val="clear" w:color="auto" w:fill="ffffff"/>
            <w:tcW w:w="1637"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每月一次两个</w:t>
            </w:r>
            <w:r>
              <w:rPr>
                <w:rFonts w:ascii="Calibri" w:hAnsi="Calibri"/>
                <w:color w:val="000000"/>
                <w:highlight w:val="none"/>
              </w:rPr>
            </w:r>
            <w:r/>
          </w:p>
        </w:tc>
        <w:tc>
          <w:tcPr>
            <w:shd w:val="clear" w:color="auto" w:fill="ffffff"/>
            <w:tcW w:w="147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2</w:t>
            </w:r>
            <w:r>
              <w:rPr>
                <w:rFonts w:ascii="Calibri" w:hAnsi="Calibri"/>
                <w:color w:val="000000"/>
                <w:highlight w:val="none"/>
              </w:rPr>
            </w:r>
            <w:r/>
          </w:p>
        </w:tc>
      </w:tr>
      <w:tr>
        <w:trPr>
          <w:tblCellSpacing w:w="0" w:type="dxa"/>
          <w:trHeight w:val="304"/>
        </w:trPr>
        <w:tc>
          <w:tcPr>
            <w:shd w:val="clear" w:color="auto" w:fill="ffffff"/>
            <w:tcW w:w="1295"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闸门保养</w:t>
            </w:r>
            <w:r>
              <w:rPr>
                <w:rFonts w:ascii="Calibri" w:hAnsi="Calibri"/>
                <w:color w:val="000000"/>
                <w:highlight w:val="none"/>
              </w:rPr>
            </w:r>
            <w:r/>
          </w:p>
        </w:tc>
        <w:tc>
          <w:tcPr>
            <w:shd w:val="clear" w:color="auto" w:fill="ffffff"/>
            <w:tcW w:w="5769"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铁件完整无缺，无锈蚀，自动开闭系统正常</w:t>
            </w:r>
            <w:r>
              <w:rPr>
                <w:rFonts w:ascii="Calibri" w:hAnsi="Calibri"/>
                <w:color w:val="000000"/>
                <w:highlight w:val="none"/>
              </w:rPr>
            </w:r>
            <w:r/>
          </w:p>
        </w:tc>
        <w:tc>
          <w:tcPr>
            <w:shd w:val="clear" w:color="auto" w:fill="ffffff"/>
            <w:tcW w:w="1637"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每月一次</w:t>
            </w:r>
            <w:r>
              <w:rPr>
                <w:rFonts w:ascii="Calibri" w:hAnsi="Calibri"/>
                <w:color w:val="000000"/>
                <w:highlight w:val="none"/>
              </w:rPr>
            </w:r>
            <w:r/>
          </w:p>
        </w:tc>
        <w:tc>
          <w:tcPr>
            <w:shd w:val="clear" w:color="auto" w:fill="ffffff"/>
            <w:tcW w:w="147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r>
      <w:tr>
        <w:trPr>
          <w:tblCellSpacing w:w="0" w:type="dxa"/>
          <w:trHeight w:val="304"/>
        </w:trPr>
        <w:tc>
          <w:tcPr>
            <w:shd w:val="clear" w:color="auto" w:fill="ffffff"/>
            <w:tcW w:w="1295"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鸭嘴阀</w:t>
            </w:r>
            <w:r>
              <w:rPr>
                <w:rFonts w:ascii="Calibri" w:hAnsi="Calibri"/>
                <w:color w:val="000000"/>
                <w:highlight w:val="none"/>
              </w:rPr>
            </w:r>
            <w:r/>
          </w:p>
        </w:tc>
        <w:tc>
          <w:tcPr>
            <w:shd w:val="clear" w:color="auto" w:fill="ffffff"/>
            <w:tcW w:w="5769"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阀底无影响鸭嘴阀正常开闭的杂物</w:t>
            </w:r>
            <w:r>
              <w:rPr>
                <w:rFonts w:ascii="Calibri" w:hAnsi="Calibri"/>
                <w:color w:val="000000"/>
                <w:highlight w:val="none"/>
              </w:rPr>
            </w:r>
            <w:r/>
          </w:p>
        </w:tc>
        <w:tc>
          <w:tcPr>
            <w:shd w:val="clear" w:color="auto" w:fill="ffffff"/>
            <w:tcW w:w="1637"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每月一次</w:t>
            </w:r>
            <w:r>
              <w:rPr>
                <w:rFonts w:ascii="Calibri" w:hAnsi="Calibri"/>
                <w:color w:val="000000"/>
                <w:highlight w:val="none"/>
              </w:rPr>
            </w:r>
            <w:r/>
          </w:p>
        </w:tc>
        <w:tc>
          <w:tcPr>
            <w:shd w:val="clear" w:color="auto" w:fill="ffffff"/>
            <w:tcW w:w="147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r>
      <w:tr>
        <w:trPr>
          <w:tblCellSpacing w:w="0" w:type="dxa"/>
          <w:trHeight w:val="304"/>
        </w:trPr>
        <w:tc>
          <w:tcPr>
            <w:shd w:val="clear" w:color="auto" w:fill="ffffff"/>
            <w:tcW w:w="1295"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检查井积泥</w:t>
            </w:r>
            <w:r>
              <w:rPr>
                <w:rFonts w:ascii="Calibri" w:hAnsi="Calibri"/>
                <w:color w:val="000000"/>
                <w:highlight w:val="none"/>
              </w:rPr>
            </w:r>
            <w:r/>
          </w:p>
        </w:tc>
        <w:tc>
          <w:tcPr>
            <w:shd w:val="clear" w:color="auto" w:fill="ffffff"/>
            <w:tcW w:w="5769"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积泥在管底10公分以下</w:t>
            </w:r>
            <w:r>
              <w:rPr>
                <w:rFonts w:ascii="Calibri" w:hAnsi="Calibri"/>
                <w:color w:val="000000"/>
                <w:highlight w:val="none"/>
              </w:rPr>
            </w:r>
            <w:r/>
          </w:p>
        </w:tc>
        <w:tc>
          <w:tcPr>
            <w:shd w:val="clear" w:color="auto" w:fill="ffffff"/>
            <w:tcW w:w="1637"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每月一次</w:t>
            </w:r>
            <w:r>
              <w:rPr>
                <w:rFonts w:ascii="Calibri" w:hAnsi="Calibri"/>
                <w:color w:val="000000"/>
                <w:highlight w:val="none"/>
              </w:rPr>
            </w:r>
            <w:r/>
          </w:p>
        </w:tc>
        <w:tc>
          <w:tcPr>
            <w:shd w:val="clear" w:color="auto" w:fill="ffffff"/>
            <w:tcW w:w="147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0.5</w:t>
            </w:r>
            <w:r>
              <w:rPr>
                <w:rFonts w:ascii="Calibri" w:hAnsi="Calibri"/>
                <w:color w:val="000000"/>
                <w:highlight w:val="none"/>
              </w:rPr>
            </w:r>
            <w:r/>
          </w:p>
        </w:tc>
      </w:tr>
      <w:tr>
        <w:trPr>
          <w:tblCellSpacing w:w="0" w:type="dxa"/>
          <w:trHeight w:val="304"/>
        </w:trPr>
        <w:tc>
          <w:tcPr>
            <w:shd w:val="clear" w:color="auto" w:fill="ffffff"/>
            <w:tcW w:w="1295"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盖框完好</w:t>
            </w:r>
            <w:r>
              <w:rPr>
                <w:rFonts w:ascii="Calibri" w:hAnsi="Calibri"/>
                <w:color w:val="000000"/>
                <w:highlight w:val="none"/>
              </w:rPr>
            </w:r>
            <w:r/>
          </w:p>
        </w:tc>
        <w:tc>
          <w:tcPr>
            <w:shd w:val="clear" w:color="auto" w:fill="ffffff"/>
            <w:tcW w:w="5769"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盖框平稳不动摇，无缺角</w:t>
            </w:r>
            <w:r>
              <w:rPr>
                <w:rFonts w:ascii="Calibri" w:hAnsi="Calibri"/>
                <w:color w:val="000000"/>
                <w:highlight w:val="none"/>
              </w:rPr>
            </w:r>
            <w:r/>
          </w:p>
        </w:tc>
        <w:tc>
          <w:tcPr>
            <w:shd w:val="clear" w:color="auto" w:fill="ffffff"/>
            <w:tcW w:w="1637"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每月一次</w:t>
            </w:r>
            <w:r>
              <w:rPr>
                <w:rFonts w:ascii="Calibri" w:hAnsi="Calibri"/>
                <w:color w:val="000000"/>
                <w:highlight w:val="none"/>
              </w:rPr>
            </w:r>
            <w:r/>
          </w:p>
        </w:tc>
        <w:tc>
          <w:tcPr>
            <w:shd w:val="clear" w:color="auto" w:fill="ffffff"/>
            <w:tcW w:w="147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0.5</w:t>
            </w:r>
            <w:r>
              <w:rPr>
                <w:rFonts w:ascii="Calibri" w:hAnsi="Calibri"/>
                <w:color w:val="000000"/>
                <w:highlight w:val="none"/>
              </w:rPr>
            </w:r>
            <w:r/>
          </w:p>
        </w:tc>
      </w:tr>
      <w:tr>
        <w:trPr>
          <w:tblCellSpacing w:w="0" w:type="dxa"/>
          <w:trHeight w:val="289"/>
        </w:trPr>
        <w:tc>
          <w:tcPr>
            <w:shd w:val="clear" w:color="auto" w:fill="ffffff"/>
            <w:tcW w:w="1295"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出水管</w:t>
            </w:r>
            <w:r>
              <w:rPr>
                <w:rFonts w:ascii="Calibri" w:hAnsi="Calibri"/>
                <w:color w:val="000000"/>
                <w:highlight w:val="none"/>
              </w:rPr>
            </w:r>
            <w:r/>
          </w:p>
        </w:tc>
        <w:tc>
          <w:tcPr>
            <w:shd w:val="clear" w:color="auto" w:fill="ffffff"/>
            <w:tcW w:w="5769"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出水畅通，出水管积泥不超过管径的1/4</w:t>
            </w:r>
            <w:r>
              <w:rPr>
                <w:rFonts w:ascii="Calibri" w:hAnsi="Calibri"/>
                <w:color w:val="000000"/>
                <w:highlight w:val="none"/>
              </w:rPr>
            </w:r>
            <w:r/>
          </w:p>
        </w:tc>
        <w:tc>
          <w:tcPr>
            <w:shd w:val="clear" w:color="auto" w:fill="ffffff"/>
            <w:tcW w:w="1637"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每月一次两个</w:t>
            </w:r>
            <w:r>
              <w:rPr>
                <w:rFonts w:ascii="Calibri" w:hAnsi="Calibri"/>
                <w:color w:val="000000"/>
                <w:highlight w:val="none"/>
              </w:rPr>
            </w:r>
            <w:r/>
          </w:p>
        </w:tc>
        <w:tc>
          <w:tcPr>
            <w:shd w:val="clear" w:color="auto" w:fill="ffffff"/>
            <w:tcW w:w="147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r>
    </w:tbl>
    <w:p>
      <w:pPr>
        <w:pStyle w:val="856"/>
        <w:rPr>
          <w:rFonts w:hint="eastAsia" w:ascii="Calibri" w:hAnsi="Calibri" w:eastAsia="宋体"/>
          <w:color w:val="000000"/>
          <w:highlight w:val="none"/>
          <w:lang w:eastAsia="zh-CN"/>
        </w:rPr>
      </w:pPr>
      <w:r>
        <w:rPr>
          <w:rFonts w:hint="eastAsia" w:ascii="Calibri" w:hAnsi="Calibri" w:eastAsia="宋体"/>
          <w:color w:val="000000"/>
          <w:highlight w:val="none"/>
          <w:lang w:eastAsia="zh-CN"/>
        </w:rPr>
      </w:r>
      <w:r/>
    </w:p>
    <w:p>
      <w:pPr>
        <w:pStyle w:val="856"/>
        <w:rPr>
          <w:rFonts w:ascii="Calibri" w:hAnsi="Calibri"/>
          <w:color w:val="000000"/>
          <w:highlight w:val="none"/>
        </w:rPr>
      </w:pPr>
      <w:r>
        <w:rPr>
          <w:rFonts w:hint="eastAsia" w:ascii="Calibri" w:hAnsi="Calibri"/>
          <w:color w:val="000000"/>
          <w:highlight w:val="none"/>
        </w:rPr>
        <w:t xml:space="preserve">第九条污水管道检查井清捞质量抽查及考核办法</w:t>
      </w:r>
      <w:r>
        <w:rPr>
          <w:rFonts w:ascii="Calibri" w:hAnsi="Calibri"/>
          <w:color w:val="000000"/>
          <w:highlight w:val="none"/>
        </w:rPr>
      </w:r>
      <w:r/>
    </w:p>
    <w:tbl>
      <w:tblPr>
        <w:tblW w:w="0" w:type="auto"/>
        <w:tblCellSpacing w:w="0"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1481"/>
        <w:gridCol w:w="5487"/>
        <w:gridCol w:w="916"/>
        <w:gridCol w:w="797"/>
        <w:gridCol w:w="964"/>
      </w:tblGrid>
      <w:tr>
        <w:trPr>
          <w:tblCellSpacing w:w="0" w:type="dxa"/>
          <w:trHeight w:val="278"/>
        </w:trPr>
        <w:tc>
          <w:tcPr>
            <w:shd w:val="clear" w:color="auto" w:fill="ffffff"/>
            <w:tcW w:w="2114"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检查项目</w:t>
            </w:r>
            <w:r>
              <w:rPr>
                <w:rFonts w:ascii="Calibri" w:hAnsi="Calibri"/>
                <w:color w:val="000000"/>
                <w:highlight w:val="none"/>
              </w:rPr>
            </w:r>
            <w:r/>
          </w:p>
        </w:tc>
        <w:tc>
          <w:tcPr>
            <w:shd w:val="clear" w:color="auto" w:fill="ffffff"/>
            <w:tcW w:w="8161"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质量要求</w:t>
            </w:r>
            <w:r>
              <w:rPr>
                <w:rFonts w:ascii="Calibri" w:hAnsi="Calibri"/>
                <w:color w:val="000000"/>
                <w:highlight w:val="none"/>
              </w:rPr>
            </w:r>
            <w:r/>
          </w:p>
        </w:tc>
        <w:tc>
          <w:tcPr>
            <w:shd w:val="clear" w:color="auto" w:fill="ffffff"/>
            <w:tcW w:w="1260"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本项总分</w:t>
            </w:r>
            <w:r>
              <w:rPr>
                <w:rFonts w:ascii="Calibri" w:hAnsi="Calibri"/>
                <w:color w:val="000000"/>
                <w:highlight w:val="none"/>
              </w:rPr>
            </w:r>
            <w:r/>
          </w:p>
        </w:tc>
        <w:tc>
          <w:tcPr>
            <w:shd w:val="clear" w:color="auto" w:fill="ffffff"/>
            <w:tcW w:w="1080"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检查数量</w:t>
            </w:r>
            <w:r>
              <w:rPr>
                <w:rFonts w:ascii="Calibri" w:hAnsi="Calibri"/>
                <w:color w:val="000000"/>
                <w:highlight w:val="none"/>
              </w:rPr>
            </w:r>
            <w:r/>
          </w:p>
        </w:tc>
        <w:tc>
          <w:tcPr>
            <w:shd w:val="clear" w:color="auto" w:fill="ffffff"/>
            <w:tcW w:w="1303"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单项扣分</w:t>
            </w:r>
            <w:r>
              <w:rPr>
                <w:rFonts w:ascii="Calibri" w:hAnsi="Calibri"/>
                <w:color w:val="000000"/>
                <w:highlight w:val="none"/>
              </w:rPr>
            </w:r>
            <w:r/>
          </w:p>
        </w:tc>
      </w:tr>
      <w:tr>
        <w:trPr>
          <w:tblCellSpacing w:w="0" w:type="dxa"/>
          <w:trHeight w:val="318"/>
        </w:trPr>
        <w:tc>
          <w:tcPr>
            <w:shd w:val="clear" w:color="auto" w:fill="ffffff"/>
            <w:tcW w:w="2114"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积泥</w:t>
            </w:r>
            <w:r>
              <w:rPr>
                <w:rFonts w:ascii="Calibri" w:hAnsi="Calibri"/>
                <w:color w:val="000000"/>
                <w:highlight w:val="none"/>
              </w:rPr>
            </w:r>
            <w:r/>
          </w:p>
        </w:tc>
        <w:tc>
          <w:tcPr>
            <w:shd w:val="clear" w:color="auto" w:fill="ffffff"/>
            <w:tcW w:w="8161"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检查井内无影响水流的杂物</w:t>
            </w:r>
            <w:r>
              <w:rPr>
                <w:rFonts w:ascii="Calibri" w:hAnsi="Calibri"/>
                <w:color w:val="000000"/>
                <w:highlight w:val="none"/>
              </w:rPr>
            </w:r>
            <w:r/>
          </w:p>
        </w:tc>
        <w:tc>
          <w:tcPr>
            <w:shd w:val="clear" w:color="auto" w:fill="ffffff"/>
            <w:tcW w:w="126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8</w:t>
            </w:r>
            <w:r>
              <w:rPr>
                <w:rFonts w:ascii="Calibri" w:hAnsi="Calibri"/>
                <w:color w:val="000000"/>
                <w:highlight w:val="none"/>
              </w:rPr>
            </w:r>
            <w:r/>
          </w:p>
        </w:tc>
        <w:tc>
          <w:tcPr>
            <w:shd w:val="clear" w:color="auto" w:fill="ffffff"/>
            <w:tcW w:w="108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10</w:t>
            </w:r>
            <w:r>
              <w:rPr>
                <w:rFonts w:ascii="Calibri" w:hAnsi="Calibri"/>
                <w:color w:val="000000"/>
                <w:highlight w:val="none"/>
              </w:rPr>
            </w:r>
            <w:r/>
          </w:p>
        </w:tc>
        <w:tc>
          <w:tcPr>
            <w:shd w:val="clear" w:color="auto" w:fill="ffffff"/>
            <w:tcW w:w="1303"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0.8</w:t>
            </w:r>
            <w:r>
              <w:rPr>
                <w:rFonts w:ascii="Calibri" w:hAnsi="Calibri"/>
                <w:color w:val="000000"/>
                <w:highlight w:val="none"/>
              </w:rPr>
            </w:r>
            <w:r/>
          </w:p>
        </w:tc>
      </w:tr>
      <w:tr>
        <w:trPr>
          <w:tblCellSpacing w:w="0" w:type="dxa"/>
          <w:trHeight w:val="318"/>
        </w:trPr>
        <w:tc>
          <w:tcPr>
            <w:shd w:val="clear" w:color="auto" w:fill="ffffff"/>
            <w:tcW w:w="2114"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连管</w:t>
            </w:r>
            <w:r>
              <w:rPr>
                <w:rFonts w:ascii="Calibri" w:hAnsi="Calibri"/>
                <w:color w:val="000000"/>
                <w:highlight w:val="none"/>
              </w:rPr>
            </w:r>
            <w:r/>
          </w:p>
        </w:tc>
        <w:tc>
          <w:tcPr>
            <w:shd w:val="clear" w:color="auto" w:fill="ffffff"/>
            <w:tcW w:w="8161"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冲水检验畅通</w:t>
            </w:r>
            <w:r>
              <w:rPr>
                <w:rFonts w:ascii="Calibri" w:hAnsi="Calibri"/>
                <w:color w:val="000000"/>
                <w:highlight w:val="none"/>
              </w:rPr>
            </w:r>
            <w:r/>
          </w:p>
        </w:tc>
        <w:tc>
          <w:tcPr>
            <w:shd w:val="clear" w:color="auto" w:fill="ffffff"/>
            <w:tcW w:w="1260"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c>
          <w:tcPr>
            <w:shd w:val="clear" w:color="auto" w:fill="ffffff"/>
            <w:tcW w:w="1080"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2</w:t>
            </w:r>
            <w:r>
              <w:rPr>
                <w:rFonts w:ascii="Calibri" w:hAnsi="Calibri"/>
                <w:color w:val="000000"/>
                <w:highlight w:val="none"/>
              </w:rPr>
            </w:r>
            <w:r/>
          </w:p>
        </w:tc>
        <w:tc>
          <w:tcPr>
            <w:shd w:val="clear" w:color="auto" w:fill="ffffff"/>
            <w:tcW w:w="1303"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0.5</w:t>
            </w:r>
            <w:r>
              <w:rPr>
                <w:rFonts w:ascii="Calibri" w:hAnsi="Calibri"/>
                <w:color w:val="000000"/>
                <w:highlight w:val="none"/>
              </w:rPr>
            </w:r>
            <w:r/>
          </w:p>
        </w:tc>
      </w:tr>
      <w:tr>
        <w:trPr>
          <w:tblCellSpacing w:w="0" w:type="dxa"/>
          <w:trHeight w:val="318"/>
        </w:trPr>
        <w:tc>
          <w:tcPr>
            <w:shd w:val="clear" w:color="auto" w:fill="ffffff"/>
            <w:tcW w:w="2114"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卫生</w:t>
            </w:r>
            <w:r>
              <w:rPr>
                <w:rFonts w:ascii="Calibri" w:hAnsi="Calibri"/>
                <w:color w:val="000000"/>
                <w:highlight w:val="none"/>
              </w:rPr>
            </w:r>
            <w:r/>
          </w:p>
        </w:tc>
        <w:tc>
          <w:tcPr>
            <w:shd w:val="clear" w:color="auto" w:fill="ffffff"/>
            <w:tcW w:w="8161"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路面无明显垃圾</w:t>
            </w:r>
            <w:r>
              <w:rPr>
                <w:rFonts w:ascii="Calibri" w:hAnsi="Calibri"/>
                <w:color w:val="000000"/>
                <w:highlight w:val="none"/>
              </w:rPr>
            </w:r>
            <w:r/>
          </w:p>
        </w:tc>
        <w:tc>
          <w:tcPr>
            <w:shd w:val="clear" w:color="auto" w:fill="ffffff"/>
            <w:tcW w:w="126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c>
          <w:tcPr>
            <w:gridSpan w:val="2"/>
            <w:shd w:val="clear" w:color="auto" w:fill="ffffff"/>
            <w:tcW w:w="2383"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检查范围内</w:t>
            </w:r>
            <w:r>
              <w:rPr>
                <w:rFonts w:ascii="Calibri" w:hAnsi="Calibri"/>
                <w:color w:val="000000"/>
                <w:highlight w:val="none"/>
              </w:rPr>
            </w:r>
            <w:r/>
          </w:p>
        </w:tc>
      </w:tr>
    </w:tbl>
    <w:p>
      <w:pPr>
        <w:pStyle w:val="856"/>
        <w:rPr>
          <w:rFonts w:hint="eastAsia" w:ascii="Calibri" w:hAnsi="Calibri" w:eastAsia="宋体"/>
          <w:color w:val="000000"/>
          <w:highlight w:val="none"/>
          <w:lang w:eastAsia="zh-CN"/>
        </w:rPr>
      </w:pPr>
      <w:r>
        <w:rPr>
          <w:rFonts w:hint="eastAsia" w:ascii="Calibri" w:hAnsi="Calibri" w:eastAsia="宋体"/>
          <w:color w:val="000000"/>
          <w:highlight w:val="none"/>
          <w:lang w:eastAsia="zh-CN"/>
        </w:rPr>
      </w:r>
      <w:r/>
    </w:p>
    <w:p>
      <w:pPr>
        <w:pStyle w:val="856"/>
        <w:rPr>
          <w:rFonts w:ascii="Calibri" w:hAnsi="Calibri"/>
          <w:color w:val="000000"/>
          <w:highlight w:val="none"/>
        </w:rPr>
      </w:pPr>
      <w:r>
        <w:rPr>
          <w:rFonts w:hint="eastAsia" w:ascii="Calibri" w:hAnsi="Calibri"/>
          <w:color w:val="000000"/>
          <w:highlight w:val="none"/>
        </w:rPr>
        <w:t xml:space="preserve">第十条污水管道疏通质量抽查及考核办法（每次疏通后都应该检查，最后得分根据疏通次数取平均值）6分</w:t>
      </w:r>
      <w:r>
        <w:rPr>
          <w:rFonts w:ascii="Calibri" w:hAnsi="Calibri"/>
          <w:color w:val="000000"/>
          <w:highlight w:val="none"/>
        </w:rPr>
      </w:r>
      <w:r/>
    </w:p>
    <w:tbl>
      <w:tblPr>
        <w:tblW w:w="0" w:type="auto"/>
        <w:tblCellSpacing w:w="0"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1044"/>
        <w:gridCol w:w="2963"/>
        <w:gridCol w:w="3498"/>
        <w:gridCol w:w="790"/>
        <w:gridCol w:w="1350"/>
      </w:tblGrid>
      <w:tr>
        <w:trPr>
          <w:tblCellSpacing w:w="0" w:type="dxa"/>
          <w:trHeight w:val="261"/>
        </w:trPr>
        <w:tc>
          <w:tcPr>
            <w:shd w:val="clear" w:color="auto" w:fill="ffffff"/>
            <w:tcW w:w="1484"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检查项目</w:t>
            </w:r>
            <w:r>
              <w:rPr>
                <w:rFonts w:ascii="Calibri" w:hAnsi="Calibri"/>
                <w:color w:val="000000"/>
                <w:highlight w:val="none"/>
              </w:rPr>
            </w:r>
            <w:r/>
          </w:p>
        </w:tc>
        <w:tc>
          <w:tcPr>
            <w:shd w:val="clear" w:color="auto" w:fill="ffffff"/>
            <w:tcW w:w="4336"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质量要求</w:t>
            </w:r>
            <w:r>
              <w:rPr>
                <w:rFonts w:ascii="Calibri" w:hAnsi="Calibri"/>
                <w:color w:val="000000"/>
                <w:highlight w:val="none"/>
              </w:rPr>
            </w:r>
            <w:r/>
          </w:p>
        </w:tc>
        <w:tc>
          <w:tcPr>
            <w:shd w:val="clear" w:color="auto" w:fill="ffffff"/>
            <w:tcW w:w="5164"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说明</w:t>
            </w:r>
            <w:r>
              <w:rPr>
                <w:rFonts w:ascii="Calibri" w:hAnsi="Calibri"/>
                <w:color w:val="000000"/>
                <w:highlight w:val="none"/>
              </w:rPr>
            </w:r>
            <w:r/>
          </w:p>
        </w:tc>
        <w:tc>
          <w:tcPr>
            <w:shd w:val="clear" w:color="auto" w:fill="ffffff"/>
            <w:tcW w:w="1091"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本项总分</w:t>
            </w:r>
            <w:r>
              <w:rPr>
                <w:rFonts w:ascii="Calibri" w:hAnsi="Calibri"/>
                <w:color w:val="000000"/>
                <w:highlight w:val="none"/>
              </w:rPr>
            </w:r>
            <w:r/>
          </w:p>
        </w:tc>
        <w:tc>
          <w:tcPr>
            <w:shd w:val="clear" w:color="auto" w:fill="ffffff"/>
            <w:tcW w:w="1842"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检查数量</w:t>
            </w:r>
            <w:r>
              <w:rPr>
                <w:rFonts w:ascii="Calibri" w:hAnsi="Calibri"/>
                <w:color w:val="000000"/>
                <w:highlight w:val="none"/>
              </w:rPr>
            </w:r>
            <w:r/>
          </w:p>
        </w:tc>
      </w:tr>
      <w:tr>
        <w:trPr>
          <w:tblCellSpacing w:w="0" w:type="dxa"/>
          <w:trHeight w:val="550"/>
        </w:trPr>
        <w:tc>
          <w:tcPr>
            <w:shd w:val="clear" w:color="auto" w:fill="ffffff"/>
            <w:tcW w:w="1484"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安全文明</w:t>
            </w:r>
            <w:r>
              <w:rPr>
                <w:rFonts w:ascii="Calibri" w:hAnsi="Calibri"/>
                <w:color w:val="000000"/>
                <w:highlight w:val="none"/>
              </w:rPr>
            </w:r>
            <w:r/>
          </w:p>
        </w:tc>
        <w:tc>
          <w:tcPr>
            <w:shd w:val="clear" w:color="auto" w:fill="ffffff"/>
            <w:tcW w:w="4336"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按批准的疏通计划和安全作业规程施工，安全措施得当，完工后及时清洗路面</w:t>
            </w:r>
            <w:r>
              <w:rPr>
                <w:rFonts w:ascii="Calibri" w:hAnsi="Calibri"/>
                <w:color w:val="000000"/>
                <w:highlight w:val="none"/>
              </w:rPr>
            </w:r>
            <w:r/>
          </w:p>
        </w:tc>
        <w:tc>
          <w:tcPr>
            <w:shd w:val="clear" w:color="auto" w:fill="ffffff"/>
            <w:tcW w:w="5164"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提倡机械作业，专人引导交通，有相应的标志标示牌</w:t>
            </w:r>
            <w:r>
              <w:rPr>
                <w:rFonts w:ascii="Calibri" w:hAnsi="Calibri"/>
                <w:color w:val="000000"/>
                <w:highlight w:val="none"/>
              </w:rPr>
            </w:r>
            <w:r/>
          </w:p>
        </w:tc>
        <w:tc>
          <w:tcPr>
            <w:shd w:val="clear" w:color="auto" w:fill="ffffff"/>
            <w:tcW w:w="1091"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c>
          <w:tcPr>
            <w:shd w:val="clear" w:color="auto" w:fill="ffffff"/>
            <w:tcW w:w="1842" w:type="dxa"/>
            <w:vAlign w:val="center"/>
            <w:textDirection w:val="lrTb"/>
            <w:noWrap w:val="false"/>
          </w:tcPr>
          <w:p>
            <w:pPr>
              <w:pStyle w:val="856"/>
              <w:rPr>
                <w:rFonts w:ascii="Calibri" w:hAnsi="Calibri"/>
                <w:color w:val="000000"/>
                <w:highlight w:val="none"/>
              </w:rPr>
            </w:pPr>
            <w:r>
              <w:rPr>
                <w:rFonts w:ascii="Calibri" w:hAnsi="Calibri"/>
                <w:color w:val="000000"/>
                <w:highlight w:val="none"/>
              </w:rPr>
            </w:r>
            <w:r/>
          </w:p>
        </w:tc>
      </w:tr>
      <w:tr>
        <w:trPr>
          <w:tblCellSpacing w:w="0" w:type="dxa"/>
          <w:trHeight w:val="671"/>
        </w:trPr>
        <w:tc>
          <w:tcPr>
            <w:shd w:val="clear" w:color="auto" w:fill="ffffff"/>
            <w:tcW w:w="1484"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管道畅通</w:t>
            </w:r>
            <w:r>
              <w:rPr>
                <w:rFonts w:ascii="Calibri" w:hAnsi="Calibri"/>
                <w:color w:val="000000"/>
                <w:highlight w:val="none"/>
              </w:rPr>
            </w:r>
            <w:r/>
          </w:p>
        </w:tc>
        <w:tc>
          <w:tcPr>
            <w:shd w:val="clear" w:color="auto" w:fill="ffffff"/>
            <w:tcW w:w="4336"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采用潜望镜或反光镜检查，水流能顺利通行，畅行无阻</w:t>
            </w:r>
            <w:r>
              <w:rPr>
                <w:rFonts w:ascii="Calibri" w:hAnsi="Calibri"/>
                <w:color w:val="000000"/>
                <w:highlight w:val="none"/>
              </w:rPr>
            </w:r>
            <w:r/>
          </w:p>
        </w:tc>
        <w:tc>
          <w:tcPr>
            <w:shd w:val="clear" w:color="auto" w:fill="ffffff"/>
            <w:tcW w:w="5164"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检查时水流遇阻，则视具体情况适当扣分，因管道本身有障碍而事先提出者可不予扣分</w:t>
            </w:r>
            <w:r>
              <w:rPr>
                <w:rFonts w:ascii="Calibri" w:hAnsi="Calibri"/>
                <w:color w:val="000000"/>
                <w:highlight w:val="none"/>
              </w:rPr>
            </w:r>
            <w:r/>
          </w:p>
        </w:tc>
        <w:tc>
          <w:tcPr>
            <w:shd w:val="clear" w:color="auto" w:fill="ffffff"/>
            <w:tcW w:w="1091"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5</w:t>
            </w:r>
            <w:r>
              <w:rPr>
                <w:rFonts w:ascii="Calibri" w:hAnsi="Calibri"/>
                <w:color w:val="000000"/>
                <w:highlight w:val="none"/>
              </w:rPr>
            </w:r>
            <w:r/>
          </w:p>
        </w:tc>
        <w:tc>
          <w:tcPr>
            <w:shd w:val="clear" w:color="auto" w:fill="ffffff"/>
            <w:tcW w:w="1842"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两节管道，上游一节，下游一节</w:t>
            </w:r>
            <w:r>
              <w:rPr>
                <w:rFonts w:ascii="Calibri" w:hAnsi="Calibri"/>
                <w:color w:val="000000"/>
                <w:highlight w:val="none"/>
              </w:rPr>
            </w:r>
            <w:r/>
          </w:p>
        </w:tc>
      </w:tr>
    </w:tbl>
    <w:p>
      <w:pPr>
        <w:pStyle w:val="856"/>
        <w:rPr>
          <w:rFonts w:hint="eastAsia" w:ascii="Calibri" w:hAnsi="Calibri" w:eastAsia="宋体"/>
          <w:color w:val="000000"/>
          <w:highlight w:val="none"/>
          <w:lang w:eastAsia="zh-CN"/>
        </w:rPr>
      </w:pPr>
      <w:r>
        <w:rPr>
          <w:rFonts w:hint="eastAsia" w:ascii="Calibri" w:hAnsi="Calibri" w:eastAsia="宋体"/>
          <w:color w:val="000000"/>
          <w:highlight w:val="none"/>
          <w:lang w:eastAsia="zh-CN"/>
        </w:rPr>
      </w:r>
      <w:r/>
    </w:p>
    <w:p>
      <w:pPr>
        <w:pStyle w:val="856"/>
        <w:rPr>
          <w:rFonts w:ascii="Calibri" w:hAnsi="Calibri"/>
          <w:color w:val="000000"/>
          <w:highlight w:val="none"/>
        </w:rPr>
      </w:pPr>
      <w:r>
        <w:rPr>
          <w:rFonts w:hint="eastAsia" w:ascii="Calibri" w:hAnsi="Calibri"/>
          <w:color w:val="000000"/>
          <w:highlight w:val="none"/>
        </w:rPr>
        <w:t xml:space="preserve">第十一条泵站运行维护质量抽查及考核办法（扣分项有一处不满足，该项得分为零）</w:t>
      </w:r>
      <w:r>
        <w:rPr>
          <w:rFonts w:ascii="Calibri" w:hAnsi="Calibri"/>
          <w:color w:val="000000"/>
          <w:highlight w:val="none"/>
        </w:rPr>
      </w:r>
      <w:r/>
    </w:p>
    <w:tbl>
      <w:tblPr>
        <w:tblW w:w="0" w:type="auto"/>
        <w:tblCellSpacing w:w="0"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24"/>
        <w:gridCol w:w="3197"/>
        <w:gridCol w:w="3467"/>
        <w:gridCol w:w="1209"/>
        <w:gridCol w:w="848"/>
      </w:tblGrid>
      <w:tr>
        <w:trPr>
          <w:tblCellSpacing w:w="0" w:type="dxa"/>
          <w:trHeight w:val="283"/>
        </w:trPr>
        <w:tc>
          <w:tcPr>
            <w:shd w:val="clear" w:color="auto" w:fill="ffffff"/>
            <w:tcW w:w="1192"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检查项目</w:t>
            </w:r>
            <w:r>
              <w:rPr>
                <w:rFonts w:ascii="Calibri" w:hAnsi="Calibri"/>
                <w:color w:val="000000"/>
                <w:highlight w:val="none"/>
              </w:rPr>
            </w:r>
            <w:r/>
          </w:p>
        </w:tc>
        <w:tc>
          <w:tcPr>
            <w:shd w:val="clear" w:color="auto" w:fill="ffffff"/>
            <w:tcW w:w="4633"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运行维护质量要求</w:t>
            </w:r>
            <w:r>
              <w:rPr>
                <w:rFonts w:ascii="Calibri" w:hAnsi="Calibri"/>
                <w:color w:val="000000"/>
                <w:highlight w:val="none"/>
              </w:rPr>
            </w:r>
            <w:r/>
          </w:p>
        </w:tc>
        <w:tc>
          <w:tcPr>
            <w:shd w:val="clear" w:color="auto" w:fill="ffffff"/>
            <w:tcW w:w="5174"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说明</w:t>
            </w:r>
            <w:r>
              <w:rPr>
                <w:rFonts w:ascii="Calibri" w:hAnsi="Calibri"/>
                <w:color w:val="000000"/>
                <w:highlight w:val="none"/>
              </w:rPr>
            </w:r>
            <w:r/>
          </w:p>
        </w:tc>
        <w:tc>
          <w:tcPr>
            <w:shd w:val="clear" w:color="auto" w:fill="ffffff"/>
            <w:tcW w:w="1726"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本项总分</w:t>
            </w:r>
            <w:r>
              <w:rPr>
                <w:rFonts w:ascii="Calibri" w:hAnsi="Calibri"/>
                <w:color w:val="000000"/>
                <w:highlight w:val="none"/>
              </w:rPr>
            </w:r>
            <w:r/>
          </w:p>
        </w:tc>
        <w:tc>
          <w:tcPr>
            <w:shd w:val="clear" w:color="auto" w:fill="ffffff"/>
            <w:tcW w:w="1192"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检查频度</w:t>
            </w:r>
            <w:r>
              <w:rPr>
                <w:rFonts w:ascii="Calibri" w:hAnsi="Calibri"/>
                <w:color w:val="000000"/>
                <w:highlight w:val="none"/>
              </w:rPr>
            </w:r>
            <w:r/>
          </w:p>
        </w:tc>
      </w:tr>
      <w:tr>
        <w:trPr>
          <w:tblCellSpacing w:w="0" w:type="dxa"/>
          <w:trHeight w:val="558"/>
        </w:trPr>
        <w:tc>
          <w:tcPr>
            <w:shd w:val="clear" w:color="auto" w:fill="ffffff"/>
            <w:tcW w:w="1192" w:type="dxa"/>
            <w:vAlign w:val="center"/>
            <w:vMerge w:val="restart"/>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高压开关柜</w:t>
            </w:r>
            <w:r>
              <w:rPr>
                <w:rFonts w:ascii="Calibri" w:hAnsi="Calibri"/>
                <w:color w:val="000000"/>
                <w:highlight w:val="none"/>
              </w:rPr>
            </w:r>
            <w:r/>
          </w:p>
        </w:tc>
        <w:tc>
          <w:tcPr>
            <w:shd w:val="clear" w:color="auto" w:fill="ffffff"/>
            <w:tcW w:w="4633"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倒闸制度上墙、挡鼠板完好、进出线封堵完好、电缆沟无异物、开关柜无积尘、锈蚀、异响</w:t>
            </w:r>
            <w:r>
              <w:rPr>
                <w:rFonts w:ascii="Calibri" w:hAnsi="Calibri"/>
                <w:color w:val="000000"/>
                <w:highlight w:val="none"/>
              </w:rPr>
            </w:r>
            <w:r/>
          </w:p>
        </w:tc>
        <w:tc>
          <w:tcPr>
            <w:shd w:val="clear" w:color="auto" w:fill="ffffff"/>
            <w:tcW w:w="5174"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外观检查</w:t>
            </w:r>
            <w:r>
              <w:rPr>
                <w:rFonts w:ascii="Calibri" w:hAnsi="Calibri"/>
                <w:color w:val="000000"/>
                <w:highlight w:val="none"/>
              </w:rPr>
            </w:r>
            <w:r/>
          </w:p>
        </w:tc>
        <w:tc>
          <w:tcPr>
            <w:shd w:val="clear" w:color="auto" w:fill="ffffff"/>
            <w:tcW w:w="1726"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0.5</w:t>
            </w:r>
            <w:r>
              <w:rPr>
                <w:rFonts w:ascii="Calibri" w:hAnsi="Calibri"/>
                <w:color w:val="000000"/>
                <w:highlight w:val="none"/>
              </w:rPr>
            </w:r>
            <w:r/>
          </w:p>
        </w:tc>
        <w:tc>
          <w:tcPr>
            <w:shd w:val="clear" w:color="auto" w:fill="ffffff"/>
            <w:tcW w:w="1192" w:type="dxa"/>
            <w:vAlign w:val="center"/>
            <w:vMerge w:val="restart"/>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每季度不定期一次</w:t>
            </w:r>
            <w:r>
              <w:rPr>
                <w:rFonts w:ascii="Calibri" w:hAnsi="Calibri"/>
                <w:color w:val="000000"/>
                <w:highlight w:val="none"/>
              </w:rPr>
            </w:r>
            <w:r/>
          </w:p>
        </w:tc>
      </w:tr>
      <w:tr>
        <w:trPr>
          <w:tblCellSpacing w:w="0" w:type="dxa"/>
          <w:trHeight w:val="382"/>
        </w:trPr>
        <w:tc>
          <w:tcPr>
            <w:shd w:val="clear" w:color="auto" w:fill="ffffff"/>
            <w:tcW w:w="1192" w:type="dxa"/>
            <w:vAlign w:val="center"/>
            <w:vMerge w:val="continue"/>
            <w:textDirection w:val="lrTb"/>
            <w:noWrap w:val="false"/>
          </w:tcPr>
          <w:p>
            <w:pPr>
              <w:pStyle w:val="856"/>
              <w:jc w:val="center"/>
              <w:rPr>
                <w:rFonts w:ascii="Calibri" w:hAnsi="Calibri"/>
                <w:color w:val="000000"/>
                <w:highlight w:val="none"/>
              </w:rPr>
            </w:pPr>
            <w:r>
              <w:rPr>
                <w:rFonts w:ascii="Calibri" w:hAnsi="Calibri"/>
                <w:color w:val="000000"/>
                <w:highlight w:val="none"/>
              </w:rPr>
            </w:r>
            <w:r/>
          </w:p>
        </w:tc>
        <w:tc>
          <w:tcPr>
            <w:shd w:val="clear" w:color="auto" w:fill="ffffff"/>
            <w:tcW w:w="4633"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现场操作，动作正常，仪表指示灯正常，无异响</w:t>
            </w:r>
            <w:r>
              <w:rPr>
                <w:rFonts w:ascii="Calibri" w:hAnsi="Calibri"/>
                <w:color w:val="000000"/>
                <w:highlight w:val="none"/>
              </w:rPr>
            </w:r>
            <w:r/>
          </w:p>
        </w:tc>
        <w:tc>
          <w:tcPr>
            <w:shd w:val="clear" w:color="auto" w:fill="ffffff"/>
            <w:tcW w:w="5174"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实操（注意六氟化硫高压开关压力值）</w:t>
            </w:r>
            <w:r>
              <w:rPr>
                <w:rFonts w:ascii="Calibri" w:hAnsi="Calibri"/>
                <w:color w:val="000000"/>
                <w:highlight w:val="none"/>
              </w:rPr>
            </w:r>
            <w:r/>
          </w:p>
        </w:tc>
        <w:tc>
          <w:tcPr>
            <w:shd w:val="clear" w:color="auto" w:fill="ffffff"/>
            <w:tcW w:w="1726"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c>
          <w:tcPr>
            <w:shd w:val="clear" w:color="auto" w:fill="ffffff"/>
            <w:tcW w:w="1192"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r>
      <w:tr>
        <w:trPr>
          <w:tblCellSpacing w:w="0" w:type="dxa"/>
          <w:trHeight w:val="430"/>
        </w:trPr>
        <w:tc>
          <w:tcPr>
            <w:shd w:val="clear" w:color="auto" w:fill="ffffff"/>
            <w:tcW w:w="1192" w:type="dxa"/>
            <w:vAlign w:val="center"/>
            <w:vMerge w:val="continue"/>
            <w:textDirection w:val="lrTb"/>
            <w:noWrap w:val="false"/>
          </w:tcPr>
          <w:p>
            <w:pPr>
              <w:pStyle w:val="856"/>
              <w:jc w:val="center"/>
              <w:rPr>
                <w:rFonts w:ascii="Calibri" w:hAnsi="Calibri"/>
                <w:color w:val="000000"/>
                <w:highlight w:val="none"/>
              </w:rPr>
            </w:pPr>
            <w:r>
              <w:rPr>
                <w:rFonts w:ascii="Calibri" w:hAnsi="Calibri"/>
                <w:color w:val="000000"/>
                <w:highlight w:val="none"/>
              </w:rPr>
            </w:r>
            <w:r/>
          </w:p>
        </w:tc>
        <w:tc>
          <w:tcPr>
            <w:shd w:val="clear" w:color="auto" w:fill="ffffff"/>
            <w:tcW w:w="4633"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安全工器具齐全有效（灭火器、高压验电器、绝缘手套、绝缘靴、挡鼠板、绝缘垫），强检合格有效</w:t>
            </w:r>
            <w:r>
              <w:rPr>
                <w:rFonts w:ascii="Calibri" w:hAnsi="Calibri"/>
                <w:color w:val="000000"/>
                <w:highlight w:val="none"/>
              </w:rPr>
            </w:r>
            <w:r/>
          </w:p>
        </w:tc>
        <w:tc>
          <w:tcPr>
            <w:shd w:val="clear" w:color="auto" w:fill="ffffff"/>
            <w:tcW w:w="5174"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检查灭火器压力值、强检时间、绝缘手套、绝缘靴进行外观检查</w:t>
            </w:r>
            <w:r>
              <w:rPr>
                <w:rFonts w:ascii="Calibri" w:hAnsi="Calibri"/>
                <w:color w:val="000000"/>
                <w:highlight w:val="none"/>
              </w:rPr>
            </w:r>
            <w:r/>
          </w:p>
        </w:tc>
        <w:tc>
          <w:tcPr>
            <w:shd w:val="clear" w:color="auto" w:fill="ffffff"/>
            <w:tcW w:w="1726"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c>
          <w:tcPr>
            <w:shd w:val="clear" w:color="auto" w:fill="ffffff"/>
            <w:tcW w:w="1192"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r>
      <w:tr>
        <w:trPr>
          <w:tblCellSpacing w:w="0" w:type="dxa"/>
          <w:trHeight w:val="552"/>
        </w:trPr>
        <w:tc>
          <w:tcPr>
            <w:shd w:val="clear" w:color="auto" w:fill="ffffff"/>
            <w:tcW w:w="1192" w:type="dxa"/>
            <w:vAlign w:val="center"/>
            <w:vMerge w:val="restart"/>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变压器</w:t>
            </w:r>
            <w:r>
              <w:rPr>
                <w:rFonts w:ascii="Calibri" w:hAnsi="Calibri"/>
                <w:color w:val="000000"/>
                <w:highlight w:val="none"/>
              </w:rPr>
            </w:r>
            <w:r/>
          </w:p>
        </w:tc>
        <w:tc>
          <w:tcPr>
            <w:shd w:val="clear" w:color="auto" w:fill="ffffff"/>
            <w:tcW w:w="4633"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挡鼠板完好、进出线封堵完好、电缆沟无异物、开关柜无积尘、锈蚀</w:t>
            </w:r>
            <w:r>
              <w:rPr>
                <w:rFonts w:ascii="Calibri" w:hAnsi="Calibri"/>
                <w:color w:val="000000"/>
                <w:highlight w:val="none"/>
              </w:rPr>
            </w:r>
            <w:r/>
          </w:p>
        </w:tc>
        <w:tc>
          <w:tcPr>
            <w:shd w:val="clear" w:color="auto" w:fill="ffffff"/>
            <w:tcW w:w="5174"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外观检查</w:t>
            </w:r>
            <w:r>
              <w:rPr>
                <w:rFonts w:ascii="Calibri" w:hAnsi="Calibri"/>
                <w:color w:val="000000"/>
                <w:highlight w:val="none"/>
              </w:rPr>
            </w:r>
            <w:r/>
          </w:p>
        </w:tc>
        <w:tc>
          <w:tcPr>
            <w:shd w:val="clear" w:color="auto" w:fill="ffffff"/>
            <w:tcW w:w="1726"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0.5</w:t>
            </w:r>
            <w:r>
              <w:rPr>
                <w:rFonts w:ascii="Calibri" w:hAnsi="Calibri"/>
                <w:color w:val="000000"/>
                <w:highlight w:val="none"/>
              </w:rPr>
            </w:r>
            <w:r/>
          </w:p>
        </w:tc>
        <w:tc>
          <w:tcPr>
            <w:shd w:val="clear" w:color="auto" w:fill="ffffff"/>
            <w:tcW w:w="1192" w:type="dxa"/>
            <w:vAlign w:val="center"/>
            <w:vMerge w:val="restart"/>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每季度不定期一次</w:t>
            </w:r>
            <w:r>
              <w:rPr>
                <w:rFonts w:ascii="Calibri" w:hAnsi="Calibri"/>
                <w:color w:val="000000"/>
                <w:highlight w:val="none"/>
              </w:rPr>
            </w:r>
            <w:r/>
          </w:p>
        </w:tc>
      </w:tr>
      <w:tr>
        <w:trPr>
          <w:tblCellSpacing w:w="0" w:type="dxa"/>
          <w:trHeight w:val="518"/>
        </w:trPr>
        <w:tc>
          <w:tcPr>
            <w:shd w:val="clear" w:color="auto" w:fill="ffffff"/>
            <w:tcW w:w="1192" w:type="dxa"/>
            <w:vAlign w:val="center"/>
            <w:vMerge w:val="continue"/>
            <w:textDirection w:val="lrTb"/>
            <w:noWrap w:val="false"/>
          </w:tcPr>
          <w:p>
            <w:pPr>
              <w:pStyle w:val="856"/>
              <w:jc w:val="center"/>
              <w:rPr>
                <w:rFonts w:ascii="Calibri" w:hAnsi="Calibri"/>
                <w:color w:val="000000"/>
                <w:highlight w:val="none"/>
              </w:rPr>
            </w:pPr>
            <w:r>
              <w:rPr>
                <w:rFonts w:ascii="Calibri" w:hAnsi="Calibri"/>
                <w:color w:val="000000"/>
                <w:highlight w:val="none"/>
              </w:rPr>
            </w:r>
            <w:r/>
          </w:p>
        </w:tc>
        <w:tc>
          <w:tcPr>
            <w:shd w:val="clear" w:color="auto" w:fill="ffffff"/>
            <w:tcW w:w="4633"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线缆接头无锈蚀或变色情况、温度显示正常，无异响，风机手动正常</w:t>
            </w:r>
            <w:r>
              <w:rPr>
                <w:rFonts w:ascii="Calibri" w:hAnsi="Calibri"/>
                <w:color w:val="000000"/>
                <w:highlight w:val="none"/>
              </w:rPr>
            </w:r>
            <w:r/>
          </w:p>
        </w:tc>
        <w:tc>
          <w:tcPr>
            <w:shd w:val="clear" w:color="auto" w:fill="ffffff"/>
            <w:tcW w:w="5174"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实操（风机动作温度调低后是否运转正常）</w:t>
            </w:r>
            <w:r>
              <w:rPr>
                <w:rFonts w:ascii="Calibri" w:hAnsi="Calibri"/>
                <w:color w:val="000000"/>
                <w:highlight w:val="none"/>
              </w:rPr>
            </w:r>
            <w:r/>
          </w:p>
        </w:tc>
        <w:tc>
          <w:tcPr>
            <w:shd w:val="clear" w:color="auto" w:fill="ffffff"/>
            <w:tcW w:w="1726"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c>
          <w:tcPr>
            <w:shd w:val="clear" w:color="auto" w:fill="ffffff"/>
            <w:tcW w:w="1192"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r>
      <w:tr>
        <w:trPr>
          <w:tblCellSpacing w:w="0" w:type="dxa"/>
          <w:trHeight w:val="445"/>
        </w:trPr>
        <w:tc>
          <w:tcPr>
            <w:shd w:val="clear" w:color="auto" w:fill="ffffff"/>
            <w:tcW w:w="1192" w:type="dxa"/>
            <w:vAlign w:val="center"/>
            <w:vMerge w:val="continue"/>
            <w:textDirection w:val="lrTb"/>
            <w:noWrap w:val="false"/>
          </w:tcPr>
          <w:p>
            <w:pPr>
              <w:pStyle w:val="856"/>
              <w:jc w:val="center"/>
              <w:rPr>
                <w:rFonts w:ascii="Calibri" w:hAnsi="Calibri"/>
                <w:color w:val="000000"/>
                <w:highlight w:val="none"/>
              </w:rPr>
            </w:pPr>
            <w:r>
              <w:rPr>
                <w:rFonts w:ascii="Calibri" w:hAnsi="Calibri"/>
                <w:color w:val="000000"/>
                <w:highlight w:val="none"/>
              </w:rPr>
            </w:r>
            <w:r/>
          </w:p>
        </w:tc>
        <w:tc>
          <w:tcPr>
            <w:shd w:val="clear" w:color="auto" w:fill="ffffff"/>
            <w:tcW w:w="4633"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强检合格有效</w:t>
            </w:r>
            <w:r>
              <w:rPr>
                <w:rFonts w:ascii="Calibri" w:hAnsi="Calibri"/>
                <w:color w:val="000000"/>
                <w:highlight w:val="none"/>
              </w:rPr>
            </w:r>
            <w:r/>
          </w:p>
        </w:tc>
        <w:tc>
          <w:tcPr>
            <w:shd w:val="clear" w:color="auto" w:fill="ffffff"/>
            <w:tcW w:w="5174"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检查强检时间</w:t>
            </w:r>
            <w:r>
              <w:rPr>
                <w:rFonts w:ascii="Calibri" w:hAnsi="Calibri"/>
                <w:color w:val="000000"/>
                <w:highlight w:val="none"/>
              </w:rPr>
            </w:r>
            <w:r/>
          </w:p>
        </w:tc>
        <w:tc>
          <w:tcPr>
            <w:shd w:val="clear" w:color="auto" w:fill="ffffff"/>
            <w:tcW w:w="1726"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0.5</w:t>
            </w:r>
            <w:r>
              <w:rPr>
                <w:rFonts w:ascii="Calibri" w:hAnsi="Calibri"/>
                <w:color w:val="000000"/>
                <w:highlight w:val="none"/>
              </w:rPr>
            </w:r>
            <w:r/>
          </w:p>
        </w:tc>
        <w:tc>
          <w:tcPr>
            <w:shd w:val="clear" w:color="auto" w:fill="ffffff"/>
            <w:tcW w:w="1192"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r>
      <w:tr>
        <w:trPr>
          <w:tblCellSpacing w:w="0" w:type="dxa"/>
          <w:trHeight w:val="756"/>
        </w:trPr>
        <w:tc>
          <w:tcPr>
            <w:shd w:val="clear" w:color="auto" w:fill="ffffff"/>
            <w:tcW w:w="1192" w:type="dxa"/>
            <w:vAlign w:val="center"/>
            <w:vMerge w:val="restart"/>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低压柜</w:t>
            </w:r>
            <w:r>
              <w:rPr>
                <w:rFonts w:ascii="Calibri" w:hAnsi="Calibri"/>
                <w:color w:val="000000"/>
                <w:highlight w:val="none"/>
              </w:rPr>
            </w:r>
            <w:r/>
          </w:p>
        </w:tc>
        <w:tc>
          <w:tcPr>
            <w:shd w:val="clear" w:color="auto" w:fill="ffffff"/>
            <w:tcW w:w="4633"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室内卫生，绝缘垫齐整，挡鼠板完好、进出线封堵完好、电缆沟无异物、开关柜无积尘、锈蚀、无异响</w:t>
            </w:r>
            <w:r>
              <w:rPr>
                <w:rFonts w:ascii="Calibri" w:hAnsi="Calibri"/>
                <w:color w:val="000000"/>
                <w:highlight w:val="none"/>
              </w:rPr>
            </w:r>
            <w:r/>
          </w:p>
        </w:tc>
        <w:tc>
          <w:tcPr>
            <w:shd w:val="clear" w:color="auto" w:fill="ffffff"/>
            <w:tcW w:w="5174"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外观检查</w:t>
            </w:r>
            <w:r>
              <w:rPr>
                <w:rFonts w:ascii="Calibri" w:hAnsi="Calibri"/>
                <w:color w:val="000000"/>
                <w:highlight w:val="none"/>
              </w:rPr>
            </w:r>
            <w:r/>
          </w:p>
        </w:tc>
        <w:tc>
          <w:tcPr>
            <w:shd w:val="clear" w:color="auto" w:fill="ffffff"/>
            <w:tcW w:w="1726"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0.5</w:t>
            </w:r>
            <w:r>
              <w:rPr>
                <w:rFonts w:ascii="Calibri" w:hAnsi="Calibri"/>
                <w:color w:val="000000"/>
                <w:highlight w:val="none"/>
              </w:rPr>
            </w:r>
            <w:r/>
          </w:p>
        </w:tc>
        <w:tc>
          <w:tcPr>
            <w:shd w:val="clear" w:color="auto" w:fill="ffffff"/>
            <w:tcW w:w="1192" w:type="dxa"/>
            <w:vAlign w:val="center"/>
            <w:vMerge w:val="restart"/>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每季度不定期一次</w:t>
            </w:r>
            <w:r>
              <w:rPr>
                <w:rFonts w:ascii="Calibri" w:hAnsi="Calibri"/>
                <w:color w:val="000000"/>
                <w:highlight w:val="none"/>
              </w:rPr>
            </w:r>
            <w:r/>
          </w:p>
        </w:tc>
      </w:tr>
      <w:tr>
        <w:trPr>
          <w:tblCellSpacing w:w="0" w:type="dxa"/>
          <w:trHeight w:val="259"/>
        </w:trPr>
        <w:tc>
          <w:tcPr>
            <w:shd w:val="clear" w:color="auto" w:fill="ffffff"/>
            <w:tcW w:w="1192"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c>
          <w:tcPr>
            <w:shd w:val="clear" w:color="auto" w:fill="ffffff"/>
            <w:tcW w:w="4633"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无转供电情况</w:t>
            </w:r>
            <w:r>
              <w:rPr>
                <w:rFonts w:ascii="Calibri" w:hAnsi="Calibri"/>
                <w:color w:val="000000"/>
                <w:highlight w:val="none"/>
              </w:rPr>
            </w:r>
            <w:r/>
          </w:p>
        </w:tc>
        <w:tc>
          <w:tcPr>
            <w:shd w:val="clear" w:color="auto" w:fill="ffffff"/>
            <w:tcW w:w="5174" w:type="dxa"/>
            <w:vAlign w:val="top"/>
            <w:textDirection w:val="lrTb"/>
            <w:noWrap w:val="false"/>
          </w:tcPr>
          <w:p>
            <w:pPr>
              <w:pStyle w:val="856"/>
              <w:rPr>
                <w:rFonts w:ascii="Calibri" w:hAnsi="Calibri"/>
                <w:color w:val="000000"/>
                <w:highlight w:val="none"/>
              </w:rPr>
            </w:pPr>
            <w:r>
              <w:rPr>
                <w:rFonts w:ascii="Calibri" w:hAnsi="Calibri"/>
                <w:color w:val="000000"/>
                <w:highlight w:val="none"/>
              </w:rPr>
            </w:r>
            <w:r/>
          </w:p>
        </w:tc>
        <w:tc>
          <w:tcPr>
            <w:shd w:val="clear" w:color="auto" w:fill="ffffff"/>
            <w:tcW w:w="1726"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c>
          <w:tcPr>
            <w:shd w:val="clear" w:color="auto" w:fill="ffffff"/>
            <w:tcW w:w="1192"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r>
      <w:tr>
        <w:trPr>
          <w:tblCellSpacing w:w="0" w:type="dxa"/>
          <w:trHeight w:val="1126"/>
        </w:trPr>
        <w:tc>
          <w:tcPr>
            <w:shd w:val="clear" w:color="auto" w:fill="ffffff"/>
            <w:tcW w:w="1192"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c>
          <w:tcPr>
            <w:shd w:val="clear" w:color="auto" w:fill="ffffff"/>
            <w:tcW w:w="4633"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电压、电流用万用表检验，仪表指示灯正常，电压值不超过380正负10%，线缆接头无锈蚀或变色情况，开关标识清晰与模拟图版一致，手操开关正常无卡阻</w:t>
            </w:r>
            <w:r>
              <w:rPr>
                <w:rFonts w:ascii="Calibri" w:hAnsi="Calibri"/>
                <w:color w:val="000000"/>
                <w:highlight w:val="none"/>
              </w:rPr>
            </w:r>
            <w:r/>
          </w:p>
        </w:tc>
        <w:tc>
          <w:tcPr>
            <w:shd w:val="clear" w:color="auto" w:fill="ffffff"/>
            <w:tcW w:w="5174"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实操（风机动作温度调低后是否运转正常）</w:t>
            </w:r>
            <w:r>
              <w:rPr>
                <w:rFonts w:ascii="Calibri" w:hAnsi="Calibri"/>
                <w:color w:val="000000"/>
                <w:highlight w:val="none"/>
              </w:rPr>
            </w:r>
            <w:r/>
          </w:p>
        </w:tc>
        <w:tc>
          <w:tcPr>
            <w:shd w:val="clear" w:color="auto" w:fill="ffffff"/>
            <w:tcW w:w="1726"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c>
          <w:tcPr>
            <w:shd w:val="clear" w:color="auto" w:fill="ffffff"/>
            <w:tcW w:w="1192"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r>
      <w:tr>
        <w:trPr>
          <w:tblCellSpacing w:w="0" w:type="dxa"/>
          <w:trHeight w:val="350"/>
        </w:trPr>
        <w:tc>
          <w:tcPr>
            <w:shd w:val="clear" w:color="auto" w:fill="ffffff"/>
            <w:tcW w:w="1192" w:type="dxa"/>
            <w:vAlign w:val="center"/>
            <w:vMerge w:val="restart"/>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自动控制柜</w:t>
            </w:r>
            <w:r>
              <w:rPr>
                <w:rFonts w:ascii="Calibri" w:hAnsi="Calibri"/>
                <w:color w:val="000000"/>
                <w:highlight w:val="none"/>
              </w:rPr>
            </w:r>
            <w:r/>
          </w:p>
        </w:tc>
        <w:tc>
          <w:tcPr>
            <w:shd w:val="clear" w:color="auto" w:fill="ffffff"/>
            <w:tcW w:w="4633"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开关柜无积尘、锈蚀、无异响</w:t>
            </w:r>
            <w:r>
              <w:rPr>
                <w:rFonts w:ascii="Calibri" w:hAnsi="Calibri"/>
                <w:color w:val="000000"/>
                <w:highlight w:val="none"/>
              </w:rPr>
            </w:r>
            <w:r/>
          </w:p>
        </w:tc>
        <w:tc>
          <w:tcPr>
            <w:shd w:val="clear" w:color="auto" w:fill="ffffff"/>
            <w:tcW w:w="5174"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外观检查</w:t>
            </w:r>
            <w:r>
              <w:rPr>
                <w:rFonts w:ascii="Calibri" w:hAnsi="Calibri"/>
                <w:color w:val="000000"/>
                <w:highlight w:val="none"/>
              </w:rPr>
            </w:r>
            <w:r/>
          </w:p>
        </w:tc>
        <w:tc>
          <w:tcPr>
            <w:shd w:val="clear" w:color="auto" w:fill="ffffff"/>
            <w:tcW w:w="1726"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0.5</w:t>
            </w:r>
            <w:r>
              <w:rPr>
                <w:rFonts w:ascii="Calibri" w:hAnsi="Calibri"/>
                <w:color w:val="000000"/>
                <w:highlight w:val="none"/>
              </w:rPr>
            </w:r>
            <w:r/>
          </w:p>
        </w:tc>
        <w:tc>
          <w:tcPr>
            <w:shd w:val="clear" w:color="auto" w:fill="ffffff"/>
            <w:tcW w:w="1192" w:type="dxa"/>
            <w:vAlign w:val="center"/>
            <w:vMerge w:val="restart"/>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每季度不定期一次</w:t>
            </w:r>
            <w:r>
              <w:rPr>
                <w:rFonts w:ascii="Calibri" w:hAnsi="Calibri"/>
                <w:color w:val="000000"/>
                <w:highlight w:val="none"/>
              </w:rPr>
            </w:r>
            <w:r/>
          </w:p>
        </w:tc>
      </w:tr>
      <w:tr>
        <w:trPr>
          <w:tblCellSpacing w:w="0" w:type="dxa"/>
          <w:trHeight w:val="1126"/>
        </w:trPr>
        <w:tc>
          <w:tcPr>
            <w:shd w:val="clear" w:color="auto" w:fill="ffffff"/>
            <w:tcW w:w="1192" w:type="dxa"/>
            <w:vAlign w:val="center"/>
            <w:vMerge w:val="continue"/>
            <w:textDirection w:val="lrTb"/>
            <w:noWrap w:val="false"/>
          </w:tcPr>
          <w:p>
            <w:pPr>
              <w:pStyle w:val="856"/>
              <w:jc w:val="center"/>
              <w:rPr>
                <w:rFonts w:ascii="Calibri" w:hAnsi="Calibri"/>
                <w:color w:val="000000"/>
                <w:highlight w:val="none"/>
              </w:rPr>
            </w:pPr>
            <w:r>
              <w:rPr>
                <w:rFonts w:ascii="Calibri" w:hAnsi="Calibri"/>
                <w:color w:val="000000"/>
                <w:highlight w:val="none"/>
              </w:rPr>
            </w:r>
            <w:r/>
          </w:p>
        </w:tc>
        <w:tc>
          <w:tcPr>
            <w:shd w:val="clear" w:color="auto" w:fill="ffffff"/>
            <w:tcW w:w="4633"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控制系统运转正常，和中心机房数据传输顺畅，视频影像清晰，线缆标志清晰</w:t>
            </w:r>
            <w:r>
              <w:rPr>
                <w:rFonts w:ascii="Calibri" w:hAnsi="Calibri"/>
                <w:color w:val="000000"/>
                <w:highlight w:val="none"/>
              </w:rPr>
            </w:r>
            <w:r/>
          </w:p>
        </w:tc>
        <w:tc>
          <w:tcPr>
            <w:shd w:val="clear" w:color="auto" w:fill="ffffff"/>
            <w:tcW w:w="5174"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控制系统正常通过水位和水泵的运转情况判断，水位过高，系统估计出现过问题，水位高水泵未启动，系统有问题，中心机房接收不到影像信息，网络系统出现问题</w:t>
            </w:r>
            <w:r>
              <w:rPr>
                <w:rFonts w:ascii="Calibri" w:hAnsi="Calibri"/>
                <w:color w:val="000000"/>
                <w:highlight w:val="none"/>
              </w:rPr>
            </w:r>
            <w:r/>
          </w:p>
        </w:tc>
        <w:tc>
          <w:tcPr>
            <w:shd w:val="clear" w:color="auto" w:fill="ffffff"/>
            <w:tcW w:w="1726"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2</w:t>
            </w:r>
            <w:r>
              <w:rPr>
                <w:rFonts w:ascii="Calibri" w:hAnsi="Calibri"/>
                <w:color w:val="000000"/>
                <w:highlight w:val="none"/>
              </w:rPr>
            </w:r>
            <w:r/>
          </w:p>
        </w:tc>
        <w:tc>
          <w:tcPr>
            <w:shd w:val="clear" w:color="auto" w:fill="ffffff"/>
            <w:tcW w:w="1192"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r>
      <w:tr>
        <w:trPr>
          <w:tblCellSpacing w:w="0" w:type="dxa"/>
          <w:trHeight w:val="824"/>
        </w:trPr>
        <w:tc>
          <w:tcPr>
            <w:shd w:val="clear" w:color="auto" w:fill="ffffff"/>
            <w:tcW w:w="1192" w:type="dxa"/>
            <w:vAlign w:val="center"/>
            <w:vMerge w:val="restart"/>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水泵</w:t>
            </w:r>
            <w:r>
              <w:rPr>
                <w:rFonts w:ascii="Calibri" w:hAnsi="Calibri"/>
                <w:color w:val="000000"/>
                <w:highlight w:val="none"/>
              </w:rPr>
            </w:r>
            <w:r/>
          </w:p>
        </w:tc>
        <w:tc>
          <w:tcPr>
            <w:shd w:val="clear" w:color="auto" w:fill="ffffff"/>
            <w:tcW w:w="4633"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接地线缆、钢制设施无锈蚀、现场无异响、异味，水泵保护模块显示正常；集水池无大块明显浮渣</w:t>
            </w:r>
            <w:r>
              <w:rPr>
                <w:rFonts w:ascii="Calibri" w:hAnsi="Calibri"/>
                <w:color w:val="000000"/>
                <w:highlight w:val="none"/>
              </w:rPr>
            </w:r>
            <w:r/>
          </w:p>
        </w:tc>
        <w:tc>
          <w:tcPr>
            <w:shd w:val="clear" w:color="auto" w:fill="ffffff"/>
            <w:tcW w:w="5174"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外观检查</w:t>
            </w:r>
            <w:r>
              <w:rPr>
                <w:rFonts w:ascii="Calibri" w:hAnsi="Calibri"/>
                <w:color w:val="000000"/>
                <w:highlight w:val="none"/>
              </w:rPr>
            </w:r>
            <w:r/>
          </w:p>
        </w:tc>
        <w:tc>
          <w:tcPr>
            <w:shd w:val="clear" w:color="auto" w:fill="ffffff"/>
            <w:tcW w:w="1726"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0.5</w:t>
            </w:r>
            <w:r>
              <w:rPr>
                <w:rFonts w:ascii="Calibri" w:hAnsi="Calibri"/>
                <w:color w:val="000000"/>
                <w:highlight w:val="none"/>
              </w:rPr>
            </w:r>
            <w:r/>
          </w:p>
        </w:tc>
        <w:tc>
          <w:tcPr>
            <w:shd w:val="clear" w:color="auto" w:fill="ffffff"/>
            <w:tcW w:w="1192" w:type="dxa"/>
            <w:vAlign w:val="center"/>
            <w:vMerge w:val="restart"/>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每季度不定期一次</w:t>
            </w:r>
            <w:r>
              <w:rPr>
                <w:rFonts w:ascii="Calibri" w:hAnsi="Calibri"/>
                <w:color w:val="000000"/>
                <w:highlight w:val="none"/>
              </w:rPr>
            </w:r>
            <w:r/>
          </w:p>
        </w:tc>
      </w:tr>
      <w:tr>
        <w:trPr>
          <w:tblCellSpacing w:w="0" w:type="dxa"/>
          <w:trHeight w:val="1126"/>
        </w:trPr>
        <w:tc>
          <w:tcPr>
            <w:shd w:val="clear" w:color="auto" w:fill="ffffff"/>
            <w:tcW w:w="1192" w:type="dxa"/>
            <w:vAlign w:val="center"/>
            <w:vMerge w:val="continue"/>
            <w:textDirection w:val="lrTb"/>
            <w:noWrap w:val="false"/>
          </w:tcPr>
          <w:p>
            <w:pPr>
              <w:pStyle w:val="856"/>
              <w:jc w:val="center"/>
              <w:rPr>
                <w:rFonts w:ascii="Calibri" w:hAnsi="Calibri"/>
                <w:color w:val="000000"/>
                <w:highlight w:val="none"/>
              </w:rPr>
            </w:pPr>
            <w:r>
              <w:rPr>
                <w:rFonts w:ascii="Calibri" w:hAnsi="Calibri"/>
                <w:color w:val="000000"/>
                <w:highlight w:val="none"/>
              </w:rPr>
            </w:r>
            <w:r/>
          </w:p>
        </w:tc>
        <w:tc>
          <w:tcPr>
            <w:shd w:val="clear" w:color="auto" w:fill="ffffff"/>
            <w:tcW w:w="4633"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远程手动启动水泵，水泵运转电流不超过额定电流的10%，指示灯正常，无异常（比如共振）声音，能看到明显水流，有流量计的应和水泵的额定流量进行对比，水泵启动1分钟内电容补偿器工作、功率因数不小于0.9；水泵停止，止回阀关闭无异响</w:t>
            </w:r>
            <w:r>
              <w:rPr>
                <w:rFonts w:ascii="Calibri" w:hAnsi="Calibri"/>
                <w:color w:val="000000"/>
                <w:highlight w:val="none"/>
              </w:rPr>
            </w:r>
            <w:r/>
          </w:p>
        </w:tc>
        <w:tc>
          <w:tcPr>
            <w:shd w:val="clear" w:color="auto" w:fill="ffffff"/>
            <w:tcW w:w="5174"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实操（水泵运转电流、水流、声音及流量计、电容补偿器、止回阀一起检查）</w:t>
            </w:r>
            <w:r>
              <w:rPr>
                <w:rFonts w:ascii="Calibri" w:hAnsi="Calibri"/>
                <w:color w:val="000000"/>
                <w:highlight w:val="none"/>
              </w:rPr>
            </w:r>
            <w:r/>
          </w:p>
        </w:tc>
        <w:tc>
          <w:tcPr>
            <w:shd w:val="clear" w:color="auto" w:fill="ffffff"/>
            <w:tcW w:w="1726"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5</w:t>
            </w:r>
            <w:r>
              <w:rPr>
                <w:rFonts w:ascii="Calibri" w:hAnsi="Calibri"/>
                <w:color w:val="000000"/>
                <w:highlight w:val="none"/>
              </w:rPr>
            </w:r>
            <w:r/>
          </w:p>
        </w:tc>
        <w:tc>
          <w:tcPr>
            <w:shd w:val="clear" w:color="auto" w:fill="ffffff"/>
            <w:tcW w:w="1192"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r>
      <w:tr>
        <w:trPr>
          <w:tblCellSpacing w:w="0" w:type="dxa"/>
          <w:trHeight w:val="714"/>
        </w:trPr>
        <w:tc>
          <w:tcPr>
            <w:shd w:val="clear" w:color="auto" w:fill="ffffff"/>
            <w:tcW w:w="1192" w:type="dxa"/>
            <w:vAlign w:val="center"/>
            <w:vMerge w:val="restart"/>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格栅</w:t>
            </w:r>
            <w:r>
              <w:rPr>
                <w:rFonts w:ascii="Calibri" w:hAnsi="Calibri"/>
                <w:color w:val="000000"/>
                <w:highlight w:val="none"/>
              </w:rPr>
            </w:r>
            <w:r/>
          </w:p>
        </w:tc>
        <w:tc>
          <w:tcPr>
            <w:shd w:val="clear" w:color="auto" w:fill="ffffff"/>
            <w:tcW w:w="4633"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接地线缆、钢制设施无锈蚀、现场无异响、异味，格栅状态指示灯显示正常； </w:t>
            </w:r>
            <w:r>
              <w:rPr>
                <w:rFonts w:ascii="Calibri" w:hAnsi="Calibri"/>
                <w:color w:val="000000"/>
                <w:highlight w:val="none"/>
              </w:rPr>
            </w:r>
            <w:r/>
          </w:p>
        </w:tc>
        <w:tc>
          <w:tcPr>
            <w:shd w:val="clear" w:color="auto" w:fill="ffffff"/>
            <w:tcW w:w="5174"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外观检查</w:t>
            </w:r>
            <w:r>
              <w:rPr>
                <w:rFonts w:ascii="Calibri" w:hAnsi="Calibri"/>
                <w:color w:val="000000"/>
                <w:highlight w:val="none"/>
              </w:rPr>
            </w:r>
            <w:r/>
          </w:p>
        </w:tc>
        <w:tc>
          <w:tcPr>
            <w:shd w:val="clear" w:color="auto" w:fill="ffffff"/>
            <w:tcW w:w="1726"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0.5</w:t>
            </w:r>
            <w:r>
              <w:rPr>
                <w:rFonts w:ascii="Calibri" w:hAnsi="Calibri"/>
                <w:color w:val="000000"/>
                <w:highlight w:val="none"/>
              </w:rPr>
            </w:r>
            <w:r/>
          </w:p>
        </w:tc>
        <w:tc>
          <w:tcPr>
            <w:shd w:val="clear" w:color="auto" w:fill="ffffff"/>
            <w:tcW w:w="1192" w:type="dxa"/>
            <w:vAlign w:val="center"/>
            <w:vMerge w:val="restart"/>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每季度不定期一次</w:t>
            </w:r>
            <w:r>
              <w:rPr>
                <w:rFonts w:ascii="Calibri" w:hAnsi="Calibri"/>
                <w:color w:val="000000"/>
                <w:highlight w:val="none"/>
              </w:rPr>
            </w:r>
            <w:r/>
          </w:p>
        </w:tc>
      </w:tr>
      <w:tr>
        <w:trPr>
          <w:tblCellSpacing w:w="0" w:type="dxa"/>
          <w:trHeight w:val="289"/>
        </w:trPr>
        <w:tc>
          <w:tcPr>
            <w:shd w:val="clear" w:color="auto" w:fill="ffffff"/>
            <w:tcW w:w="1192" w:type="dxa"/>
            <w:vAlign w:val="center"/>
            <w:vMerge w:val="continue"/>
            <w:textDirection w:val="lrTb"/>
            <w:noWrap w:val="false"/>
          </w:tcPr>
          <w:p>
            <w:pPr>
              <w:pStyle w:val="856"/>
              <w:jc w:val="center"/>
              <w:rPr>
                <w:rFonts w:ascii="Calibri" w:hAnsi="Calibri"/>
                <w:color w:val="000000"/>
                <w:highlight w:val="none"/>
              </w:rPr>
            </w:pPr>
            <w:r>
              <w:rPr>
                <w:rFonts w:ascii="Calibri" w:hAnsi="Calibri"/>
                <w:color w:val="000000"/>
                <w:highlight w:val="none"/>
              </w:rPr>
            </w:r>
            <w:r/>
          </w:p>
        </w:tc>
        <w:tc>
          <w:tcPr>
            <w:shd w:val="clear" w:color="auto" w:fill="ffffff"/>
            <w:tcW w:w="4633"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栅前水位正常、浮渣无河道水生植物</w:t>
            </w:r>
            <w:r>
              <w:rPr>
                <w:rFonts w:ascii="Calibri" w:hAnsi="Calibri"/>
                <w:color w:val="000000"/>
                <w:highlight w:val="none"/>
              </w:rPr>
            </w:r>
            <w:r/>
          </w:p>
        </w:tc>
        <w:tc>
          <w:tcPr>
            <w:shd w:val="clear" w:color="auto" w:fill="ffffff"/>
            <w:tcW w:w="5174"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限定泵站低水位运行很重要</w:t>
            </w:r>
            <w:r>
              <w:rPr>
                <w:rFonts w:ascii="Calibri" w:hAnsi="Calibri"/>
                <w:color w:val="000000"/>
                <w:highlight w:val="none"/>
              </w:rPr>
            </w:r>
            <w:r/>
          </w:p>
        </w:tc>
        <w:tc>
          <w:tcPr>
            <w:shd w:val="clear" w:color="auto" w:fill="ffffff"/>
            <w:tcW w:w="1726"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5</w:t>
            </w:r>
            <w:r>
              <w:rPr>
                <w:rFonts w:ascii="Calibri" w:hAnsi="Calibri"/>
                <w:color w:val="000000"/>
                <w:highlight w:val="none"/>
              </w:rPr>
            </w:r>
            <w:r/>
          </w:p>
        </w:tc>
        <w:tc>
          <w:tcPr>
            <w:shd w:val="clear" w:color="auto" w:fill="ffffff"/>
            <w:tcW w:w="1192"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r>
      <w:tr>
        <w:trPr>
          <w:tblCellSpacing w:w="0" w:type="dxa"/>
          <w:trHeight w:val="289"/>
        </w:trPr>
        <w:tc>
          <w:tcPr>
            <w:shd w:val="clear" w:color="auto" w:fill="ffffff"/>
            <w:tcW w:w="1192" w:type="dxa"/>
            <w:vAlign w:val="center"/>
            <w:vMerge w:val="continue"/>
            <w:textDirection w:val="lrTb"/>
            <w:noWrap w:val="false"/>
          </w:tcPr>
          <w:p>
            <w:pPr>
              <w:pStyle w:val="856"/>
              <w:jc w:val="center"/>
              <w:rPr>
                <w:rFonts w:ascii="Calibri" w:hAnsi="Calibri"/>
                <w:color w:val="000000"/>
                <w:highlight w:val="none"/>
              </w:rPr>
            </w:pPr>
            <w:r>
              <w:rPr>
                <w:rFonts w:ascii="Calibri" w:hAnsi="Calibri"/>
                <w:color w:val="000000"/>
                <w:highlight w:val="none"/>
              </w:rPr>
            </w:r>
            <w:r/>
          </w:p>
        </w:tc>
        <w:tc>
          <w:tcPr>
            <w:shd w:val="clear" w:color="auto" w:fill="ffffff"/>
            <w:tcW w:w="4633"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远程手动格栅，格栅运转正常、平稳、无异常</w:t>
            </w:r>
            <w:r>
              <w:rPr>
                <w:rFonts w:ascii="Calibri" w:hAnsi="Calibri"/>
                <w:color w:val="000000"/>
                <w:highlight w:val="none"/>
              </w:rPr>
            </w:r>
            <w:r/>
          </w:p>
        </w:tc>
        <w:tc>
          <w:tcPr>
            <w:shd w:val="clear" w:color="auto" w:fill="ffffff"/>
            <w:tcW w:w="5174"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实操（格栅运转和皮带输送机一起检查）</w:t>
            </w:r>
            <w:r>
              <w:rPr>
                <w:rFonts w:ascii="Calibri" w:hAnsi="Calibri"/>
                <w:color w:val="000000"/>
                <w:highlight w:val="none"/>
              </w:rPr>
            </w:r>
            <w:r/>
          </w:p>
        </w:tc>
        <w:tc>
          <w:tcPr>
            <w:shd w:val="clear" w:color="auto" w:fill="ffffff"/>
            <w:tcW w:w="1726"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2</w:t>
            </w:r>
            <w:r>
              <w:rPr>
                <w:rFonts w:ascii="Calibri" w:hAnsi="Calibri"/>
                <w:color w:val="000000"/>
                <w:highlight w:val="none"/>
              </w:rPr>
            </w:r>
            <w:r/>
          </w:p>
        </w:tc>
        <w:tc>
          <w:tcPr>
            <w:shd w:val="clear" w:color="auto" w:fill="ffffff"/>
            <w:tcW w:w="1192"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r>
      <w:tr>
        <w:trPr>
          <w:tblCellSpacing w:w="0" w:type="dxa"/>
          <w:trHeight w:val="600"/>
        </w:trPr>
        <w:tc>
          <w:tcPr>
            <w:shd w:val="clear" w:color="auto" w:fill="ffffff"/>
            <w:tcW w:w="1192" w:type="dxa"/>
            <w:vAlign w:val="center"/>
            <w:vMerge w:val="restart"/>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闸门、钢格板等</w:t>
            </w:r>
            <w:r>
              <w:rPr>
                <w:rFonts w:ascii="Calibri" w:hAnsi="Calibri"/>
                <w:color w:val="000000"/>
                <w:highlight w:val="none"/>
              </w:rPr>
            </w:r>
            <w:r/>
          </w:p>
        </w:tc>
        <w:tc>
          <w:tcPr>
            <w:shd w:val="clear" w:color="auto" w:fill="ffffff"/>
            <w:tcW w:w="4633"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接地线缆、钢制设施无锈蚀、现场无异响、异味，闸门状态指示灯显示正常； </w:t>
            </w:r>
            <w:r>
              <w:rPr>
                <w:rFonts w:ascii="Calibri" w:hAnsi="Calibri"/>
                <w:color w:val="000000"/>
                <w:highlight w:val="none"/>
              </w:rPr>
            </w:r>
            <w:r/>
          </w:p>
        </w:tc>
        <w:tc>
          <w:tcPr>
            <w:shd w:val="clear" w:color="auto" w:fill="ffffff"/>
            <w:tcW w:w="5174"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外观检查</w:t>
            </w:r>
            <w:r>
              <w:rPr>
                <w:rFonts w:ascii="Calibri" w:hAnsi="Calibri"/>
                <w:color w:val="000000"/>
                <w:highlight w:val="none"/>
              </w:rPr>
            </w:r>
            <w:r/>
          </w:p>
        </w:tc>
        <w:tc>
          <w:tcPr>
            <w:shd w:val="clear" w:color="auto" w:fill="ffffff"/>
            <w:tcW w:w="1726"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0.5</w:t>
            </w:r>
            <w:r>
              <w:rPr>
                <w:rFonts w:ascii="Calibri" w:hAnsi="Calibri"/>
                <w:color w:val="000000"/>
                <w:highlight w:val="none"/>
              </w:rPr>
            </w:r>
            <w:r/>
          </w:p>
        </w:tc>
        <w:tc>
          <w:tcPr>
            <w:shd w:val="clear" w:color="auto" w:fill="ffffff"/>
            <w:tcW w:w="1192" w:type="dxa"/>
            <w:vAlign w:val="center"/>
            <w:vMerge w:val="restart"/>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每季度不定期一次</w:t>
            </w:r>
            <w:r>
              <w:rPr>
                <w:rFonts w:ascii="Calibri" w:hAnsi="Calibri"/>
                <w:color w:val="000000"/>
                <w:highlight w:val="none"/>
              </w:rPr>
            </w:r>
            <w:r/>
          </w:p>
        </w:tc>
      </w:tr>
      <w:tr>
        <w:trPr>
          <w:tblCellSpacing w:w="0" w:type="dxa"/>
          <w:trHeight w:val="255"/>
        </w:trPr>
        <w:tc>
          <w:tcPr>
            <w:shd w:val="clear" w:color="auto" w:fill="ffffff"/>
            <w:tcW w:w="1192" w:type="dxa"/>
            <w:vAlign w:val="center"/>
            <w:vMerge w:val="continue"/>
            <w:textDirection w:val="lrTb"/>
            <w:noWrap w:val="false"/>
          </w:tcPr>
          <w:p>
            <w:pPr>
              <w:pStyle w:val="856"/>
              <w:jc w:val="center"/>
              <w:rPr>
                <w:rFonts w:ascii="Calibri" w:hAnsi="Calibri"/>
                <w:color w:val="000000"/>
                <w:highlight w:val="none"/>
              </w:rPr>
            </w:pPr>
            <w:r>
              <w:rPr>
                <w:rFonts w:ascii="Calibri" w:hAnsi="Calibri"/>
                <w:color w:val="000000"/>
                <w:highlight w:val="none"/>
              </w:rPr>
            </w:r>
            <w:r/>
          </w:p>
        </w:tc>
        <w:tc>
          <w:tcPr>
            <w:shd w:val="clear" w:color="auto" w:fill="ffffff"/>
            <w:tcW w:w="4633"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手动控制闸门，闸门运转正常、平稳、无异常</w:t>
            </w:r>
            <w:r>
              <w:rPr>
                <w:rFonts w:ascii="Calibri" w:hAnsi="Calibri"/>
                <w:color w:val="000000"/>
                <w:highlight w:val="none"/>
              </w:rPr>
            </w:r>
            <w:r/>
          </w:p>
        </w:tc>
        <w:tc>
          <w:tcPr>
            <w:shd w:val="clear" w:color="auto" w:fill="ffffff"/>
            <w:tcW w:w="5174"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实操检查</w:t>
            </w:r>
            <w:r>
              <w:rPr>
                <w:rFonts w:ascii="Calibri" w:hAnsi="Calibri"/>
                <w:color w:val="000000"/>
                <w:highlight w:val="none"/>
              </w:rPr>
            </w:r>
            <w:r/>
          </w:p>
        </w:tc>
        <w:tc>
          <w:tcPr>
            <w:shd w:val="clear" w:color="auto" w:fill="ffffff"/>
            <w:tcW w:w="1726"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c>
          <w:tcPr>
            <w:shd w:val="clear" w:color="auto" w:fill="ffffff"/>
            <w:tcW w:w="1192"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r>
      <w:tr>
        <w:trPr>
          <w:tblCellSpacing w:w="0" w:type="dxa"/>
          <w:trHeight w:val="217"/>
        </w:trPr>
        <w:tc>
          <w:tcPr>
            <w:shd w:val="clear" w:color="auto" w:fill="ffffff"/>
            <w:tcW w:w="1192" w:type="dxa"/>
            <w:vAlign w:val="center"/>
            <w:vMerge w:val="restart"/>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起重机</w:t>
            </w:r>
            <w:r>
              <w:rPr>
                <w:rFonts w:ascii="Calibri" w:hAnsi="Calibri"/>
                <w:color w:val="000000"/>
                <w:highlight w:val="none"/>
              </w:rPr>
            </w:r>
            <w:r/>
          </w:p>
        </w:tc>
        <w:tc>
          <w:tcPr>
            <w:shd w:val="clear" w:color="auto" w:fill="ffffff"/>
            <w:tcW w:w="4633"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开关柜无积尘、锈蚀、无异响</w:t>
            </w:r>
            <w:r>
              <w:rPr>
                <w:rFonts w:ascii="Calibri" w:hAnsi="Calibri"/>
                <w:color w:val="000000"/>
                <w:highlight w:val="none"/>
              </w:rPr>
            </w:r>
            <w:r/>
          </w:p>
        </w:tc>
        <w:tc>
          <w:tcPr>
            <w:shd w:val="clear" w:color="auto" w:fill="ffffff"/>
            <w:tcW w:w="5174"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外观检查</w:t>
            </w:r>
            <w:r>
              <w:rPr>
                <w:rFonts w:ascii="Calibri" w:hAnsi="Calibri"/>
                <w:color w:val="000000"/>
                <w:highlight w:val="none"/>
              </w:rPr>
            </w:r>
            <w:r/>
          </w:p>
        </w:tc>
        <w:tc>
          <w:tcPr>
            <w:shd w:val="clear" w:color="auto" w:fill="ffffff"/>
            <w:tcW w:w="1726"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0.5</w:t>
            </w:r>
            <w:r>
              <w:rPr>
                <w:rFonts w:ascii="Calibri" w:hAnsi="Calibri"/>
                <w:color w:val="000000"/>
                <w:highlight w:val="none"/>
              </w:rPr>
            </w:r>
            <w:r/>
          </w:p>
        </w:tc>
        <w:tc>
          <w:tcPr>
            <w:shd w:val="clear" w:color="auto" w:fill="ffffff"/>
            <w:tcW w:w="1192" w:type="dxa"/>
            <w:vAlign w:val="center"/>
            <w:vMerge w:val="restart"/>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每季度不定期一次</w:t>
            </w:r>
            <w:r>
              <w:rPr>
                <w:rFonts w:ascii="Calibri" w:hAnsi="Calibri"/>
                <w:color w:val="000000"/>
                <w:highlight w:val="none"/>
              </w:rPr>
            </w:r>
            <w:r/>
          </w:p>
        </w:tc>
      </w:tr>
      <w:tr>
        <w:trPr>
          <w:tblCellSpacing w:w="0" w:type="dxa"/>
          <w:trHeight w:val="349"/>
        </w:trPr>
        <w:tc>
          <w:tcPr>
            <w:shd w:val="clear" w:color="auto" w:fill="ffffff"/>
            <w:tcW w:w="1192"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c>
          <w:tcPr>
            <w:shd w:val="clear" w:color="auto" w:fill="ffffff"/>
            <w:tcW w:w="4633"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按时强检</w:t>
            </w:r>
            <w:r>
              <w:rPr>
                <w:rFonts w:ascii="Calibri" w:hAnsi="Calibri"/>
                <w:color w:val="000000"/>
                <w:highlight w:val="none"/>
              </w:rPr>
            </w:r>
            <w:r/>
          </w:p>
        </w:tc>
        <w:tc>
          <w:tcPr>
            <w:shd w:val="clear" w:color="auto" w:fill="ffffff"/>
            <w:tcW w:w="5174" w:type="dxa"/>
            <w:vAlign w:val="top"/>
            <w:textDirection w:val="lrTb"/>
            <w:noWrap w:val="false"/>
          </w:tcPr>
          <w:p>
            <w:pPr>
              <w:pStyle w:val="856"/>
              <w:rPr>
                <w:rFonts w:ascii="Calibri" w:hAnsi="Calibri"/>
                <w:color w:val="000000"/>
                <w:highlight w:val="none"/>
              </w:rPr>
            </w:pPr>
            <w:r>
              <w:rPr>
                <w:rFonts w:ascii="Calibri" w:hAnsi="Calibri"/>
                <w:color w:val="000000"/>
                <w:highlight w:val="none"/>
              </w:rPr>
            </w:r>
            <w:r/>
          </w:p>
        </w:tc>
        <w:tc>
          <w:tcPr>
            <w:shd w:val="clear" w:color="auto" w:fill="ffffff"/>
            <w:tcW w:w="1726"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0.5</w:t>
            </w:r>
            <w:r>
              <w:rPr>
                <w:rFonts w:ascii="Calibri" w:hAnsi="Calibri"/>
                <w:color w:val="000000"/>
                <w:highlight w:val="none"/>
              </w:rPr>
            </w:r>
            <w:r/>
          </w:p>
        </w:tc>
        <w:tc>
          <w:tcPr>
            <w:shd w:val="clear" w:color="auto" w:fill="ffffff"/>
            <w:tcW w:w="1192"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r>
      <w:tr>
        <w:trPr>
          <w:tblCellSpacing w:w="0" w:type="dxa"/>
          <w:trHeight w:val="1217"/>
        </w:trPr>
        <w:tc>
          <w:tcPr>
            <w:shd w:val="clear" w:color="auto" w:fill="ffffff"/>
            <w:tcW w:w="1192"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值班人员</w:t>
            </w:r>
            <w:r>
              <w:rPr>
                <w:rFonts w:ascii="Calibri" w:hAnsi="Calibri"/>
                <w:color w:val="000000"/>
                <w:highlight w:val="none"/>
              </w:rPr>
            </w:r>
            <w:r/>
          </w:p>
        </w:tc>
        <w:tc>
          <w:tcPr>
            <w:shd w:val="clear" w:color="auto" w:fill="ffffff"/>
            <w:tcW w:w="4633"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持证上岗、了解岗位职责及相关制度并遵守相关规定1分，了解泵站设备性能0.5分，能通过观察发现设备故障0.5分。</w:t>
            </w:r>
            <w:r>
              <w:rPr>
                <w:rFonts w:ascii="Calibri" w:hAnsi="Calibri"/>
                <w:color w:val="000000"/>
                <w:highlight w:val="none"/>
              </w:rPr>
            </w:r>
            <w:r/>
          </w:p>
        </w:tc>
        <w:tc>
          <w:tcPr>
            <w:shd w:val="clear" w:color="auto" w:fill="ffffff"/>
            <w:tcW w:w="5174"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交谈，变压器的温度、低压柜的电压值、潜水泵的电流值、熟悉变压器、接触器、继电器电磁噪声、水泵运转的水流声、熟悉线缆电力设施的电香味，熟悉硫化氢等有毒有害气体的异味</w:t>
            </w:r>
            <w:r>
              <w:rPr>
                <w:rFonts w:ascii="Calibri" w:hAnsi="Calibri"/>
                <w:color w:val="000000"/>
                <w:highlight w:val="none"/>
              </w:rPr>
            </w:r>
            <w:r/>
          </w:p>
        </w:tc>
        <w:tc>
          <w:tcPr>
            <w:shd w:val="clear" w:color="auto" w:fill="ffffff"/>
            <w:tcW w:w="1726"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2</w:t>
            </w:r>
            <w:r>
              <w:rPr>
                <w:rFonts w:ascii="Calibri" w:hAnsi="Calibri"/>
                <w:color w:val="000000"/>
                <w:highlight w:val="none"/>
              </w:rPr>
            </w:r>
            <w:r/>
          </w:p>
        </w:tc>
        <w:tc>
          <w:tcPr>
            <w:shd w:val="clear" w:color="auto" w:fill="ffffff"/>
            <w:tcW w:w="1192"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每季度不定期一次</w:t>
            </w:r>
            <w:r>
              <w:rPr>
                <w:rFonts w:ascii="Calibri" w:hAnsi="Calibri"/>
                <w:color w:val="000000"/>
                <w:highlight w:val="none"/>
              </w:rPr>
            </w:r>
            <w:r/>
          </w:p>
        </w:tc>
      </w:tr>
      <w:tr>
        <w:trPr>
          <w:tblCellSpacing w:w="0" w:type="dxa"/>
          <w:trHeight w:val="257"/>
        </w:trPr>
        <w:tc>
          <w:tcPr>
            <w:shd w:val="clear" w:color="auto" w:fill="ffffff"/>
            <w:tcW w:w="1192" w:type="dxa"/>
            <w:vAlign w:val="center"/>
            <w:vMerge w:val="restart"/>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泵站设施养护</w:t>
            </w:r>
            <w:r>
              <w:rPr>
                <w:rFonts w:ascii="Calibri" w:hAnsi="Calibri"/>
                <w:color w:val="000000"/>
                <w:highlight w:val="none"/>
              </w:rPr>
            </w:r>
            <w:r/>
          </w:p>
        </w:tc>
        <w:tc>
          <w:tcPr>
            <w:shd w:val="clear" w:color="auto" w:fill="ffffff"/>
            <w:tcW w:w="4633"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泵站围墙无锈蚀、墙砖无脱落</w:t>
            </w:r>
            <w:r>
              <w:rPr>
                <w:rFonts w:ascii="Calibri" w:hAnsi="Calibri"/>
                <w:color w:val="000000"/>
                <w:highlight w:val="none"/>
              </w:rPr>
            </w:r>
            <w:r/>
          </w:p>
        </w:tc>
        <w:tc>
          <w:tcPr>
            <w:shd w:val="clear" w:color="auto" w:fill="ffffff"/>
            <w:tcW w:w="5174"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外观检查</w:t>
            </w:r>
            <w:r>
              <w:rPr>
                <w:rFonts w:ascii="Calibri" w:hAnsi="Calibri"/>
                <w:color w:val="000000"/>
                <w:highlight w:val="none"/>
              </w:rPr>
            </w:r>
            <w:r/>
          </w:p>
        </w:tc>
        <w:tc>
          <w:tcPr>
            <w:shd w:val="clear" w:color="auto" w:fill="ffffff"/>
            <w:tcW w:w="1726"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c>
          <w:tcPr>
            <w:shd w:val="clear" w:color="auto" w:fill="ffffff"/>
            <w:tcW w:w="1192" w:type="dxa"/>
            <w:vAlign w:val="center"/>
            <w:vMerge w:val="restart"/>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每季度不定期一次</w:t>
            </w:r>
            <w:r>
              <w:rPr>
                <w:rFonts w:ascii="Calibri" w:hAnsi="Calibri"/>
                <w:color w:val="000000"/>
                <w:highlight w:val="none"/>
              </w:rPr>
            </w:r>
            <w:r/>
          </w:p>
        </w:tc>
      </w:tr>
      <w:tr>
        <w:trPr>
          <w:tblCellSpacing w:w="0" w:type="dxa"/>
          <w:trHeight w:val="374"/>
        </w:trPr>
        <w:tc>
          <w:tcPr>
            <w:shd w:val="clear" w:color="auto" w:fill="ffffff"/>
            <w:tcW w:w="1192" w:type="dxa"/>
            <w:vAlign w:val="center"/>
            <w:vMerge w:val="continue"/>
            <w:textDirection w:val="lrTb"/>
            <w:noWrap w:val="false"/>
          </w:tcPr>
          <w:p>
            <w:pPr>
              <w:pStyle w:val="856"/>
              <w:jc w:val="center"/>
              <w:rPr>
                <w:rFonts w:ascii="Calibri" w:hAnsi="Calibri"/>
                <w:color w:val="000000"/>
                <w:highlight w:val="none"/>
              </w:rPr>
            </w:pPr>
            <w:r>
              <w:rPr>
                <w:rFonts w:ascii="Calibri" w:hAnsi="Calibri"/>
                <w:color w:val="000000"/>
                <w:highlight w:val="none"/>
              </w:rPr>
            </w:r>
            <w:r/>
          </w:p>
        </w:tc>
        <w:tc>
          <w:tcPr>
            <w:shd w:val="clear" w:color="auto" w:fill="ffffff"/>
            <w:tcW w:w="4633"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道路整洁、无明显塌陷裂纹</w:t>
            </w:r>
            <w:r>
              <w:rPr>
                <w:rFonts w:ascii="Calibri" w:hAnsi="Calibri"/>
                <w:color w:val="000000"/>
                <w:highlight w:val="none"/>
              </w:rPr>
            </w:r>
            <w:r/>
          </w:p>
        </w:tc>
        <w:tc>
          <w:tcPr>
            <w:shd w:val="clear" w:color="auto" w:fill="ffffff"/>
            <w:tcW w:w="5174"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外观检查</w:t>
            </w:r>
            <w:r>
              <w:rPr>
                <w:rFonts w:ascii="Calibri" w:hAnsi="Calibri"/>
                <w:color w:val="000000"/>
                <w:highlight w:val="none"/>
              </w:rPr>
            </w:r>
            <w:r/>
          </w:p>
        </w:tc>
        <w:tc>
          <w:tcPr>
            <w:shd w:val="clear" w:color="auto" w:fill="ffffff"/>
            <w:tcW w:w="1726"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c>
          <w:tcPr>
            <w:shd w:val="clear" w:color="auto" w:fill="ffffff"/>
            <w:tcW w:w="1192"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r>
      <w:tr>
        <w:trPr>
          <w:tblCellSpacing w:w="0" w:type="dxa"/>
          <w:trHeight w:val="592"/>
        </w:trPr>
        <w:tc>
          <w:tcPr>
            <w:shd w:val="clear" w:color="auto" w:fill="ffffff"/>
            <w:tcW w:w="1192" w:type="dxa"/>
            <w:vAlign w:val="center"/>
            <w:vMerge w:val="continue"/>
            <w:textDirection w:val="lrTb"/>
            <w:noWrap w:val="false"/>
          </w:tcPr>
          <w:p>
            <w:pPr>
              <w:pStyle w:val="856"/>
              <w:jc w:val="center"/>
              <w:rPr>
                <w:rFonts w:ascii="Calibri" w:hAnsi="Calibri"/>
                <w:color w:val="000000"/>
                <w:highlight w:val="none"/>
              </w:rPr>
            </w:pPr>
            <w:r>
              <w:rPr>
                <w:rFonts w:ascii="Calibri" w:hAnsi="Calibri"/>
                <w:color w:val="000000"/>
                <w:highlight w:val="none"/>
              </w:rPr>
            </w:r>
            <w:r/>
          </w:p>
        </w:tc>
        <w:tc>
          <w:tcPr>
            <w:shd w:val="clear" w:color="auto" w:fill="ffffff"/>
            <w:tcW w:w="4633"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建筑物不漏雨，门窗齐全完好、室内涂料不脱落、无水渍，室外墙砖、涂料不脱落</w:t>
            </w:r>
            <w:r>
              <w:rPr>
                <w:rFonts w:ascii="Calibri" w:hAnsi="Calibri"/>
                <w:color w:val="000000"/>
                <w:highlight w:val="none"/>
              </w:rPr>
            </w:r>
            <w:r/>
          </w:p>
        </w:tc>
        <w:tc>
          <w:tcPr>
            <w:shd w:val="clear" w:color="auto" w:fill="ffffff"/>
            <w:tcW w:w="5174"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外观检查</w:t>
            </w:r>
            <w:r>
              <w:rPr>
                <w:rFonts w:ascii="Calibri" w:hAnsi="Calibri"/>
                <w:color w:val="000000"/>
                <w:highlight w:val="none"/>
              </w:rPr>
            </w:r>
            <w:r/>
          </w:p>
        </w:tc>
        <w:tc>
          <w:tcPr>
            <w:shd w:val="clear" w:color="auto" w:fill="ffffff"/>
            <w:tcW w:w="1726"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2</w:t>
            </w:r>
            <w:r>
              <w:rPr>
                <w:rFonts w:ascii="Calibri" w:hAnsi="Calibri"/>
                <w:color w:val="000000"/>
                <w:highlight w:val="none"/>
              </w:rPr>
            </w:r>
            <w:r/>
          </w:p>
        </w:tc>
        <w:tc>
          <w:tcPr>
            <w:shd w:val="clear" w:color="auto" w:fill="ffffff"/>
            <w:tcW w:w="1192"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r>
      <w:tr>
        <w:trPr>
          <w:tblCellSpacing w:w="0" w:type="dxa"/>
          <w:trHeight w:val="246"/>
        </w:trPr>
        <w:tc>
          <w:tcPr>
            <w:shd w:val="clear" w:color="auto" w:fill="ffffff"/>
            <w:tcW w:w="1192" w:type="dxa"/>
            <w:vAlign w:val="center"/>
            <w:textDirection w:val="lrTb"/>
            <w:noWrap w:val="false"/>
          </w:tcPr>
          <w:p>
            <w:pPr>
              <w:pStyle w:val="856"/>
              <w:jc w:val="center"/>
              <w:rPr>
                <w:rFonts w:ascii="Calibri" w:hAnsi="Calibri"/>
                <w:color w:val="000000"/>
                <w:highlight w:val="none"/>
              </w:rPr>
            </w:pPr>
            <w:r>
              <w:rPr>
                <w:rFonts w:ascii="Calibri" w:hAnsi="Calibri"/>
                <w:color w:val="000000"/>
                <w:highlight w:val="none"/>
              </w:rPr>
            </w:r>
            <w:r/>
          </w:p>
        </w:tc>
        <w:tc>
          <w:tcPr>
            <w:shd w:val="clear" w:color="auto" w:fill="ffffff"/>
            <w:tcW w:w="4633"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绿化完整，按时修整</w:t>
            </w:r>
            <w:r>
              <w:rPr>
                <w:rFonts w:ascii="Calibri" w:hAnsi="Calibri"/>
                <w:color w:val="000000"/>
                <w:highlight w:val="none"/>
              </w:rPr>
            </w:r>
            <w:r/>
          </w:p>
        </w:tc>
        <w:tc>
          <w:tcPr>
            <w:shd w:val="clear" w:color="auto" w:fill="ffffff"/>
            <w:tcW w:w="5174"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外观检查</w:t>
            </w:r>
            <w:r>
              <w:rPr>
                <w:rFonts w:ascii="Calibri" w:hAnsi="Calibri"/>
                <w:color w:val="000000"/>
                <w:highlight w:val="none"/>
              </w:rPr>
            </w:r>
            <w:r/>
          </w:p>
        </w:tc>
        <w:tc>
          <w:tcPr>
            <w:shd w:val="clear" w:color="auto" w:fill="ffffff"/>
            <w:tcW w:w="1726"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c>
          <w:tcPr>
            <w:shd w:val="clear" w:color="auto" w:fill="ffffff"/>
            <w:tcW w:w="1192" w:type="dxa"/>
            <w:vAlign w:val="center"/>
            <w:textDirection w:val="lrTb"/>
            <w:noWrap w:val="false"/>
          </w:tcPr>
          <w:p>
            <w:pPr>
              <w:pStyle w:val="856"/>
              <w:rPr>
                <w:rFonts w:ascii="Calibri" w:hAnsi="Calibri"/>
                <w:color w:val="000000"/>
                <w:highlight w:val="none"/>
              </w:rPr>
            </w:pPr>
            <w:r>
              <w:rPr>
                <w:rFonts w:ascii="Calibri" w:hAnsi="Calibri"/>
                <w:color w:val="000000"/>
                <w:highlight w:val="none"/>
              </w:rPr>
            </w:r>
            <w:r/>
          </w:p>
        </w:tc>
      </w:tr>
      <w:tr>
        <w:trPr>
          <w:tblCellSpacing w:w="0" w:type="dxa"/>
          <w:trHeight w:val="364"/>
        </w:trPr>
        <w:tc>
          <w:tcPr>
            <w:shd w:val="clear" w:color="auto" w:fill="ffffff"/>
            <w:tcW w:w="1192" w:type="dxa"/>
            <w:vAlign w:val="center"/>
            <w:textDirection w:val="lrTb"/>
            <w:noWrap w:val="false"/>
          </w:tcPr>
          <w:p>
            <w:pPr>
              <w:pStyle w:val="856"/>
              <w:jc w:val="center"/>
              <w:rPr>
                <w:rFonts w:ascii="Calibri" w:hAnsi="Calibri"/>
                <w:color w:val="000000"/>
                <w:highlight w:val="none"/>
              </w:rPr>
            </w:pPr>
            <w:r>
              <w:rPr>
                <w:rFonts w:ascii="Calibri" w:hAnsi="Calibri"/>
                <w:color w:val="000000"/>
                <w:highlight w:val="none"/>
              </w:rPr>
            </w:r>
            <w:r/>
          </w:p>
        </w:tc>
        <w:tc>
          <w:tcPr>
            <w:shd w:val="clear" w:color="auto" w:fill="ffffff"/>
            <w:tcW w:w="4633"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卫生良好，垃圾集中存放</w:t>
            </w:r>
            <w:r>
              <w:rPr>
                <w:rFonts w:ascii="Calibri" w:hAnsi="Calibri"/>
                <w:color w:val="000000"/>
                <w:highlight w:val="none"/>
              </w:rPr>
            </w:r>
            <w:r/>
          </w:p>
        </w:tc>
        <w:tc>
          <w:tcPr>
            <w:shd w:val="clear" w:color="auto" w:fill="ffffff"/>
            <w:tcW w:w="5174"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外观检查</w:t>
            </w:r>
            <w:r>
              <w:rPr>
                <w:rFonts w:ascii="Calibri" w:hAnsi="Calibri"/>
                <w:color w:val="000000"/>
                <w:highlight w:val="none"/>
              </w:rPr>
            </w:r>
            <w:r/>
          </w:p>
        </w:tc>
        <w:tc>
          <w:tcPr>
            <w:shd w:val="clear" w:color="auto" w:fill="ffffff"/>
            <w:tcW w:w="1726"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c>
          <w:tcPr>
            <w:shd w:val="clear" w:color="auto" w:fill="ffffff"/>
            <w:tcW w:w="1192" w:type="dxa"/>
            <w:vAlign w:val="center"/>
            <w:textDirection w:val="lrTb"/>
            <w:noWrap w:val="false"/>
          </w:tcPr>
          <w:p>
            <w:pPr>
              <w:pStyle w:val="856"/>
              <w:rPr>
                <w:rFonts w:ascii="Calibri" w:hAnsi="Calibri"/>
                <w:color w:val="000000"/>
                <w:highlight w:val="none"/>
              </w:rPr>
            </w:pPr>
            <w:r>
              <w:rPr>
                <w:rFonts w:ascii="Calibri" w:hAnsi="Calibri"/>
                <w:color w:val="000000"/>
                <w:highlight w:val="none"/>
              </w:rPr>
            </w:r>
            <w:r/>
          </w:p>
        </w:tc>
      </w:tr>
    </w:tbl>
    <w:p>
      <w:pPr>
        <w:pStyle w:val="856"/>
        <w:rPr>
          <w:rFonts w:hint="eastAsia" w:ascii="Calibri" w:hAnsi="Calibri" w:eastAsia="宋体"/>
          <w:color w:val="000000"/>
          <w:highlight w:val="none"/>
          <w:lang w:eastAsia="zh-CN"/>
        </w:rPr>
      </w:pPr>
      <w:r>
        <w:rPr>
          <w:rFonts w:hint="eastAsia" w:ascii="Calibri" w:hAnsi="Calibri" w:eastAsia="宋体"/>
          <w:color w:val="000000"/>
          <w:highlight w:val="none"/>
          <w:lang w:eastAsia="zh-CN"/>
        </w:rPr>
      </w:r>
      <w:r/>
    </w:p>
    <w:p>
      <w:pPr>
        <w:pStyle w:val="856"/>
        <w:rPr>
          <w:rFonts w:ascii="Calibri" w:hAnsi="Calibri"/>
          <w:color w:val="000000"/>
          <w:highlight w:val="none"/>
        </w:rPr>
      </w:pPr>
      <w:r>
        <w:rPr>
          <w:rFonts w:ascii="Calibri" w:hAnsi="Calibri"/>
          <w:color w:val="000000"/>
          <w:highlight w:val="none"/>
        </w:rPr>
      </w:r>
      <w:r/>
    </w:p>
    <w:p>
      <w:pPr>
        <w:pStyle w:val="856"/>
        <w:rPr>
          <w:rFonts w:ascii="Calibri" w:hAnsi="Calibri"/>
          <w:color w:val="000000"/>
          <w:highlight w:val="none"/>
        </w:rPr>
      </w:pPr>
      <w:r>
        <w:rPr>
          <w:rFonts w:hint="eastAsia" w:ascii="Calibri" w:hAnsi="Calibri"/>
          <w:color w:val="000000"/>
          <w:highlight w:val="none"/>
        </w:rPr>
        <w:t xml:space="preserve">第十二条垃圾处置情况抽查及考核办法</w:t>
      </w:r>
      <w:r>
        <w:rPr>
          <w:rFonts w:ascii="Calibri" w:hAnsi="Calibri"/>
          <w:color w:val="000000"/>
          <w:highlight w:val="none"/>
        </w:rPr>
      </w:r>
      <w:r/>
    </w:p>
    <w:tbl>
      <w:tblPr>
        <w:tblW w:w="9691" w:type="dxa"/>
        <w:tblCellSpacing w:w="0"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1207"/>
        <w:gridCol w:w="2949"/>
        <w:gridCol w:w="3465"/>
        <w:gridCol w:w="1185"/>
        <w:gridCol w:w="885"/>
      </w:tblGrid>
      <w:tr>
        <w:trPr>
          <w:tblCellSpacing w:w="0" w:type="dxa"/>
          <w:trHeight w:val="264"/>
        </w:trPr>
        <w:tc>
          <w:tcPr>
            <w:shd w:val="clear" w:color="auto" w:fill="ffffff"/>
            <w:tcW w:w="1207"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检查项目</w:t>
            </w:r>
            <w:r>
              <w:rPr>
                <w:rFonts w:ascii="Calibri" w:hAnsi="Calibri"/>
                <w:color w:val="000000"/>
                <w:highlight w:val="none"/>
              </w:rPr>
            </w:r>
            <w:r/>
          </w:p>
        </w:tc>
        <w:tc>
          <w:tcPr>
            <w:shd w:val="clear" w:color="auto" w:fill="ffffff"/>
            <w:tcW w:w="2949"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污泥运输和处置要求</w:t>
            </w:r>
            <w:r>
              <w:rPr>
                <w:rFonts w:ascii="Calibri" w:hAnsi="Calibri"/>
                <w:color w:val="000000"/>
                <w:highlight w:val="none"/>
              </w:rPr>
            </w:r>
            <w:r/>
          </w:p>
        </w:tc>
        <w:tc>
          <w:tcPr>
            <w:shd w:val="clear" w:color="auto" w:fill="ffffff"/>
            <w:tcW w:w="3465"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说明</w:t>
            </w:r>
            <w:r>
              <w:rPr>
                <w:rFonts w:ascii="Calibri" w:hAnsi="Calibri"/>
                <w:color w:val="000000"/>
                <w:highlight w:val="none"/>
              </w:rPr>
            </w:r>
            <w:r/>
          </w:p>
        </w:tc>
        <w:tc>
          <w:tcPr>
            <w:shd w:val="clear" w:color="auto" w:fill="ffffff"/>
            <w:tcW w:w="1185"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本项总分</w:t>
            </w:r>
            <w:r>
              <w:rPr>
                <w:rFonts w:ascii="Calibri" w:hAnsi="Calibri"/>
                <w:color w:val="000000"/>
                <w:highlight w:val="none"/>
              </w:rPr>
            </w:r>
            <w:r/>
          </w:p>
        </w:tc>
        <w:tc>
          <w:tcPr>
            <w:shd w:val="clear" w:color="auto" w:fill="ffffff"/>
            <w:tcW w:w="885"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检查频度</w:t>
            </w:r>
            <w:r>
              <w:rPr>
                <w:rFonts w:ascii="Calibri" w:hAnsi="Calibri"/>
                <w:color w:val="000000"/>
                <w:highlight w:val="none"/>
              </w:rPr>
            </w:r>
            <w:r/>
          </w:p>
        </w:tc>
      </w:tr>
      <w:tr>
        <w:trPr>
          <w:tblCellSpacing w:w="0" w:type="dxa"/>
          <w:trHeight w:val="226"/>
        </w:trPr>
        <w:tc>
          <w:tcPr>
            <w:shd w:val="clear" w:color="auto" w:fill="ffffff"/>
            <w:tcW w:w="1207"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垃圾处置</w:t>
            </w:r>
            <w:r>
              <w:rPr>
                <w:rFonts w:ascii="Calibri" w:hAnsi="Calibri"/>
                <w:color w:val="000000"/>
                <w:highlight w:val="none"/>
              </w:rPr>
            </w:r>
            <w:r/>
          </w:p>
        </w:tc>
        <w:tc>
          <w:tcPr>
            <w:shd w:val="clear" w:color="auto" w:fill="ffffff"/>
            <w:tcW w:w="2949"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垃圾有集中处理方案经批准并严格按批准的方案实施。</w:t>
            </w:r>
            <w:r>
              <w:rPr>
                <w:rFonts w:ascii="Calibri" w:hAnsi="Calibri"/>
                <w:color w:val="000000"/>
                <w:highlight w:val="none"/>
              </w:rPr>
            </w:r>
            <w:r/>
          </w:p>
        </w:tc>
        <w:tc>
          <w:tcPr>
            <w:shd w:val="clear" w:color="auto" w:fill="ffffff"/>
            <w:tcW w:w="3465" w:type="dxa"/>
            <w:vAlign w:val="top"/>
            <w:textDirection w:val="lrTb"/>
            <w:noWrap w:val="false"/>
          </w:tcPr>
          <w:p>
            <w:pPr>
              <w:pStyle w:val="856"/>
              <w:rPr>
                <w:rFonts w:ascii="Calibri" w:hAnsi="Calibri"/>
                <w:color w:val="000000"/>
                <w:highlight w:val="none"/>
              </w:rPr>
            </w:pPr>
            <w:r>
              <w:rPr>
                <w:rFonts w:ascii="Calibri" w:hAnsi="Calibri"/>
                <w:color w:val="000000"/>
                <w:highlight w:val="none"/>
              </w:rPr>
            </w:r>
            <w:r/>
          </w:p>
        </w:tc>
        <w:tc>
          <w:tcPr>
            <w:shd w:val="clear" w:color="auto" w:fill="ffffff"/>
            <w:tcW w:w="1185"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c>
          <w:tcPr>
            <w:shd w:val="clear" w:color="auto" w:fill="ffffff"/>
            <w:tcW w:w="885"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每季度不定期一次</w:t>
            </w:r>
            <w:r>
              <w:rPr>
                <w:rFonts w:ascii="Calibri" w:hAnsi="Calibri"/>
                <w:color w:val="000000"/>
                <w:highlight w:val="none"/>
              </w:rPr>
            </w:r>
            <w:r/>
          </w:p>
        </w:tc>
      </w:tr>
    </w:tbl>
    <w:p>
      <w:pPr>
        <w:pStyle w:val="856"/>
        <w:rPr>
          <w:rFonts w:hint="eastAsia" w:ascii="Calibri" w:hAnsi="Calibri" w:eastAsia="宋体"/>
          <w:color w:val="000000"/>
          <w:highlight w:val="none"/>
          <w:lang w:eastAsia="zh-CN"/>
        </w:rPr>
      </w:pPr>
      <w:r>
        <w:rPr>
          <w:rFonts w:hint="eastAsia" w:ascii="Calibri" w:hAnsi="Calibri" w:eastAsia="宋体"/>
          <w:color w:val="000000"/>
          <w:highlight w:val="none"/>
          <w:lang w:eastAsia="zh-CN"/>
        </w:rPr>
      </w:r>
      <w:r/>
    </w:p>
    <w:p>
      <w:pPr>
        <w:pStyle w:val="856"/>
        <w:rPr>
          <w:rFonts w:ascii="Calibri" w:hAnsi="Calibri"/>
          <w:color w:val="000000"/>
          <w:highlight w:val="none"/>
        </w:rPr>
      </w:pPr>
      <w:r>
        <w:rPr>
          <w:rFonts w:hint="eastAsia" w:ascii="Calibri" w:hAnsi="Calibri"/>
          <w:color w:val="000000"/>
          <w:highlight w:val="none"/>
        </w:rPr>
        <w:t xml:space="preserve">第十三条事故抢修和制定紧急预案抽查及考核办法</w:t>
      </w:r>
      <w:r>
        <w:rPr>
          <w:rFonts w:ascii="Calibri" w:hAnsi="Calibri"/>
          <w:color w:val="000000"/>
          <w:highlight w:val="none"/>
        </w:rPr>
      </w:r>
      <w:r/>
    </w:p>
    <w:tbl>
      <w:tblPr>
        <w:tblW w:w="9676" w:type="dxa"/>
        <w:tblCellSpacing w:w="0"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1197"/>
        <w:gridCol w:w="6244"/>
        <w:gridCol w:w="1035"/>
        <w:gridCol w:w="450"/>
        <w:gridCol w:w="750"/>
      </w:tblGrid>
      <w:tr>
        <w:trPr>
          <w:tblCellSpacing w:w="0" w:type="dxa"/>
          <w:trHeight w:val="173"/>
        </w:trPr>
        <w:tc>
          <w:tcPr>
            <w:shd w:val="clear" w:color="auto" w:fill="ffffff"/>
            <w:tcW w:w="1197"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检查项目</w:t>
            </w:r>
            <w:r>
              <w:rPr>
                <w:rFonts w:ascii="Calibri" w:hAnsi="Calibri"/>
                <w:color w:val="000000"/>
                <w:highlight w:val="none"/>
              </w:rPr>
            </w:r>
            <w:r/>
          </w:p>
        </w:tc>
        <w:tc>
          <w:tcPr>
            <w:shd w:val="clear" w:color="auto" w:fill="ffffff"/>
            <w:tcW w:w="6244"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事故抢修及紧急预案</w:t>
            </w:r>
            <w:r>
              <w:rPr>
                <w:rFonts w:ascii="Calibri" w:hAnsi="Calibri"/>
                <w:color w:val="000000"/>
                <w:highlight w:val="none"/>
              </w:rPr>
            </w:r>
            <w:r/>
          </w:p>
        </w:tc>
        <w:tc>
          <w:tcPr>
            <w:shd w:val="clear" w:color="auto" w:fill="ffffff"/>
            <w:tcW w:w="1035"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说明</w:t>
            </w:r>
            <w:r>
              <w:rPr>
                <w:rFonts w:ascii="Calibri" w:hAnsi="Calibri"/>
                <w:color w:val="000000"/>
                <w:highlight w:val="none"/>
              </w:rPr>
            </w:r>
            <w:r/>
          </w:p>
        </w:tc>
        <w:tc>
          <w:tcPr>
            <w:shd w:val="clear" w:color="auto" w:fill="ffffff"/>
            <w:tcW w:w="450"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本项总分</w:t>
            </w:r>
            <w:r>
              <w:rPr>
                <w:rFonts w:ascii="Calibri" w:hAnsi="Calibri"/>
                <w:color w:val="000000"/>
                <w:highlight w:val="none"/>
              </w:rPr>
            </w:r>
            <w:r/>
          </w:p>
        </w:tc>
        <w:tc>
          <w:tcPr>
            <w:shd w:val="clear" w:color="auto" w:fill="ffffff"/>
            <w:tcW w:w="750"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检查频度</w:t>
            </w:r>
            <w:r>
              <w:rPr>
                <w:rFonts w:ascii="Calibri" w:hAnsi="Calibri"/>
                <w:color w:val="000000"/>
                <w:highlight w:val="none"/>
              </w:rPr>
            </w:r>
            <w:r/>
          </w:p>
        </w:tc>
      </w:tr>
      <w:tr>
        <w:trPr>
          <w:tblCellSpacing w:w="0" w:type="dxa"/>
          <w:trHeight w:val="924"/>
        </w:trPr>
        <w:tc>
          <w:tcPr>
            <w:shd w:val="clear" w:color="auto" w:fill="ffffff"/>
            <w:tcW w:w="1197"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事故抢修</w:t>
            </w:r>
            <w:r>
              <w:rPr>
                <w:rFonts w:ascii="Calibri" w:hAnsi="Calibri"/>
                <w:color w:val="000000"/>
                <w:highlight w:val="none"/>
              </w:rPr>
            </w:r>
            <w:r/>
          </w:p>
        </w:tc>
        <w:tc>
          <w:tcPr>
            <w:shd w:val="clear" w:color="auto" w:fill="ffffff"/>
            <w:tcW w:w="6244"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正常情况下，接到报障、报修电话后5分钟内下达抢修指令，处理完毕后应在一个小时内向报修人反馈处理结果1分。在事故发生或接到报障、保修、投诉后二小时内达到现场，组织调查、抢修，并于12小时内向水务行政主管部门报告1分。</w:t>
            </w:r>
            <w:r>
              <w:rPr>
                <w:rFonts w:ascii="Calibri" w:hAnsi="Calibri"/>
                <w:color w:val="000000"/>
                <w:highlight w:val="none"/>
              </w:rPr>
            </w:r>
            <w:r/>
          </w:p>
        </w:tc>
        <w:tc>
          <w:tcPr>
            <w:shd w:val="clear" w:color="auto" w:fill="ffffff"/>
            <w:tcW w:w="1035" w:type="dxa"/>
            <w:vAlign w:val="center"/>
            <w:vMerge w:val="restart"/>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按照《污水管网维护、管理质量标准》执行</w:t>
            </w:r>
            <w:r>
              <w:rPr>
                <w:rFonts w:ascii="Calibri" w:hAnsi="Calibri"/>
                <w:color w:val="000000"/>
                <w:highlight w:val="none"/>
              </w:rPr>
            </w:r>
            <w:r/>
          </w:p>
        </w:tc>
        <w:tc>
          <w:tcPr>
            <w:shd w:val="clear" w:color="auto" w:fill="ffffff"/>
            <w:tcW w:w="45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2</w:t>
            </w:r>
            <w:r>
              <w:rPr>
                <w:rFonts w:ascii="Calibri" w:hAnsi="Calibri"/>
                <w:color w:val="000000"/>
                <w:highlight w:val="none"/>
              </w:rPr>
            </w:r>
            <w:r/>
          </w:p>
        </w:tc>
        <w:tc>
          <w:tcPr>
            <w:shd w:val="clear" w:color="auto" w:fill="ffffff"/>
            <w:tcW w:w="75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每季度不定期一次</w:t>
            </w:r>
            <w:r>
              <w:rPr>
                <w:rFonts w:ascii="Calibri" w:hAnsi="Calibri"/>
                <w:color w:val="000000"/>
                <w:highlight w:val="none"/>
              </w:rPr>
            </w:r>
            <w:r/>
          </w:p>
        </w:tc>
      </w:tr>
      <w:tr>
        <w:trPr>
          <w:tblCellSpacing w:w="0" w:type="dxa"/>
          <w:trHeight w:val="575"/>
        </w:trPr>
        <w:tc>
          <w:tcPr>
            <w:shd w:val="clear" w:color="auto" w:fill="ffffff"/>
            <w:tcW w:w="1197"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应急预案</w:t>
            </w:r>
            <w:r>
              <w:rPr>
                <w:rFonts w:ascii="Calibri" w:hAnsi="Calibri"/>
                <w:color w:val="000000"/>
                <w:highlight w:val="none"/>
              </w:rPr>
            </w:r>
            <w:r/>
          </w:p>
        </w:tc>
        <w:tc>
          <w:tcPr>
            <w:shd w:val="clear" w:color="auto" w:fill="ffffff"/>
            <w:tcW w:w="6244"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应针对紧急事故（如排水管沉管以及有毒有害气体、液体泄漏突发环境污染事件等）、自然灾害（如台风、地震等）或爆发大规模疫情，制订排水应急预案，各种应急预案应提前呈报上级主管部门审查备案1分。应针对每一种应急预案，每年进行一次培训和演习，并通知排水主管部门参观1分</w:t>
            </w:r>
            <w:r>
              <w:rPr>
                <w:rFonts w:ascii="Calibri" w:hAnsi="Calibri"/>
                <w:color w:val="000000"/>
                <w:highlight w:val="none"/>
              </w:rPr>
            </w:r>
            <w:r/>
          </w:p>
        </w:tc>
        <w:tc>
          <w:tcPr>
            <w:shd w:val="clear" w:color="auto" w:fill="ffffff"/>
            <w:tcW w:w="1035"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c>
          <w:tcPr>
            <w:shd w:val="clear" w:color="auto" w:fill="ffffff"/>
            <w:tcW w:w="45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2</w:t>
            </w:r>
            <w:r>
              <w:rPr>
                <w:rFonts w:ascii="Calibri" w:hAnsi="Calibri"/>
                <w:color w:val="000000"/>
                <w:highlight w:val="none"/>
              </w:rPr>
            </w:r>
            <w:r/>
          </w:p>
        </w:tc>
        <w:tc>
          <w:tcPr>
            <w:shd w:val="clear" w:color="auto" w:fill="ffffff"/>
            <w:tcW w:w="75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每季度不定期一次</w:t>
            </w:r>
            <w:r>
              <w:rPr>
                <w:rFonts w:ascii="Calibri" w:hAnsi="Calibri"/>
                <w:color w:val="000000"/>
                <w:highlight w:val="none"/>
              </w:rPr>
            </w:r>
            <w:r/>
          </w:p>
        </w:tc>
      </w:tr>
    </w:tbl>
    <w:p>
      <w:pPr>
        <w:pStyle w:val="856"/>
        <w:rPr>
          <w:rFonts w:hint="eastAsia" w:ascii="Calibri" w:hAnsi="Calibri" w:eastAsia="宋体"/>
          <w:color w:val="000000"/>
          <w:highlight w:val="none"/>
          <w:lang w:eastAsia="zh-CN"/>
        </w:rPr>
      </w:pPr>
      <w:r>
        <w:rPr>
          <w:rFonts w:hint="eastAsia" w:ascii="Calibri" w:hAnsi="Calibri" w:eastAsia="宋体"/>
          <w:color w:val="000000"/>
          <w:highlight w:val="none"/>
          <w:lang w:eastAsia="zh-CN"/>
        </w:rPr>
      </w:r>
      <w:r/>
    </w:p>
    <w:p>
      <w:pPr>
        <w:pStyle w:val="856"/>
        <w:rPr>
          <w:rFonts w:ascii="Calibri" w:hAnsi="Calibri"/>
          <w:color w:val="000000"/>
          <w:highlight w:val="none"/>
        </w:rPr>
      </w:pPr>
      <w:r>
        <w:rPr>
          <w:rFonts w:hint="eastAsia" w:ascii="Calibri" w:hAnsi="Calibri"/>
          <w:color w:val="000000"/>
          <w:highlight w:val="none"/>
        </w:rPr>
        <w:t xml:space="preserve">第十四条安全文明作业抽查及考核办法</w:t>
      </w:r>
      <w:r>
        <w:rPr>
          <w:rFonts w:ascii="Calibri" w:hAnsi="Calibri"/>
          <w:color w:val="000000"/>
          <w:highlight w:val="none"/>
        </w:rPr>
      </w:r>
      <w:r/>
    </w:p>
    <w:tbl>
      <w:tblPr>
        <w:tblW w:w="9691" w:type="dxa"/>
        <w:tblCellSpacing w:w="0"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1206"/>
        <w:gridCol w:w="15"/>
        <w:gridCol w:w="5470"/>
        <w:gridCol w:w="1800"/>
        <w:gridCol w:w="435"/>
        <w:gridCol w:w="765"/>
      </w:tblGrid>
      <w:tr>
        <w:trPr>
          <w:tblCellSpacing w:w="0" w:type="dxa"/>
          <w:trHeight w:val="148"/>
        </w:trPr>
        <w:tc>
          <w:tcPr>
            <w:gridSpan w:val="2"/>
            <w:shd w:val="clear" w:color="auto" w:fill="ffffff"/>
            <w:tcW w:w="1221"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检查项目</w:t>
            </w:r>
            <w:r>
              <w:rPr>
                <w:rFonts w:ascii="Calibri" w:hAnsi="Calibri"/>
                <w:color w:val="000000"/>
                <w:highlight w:val="none"/>
              </w:rPr>
            </w:r>
            <w:r/>
          </w:p>
        </w:tc>
        <w:tc>
          <w:tcPr>
            <w:shd w:val="clear" w:color="auto" w:fill="ffffff"/>
            <w:tcW w:w="5470"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安全文明作业要求</w:t>
            </w:r>
            <w:r>
              <w:rPr>
                <w:rFonts w:ascii="Calibri" w:hAnsi="Calibri"/>
                <w:color w:val="000000"/>
                <w:highlight w:val="none"/>
              </w:rPr>
            </w:r>
            <w:r/>
          </w:p>
        </w:tc>
        <w:tc>
          <w:tcPr>
            <w:shd w:val="clear" w:color="auto" w:fill="ffffff"/>
            <w:tcW w:w="1800"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说明</w:t>
            </w:r>
            <w:r>
              <w:rPr>
                <w:rFonts w:ascii="Calibri" w:hAnsi="Calibri"/>
                <w:color w:val="000000"/>
                <w:highlight w:val="none"/>
              </w:rPr>
            </w:r>
            <w:r/>
          </w:p>
        </w:tc>
        <w:tc>
          <w:tcPr>
            <w:shd w:val="clear" w:color="auto" w:fill="ffffff"/>
            <w:tcW w:w="435"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本项总分</w:t>
            </w:r>
            <w:r>
              <w:rPr>
                <w:rFonts w:ascii="Calibri" w:hAnsi="Calibri"/>
                <w:color w:val="000000"/>
                <w:highlight w:val="none"/>
              </w:rPr>
            </w:r>
            <w:r/>
          </w:p>
        </w:tc>
        <w:tc>
          <w:tcPr>
            <w:shd w:val="clear" w:color="auto" w:fill="ffffff"/>
            <w:tcW w:w="765"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检查频度</w:t>
            </w:r>
            <w:r>
              <w:rPr>
                <w:rFonts w:ascii="Calibri" w:hAnsi="Calibri"/>
                <w:color w:val="000000"/>
                <w:highlight w:val="none"/>
              </w:rPr>
            </w:r>
            <w:r/>
          </w:p>
        </w:tc>
      </w:tr>
      <w:tr>
        <w:trPr>
          <w:tblCellSpacing w:w="0" w:type="dxa"/>
          <w:trHeight w:val="148"/>
        </w:trPr>
        <w:tc>
          <w:tcPr>
            <w:gridSpan w:val="2"/>
            <w:shd w:val="clear" w:color="auto" w:fill="ffffff"/>
            <w:tcW w:w="1221"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培训和持证上岗</w:t>
            </w:r>
            <w:r>
              <w:rPr>
                <w:rFonts w:ascii="Calibri" w:hAnsi="Calibri"/>
                <w:color w:val="000000"/>
                <w:highlight w:val="none"/>
              </w:rPr>
            </w:r>
            <w:r/>
          </w:p>
        </w:tc>
        <w:tc>
          <w:tcPr>
            <w:shd w:val="clear" w:color="auto" w:fill="ffffff"/>
            <w:tcW w:w="5470"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污水管网作业人员上岗前必须接受必要的安全作业技术培训，掌握人工急救、防护用具、照明、通讯设备的使用方法及相关的安全知识，考核合格后持证上岗。</w:t>
            </w:r>
            <w:r>
              <w:rPr>
                <w:rFonts w:ascii="Calibri" w:hAnsi="Calibri"/>
                <w:color w:val="000000"/>
                <w:highlight w:val="none"/>
              </w:rPr>
            </w:r>
            <w:r/>
          </w:p>
        </w:tc>
        <w:tc>
          <w:tcPr>
            <w:shd w:val="clear" w:color="auto" w:fill="ffffff"/>
            <w:tcW w:w="1800" w:type="dxa"/>
            <w:vAlign w:val="center"/>
            <w:vMerge w:val="restart"/>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按照《污水管网维护、管理质量标准》执行</w:t>
            </w:r>
            <w:r>
              <w:rPr>
                <w:rFonts w:ascii="Calibri" w:hAnsi="Calibri"/>
                <w:color w:val="000000"/>
                <w:highlight w:val="none"/>
              </w:rPr>
            </w:r>
            <w:r/>
          </w:p>
        </w:tc>
        <w:tc>
          <w:tcPr>
            <w:shd w:val="clear" w:color="auto" w:fill="ffffff"/>
            <w:tcW w:w="435" w:type="dxa"/>
            <w:vAlign w:val="center"/>
            <w:vMerge w:val="restart"/>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c>
          <w:tcPr>
            <w:shd w:val="clear" w:color="auto" w:fill="ffffff"/>
            <w:tcW w:w="765"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每季度不定期一次</w:t>
            </w:r>
            <w:r>
              <w:rPr>
                <w:rFonts w:ascii="Calibri" w:hAnsi="Calibri"/>
                <w:color w:val="000000"/>
                <w:highlight w:val="none"/>
              </w:rPr>
            </w:r>
            <w:r/>
          </w:p>
        </w:tc>
      </w:tr>
      <w:tr>
        <w:trPr>
          <w:tblCellSpacing w:w="0" w:type="dxa"/>
          <w:trHeight w:val="148"/>
        </w:trPr>
        <w:tc>
          <w:tcPr>
            <w:gridSpan w:val="2"/>
            <w:shd w:val="clear" w:color="auto" w:fill="ffffff"/>
            <w:tcW w:w="1221"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安全生产</w:t>
            </w:r>
            <w:r>
              <w:rPr>
                <w:rFonts w:ascii="Calibri" w:hAnsi="Calibri"/>
                <w:color w:val="000000"/>
                <w:highlight w:val="none"/>
              </w:rPr>
            </w:r>
            <w:r/>
          </w:p>
        </w:tc>
        <w:tc>
          <w:tcPr>
            <w:shd w:val="clear" w:color="auto" w:fill="ffffff"/>
            <w:tcW w:w="5470"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检查井井盖开启之后，必须立即采取安全措施。作业现场、检查井及管道内严禁明火，车辆、行人不得进入作业区；严格安全作业交底制度，必须有交底人和被交底人的书面认可1分；作业人员下井后，井上应有两人监护；如需人员进入管道作业必须执行安全操作票制度，按批准的安全措施严格执行；监护人员不得擅离职守，安全措施不到位，下井作业人员可以拒绝作业1分；下井作业前将相关材料报排水中心备案1分。</w:t>
            </w:r>
            <w:r>
              <w:rPr>
                <w:rFonts w:ascii="Calibri" w:hAnsi="Calibri"/>
                <w:color w:val="000000"/>
                <w:highlight w:val="none"/>
              </w:rPr>
            </w:r>
            <w:r/>
          </w:p>
        </w:tc>
        <w:tc>
          <w:tcPr>
            <w:shd w:val="clear" w:color="auto" w:fill="ffffff"/>
            <w:tcW w:w="1800" w:type="dxa"/>
            <w:vAlign w:val="top"/>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c>
          <w:tcPr>
            <w:shd w:val="clear" w:color="auto" w:fill="ffffff"/>
            <w:tcW w:w="435"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3</w:t>
            </w:r>
            <w:r>
              <w:rPr>
                <w:rFonts w:ascii="Calibri" w:hAnsi="Calibri"/>
                <w:color w:val="000000"/>
                <w:highlight w:val="none"/>
              </w:rPr>
            </w:r>
            <w:r/>
          </w:p>
        </w:tc>
        <w:tc>
          <w:tcPr>
            <w:shd w:val="clear" w:color="auto" w:fill="ffffff"/>
            <w:tcW w:w="765"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每次下井作业</w:t>
            </w:r>
            <w:r>
              <w:rPr>
                <w:rFonts w:ascii="Calibri" w:hAnsi="Calibri"/>
                <w:color w:val="000000"/>
                <w:highlight w:val="none"/>
              </w:rPr>
            </w:r>
            <w:r/>
          </w:p>
        </w:tc>
      </w:tr>
      <w:tr>
        <w:trPr>
          <w:tblCellSpacing w:w="0" w:type="dxa"/>
          <w:trHeight w:val="1090"/>
        </w:trPr>
        <w:tc>
          <w:tcPr>
            <w:shd w:val="clear" w:color="auto" w:fill="ffffff"/>
            <w:tcW w:w="1206"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安全生产安全检查</w:t>
            </w:r>
            <w:r>
              <w:rPr>
                <w:rFonts w:ascii="Calibri" w:hAnsi="Calibri"/>
                <w:color w:val="000000"/>
                <w:highlight w:val="none"/>
              </w:rPr>
            </w:r>
            <w:r/>
          </w:p>
        </w:tc>
        <w:tc>
          <w:tcPr>
            <w:gridSpan w:val="2"/>
            <w:shd w:val="clear" w:color="auto" w:fill="ffffff"/>
            <w:tcW w:w="5485"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建立健全安全生产规章制度，安全台账齐全有效1分；落实安全教育培训制度1分；有紧急情况应急预案并按时演练1分；泵站内设置有易燃、易爆、有毒气体监测装置、防毒面具、消防设施器材、等按规定检验1分。</w:t>
            </w:r>
            <w:r>
              <w:rPr>
                <w:rFonts w:ascii="Calibri" w:hAnsi="Calibri"/>
                <w:color w:val="000000"/>
                <w:highlight w:val="none"/>
              </w:rPr>
            </w:r>
            <w:r/>
          </w:p>
        </w:tc>
        <w:tc>
          <w:tcPr>
            <w:shd w:val="clear" w:color="auto" w:fill="ffffff"/>
            <w:tcW w:w="1800"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水泵、闸阀门、管道、集水池、压力井等泵站设备设施检查维护时，必须采取防硫化氢等有毒、有害气体的安全措施。</w:t>
            </w:r>
            <w:r>
              <w:rPr>
                <w:rFonts w:ascii="Calibri" w:hAnsi="Calibri"/>
                <w:color w:val="000000"/>
                <w:highlight w:val="none"/>
              </w:rPr>
            </w:r>
            <w:r/>
          </w:p>
          <w:p>
            <w:pPr>
              <w:pStyle w:val="856"/>
              <w:rPr>
                <w:rFonts w:ascii="Calibri" w:hAnsi="Calibri"/>
                <w:color w:val="000000"/>
                <w:highlight w:val="none"/>
              </w:rPr>
            </w:pPr>
            <w:r>
              <w:rPr>
                <w:rFonts w:hint="eastAsia" w:ascii="Calibri" w:hAnsi="Calibri"/>
                <w:color w:val="000000"/>
                <w:highlight w:val="none"/>
              </w:rPr>
              <w:t xml:space="preserve">防毒用具使用前必须校验，合格后方可使用。电气安全用具及消防设施器材应定期检查，定点放置。</w:t>
            </w:r>
            <w:r>
              <w:rPr>
                <w:rFonts w:ascii="Calibri" w:hAnsi="Calibri"/>
                <w:color w:val="000000"/>
                <w:highlight w:val="none"/>
              </w:rPr>
            </w:r>
            <w:r/>
          </w:p>
        </w:tc>
        <w:tc>
          <w:tcPr>
            <w:shd w:val="clear" w:color="auto" w:fill="ffffff"/>
            <w:tcW w:w="435"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4</w:t>
            </w:r>
            <w:r>
              <w:rPr>
                <w:rFonts w:ascii="Calibri" w:hAnsi="Calibri"/>
                <w:color w:val="000000"/>
                <w:highlight w:val="none"/>
              </w:rPr>
            </w:r>
            <w:r/>
          </w:p>
        </w:tc>
        <w:tc>
          <w:tcPr>
            <w:shd w:val="clear" w:color="auto" w:fill="ffffff"/>
            <w:tcW w:w="765"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每季度不定期一次</w:t>
            </w:r>
            <w:r>
              <w:rPr>
                <w:rFonts w:ascii="Calibri" w:hAnsi="Calibri"/>
                <w:color w:val="000000"/>
                <w:highlight w:val="none"/>
              </w:rPr>
            </w:r>
            <w:r/>
          </w:p>
        </w:tc>
      </w:tr>
      <w:tr>
        <w:trPr>
          <w:tblCellSpacing w:w="0" w:type="dxa"/>
          <w:trHeight w:val="1036"/>
        </w:trPr>
        <w:tc>
          <w:tcPr>
            <w:gridSpan w:val="2"/>
            <w:shd w:val="clear" w:color="auto" w:fill="ffffff"/>
            <w:tcW w:w="1221"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严格程序</w:t>
            </w:r>
            <w:r>
              <w:rPr>
                <w:rFonts w:ascii="Calibri" w:hAnsi="Calibri"/>
                <w:color w:val="000000"/>
                <w:highlight w:val="none"/>
              </w:rPr>
            </w:r>
            <w:r/>
          </w:p>
        </w:tc>
        <w:tc>
          <w:tcPr>
            <w:shd w:val="clear" w:color="auto" w:fill="ffffff"/>
            <w:tcW w:w="5470"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在征得交管部门同意中断交通后，应在路段两端设置断绝交通的警示标志；在繁华地区作业时，应指派专人指挥交通、维护现场秩序。下井作业经过严格的审批手续，管道维护和检查严格按照现行行业标准《污水管道维护安全技术规程》的规定操作、执行。防毒面具应定期校验，下井作业前必须再次校验，合格后方可使用。</w:t>
            </w:r>
            <w:r>
              <w:rPr>
                <w:rFonts w:ascii="Calibri" w:hAnsi="Calibri"/>
                <w:color w:val="000000"/>
                <w:highlight w:val="none"/>
              </w:rPr>
            </w:r>
            <w:r/>
          </w:p>
        </w:tc>
        <w:tc>
          <w:tcPr>
            <w:shd w:val="clear" w:color="auto" w:fill="ffffff"/>
            <w:tcW w:w="1800" w:type="dxa"/>
            <w:vAlign w:val="top"/>
            <w:textDirection w:val="lrTb"/>
            <w:noWrap w:val="false"/>
          </w:tcPr>
          <w:p>
            <w:pPr>
              <w:pStyle w:val="856"/>
              <w:rPr>
                <w:rFonts w:ascii="Calibri" w:hAnsi="Calibri"/>
                <w:color w:val="000000"/>
                <w:highlight w:val="none"/>
              </w:rPr>
            </w:pPr>
            <w:r>
              <w:rPr>
                <w:rFonts w:ascii="Calibri" w:hAnsi="Calibri"/>
                <w:color w:val="000000"/>
                <w:highlight w:val="none"/>
              </w:rPr>
            </w:r>
            <w:r/>
          </w:p>
        </w:tc>
        <w:tc>
          <w:tcPr>
            <w:shd w:val="clear" w:color="auto" w:fill="ffffff"/>
            <w:tcW w:w="435"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c>
          <w:tcPr>
            <w:shd w:val="clear" w:color="auto" w:fill="ffffff"/>
            <w:tcW w:w="765"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每季度不定期一次</w:t>
            </w:r>
            <w:r>
              <w:rPr>
                <w:rFonts w:ascii="Calibri" w:hAnsi="Calibri"/>
                <w:color w:val="000000"/>
                <w:highlight w:val="none"/>
              </w:rPr>
            </w:r>
            <w:r/>
          </w:p>
        </w:tc>
      </w:tr>
    </w:tbl>
    <w:p>
      <w:pPr>
        <w:pStyle w:val="856"/>
        <w:rPr>
          <w:rFonts w:hint="eastAsia" w:ascii="Calibri" w:hAnsi="Calibri" w:eastAsia="宋体"/>
          <w:color w:val="000000"/>
          <w:highlight w:val="none"/>
          <w:lang w:eastAsia="zh-CN"/>
        </w:rPr>
      </w:pPr>
      <w:r>
        <w:rPr>
          <w:rFonts w:hint="eastAsia" w:ascii="Calibri" w:hAnsi="Calibri" w:eastAsia="宋体"/>
          <w:color w:val="000000"/>
          <w:highlight w:val="none"/>
          <w:lang w:eastAsia="zh-CN"/>
        </w:rPr>
      </w:r>
      <w:r/>
    </w:p>
    <w:p>
      <w:pPr>
        <w:pStyle w:val="856"/>
        <w:rPr>
          <w:rFonts w:ascii="Calibri" w:hAnsi="Calibri"/>
          <w:color w:val="000000"/>
          <w:highlight w:val="none"/>
        </w:rPr>
      </w:pPr>
      <w:r>
        <w:rPr>
          <w:rFonts w:hint="eastAsia" w:ascii="Calibri" w:hAnsi="Calibri"/>
          <w:color w:val="000000"/>
          <w:highlight w:val="none"/>
        </w:rPr>
        <w:t xml:space="preserve">第十五条档案资料管理抽查及考核办法</w:t>
      </w:r>
      <w:r>
        <w:rPr>
          <w:rFonts w:ascii="Calibri" w:hAnsi="Calibri"/>
          <w:color w:val="000000"/>
          <w:highlight w:val="none"/>
        </w:rPr>
      </w:r>
      <w:r/>
    </w:p>
    <w:tbl>
      <w:tblPr>
        <w:tblW w:w="9676" w:type="dxa"/>
        <w:tblCellSpacing w:w="0"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1455"/>
        <w:gridCol w:w="5251"/>
        <w:gridCol w:w="1815"/>
        <w:gridCol w:w="450"/>
        <w:gridCol w:w="705"/>
      </w:tblGrid>
      <w:tr>
        <w:trPr>
          <w:tblCellSpacing w:w="0" w:type="dxa"/>
          <w:trHeight w:val="203"/>
        </w:trPr>
        <w:tc>
          <w:tcPr>
            <w:shd w:val="clear" w:color="auto" w:fill="ffffff"/>
            <w:tcW w:w="1455"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检查项目</w:t>
            </w:r>
            <w:r>
              <w:rPr>
                <w:rFonts w:ascii="Calibri" w:hAnsi="Calibri"/>
                <w:color w:val="000000"/>
                <w:highlight w:val="none"/>
              </w:rPr>
            </w:r>
            <w:r/>
          </w:p>
        </w:tc>
        <w:tc>
          <w:tcPr>
            <w:shd w:val="clear" w:color="auto" w:fill="ffffff"/>
            <w:tcW w:w="5251"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档案资料管理要求</w:t>
            </w:r>
            <w:r>
              <w:rPr>
                <w:rFonts w:ascii="Calibri" w:hAnsi="Calibri"/>
                <w:color w:val="000000"/>
                <w:highlight w:val="none"/>
              </w:rPr>
            </w:r>
            <w:r/>
          </w:p>
        </w:tc>
        <w:tc>
          <w:tcPr>
            <w:shd w:val="clear" w:color="auto" w:fill="ffffff"/>
            <w:tcW w:w="1815"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说明</w:t>
            </w:r>
            <w:r>
              <w:rPr>
                <w:rFonts w:ascii="Calibri" w:hAnsi="Calibri"/>
                <w:color w:val="000000"/>
                <w:highlight w:val="none"/>
              </w:rPr>
            </w:r>
            <w:r/>
          </w:p>
        </w:tc>
        <w:tc>
          <w:tcPr>
            <w:shd w:val="clear" w:color="auto" w:fill="ffffff"/>
            <w:tcW w:w="450"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本项总分</w:t>
            </w:r>
            <w:r>
              <w:rPr>
                <w:rFonts w:ascii="Calibri" w:hAnsi="Calibri"/>
                <w:color w:val="000000"/>
                <w:highlight w:val="none"/>
              </w:rPr>
            </w:r>
            <w:r/>
          </w:p>
        </w:tc>
        <w:tc>
          <w:tcPr>
            <w:shd w:val="clear" w:color="auto" w:fill="ffffff"/>
            <w:tcW w:w="705"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检查频度</w:t>
            </w:r>
            <w:r>
              <w:rPr>
                <w:rFonts w:ascii="Calibri" w:hAnsi="Calibri"/>
                <w:color w:val="000000"/>
                <w:highlight w:val="none"/>
              </w:rPr>
            </w:r>
            <w:r/>
          </w:p>
        </w:tc>
      </w:tr>
      <w:tr>
        <w:trPr>
          <w:tblCellSpacing w:w="0" w:type="dxa"/>
          <w:trHeight w:val="203"/>
        </w:trPr>
        <w:tc>
          <w:tcPr>
            <w:shd w:val="clear" w:color="auto" w:fill="ffffff"/>
            <w:tcW w:w="1455"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设备设施台账</w:t>
            </w:r>
            <w:r>
              <w:rPr>
                <w:rFonts w:ascii="Calibri" w:hAnsi="Calibri"/>
                <w:color w:val="000000"/>
                <w:highlight w:val="none"/>
              </w:rPr>
            </w:r>
            <w:r/>
          </w:p>
        </w:tc>
        <w:tc>
          <w:tcPr>
            <w:shd w:val="clear" w:color="auto" w:fill="ffffff"/>
            <w:tcW w:w="5251"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污水管网维护、管理单位应建立健全污水管网及设施的档案资料管理制度，配备专职档案资料管理人员。各项管网、设施维护台帐健全，记录详细，装订规范。运营档案、资料实行计算机自动化管理，并建立信息共享平台。</w:t>
            </w:r>
            <w:r>
              <w:rPr>
                <w:rFonts w:ascii="Calibri" w:hAnsi="Calibri"/>
                <w:color w:val="000000"/>
                <w:highlight w:val="none"/>
              </w:rPr>
            </w:r>
            <w:r/>
          </w:p>
        </w:tc>
        <w:tc>
          <w:tcPr>
            <w:shd w:val="clear" w:color="auto" w:fill="ffffff"/>
            <w:tcW w:w="1815" w:type="dxa"/>
            <w:vAlign w:val="center"/>
            <w:vMerge w:val="restart"/>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按照《污水管网维护、管理质量标准》执行</w:t>
            </w:r>
            <w:r>
              <w:rPr>
                <w:rFonts w:ascii="Calibri" w:hAnsi="Calibri"/>
                <w:color w:val="000000"/>
                <w:highlight w:val="none"/>
              </w:rPr>
            </w:r>
            <w:r/>
          </w:p>
        </w:tc>
        <w:tc>
          <w:tcPr>
            <w:shd w:val="clear" w:color="auto" w:fill="ffffff"/>
            <w:tcW w:w="45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c>
          <w:tcPr>
            <w:shd w:val="clear" w:color="auto" w:fill="ffffff"/>
            <w:tcW w:w="705"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每季度不定期一次</w:t>
            </w:r>
            <w:r>
              <w:rPr>
                <w:rFonts w:ascii="Calibri" w:hAnsi="Calibri"/>
                <w:color w:val="000000"/>
                <w:highlight w:val="none"/>
              </w:rPr>
            </w:r>
            <w:r/>
          </w:p>
        </w:tc>
      </w:tr>
      <w:tr>
        <w:trPr>
          <w:tblCellSpacing w:w="0" w:type="dxa"/>
          <w:trHeight w:val="407"/>
        </w:trPr>
        <w:tc>
          <w:tcPr>
            <w:shd w:val="clear" w:color="auto" w:fill="ffffff"/>
            <w:tcW w:w="1455"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台账及时更新</w:t>
            </w:r>
            <w:r>
              <w:rPr>
                <w:rFonts w:ascii="Calibri" w:hAnsi="Calibri"/>
                <w:color w:val="000000"/>
                <w:highlight w:val="none"/>
              </w:rPr>
            </w:r>
            <w:r/>
          </w:p>
        </w:tc>
        <w:tc>
          <w:tcPr>
            <w:shd w:val="clear" w:color="auto" w:fill="ffffff"/>
            <w:tcW w:w="5251"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养护单位应该建立台账更新流程，设备台账的更新应该在设备采购和设备报废管理流程中体现并严格执行，设施台账应该在工程竣工交接和报废流程中体现并严格执行，更新期限，一周内。</w:t>
            </w:r>
            <w:r>
              <w:rPr>
                <w:rFonts w:ascii="Calibri" w:hAnsi="Calibri"/>
                <w:color w:val="000000"/>
                <w:highlight w:val="none"/>
              </w:rPr>
            </w:r>
            <w:r/>
          </w:p>
        </w:tc>
        <w:tc>
          <w:tcPr>
            <w:shd w:val="clear" w:color="auto" w:fill="ffffff"/>
            <w:tcW w:w="1815"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c>
          <w:tcPr>
            <w:shd w:val="clear" w:color="auto" w:fill="ffffff"/>
            <w:tcW w:w="45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c>
          <w:tcPr>
            <w:shd w:val="clear" w:color="auto" w:fill="ffffff"/>
            <w:tcW w:w="705" w:type="dxa"/>
            <w:vAlign w:val="center"/>
            <w:textDirection w:val="lrTb"/>
            <w:noWrap w:val="false"/>
          </w:tcPr>
          <w:p>
            <w:pPr>
              <w:pStyle w:val="856"/>
              <w:rPr>
                <w:rFonts w:ascii="Calibri" w:hAnsi="Calibri"/>
                <w:color w:val="000000"/>
                <w:highlight w:val="none"/>
              </w:rPr>
            </w:pPr>
            <w:r>
              <w:rPr>
                <w:rFonts w:ascii="Calibri" w:hAnsi="Calibri"/>
                <w:color w:val="000000"/>
                <w:highlight w:val="none"/>
              </w:rPr>
            </w:r>
            <w:r/>
          </w:p>
        </w:tc>
      </w:tr>
      <w:tr>
        <w:trPr>
          <w:tblCellSpacing w:w="0" w:type="dxa"/>
          <w:trHeight w:val="1119"/>
        </w:trPr>
        <w:tc>
          <w:tcPr>
            <w:shd w:val="clear" w:color="auto" w:fill="ffffff"/>
            <w:tcW w:w="1455"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管网养护台账</w:t>
            </w:r>
            <w:r>
              <w:rPr>
                <w:rFonts w:ascii="Calibri" w:hAnsi="Calibri"/>
                <w:color w:val="000000"/>
                <w:highlight w:val="none"/>
              </w:rPr>
            </w:r>
            <w:r/>
          </w:p>
        </w:tc>
        <w:tc>
          <w:tcPr>
            <w:shd w:val="clear" w:color="auto" w:fill="ffffff"/>
            <w:tcW w:w="5251"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排水设施的维护资料应正确、及时、清晰，排水设施的更新、改造、补缺、配套的资料应及时归档保存，实行计算机管理的维护资料应有备份，对排水设施的突发事故或设施严重损坏情况必须及时做好记录，并应连同分析处理资料一起归档保存</w:t>
            </w:r>
            <w:r>
              <w:rPr>
                <w:rFonts w:ascii="Calibri" w:hAnsi="Calibri"/>
                <w:color w:val="000000"/>
                <w:highlight w:val="none"/>
              </w:rPr>
            </w:r>
            <w:r/>
          </w:p>
        </w:tc>
        <w:tc>
          <w:tcPr>
            <w:shd w:val="clear" w:color="auto" w:fill="ffffff"/>
            <w:tcW w:w="1815"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c>
          <w:tcPr>
            <w:shd w:val="clear" w:color="auto" w:fill="ffffff"/>
            <w:tcW w:w="45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c>
          <w:tcPr>
            <w:shd w:val="clear" w:color="auto" w:fill="ffffff"/>
            <w:tcW w:w="705"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每季度不定期一次</w:t>
            </w:r>
            <w:r>
              <w:rPr>
                <w:rFonts w:ascii="Calibri" w:hAnsi="Calibri"/>
                <w:color w:val="000000"/>
                <w:highlight w:val="none"/>
              </w:rPr>
            </w:r>
            <w:r/>
          </w:p>
        </w:tc>
      </w:tr>
      <w:tr>
        <w:trPr>
          <w:tblCellSpacing w:w="0" w:type="dxa"/>
          <w:trHeight w:val="453"/>
        </w:trPr>
        <w:tc>
          <w:tcPr>
            <w:shd w:val="clear" w:color="auto" w:fill="ffffff"/>
            <w:tcW w:w="1455"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泵站养护台账</w:t>
            </w:r>
            <w:r>
              <w:rPr>
                <w:rFonts w:ascii="Calibri" w:hAnsi="Calibri"/>
                <w:color w:val="000000"/>
                <w:highlight w:val="none"/>
              </w:rPr>
            </w:r>
            <w:r/>
          </w:p>
        </w:tc>
        <w:tc>
          <w:tcPr>
            <w:shd w:val="clear" w:color="auto" w:fill="ffffff"/>
            <w:tcW w:w="5251"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泵站管理单位应建立、健全泵站和相关设施的档案制度。泵站档案应包括设备台账、维护维修计划。泵站管理单位应编制排水泵站设施量统计年报、泵站运行技术经济指标统计年报。排水泵站设施的维修资料应准确、齐全，及时归档。排水泵站突发事故或设施严重损坏情况的资料、处理结果应及时归档。泵站运行资料应准确、规范、及时汇编成册。</w:t>
            </w:r>
            <w:r>
              <w:rPr>
                <w:rFonts w:ascii="Calibri" w:hAnsi="Calibri"/>
                <w:color w:val="000000"/>
                <w:highlight w:val="none"/>
              </w:rPr>
            </w:r>
            <w:r/>
          </w:p>
        </w:tc>
        <w:tc>
          <w:tcPr>
            <w:shd w:val="clear" w:color="auto" w:fill="ffffff"/>
            <w:tcW w:w="1815"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c>
          <w:tcPr>
            <w:shd w:val="clear" w:color="auto" w:fill="ffffff"/>
            <w:tcW w:w="45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2</w:t>
            </w:r>
            <w:r>
              <w:rPr>
                <w:rFonts w:ascii="Calibri" w:hAnsi="Calibri"/>
                <w:color w:val="000000"/>
                <w:highlight w:val="none"/>
              </w:rPr>
            </w:r>
            <w:r/>
          </w:p>
        </w:tc>
        <w:tc>
          <w:tcPr>
            <w:shd w:val="clear" w:color="auto" w:fill="ffffff"/>
            <w:tcW w:w="705"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每季度不定期一次</w:t>
            </w:r>
            <w:r>
              <w:rPr>
                <w:rFonts w:ascii="Calibri" w:hAnsi="Calibri"/>
                <w:color w:val="000000"/>
                <w:highlight w:val="none"/>
              </w:rPr>
            </w:r>
            <w:r/>
          </w:p>
        </w:tc>
      </w:tr>
      <w:tr>
        <w:trPr>
          <w:tblCellSpacing w:w="0" w:type="dxa"/>
          <w:trHeight w:val="65"/>
        </w:trPr>
        <w:tc>
          <w:tcPr>
            <w:shd w:val="clear" w:color="auto" w:fill="ffffff"/>
            <w:tcW w:w="1455"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运行记录</w:t>
            </w:r>
            <w:r>
              <w:rPr>
                <w:rFonts w:ascii="Calibri" w:hAnsi="Calibri"/>
                <w:color w:val="000000"/>
                <w:highlight w:val="none"/>
              </w:rPr>
            </w:r>
            <w:r/>
          </w:p>
        </w:tc>
        <w:tc>
          <w:tcPr>
            <w:shd w:val="clear" w:color="auto" w:fill="ffffff"/>
            <w:tcW w:w="5251"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值班运行制度上墙，值班运行维护记录应完整清晰1分；能进行信息化技术统计、查阅并按时上报1分。</w:t>
            </w:r>
            <w:r>
              <w:rPr>
                <w:rFonts w:ascii="Calibri" w:hAnsi="Calibri"/>
                <w:color w:val="000000"/>
                <w:highlight w:val="none"/>
              </w:rPr>
            </w:r>
            <w:r/>
          </w:p>
        </w:tc>
        <w:tc>
          <w:tcPr>
            <w:shd w:val="clear" w:color="auto" w:fill="ffffff"/>
            <w:tcW w:w="1815"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包括日常运行情况记录</w:t>
            </w:r>
            <w:r>
              <w:rPr>
                <w:rFonts w:ascii="Calibri" w:hAnsi="Calibri"/>
                <w:color w:val="000000"/>
                <w:highlight w:val="none"/>
              </w:rPr>
            </w:r>
            <w:r/>
          </w:p>
        </w:tc>
        <w:tc>
          <w:tcPr>
            <w:shd w:val="clear" w:color="auto" w:fill="ffffff"/>
            <w:tcW w:w="45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c>
          <w:tcPr>
            <w:shd w:val="clear" w:color="auto" w:fill="ffffff"/>
            <w:tcW w:w="705"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每季度不定期一次</w:t>
            </w:r>
            <w:r>
              <w:rPr>
                <w:rFonts w:ascii="Calibri" w:hAnsi="Calibri"/>
                <w:color w:val="000000"/>
                <w:highlight w:val="none"/>
              </w:rPr>
            </w:r>
            <w:r/>
          </w:p>
        </w:tc>
      </w:tr>
      <w:tr>
        <w:trPr>
          <w:tblCellSpacing w:w="0" w:type="dxa"/>
          <w:trHeight w:val="473"/>
        </w:trPr>
        <w:tc>
          <w:tcPr>
            <w:shd w:val="clear" w:color="auto" w:fill="ffffff"/>
            <w:tcW w:w="1455"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设备保养记录</w:t>
            </w:r>
            <w:r>
              <w:rPr>
                <w:rFonts w:ascii="Calibri" w:hAnsi="Calibri"/>
                <w:color w:val="000000"/>
                <w:highlight w:val="none"/>
              </w:rPr>
            </w:r>
            <w:r/>
          </w:p>
        </w:tc>
        <w:tc>
          <w:tcPr>
            <w:shd w:val="clear" w:color="auto" w:fill="ffffff"/>
            <w:tcW w:w="5251"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有经过批准的设备保养计划，并严格执行，保养及时记录齐全</w:t>
            </w:r>
            <w:r>
              <w:rPr>
                <w:rFonts w:ascii="Calibri" w:hAnsi="Calibri"/>
                <w:color w:val="000000"/>
                <w:highlight w:val="none"/>
              </w:rPr>
            </w:r>
            <w:r/>
          </w:p>
        </w:tc>
        <w:tc>
          <w:tcPr>
            <w:shd w:val="clear" w:color="auto" w:fill="ffffff"/>
            <w:tcW w:w="1815"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抽查定期维护记录记录有执行人和检查人签名，并现场验证</w:t>
            </w:r>
            <w:r>
              <w:rPr>
                <w:rFonts w:ascii="Calibri" w:hAnsi="Calibri"/>
                <w:color w:val="000000"/>
                <w:highlight w:val="none"/>
              </w:rPr>
            </w:r>
            <w:r/>
          </w:p>
        </w:tc>
        <w:tc>
          <w:tcPr>
            <w:shd w:val="clear" w:color="auto" w:fill="ffffff"/>
            <w:tcW w:w="45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c>
          <w:tcPr>
            <w:shd w:val="clear" w:color="auto" w:fill="ffffff"/>
            <w:tcW w:w="705"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每季度不定期一次</w:t>
            </w:r>
            <w:r>
              <w:rPr>
                <w:rFonts w:ascii="Calibri" w:hAnsi="Calibri"/>
                <w:color w:val="000000"/>
                <w:highlight w:val="none"/>
              </w:rPr>
            </w:r>
            <w:r/>
          </w:p>
        </w:tc>
      </w:tr>
      <w:tr>
        <w:trPr>
          <w:tblCellSpacing w:w="0" w:type="dxa"/>
          <w:trHeight w:val="439"/>
        </w:trPr>
        <w:tc>
          <w:tcPr>
            <w:shd w:val="clear" w:color="auto" w:fill="ffffff"/>
            <w:tcW w:w="1455"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设备维修记录</w:t>
            </w:r>
            <w:r>
              <w:rPr>
                <w:rFonts w:ascii="Calibri" w:hAnsi="Calibri"/>
                <w:color w:val="000000"/>
                <w:highlight w:val="none"/>
              </w:rPr>
            </w:r>
            <w:r/>
          </w:p>
        </w:tc>
        <w:tc>
          <w:tcPr>
            <w:shd w:val="clear" w:color="auto" w:fill="ffffff"/>
            <w:tcW w:w="5251"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设备维修及时，有设备维修流程并严格执行</w:t>
            </w:r>
            <w:r>
              <w:rPr>
                <w:rFonts w:ascii="Calibri" w:hAnsi="Calibri"/>
                <w:color w:val="000000"/>
                <w:highlight w:val="none"/>
              </w:rPr>
            </w:r>
            <w:r/>
          </w:p>
        </w:tc>
        <w:tc>
          <w:tcPr>
            <w:shd w:val="clear" w:color="auto" w:fill="ffffff"/>
            <w:tcW w:w="1815"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检查故障维修记录和设备台账加以验证</w:t>
            </w:r>
            <w:r>
              <w:rPr>
                <w:rFonts w:ascii="Calibri" w:hAnsi="Calibri"/>
                <w:color w:val="000000"/>
                <w:highlight w:val="none"/>
              </w:rPr>
            </w:r>
            <w:r/>
          </w:p>
        </w:tc>
        <w:tc>
          <w:tcPr>
            <w:shd w:val="clear" w:color="auto" w:fill="ffffff"/>
            <w:tcW w:w="45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c>
          <w:tcPr>
            <w:shd w:val="clear" w:color="auto" w:fill="ffffff"/>
            <w:tcW w:w="705"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每季度不定期一次</w:t>
            </w:r>
            <w:r>
              <w:rPr>
                <w:rFonts w:ascii="Calibri" w:hAnsi="Calibri"/>
                <w:color w:val="000000"/>
                <w:highlight w:val="none"/>
              </w:rPr>
            </w:r>
            <w:r/>
          </w:p>
        </w:tc>
      </w:tr>
      <w:tr>
        <w:trPr>
          <w:tblCellSpacing w:w="0" w:type="dxa"/>
          <w:trHeight w:val="404"/>
        </w:trPr>
        <w:tc>
          <w:tcPr>
            <w:shd w:val="clear" w:color="auto" w:fill="ffffff"/>
            <w:tcW w:w="1455"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安全台账</w:t>
            </w:r>
            <w:r>
              <w:rPr>
                <w:rFonts w:ascii="Calibri" w:hAnsi="Calibri"/>
                <w:color w:val="000000"/>
                <w:highlight w:val="none"/>
              </w:rPr>
            </w:r>
            <w:r/>
          </w:p>
        </w:tc>
        <w:tc>
          <w:tcPr>
            <w:shd w:val="clear" w:color="auto" w:fill="ffffff"/>
            <w:tcW w:w="5251" w:type="dxa"/>
            <w:vAlign w:val="top"/>
            <w:textDirection w:val="lrTb"/>
            <w:noWrap w:val="false"/>
          </w:tcPr>
          <w:p>
            <w:pPr>
              <w:pStyle w:val="856"/>
              <w:rPr>
                <w:rFonts w:ascii="Calibri" w:hAnsi="Calibri"/>
                <w:color w:val="000000"/>
                <w:highlight w:val="none"/>
              </w:rPr>
            </w:pPr>
            <w:r>
              <w:rPr>
                <w:rFonts w:ascii="Calibri" w:hAnsi="Calibri"/>
                <w:color w:val="000000"/>
                <w:highlight w:val="none"/>
              </w:rPr>
            </w:r>
            <w:r/>
          </w:p>
        </w:tc>
        <w:tc>
          <w:tcPr>
            <w:shd w:val="clear" w:color="auto" w:fill="ffffff"/>
            <w:tcW w:w="1815" w:type="dxa"/>
            <w:vAlign w:val="center"/>
            <w:textDirection w:val="lrTb"/>
            <w:noWrap w:val="false"/>
          </w:tcPr>
          <w:p>
            <w:pPr>
              <w:pStyle w:val="856"/>
              <w:rPr>
                <w:rFonts w:ascii="Calibri" w:hAnsi="Calibri"/>
                <w:color w:val="000000"/>
                <w:highlight w:val="none"/>
              </w:rPr>
            </w:pPr>
            <w:r>
              <w:rPr>
                <w:rFonts w:ascii="Calibri" w:hAnsi="Calibri"/>
                <w:color w:val="000000"/>
                <w:highlight w:val="none"/>
              </w:rPr>
            </w:r>
            <w:r/>
          </w:p>
        </w:tc>
        <w:tc>
          <w:tcPr>
            <w:shd w:val="clear" w:color="auto" w:fill="ffffff"/>
            <w:tcW w:w="450" w:type="dxa"/>
            <w:vAlign w:val="center"/>
            <w:textDirection w:val="lrTb"/>
            <w:noWrap w:val="false"/>
          </w:tcPr>
          <w:p>
            <w:pPr>
              <w:pStyle w:val="856"/>
              <w:rPr>
                <w:rFonts w:ascii="Calibri" w:hAnsi="Calibri"/>
                <w:color w:val="000000"/>
                <w:highlight w:val="none"/>
              </w:rPr>
            </w:pPr>
            <w:r>
              <w:rPr>
                <w:rFonts w:ascii="Calibri" w:hAnsi="Calibri"/>
                <w:color w:val="000000"/>
                <w:highlight w:val="none"/>
              </w:rPr>
            </w:r>
            <w:r/>
          </w:p>
        </w:tc>
        <w:tc>
          <w:tcPr>
            <w:shd w:val="clear" w:color="auto" w:fill="ffffff"/>
            <w:tcW w:w="705" w:type="dxa"/>
            <w:vAlign w:val="center"/>
            <w:textDirection w:val="lrTb"/>
            <w:noWrap w:val="false"/>
          </w:tcPr>
          <w:p>
            <w:pPr>
              <w:pStyle w:val="856"/>
              <w:rPr>
                <w:rFonts w:ascii="Calibri" w:hAnsi="Calibri"/>
                <w:color w:val="000000"/>
                <w:highlight w:val="none"/>
              </w:rPr>
            </w:pPr>
            <w:r>
              <w:rPr>
                <w:rFonts w:ascii="Calibri" w:hAnsi="Calibri"/>
                <w:color w:val="000000"/>
                <w:highlight w:val="none"/>
              </w:rPr>
            </w:r>
            <w:r/>
          </w:p>
        </w:tc>
      </w:tr>
    </w:tbl>
    <w:p>
      <w:pPr>
        <w:pStyle w:val="856"/>
        <w:rPr>
          <w:rFonts w:hint="eastAsia" w:ascii="Calibri" w:hAnsi="Calibri" w:eastAsia="宋体"/>
          <w:color w:val="000000"/>
          <w:highlight w:val="none"/>
          <w:lang w:eastAsia="zh-CN"/>
        </w:rPr>
      </w:pPr>
      <w:r>
        <w:rPr>
          <w:rFonts w:hint="eastAsia" w:ascii="Calibri" w:hAnsi="Calibri" w:eastAsia="宋体"/>
          <w:color w:val="000000"/>
          <w:highlight w:val="none"/>
          <w:lang w:eastAsia="zh-CN"/>
        </w:rPr>
      </w:r>
      <w:r/>
    </w:p>
    <w:p>
      <w:pPr>
        <w:pStyle w:val="856"/>
        <w:rPr>
          <w:rFonts w:ascii="Calibri" w:hAnsi="Calibri"/>
          <w:color w:val="000000"/>
          <w:highlight w:val="none"/>
        </w:rPr>
      </w:pPr>
      <w:r>
        <w:rPr>
          <w:rFonts w:hint="eastAsia" w:ascii="Calibri" w:hAnsi="Calibri"/>
          <w:color w:val="000000"/>
          <w:highlight w:val="none"/>
        </w:rPr>
        <w:t xml:space="preserve">第十六条社会服务、环境保护情况抽查及考核办法</w:t>
      </w:r>
      <w:r>
        <w:rPr>
          <w:rFonts w:ascii="Calibri" w:hAnsi="Calibri"/>
          <w:color w:val="000000"/>
          <w:highlight w:val="none"/>
        </w:rPr>
      </w:r>
      <w:r/>
    </w:p>
    <w:tbl>
      <w:tblPr>
        <w:tblW w:w="9676" w:type="dxa"/>
        <w:tblCellSpacing w:w="0"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1180"/>
        <w:gridCol w:w="5526"/>
        <w:gridCol w:w="1815"/>
        <w:gridCol w:w="495"/>
        <w:gridCol w:w="660"/>
      </w:tblGrid>
      <w:tr>
        <w:trPr>
          <w:tblCellSpacing w:w="0" w:type="dxa"/>
          <w:trHeight w:val="282"/>
        </w:trPr>
        <w:tc>
          <w:tcPr>
            <w:shd w:val="clear" w:color="auto" w:fill="ffffff"/>
            <w:tcW w:w="1180"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检查项目</w:t>
            </w:r>
            <w:r>
              <w:rPr>
                <w:rFonts w:ascii="Calibri" w:hAnsi="Calibri"/>
                <w:color w:val="000000"/>
                <w:highlight w:val="none"/>
              </w:rPr>
            </w:r>
            <w:r/>
          </w:p>
        </w:tc>
        <w:tc>
          <w:tcPr>
            <w:shd w:val="clear" w:color="auto" w:fill="ffffff"/>
            <w:tcW w:w="5526"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社会服务及环保要求</w:t>
            </w:r>
            <w:r>
              <w:rPr>
                <w:rFonts w:ascii="Calibri" w:hAnsi="Calibri"/>
                <w:color w:val="000000"/>
                <w:highlight w:val="none"/>
              </w:rPr>
            </w:r>
            <w:r/>
          </w:p>
        </w:tc>
        <w:tc>
          <w:tcPr>
            <w:shd w:val="clear" w:color="auto" w:fill="ffffff"/>
            <w:tcW w:w="1815"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说明</w:t>
            </w:r>
            <w:r>
              <w:rPr>
                <w:rFonts w:ascii="Calibri" w:hAnsi="Calibri"/>
                <w:color w:val="000000"/>
                <w:highlight w:val="none"/>
              </w:rPr>
            </w:r>
            <w:r/>
          </w:p>
        </w:tc>
        <w:tc>
          <w:tcPr>
            <w:shd w:val="clear" w:color="auto" w:fill="ffffff"/>
            <w:tcW w:w="495"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本项总分</w:t>
            </w:r>
            <w:r>
              <w:rPr>
                <w:rFonts w:ascii="Calibri" w:hAnsi="Calibri"/>
                <w:color w:val="000000"/>
                <w:highlight w:val="none"/>
              </w:rPr>
            </w:r>
            <w:r/>
          </w:p>
        </w:tc>
        <w:tc>
          <w:tcPr>
            <w:shd w:val="clear" w:color="auto" w:fill="ffffff"/>
            <w:tcW w:w="660"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检查频度</w:t>
            </w:r>
            <w:r>
              <w:rPr>
                <w:rFonts w:ascii="Calibri" w:hAnsi="Calibri"/>
                <w:color w:val="000000"/>
                <w:highlight w:val="none"/>
              </w:rPr>
            </w:r>
            <w:r/>
          </w:p>
        </w:tc>
      </w:tr>
      <w:tr>
        <w:trPr>
          <w:tblCellSpacing w:w="0" w:type="dxa"/>
          <w:trHeight w:val="571"/>
        </w:trPr>
        <w:tc>
          <w:tcPr>
            <w:shd w:val="clear" w:color="auto" w:fill="ffffff"/>
            <w:tcW w:w="1180"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承诺沟通</w:t>
            </w:r>
            <w:r>
              <w:rPr>
                <w:rFonts w:ascii="Calibri" w:hAnsi="Calibri"/>
                <w:color w:val="000000"/>
                <w:highlight w:val="none"/>
              </w:rPr>
            </w:r>
            <w:r/>
          </w:p>
        </w:tc>
        <w:tc>
          <w:tcPr>
            <w:shd w:val="clear" w:color="auto" w:fill="ffffff"/>
            <w:tcW w:w="5526"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污水管网维护、管理单位应向社会公布服务承诺、投诉电话和电子信箱，投诉渠道应保持24小时畅通。</w:t>
            </w:r>
            <w:r>
              <w:rPr>
                <w:rFonts w:ascii="Calibri" w:hAnsi="Calibri"/>
                <w:color w:val="000000"/>
                <w:highlight w:val="none"/>
              </w:rPr>
            </w:r>
            <w:r/>
          </w:p>
        </w:tc>
        <w:tc>
          <w:tcPr>
            <w:shd w:val="clear" w:color="auto" w:fill="ffffff"/>
            <w:tcW w:w="1815" w:type="dxa"/>
            <w:vAlign w:val="center"/>
            <w:vMerge w:val="restart"/>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按照《污水管网维护、管理质量标准》执行</w:t>
            </w:r>
            <w:r>
              <w:rPr>
                <w:rFonts w:ascii="Calibri" w:hAnsi="Calibri"/>
                <w:color w:val="000000"/>
                <w:highlight w:val="none"/>
              </w:rPr>
            </w:r>
            <w:r/>
          </w:p>
        </w:tc>
        <w:tc>
          <w:tcPr>
            <w:shd w:val="clear" w:color="auto" w:fill="ffffff"/>
            <w:tcW w:w="495"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c>
          <w:tcPr>
            <w:shd w:val="clear" w:color="auto" w:fill="ffffff"/>
            <w:tcW w:w="66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每季度不定期一次</w:t>
            </w:r>
            <w:r>
              <w:rPr>
                <w:rFonts w:ascii="Calibri" w:hAnsi="Calibri"/>
                <w:color w:val="000000"/>
                <w:highlight w:val="none"/>
              </w:rPr>
            </w:r>
            <w:r/>
          </w:p>
        </w:tc>
      </w:tr>
      <w:tr>
        <w:trPr>
          <w:tblCellSpacing w:w="0" w:type="dxa"/>
          <w:trHeight w:val="523"/>
        </w:trPr>
        <w:tc>
          <w:tcPr>
            <w:shd w:val="clear" w:color="auto" w:fill="ffffff"/>
            <w:tcW w:w="1180"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办事效率</w:t>
            </w:r>
            <w:r>
              <w:rPr>
                <w:rFonts w:ascii="Calibri" w:hAnsi="Calibri"/>
                <w:color w:val="000000"/>
                <w:highlight w:val="none"/>
              </w:rPr>
            </w:r>
            <w:r/>
          </w:p>
        </w:tc>
        <w:tc>
          <w:tcPr>
            <w:shd w:val="clear" w:color="auto" w:fill="ffffff"/>
            <w:tcW w:w="5526"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审批、审核用户排入申请时，应配合排水管理部门按照相关规定的程序、时限和服务要求办结，审批审核无差错，办结率为100％。</w:t>
            </w:r>
            <w:r>
              <w:rPr>
                <w:rFonts w:ascii="Calibri" w:hAnsi="Calibri"/>
                <w:color w:val="000000"/>
                <w:highlight w:val="none"/>
              </w:rPr>
            </w:r>
            <w:r/>
          </w:p>
        </w:tc>
        <w:tc>
          <w:tcPr>
            <w:shd w:val="clear" w:color="auto" w:fill="ffffff"/>
            <w:tcW w:w="1815"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c>
          <w:tcPr>
            <w:shd w:val="clear" w:color="auto" w:fill="ffffff"/>
            <w:tcW w:w="495"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c>
          <w:tcPr>
            <w:shd w:val="clear" w:color="auto" w:fill="ffffff"/>
            <w:tcW w:w="66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每季度不定期一次</w:t>
            </w:r>
            <w:r>
              <w:rPr>
                <w:rFonts w:ascii="Calibri" w:hAnsi="Calibri"/>
                <w:color w:val="000000"/>
                <w:highlight w:val="none"/>
              </w:rPr>
            </w:r>
            <w:r/>
          </w:p>
        </w:tc>
      </w:tr>
      <w:tr>
        <w:trPr>
          <w:tblCellSpacing w:w="0" w:type="dxa"/>
          <w:trHeight w:val="657"/>
        </w:trPr>
        <w:tc>
          <w:tcPr>
            <w:shd w:val="clear" w:color="auto" w:fill="ffffff"/>
            <w:tcW w:w="1180"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社会影响</w:t>
            </w:r>
            <w:r>
              <w:rPr>
                <w:rFonts w:ascii="Calibri" w:hAnsi="Calibri"/>
                <w:color w:val="000000"/>
                <w:highlight w:val="none"/>
              </w:rPr>
            </w:r>
            <w:r/>
          </w:p>
        </w:tc>
        <w:tc>
          <w:tcPr>
            <w:shd w:val="clear" w:color="auto" w:fill="ffffff"/>
            <w:tcW w:w="5526"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每个行政区每年被政府部门行政处罚、被社会有效行政投诉或公众媒体有效负面报道次数应少于4次</w:t>
            </w:r>
            <w:r>
              <w:rPr>
                <w:rFonts w:ascii="Calibri" w:hAnsi="Calibri"/>
                <w:color w:val="000000"/>
                <w:highlight w:val="none"/>
              </w:rPr>
            </w:r>
            <w:r/>
          </w:p>
        </w:tc>
        <w:tc>
          <w:tcPr>
            <w:shd w:val="clear" w:color="auto" w:fill="ffffff"/>
            <w:tcW w:w="1815"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c>
          <w:tcPr>
            <w:shd w:val="clear" w:color="auto" w:fill="ffffff"/>
            <w:tcW w:w="495"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0.5</w:t>
            </w:r>
            <w:r>
              <w:rPr>
                <w:rFonts w:ascii="Calibri" w:hAnsi="Calibri"/>
                <w:color w:val="000000"/>
                <w:highlight w:val="none"/>
              </w:rPr>
            </w:r>
            <w:r/>
          </w:p>
        </w:tc>
        <w:tc>
          <w:tcPr>
            <w:shd w:val="clear" w:color="auto" w:fill="ffffff"/>
            <w:tcW w:w="66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每年一次</w:t>
            </w:r>
            <w:r>
              <w:rPr>
                <w:rFonts w:ascii="Calibri" w:hAnsi="Calibri"/>
                <w:color w:val="000000"/>
                <w:highlight w:val="none"/>
              </w:rPr>
            </w:r>
            <w:r/>
          </w:p>
        </w:tc>
      </w:tr>
    </w:tbl>
    <w:p>
      <w:pPr>
        <w:pStyle w:val="856"/>
        <w:rPr>
          <w:rFonts w:hint="eastAsia" w:ascii="Calibri" w:hAnsi="Calibri" w:eastAsia="宋体"/>
          <w:color w:val="000000"/>
          <w:highlight w:val="none"/>
          <w:lang w:eastAsia="zh-CN"/>
        </w:rPr>
      </w:pPr>
      <w:r>
        <w:rPr>
          <w:rFonts w:hint="eastAsia" w:ascii="Calibri" w:hAnsi="Calibri" w:eastAsia="宋体"/>
          <w:color w:val="000000"/>
          <w:highlight w:val="none"/>
          <w:lang w:eastAsia="zh-CN"/>
        </w:rPr>
      </w:r>
      <w:r/>
    </w:p>
    <w:p>
      <w:pPr>
        <w:pStyle w:val="856"/>
        <w:rPr>
          <w:rFonts w:ascii="Calibri" w:hAnsi="Calibri"/>
          <w:color w:val="000000"/>
          <w:highlight w:val="none"/>
        </w:rPr>
      </w:pPr>
      <w:r>
        <w:rPr>
          <w:rFonts w:hint="eastAsia" w:ascii="Calibri" w:hAnsi="Calibri"/>
          <w:color w:val="000000"/>
          <w:highlight w:val="none"/>
        </w:rPr>
        <w:t xml:space="preserve">第十七条环境保护情况抽查及考核办法</w:t>
      </w:r>
      <w:r>
        <w:rPr>
          <w:rFonts w:ascii="Calibri" w:hAnsi="Calibri"/>
          <w:color w:val="000000"/>
          <w:highlight w:val="none"/>
        </w:rPr>
      </w:r>
      <w:r/>
    </w:p>
    <w:tbl>
      <w:tblPr>
        <w:tblW w:w="9661" w:type="dxa"/>
        <w:tblCellSpacing w:w="0"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1194"/>
        <w:gridCol w:w="5527"/>
        <w:gridCol w:w="1830"/>
        <w:gridCol w:w="480"/>
        <w:gridCol w:w="630"/>
      </w:tblGrid>
      <w:tr>
        <w:trPr>
          <w:tblCellSpacing w:w="0" w:type="dxa"/>
          <w:trHeight w:val="415"/>
        </w:trPr>
        <w:tc>
          <w:tcPr>
            <w:shd w:val="clear" w:color="auto" w:fill="ffffff"/>
            <w:tcW w:w="1194"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检查项目</w:t>
            </w:r>
            <w:r>
              <w:rPr>
                <w:rFonts w:ascii="Calibri" w:hAnsi="Calibri"/>
                <w:color w:val="000000"/>
                <w:highlight w:val="none"/>
              </w:rPr>
            </w:r>
            <w:r/>
          </w:p>
        </w:tc>
        <w:tc>
          <w:tcPr>
            <w:shd w:val="clear" w:color="auto" w:fill="ffffff"/>
            <w:tcW w:w="5527"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环境保护要求</w:t>
            </w:r>
            <w:r>
              <w:rPr>
                <w:rFonts w:ascii="Calibri" w:hAnsi="Calibri"/>
                <w:color w:val="000000"/>
                <w:highlight w:val="none"/>
              </w:rPr>
            </w:r>
            <w:r/>
          </w:p>
        </w:tc>
        <w:tc>
          <w:tcPr>
            <w:shd w:val="clear" w:color="auto" w:fill="ffffff"/>
            <w:tcW w:w="1830"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说明</w:t>
            </w:r>
            <w:r>
              <w:rPr>
                <w:rFonts w:ascii="Calibri" w:hAnsi="Calibri"/>
                <w:color w:val="000000"/>
                <w:highlight w:val="none"/>
              </w:rPr>
            </w:r>
            <w:r/>
          </w:p>
        </w:tc>
        <w:tc>
          <w:tcPr>
            <w:shd w:val="clear" w:color="auto" w:fill="ffffff"/>
            <w:tcW w:w="480"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本项总分</w:t>
            </w:r>
            <w:r>
              <w:rPr>
                <w:rFonts w:ascii="Calibri" w:hAnsi="Calibri"/>
                <w:color w:val="000000"/>
                <w:highlight w:val="none"/>
              </w:rPr>
            </w:r>
            <w:r/>
          </w:p>
        </w:tc>
        <w:tc>
          <w:tcPr>
            <w:shd w:val="clear" w:color="auto" w:fill="ffffff"/>
            <w:tcW w:w="630" w:type="dxa"/>
            <w:vAlign w:val="top"/>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检查频度</w:t>
            </w:r>
            <w:r>
              <w:rPr>
                <w:rFonts w:ascii="Calibri" w:hAnsi="Calibri"/>
                <w:color w:val="000000"/>
                <w:highlight w:val="none"/>
              </w:rPr>
            </w:r>
            <w:r/>
          </w:p>
        </w:tc>
      </w:tr>
      <w:tr>
        <w:trPr>
          <w:tblCellSpacing w:w="0" w:type="dxa"/>
          <w:trHeight w:val="1201"/>
        </w:trPr>
        <w:tc>
          <w:tcPr>
            <w:shd w:val="clear" w:color="auto" w:fill="ffffff"/>
            <w:tcW w:w="1194"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水质监测</w:t>
            </w:r>
            <w:r>
              <w:rPr>
                <w:rFonts w:ascii="Calibri" w:hAnsi="Calibri"/>
                <w:color w:val="000000"/>
                <w:highlight w:val="none"/>
              </w:rPr>
            </w:r>
            <w:r/>
          </w:p>
        </w:tc>
        <w:tc>
          <w:tcPr>
            <w:shd w:val="clear" w:color="auto" w:fill="ffffff"/>
            <w:tcW w:w="5527"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管网维护、管理单位应按现行行业标准《污水排入城市下水道水质标准》的要求，配合水务行政主管部门和环保部门对指定的排放污水用户定期进行排放水质、水量的监测，建立污水排放在线监测系统，建立完善的排水水质预警机制，并建立管理档案。</w:t>
            </w:r>
            <w:r>
              <w:rPr>
                <w:rFonts w:ascii="Calibri" w:hAnsi="Calibri"/>
                <w:color w:val="000000"/>
                <w:highlight w:val="none"/>
              </w:rPr>
            </w:r>
            <w:r/>
          </w:p>
        </w:tc>
        <w:tc>
          <w:tcPr>
            <w:shd w:val="clear" w:color="auto" w:fill="ffffff"/>
            <w:tcW w:w="1830" w:type="dxa"/>
            <w:vAlign w:val="center"/>
            <w:vMerge w:val="restart"/>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按照《污水管网维护、管理质量标准》执行</w:t>
            </w:r>
            <w:r>
              <w:rPr>
                <w:rFonts w:ascii="Calibri" w:hAnsi="Calibri"/>
                <w:color w:val="000000"/>
                <w:highlight w:val="none"/>
              </w:rPr>
            </w:r>
            <w:r/>
          </w:p>
        </w:tc>
        <w:tc>
          <w:tcPr>
            <w:shd w:val="clear" w:color="auto" w:fill="ffffff"/>
            <w:tcW w:w="48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c>
          <w:tcPr>
            <w:shd w:val="clear" w:color="auto" w:fill="ffffff"/>
            <w:tcW w:w="63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每季度不定期一次</w:t>
            </w:r>
            <w:r>
              <w:rPr>
                <w:rFonts w:ascii="Calibri" w:hAnsi="Calibri"/>
                <w:color w:val="000000"/>
                <w:highlight w:val="none"/>
              </w:rPr>
            </w:r>
            <w:r/>
          </w:p>
        </w:tc>
      </w:tr>
      <w:tr>
        <w:trPr>
          <w:tblCellSpacing w:w="0" w:type="dxa"/>
          <w:trHeight w:val="289"/>
        </w:trPr>
        <w:tc>
          <w:tcPr>
            <w:shd w:val="clear" w:color="auto" w:fill="ffffff"/>
            <w:tcW w:w="1194" w:type="dxa"/>
            <w:vAlign w:val="center"/>
            <w:textDirection w:val="lrTb"/>
            <w:noWrap w:val="false"/>
          </w:tcPr>
          <w:p>
            <w:pPr>
              <w:pStyle w:val="856"/>
              <w:jc w:val="center"/>
              <w:rPr>
                <w:rFonts w:ascii="Calibri" w:hAnsi="Calibri"/>
                <w:color w:val="000000"/>
                <w:highlight w:val="none"/>
              </w:rPr>
            </w:pPr>
            <w:r>
              <w:rPr>
                <w:rFonts w:hint="eastAsia" w:ascii="Calibri" w:hAnsi="Calibri"/>
                <w:color w:val="000000"/>
                <w:highlight w:val="none"/>
              </w:rPr>
              <w:t xml:space="preserve">环境保护</w:t>
            </w:r>
            <w:r>
              <w:rPr>
                <w:rFonts w:ascii="Calibri" w:hAnsi="Calibri"/>
                <w:color w:val="000000"/>
                <w:highlight w:val="none"/>
              </w:rPr>
            </w:r>
            <w:r/>
          </w:p>
        </w:tc>
        <w:tc>
          <w:tcPr>
            <w:shd w:val="clear" w:color="auto" w:fill="ffffff"/>
            <w:tcW w:w="5527" w:type="dxa"/>
            <w:vAlign w:val="top"/>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晴天（停雨三天后），截流井不因截污管堵塞，而造成污水外溢。</w:t>
            </w:r>
            <w:r>
              <w:rPr>
                <w:rFonts w:ascii="Calibri" w:hAnsi="Calibri"/>
                <w:color w:val="000000"/>
                <w:highlight w:val="none"/>
              </w:rPr>
            </w:r>
            <w:r/>
          </w:p>
        </w:tc>
        <w:tc>
          <w:tcPr>
            <w:shd w:val="clear" w:color="auto" w:fill="ffffff"/>
            <w:tcW w:w="1830" w:type="dxa"/>
            <w:vAlign w:val="center"/>
            <w:vMerge w:val="continue"/>
            <w:textDirection w:val="lrTb"/>
            <w:noWrap w:val="false"/>
          </w:tcPr>
          <w:p>
            <w:pPr>
              <w:pStyle w:val="856"/>
              <w:rPr>
                <w:rFonts w:ascii="Calibri" w:hAnsi="Calibri"/>
                <w:color w:val="000000"/>
                <w:highlight w:val="none"/>
              </w:rPr>
            </w:pPr>
            <w:r>
              <w:rPr>
                <w:rFonts w:ascii="Calibri" w:hAnsi="Calibri"/>
                <w:color w:val="000000"/>
                <w:highlight w:val="none"/>
              </w:rPr>
            </w:r>
            <w:r/>
          </w:p>
        </w:tc>
        <w:tc>
          <w:tcPr>
            <w:shd w:val="clear" w:color="auto" w:fill="ffffff"/>
            <w:tcW w:w="48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1</w:t>
            </w:r>
            <w:r>
              <w:rPr>
                <w:rFonts w:ascii="Calibri" w:hAnsi="Calibri"/>
                <w:color w:val="000000"/>
                <w:highlight w:val="none"/>
              </w:rPr>
            </w:r>
            <w:r/>
          </w:p>
        </w:tc>
        <w:tc>
          <w:tcPr>
            <w:shd w:val="clear" w:color="auto" w:fill="ffffff"/>
            <w:tcW w:w="630" w:type="dxa"/>
            <w:vAlign w:val="center"/>
            <w:textDirection w:val="lrTb"/>
            <w:noWrap w:val="false"/>
          </w:tcPr>
          <w:p>
            <w:pPr>
              <w:pStyle w:val="856"/>
              <w:rPr>
                <w:rFonts w:ascii="Calibri" w:hAnsi="Calibri"/>
                <w:color w:val="000000"/>
                <w:highlight w:val="none"/>
              </w:rPr>
            </w:pPr>
            <w:r>
              <w:rPr>
                <w:rFonts w:hint="eastAsia" w:ascii="Calibri" w:hAnsi="Calibri"/>
                <w:color w:val="000000"/>
                <w:highlight w:val="none"/>
              </w:rPr>
              <w:t xml:space="preserve">每季度不定期一次</w:t>
            </w:r>
            <w:r>
              <w:rPr>
                <w:rFonts w:ascii="Calibri" w:hAnsi="Calibri"/>
                <w:color w:val="000000"/>
                <w:highlight w:val="none"/>
              </w:rPr>
            </w:r>
            <w:r/>
          </w:p>
        </w:tc>
      </w:tr>
    </w:tbl>
    <w:p>
      <w:pPr>
        <w:pStyle w:val="856"/>
        <w:rPr>
          <w:rFonts w:hint="eastAsia"/>
          <w:color w:val="000000"/>
          <w:highlight w:val="none"/>
        </w:rPr>
      </w:pPr>
      <w:r>
        <w:rPr>
          <w:rFonts w:hint="eastAsia"/>
          <w:color w:val="000000"/>
          <w:highlight w:val="none"/>
        </w:rPr>
      </w:r>
      <w:r/>
    </w:p>
    <w:p>
      <w:pPr>
        <w:pStyle w:val="856"/>
        <w:rPr>
          <w:rFonts w:hint="eastAsia"/>
          <w:color w:val="000000"/>
          <w:highlight w:val="none"/>
        </w:rPr>
      </w:pPr>
      <w:r>
        <w:rPr>
          <w:rFonts w:hint="eastAsia"/>
          <w:color w:val="000000"/>
          <w:highlight w:val="none"/>
        </w:rPr>
      </w:r>
      <w:r/>
    </w:p>
    <w:p>
      <w:pPr>
        <w:pStyle w:val="856"/>
        <w:jc w:val="center"/>
        <w:keepLines/>
        <w:keepNext/>
        <w:spacing w:line="360" w:lineRule="auto"/>
        <w:rPr>
          <w:rFonts w:ascii="宋体" w:hAnsi="宋体"/>
          <w:color w:val="000000"/>
          <w:sz w:val="28"/>
          <w:szCs w:val="24"/>
          <w:highlight w:val="none"/>
        </w:rPr>
        <w:outlineLvl w:val="0"/>
      </w:pPr>
      <w:r>
        <w:rPr>
          <w:rFonts w:ascii="宋体" w:hAnsi="宋体"/>
          <w:color w:val="000000"/>
          <w:sz w:val="24"/>
          <w:szCs w:val="24"/>
          <w:highlight w:val="none"/>
        </w:rPr>
        <w:br w:type="page" w:clear="all"/>
      </w:r>
      <w:bookmarkStart w:id="6" w:name="_Toc58260785"/>
      <w:r>
        <w:rPr>
          <w:rFonts w:hint="eastAsia" w:hAnsi="宋体" w:eastAsia="黑体"/>
          <w:color w:val="000000"/>
          <w:sz w:val="36"/>
          <w:szCs w:val="20"/>
          <w:highlight w:val="none"/>
        </w:rPr>
        <w:t xml:space="preserve">第五部分  合同</w:t>
      </w:r>
      <w:bookmarkEnd w:id="6"/>
      <w:r>
        <w:rPr>
          <w:rFonts w:ascii="宋体" w:hAnsi="宋体"/>
          <w:color w:val="000000"/>
          <w:sz w:val="28"/>
          <w:szCs w:val="24"/>
          <w:highlight w:val="none"/>
        </w:rPr>
      </w:r>
      <w:r/>
    </w:p>
    <w:p>
      <w:pPr>
        <w:pStyle w:val="856"/>
        <w:jc w:val="center"/>
        <w:spacing w:line="360" w:lineRule="auto"/>
        <w:rPr>
          <w:rFonts w:ascii="宋体" w:hAnsi="宋体"/>
          <w:b/>
          <w:bCs/>
          <w:color w:val="000000"/>
          <w:sz w:val="52"/>
          <w:szCs w:val="24"/>
          <w:highlight w:val="none"/>
        </w:rPr>
      </w:pPr>
      <w:r>
        <w:rPr>
          <w:rFonts w:ascii="宋体" w:hAnsi="宋体"/>
          <w:b/>
          <w:bCs/>
          <w:color w:val="000000"/>
          <w:sz w:val="52"/>
          <w:szCs w:val="24"/>
          <w:highlight w:val="none"/>
        </w:rPr>
      </w:r>
      <w:r/>
    </w:p>
    <w:p>
      <w:pPr>
        <w:pStyle w:val="856"/>
        <w:ind w:firstLine="2078"/>
        <w:spacing w:line="360" w:lineRule="auto"/>
        <w:rPr>
          <w:rFonts w:ascii="宋体" w:hAnsi="宋体"/>
          <w:b/>
          <w:bCs/>
          <w:color w:val="000000"/>
          <w:sz w:val="52"/>
          <w:szCs w:val="24"/>
          <w:highlight w:val="none"/>
        </w:rPr>
      </w:pPr>
      <w:r>
        <w:rPr>
          <w:rFonts w:hint="eastAsia" w:ascii="宋体" w:hAnsi="宋体"/>
          <w:b/>
          <w:bCs/>
          <w:color w:val="000000"/>
          <w:sz w:val="52"/>
          <w:szCs w:val="24"/>
          <w:highlight w:val="none"/>
        </w:rPr>
        <w:t xml:space="preserve">连 云 港 市 政 府 采 购</w:t>
      </w:r>
      <w:r>
        <w:rPr>
          <w:rFonts w:ascii="宋体" w:hAnsi="宋体"/>
          <w:b/>
          <w:bCs/>
          <w:color w:val="000000"/>
          <w:sz w:val="52"/>
          <w:szCs w:val="24"/>
          <w:highlight w:val="none"/>
        </w:rPr>
      </w:r>
      <w:r/>
    </w:p>
    <w:p>
      <w:pPr>
        <w:pStyle w:val="856"/>
        <w:ind w:firstLine="420"/>
        <w:spacing w:line="360" w:lineRule="auto"/>
        <w:rPr>
          <w:rFonts w:ascii="宋体" w:hAnsi="宋体"/>
          <w:color w:val="000000"/>
          <w:szCs w:val="24"/>
          <w:highlight w:val="none"/>
        </w:rPr>
      </w:pPr>
      <w:r>
        <w:rPr>
          <w:rFonts w:ascii="宋体" w:hAnsi="宋体"/>
          <w:color w:val="000000"/>
          <w:szCs w:val="24"/>
          <w:highlight w:val="none"/>
        </w:rPr>
      </w:r>
      <w:r/>
    </w:p>
    <w:p>
      <w:pPr>
        <w:pStyle w:val="856"/>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                                                 </w:t>
      </w:r>
      <w:r>
        <w:rPr>
          <w:rFonts w:ascii="宋体" w:hAnsi="宋体"/>
          <w:color w:val="000000"/>
          <w:szCs w:val="24"/>
          <w:highlight w:val="none"/>
        </w:rPr>
      </w:r>
      <w:r/>
    </w:p>
    <w:p>
      <w:pPr>
        <w:pStyle w:val="856"/>
        <w:jc w:val="center"/>
        <w:spacing w:line="360" w:lineRule="auto"/>
        <w:rPr>
          <w:rFonts w:ascii="宋体" w:hAnsi="宋体"/>
          <w:b/>
          <w:bCs/>
          <w:color w:val="000000"/>
          <w:sz w:val="44"/>
          <w:szCs w:val="24"/>
          <w:highlight w:val="none"/>
        </w:rPr>
      </w:pPr>
      <w:r>
        <w:rPr>
          <w:rFonts w:hint="eastAsia" w:ascii="宋体" w:hAnsi="宋体"/>
          <w:b/>
          <w:bCs/>
          <w:color w:val="000000"/>
          <w:sz w:val="44"/>
          <w:szCs w:val="24"/>
          <w:highlight w:val="none"/>
          <w:u w:val="single"/>
        </w:rPr>
        <w:t xml:space="preserve">                    </w:t>
      </w:r>
      <w:r>
        <w:rPr>
          <w:rFonts w:hint="eastAsia" w:ascii="宋体" w:hAnsi="宋体"/>
          <w:b/>
          <w:bCs/>
          <w:color w:val="000000"/>
          <w:sz w:val="44"/>
          <w:szCs w:val="24"/>
          <w:highlight w:val="none"/>
        </w:rPr>
        <w:t xml:space="preserve">合同</w:t>
      </w:r>
      <w:r>
        <w:rPr>
          <w:rFonts w:ascii="宋体" w:hAnsi="宋体"/>
          <w:b/>
          <w:bCs/>
          <w:color w:val="000000"/>
          <w:sz w:val="44"/>
          <w:szCs w:val="24"/>
          <w:highlight w:val="none"/>
        </w:rPr>
      </w:r>
      <w:r/>
    </w:p>
    <w:p>
      <w:pPr>
        <w:pStyle w:val="856"/>
        <w:ind w:firstLine="420"/>
        <w:spacing w:line="360" w:lineRule="auto"/>
        <w:rPr>
          <w:rFonts w:ascii="宋体" w:hAnsi="宋体"/>
          <w:color w:val="000000"/>
          <w:szCs w:val="24"/>
          <w:highlight w:val="none"/>
        </w:rPr>
      </w:pPr>
      <w:r>
        <w:rPr>
          <w:rFonts w:ascii="宋体" w:hAnsi="宋体"/>
          <w:color w:val="000000"/>
          <w:szCs w:val="24"/>
          <w:highlight w:val="none"/>
        </w:rPr>
      </w:r>
      <w:r/>
    </w:p>
    <w:p>
      <w:pPr>
        <w:pStyle w:val="856"/>
        <w:ind w:firstLine="3070"/>
        <w:spacing w:line="360" w:lineRule="auto"/>
        <w:rPr>
          <w:rFonts w:ascii="宋体" w:hAnsi="宋体"/>
          <w:b/>
          <w:bCs/>
          <w:color w:val="000000"/>
          <w:sz w:val="44"/>
          <w:szCs w:val="44"/>
          <w:highlight w:val="none"/>
        </w:rPr>
      </w:pPr>
      <w:r>
        <w:rPr>
          <w:rFonts w:ascii="宋体" w:hAnsi="宋体"/>
          <w:b/>
          <w:bCs/>
          <w:color w:val="000000"/>
          <w:sz w:val="44"/>
          <w:szCs w:val="44"/>
          <w:highlight w:val="none"/>
        </w:rPr>
      </w:r>
      <w:r/>
    </w:p>
    <w:p>
      <w:pPr>
        <w:pStyle w:val="856"/>
        <w:ind w:firstLine="880"/>
        <w:spacing w:line="360" w:lineRule="auto"/>
        <w:rPr>
          <w:rFonts w:ascii="宋体" w:hAnsi="宋体"/>
          <w:color w:val="000000"/>
          <w:sz w:val="44"/>
          <w:szCs w:val="44"/>
          <w:highlight w:val="none"/>
        </w:rPr>
      </w:pPr>
      <w:r>
        <w:rPr>
          <w:rFonts w:ascii="宋体" w:hAnsi="宋体"/>
          <w:color w:val="000000"/>
          <w:sz w:val="44"/>
          <w:szCs w:val="44"/>
          <w:highlight w:val="none"/>
        </w:rPr>
      </w:r>
      <w:r/>
    </w:p>
    <w:p>
      <w:pPr>
        <w:pStyle w:val="856"/>
        <w:ind w:firstLine="1966"/>
        <w:spacing w:line="360" w:lineRule="auto"/>
        <w:rPr>
          <w:rFonts w:ascii="宋体" w:hAnsi="宋体"/>
          <w:b/>
          <w:bCs/>
          <w:color w:val="000000"/>
          <w:sz w:val="44"/>
          <w:szCs w:val="44"/>
          <w:highlight w:val="none"/>
        </w:rPr>
      </w:pPr>
      <w:r>
        <w:rPr>
          <w:rFonts w:hint="eastAsia" w:ascii="宋体" w:hAnsi="宋体"/>
          <w:b/>
          <w:bCs/>
          <w:color w:val="000000"/>
          <w:sz w:val="44"/>
          <w:szCs w:val="44"/>
          <w:highlight w:val="none"/>
        </w:rPr>
        <w:t xml:space="preserve">合同编号：</w:t>
      </w:r>
      <w:r>
        <w:rPr>
          <w:rFonts w:ascii="宋体" w:hAnsi="宋体"/>
          <w:b/>
          <w:bCs/>
          <w:color w:val="000000"/>
          <w:sz w:val="44"/>
          <w:szCs w:val="44"/>
          <w:highlight w:val="none"/>
        </w:rPr>
      </w:r>
      <w:r/>
    </w:p>
    <w:p>
      <w:pPr>
        <w:pStyle w:val="856"/>
        <w:ind w:firstLine="880"/>
        <w:spacing w:line="360" w:lineRule="auto"/>
        <w:rPr>
          <w:rFonts w:ascii="宋体" w:hAnsi="宋体"/>
          <w:color w:val="000000"/>
          <w:sz w:val="44"/>
          <w:szCs w:val="24"/>
          <w:highlight w:val="none"/>
        </w:rPr>
      </w:pPr>
      <w:r>
        <w:rPr>
          <w:rFonts w:ascii="宋体" w:hAnsi="宋体"/>
          <w:color w:val="000000"/>
          <w:sz w:val="44"/>
          <w:szCs w:val="24"/>
          <w:highlight w:val="none"/>
        </w:rPr>
      </w:r>
      <w:r/>
    </w:p>
    <w:p>
      <w:pPr>
        <w:pStyle w:val="856"/>
        <w:ind w:firstLine="880"/>
        <w:spacing w:line="360" w:lineRule="auto"/>
        <w:rPr>
          <w:rFonts w:ascii="宋体" w:hAnsi="宋体"/>
          <w:color w:val="000000"/>
          <w:sz w:val="44"/>
          <w:szCs w:val="24"/>
          <w:highlight w:val="none"/>
        </w:rPr>
      </w:pPr>
      <w:r>
        <w:rPr>
          <w:rFonts w:ascii="宋体" w:hAnsi="宋体"/>
          <w:color w:val="000000"/>
          <w:sz w:val="44"/>
          <w:szCs w:val="24"/>
          <w:highlight w:val="none"/>
        </w:rPr>
      </w:r>
      <w:r/>
    </w:p>
    <w:p>
      <w:pPr>
        <w:pStyle w:val="856"/>
        <w:ind w:firstLine="880"/>
        <w:spacing w:line="360" w:lineRule="auto"/>
        <w:rPr>
          <w:rFonts w:ascii="宋体" w:hAnsi="宋体"/>
          <w:color w:val="000000"/>
          <w:sz w:val="44"/>
          <w:szCs w:val="24"/>
          <w:highlight w:val="none"/>
        </w:rPr>
      </w:pPr>
      <w:r>
        <w:rPr>
          <w:rFonts w:ascii="宋体" w:hAnsi="宋体"/>
          <w:color w:val="000000"/>
          <w:sz w:val="44"/>
          <w:szCs w:val="24"/>
          <w:highlight w:val="none"/>
        </w:rPr>
      </w:r>
      <w:r/>
    </w:p>
    <w:p>
      <w:pPr>
        <w:pStyle w:val="856"/>
        <w:ind w:firstLine="1758"/>
        <w:spacing w:line="360" w:lineRule="auto"/>
        <w:rPr>
          <w:rFonts w:ascii="宋体" w:hAnsi="宋体"/>
          <w:b/>
          <w:bCs/>
          <w:color w:val="000000"/>
          <w:sz w:val="44"/>
          <w:szCs w:val="24"/>
          <w:highlight w:val="none"/>
        </w:rPr>
      </w:pPr>
      <w:r>
        <w:rPr>
          <w:rFonts w:hint="eastAsia" w:ascii="宋体" w:hAnsi="宋体"/>
          <w:b/>
          <w:bCs/>
          <w:color w:val="000000"/>
          <w:sz w:val="44"/>
          <w:szCs w:val="24"/>
          <w:highlight w:val="none"/>
        </w:rPr>
        <w:t xml:space="preserve">采购人：</w:t>
      </w:r>
      <w:r>
        <w:rPr>
          <w:rFonts w:ascii="宋体" w:hAnsi="宋体"/>
          <w:b/>
          <w:bCs/>
          <w:color w:val="000000"/>
          <w:sz w:val="44"/>
          <w:szCs w:val="24"/>
          <w:highlight w:val="none"/>
        </w:rPr>
      </w:r>
      <w:r/>
    </w:p>
    <w:p>
      <w:pPr>
        <w:pStyle w:val="856"/>
        <w:ind w:firstLine="1758"/>
        <w:spacing w:line="360" w:lineRule="auto"/>
        <w:rPr>
          <w:rFonts w:ascii="宋体" w:hAnsi="宋体"/>
          <w:b/>
          <w:bCs/>
          <w:color w:val="000000"/>
          <w:sz w:val="44"/>
          <w:szCs w:val="24"/>
          <w:highlight w:val="none"/>
        </w:rPr>
      </w:pPr>
      <w:r>
        <w:rPr>
          <w:rFonts w:hint="eastAsia" w:ascii="宋体" w:hAnsi="宋体"/>
          <w:b/>
          <w:bCs/>
          <w:color w:val="000000"/>
          <w:sz w:val="44"/>
          <w:szCs w:val="24"/>
          <w:highlight w:val="none"/>
        </w:rPr>
        <w:t xml:space="preserve">中标人：</w:t>
      </w:r>
      <w:r>
        <w:rPr>
          <w:rFonts w:ascii="宋体" w:hAnsi="宋体"/>
          <w:b/>
          <w:bCs/>
          <w:color w:val="000000"/>
          <w:sz w:val="44"/>
          <w:szCs w:val="24"/>
          <w:highlight w:val="none"/>
        </w:rPr>
      </w:r>
      <w:r/>
    </w:p>
    <w:p>
      <w:pPr>
        <w:pStyle w:val="856"/>
        <w:ind w:firstLine="420"/>
        <w:spacing w:line="360" w:lineRule="auto"/>
        <w:rPr>
          <w:rFonts w:ascii="宋体" w:hAnsi="宋体"/>
          <w:color w:val="000000"/>
          <w:szCs w:val="24"/>
          <w:highlight w:val="none"/>
        </w:rPr>
      </w:pPr>
      <w:r>
        <w:rPr>
          <w:rFonts w:ascii="宋体" w:hAnsi="宋体"/>
          <w:color w:val="000000"/>
          <w:szCs w:val="24"/>
          <w:highlight w:val="none"/>
        </w:rPr>
      </w:r>
      <w:r/>
    </w:p>
    <w:p>
      <w:pPr>
        <w:pStyle w:val="856"/>
        <w:spacing w:line="360" w:lineRule="auto"/>
        <w:rPr>
          <w:rFonts w:ascii="宋体" w:hAnsi="宋体"/>
          <w:color w:val="000000"/>
          <w:sz w:val="28"/>
          <w:szCs w:val="24"/>
          <w:highlight w:val="none"/>
        </w:rPr>
      </w:pPr>
      <w:r>
        <w:rPr>
          <w:rFonts w:ascii="宋体" w:hAnsi="宋体"/>
          <w:color w:val="000000"/>
          <w:sz w:val="28"/>
          <w:szCs w:val="24"/>
          <w:highlight w:val="none"/>
        </w:rPr>
      </w:r>
      <w:r/>
    </w:p>
    <w:p>
      <w:pPr>
        <w:pStyle w:val="856"/>
        <w:ind w:firstLine="420"/>
        <w:jc w:val="left"/>
        <w:spacing w:line="560" w:lineRule="exact"/>
        <w:rPr>
          <w:rFonts w:ascii="宋体" w:hAnsi="宋体"/>
          <w:bCs/>
          <w:color w:val="000000"/>
          <w:sz w:val="24"/>
          <w:szCs w:val="24"/>
          <w:highlight w:val="none"/>
        </w:rPr>
      </w:pPr>
      <w:r>
        <w:rPr>
          <w:color w:val="000000"/>
          <w:szCs w:val="24"/>
          <w:highlight w:val="none"/>
        </w:rPr>
        <w:br w:type="page" w:clear="all"/>
      </w:r>
      <w:r>
        <w:rPr>
          <w:rFonts w:hint="eastAsia" w:ascii="宋体" w:hAnsi="宋体"/>
          <w:bCs/>
          <w:color w:val="000000"/>
          <w:sz w:val="24"/>
          <w:szCs w:val="24"/>
          <w:highlight w:val="none"/>
        </w:rPr>
        <w:t xml:space="preserve">以下为中标后签订本项目合同的通用条款，中标</w:t>
      </w:r>
      <w:r>
        <w:rPr>
          <w:rFonts w:hint="eastAsia" w:ascii="宋体" w:hAnsi="宋体" w:cs="宋体"/>
          <w:color w:val="000000"/>
          <w:sz w:val="24"/>
          <w:szCs w:val="24"/>
          <w:highlight w:val="none"/>
        </w:rPr>
        <w:t xml:space="preserve">投标人</w:t>
      </w:r>
      <w:r>
        <w:rPr>
          <w:rFonts w:hint="eastAsia" w:ascii="宋体" w:hAnsi="宋体"/>
          <w:bCs/>
          <w:color w:val="000000"/>
          <w:sz w:val="24"/>
          <w:szCs w:val="24"/>
          <w:highlight w:val="none"/>
        </w:rPr>
        <w:t xml:space="preserve">不得提出实质性的修改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合同中</w:t>
      </w:r>
      <w:r>
        <w:rPr>
          <w:rFonts w:hint="eastAsia" w:ascii="宋体" w:hAnsi="宋体"/>
          <w:bCs/>
          <w:color w:val="000000"/>
          <w:sz w:val="24"/>
          <w:szCs w:val="24"/>
          <w:highlight w:val="none"/>
          <w:lang w:val="en-US" w:eastAsia="zh-CN"/>
        </w:rPr>
        <w:t xml:space="preserve">未提及内容按照招标文件执行</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856"/>
        <w:jc w:val="center"/>
        <w:spacing w:line="560" w:lineRule="exact"/>
        <w:rPr>
          <w:rFonts w:ascii="宋体" w:hAnsi="宋体"/>
          <w:bCs/>
          <w:color w:val="000000"/>
          <w:sz w:val="24"/>
          <w:szCs w:val="24"/>
          <w:highlight w:val="none"/>
        </w:rPr>
      </w:pPr>
      <w:r/>
      <w:bookmarkStart w:id="7" w:name="_Toc91256335"/>
      <w:r/>
      <w:bookmarkStart w:id="8" w:name="_Toc91183847"/>
      <w:r>
        <w:rPr>
          <w:rFonts w:hint="eastAsia"/>
          <w:b/>
          <w:color w:val="000000"/>
          <w:sz w:val="32"/>
          <w:szCs w:val="32"/>
          <w:highlight w:val="none"/>
        </w:rPr>
        <w:t xml:space="preserve">政府采购合同</w:t>
      </w:r>
      <w:r>
        <w:rPr>
          <w:rFonts w:ascii="宋体" w:hAnsi="宋体"/>
          <w:bCs/>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甲方：</w:t>
      </w:r>
      <w:r>
        <w:rPr>
          <w:rFonts w:ascii="宋体" w:hAnsi="宋体"/>
          <w:b/>
          <w:color w:val="000000"/>
          <w:sz w:val="24"/>
          <w:szCs w:val="24"/>
          <w:highlight w:val="none"/>
        </w:rPr>
        <w:t xml:space="preserve">【采购单位】</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乙方： _________</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见证</w:t>
      </w:r>
      <w:r>
        <w:rPr>
          <w:rFonts w:ascii="宋体" w:hAnsi="宋体"/>
          <w:color w:val="000000"/>
          <w:sz w:val="24"/>
          <w:szCs w:val="24"/>
          <w:highlight w:val="none"/>
        </w:rPr>
        <w:t xml:space="preserve">方：</w:t>
      </w:r>
      <w:r>
        <w:rPr>
          <w:rFonts w:ascii="宋体" w:hAnsi="宋体"/>
          <w:color w:val="000000"/>
          <w:sz w:val="24"/>
          <w:szCs w:val="24"/>
          <w:highlight w:val="none"/>
        </w:rPr>
      </w:r>
      <w:r/>
    </w:p>
    <w:p>
      <w:pPr>
        <w:pStyle w:val="856"/>
        <w:ind w:firstLine="480"/>
        <w:jc w:val="left"/>
        <w:spacing w:line="560" w:lineRule="exact"/>
        <w:rPr>
          <w:rFonts w:ascii="宋体" w:hAnsi="宋体"/>
          <w:b/>
          <w:color w:val="000000"/>
          <w:sz w:val="24"/>
          <w:szCs w:val="24"/>
          <w:highlight w:val="none"/>
        </w:rPr>
      </w:pPr>
      <w:r>
        <w:rPr>
          <w:rFonts w:ascii="宋体" w:hAnsi="宋体"/>
          <w:color w:val="000000"/>
          <w:sz w:val="24"/>
          <w:szCs w:val="24"/>
          <w:highlight w:val="none"/>
        </w:rPr>
        <w:t xml:space="preserve">甲、乙双方根据</w:t>
      </w:r>
      <w:r>
        <w:rPr>
          <w:rFonts w:hint="eastAsia" w:ascii="宋体" w:hAnsi="宋体"/>
          <w:color w:val="000000"/>
          <w:sz w:val="24"/>
          <w:szCs w:val="20"/>
          <w:highlight w:val="none"/>
        </w:rPr>
        <w:t xml:space="preserve">年月日</w:t>
      </w:r>
      <w:r>
        <w:rPr>
          <w:rFonts w:ascii="宋体" w:hAnsi="宋体"/>
          <w:b/>
          <w:color w:val="000000"/>
          <w:sz w:val="24"/>
          <w:szCs w:val="24"/>
          <w:highlight w:val="none"/>
          <w:u w:val="single"/>
        </w:rPr>
        <w:t xml:space="preserve">【标段名称】 </w:t>
      </w:r>
      <w:r>
        <w:rPr>
          <w:rFonts w:ascii="宋体" w:hAnsi="宋体"/>
          <w:color w:val="000000"/>
          <w:sz w:val="24"/>
          <w:szCs w:val="24"/>
          <w:highlight w:val="none"/>
        </w:rPr>
        <w:t xml:space="preserve">项目（</w:t>
      </w:r>
      <w:r>
        <w:rPr>
          <w:rFonts w:hint="eastAsia" w:ascii="宋体" w:hAnsi="宋体"/>
          <w:color w:val="000000"/>
          <w:sz w:val="24"/>
          <w:szCs w:val="24"/>
          <w:highlight w:val="none"/>
        </w:rPr>
        <w:t xml:space="preserve">标段</w:t>
      </w:r>
      <w:r>
        <w:rPr>
          <w:rFonts w:ascii="宋体" w:hAnsi="宋体"/>
          <w:color w:val="000000"/>
          <w:sz w:val="24"/>
          <w:szCs w:val="24"/>
          <w:highlight w:val="none"/>
        </w:rPr>
        <w:t xml:space="preserve">编号：</w:t>
      </w:r>
      <w:r>
        <w:rPr>
          <w:rFonts w:ascii="宋体" w:hAnsi="宋体"/>
          <w:color w:val="000000"/>
          <w:sz w:val="24"/>
          <w:szCs w:val="24"/>
          <w:highlight w:val="none"/>
          <w:u w:val="single"/>
        </w:rPr>
        <w:t xml:space="preserve">【标段编号】</w:t>
      </w:r>
      <w:r>
        <w:rPr>
          <w:rFonts w:ascii="宋体" w:hAnsi="宋体"/>
          <w:color w:val="000000"/>
          <w:sz w:val="24"/>
          <w:szCs w:val="24"/>
          <w:highlight w:val="none"/>
        </w:rPr>
        <w:t xml:space="preserve">）招标的结果，签订本合同。</w:t>
      </w:r>
      <w:r>
        <w:rPr>
          <w:rFonts w:ascii="宋体" w:hAnsi="宋体"/>
          <w:b/>
          <w:color w:val="000000"/>
          <w:sz w:val="24"/>
          <w:szCs w:val="24"/>
          <w:highlight w:val="none"/>
        </w:rPr>
      </w:r>
      <w:r/>
    </w:p>
    <w:p>
      <w:pPr>
        <w:pStyle w:val="856"/>
        <w:ind w:firstLine="482"/>
        <w:jc w:val="left"/>
        <w:spacing w:line="560" w:lineRule="exact"/>
        <w:rPr>
          <w:rFonts w:ascii="宋体" w:hAnsi="宋体"/>
          <w:b/>
          <w:color w:val="000000"/>
          <w:sz w:val="24"/>
          <w:szCs w:val="24"/>
          <w:highlight w:val="none"/>
        </w:rPr>
      </w:pPr>
      <w:r>
        <w:rPr>
          <w:rFonts w:ascii="宋体" w:hAnsi="宋体"/>
          <w:b/>
          <w:color w:val="000000"/>
          <w:sz w:val="24"/>
          <w:szCs w:val="24"/>
          <w:highlight w:val="none"/>
        </w:rPr>
        <w:t xml:space="preserve">一、采购标的</w:t>
      </w:r>
      <w:r>
        <w:rPr>
          <w:rFonts w:ascii="宋体" w:hAnsi="宋体"/>
          <w:b/>
          <w:color w:val="000000"/>
          <w:sz w:val="24"/>
          <w:szCs w:val="24"/>
          <w:highlight w:val="none"/>
        </w:rPr>
      </w:r>
      <w:r/>
    </w:p>
    <w:p>
      <w:pPr>
        <w:pStyle w:val="856"/>
        <w:ind w:firstLine="480"/>
        <w:jc w:val="left"/>
        <w:spacing w:line="560" w:lineRule="exact"/>
        <w:rPr>
          <w:rFonts w:hint="eastAsia" w:ascii="宋体" w:hAnsi="宋体" w:eastAsia="宋体" w:cs="Times New Roman"/>
          <w:bCs/>
          <w:color w:val="000000"/>
          <w:sz w:val="24"/>
          <w:highlight w:val="none"/>
          <w:u w:val="single"/>
          <w:lang w:eastAsia="zh-CN"/>
        </w:rPr>
      </w:pPr>
      <w:r>
        <w:rPr>
          <w:rFonts w:ascii="宋体" w:hAnsi="宋体"/>
          <w:color w:val="000000"/>
          <w:sz w:val="24"/>
          <w:szCs w:val="24"/>
          <w:highlight w:val="none"/>
        </w:rPr>
        <w:t xml:space="preserve">1.1 产品/服务内容：</w:t>
      </w:r>
      <w:r>
        <w:rPr>
          <w:rFonts w:hint="eastAsia" w:ascii="宋体" w:hAnsi="宋体" w:eastAsia="宋体" w:cs="Times New Roman"/>
          <w:bCs/>
          <w:color w:val="000000"/>
          <w:sz w:val="24"/>
          <w:highlight w:val="none"/>
          <w:u w:val="single"/>
        </w:rPr>
        <w:t xml:space="preserve">21座污水泵站、2座应急水源泵站巡检、调度、养护、维修、运行维护；约140公里市政污水管网、约8.9公里应急水源输送管网巡检、疏通、养护</w:t>
      </w:r>
      <w:r>
        <w:rPr>
          <w:rFonts w:hint="eastAsia" w:ascii="宋体" w:hAnsi="宋体" w:eastAsia="宋体" w:cs="Times New Roman"/>
          <w:bCs/>
          <w:color w:val="000000"/>
          <w:sz w:val="24"/>
          <w:highlight w:val="none"/>
          <w:u w:val="single"/>
          <w:lang w:eastAsia="zh-CN"/>
        </w:rPr>
        <w:t xml:space="preserve">、</w:t>
      </w:r>
      <w:r>
        <w:rPr>
          <w:rFonts w:hint="eastAsia" w:ascii="宋体" w:hAnsi="宋体" w:eastAsia="宋体" w:cs="Times New Roman"/>
          <w:bCs/>
          <w:color w:val="000000"/>
          <w:sz w:val="24"/>
          <w:highlight w:val="none"/>
          <w:u w:val="single"/>
          <w:lang w:val="en-US" w:eastAsia="zh-CN"/>
        </w:rPr>
        <w:t xml:space="preserve">小中修</w:t>
      </w:r>
      <w:r>
        <w:rPr>
          <w:rFonts w:hint="eastAsia" w:ascii="宋体" w:hAnsi="宋体" w:eastAsia="宋体" w:cs="Times New Roman"/>
          <w:bCs/>
          <w:color w:val="000000"/>
          <w:sz w:val="24"/>
          <w:highlight w:val="none"/>
          <w:u w:val="single"/>
        </w:rPr>
        <w:t xml:space="preserve">；开展对市政污水管网、检查井等结构性、功能性、错混接检测，出具检测报告，2025年检测不少于60公里，5月底</w:t>
      </w:r>
      <w:r>
        <w:rPr>
          <w:rFonts w:hint="eastAsia" w:ascii="宋体" w:hAnsi="宋体" w:eastAsia="宋体" w:cs="Times New Roman"/>
          <w:bCs/>
          <w:color w:val="000000"/>
          <w:sz w:val="24"/>
          <w:highlight w:val="none"/>
          <w:u w:val="single"/>
          <w:lang w:val="en-US" w:eastAsia="zh-CN"/>
        </w:rPr>
        <w:t xml:space="preserve">前完成并</w:t>
      </w:r>
      <w:r>
        <w:rPr>
          <w:rFonts w:hint="eastAsia" w:ascii="宋体" w:hAnsi="宋体" w:eastAsia="宋体" w:cs="Times New Roman"/>
          <w:bCs/>
          <w:color w:val="000000"/>
          <w:sz w:val="24"/>
          <w:highlight w:val="none"/>
          <w:u w:val="single"/>
        </w:rPr>
        <w:t xml:space="preserve">提交检测报告</w:t>
      </w:r>
      <w:r>
        <w:rPr>
          <w:rFonts w:hint="eastAsia" w:ascii="宋体" w:hAnsi="宋体" w:eastAsia="宋体" w:cs="Times New Roman"/>
          <w:bCs/>
          <w:color w:val="000000"/>
          <w:sz w:val="24"/>
          <w:highlight w:val="none"/>
          <w:u w:val="single"/>
          <w:lang w:eastAsia="zh-CN"/>
        </w:rPr>
        <w:t xml:space="preserve">；</w:t>
      </w:r>
      <w:r>
        <w:rPr>
          <w:rFonts w:hint="eastAsia" w:ascii="宋体" w:hAnsi="宋体" w:eastAsia="宋体" w:cs="Times New Roman"/>
          <w:bCs/>
          <w:color w:val="000000"/>
          <w:sz w:val="24"/>
          <w:highlight w:val="none"/>
          <w:u w:val="single"/>
          <w:lang w:val="en-US" w:eastAsia="zh-CN"/>
        </w:rPr>
        <w:t xml:space="preserve">大流量强排泵车、移动</w:t>
      </w:r>
      <w:r>
        <w:rPr>
          <w:rFonts w:hint="eastAsia" w:ascii="宋体" w:hAnsi="宋体" w:eastAsia="宋体" w:cs="Times New Roman"/>
          <w:bCs/>
          <w:color w:val="000000"/>
          <w:sz w:val="24"/>
          <w:highlight w:val="none"/>
          <w:u w:val="single"/>
        </w:rPr>
        <w:t xml:space="preserve">发电机、疏通车</w:t>
      </w:r>
      <w:r>
        <w:rPr>
          <w:rFonts w:hint="eastAsia" w:ascii="宋体" w:hAnsi="宋体" w:eastAsia="宋体" w:cs="Times New Roman"/>
          <w:bCs/>
          <w:color w:val="000000"/>
          <w:sz w:val="24"/>
          <w:highlight w:val="none"/>
          <w:u w:val="single"/>
          <w:lang w:eastAsia="zh-CN"/>
        </w:rPr>
        <w:t xml:space="preserve">、</w:t>
      </w:r>
      <w:r>
        <w:rPr>
          <w:rFonts w:hint="eastAsia" w:ascii="宋体" w:hAnsi="宋体" w:eastAsia="宋体" w:cs="Times New Roman"/>
          <w:bCs/>
          <w:color w:val="000000"/>
          <w:sz w:val="24"/>
          <w:highlight w:val="none"/>
          <w:u w:val="single"/>
          <w:lang w:val="en-US" w:eastAsia="zh-CN"/>
        </w:rPr>
        <w:t xml:space="preserve">行车、变压器（含高低压配电等）</w:t>
      </w:r>
      <w:r>
        <w:rPr>
          <w:rFonts w:hint="eastAsia" w:ascii="宋体" w:hAnsi="宋体" w:eastAsia="宋体" w:cs="Times New Roman"/>
          <w:bCs/>
          <w:color w:val="000000"/>
          <w:sz w:val="24"/>
          <w:highlight w:val="none"/>
          <w:u w:val="single"/>
        </w:rPr>
        <w:t xml:space="preserve">等特种设备的保养、维修</w:t>
      </w:r>
      <w:r>
        <w:rPr>
          <w:rFonts w:hint="eastAsia" w:ascii="宋体" w:hAnsi="宋体" w:eastAsia="宋体" w:cs="Times New Roman"/>
          <w:bCs/>
          <w:color w:val="000000"/>
          <w:sz w:val="24"/>
          <w:highlight w:val="none"/>
          <w:u w:val="single"/>
          <w:lang w:eastAsia="zh-CN"/>
        </w:rPr>
        <w:t xml:space="preserve">，</w:t>
      </w:r>
      <w:r>
        <w:rPr>
          <w:rFonts w:hint="eastAsia" w:ascii="宋体" w:hAnsi="宋体" w:eastAsia="宋体" w:cs="Times New Roman"/>
          <w:bCs/>
          <w:color w:val="000000"/>
          <w:sz w:val="24"/>
          <w:highlight w:val="none"/>
          <w:u w:val="single"/>
          <w:lang w:val="en-US" w:eastAsia="zh-CN"/>
        </w:rPr>
        <w:t xml:space="preserve">按规定定期检测核验</w:t>
      </w:r>
      <w:r>
        <w:rPr>
          <w:rFonts w:hint="eastAsia" w:ascii="宋体" w:hAnsi="宋体" w:eastAsia="宋体" w:cs="Times New Roman"/>
          <w:bCs/>
          <w:color w:val="000000"/>
          <w:sz w:val="24"/>
          <w:highlight w:val="none"/>
          <w:u w:val="single"/>
        </w:rPr>
        <w:t xml:space="preserve">；中控室值班值守、运行调度、系统维护；接受防汛指令，开展城市防汛排涝相关工作</w:t>
      </w:r>
      <w:r>
        <w:rPr>
          <w:rFonts w:hint="eastAsia" w:ascii="宋体" w:hAnsi="宋体" w:eastAsia="宋体" w:cs="Times New Roman"/>
          <w:bCs/>
          <w:color w:val="000000"/>
          <w:sz w:val="24"/>
          <w:highlight w:val="none"/>
          <w:u w:val="single"/>
          <w:lang w:eastAsia="zh-CN"/>
        </w:rPr>
        <w:t xml:space="preserve">，做好值班值守，巡查城区市政道路，根据防汛需要对部分积水点开展强排工作，汛前开展排水防涝演练；根据要求，开展排水户、泵站及管网关键点水质检测；</w:t>
      </w:r>
      <w:r>
        <w:rPr>
          <w:rFonts w:hint="eastAsia" w:ascii="宋体" w:hAnsi="宋体" w:eastAsia="宋体" w:cs="Times New Roman"/>
          <w:bCs/>
          <w:color w:val="000000"/>
          <w:sz w:val="24"/>
          <w:highlight w:val="none"/>
          <w:u w:val="single"/>
          <w:lang w:val="en-US" w:eastAsia="zh-CN"/>
        </w:rPr>
        <w:t xml:space="preserve">配合做好排水管理相关工作等</w:t>
      </w:r>
      <w:r>
        <w:rPr>
          <w:rFonts w:hint="eastAsia" w:ascii="宋体" w:hAnsi="宋体" w:eastAsia="宋体" w:cs="Times New Roman"/>
          <w:bCs/>
          <w:color w:val="000000"/>
          <w:sz w:val="24"/>
          <w:highlight w:val="none"/>
          <w:u w:val="single"/>
          <w:lang w:eastAsia="zh-CN"/>
        </w:rPr>
        <w:t xml:space="preserve">。</w:t>
      </w:r>
      <w:r>
        <w:rPr>
          <w:rFonts w:hint="eastAsia" w:ascii="宋体" w:hAnsi="宋体" w:eastAsia="宋体" w:cs="Times New Roman"/>
          <w:bCs/>
          <w:color w:val="000000"/>
          <w:sz w:val="24"/>
          <w:highlight w:val="none"/>
          <w:u w:val="single"/>
          <w:lang w:eastAsia="zh-CN"/>
        </w:rPr>
      </w:r>
      <w:r/>
    </w:p>
    <w:p>
      <w:pPr>
        <w:pStyle w:val="856"/>
        <w:ind w:firstLine="480"/>
        <w:jc w:val="left"/>
        <w:spacing w:line="560" w:lineRule="exact"/>
        <w:rPr>
          <w:rFonts w:ascii="宋体" w:hAnsi="宋体"/>
          <w:color w:val="000000"/>
          <w:sz w:val="24"/>
          <w:szCs w:val="24"/>
          <w:highlight w:val="none"/>
          <w:u w:val="single"/>
        </w:rPr>
      </w:pPr>
      <w:r>
        <w:rPr>
          <w:rFonts w:ascii="宋体" w:hAnsi="宋体"/>
          <w:color w:val="000000"/>
          <w:sz w:val="24"/>
          <w:szCs w:val="24"/>
          <w:highlight w:val="none"/>
        </w:rPr>
        <w:t xml:space="preserve">1.2 服务期限：</w:t>
      </w:r>
      <w:r>
        <w:rPr>
          <w:rFonts w:ascii="宋体" w:hAnsi="宋体"/>
          <w:color w:val="000000"/>
          <w:sz w:val="24"/>
          <w:szCs w:val="24"/>
          <w:highlight w:val="none"/>
          <w:u w:val="single"/>
        </w:rPr>
        <w:t xml:space="preserve">1</w:t>
      </w:r>
      <w:r>
        <w:rPr>
          <w:rFonts w:hint="eastAsia" w:ascii="宋体" w:hAnsi="宋体"/>
          <w:color w:val="000000"/>
          <w:sz w:val="24"/>
          <w:szCs w:val="24"/>
          <w:highlight w:val="none"/>
          <w:u w:val="single"/>
        </w:rPr>
        <w:t xml:space="preserve">年</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2025年1月1日至2025年12月31日</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w:t>
      </w:r>
      <w:r>
        <w:rPr>
          <w:rFonts w:hint="eastAsia" w:ascii="宋体" w:hAnsi="宋体" w:cs="宋体"/>
          <w:color w:val="000000"/>
          <w:szCs w:val="21"/>
          <w:highlight w:val="none"/>
          <w:lang w:bidi="ar"/>
        </w:rPr>
        <w:t xml:space="preserve">如考核分值连续两个月在 90 分以下，采购人有权终止服务合同</w:t>
      </w:r>
      <w:r>
        <w:rPr>
          <w:rFonts w:hint="eastAsia" w:ascii="宋体" w:hAnsi="宋体"/>
          <w:bCs/>
          <w:color w:val="000000"/>
          <w:sz w:val="24"/>
          <w:highlight w:val="none"/>
        </w:rPr>
        <w:t xml:space="preserve">）</w:t>
      </w:r>
      <w:r>
        <w:rPr>
          <w:rFonts w:hint="eastAsia" w:ascii="宋体" w:hAnsi="宋体" w:cs="宋体"/>
          <w:color w:val="000000"/>
          <w:szCs w:val="21"/>
          <w:highlight w:val="none"/>
          <w:lang w:bidi="ar"/>
        </w:rPr>
        <w:t xml:space="preserve"> </w:t>
      </w:r>
      <w:r>
        <w:rPr>
          <w:rFonts w:ascii="宋体" w:hAnsi="宋体"/>
          <w:color w:val="000000"/>
          <w:sz w:val="24"/>
          <w:szCs w:val="24"/>
          <w:highlight w:val="none"/>
          <w:u w:val="single"/>
        </w:rPr>
      </w:r>
      <w:r/>
    </w:p>
    <w:p>
      <w:pPr>
        <w:pStyle w:val="856"/>
        <w:ind w:firstLine="480"/>
        <w:jc w:val="left"/>
        <w:spacing w:line="560" w:lineRule="exact"/>
        <w:rPr>
          <w:rFonts w:ascii="宋体" w:hAnsi="宋体"/>
          <w:color w:val="000000"/>
          <w:sz w:val="24"/>
          <w:szCs w:val="24"/>
          <w:highlight w:val="none"/>
          <w:u w:val="single"/>
        </w:rPr>
      </w:pPr>
      <w:r>
        <w:rPr>
          <w:rFonts w:ascii="宋体" w:hAnsi="宋体"/>
          <w:color w:val="000000"/>
          <w:sz w:val="24"/>
          <w:szCs w:val="24"/>
          <w:highlight w:val="none"/>
        </w:rPr>
        <w:t xml:space="preserve">1.3 补充条款：。</w:t>
      </w:r>
      <w:r>
        <w:rPr>
          <w:rFonts w:ascii="宋体" w:hAnsi="宋体"/>
          <w:color w:val="000000"/>
          <w:sz w:val="24"/>
          <w:szCs w:val="24"/>
          <w:highlight w:val="none"/>
          <w:u w:val="single"/>
        </w:rPr>
      </w:r>
      <w:r/>
    </w:p>
    <w:p>
      <w:pPr>
        <w:pStyle w:val="856"/>
        <w:ind w:firstLine="482"/>
        <w:jc w:val="left"/>
        <w:spacing w:line="560" w:lineRule="exact"/>
        <w:rPr>
          <w:rFonts w:ascii="宋体" w:hAnsi="宋体"/>
          <w:b/>
          <w:color w:val="000000"/>
          <w:sz w:val="24"/>
          <w:szCs w:val="24"/>
          <w:highlight w:val="none"/>
        </w:rPr>
      </w:pPr>
      <w:r>
        <w:rPr>
          <w:rFonts w:ascii="宋体" w:hAnsi="宋体"/>
          <w:b/>
          <w:color w:val="000000"/>
          <w:sz w:val="24"/>
          <w:szCs w:val="24"/>
          <w:highlight w:val="none"/>
        </w:rPr>
        <w:t xml:space="preserve">二、合同金额</w:t>
      </w:r>
      <w:r>
        <w:rPr>
          <w:rFonts w:ascii="宋体" w:hAnsi="宋体"/>
          <w:b/>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2.1 本合同金额为（大写）：_________________元整（</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__________）人民币。</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rPr>
          <w:rFonts w:hint="eastAsia" w:ascii="宋体" w:hAnsi="宋体"/>
          <w:bCs/>
          <w:color w:val="000000"/>
          <w:sz w:val="24"/>
          <w:highlight w:val="none"/>
          <w:lang w:val="en-US" w:eastAsia="zh-CN"/>
        </w:rPr>
        <w:t xml:space="preserve">因客观原因未能实施的服务内容在年终结算时扣除相应费用。</w:t>
      </w:r>
      <w:r>
        <w:rPr>
          <w:rFonts w:ascii="宋体" w:hAnsi="宋体"/>
          <w:color w:val="000000"/>
          <w:sz w:val="24"/>
          <w:szCs w:val="24"/>
          <w:highlight w:val="none"/>
        </w:rPr>
      </w:r>
      <w:r/>
    </w:p>
    <w:p>
      <w:pPr>
        <w:pStyle w:val="856"/>
        <w:ind w:firstLine="482"/>
        <w:jc w:val="left"/>
        <w:spacing w:line="560" w:lineRule="exact"/>
        <w:rPr>
          <w:rFonts w:ascii="宋体" w:hAnsi="宋体"/>
          <w:b/>
          <w:color w:val="000000"/>
          <w:sz w:val="24"/>
          <w:szCs w:val="24"/>
          <w:highlight w:val="none"/>
        </w:rPr>
      </w:pPr>
      <w:r>
        <w:rPr>
          <w:rFonts w:ascii="宋体" w:hAnsi="宋体"/>
          <w:b/>
          <w:color w:val="000000"/>
          <w:sz w:val="24"/>
          <w:szCs w:val="24"/>
          <w:highlight w:val="none"/>
        </w:rPr>
        <w:t xml:space="preserve">三、技术资料</w:t>
      </w:r>
      <w:r>
        <w:rPr>
          <w:rFonts w:ascii="宋体" w:hAnsi="宋体"/>
          <w:b/>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3.1乙方应按招标文件规定的时间向甲方提供有关技术资料。</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olor w:val="000000"/>
          <w:sz w:val="24"/>
          <w:szCs w:val="24"/>
          <w:highlight w:val="none"/>
        </w:rPr>
      </w:r>
      <w:r/>
    </w:p>
    <w:p>
      <w:pPr>
        <w:pStyle w:val="856"/>
        <w:ind w:firstLine="482"/>
        <w:jc w:val="left"/>
        <w:spacing w:line="560" w:lineRule="exact"/>
        <w:rPr>
          <w:rFonts w:ascii="宋体" w:hAnsi="宋体"/>
          <w:b/>
          <w:color w:val="000000"/>
          <w:sz w:val="24"/>
          <w:szCs w:val="24"/>
          <w:highlight w:val="none"/>
        </w:rPr>
      </w:pPr>
      <w:r>
        <w:rPr>
          <w:rFonts w:ascii="宋体" w:hAnsi="宋体"/>
          <w:b/>
          <w:color w:val="000000"/>
          <w:sz w:val="24"/>
          <w:szCs w:val="24"/>
          <w:highlight w:val="none"/>
        </w:rPr>
        <w:t xml:space="preserve">四、知识产权</w:t>
      </w:r>
      <w:r>
        <w:rPr>
          <w:rFonts w:ascii="宋体" w:hAnsi="宋体"/>
          <w:b/>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hint="eastAsia" w:hAnsi="宋体"/>
          <w:color w:val="000000"/>
          <w:sz w:val="24"/>
          <w:szCs w:val="24"/>
          <w:highlight w:val="none"/>
        </w:rPr>
        <w:t xml:space="preserve">4.1 </w:t>
      </w:r>
      <w:r>
        <w:rPr>
          <w:rFonts w:hAnsi="宋体"/>
          <w:color w:val="000000"/>
          <w:sz w:val="24"/>
          <w:szCs w:val="24"/>
          <w:highlight w:val="none"/>
        </w:rPr>
        <w:t xml:space="preserve">乙</w:t>
      </w:r>
      <w:r>
        <w:rPr>
          <w:rFonts w:hint="eastAsia" w:ascii="宋体" w:hAnsi="宋体"/>
          <w:color w:val="000000"/>
          <w:sz w:val="24"/>
          <w:szCs w:val="24"/>
          <w:highlight w:val="none"/>
        </w:rPr>
        <w:t xml:space="preserve">方应保证甲方在使用、接受本合同</w:t>
      </w:r>
      <w:r>
        <w:rPr>
          <w:rFonts w:hAnsi="宋体"/>
          <w:color w:val="000000"/>
          <w:sz w:val="24"/>
          <w:szCs w:val="24"/>
          <w:highlight w:val="none"/>
        </w:rPr>
        <w:t xml:space="preserve">中产品和服务</w:t>
      </w:r>
      <w:r>
        <w:rPr>
          <w:rFonts w:hint="eastAsia" w:ascii="宋体" w:hAnsi="宋体"/>
          <w:color w:val="000000"/>
          <w:sz w:val="24"/>
          <w:szCs w:val="24"/>
          <w:highlight w:val="none"/>
        </w:rPr>
        <w:t xml:space="preserve">或其任何一部分时不受第三方提出侵犯其专利权、版权、商标权和工业设计权等知识产权的起诉。一旦出现侵权，由乙方负全部责任。</w:t>
      </w:r>
      <w:r>
        <w:rPr>
          <w:rFonts w:ascii="宋体" w:hAnsi="宋体"/>
          <w:color w:val="000000"/>
          <w:sz w:val="24"/>
          <w:szCs w:val="24"/>
          <w:highlight w:val="none"/>
        </w:rPr>
      </w:r>
      <w:r/>
    </w:p>
    <w:p>
      <w:pPr>
        <w:pStyle w:val="856"/>
        <w:ind w:firstLine="482"/>
        <w:jc w:val="left"/>
        <w:spacing w:line="560" w:lineRule="exact"/>
        <w:rPr>
          <w:rFonts w:ascii="宋体" w:hAnsi="宋体"/>
          <w:color w:val="000000"/>
          <w:sz w:val="24"/>
          <w:szCs w:val="24"/>
          <w:highlight w:val="none"/>
          <w:u w:val="single"/>
        </w:rPr>
      </w:pPr>
      <w:r>
        <w:rPr>
          <w:rFonts w:ascii="宋体" w:hAnsi="宋体"/>
          <w:b/>
          <w:color w:val="000000"/>
          <w:sz w:val="24"/>
          <w:szCs w:val="24"/>
          <w:highlight w:val="none"/>
        </w:rPr>
        <w:t xml:space="preserve">五、产权担保</w:t>
      </w:r>
      <w:r>
        <w:rPr>
          <w:rFonts w:ascii="宋体" w:hAnsi="宋体"/>
          <w:color w:val="000000"/>
          <w:sz w:val="24"/>
          <w:szCs w:val="24"/>
          <w:highlight w:val="none"/>
          <w:u w:val="single"/>
        </w:rPr>
      </w:r>
      <w:r/>
    </w:p>
    <w:p>
      <w:pPr>
        <w:pStyle w:val="856"/>
        <w:ind w:firstLine="480"/>
        <w:jc w:val="left"/>
        <w:spacing w:line="56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5.1 </w:t>
      </w:r>
      <w:r>
        <w:rPr>
          <w:rFonts w:ascii="宋体" w:hAnsi="宋体"/>
          <w:color w:val="000000"/>
          <w:sz w:val="24"/>
          <w:szCs w:val="24"/>
          <w:highlight w:val="none"/>
        </w:rPr>
        <w:t xml:space="preserve">乙方保证所交付标的的所有权完全属于乙方且无任何抵押、查封等产权瑕疵。</w:t>
      </w:r>
      <w:r>
        <w:rPr>
          <w:rFonts w:ascii="宋体" w:hAnsi="宋体"/>
          <w:color w:val="000000"/>
          <w:sz w:val="24"/>
          <w:szCs w:val="24"/>
          <w:highlight w:val="none"/>
          <w:u w:val="single"/>
        </w:rPr>
      </w:r>
      <w:r/>
    </w:p>
    <w:p>
      <w:pPr>
        <w:pStyle w:val="856"/>
        <w:ind w:firstLine="482"/>
        <w:jc w:val="left"/>
        <w:spacing w:line="560" w:lineRule="exact"/>
        <w:rPr>
          <w:rFonts w:ascii="宋体" w:hAnsi="宋体"/>
          <w:b/>
          <w:color w:val="000000"/>
          <w:sz w:val="24"/>
          <w:szCs w:val="24"/>
          <w:highlight w:val="none"/>
        </w:rPr>
      </w:pPr>
      <w:r>
        <w:rPr>
          <w:rFonts w:ascii="宋体" w:hAnsi="宋体"/>
          <w:b/>
          <w:color w:val="000000"/>
          <w:sz w:val="24"/>
          <w:szCs w:val="24"/>
          <w:highlight w:val="none"/>
        </w:rPr>
        <w:t xml:space="preserve">六、履约保证金</w:t>
      </w:r>
      <w:r>
        <w:rPr>
          <w:rFonts w:ascii="宋体" w:hAnsi="宋体"/>
          <w:b/>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6.1 本项目不收取履约保证金。</w:t>
      </w:r>
      <w:r>
        <w:rPr>
          <w:rFonts w:ascii="宋体" w:hAnsi="宋体"/>
          <w:color w:val="000000"/>
          <w:sz w:val="24"/>
          <w:szCs w:val="24"/>
          <w:highlight w:val="none"/>
        </w:rPr>
      </w:r>
      <w:r/>
    </w:p>
    <w:p>
      <w:pPr>
        <w:pStyle w:val="856"/>
        <w:ind w:firstLine="482"/>
        <w:jc w:val="left"/>
        <w:spacing w:line="560" w:lineRule="exact"/>
        <w:rPr>
          <w:rFonts w:ascii="宋体" w:hAnsi="宋体"/>
          <w:b/>
          <w:color w:val="000000"/>
          <w:sz w:val="24"/>
          <w:szCs w:val="24"/>
          <w:highlight w:val="none"/>
        </w:rPr>
      </w:pPr>
      <w:r>
        <w:rPr>
          <w:rFonts w:ascii="宋体" w:hAnsi="宋体"/>
          <w:b/>
          <w:color w:val="000000"/>
          <w:sz w:val="24"/>
          <w:szCs w:val="24"/>
          <w:highlight w:val="none"/>
        </w:rPr>
        <w:t xml:space="preserve">七、转包或分包</w:t>
      </w:r>
      <w:r>
        <w:rPr>
          <w:rFonts w:ascii="宋体" w:hAnsi="宋体"/>
          <w:b/>
          <w:color w:val="000000"/>
          <w:sz w:val="24"/>
          <w:szCs w:val="24"/>
          <w:highlight w:val="none"/>
        </w:rPr>
      </w:r>
      <w:r/>
    </w:p>
    <w:p>
      <w:pPr>
        <w:pStyle w:val="856"/>
        <w:ind w:firstLine="480"/>
        <w:jc w:val="left"/>
        <w:spacing w:line="560" w:lineRule="exact"/>
        <w:rPr>
          <w:rFonts w:ascii="宋体" w:hAnsi="宋体" w:eastAsia="仿宋_GB2312"/>
          <w:color w:val="000000"/>
          <w:sz w:val="24"/>
          <w:szCs w:val="24"/>
          <w:highlight w:val="none"/>
        </w:rPr>
      </w:pPr>
      <w:r>
        <w:rPr>
          <w:rFonts w:ascii="宋体" w:hAnsi="宋体"/>
          <w:color w:val="000000"/>
          <w:sz w:val="24"/>
          <w:szCs w:val="24"/>
          <w:highlight w:val="none"/>
        </w:rPr>
        <w:t xml:space="preserve">7.1</w:t>
      </w:r>
      <w:r>
        <w:rPr>
          <w:rFonts w:hint="eastAsia" w:ascii="宋体" w:hAnsi="宋体"/>
          <w:color w:val="000000"/>
          <w:sz w:val="24"/>
          <w:szCs w:val="24"/>
          <w:highlight w:val="none"/>
        </w:rPr>
        <w:t xml:space="preserve"> 本合同范围内产品或服务，应由乙方直接供应，不得转让他人供应；</w:t>
      </w:r>
      <w:r>
        <w:rPr>
          <w:rFonts w:ascii="宋体" w:hAnsi="宋体" w:eastAsia="仿宋_GB2312"/>
          <w:color w:val="000000"/>
          <w:sz w:val="24"/>
          <w:szCs w:val="24"/>
          <w:highlight w:val="none"/>
        </w:rPr>
      </w:r>
      <w:r/>
    </w:p>
    <w:p>
      <w:pPr>
        <w:pStyle w:val="856"/>
        <w:ind w:firstLine="480"/>
        <w:jc w:val="left"/>
        <w:spacing w:line="560" w:lineRule="exact"/>
        <w:rPr>
          <w:rFonts w:ascii="宋体" w:hAnsi="宋体" w:eastAsia="仿宋_GB2312"/>
          <w:color w:val="000000"/>
          <w:sz w:val="24"/>
          <w:szCs w:val="24"/>
          <w:highlight w:val="none"/>
        </w:rPr>
      </w:pPr>
      <w:r>
        <w:rPr>
          <w:rFonts w:ascii="宋体" w:hAnsi="宋体"/>
          <w:color w:val="000000"/>
          <w:sz w:val="24"/>
          <w:szCs w:val="24"/>
          <w:highlight w:val="none"/>
        </w:rPr>
        <w:t xml:space="preserve">7.2 </w:t>
      </w:r>
      <w:r>
        <w:rPr>
          <w:rFonts w:hint="eastAsia" w:ascii="宋体" w:hAnsi="宋体"/>
          <w:color w:val="000000"/>
          <w:sz w:val="24"/>
          <w:szCs w:val="24"/>
          <w:highlight w:val="none"/>
        </w:rPr>
        <w:t xml:space="preserve">除非得到甲方的书面同意，乙方不得部分分包给他人供应。</w:t>
      </w:r>
      <w:r>
        <w:rPr>
          <w:rFonts w:ascii="宋体" w:hAnsi="宋体" w:eastAsia="仿宋_GB2312"/>
          <w:color w:val="000000"/>
          <w:sz w:val="24"/>
          <w:szCs w:val="24"/>
          <w:highlight w:val="none"/>
        </w:rPr>
      </w:r>
      <w:r/>
    </w:p>
    <w:p>
      <w:pPr>
        <w:pStyle w:val="856"/>
        <w:ind w:firstLine="480"/>
        <w:jc w:val="left"/>
        <w:spacing w:line="560" w:lineRule="exact"/>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 如有转让和未经甲方同意的分包行为，甲方有权给予终止合同。 </w:t>
      </w:r>
      <w:r>
        <w:rPr>
          <w:rFonts w:ascii="宋体" w:hAnsi="宋体" w:eastAsia="仿宋_GB2312"/>
          <w:color w:val="000000"/>
          <w:sz w:val="24"/>
          <w:szCs w:val="24"/>
          <w:highlight w:val="none"/>
        </w:rPr>
      </w:r>
      <w:r/>
    </w:p>
    <w:p>
      <w:pPr>
        <w:pStyle w:val="856"/>
        <w:ind w:firstLine="482"/>
        <w:jc w:val="left"/>
        <w:spacing w:line="560" w:lineRule="exact"/>
        <w:rPr>
          <w:rFonts w:ascii="宋体" w:hAnsi="宋体"/>
          <w:color w:val="000000"/>
          <w:sz w:val="24"/>
          <w:szCs w:val="24"/>
          <w:highlight w:val="none"/>
        </w:rPr>
      </w:pPr>
      <w:r>
        <w:rPr>
          <w:rFonts w:ascii="宋体" w:hAnsi="宋体"/>
          <w:b/>
          <w:color w:val="000000"/>
          <w:sz w:val="24"/>
          <w:szCs w:val="24"/>
          <w:highlight w:val="none"/>
        </w:rPr>
        <w:t xml:space="preserve">八、</w:t>
      </w:r>
      <w:r>
        <w:rPr>
          <w:rFonts w:hint="eastAsia" w:ascii="宋体" w:hAnsi="宋体"/>
          <w:b/>
          <w:color w:val="000000"/>
          <w:sz w:val="24"/>
          <w:szCs w:val="24"/>
          <w:highlight w:val="none"/>
        </w:rPr>
        <w:t xml:space="preserve">服务期</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8.1 服务期</w:t>
      </w:r>
      <w:r>
        <w:rPr>
          <w:rFonts w:ascii="宋体" w:hAnsi="宋体"/>
          <w:color w:val="000000"/>
          <w:sz w:val="24"/>
          <w:szCs w:val="24"/>
          <w:highlight w:val="none"/>
        </w:rPr>
        <w:t xml:space="preserve">年。</w:t>
      </w:r>
      <w:r>
        <w:rPr>
          <w:rFonts w:ascii="宋体" w:hAnsi="宋体"/>
          <w:color w:val="000000"/>
          <w:sz w:val="24"/>
          <w:szCs w:val="24"/>
          <w:highlight w:val="none"/>
        </w:rPr>
      </w:r>
      <w:r/>
    </w:p>
    <w:p>
      <w:pPr>
        <w:pStyle w:val="856"/>
        <w:ind w:firstLine="482"/>
        <w:jc w:val="left"/>
        <w:spacing w:line="560" w:lineRule="exact"/>
        <w:rPr>
          <w:b/>
          <w:color w:val="000000"/>
          <w:sz w:val="24"/>
          <w:szCs w:val="24"/>
          <w:highlight w:val="none"/>
        </w:rPr>
      </w:pPr>
      <w:r>
        <w:rPr>
          <w:rFonts w:hAnsi="宋体"/>
          <w:b/>
          <w:color w:val="000000"/>
          <w:sz w:val="24"/>
          <w:szCs w:val="24"/>
          <w:highlight w:val="none"/>
        </w:rPr>
        <w:t xml:space="preserve">九、交付期、交付方式及交付地点</w:t>
      </w:r>
      <w:r>
        <w:rPr>
          <w:b/>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bCs/>
          <w:color w:val="000000"/>
          <w:sz w:val="24"/>
          <w:szCs w:val="24"/>
          <w:highlight w:val="none"/>
        </w:rPr>
        <w:t xml:space="preserve">9.1交 付 期：</w:t>
      </w:r>
      <w:r>
        <w:rPr>
          <w:rFonts w:ascii="宋体" w:hAnsi="宋体"/>
          <w:color w:val="000000"/>
          <w:sz w:val="24"/>
          <w:szCs w:val="24"/>
          <w:highlight w:val="none"/>
        </w:rPr>
        <w:t xml:space="preserve">_________。   </w:t>
      </w:r>
      <w:r>
        <w:rPr>
          <w:rFonts w:ascii="宋体" w:hAnsi="宋体"/>
          <w:color w:val="000000"/>
          <w:sz w:val="24"/>
          <w:szCs w:val="24"/>
          <w:highlight w:val="none"/>
        </w:rPr>
      </w:r>
      <w:r/>
    </w:p>
    <w:p>
      <w:pPr>
        <w:pStyle w:val="856"/>
        <w:ind w:firstLine="480"/>
        <w:jc w:val="left"/>
        <w:spacing w:line="560" w:lineRule="exact"/>
        <w:rPr>
          <w:rFonts w:ascii="宋体" w:hAnsi="宋体"/>
          <w:bCs/>
          <w:color w:val="000000"/>
          <w:sz w:val="24"/>
          <w:szCs w:val="24"/>
          <w:highlight w:val="none"/>
        </w:rPr>
      </w:pPr>
      <w:r>
        <w:rPr>
          <w:rFonts w:ascii="宋体" w:hAnsi="宋体"/>
          <w:bCs/>
          <w:color w:val="000000"/>
          <w:sz w:val="24"/>
          <w:szCs w:val="24"/>
          <w:highlight w:val="none"/>
        </w:rPr>
        <w:t xml:space="preserve">9.2交付方式：</w:t>
      </w:r>
      <w:r>
        <w:rPr>
          <w:rFonts w:ascii="宋体" w:hAnsi="宋体"/>
          <w:color w:val="000000"/>
          <w:sz w:val="24"/>
          <w:szCs w:val="24"/>
          <w:highlight w:val="none"/>
        </w:rPr>
        <w:t xml:space="preserve">_________。</w:t>
      </w:r>
      <w:r>
        <w:rPr>
          <w:rFonts w:ascii="宋体" w:hAnsi="宋体"/>
          <w:bCs/>
          <w:color w:val="000000"/>
          <w:sz w:val="24"/>
          <w:szCs w:val="24"/>
          <w:highlight w:val="none"/>
        </w:rPr>
      </w:r>
      <w:r/>
    </w:p>
    <w:p>
      <w:pPr>
        <w:pStyle w:val="856"/>
        <w:ind w:firstLine="480"/>
        <w:jc w:val="left"/>
        <w:spacing w:line="560" w:lineRule="exact"/>
        <w:rPr>
          <w:rFonts w:ascii="宋体" w:hAnsi="宋体"/>
          <w:b/>
          <w:color w:val="000000"/>
          <w:sz w:val="24"/>
          <w:szCs w:val="24"/>
          <w:highlight w:val="none"/>
        </w:rPr>
      </w:pPr>
      <w:r>
        <w:rPr>
          <w:rFonts w:ascii="宋体" w:hAnsi="宋体"/>
          <w:bCs/>
          <w:color w:val="000000"/>
          <w:sz w:val="24"/>
          <w:szCs w:val="24"/>
          <w:highlight w:val="none"/>
        </w:rPr>
        <w:t xml:space="preserve">9.3交付地点：</w:t>
      </w:r>
      <w:r>
        <w:rPr>
          <w:rFonts w:ascii="宋体" w:hAnsi="宋体"/>
          <w:color w:val="000000"/>
          <w:sz w:val="24"/>
          <w:szCs w:val="24"/>
          <w:highlight w:val="none"/>
        </w:rPr>
        <w:t xml:space="preserve">_________。</w:t>
      </w:r>
      <w:r>
        <w:rPr>
          <w:rFonts w:ascii="宋体" w:hAnsi="宋体"/>
          <w:b/>
          <w:color w:val="000000"/>
          <w:sz w:val="24"/>
          <w:szCs w:val="24"/>
          <w:highlight w:val="none"/>
        </w:rPr>
      </w:r>
      <w:r/>
    </w:p>
    <w:p>
      <w:pPr>
        <w:pStyle w:val="856"/>
        <w:ind w:firstLine="482"/>
        <w:jc w:val="left"/>
        <w:spacing w:line="560" w:lineRule="exact"/>
        <w:rPr>
          <w:b/>
          <w:color w:val="000000"/>
          <w:sz w:val="24"/>
          <w:szCs w:val="24"/>
          <w:highlight w:val="none"/>
        </w:rPr>
      </w:pPr>
      <w:r>
        <w:rPr>
          <w:rFonts w:hAnsi="宋体"/>
          <w:b/>
          <w:color w:val="000000"/>
          <w:sz w:val="24"/>
          <w:szCs w:val="24"/>
          <w:highlight w:val="none"/>
        </w:rPr>
        <w:t xml:space="preserve">十、合同款支付</w:t>
      </w:r>
      <w:r>
        <w:rPr>
          <w:b/>
          <w:color w:val="000000"/>
          <w:sz w:val="24"/>
          <w:szCs w:val="24"/>
          <w:highlight w:val="none"/>
        </w:rPr>
      </w:r>
      <w:r/>
    </w:p>
    <w:p>
      <w:pPr>
        <w:pStyle w:val="856"/>
        <w:ind w:firstLine="480"/>
        <w:jc w:val="left"/>
        <w:spacing w:line="560" w:lineRule="exact"/>
        <w:rPr>
          <w:rFonts w:hAnsi="宋体"/>
          <w:color w:val="000000"/>
          <w:sz w:val="24"/>
          <w:szCs w:val="24"/>
          <w:highlight w:val="none"/>
        </w:rPr>
      </w:pPr>
      <w:r>
        <w:rPr>
          <w:rFonts w:ascii="宋体" w:hAnsi="宋体"/>
          <w:bCs/>
          <w:color w:val="000000"/>
          <w:sz w:val="24"/>
          <w:szCs w:val="24"/>
          <w:highlight w:val="none"/>
        </w:rPr>
        <w:t xml:space="preserve">10.1</w:t>
      </w:r>
      <w:r>
        <w:rPr>
          <w:rFonts w:hAnsi="宋体"/>
          <w:bCs/>
          <w:color w:val="000000"/>
          <w:sz w:val="24"/>
          <w:szCs w:val="24"/>
          <w:highlight w:val="none"/>
        </w:rPr>
        <w:t xml:space="preserve">付款方式：</w:t>
      </w:r>
      <w:r>
        <w:rPr>
          <w:rFonts w:hint="eastAsia" w:ascii="宋体" w:hAnsi="宋体"/>
          <w:color w:val="000000"/>
          <w:sz w:val="24"/>
          <w:szCs w:val="24"/>
          <w:highlight w:val="none"/>
          <w:u w:val="single"/>
        </w:rPr>
        <w:t xml:space="preserve">运维费用依据月度综合考核结果按合同总价等比例按月支付</w:t>
      </w:r>
      <w:r>
        <w:rPr>
          <w:rFonts w:hint="eastAsia" w:ascii="宋体" w:hAnsi="宋体" w:cs="宋体"/>
          <w:color w:val="000000"/>
          <w:sz w:val="24"/>
          <w:szCs w:val="24"/>
          <w:highlight w:val="none"/>
          <w:u w:val="single"/>
        </w:rPr>
        <w:t xml:space="preserve">，月度考核成绩大于或等于90分为合格，支付当月费用的90%，余10%年终考核合格后合并支付；每低于合格标准（90分）1分罚当月养护经费1%，暂扣当月运维费用的20%，整改合格后拨付。考核依据为</w:t>
      </w:r>
      <w:r>
        <w:rPr>
          <w:rFonts w:hint="eastAsia" w:ascii="宋体" w:hAnsi="宋体"/>
          <w:color w:val="000000"/>
          <w:sz w:val="24"/>
          <w:szCs w:val="24"/>
          <w:highlight w:val="none"/>
          <w:u w:val="single"/>
        </w:rPr>
        <w:t xml:space="preserve">《连云港市市区污水设施维护管理办法》、《连云港市市区污水设施养护质量标准》、《连云港市市区污水设施养护质量抽查考核管理办法》</w:t>
      </w:r>
      <w:r>
        <w:rPr>
          <w:rFonts w:hAnsi="宋体"/>
          <w:color w:val="000000"/>
          <w:sz w:val="24"/>
          <w:szCs w:val="24"/>
          <w:highlight w:val="none"/>
        </w:rPr>
        <w:t xml:space="preserve">。</w:t>
      </w:r>
      <w:r>
        <w:rPr>
          <w:rFonts w:hAnsi="宋体"/>
          <w:color w:val="000000"/>
          <w:sz w:val="24"/>
          <w:szCs w:val="24"/>
          <w:highlight w:val="none"/>
        </w:rPr>
      </w:r>
      <w:r/>
    </w:p>
    <w:p>
      <w:pPr>
        <w:pStyle w:val="856"/>
        <w:ind w:firstLine="480"/>
        <w:jc w:val="left"/>
        <w:spacing w:line="560" w:lineRule="exact"/>
        <w:rPr>
          <w:bCs/>
          <w:color w:val="000000"/>
          <w:sz w:val="24"/>
          <w:szCs w:val="24"/>
          <w:highlight w:val="none"/>
        </w:rPr>
      </w:pPr>
      <w:r>
        <w:rPr>
          <w:rFonts w:ascii="宋体" w:hAnsi="宋体"/>
          <w:bCs/>
          <w:color w:val="000000"/>
          <w:sz w:val="24"/>
          <w:szCs w:val="24"/>
          <w:highlight w:val="none"/>
        </w:rPr>
        <w:t xml:space="preserve">10.2</w:t>
      </w:r>
      <w:r>
        <w:rPr>
          <w:rFonts w:hAnsi="宋体"/>
          <w:color w:val="000000"/>
          <w:sz w:val="24"/>
          <w:szCs w:val="24"/>
          <w:highlight w:val="none"/>
        </w:rPr>
        <w:t xml:space="preserve">当采购数量与实际使用数量不一致时，乙方根据实际使用量提供</w:t>
      </w:r>
      <w:r>
        <w:rPr>
          <w:rFonts w:ascii="宋体" w:hAnsi="宋体"/>
          <w:color w:val="000000"/>
          <w:sz w:val="24"/>
          <w:szCs w:val="24"/>
          <w:highlight w:val="none"/>
        </w:rPr>
        <w:t xml:space="preserve">产品和服务</w:t>
      </w:r>
      <w:r>
        <w:rPr>
          <w:rFonts w:hAnsi="宋体"/>
          <w:color w:val="000000"/>
          <w:sz w:val="24"/>
          <w:szCs w:val="24"/>
          <w:highlight w:val="none"/>
        </w:rPr>
        <w:t xml:space="preserve">，合同的最终结算金额按实际使用量乘以中标单价进行计算。</w:t>
      </w:r>
      <w:r>
        <w:rPr>
          <w:bCs/>
          <w:color w:val="000000"/>
          <w:sz w:val="24"/>
          <w:szCs w:val="24"/>
          <w:highlight w:val="none"/>
        </w:rPr>
      </w:r>
      <w:r/>
    </w:p>
    <w:p>
      <w:pPr>
        <w:pStyle w:val="856"/>
        <w:ind w:firstLine="482"/>
        <w:jc w:val="left"/>
        <w:spacing w:line="560" w:lineRule="exact"/>
        <w:rPr>
          <w:b/>
          <w:color w:val="000000"/>
          <w:sz w:val="24"/>
          <w:szCs w:val="24"/>
          <w:highlight w:val="none"/>
        </w:rPr>
      </w:pPr>
      <w:r>
        <w:rPr>
          <w:rFonts w:hAnsi="宋体"/>
          <w:b/>
          <w:color w:val="000000"/>
          <w:sz w:val="24"/>
          <w:szCs w:val="24"/>
          <w:highlight w:val="none"/>
        </w:rPr>
        <w:t xml:space="preserve">十一</w:t>
      </w:r>
      <w:r>
        <w:rPr>
          <w:rFonts w:hint="eastAsia"/>
          <w:b/>
          <w:color w:val="000000"/>
          <w:sz w:val="24"/>
          <w:szCs w:val="24"/>
          <w:highlight w:val="none"/>
        </w:rPr>
        <w:t xml:space="preserve">、</w:t>
      </w:r>
      <w:r>
        <w:rPr>
          <w:rFonts w:hAnsi="宋体"/>
          <w:b/>
          <w:color w:val="000000"/>
          <w:sz w:val="24"/>
          <w:szCs w:val="24"/>
          <w:highlight w:val="none"/>
        </w:rPr>
        <w:t xml:space="preserve">税费</w:t>
      </w:r>
      <w:r>
        <w:rPr>
          <w:b/>
          <w:color w:val="000000"/>
          <w:sz w:val="24"/>
          <w:szCs w:val="24"/>
          <w:highlight w:val="none"/>
        </w:rPr>
      </w:r>
      <w:r/>
    </w:p>
    <w:p>
      <w:pPr>
        <w:pStyle w:val="856"/>
        <w:ind w:firstLine="480"/>
        <w:jc w:val="left"/>
        <w:spacing w:line="560" w:lineRule="exact"/>
        <w:rPr>
          <w:rFonts w:ascii="宋体" w:hAnsi="宋体" w:eastAsia="仿宋_GB2312"/>
          <w:color w:val="000000"/>
          <w:sz w:val="24"/>
          <w:szCs w:val="24"/>
          <w:highlight w:val="none"/>
        </w:rPr>
      </w:pPr>
      <w:r>
        <w:rPr>
          <w:rFonts w:hint="eastAsia" w:ascii="宋体" w:hAnsi="宋体"/>
          <w:color w:val="000000"/>
          <w:sz w:val="24"/>
          <w:szCs w:val="24"/>
          <w:highlight w:val="none"/>
        </w:rPr>
        <w:t xml:space="preserve">11.1 本合同执行中相关的一切税费均由乙方负担。</w:t>
      </w:r>
      <w:r>
        <w:rPr>
          <w:rFonts w:ascii="宋体" w:hAnsi="宋体" w:eastAsia="仿宋_GB2312"/>
          <w:color w:val="000000"/>
          <w:sz w:val="24"/>
          <w:szCs w:val="24"/>
          <w:highlight w:val="none"/>
        </w:rPr>
      </w:r>
      <w:r/>
    </w:p>
    <w:p>
      <w:pPr>
        <w:pStyle w:val="856"/>
        <w:ind w:firstLine="482"/>
        <w:jc w:val="left"/>
        <w:spacing w:line="560" w:lineRule="exact"/>
        <w:rPr>
          <w:rFonts w:ascii="宋体" w:hAnsi="宋体"/>
          <w:color w:val="000000"/>
          <w:sz w:val="24"/>
          <w:szCs w:val="24"/>
          <w:highlight w:val="none"/>
        </w:rPr>
      </w:pPr>
      <w:r>
        <w:rPr>
          <w:rFonts w:ascii="宋体" w:hAnsi="宋体"/>
          <w:b/>
          <w:color w:val="000000"/>
          <w:sz w:val="24"/>
          <w:szCs w:val="24"/>
          <w:highlight w:val="none"/>
        </w:rPr>
        <w:t xml:space="preserve">十二、质量保证及售后服务</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12.1乙方应按招标文件规定和响应文件承诺的性能、技术要求、质量标准向甲方提供产品或服务。</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12.2 运维工作须按《城镇排水与污水处理条例》、</w:t>
      </w:r>
      <w:r>
        <w:rPr>
          <w:rFonts w:hint="eastAsia" w:ascii="宋体" w:hAnsi="宋体"/>
          <w:bCs/>
          <w:color w:val="000000"/>
          <w:sz w:val="24"/>
          <w:highlight w:val="none"/>
        </w:rPr>
        <w:t xml:space="preserve">《城镇排水管道维护安全技术规程》、《泵站技术管理规程》、</w:t>
      </w:r>
      <w:r>
        <w:rPr>
          <w:rFonts w:hint="eastAsia" w:ascii="宋体" w:hAnsi="宋体"/>
          <w:color w:val="000000"/>
          <w:sz w:val="24"/>
          <w:szCs w:val="24"/>
          <w:highlight w:val="none"/>
        </w:rPr>
        <w:t xml:space="preserve">《城镇排水管渠与泵站维护安全技术规程》、《城镇排水管渠与泵站维护技术规程》、《电业安全工作规程》、《连云港市市区污水设施维护管理办法》、《连云港市市区污水设施养护质量标准》、《连云港市市区污水设施养护质量抽查考核管理办法》、《现场安全作业规范》等，以及相关设备的产品说明书和操作手册执行。</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3 </w:t>
      </w:r>
      <w:r>
        <w:rPr>
          <w:rFonts w:ascii="宋体" w:hAnsi="宋体"/>
          <w:color w:val="000000"/>
          <w:sz w:val="24"/>
          <w:szCs w:val="24"/>
          <w:highlight w:val="none"/>
        </w:rPr>
        <w:t xml:space="preserve">乙方提供的产品或服务在质保期内因其本身出现质量问题，根据实际情况，经双方协商，可按以下办法处理：</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（1）更换：由乙方承担所发生的全部费用。</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（2）合同终止处理：合同终止，并退还甲方支付的合同款，同时应承担由此产生的所有费用，甲方不承担发生任何费用。</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4 </w:t>
      </w:r>
      <w:r>
        <w:rPr>
          <w:rFonts w:ascii="宋体" w:hAnsi="宋体"/>
          <w:color w:val="000000"/>
          <w:sz w:val="24"/>
          <w:szCs w:val="24"/>
          <w:highlight w:val="none"/>
        </w:rPr>
        <w:t xml:space="preserve">如在使用过程中发生质量问题，乙方在接到甲方通知后在</w:t>
      </w:r>
      <w:r>
        <w:rPr>
          <w:rFonts w:hint="eastAsia" w:ascii="宋体" w:hAnsi="宋体"/>
          <w:color w:val="000000"/>
          <w:sz w:val="24"/>
          <w:szCs w:val="24"/>
          <w:highlight w:val="none"/>
          <w:u w:val="single"/>
        </w:rPr>
        <w:t xml:space="preserve">1</w:t>
      </w:r>
      <w:r>
        <w:rPr>
          <w:rFonts w:ascii="宋体" w:hAnsi="宋体"/>
          <w:color w:val="000000"/>
          <w:sz w:val="24"/>
          <w:szCs w:val="24"/>
          <w:highlight w:val="none"/>
        </w:rPr>
        <w:t xml:space="preserve">小时内到达甲方现场。</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5 </w:t>
      </w:r>
      <w:r>
        <w:rPr>
          <w:rFonts w:ascii="宋体" w:hAnsi="宋体"/>
          <w:color w:val="000000"/>
          <w:sz w:val="24"/>
          <w:szCs w:val="24"/>
          <w:highlight w:val="none"/>
        </w:rPr>
        <w:t xml:space="preserve">在质保期内，乙方应对产品或服务出现的质量及安全问题负责处理解决并承担一切费用。</w:t>
      </w:r>
      <w:r>
        <w:rPr>
          <w:rFonts w:ascii="宋体" w:hAnsi="宋体"/>
          <w:color w:val="000000"/>
          <w:sz w:val="24"/>
          <w:szCs w:val="24"/>
          <w:highlight w:val="none"/>
        </w:rPr>
      </w:r>
      <w:r/>
    </w:p>
    <w:p>
      <w:pPr>
        <w:pStyle w:val="856"/>
        <w:ind w:firstLine="482"/>
        <w:jc w:val="left"/>
        <w:spacing w:line="560" w:lineRule="exact"/>
        <w:rPr>
          <w:rFonts w:ascii="宋体" w:hAnsi="宋体"/>
          <w:b/>
          <w:color w:val="000000"/>
          <w:sz w:val="24"/>
          <w:szCs w:val="24"/>
          <w:highlight w:val="none"/>
        </w:rPr>
      </w:pPr>
      <w:r>
        <w:rPr>
          <w:rFonts w:ascii="宋体" w:hAnsi="宋体"/>
          <w:b/>
          <w:color w:val="000000"/>
          <w:sz w:val="24"/>
          <w:szCs w:val="24"/>
          <w:highlight w:val="none"/>
        </w:rPr>
        <w:t xml:space="preserve">十三、验收</w:t>
      </w:r>
      <w:r>
        <w:rPr>
          <w:rFonts w:ascii="宋体" w:hAnsi="宋体"/>
          <w:b/>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13.1甲方对乙方提交的产品或服务依据招标文件上的项目需求要求、乙方响应文件及国家有关质量标准进行验收。</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13.2乙方交货前应对产品或服务作出全面检查和对验收文件进行整理，并列出清单，作为甲方验收和使用的技术条件依据，检验的结果应随服务一起提交甲方。</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13.3甲方对乙方提供的产品或服务在使用前，乙方需负责培训甲方的使用操作人员，并协助甲方一起试用，直到符合技术要求，甲方才做最终验收。</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13.4对技术复杂的产品或服务，甲方可请国家认可的专业检测机构参与初步验收及最终验收，并由其出具质量检测报告。</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13.5验收时乙方必须在现场，验收完毕后作出验收结果报告；招标文件规定以外的验收费用由甲乙双方协商解决。</w:t>
      </w:r>
      <w:r>
        <w:rPr>
          <w:rFonts w:ascii="宋体" w:hAnsi="宋体"/>
          <w:color w:val="000000"/>
          <w:sz w:val="24"/>
          <w:szCs w:val="24"/>
          <w:highlight w:val="none"/>
        </w:rPr>
      </w:r>
      <w:r/>
    </w:p>
    <w:p>
      <w:pPr>
        <w:pStyle w:val="856"/>
        <w:ind w:firstLine="482"/>
        <w:jc w:val="left"/>
        <w:spacing w:line="560" w:lineRule="exact"/>
        <w:rPr>
          <w:rFonts w:ascii="宋体" w:hAnsi="宋体"/>
          <w:b/>
          <w:color w:val="000000"/>
          <w:sz w:val="24"/>
          <w:szCs w:val="24"/>
          <w:highlight w:val="none"/>
        </w:rPr>
      </w:pPr>
      <w:r>
        <w:rPr>
          <w:rFonts w:ascii="宋体" w:hAnsi="宋体"/>
          <w:b/>
          <w:color w:val="000000"/>
          <w:sz w:val="24"/>
          <w:szCs w:val="24"/>
          <w:highlight w:val="none"/>
        </w:rPr>
        <w:t xml:space="preserve">十四、合同内容的交付</w:t>
      </w:r>
      <w:r>
        <w:rPr>
          <w:rFonts w:ascii="宋体" w:hAnsi="宋体"/>
          <w:b/>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14.1乙方应保证合同标的安全运达甲方指定地点。</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14.2 使用说明书、质量检验证明书一并提交甲方。</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14.3 乙方在合同标的交付甲方48小时前通知甲方准备接收。</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14.4 合同标的在交付甲方前发生的风险均由乙方负责。</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14.5 合同标的在规定的交付期限内由乙方送达甲方指定的地点视为交付，乙方同时需通知甲方已送达。</w:t>
      </w:r>
      <w:r>
        <w:rPr>
          <w:rFonts w:ascii="宋体" w:hAnsi="宋体"/>
          <w:color w:val="000000"/>
          <w:sz w:val="24"/>
          <w:szCs w:val="24"/>
          <w:highlight w:val="none"/>
        </w:rPr>
      </w:r>
      <w:r/>
    </w:p>
    <w:p>
      <w:pPr>
        <w:pStyle w:val="856"/>
        <w:ind w:firstLine="482"/>
        <w:jc w:val="left"/>
        <w:spacing w:line="560" w:lineRule="exact"/>
        <w:rPr>
          <w:rFonts w:ascii="宋体" w:hAnsi="宋体"/>
          <w:b/>
          <w:color w:val="000000"/>
          <w:sz w:val="24"/>
          <w:szCs w:val="24"/>
          <w:highlight w:val="none"/>
        </w:rPr>
      </w:pPr>
      <w:r>
        <w:rPr>
          <w:rFonts w:ascii="宋体" w:hAnsi="宋体"/>
          <w:b/>
          <w:color w:val="000000"/>
          <w:sz w:val="24"/>
          <w:szCs w:val="24"/>
          <w:highlight w:val="none"/>
        </w:rPr>
        <w:t xml:space="preserve">十五、违约责任</w:t>
      </w:r>
      <w:r>
        <w:rPr>
          <w:rFonts w:ascii="宋体" w:hAnsi="宋体"/>
          <w:b/>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15.1甲方无正当理由拒收的，甲方向乙方偿付拒收货款总值的百分之五违约金。</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15.2 甲方无故逾期验收和办理合同款支付手续的,甲方应按逾期付款总额每日万分之五向乙方支付违约金。</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rPr>
          <w:rFonts w:ascii="宋体" w:hAnsi="宋体"/>
          <w:color w:val="000000"/>
          <w:sz w:val="24"/>
          <w:szCs w:val="24"/>
          <w:highlight w:val="none"/>
        </w:rPr>
      </w:r>
      <w:r/>
    </w:p>
    <w:p>
      <w:pPr>
        <w:pStyle w:val="856"/>
        <w:ind w:firstLine="482"/>
        <w:jc w:val="left"/>
        <w:spacing w:line="560" w:lineRule="exact"/>
        <w:rPr>
          <w:rFonts w:ascii="宋体" w:hAnsi="宋体"/>
          <w:b/>
          <w:color w:val="000000"/>
          <w:sz w:val="24"/>
          <w:szCs w:val="24"/>
          <w:highlight w:val="none"/>
        </w:rPr>
      </w:pPr>
      <w:r>
        <w:rPr>
          <w:rFonts w:ascii="宋体" w:hAnsi="宋体"/>
          <w:b/>
          <w:color w:val="000000"/>
          <w:sz w:val="24"/>
          <w:szCs w:val="24"/>
          <w:highlight w:val="none"/>
        </w:rPr>
        <w:t xml:space="preserve">十六、不可抗力事件处理</w:t>
      </w:r>
      <w:r>
        <w:rPr>
          <w:rFonts w:ascii="宋体" w:hAnsi="宋体"/>
          <w:b/>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16.1 在合同有效期内，任何一方因不可抗力事件导致不能履行合同，则合同履行期延长，其延长期与不可抗力影响期相同。</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16.2 不可抗力事件发生后，应立即通知对方，并寄送有关权威机构出具的证明。</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16.3不可抗力事件延续120天以上，双方应通过友好协商，确定是否继续履行合同。</w:t>
      </w:r>
      <w:r>
        <w:rPr>
          <w:rFonts w:ascii="宋体" w:hAnsi="宋体"/>
          <w:color w:val="000000"/>
          <w:sz w:val="24"/>
          <w:szCs w:val="24"/>
          <w:highlight w:val="none"/>
        </w:rPr>
      </w:r>
      <w:r/>
    </w:p>
    <w:p>
      <w:pPr>
        <w:pStyle w:val="856"/>
        <w:ind w:firstLine="482"/>
        <w:jc w:val="left"/>
        <w:spacing w:line="560" w:lineRule="exact"/>
        <w:rPr>
          <w:rFonts w:ascii="宋体" w:hAnsi="宋体"/>
          <w:b/>
          <w:color w:val="000000"/>
          <w:sz w:val="24"/>
          <w:szCs w:val="24"/>
          <w:highlight w:val="none"/>
        </w:rPr>
      </w:pPr>
      <w:r>
        <w:rPr>
          <w:rFonts w:ascii="宋体" w:hAnsi="宋体"/>
          <w:b/>
          <w:color w:val="000000"/>
          <w:sz w:val="24"/>
          <w:szCs w:val="24"/>
          <w:highlight w:val="none"/>
        </w:rPr>
        <w:t xml:space="preserve">十七、争议解决</w:t>
      </w:r>
      <w:r>
        <w:rPr>
          <w:rFonts w:ascii="宋体" w:hAnsi="宋体"/>
          <w:b/>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17.1</w:t>
      </w:r>
      <w:r>
        <w:rPr>
          <w:rFonts w:hint="eastAsia" w:ascii="宋体" w:hAnsi="宋体"/>
          <w:color w:val="000000"/>
          <w:sz w:val="24"/>
          <w:szCs w:val="24"/>
          <w:highlight w:val="none"/>
        </w:rPr>
        <w:t xml:space="preserve"> 双方在执行合同中所发生的一切争议，应通过协商解决。如协商不成，按下列第</w:t>
      </w:r>
      <w:r>
        <w:rPr>
          <w:rFonts w:hint="eastAsia" w:ascii="宋体" w:hAnsi="宋体"/>
          <w:color w:val="000000"/>
          <w:sz w:val="24"/>
          <w:szCs w:val="24"/>
          <w:highlight w:val="none"/>
          <w:u w:val="single"/>
        </w:rPr>
        <w:t xml:space="preserve"> （1） </w:t>
      </w:r>
      <w:r>
        <w:rPr>
          <w:rFonts w:hint="eastAsia" w:ascii="宋体" w:hAnsi="宋体"/>
          <w:color w:val="000000"/>
          <w:sz w:val="24"/>
          <w:szCs w:val="24"/>
          <w:highlight w:val="none"/>
        </w:rPr>
        <w:t xml:space="preserve">种方式解决：</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（1）向连云港仲裁委员会申请仲裁。</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（2）向合同签订地法院起诉，合同签订地在此约定为连云港市。</w:t>
      </w:r>
      <w:r>
        <w:rPr>
          <w:rFonts w:ascii="宋体" w:hAnsi="宋体"/>
          <w:color w:val="000000"/>
          <w:sz w:val="24"/>
          <w:szCs w:val="24"/>
          <w:highlight w:val="none"/>
        </w:rPr>
      </w:r>
      <w:r/>
    </w:p>
    <w:p>
      <w:pPr>
        <w:pStyle w:val="856"/>
        <w:ind w:firstLine="482"/>
        <w:jc w:val="left"/>
        <w:spacing w:line="560" w:lineRule="exact"/>
        <w:rPr>
          <w:rFonts w:ascii="宋体" w:hAnsi="宋体"/>
          <w:b/>
          <w:color w:val="000000"/>
          <w:sz w:val="24"/>
          <w:szCs w:val="24"/>
          <w:highlight w:val="none"/>
        </w:rPr>
      </w:pPr>
      <w:r>
        <w:rPr>
          <w:rFonts w:ascii="宋体" w:hAnsi="宋体"/>
          <w:b/>
          <w:color w:val="000000"/>
          <w:sz w:val="24"/>
          <w:szCs w:val="24"/>
          <w:highlight w:val="none"/>
        </w:rPr>
        <w:t xml:space="preserve">十八、合同生效及其它</w:t>
      </w:r>
      <w:r>
        <w:rPr>
          <w:rFonts w:ascii="宋体" w:hAnsi="宋体"/>
          <w:b/>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18.1合同经双方法定代表人或委托代理人签字并加盖单位公章后生效。</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18.2本合同未尽事宜，遵照《中华人民共和国民法典》有关条文执行。</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t xml:space="preserve">18.3本合同正本一式</w:t>
      </w:r>
      <w:r>
        <w:rPr>
          <w:rFonts w:hint="eastAsia" w:ascii="宋体" w:hAnsi="宋体"/>
          <w:color w:val="000000"/>
          <w:sz w:val="24"/>
          <w:szCs w:val="24"/>
          <w:highlight w:val="none"/>
        </w:rPr>
        <w:t xml:space="preserve">捌</w:t>
      </w:r>
      <w:r>
        <w:rPr>
          <w:rFonts w:ascii="宋体" w:hAnsi="宋体"/>
          <w:color w:val="000000"/>
          <w:sz w:val="24"/>
          <w:szCs w:val="24"/>
          <w:highlight w:val="none"/>
        </w:rPr>
        <w:t xml:space="preserve">份，具有同等法律效力，</w:t>
      </w:r>
      <w:r>
        <w:rPr>
          <w:rFonts w:hint="eastAsia" w:ascii="宋体" w:hAnsi="宋体"/>
          <w:color w:val="000000"/>
          <w:sz w:val="24"/>
          <w:szCs w:val="24"/>
          <w:highlight w:val="none"/>
        </w:rPr>
        <w:t xml:space="preserve">甲方、乙方各执叁份，见证</w:t>
      </w:r>
      <w:r>
        <w:rPr>
          <w:rFonts w:ascii="宋体" w:hAnsi="宋体"/>
          <w:color w:val="000000"/>
          <w:sz w:val="24"/>
          <w:szCs w:val="24"/>
          <w:highlight w:val="none"/>
        </w:rPr>
        <w:t xml:space="preserve">方及财政监管部门各执一份。</w:t>
      </w:r>
      <w:r>
        <w:rPr>
          <w:rFonts w:ascii="宋体" w:hAnsi="宋体"/>
          <w:color w:val="000000"/>
          <w:sz w:val="24"/>
          <w:szCs w:val="24"/>
          <w:highlight w:val="none"/>
        </w:rPr>
      </w:r>
      <w:r/>
    </w:p>
    <w:p>
      <w:pPr>
        <w:pStyle w:val="856"/>
        <w:ind w:firstLine="360"/>
        <w:jc w:val="left"/>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甲方：                                  乙方：                     </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地址：                                  地址：                     </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法定代表人：                            法定代表人：               </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委托代理人：                            委托代理人：           </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电话：                                  电话：                     </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传真：                                  传真：                     </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签订日期：      年  月  日</w:t>
      </w:r>
      <w:r>
        <w:rPr>
          <w:rFonts w:ascii="宋体" w:hAnsi="宋体"/>
          <w:color w:val="000000"/>
          <w:sz w:val="24"/>
          <w:szCs w:val="24"/>
          <w:highlight w:val="none"/>
        </w:rPr>
      </w:r>
      <w:r/>
    </w:p>
    <w:p>
      <w:pPr>
        <w:pStyle w:val="856"/>
        <w:ind w:firstLine="360"/>
        <w:jc w:val="left"/>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856"/>
        <w:ind w:firstLine="360"/>
        <w:jc w:val="left"/>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见 证 方：  </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见证日期：      年  月  日</w:t>
      </w:r>
      <w:r>
        <w:rPr>
          <w:rFonts w:ascii="宋体" w:hAnsi="宋体"/>
          <w:color w:val="000000"/>
          <w:sz w:val="24"/>
          <w:szCs w:val="24"/>
          <w:highlight w:val="none"/>
        </w:rPr>
      </w:r>
      <w:r/>
    </w:p>
    <w:p>
      <w:pPr>
        <w:pStyle w:val="856"/>
        <w:ind w:firstLine="480"/>
        <w:jc w:val="left"/>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856"/>
        <w:jc w:val="center"/>
        <w:keepLines/>
        <w:keepNext/>
        <w:spacing w:line="360" w:lineRule="auto"/>
        <w:rPr>
          <w:rFonts w:ascii="仿宋_GB2312" w:eastAsia="仿宋_GB2312"/>
          <w:color w:val="000000"/>
          <w:sz w:val="28"/>
          <w:szCs w:val="24"/>
          <w:highlight w:val="none"/>
        </w:rPr>
        <w:outlineLvl w:val="0"/>
      </w:pPr>
      <w:r>
        <w:rPr>
          <w:rFonts w:ascii="仿宋_GB2312" w:hAnsi="宋体" w:eastAsia="仿宋_GB2312"/>
          <w:color w:val="000000"/>
          <w:sz w:val="24"/>
          <w:szCs w:val="24"/>
          <w:highlight w:val="none"/>
        </w:rPr>
        <w:br w:type="page" w:clear="all"/>
      </w:r>
      <w:bookmarkStart w:id="9" w:name="_Toc58260786"/>
      <w:r>
        <w:rPr>
          <w:rFonts w:hint="eastAsia" w:hAnsi="宋体" w:eastAsia="黑体"/>
          <w:color w:val="000000"/>
          <w:sz w:val="36"/>
          <w:szCs w:val="20"/>
          <w:highlight w:val="none"/>
        </w:rPr>
        <w:t xml:space="preserve">第六部分</w:t>
      </w:r>
      <w:bookmarkStart w:id="10" w:name="_Toc91256334"/>
      <w:r/>
      <w:bookmarkStart w:id="11" w:name="_Toc91183846"/>
      <w:r>
        <w:rPr>
          <w:rFonts w:hint="eastAsia" w:hAnsi="宋体" w:eastAsia="黑体"/>
          <w:color w:val="000000"/>
          <w:sz w:val="36"/>
          <w:szCs w:val="20"/>
          <w:highlight w:val="none"/>
        </w:rPr>
        <w:t xml:space="preserve">  投标文件格式</w:t>
      </w:r>
      <w:bookmarkEnd w:id="9"/>
      <w:r/>
      <w:bookmarkEnd w:id="10"/>
      <w:r/>
      <w:bookmarkEnd w:id="11"/>
      <w:r>
        <w:rPr>
          <w:rFonts w:ascii="仿宋_GB2312" w:eastAsia="仿宋_GB2312"/>
          <w:color w:val="000000"/>
          <w:sz w:val="28"/>
          <w:szCs w:val="24"/>
          <w:highlight w:val="none"/>
        </w:rPr>
      </w:r>
      <w:r/>
    </w:p>
    <w:p>
      <w:pPr>
        <w:pStyle w:val="856"/>
        <w:rPr>
          <w:rFonts w:ascii="宋体" w:hAnsi="宋体"/>
          <w:b/>
          <w:color w:val="000000"/>
          <w:sz w:val="52"/>
          <w:szCs w:val="52"/>
          <w:highlight w:val="none"/>
        </w:rPr>
      </w:pPr>
      <w:r>
        <w:rPr>
          <w:rFonts w:ascii="宋体" w:hAnsi="宋体"/>
          <w:b/>
          <w:color w:val="000000"/>
          <w:sz w:val="52"/>
          <w:szCs w:val="52"/>
          <w:highlight w:val="none"/>
        </w:rPr>
      </w:r>
      <w:r/>
    </w:p>
    <w:p>
      <w:pPr>
        <w:pStyle w:val="856"/>
        <w:jc w:val="center"/>
        <w:rPr>
          <w:rFonts w:ascii="宋体" w:hAnsi="宋体"/>
          <w:b/>
          <w:color w:val="000000"/>
          <w:sz w:val="72"/>
          <w:szCs w:val="52"/>
          <w:highlight w:val="none"/>
        </w:rPr>
      </w:pPr>
      <w:r>
        <w:rPr>
          <w:rFonts w:hint="eastAsia" w:ascii="宋体" w:hAnsi="宋体"/>
          <w:b/>
          <w:color w:val="000000"/>
          <w:sz w:val="72"/>
          <w:szCs w:val="52"/>
          <w:highlight w:val="none"/>
        </w:rPr>
        <w:t xml:space="preserve">江 苏 省 政 府 采 购</w:t>
      </w:r>
      <w:r>
        <w:rPr>
          <w:rFonts w:ascii="宋体" w:hAnsi="宋体"/>
          <w:b/>
          <w:color w:val="000000"/>
          <w:sz w:val="72"/>
          <w:szCs w:val="52"/>
          <w:highlight w:val="none"/>
        </w:rPr>
      </w:r>
      <w:r/>
    </w:p>
    <w:p>
      <w:pPr>
        <w:pStyle w:val="856"/>
        <w:jc w:val="center"/>
        <w:rPr>
          <w:rFonts w:ascii="宋体" w:hAnsi="宋体"/>
          <w:b/>
          <w:color w:val="000000"/>
          <w:sz w:val="72"/>
          <w:szCs w:val="84"/>
          <w:highlight w:val="none"/>
        </w:rPr>
      </w:pPr>
      <w:r>
        <w:rPr>
          <w:rFonts w:ascii="宋体" w:hAnsi="宋体"/>
          <w:b/>
          <w:color w:val="000000"/>
          <w:sz w:val="72"/>
          <w:szCs w:val="84"/>
          <w:highlight w:val="none"/>
        </w:rPr>
      </w:r>
      <w:r/>
    </w:p>
    <w:p>
      <w:pPr>
        <w:pStyle w:val="856"/>
        <w:jc w:val="center"/>
        <w:rPr>
          <w:rFonts w:ascii="宋体" w:hAnsi="宋体"/>
          <w:b/>
          <w:color w:val="000000"/>
          <w:sz w:val="72"/>
          <w:szCs w:val="84"/>
          <w:highlight w:val="none"/>
        </w:rPr>
      </w:pPr>
      <w:r>
        <w:rPr>
          <w:rFonts w:hint="eastAsia" w:ascii="宋体" w:hAnsi="宋体"/>
          <w:b/>
          <w:color w:val="000000"/>
          <w:sz w:val="72"/>
          <w:szCs w:val="84"/>
          <w:highlight w:val="none"/>
        </w:rPr>
        <w:t xml:space="preserve">投标文件</w:t>
      </w:r>
      <w:r>
        <w:rPr>
          <w:rFonts w:ascii="宋体" w:hAnsi="宋体"/>
          <w:b/>
          <w:color w:val="000000"/>
          <w:sz w:val="72"/>
          <w:szCs w:val="84"/>
          <w:highlight w:val="none"/>
        </w:rPr>
      </w:r>
      <w:r/>
    </w:p>
    <w:p>
      <w:pPr>
        <w:pStyle w:val="856"/>
        <w:rPr>
          <w:rFonts w:ascii="宋体" w:hAnsi="宋体"/>
          <w:b/>
          <w:color w:val="000000"/>
          <w:sz w:val="52"/>
          <w:szCs w:val="52"/>
          <w:highlight w:val="none"/>
        </w:rPr>
      </w:pPr>
      <w:r>
        <w:rPr>
          <w:rFonts w:ascii="宋体" w:hAnsi="宋体"/>
          <w:b/>
          <w:color w:val="000000"/>
          <w:sz w:val="52"/>
          <w:szCs w:val="52"/>
          <w:highlight w:val="none"/>
        </w:rPr>
      </w:r>
      <w:r/>
    </w:p>
    <w:p>
      <w:pPr>
        <w:pStyle w:val="856"/>
        <w:rPr>
          <w:rFonts w:ascii="宋体" w:hAnsi="宋体"/>
          <w:b/>
          <w:color w:val="000000"/>
          <w:sz w:val="52"/>
          <w:szCs w:val="52"/>
          <w:highlight w:val="none"/>
        </w:rPr>
      </w:pPr>
      <w:r>
        <w:rPr>
          <w:rFonts w:ascii="宋体" w:hAnsi="宋体"/>
          <w:b/>
          <w:color w:val="000000"/>
          <w:sz w:val="52"/>
          <w:szCs w:val="52"/>
          <w:highlight w:val="none"/>
        </w:rPr>
      </w:r>
      <w:r/>
    </w:p>
    <w:p>
      <w:pPr>
        <w:pStyle w:val="856"/>
        <w:rPr>
          <w:rFonts w:ascii="宋体" w:hAnsi="宋体"/>
          <w:b/>
          <w:color w:val="000000"/>
          <w:sz w:val="52"/>
          <w:szCs w:val="52"/>
          <w:highlight w:val="none"/>
        </w:rPr>
      </w:pPr>
      <w:r>
        <w:rPr>
          <w:rFonts w:ascii="宋体" w:hAnsi="宋体"/>
          <w:b/>
          <w:color w:val="000000"/>
          <w:sz w:val="52"/>
          <w:szCs w:val="52"/>
          <w:highlight w:val="none"/>
        </w:rPr>
      </w:r>
      <w:r/>
    </w:p>
    <w:p>
      <w:pPr>
        <w:pStyle w:val="856"/>
        <w:rPr>
          <w:rFonts w:ascii="宋体" w:hAnsi="宋体"/>
          <w:b/>
          <w:color w:val="000000"/>
          <w:sz w:val="52"/>
          <w:szCs w:val="52"/>
          <w:highlight w:val="none"/>
        </w:rPr>
      </w:pPr>
      <w:r>
        <w:rPr>
          <w:rFonts w:ascii="宋体" w:hAnsi="宋体"/>
          <w:b/>
          <w:color w:val="000000"/>
          <w:sz w:val="52"/>
          <w:szCs w:val="52"/>
          <w:highlight w:val="none"/>
        </w:rPr>
      </w:r>
      <w:r/>
    </w:p>
    <w:p>
      <w:pPr>
        <w:pStyle w:val="856"/>
        <w:rPr>
          <w:rFonts w:ascii="宋体" w:hAnsi="宋体"/>
          <w:b/>
          <w:color w:val="000000"/>
          <w:sz w:val="36"/>
          <w:szCs w:val="21"/>
          <w:highlight w:val="none"/>
        </w:rPr>
      </w:pPr>
      <w:r>
        <w:rPr>
          <w:rFonts w:ascii="宋体" w:hAnsi="宋体"/>
          <w:b/>
          <w:color w:val="000000"/>
          <w:sz w:val="36"/>
          <w:szCs w:val="21"/>
          <w:highlight w:val="none"/>
        </w:rPr>
      </w:r>
      <w:r/>
    </w:p>
    <w:p>
      <w:pPr>
        <w:pStyle w:val="856"/>
        <w:ind w:firstLine="964"/>
        <w:rPr>
          <w:rFonts w:ascii="宋体" w:hAnsi="宋体"/>
          <w:b/>
          <w:color w:val="000000"/>
          <w:sz w:val="32"/>
          <w:szCs w:val="32"/>
          <w:highlight w:val="none"/>
        </w:rPr>
      </w:pPr>
      <w:r>
        <w:rPr>
          <w:rFonts w:hint="eastAsia" w:ascii="宋体" w:hAnsi="宋体"/>
          <w:b/>
          <w:color w:val="000000"/>
          <w:sz w:val="32"/>
          <w:szCs w:val="32"/>
          <w:highlight w:val="none"/>
        </w:rPr>
        <w:t xml:space="preserve">标 段 名 称：连云港市区污水设施委托运行维护项目  </w:t>
      </w:r>
      <w:r>
        <w:rPr>
          <w:rFonts w:ascii="宋体" w:hAnsi="宋体"/>
          <w:b/>
          <w:color w:val="000000"/>
          <w:sz w:val="32"/>
          <w:szCs w:val="32"/>
          <w:highlight w:val="none"/>
        </w:rPr>
      </w:r>
      <w:r/>
    </w:p>
    <w:p>
      <w:pPr>
        <w:pStyle w:val="856"/>
        <w:ind w:firstLine="964"/>
        <w:rPr>
          <w:rFonts w:ascii="宋体" w:hAnsi="宋体"/>
          <w:b/>
          <w:color w:val="000000"/>
          <w:sz w:val="32"/>
          <w:szCs w:val="32"/>
          <w:highlight w:val="none"/>
          <w:u w:val="single"/>
        </w:rPr>
      </w:pPr>
      <w:r>
        <w:rPr>
          <w:rFonts w:hint="eastAsia" w:ascii="宋体" w:hAnsi="宋体"/>
          <w:b/>
          <w:color w:val="000000"/>
          <w:sz w:val="32"/>
          <w:szCs w:val="32"/>
          <w:highlight w:val="none"/>
        </w:rPr>
        <w:t xml:space="preserve">标 段 编 号：  </w:t>
      </w:r>
      <w:r>
        <w:rPr>
          <w:rFonts w:ascii="宋体" w:hAnsi="宋体"/>
          <w:b/>
          <w:color w:val="000000"/>
          <w:sz w:val="32"/>
          <w:szCs w:val="32"/>
          <w:highlight w:val="none"/>
          <w:u w:val="single"/>
        </w:rPr>
      </w:r>
      <w:r/>
    </w:p>
    <w:p>
      <w:pPr>
        <w:pStyle w:val="856"/>
        <w:ind w:firstLine="964"/>
        <w:rPr>
          <w:rFonts w:ascii="宋体" w:hAnsi="宋体"/>
          <w:b/>
          <w:color w:val="000000"/>
          <w:sz w:val="32"/>
          <w:szCs w:val="32"/>
          <w:highlight w:val="none"/>
        </w:rPr>
      </w:pPr>
      <w:r>
        <w:rPr>
          <w:rFonts w:ascii="宋体" w:hAnsi="宋体"/>
          <w:b/>
          <w:color w:val="000000"/>
          <w:sz w:val="32"/>
          <w:szCs w:val="32"/>
          <w:highlight w:val="none"/>
        </w:rPr>
      </w:r>
      <w:r/>
    </w:p>
    <w:p>
      <w:pPr>
        <w:pStyle w:val="856"/>
        <w:ind w:firstLine="964"/>
        <w:rPr>
          <w:rFonts w:ascii="宋体" w:hAnsi="宋体"/>
          <w:b/>
          <w:color w:val="000000"/>
          <w:sz w:val="32"/>
          <w:szCs w:val="32"/>
          <w:highlight w:val="none"/>
        </w:rPr>
      </w:pPr>
      <w:r>
        <w:rPr>
          <w:rFonts w:hint="eastAsia" w:ascii="宋体" w:hAnsi="宋体"/>
          <w:b/>
          <w:color w:val="000000"/>
          <w:sz w:val="32"/>
          <w:szCs w:val="32"/>
          <w:highlight w:val="none"/>
        </w:rPr>
        <w:t xml:space="preserve">投标人名称：</w:t>
      </w:r>
      <w:r>
        <w:rPr>
          <w:rFonts w:ascii="宋体" w:hAnsi="宋体"/>
          <w:b/>
          <w:color w:val="000000"/>
          <w:sz w:val="32"/>
          <w:szCs w:val="32"/>
          <w:highlight w:val="none"/>
        </w:rPr>
      </w:r>
      <w:r/>
    </w:p>
    <w:p>
      <w:pPr>
        <w:pStyle w:val="856"/>
        <w:ind w:firstLine="964"/>
        <w:rPr>
          <w:rFonts w:ascii="宋体" w:hAnsi="宋体"/>
          <w:b/>
          <w:color w:val="000000"/>
          <w:sz w:val="32"/>
          <w:szCs w:val="32"/>
          <w:highlight w:val="none"/>
        </w:rPr>
      </w:pPr>
      <w:r>
        <w:rPr>
          <w:rFonts w:hint="eastAsia" w:ascii="宋体" w:hAnsi="宋体"/>
          <w:b/>
          <w:color w:val="000000"/>
          <w:sz w:val="32"/>
          <w:szCs w:val="32"/>
          <w:highlight w:val="none"/>
        </w:rPr>
        <w:t xml:space="preserve">投标人地址： </w:t>
      </w:r>
      <w:r>
        <w:rPr>
          <w:rFonts w:ascii="宋体" w:hAnsi="宋体"/>
          <w:b/>
          <w:color w:val="000000"/>
          <w:sz w:val="32"/>
          <w:szCs w:val="32"/>
          <w:highlight w:val="none"/>
        </w:rPr>
      </w:r>
      <w:r/>
    </w:p>
    <w:p>
      <w:pPr>
        <w:pStyle w:val="856"/>
        <w:ind w:firstLine="964"/>
        <w:rPr>
          <w:rFonts w:ascii="宋体" w:hAnsi="宋体"/>
          <w:b/>
          <w:color w:val="000000"/>
          <w:sz w:val="32"/>
          <w:szCs w:val="32"/>
          <w:highlight w:val="none"/>
        </w:rPr>
      </w:pPr>
      <w:r>
        <w:rPr>
          <w:rFonts w:hint="eastAsia" w:ascii="宋体" w:hAnsi="宋体"/>
          <w:b/>
          <w:color w:val="000000"/>
          <w:sz w:val="32"/>
          <w:szCs w:val="32"/>
          <w:highlight w:val="none"/>
        </w:rPr>
        <w:t xml:space="preserve">法定代表人：</w:t>
      </w:r>
      <w:r>
        <w:rPr>
          <w:rFonts w:ascii="宋体" w:hAnsi="宋体"/>
          <w:b/>
          <w:color w:val="000000"/>
          <w:sz w:val="32"/>
          <w:szCs w:val="32"/>
          <w:highlight w:val="none"/>
        </w:rPr>
      </w:r>
      <w:r/>
    </w:p>
    <w:p>
      <w:pPr>
        <w:pStyle w:val="856"/>
        <w:ind w:firstLine="964"/>
        <w:rPr>
          <w:rFonts w:ascii="宋体" w:hAnsi="宋体"/>
          <w:b/>
          <w:color w:val="000000"/>
          <w:sz w:val="32"/>
          <w:szCs w:val="32"/>
          <w:highlight w:val="none"/>
        </w:rPr>
      </w:pPr>
      <w:r>
        <w:rPr>
          <w:rFonts w:hint="eastAsia" w:ascii="宋体" w:hAnsi="宋体"/>
          <w:b/>
          <w:color w:val="000000"/>
          <w:sz w:val="32"/>
          <w:szCs w:val="32"/>
          <w:highlight w:val="none"/>
        </w:rPr>
        <w:t xml:space="preserve">委托代理人：（委托代理时填写）              </w:t>
      </w:r>
      <w:r>
        <w:rPr>
          <w:rFonts w:ascii="宋体" w:hAnsi="宋体"/>
          <w:b/>
          <w:color w:val="000000"/>
          <w:sz w:val="32"/>
          <w:szCs w:val="32"/>
          <w:highlight w:val="none"/>
        </w:rPr>
      </w:r>
      <w:r/>
    </w:p>
    <w:p>
      <w:pPr>
        <w:pStyle w:val="856"/>
        <w:rPr>
          <w:rFonts w:ascii="宋体" w:hAnsi="宋体"/>
          <w:b/>
          <w:color w:val="000000"/>
          <w:sz w:val="24"/>
          <w:szCs w:val="24"/>
          <w:highlight w:val="none"/>
        </w:rPr>
      </w:pPr>
      <w:r>
        <w:rPr>
          <w:rFonts w:hint="eastAsia" w:ascii="宋体" w:hAnsi="宋体"/>
          <w:b/>
          <w:color w:val="000000"/>
          <w:sz w:val="32"/>
          <w:szCs w:val="32"/>
          <w:highlight w:val="none"/>
        </w:rPr>
        <w:t xml:space="preserve">      日      期：</w:t>
      </w:r>
      <w:r>
        <w:rPr>
          <w:rFonts w:ascii="宋体" w:hAnsi="宋体"/>
          <w:b/>
          <w:color w:val="000000"/>
          <w:sz w:val="24"/>
          <w:szCs w:val="24"/>
          <w:highlight w:val="none"/>
        </w:rPr>
        <w:t xml:space="preserve"> </w:t>
      </w:r>
      <w:r>
        <w:rPr>
          <w:rFonts w:ascii="宋体" w:hAnsi="宋体"/>
          <w:b/>
          <w:color w:val="000000"/>
          <w:sz w:val="24"/>
          <w:szCs w:val="24"/>
          <w:highlight w:val="none"/>
        </w:rPr>
      </w:r>
      <w:r/>
    </w:p>
    <w:p>
      <w:pPr>
        <w:pStyle w:val="856"/>
        <w:keepLines/>
        <w:keepNext/>
        <w:rPr>
          <w:rFonts w:ascii="Arial" w:hAnsi="Arial" w:eastAsia="黑体"/>
          <w:b/>
          <w:bCs/>
          <w:color w:val="000000"/>
          <w:sz w:val="32"/>
          <w:szCs w:val="32"/>
          <w:highlight w:val="none"/>
        </w:rPr>
        <w:outlineLvl w:val="1"/>
      </w:pPr>
      <w:r>
        <w:rPr>
          <w:rFonts w:ascii="Arial" w:hAnsi="Arial" w:eastAsia="黑体"/>
          <w:b/>
          <w:bCs/>
          <w:color w:val="000000"/>
          <w:sz w:val="32"/>
          <w:szCs w:val="32"/>
          <w:highlight w:val="none"/>
        </w:rPr>
        <w:br w:type="page" w:clear="all"/>
      </w:r>
      <w:r>
        <w:rPr>
          <w:rFonts w:ascii="Arial" w:hAnsi="Arial" w:eastAsia="黑体"/>
          <w:b/>
          <w:bCs/>
          <w:color w:val="000000"/>
          <w:sz w:val="24"/>
          <w:szCs w:val="32"/>
          <w:highlight w:val="none"/>
        </w:rPr>
        <w:t xml:space="preserve">格式</w:t>
      </w:r>
      <w:r>
        <w:rPr>
          <w:rFonts w:hint="eastAsia" w:ascii="Arial" w:hAnsi="Arial" w:eastAsia="黑体"/>
          <w:b/>
          <w:bCs/>
          <w:color w:val="000000"/>
          <w:sz w:val="24"/>
          <w:szCs w:val="32"/>
          <w:highlight w:val="none"/>
        </w:rPr>
        <w:t xml:space="preserve">1、响应函</w:t>
      </w:r>
      <w:r>
        <w:rPr>
          <w:rFonts w:ascii="Arial" w:hAnsi="Arial" w:eastAsia="黑体"/>
          <w:b/>
          <w:bCs/>
          <w:color w:val="000000"/>
          <w:sz w:val="32"/>
          <w:szCs w:val="32"/>
          <w:highlight w:val="none"/>
        </w:rPr>
      </w:r>
      <w:r/>
    </w:p>
    <w:p>
      <w:pPr>
        <w:pStyle w:val="856"/>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响 应 函</w:t>
      </w:r>
      <w:r>
        <w:rPr>
          <w:rFonts w:ascii="黑体" w:hAnsi="黑体" w:eastAsia="黑体" w:cs="宋体"/>
          <w:bCs/>
          <w:color w:val="000000"/>
          <w:sz w:val="36"/>
          <w:szCs w:val="28"/>
          <w:highlight w:val="none"/>
        </w:rPr>
      </w:r>
      <w:r/>
    </w:p>
    <w:p>
      <w:pPr>
        <w:pStyle w:val="85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致：连云港市市政公用事业发展中心</w:t>
      </w:r>
      <w:r>
        <w:rPr>
          <w:rFonts w:hint="eastAsia"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根据贵方</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标段（标段编号：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）采购文件，正式授权下述签字人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全权代表</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参加贵方组织的采购活动，按照采购文件要求提交响应文件。</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据此函，签字人兹宣布同意如下：</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1.按采购文件项目需求提交响应报价，报价、交货期等详见开标一览表。</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2.我方同意在本标段采购文件中规定的响应文件递交截止之日起60天内遵守本响应文件中的承诺且在此期限期满之前均具有约束力。</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3.我方承诺已经具备《中华人民共和国政府采购法》中规定的参加政府采购活动的</w:t>
      </w: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应当具备的条件：</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(1)具有独立承担民事责任的能力；</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(2)具有良好的商业信誉和健全的财务会计制度；</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(3)具有履行合同所必需的设备和专业技术能力；</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(4)有依法缴纳税收和社会保障资金的良好记录；</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(5)参加此项采购活动前三年内，在经营活动中没有重大违法记录。</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4.我方根据采购文件的规定，承担完成合同的责任和义务。</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5.我方已详细审核采购文件，我方知道必须放弃提出含糊不清或误解问题的权利。</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6.如果在响应文件有效期内撤回或者有其他违约行为，我方的保证金可被贵方全部或部分没收。</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7.同意应贵方要求提供与本次采购活动有关的任何数据或资料。</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8.我方完全理解，最低报价不是中标（成交）的唯一条件。</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9.若贵方需要，我方愿意提供我方作出的一切承诺的证明材料。</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10.我方将严格遵守《中华人民共和国政府采购法》第七十七条规定，</w:t>
      </w: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(1)提供虚假材料谋取中标、成交的；</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(2)采取不正当手段诋毁、排挤其他</w:t>
      </w: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的；</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(3)与采购人、其他</w:t>
      </w: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或者采购代理机构恶意串通的；</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(4)向采购人、采购代理机构行贿或者提供其他不正当利益的；</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(5)在招标采购过程中与采购人进行协商谈判的；</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(6)拒绝有关部门监督检查或提供虚假情况的。</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 </w:t>
      </w:r>
      <w:r>
        <w:rPr>
          <w:rFonts w:ascii="宋体" w:hAnsi="宋体"/>
          <w:color w:val="000000"/>
          <w:sz w:val="24"/>
          <w:szCs w:val="24"/>
          <w:highlight w:val="none"/>
        </w:rPr>
      </w:r>
      <w:r/>
    </w:p>
    <w:p>
      <w:pPr>
        <w:pStyle w:val="856"/>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法定代表人或其委托代理人签字（或盖章）： </w:t>
      </w:r>
      <w:r>
        <w:rPr>
          <w:rFonts w:hint="eastAsia" w:ascii="宋体" w:hAnsi="宋体" w:eastAsia="宋体"/>
          <w:color w:val="000000"/>
          <w:sz w:val="24"/>
          <w:szCs w:val="24"/>
          <w:highlight w:val="none"/>
          <w:lang w:eastAsia="zh-CN"/>
        </w:rPr>
      </w:r>
      <w:r/>
    </w:p>
    <w:p>
      <w:pPr>
        <w:pStyle w:val="856"/>
        <w:ind w:firstLine="480"/>
        <w:jc w:val="left"/>
        <w:spacing w:line="360" w:lineRule="auto"/>
        <w:rPr>
          <w:rFonts w:ascii="宋体" w:hAnsi="宋体"/>
          <w:color w:val="000000"/>
          <w:sz w:val="24"/>
          <w:szCs w:val="24"/>
          <w:highlight w:val="none"/>
        </w:rPr>
      </w:pP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公章： </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856"/>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 </w:t>
      </w:r>
      <w:r>
        <w:rPr>
          <w:rFonts w:ascii="宋体" w:hAnsi="宋体"/>
          <w:color w:val="000000"/>
          <w:sz w:val="24"/>
          <w:szCs w:val="24"/>
          <w:highlight w:val="none"/>
        </w:rPr>
      </w:r>
      <w:r/>
    </w:p>
    <w:p>
      <w:pPr>
        <w:pStyle w:val="856"/>
        <w:ind w:firstLine="480"/>
        <w:jc w:val="left"/>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注：未按照本响应函的格式要求填写的，将造成非实质响应，从而导致该</w:t>
      </w: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响应无效。</w:t>
      </w:r>
      <w:bookmarkStart w:id="12" w:name="_Toc91256336"/>
      <w:r/>
      <w:bookmarkStart w:id="13" w:name="_Toc91183848"/>
      <w:r>
        <w:rPr>
          <w:rFonts w:ascii="宋体" w:hAnsi="宋体"/>
          <w:bCs/>
          <w:color w:val="000000"/>
          <w:sz w:val="24"/>
          <w:szCs w:val="24"/>
          <w:highlight w:val="none"/>
        </w:rPr>
      </w:r>
      <w:r/>
    </w:p>
    <w:p>
      <w:pPr>
        <w:pStyle w:val="856"/>
        <w:keepLines/>
        <w:keepNext/>
        <w:rPr>
          <w:rFonts w:ascii="Arial" w:hAnsi="Arial" w:eastAsia="黑体"/>
          <w:b/>
          <w:bCs/>
          <w:color w:val="000000"/>
          <w:sz w:val="32"/>
          <w:szCs w:val="32"/>
          <w:highlight w:val="none"/>
        </w:rPr>
        <w:outlineLvl w:val="1"/>
      </w:pPr>
      <w:r>
        <w:rPr>
          <w:rFonts w:ascii="Arial" w:hAnsi="Arial" w:eastAsia="黑体"/>
          <w:b/>
          <w:bCs/>
          <w:color w:val="000000"/>
          <w:sz w:val="32"/>
          <w:szCs w:val="32"/>
          <w:highlight w:val="none"/>
        </w:rPr>
        <w:br w:type="page" w:clear="all"/>
      </w:r>
      <w:r>
        <w:rPr>
          <w:rFonts w:ascii="Arial" w:hAnsi="Arial" w:eastAsia="黑体"/>
          <w:b/>
          <w:bCs/>
          <w:color w:val="000000"/>
          <w:sz w:val="24"/>
          <w:szCs w:val="32"/>
          <w:highlight w:val="none"/>
        </w:rPr>
        <w:t xml:space="preserve">格式</w:t>
      </w:r>
      <w:r>
        <w:rPr>
          <w:rFonts w:hint="eastAsia" w:ascii="Arial" w:hAnsi="Arial" w:eastAsia="黑体"/>
          <w:b/>
          <w:bCs/>
          <w:color w:val="000000"/>
          <w:sz w:val="24"/>
          <w:szCs w:val="32"/>
          <w:highlight w:val="none"/>
        </w:rPr>
        <w:t xml:space="preserve">2、开标一览表</w:t>
      </w:r>
      <w:r>
        <w:rPr>
          <w:rFonts w:ascii="Arial" w:hAnsi="Arial" w:eastAsia="黑体"/>
          <w:b/>
          <w:bCs/>
          <w:color w:val="000000"/>
          <w:sz w:val="32"/>
          <w:szCs w:val="32"/>
          <w:highlight w:val="none"/>
        </w:rPr>
      </w:r>
      <w:r/>
    </w:p>
    <w:p>
      <w:pPr>
        <w:pStyle w:val="856"/>
        <w:jc w:val="center"/>
        <w:rPr>
          <w:rFonts w:ascii="宋体" w:hAnsi="宋体"/>
          <w:bCs/>
          <w:color w:val="000000"/>
          <w:sz w:val="24"/>
          <w:szCs w:val="24"/>
          <w:highlight w:val="none"/>
        </w:rPr>
      </w:pPr>
      <w:r>
        <w:rPr>
          <w:rFonts w:ascii="黑体" w:hAnsi="黑体" w:eastAsia="黑体" w:cs="宋体"/>
          <w:bCs/>
          <w:color w:val="000000"/>
          <w:sz w:val="36"/>
          <w:szCs w:val="28"/>
          <w:highlight w:val="none"/>
        </w:rPr>
        <w:t xml:space="preserve">开标一览表</w:t>
      </w:r>
      <w:r>
        <w:rPr>
          <w:rFonts w:ascii="宋体" w:hAnsi="宋体"/>
          <w:bCs/>
          <w:color w:val="000000"/>
          <w:sz w:val="24"/>
          <w:szCs w:val="24"/>
          <w:highlight w:val="none"/>
        </w:rPr>
      </w:r>
      <w:r/>
    </w:p>
    <w:p>
      <w:pPr>
        <w:pStyle w:val="856"/>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标段编号：</w:t>
      </w:r>
      <w:r>
        <w:rPr>
          <w:rFonts w:ascii="宋体" w:hAnsi="宋体"/>
          <w:bCs/>
          <w:color w:val="000000"/>
          <w:sz w:val="24"/>
          <w:szCs w:val="24"/>
          <w:highlight w:val="none"/>
        </w:rPr>
      </w:r>
      <w:r/>
    </w:p>
    <w:p>
      <w:pPr>
        <w:pStyle w:val="856"/>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标段名称：连云港市区污水设施委托运行维护项目 </w:t>
      </w:r>
      <w:r>
        <w:rPr>
          <w:rFonts w:hint="eastAsia" w:ascii="宋体" w:hAnsi="宋体"/>
          <w:bCs/>
          <w:color w:val="000000"/>
          <w:sz w:val="24"/>
          <w:szCs w:val="24"/>
          <w:highlight w:val="none"/>
        </w:rPr>
      </w:r>
      <w:r/>
    </w:p>
    <w:p>
      <w:pPr>
        <w:pStyle w:val="856"/>
        <w:jc w:val="left"/>
        <w:rPr>
          <w:rFonts w:ascii="MS Mincho"/>
          <w:color w:val="000000"/>
          <w:sz w:val="24"/>
          <w:szCs w:val="24"/>
          <w:highlight w:val="none"/>
        </w:rPr>
      </w:pPr>
      <w:r>
        <w:rPr>
          <w:rFonts w:ascii="MS Mincho"/>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trHeight w:val="1310"/>
        </w:trPr>
        <w:tc>
          <w:tcPr>
            <w:tcW w:w="3653" w:type="dxa"/>
            <w:vAlign w:val="center"/>
            <w:textDirection w:val="lrTb"/>
            <w:noWrap w:val="false"/>
          </w:tcPr>
          <w:p>
            <w:pPr>
              <w:pStyle w:val="856"/>
              <w:jc w:val="center"/>
              <w:rPr>
                <w:rFonts w:ascii="宋体" w:hAnsi="宋体"/>
                <w:bCs/>
                <w:color w:val="000000"/>
                <w:sz w:val="28"/>
                <w:szCs w:val="28"/>
                <w:highlight w:val="none"/>
              </w:rPr>
            </w:pPr>
            <w:r>
              <w:rPr>
                <w:rFonts w:ascii="宋体" w:hAnsi="宋体"/>
                <w:bCs/>
                <w:color w:val="000000"/>
                <w:sz w:val="28"/>
                <w:szCs w:val="28"/>
                <w:highlight w:val="none"/>
              </w:rPr>
              <w:t xml:space="preserve">标题</w:t>
            </w:r>
            <w:r>
              <w:rPr>
                <w:rFonts w:ascii="宋体" w:hAnsi="宋体"/>
                <w:bCs/>
                <w:color w:val="000000"/>
                <w:sz w:val="28"/>
                <w:szCs w:val="28"/>
                <w:highlight w:val="none"/>
              </w:rPr>
            </w:r>
            <w:r/>
          </w:p>
        </w:tc>
        <w:tc>
          <w:tcPr>
            <w:tcW w:w="3651" w:type="dxa"/>
            <w:vAlign w:val="center"/>
            <w:textDirection w:val="lrTb"/>
            <w:noWrap w:val="false"/>
          </w:tcPr>
          <w:p>
            <w:pPr>
              <w:pStyle w:val="856"/>
              <w:jc w:val="center"/>
              <w:rPr>
                <w:rFonts w:ascii="宋体" w:hAnsi="宋体"/>
                <w:color w:val="000000"/>
                <w:sz w:val="28"/>
                <w:szCs w:val="28"/>
                <w:highlight w:val="none"/>
              </w:rPr>
            </w:pPr>
            <w:r>
              <w:rPr>
                <w:rFonts w:ascii="宋体" w:hAnsi="宋体"/>
                <w:color w:val="000000"/>
                <w:sz w:val="28"/>
                <w:szCs w:val="28"/>
                <w:highlight w:val="none"/>
              </w:rPr>
              <w:t xml:space="preserve">内容</w:t>
            </w:r>
            <w:r>
              <w:rPr>
                <w:rFonts w:ascii="宋体" w:hAnsi="宋体"/>
                <w:color w:val="000000"/>
                <w:sz w:val="28"/>
                <w:szCs w:val="28"/>
                <w:highlight w:val="none"/>
              </w:rPr>
            </w:r>
            <w:r/>
          </w:p>
        </w:tc>
      </w:tr>
      <w:tr>
        <w:trPr>
          <w:cantSplit/>
          <w:trHeight w:val="1310"/>
        </w:trPr>
        <w:tc>
          <w:tcPr>
            <w:tcW w:w="3653" w:type="dxa"/>
            <w:vAlign w:val="center"/>
            <w:textDirection w:val="lrTb"/>
            <w:noWrap w:val="false"/>
          </w:tcPr>
          <w:p>
            <w:pPr>
              <w:pStyle w:val="856"/>
              <w:jc w:val="center"/>
              <w:rPr>
                <w:rFonts w:ascii="宋体" w:hAnsi="宋体"/>
                <w:bCs/>
                <w:color w:val="000000"/>
                <w:sz w:val="28"/>
                <w:szCs w:val="28"/>
                <w:highlight w:val="none"/>
              </w:rPr>
            </w:pPr>
            <w:r>
              <w:rPr>
                <w:rFonts w:ascii="宋体" w:hAnsi="宋体"/>
                <w:bCs/>
                <w:color w:val="000000"/>
                <w:sz w:val="28"/>
                <w:szCs w:val="28"/>
                <w:highlight w:val="none"/>
              </w:rPr>
              <w:t xml:space="preserve">投标报价</w:t>
            </w:r>
            <w:r>
              <w:rPr>
                <w:rFonts w:ascii="宋体" w:hAnsi="宋体"/>
                <w:bCs/>
                <w:color w:val="000000"/>
                <w:sz w:val="28"/>
                <w:szCs w:val="28"/>
                <w:highlight w:val="none"/>
              </w:rPr>
            </w:r>
            <w:r/>
          </w:p>
        </w:tc>
        <w:tc>
          <w:tcPr>
            <w:tcW w:w="3651" w:type="dxa"/>
            <w:vAlign w:val="center"/>
            <w:textDirection w:val="lrTb"/>
            <w:noWrap w:val="false"/>
          </w:tcPr>
          <w:p>
            <w:pPr>
              <w:pStyle w:val="856"/>
              <w:jc w:val="center"/>
              <w:rPr>
                <w:rFonts w:ascii="宋体" w:hAnsi="宋体"/>
                <w:color w:val="000000"/>
                <w:sz w:val="28"/>
                <w:szCs w:val="28"/>
                <w:highlight w:val="none"/>
              </w:rPr>
            </w:pPr>
            <w:r>
              <w:rPr>
                <w:rFonts w:ascii="宋体" w:hAnsi="宋体"/>
                <w:color w:val="000000"/>
                <w:sz w:val="28"/>
                <w:szCs w:val="28"/>
                <w:highlight w:val="none"/>
              </w:rPr>
            </w:r>
            <w:r/>
          </w:p>
        </w:tc>
      </w:tr>
      <w:tr>
        <w:trPr>
          <w:cantSplit/>
          <w:trHeight w:val="1310"/>
        </w:trPr>
        <w:tc>
          <w:tcPr>
            <w:tcW w:w="3653" w:type="dxa"/>
            <w:vAlign w:val="center"/>
            <w:textDirection w:val="lrTb"/>
            <w:noWrap w:val="false"/>
          </w:tcPr>
          <w:p>
            <w:pPr>
              <w:pStyle w:val="856"/>
              <w:jc w:val="center"/>
              <w:rPr>
                <w:rFonts w:ascii="宋体" w:hAnsi="宋体"/>
                <w:bCs/>
                <w:color w:val="000000"/>
                <w:sz w:val="28"/>
                <w:szCs w:val="28"/>
                <w:highlight w:val="none"/>
              </w:rPr>
            </w:pPr>
            <w:r>
              <w:rPr>
                <w:rFonts w:ascii="宋体" w:hAnsi="宋体"/>
                <w:bCs/>
                <w:color w:val="000000"/>
                <w:sz w:val="28"/>
                <w:szCs w:val="28"/>
                <w:highlight w:val="none"/>
              </w:rPr>
              <w:t xml:space="preserve">服务期限</w:t>
            </w:r>
            <w:r>
              <w:rPr>
                <w:rFonts w:ascii="宋体" w:hAnsi="宋体"/>
                <w:bCs/>
                <w:color w:val="000000"/>
                <w:sz w:val="28"/>
                <w:szCs w:val="28"/>
                <w:highlight w:val="none"/>
              </w:rPr>
            </w:r>
            <w:r/>
          </w:p>
        </w:tc>
        <w:tc>
          <w:tcPr>
            <w:tcW w:w="3651" w:type="dxa"/>
            <w:vAlign w:val="center"/>
            <w:textDirection w:val="lrTb"/>
            <w:noWrap w:val="false"/>
          </w:tcPr>
          <w:p>
            <w:pPr>
              <w:pStyle w:val="856"/>
              <w:jc w:val="center"/>
              <w:rPr>
                <w:rFonts w:ascii="宋体" w:hAnsi="宋体"/>
                <w:color w:val="000000"/>
                <w:sz w:val="28"/>
                <w:szCs w:val="28"/>
                <w:highlight w:val="none"/>
              </w:rPr>
            </w:pPr>
            <w:r>
              <w:rPr>
                <w:rFonts w:ascii="宋体" w:hAnsi="宋体"/>
                <w:color w:val="000000"/>
                <w:sz w:val="28"/>
                <w:szCs w:val="28"/>
                <w:highlight w:val="none"/>
              </w:rPr>
            </w:r>
            <w:r/>
          </w:p>
        </w:tc>
      </w:tr>
    </w:tbl>
    <w:p>
      <w:pPr>
        <w:pStyle w:val="856"/>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856"/>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856"/>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投标人（盖章）：</w:t>
      </w:r>
      <w:r>
        <w:rPr>
          <w:rFonts w:ascii="宋体" w:hAnsi="宋体"/>
          <w:bCs/>
          <w:color w:val="000000"/>
          <w:sz w:val="24"/>
          <w:szCs w:val="24"/>
          <w:highlight w:val="none"/>
        </w:rPr>
      </w:r>
      <w:r/>
    </w:p>
    <w:p>
      <w:pPr>
        <w:pStyle w:val="856"/>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法定代表人或委托代理人（签字或盖章）：</w:t>
      </w:r>
      <w:r>
        <w:rPr>
          <w:rFonts w:ascii="宋体" w:hAnsi="宋体"/>
          <w:bCs/>
          <w:color w:val="000000"/>
          <w:sz w:val="24"/>
          <w:szCs w:val="24"/>
          <w:highlight w:val="none"/>
        </w:rPr>
      </w:r>
      <w:r/>
    </w:p>
    <w:p>
      <w:pPr>
        <w:pStyle w:val="85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日期：    年     月     日</w:t>
      </w:r>
      <w:r>
        <w:rPr>
          <w:rFonts w:ascii="宋体" w:hAnsi="宋体"/>
          <w:bCs/>
          <w:color w:val="000000"/>
          <w:sz w:val="24"/>
          <w:szCs w:val="24"/>
          <w:highlight w:val="none"/>
        </w:rPr>
      </w:r>
      <w:r/>
    </w:p>
    <w:p>
      <w:pPr>
        <w:pStyle w:val="856"/>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856"/>
        <w:keepLines/>
        <w:keepNext/>
        <w:rPr>
          <w:rFonts w:ascii="宋体" w:hAnsi="宋体" w:eastAsia="黑体"/>
          <w:bCs/>
          <w:color w:val="000000"/>
          <w:sz w:val="32"/>
          <w:szCs w:val="21"/>
          <w:highlight w:val="none"/>
        </w:rPr>
        <w:outlineLvl w:val="1"/>
      </w:pPr>
      <w:r>
        <w:rPr>
          <w:rFonts w:ascii="宋体" w:hAnsi="宋体" w:eastAsia="黑体"/>
          <w:b/>
          <w:color w:val="000000"/>
          <w:sz w:val="24"/>
          <w:szCs w:val="32"/>
          <w:highlight w:val="none"/>
        </w:rPr>
        <w:br w:type="page" w:clear="all"/>
      </w:r>
      <w:r>
        <w:rPr>
          <w:rFonts w:ascii="Arial" w:hAnsi="Arial" w:eastAsia="黑体"/>
          <w:b/>
          <w:bCs/>
          <w:color w:val="000000"/>
          <w:sz w:val="24"/>
          <w:szCs w:val="32"/>
          <w:highlight w:val="none"/>
        </w:rPr>
        <w:t xml:space="preserve">格式</w:t>
      </w:r>
      <w:r>
        <w:rPr>
          <w:rFonts w:hint="eastAsia" w:ascii="Arial" w:hAnsi="Arial" w:eastAsia="黑体"/>
          <w:b/>
          <w:bCs/>
          <w:color w:val="000000"/>
          <w:sz w:val="24"/>
          <w:szCs w:val="32"/>
          <w:highlight w:val="none"/>
        </w:rPr>
        <w:t xml:space="preserve">3、详细报价书</w:t>
      </w:r>
      <w:r>
        <w:rPr>
          <w:rFonts w:ascii="宋体" w:hAnsi="宋体" w:eastAsia="黑体"/>
          <w:bCs/>
          <w:color w:val="000000"/>
          <w:sz w:val="32"/>
          <w:szCs w:val="21"/>
          <w:highlight w:val="none"/>
        </w:rPr>
      </w:r>
      <w:r/>
    </w:p>
    <w:p>
      <w:pPr>
        <w:pStyle w:val="856"/>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详细报价书</w:t>
      </w:r>
      <w:r>
        <w:rPr>
          <w:rFonts w:ascii="黑体" w:hAnsi="黑体" w:eastAsia="黑体" w:cs="宋体"/>
          <w:bCs/>
          <w:color w:val="000000"/>
          <w:sz w:val="36"/>
          <w:szCs w:val="28"/>
          <w:highlight w:val="none"/>
        </w:rPr>
      </w:r>
      <w:r/>
    </w:p>
    <w:p>
      <w:pPr>
        <w:pStyle w:val="856"/>
        <w:jc w:val="center"/>
        <w:spacing w:line="400" w:lineRule="exact"/>
        <w:rPr>
          <w:rFonts w:hint="eastAsia" w:ascii="宋体" w:hAnsi="宋体" w:eastAsia="宋体" w:cs="Times New Roman"/>
          <w:color w:val="000000"/>
          <w:sz w:val="28"/>
          <w:szCs w:val="24"/>
          <w:highlight w:val="none"/>
        </w:rPr>
      </w:pPr>
      <w:r>
        <w:rPr>
          <w:rFonts w:hint="eastAsia" w:ascii="宋体" w:hAnsi="宋体" w:eastAsia="宋体" w:cs="Times New Roman"/>
          <w:color w:val="000000"/>
          <w:sz w:val="28"/>
          <w:szCs w:val="24"/>
          <w:highlight w:val="none"/>
        </w:rPr>
        <w:t xml:space="preserve">（根据招标文件</w:t>
      </w:r>
      <w:r>
        <w:rPr>
          <w:rFonts w:hint="eastAsia" w:ascii="宋体" w:hAnsi="宋体" w:eastAsia="宋体" w:cs="Times New Roman"/>
          <w:color w:val="000000"/>
          <w:sz w:val="28"/>
          <w:szCs w:val="24"/>
          <w:highlight w:val="none"/>
          <w:lang w:val="en-US" w:eastAsia="zh-CN"/>
        </w:rPr>
        <w:t xml:space="preserve">项目需求</w:t>
      </w:r>
      <w:r>
        <w:rPr>
          <w:rFonts w:hint="eastAsia" w:ascii="宋体" w:hAnsi="宋体" w:eastAsia="宋体" w:cs="Times New Roman"/>
          <w:color w:val="000000"/>
          <w:sz w:val="28"/>
          <w:szCs w:val="24"/>
          <w:highlight w:val="none"/>
        </w:rPr>
        <w:t xml:space="preserve">服务内容</w:t>
      </w:r>
      <w:r>
        <w:rPr>
          <w:rFonts w:hint="eastAsia" w:ascii="宋体" w:hAnsi="宋体" w:eastAsia="宋体" w:cs="Times New Roman"/>
          <w:color w:val="000000"/>
          <w:sz w:val="28"/>
          <w:szCs w:val="24"/>
          <w:highlight w:val="none"/>
          <w:lang w:val="en-US" w:eastAsia="zh-CN"/>
        </w:rPr>
        <w:t xml:space="preserve">清单分项报价及总价</w:t>
      </w:r>
      <w:r>
        <w:rPr>
          <w:rFonts w:hint="eastAsia" w:ascii="宋体" w:hAnsi="宋体" w:eastAsia="宋体" w:cs="Times New Roman"/>
          <w:color w:val="000000"/>
          <w:sz w:val="28"/>
          <w:szCs w:val="24"/>
          <w:highlight w:val="none"/>
        </w:rPr>
        <w:t xml:space="preserve">，格式自定）</w:t>
      </w:r>
      <w:r>
        <w:rPr>
          <w:rFonts w:hint="eastAsia" w:ascii="宋体" w:hAnsi="宋体" w:eastAsia="宋体" w:cs="Times New Roman"/>
          <w:color w:val="000000"/>
          <w:sz w:val="28"/>
          <w:szCs w:val="24"/>
          <w:highlight w:val="none"/>
        </w:rPr>
      </w:r>
      <w:r/>
    </w:p>
    <w:p>
      <w:pPr>
        <w:pStyle w:val="856"/>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ind w:firstLine="480"/>
        <w:jc w:val="left"/>
        <w:spacing w:line="360" w:lineRule="auto"/>
        <w:rPr>
          <w:rFonts w:ascii="宋体" w:hAnsi="宋体"/>
          <w:bCs/>
          <w:color w:val="000000"/>
          <w:sz w:val="24"/>
          <w:szCs w:val="24"/>
          <w:highlight w:val="none"/>
        </w:rPr>
      </w:pPr>
      <w:r/>
      <w:bookmarkEnd w:id="12"/>
      <w:r/>
      <w:bookmarkEnd w:id="13"/>
      <w:r>
        <w:rPr>
          <w:rFonts w:hint="eastAsia" w:ascii="宋体" w:hAnsi="宋体"/>
          <w:bCs/>
          <w:color w:val="000000"/>
          <w:sz w:val="24"/>
          <w:szCs w:val="24"/>
          <w:highlight w:val="none"/>
        </w:rPr>
        <w:t xml:space="preserve">投标人（盖章）：</w:t>
      </w:r>
      <w:r>
        <w:rPr>
          <w:rFonts w:ascii="宋体" w:hAnsi="宋体"/>
          <w:bCs/>
          <w:color w:val="000000"/>
          <w:sz w:val="24"/>
          <w:szCs w:val="24"/>
          <w:highlight w:val="none"/>
        </w:rPr>
      </w:r>
      <w:r/>
    </w:p>
    <w:p>
      <w:pPr>
        <w:pStyle w:val="856"/>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法定代表人或委托代理人（签字或盖章）：</w:t>
      </w:r>
      <w:r>
        <w:rPr>
          <w:rFonts w:ascii="宋体" w:hAnsi="宋体"/>
          <w:bCs/>
          <w:color w:val="000000"/>
          <w:sz w:val="24"/>
          <w:szCs w:val="24"/>
          <w:highlight w:val="none"/>
        </w:rPr>
      </w:r>
      <w:r/>
    </w:p>
    <w:p>
      <w:pPr>
        <w:pStyle w:val="85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日期：    年     月     日</w:t>
      </w:r>
      <w:r>
        <w:rPr>
          <w:rFonts w:ascii="宋体" w:hAnsi="宋体"/>
          <w:bCs/>
          <w:color w:val="000000"/>
          <w:sz w:val="24"/>
          <w:szCs w:val="24"/>
          <w:highlight w:val="none"/>
        </w:rPr>
      </w:r>
      <w:r/>
    </w:p>
    <w:p>
      <w:pPr>
        <w:pStyle w:val="856"/>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856"/>
        <w:keepLines/>
        <w:keepNext/>
        <w:rPr>
          <w:rFonts w:ascii="Arial" w:hAnsi="Arial" w:eastAsia="黑体"/>
          <w:b/>
          <w:bCs/>
          <w:color w:val="000000"/>
          <w:sz w:val="32"/>
          <w:szCs w:val="32"/>
          <w:highlight w:val="none"/>
        </w:rPr>
        <w:outlineLvl w:val="1"/>
      </w:pPr>
      <w:r>
        <w:rPr>
          <w:rFonts w:ascii="Arial" w:hAnsi="Arial" w:eastAsia="黑体"/>
          <w:b/>
          <w:bCs/>
          <w:color w:val="000000"/>
          <w:sz w:val="24"/>
          <w:szCs w:val="32"/>
          <w:highlight w:val="none"/>
        </w:rPr>
        <w:br w:type="page" w:clear="all"/>
      </w:r>
      <w:r>
        <w:rPr>
          <w:rFonts w:ascii="Arial" w:hAnsi="Arial" w:eastAsia="黑体"/>
          <w:b/>
          <w:bCs/>
          <w:color w:val="000000"/>
          <w:sz w:val="24"/>
          <w:szCs w:val="32"/>
          <w:highlight w:val="none"/>
        </w:rPr>
        <w:t xml:space="preserve">格式</w:t>
      </w:r>
      <w:r>
        <w:rPr>
          <w:rFonts w:hint="eastAsia" w:ascii="Arial" w:hAnsi="Arial" w:eastAsia="黑体"/>
          <w:b/>
          <w:bCs/>
          <w:color w:val="000000"/>
          <w:sz w:val="24"/>
          <w:szCs w:val="32"/>
          <w:highlight w:val="none"/>
        </w:rPr>
        <w:t xml:space="preserve">4、中小企业声明函</w:t>
      </w:r>
      <w:r>
        <w:rPr>
          <w:rFonts w:ascii="Arial" w:hAnsi="Arial" w:eastAsia="黑体"/>
          <w:b/>
          <w:bCs/>
          <w:color w:val="000000"/>
          <w:sz w:val="32"/>
          <w:szCs w:val="32"/>
          <w:highlight w:val="none"/>
        </w:rPr>
      </w:r>
      <w:r/>
    </w:p>
    <w:p>
      <w:pPr>
        <w:pStyle w:val="856"/>
        <w:jc w:val="center"/>
        <w:spacing w:before="312" w:after="312" w:line="360" w:lineRule="auto"/>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中小企业声明函</w:t>
      </w:r>
      <w:r>
        <w:rPr>
          <w:rFonts w:ascii="黑体" w:hAnsi="黑体" w:eastAsia="黑体" w:cs="宋体"/>
          <w:bCs/>
          <w:color w:val="000000"/>
          <w:sz w:val="36"/>
          <w:szCs w:val="28"/>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本公司郑重声明，根据《政府采购促进中小企业发展管理办法》（财库﹝2020﹞46号）的规定，本公司参加</w:t>
      </w:r>
      <w:r>
        <w:rPr>
          <w:rFonts w:ascii="宋体" w:hAnsi="宋体"/>
          <w:color w:val="000000"/>
          <w:sz w:val="24"/>
          <w:szCs w:val="24"/>
          <w:highlight w:val="none"/>
          <w:u w:val="single"/>
        </w:rPr>
        <w:t xml:space="preserve">（单位名称）</w:t>
      </w:r>
      <w:r>
        <w:rPr>
          <w:rFonts w:ascii="宋体" w:hAnsi="宋体"/>
          <w:color w:val="000000"/>
          <w:sz w:val="24"/>
          <w:szCs w:val="24"/>
          <w:highlight w:val="none"/>
        </w:rPr>
        <w:t xml:space="preserve">的</w:t>
      </w:r>
      <w:r>
        <w:rPr>
          <w:rFonts w:ascii="宋体" w:hAnsi="宋体"/>
          <w:color w:val="000000"/>
          <w:sz w:val="24"/>
          <w:szCs w:val="24"/>
          <w:highlight w:val="none"/>
          <w:u w:val="single"/>
        </w:rPr>
        <w:t xml:space="preserve">（项目名称）</w:t>
      </w:r>
      <w:r>
        <w:rPr>
          <w:rFonts w:ascii="宋体" w:hAnsi="宋体"/>
          <w:color w:val="000000"/>
          <w:sz w:val="24"/>
          <w:szCs w:val="24"/>
          <w:highlight w:val="none"/>
        </w:rPr>
        <w:t xml:space="preserve">采购活动，服务全部由符合政策要求的中小企业承接。</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u w:val="single"/>
        </w:rPr>
        <w:t xml:space="preserve">（标的名称） </w:t>
      </w:r>
      <w:r>
        <w:rPr>
          <w:rFonts w:ascii="宋体" w:hAnsi="宋体"/>
          <w:color w:val="000000"/>
          <w:sz w:val="24"/>
          <w:szCs w:val="24"/>
          <w:highlight w:val="none"/>
        </w:rPr>
        <w:t xml:space="preserve">，属于</w:t>
      </w:r>
      <w:r>
        <w:rPr>
          <w:rFonts w:ascii="宋体" w:hAnsi="宋体"/>
          <w:color w:val="000000"/>
          <w:sz w:val="24"/>
          <w:szCs w:val="24"/>
          <w:highlight w:val="none"/>
          <w:u w:val="single"/>
        </w:rPr>
        <w:t xml:space="preserve">（采购文件中明确的所属行业） </w:t>
      </w:r>
      <w:r>
        <w:rPr>
          <w:rFonts w:ascii="宋体" w:hAnsi="宋体"/>
          <w:color w:val="000000"/>
          <w:sz w:val="24"/>
          <w:szCs w:val="24"/>
          <w:highlight w:val="none"/>
        </w:rPr>
        <w:t xml:space="preserve">行业；</w:t>
      </w:r>
      <w:r>
        <w:rPr>
          <w:rFonts w:hint="eastAsia" w:ascii="宋体" w:hAnsi="宋体"/>
          <w:color w:val="000000"/>
          <w:sz w:val="24"/>
          <w:szCs w:val="24"/>
          <w:highlight w:val="none"/>
        </w:rPr>
        <w:t xml:space="preserve">承接企业</w:t>
      </w:r>
      <w:r>
        <w:rPr>
          <w:rFonts w:ascii="宋体" w:hAnsi="宋体"/>
          <w:color w:val="000000"/>
          <w:sz w:val="24"/>
          <w:szCs w:val="24"/>
          <w:highlight w:val="none"/>
        </w:rPr>
        <w:t xml:space="preserve">为</w:t>
      </w:r>
      <w:r>
        <w:rPr>
          <w:rFonts w:ascii="宋体" w:hAnsi="宋体"/>
          <w:color w:val="000000"/>
          <w:sz w:val="24"/>
          <w:szCs w:val="24"/>
          <w:highlight w:val="none"/>
          <w:u w:val="single"/>
        </w:rPr>
        <w:t xml:space="preserve">（企业名称）</w:t>
      </w:r>
      <w:r>
        <w:rPr>
          <w:rFonts w:ascii="宋体" w:hAnsi="宋体"/>
          <w:color w:val="000000"/>
          <w:sz w:val="24"/>
          <w:szCs w:val="24"/>
          <w:highlight w:val="none"/>
        </w:rPr>
        <w:t xml:space="preserve">，从业人员</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人，营业收入为</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万元，资产总额为</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万元，属于</w:t>
      </w:r>
      <w:r>
        <w:rPr>
          <w:rFonts w:ascii="宋体" w:hAnsi="宋体"/>
          <w:color w:val="000000"/>
          <w:sz w:val="24"/>
          <w:szCs w:val="24"/>
          <w:highlight w:val="none"/>
          <w:u w:val="single"/>
        </w:rPr>
        <w:t xml:space="preserve">（小型企业、微型企业）</w:t>
      </w:r>
      <w:r>
        <w:rPr>
          <w:rFonts w:ascii="宋体" w:hAnsi="宋体"/>
          <w:color w:val="000000"/>
          <w:sz w:val="24"/>
          <w:szCs w:val="24"/>
          <w:highlight w:val="none"/>
        </w:rPr>
        <w:t xml:space="preserve">； </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本企业对上述声明内容的真实性负责。如有虚假，将依法承担相应责任。 </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right="480" w:firstLine="49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right="480" w:firstLine="4920"/>
        <w:spacing w:line="360" w:lineRule="auto"/>
        <w:rPr>
          <w:rFonts w:ascii="宋体" w:hAnsi="宋体"/>
          <w:color w:val="000000"/>
          <w:sz w:val="24"/>
          <w:szCs w:val="24"/>
          <w:highlight w:val="none"/>
        </w:rPr>
      </w:pPr>
      <w:r>
        <w:rPr>
          <w:rFonts w:ascii="宋体" w:hAnsi="宋体"/>
          <w:color w:val="000000"/>
          <w:sz w:val="24"/>
          <w:szCs w:val="24"/>
          <w:highlight w:val="none"/>
        </w:rPr>
        <w:t xml:space="preserve">企业名称（盖章）： </w:t>
      </w:r>
      <w:r>
        <w:rPr>
          <w:rFonts w:ascii="宋体" w:hAnsi="宋体"/>
          <w:color w:val="000000"/>
          <w:sz w:val="24"/>
          <w:szCs w:val="24"/>
          <w:highlight w:val="none"/>
        </w:rPr>
      </w:r>
      <w:r/>
    </w:p>
    <w:p>
      <w:pPr>
        <w:pStyle w:val="856"/>
        <w:ind w:right="480" w:firstLine="4920"/>
        <w:spacing w:line="360" w:lineRule="auto"/>
        <w:rPr>
          <w:rFonts w:ascii="宋体" w:hAnsi="宋体"/>
          <w:color w:val="000000"/>
          <w:sz w:val="24"/>
          <w:szCs w:val="24"/>
          <w:highlight w:val="none"/>
        </w:rPr>
      </w:pPr>
      <w:r>
        <w:rPr>
          <w:rFonts w:ascii="宋体" w:hAnsi="宋体"/>
          <w:color w:val="000000"/>
          <w:sz w:val="24"/>
          <w:szCs w:val="24"/>
          <w:highlight w:val="none"/>
        </w:rPr>
        <w:t xml:space="preserve">日 期：</w:t>
      </w:r>
      <w:r>
        <w:rPr>
          <w:rFonts w:ascii="宋体" w:hAnsi="宋体"/>
          <w:color w:val="000000"/>
          <w:sz w:val="24"/>
          <w:szCs w:val="24"/>
          <w:highlight w:val="none"/>
        </w:rPr>
      </w:r>
      <w:r/>
    </w:p>
    <w:p>
      <w:pPr>
        <w:pStyle w:val="856"/>
        <w:ind w:right="480" w:firstLine="49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right="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right="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right="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right="4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填报说明：</w:t>
      </w:r>
      <w:r>
        <w:rPr>
          <w:rFonts w:ascii="宋体" w:hAnsi="宋体"/>
          <w:color w:val="000000"/>
          <w:sz w:val="24"/>
          <w:szCs w:val="24"/>
          <w:highlight w:val="none"/>
        </w:rPr>
      </w:r>
      <w:r/>
    </w:p>
    <w:p>
      <w:pPr>
        <w:pStyle w:val="856"/>
        <w:ind w:right="4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从业人员、营业收入、资产总额填报上一年度数据，无上一年度数据的新成立企业可不填报。</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2、请</w:t>
      </w: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如实填写，所填内容将作为评审的依据。如填写不完整，将不享受扶持政策。</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3、中标</w:t>
      </w:r>
      <w:r>
        <w:rPr>
          <w:rFonts w:hint="eastAsia" w:ascii="宋体" w:hAnsi="宋体" w:cs="宋体"/>
          <w:color w:val="000000"/>
          <w:sz w:val="24"/>
          <w:szCs w:val="24"/>
          <w:highlight w:val="none"/>
        </w:rPr>
        <w:t xml:space="preserve">投标人</w:t>
      </w:r>
      <w:r>
        <w:rPr>
          <w:rFonts w:hint="eastAsia" w:ascii="宋体" w:hAnsi="宋体"/>
          <w:color w:val="000000"/>
          <w:sz w:val="24"/>
          <w:szCs w:val="24"/>
          <w:highlight w:val="none"/>
        </w:rPr>
        <w:t xml:space="preserve">的《中小企业声明函》随中标结果公开。</w:t>
      </w:r>
      <w:r>
        <w:rPr>
          <w:rFonts w:ascii="宋体" w:hAnsi="宋体"/>
          <w:color w:val="000000"/>
          <w:sz w:val="24"/>
          <w:szCs w:val="24"/>
          <w:highlight w:val="none"/>
        </w:rPr>
      </w:r>
      <w:r/>
    </w:p>
    <w:p>
      <w:pPr>
        <w:pStyle w:val="856"/>
        <w:keepLines/>
        <w:keepNext/>
        <w:rPr>
          <w:rFonts w:ascii="Arial" w:hAnsi="Arial" w:eastAsia="黑体"/>
          <w:b/>
          <w:bCs/>
          <w:color w:val="000000"/>
          <w:sz w:val="32"/>
          <w:szCs w:val="32"/>
          <w:highlight w:val="none"/>
        </w:rPr>
        <w:outlineLvl w:val="1"/>
      </w:pPr>
      <w:r>
        <w:rPr>
          <w:rFonts w:ascii="Arial" w:hAnsi="Arial" w:eastAsia="黑体"/>
          <w:b/>
          <w:bCs/>
          <w:color w:val="000000"/>
          <w:sz w:val="32"/>
          <w:szCs w:val="32"/>
          <w:highlight w:val="none"/>
        </w:rPr>
        <w:br w:type="page" w:clear="all"/>
      </w:r>
      <w:r>
        <w:rPr>
          <w:rFonts w:ascii="Arial" w:hAnsi="Arial" w:eastAsia="黑体"/>
          <w:b/>
          <w:bCs/>
          <w:color w:val="000000"/>
          <w:sz w:val="24"/>
          <w:szCs w:val="32"/>
          <w:highlight w:val="none"/>
        </w:rPr>
        <w:t xml:space="preserve">格式</w:t>
      </w:r>
      <w:r>
        <w:rPr>
          <w:rFonts w:hint="eastAsia" w:ascii="Arial" w:hAnsi="Arial" w:eastAsia="黑体"/>
          <w:b/>
          <w:bCs/>
          <w:color w:val="000000"/>
          <w:sz w:val="24"/>
          <w:szCs w:val="32"/>
          <w:highlight w:val="none"/>
        </w:rPr>
        <w:t xml:space="preserve">5、残疾人福利性单位声明函</w:t>
      </w:r>
      <w:r>
        <w:rPr>
          <w:rFonts w:ascii="Arial" w:hAnsi="Arial" w:eastAsia="黑体"/>
          <w:b/>
          <w:bCs/>
          <w:color w:val="000000"/>
          <w:sz w:val="32"/>
          <w:szCs w:val="32"/>
          <w:highlight w:val="none"/>
        </w:rPr>
      </w:r>
      <w:r/>
    </w:p>
    <w:p>
      <w:pPr>
        <w:pStyle w:val="856"/>
        <w:jc w:val="center"/>
        <w:spacing w:before="312" w:after="312" w:line="360" w:lineRule="auto"/>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残疾人福利性单位声明函</w:t>
      </w:r>
      <w:r>
        <w:rPr>
          <w:rFonts w:ascii="黑体" w:hAnsi="黑体" w:eastAsia="黑体" w:cs="宋体"/>
          <w:bCs/>
          <w:color w:val="000000"/>
          <w:sz w:val="36"/>
          <w:szCs w:val="28"/>
          <w:highlight w:val="none"/>
        </w:rPr>
      </w:r>
      <w:r/>
    </w:p>
    <w:p>
      <w:pPr>
        <w:pStyle w:val="856"/>
        <w:ind w:firstLine="480"/>
        <w:spacing w:line="360" w:lineRule="auto"/>
        <w:rPr>
          <w:color w:val="000000"/>
          <w:sz w:val="24"/>
          <w:szCs w:val="24"/>
          <w:highlight w:val="none"/>
        </w:rPr>
      </w:pPr>
      <w:r>
        <w:rPr>
          <w:rFonts w:hint="eastAsia"/>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rPr>
          <w:color w:val="000000"/>
          <w:sz w:val="24"/>
          <w:szCs w:val="24"/>
          <w:highlight w:val="none"/>
        </w:rPr>
      </w:r>
      <w:r/>
    </w:p>
    <w:p>
      <w:pPr>
        <w:pStyle w:val="856"/>
        <w:ind w:firstLine="480"/>
        <w:spacing w:line="360" w:lineRule="auto"/>
        <w:rPr>
          <w:color w:val="000000"/>
          <w:sz w:val="24"/>
          <w:szCs w:val="24"/>
          <w:highlight w:val="none"/>
        </w:rPr>
      </w:pPr>
      <w:r>
        <w:rPr>
          <w:rFonts w:hint="eastAsia"/>
          <w:color w:val="000000"/>
          <w:sz w:val="24"/>
          <w:szCs w:val="24"/>
          <w:highlight w:val="none"/>
        </w:rPr>
        <w:t xml:space="preserve">本单位对上述声明的真实性负责。如有虚假，将依法承担相应责任。</w:t>
      </w:r>
      <w:r>
        <w:rPr>
          <w:color w:val="000000"/>
          <w:sz w:val="24"/>
          <w:szCs w:val="24"/>
          <w:highlight w:val="none"/>
        </w:rPr>
      </w:r>
      <w:r/>
    </w:p>
    <w:p>
      <w:pPr>
        <w:pStyle w:val="856"/>
        <w:ind w:firstLine="480"/>
        <w:spacing w:line="360" w:lineRule="auto"/>
        <w:rPr>
          <w:color w:val="000000"/>
          <w:sz w:val="24"/>
          <w:szCs w:val="24"/>
          <w:highlight w:val="none"/>
        </w:rPr>
      </w:pPr>
      <w:r>
        <w:rPr>
          <w:color w:val="000000"/>
          <w:sz w:val="24"/>
          <w:szCs w:val="24"/>
          <w:highlight w:val="none"/>
        </w:rPr>
      </w:r>
      <w:r/>
    </w:p>
    <w:p>
      <w:pPr>
        <w:pStyle w:val="856"/>
        <w:ind w:firstLine="480"/>
        <w:spacing w:line="360" w:lineRule="auto"/>
        <w:rPr>
          <w:color w:val="000000"/>
          <w:sz w:val="24"/>
          <w:szCs w:val="24"/>
          <w:highlight w:val="none"/>
        </w:rPr>
      </w:pPr>
      <w:r>
        <w:rPr>
          <w:color w:val="000000"/>
          <w:sz w:val="24"/>
          <w:szCs w:val="24"/>
          <w:highlight w:val="none"/>
        </w:rPr>
      </w:r>
      <w:r/>
    </w:p>
    <w:p>
      <w:pPr>
        <w:pStyle w:val="856"/>
        <w:ind w:right="480" w:firstLine="4560"/>
        <w:spacing w:line="360" w:lineRule="auto"/>
        <w:rPr>
          <w:rFonts w:ascii="宋体" w:hAnsi="宋体"/>
          <w:color w:val="000000"/>
          <w:sz w:val="24"/>
          <w:szCs w:val="24"/>
          <w:highlight w:val="none"/>
        </w:rPr>
      </w:pPr>
      <w:r>
        <w:rPr>
          <w:rFonts w:ascii="宋体" w:hAnsi="宋体"/>
          <w:color w:val="000000"/>
          <w:sz w:val="24"/>
          <w:szCs w:val="24"/>
          <w:highlight w:val="none"/>
        </w:rPr>
        <w:t xml:space="preserve">企业名称（盖章）： </w:t>
      </w:r>
      <w:r>
        <w:rPr>
          <w:rFonts w:ascii="宋体" w:hAnsi="宋体"/>
          <w:color w:val="000000"/>
          <w:sz w:val="24"/>
          <w:szCs w:val="24"/>
          <w:highlight w:val="none"/>
        </w:rPr>
      </w:r>
      <w:r/>
    </w:p>
    <w:p>
      <w:pPr>
        <w:pStyle w:val="856"/>
        <w:ind w:firstLine="4560"/>
        <w:jc w:val="left"/>
        <w:spacing w:line="360" w:lineRule="auto"/>
        <w:rPr>
          <w:color w:val="000000"/>
          <w:sz w:val="24"/>
          <w:szCs w:val="24"/>
          <w:highlight w:val="none"/>
        </w:rPr>
      </w:pPr>
      <w:r>
        <w:rPr>
          <w:rFonts w:ascii="宋体" w:hAnsi="宋体"/>
          <w:color w:val="000000"/>
          <w:sz w:val="24"/>
          <w:szCs w:val="24"/>
          <w:highlight w:val="none"/>
        </w:rPr>
        <w:t xml:space="preserve">日 期：</w:t>
      </w:r>
      <w:r>
        <w:rPr>
          <w:color w:val="000000"/>
          <w:sz w:val="24"/>
          <w:szCs w:val="24"/>
          <w:highlight w:val="none"/>
        </w:rPr>
      </w:r>
      <w:r/>
    </w:p>
    <w:p>
      <w:pPr>
        <w:pStyle w:val="856"/>
        <w:ind w:firstLine="480"/>
        <w:jc w:val="left"/>
        <w:spacing w:line="360" w:lineRule="auto"/>
        <w:rPr>
          <w:color w:val="000000"/>
          <w:sz w:val="24"/>
          <w:szCs w:val="24"/>
          <w:highlight w:val="none"/>
        </w:rPr>
      </w:pPr>
      <w:r>
        <w:rPr>
          <w:color w:val="000000"/>
          <w:sz w:val="24"/>
          <w:szCs w:val="24"/>
          <w:highlight w:val="none"/>
        </w:rPr>
      </w:r>
      <w:r/>
    </w:p>
    <w:p>
      <w:pPr>
        <w:pStyle w:val="856"/>
        <w:ind w:firstLine="480"/>
        <w:jc w:val="left"/>
        <w:spacing w:line="360" w:lineRule="auto"/>
        <w:rPr>
          <w:color w:val="000000"/>
          <w:sz w:val="24"/>
          <w:szCs w:val="24"/>
          <w:highlight w:val="none"/>
        </w:rPr>
      </w:pPr>
      <w:r>
        <w:rPr>
          <w:color w:val="000000"/>
          <w:sz w:val="24"/>
          <w:szCs w:val="24"/>
          <w:highlight w:val="none"/>
        </w:rPr>
      </w:r>
      <w:r/>
    </w:p>
    <w:p>
      <w:pPr>
        <w:pStyle w:val="856"/>
        <w:ind w:firstLine="480"/>
        <w:jc w:val="left"/>
        <w:spacing w:line="360" w:lineRule="auto"/>
        <w:rPr>
          <w:color w:val="000000"/>
          <w:sz w:val="24"/>
          <w:szCs w:val="24"/>
          <w:highlight w:val="none"/>
        </w:rPr>
      </w:pPr>
      <w:r>
        <w:rPr>
          <w:color w:val="000000"/>
          <w:sz w:val="24"/>
          <w:szCs w:val="24"/>
          <w:highlight w:val="none"/>
        </w:rPr>
      </w:r>
      <w:r/>
    </w:p>
    <w:p>
      <w:pPr>
        <w:pStyle w:val="856"/>
        <w:ind w:firstLine="480"/>
        <w:jc w:val="left"/>
        <w:spacing w:line="360" w:lineRule="auto"/>
        <w:rPr>
          <w:color w:val="000000"/>
          <w:sz w:val="24"/>
          <w:szCs w:val="24"/>
          <w:highlight w:val="none"/>
        </w:rPr>
      </w:pPr>
      <w:r>
        <w:rPr>
          <w:color w:val="000000"/>
          <w:sz w:val="24"/>
          <w:szCs w:val="24"/>
          <w:highlight w:val="none"/>
        </w:rPr>
      </w:r>
      <w:r/>
    </w:p>
    <w:p>
      <w:pPr>
        <w:pStyle w:val="85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填报说明：</w:t>
      </w:r>
      <w:r>
        <w:rPr>
          <w:rFonts w:ascii="宋体" w:hAnsi="宋体"/>
          <w:bCs/>
          <w:color w:val="000000"/>
          <w:sz w:val="24"/>
          <w:szCs w:val="24"/>
          <w:highlight w:val="none"/>
        </w:rPr>
      </w:r>
      <w:r/>
    </w:p>
    <w:p>
      <w:pPr>
        <w:pStyle w:val="85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1、请</w:t>
      </w:r>
      <w:r>
        <w:rPr>
          <w:rFonts w:hint="eastAsia" w:ascii="宋体" w:hAnsi="宋体" w:cs="宋体"/>
          <w:color w:val="000000"/>
          <w:sz w:val="24"/>
          <w:szCs w:val="24"/>
          <w:highlight w:val="none"/>
        </w:rPr>
        <w:t xml:space="preserve">投标人</w:t>
      </w:r>
      <w:r>
        <w:rPr>
          <w:rFonts w:hint="eastAsia" w:ascii="宋体" w:hAnsi="宋体"/>
          <w:bCs/>
          <w:color w:val="000000"/>
          <w:sz w:val="24"/>
          <w:szCs w:val="24"/>
          <w:highlight w:val="none"/>
        </w:rPr>
        <w:t xml:space="preserve">如实填写，所填内容将作为评审的依据。</w:t>
      </w:r>
      <w:r>
        <w:rPr>
          <w:rFonts w:hint="eastAsia" w:ascii="宋体" w:hAnsi="宋体"/>
          <w:color w:val="000000"/>
          <w:sz w:val="24"/>
          <w:szCs w:val="24"/>
          <w:highlight w:val="none"/>
        </w:rPr>
        <w:t xml:space="preserve">如填写不完整，将不享受扶</w:t>
      </w:r>
      <w:r>
        <w:rPr>
          <w:rFonts w:hint="eastAsia" w:ascii="宋体" w:hAnsi="宋体"/>
          <w:bCs/>
          <w:color w:val="000000"/>
          <w:sz w:val="24"/>
          <w:szCs w:val="24"/>
          <w:highlight w:val="none"/>
        </w:rPr>
        <w:t xml:space="preserve">持政策。</w:t>
      </w:r>
      <w:r>
        <w:rPr>
          <w:rFonts w:ascii="宋体" w:hAnsi="宋体"/>
          <w:bCs/>
          <w:color w:val="000000"/>
          <w:sz w:val="24"/>
          <w:szCs w:val="24"/>
          <w:highlight w:val="none"/>
        </w:rPr>
      </w:r>
      <w:r/>
    </w:p>
    <w:p>
      <w:pPr>
        <w:pStyle w:val="856"/>
        <w:ind w:firstLine="480"/>
        <w:jc w:val="left"/>
        <w:spacing w:line="360" w:lineRule="auto"/>
        <w:rPr>
          <w:color w:val="000000"/>
          <w:sz w:val="24"/>
          <w:szCs w:val="24"/>
          <w:highlight w:val="none"/>
        </w:rPr>
      </w:pPr>
      <w:r>
        <w:rPr>
          <w:rFonts w:hint="eastAsia" w:ascii="宋体" w:hAnsi="宋体"/>
          <w:bCs/>
          <w:color w:val="000000"/>
          <w:sz w:val="24"/>
          <w:szCs w:val="24"/>
          <w:highlight w:val="none"/>
        </w:rPr>
        <w:t xml:space="preserve">2、中标</w:t>
      </w:r>
      <w:r>
        <w:rPr>
          <w:rFonts w:hint="eastAsia" w:ascii="宋体" w:hAnsi="宋体" w:cs="宋体"/>
          <w:color w:val="000000"/>
          <w:sz w:val="24"/>
          <w:szCs w:val="24"/>
          <w:highlight w:val="none"/>
        </w:rPr>
        <w:t xml:space="preserve">投标人</w:t>
      </w:r>
      <w:r>
        <w:rPr>
          <w:rFonts w:hint="eastAsia" w:ascii="宋体" w:hAnsi="宋体"/>
          <w:bCs/>
          <w:color w:val="000000"/>
          <w:sz w:val="24"/>
          <w:szCs w:val="24"/>
          <w:highlight w:val="none"/>
        </w:rPr>
        <w:t xml:space="preserve">的《残疾人福利性单位声明函》随中标结果公开。</w:t>
      </w:r>
      <w:r>
        <w:rPr>
          <w:color w:val="000000"/>
          <w:sz w:val="24"/>
          <w:szCs w:val="24"/>
          <w:highlight w:val="none"/>
        </w:rPr>
      </w:r>
      <w:r/>
    </w:p>
    <w:p>
      <w:pPr>
        <w:pStyle w:val="856"/>
        <w:keepLines/>
        <w:keepNext/>
        <w:rPr>
          <w:rFonts w:ascii="Arial" w:hAnsi="Arial" w:eastAsia="黑体"/>
          <w:b/>
          <w:bCs/>
          <w:color w:val="000000"/>
          <w:sz w:val="24"/>
          <w:szCs w:val="32"/>
          <w:highlight w:val="none"/>
        </w:rPr>
        <w:outlineLvl w:val="1"/>
      </w:pPr>
      <w:r>
        <w:rPr>
          <w:rFonts w:ascii="Arial" w:hAnsi="Arial" w:eastAsia="黑体"/>
          <w:b/>
          <w:bCs/>
          <w:color w:val="000000"/>
          <w:sz w:val="24"/>
          <w:szCs w:val="32"/>
          <w:highlight w:val="none"/>
        </w:rPr>
        <w:br w:type="page" w:clear="all"/>
      </w:r>
      <w:r>
        <w:rPr>
          <w:rFonts w:ascii="Arial" w:hAnsi="Arial" w:eastAsia="黑体"/>
          <w:b/>
          <w:bCs/>
          <w:color w:val="000000"/>
          <w:sz w:val="24"/>
          <w:szCs w:val="32"/>
          <w:highlight w:val="none"/>
        </w:rPr>
        <w:t xml:space="preserve">格式</w:t>
      </w:r>
      <w:r>
        <w:rPr>
          <w:rFonts w:hint="eastAsia" w:ascii="Arial" w:hAnsi="Arial" w:eastAsia="黑体"/>
          <w:b/>
          <w:bCs/>
          <w:color w:val="000000"/>
          <w:sz w:val="24"/>
          <w:szCs w:val="32"/>
          <w:highlight w:val="none"/>
        </w:rPr>
        <w:t xml:space="preserve">6、具备履行合同所必需的设备和专业技术能力的声明及证明材料</w:t>
      </w:r>
      <w:r>
        <w:rPr>
          <w:rFonts w:ascii="Arial" w:hAnsi="Arial" w:eastAsia="黑体"/>
          <w:b/>
          <w:bCs/>
          <w:color w:val="000000"/>
          <w:sz w:val="24"/>
          <w:szCs w:val="32"/>
          <w:highlight w:val="none"/>
        </w:rPr>
      </w:r>
      <w:r/>
    </w:p>
    <w:p>
      <w:pPr>
        <w:pStyle w:val="856"/>
        <w:rPr>
          <w:color w:val="000000"/>
          <w:szCs w:val="24"/>
          <w:highlight w:val="none"/>
        </w:rPr>
      </w:pPr>
      <w:r>
        <w:rPr>
          <w:color w:val="000000"/>
          <w:szCs w:val="24"/>
          <w:highlight w:val="none"/>
        </w:rPr>
      </w:r>
      <w:r/>
    </w:p>
    <w:p>
      <w:pPr>
        <w:pStyle w:val="856"/>
        <w:jc w:val="center"/>
        <w:rPr>
          <w:color w:val="000000"/>
          <w:szCs w:val="24"/>
          <w:highlight w:val="none"/>
        </w:rPr>
      </w:pPr>
      <w:r/>
      <w:bookmarkEnd w:id="7"/>
      <w:r/>
      <w:bookmarkEnd w:id="8"/>
      <w:r>
        <w:rPr>
          <w:rFonts w:hint="eastAsia" w:ascii="黑体" w:hAnsi="黑体" w:eastAsia="黑体" w:cs="宋体"/>
          <w:bCs/>
          <w:color w:val="000000"/>
          <w:sz w:val="36"/>
          <w:szCs w:val="28"/>
          <w:highlight w:val="none"/>
        </w:rPr>
        <w:t xml:space="preserve">具备履行合同所必需的设备和专业技术能力的声明</w:t>
      </w:r>
      <w:r>
        <w:rPr>
          <w:color w:val="000000"/>
          <w:szCs w:val="24"/>
          <w:highlight w:val="none"/>
        </w:rPr>
      </w:r>
      <w:r/>
    </w:p>
    <w:p>
      <w:pPr>
        <w:pStyle w:val="856"/>
        <w:ind w:firstLine="480"/>
        <w:spacing w:line="360" w:lineRule="auto"/>
        <w:rPr>
          <w:color w:val="000000"/>
          <w:sz w:val="24"/>
          <w:szCs w:val="24"/>
          <w:highlight w:val="none"/>
        </w:rPr>
      </w:pPr>
      <w:r>
        <w:rPr>
          <w:rFonts w:hint="eastAsia"/>
          <w:color w:val="000000"/>
          <w:sz w:val="24"/>
          <w:szCs w:val="24"/>
          <w:highlight w:val="none"/>
          <w:u w:val="single"/>
        </w:rPr>
        <w:t xml:space="preserve">（投标人名称）</w:t>
      </w:r>
      <w:r>
        <w:rPr>
          <w:rFonts w:hint="eastAsia"/>
          <w:color w:val="000000"/>
          <w:sz w:val="24"/>
          <w:szCs w:val="24"/>
          <w:highlight w:val="none"/>
        </w:rPr>
        <w:t xml:space="preserve">郑重声明：我单位具备履行本项采购合同所必需的设备和专业技术能力，为履行本项采购合同我单位具备如下主要设备和主要专业技术能力：</w:t>
      </w:r>
      <w:r>
        <w:rPr>
          <w:color w:val="000000"/>
          <w:sz w:val="24"/>
          <w:szCs w:val="24"/>
          <w:highlight w:val="none"/>
        </w:rPr>
      </w:r>
      <w:r/>
    </w:p>
    <w:p>
      <w:pPr>
        <w:pStyle w:val="856"/>
        <w:ind w:firstLine="480"/>
        <w:spacing w:line="360" w:lineRule="auto"/>
        <w:rPr>
          <w:color w:val="000000"/>
          <w:sz w:val="24"/>
          <w:szCs w:val="24"/>
          <w:highlight w:val="none"/>
        </w:rPr>
      </w:pPr>
      <w:r>
        <w:rPr>
          <w:rFonts w:hint="eastAsia"/>
          <w:color w:val="000000"/>
          <w:sz w:val="24"/>
          <w:szCs w:val="24"/>
          <w:highlight w:val="none"/>
        </w:rPr>
        <w:t xml:space="preserve">主要设备有：</w:t>
      </w:r>
      <w:r>
        <w:rPr>
          <w:rFonts w:hint="eastAsia"/>
          <w:color w:val="000000"/>
          <w:sz w:val="24"/>
          <w:szCs w:val="24"/>
          <w:highlight w:val="none"/>
          <w:u w:val="single"/>
        </w:rPr>
        <w:t xml:space="preserve">                                  </w:t>
      </w:r>
      <w:r>
        <w:rPr>
          <w:rFonts w:hint="eastAsia"/>
          <w:color w:val="000000"/>
          <w:sz w:val="24"/>
          <w:szCs w:val="24"/>
          <w:highlight w:val="none"/>
        </w:rPr>
        <w:t xml:space="preserve">。</w:t>
      </w:r>
      <w:r>
        <w:rPr>
          <w:color w:val="000000"/>
          <w:sz w:val="24"/>
          <w:szCs w:val="24"/>
          <w:highlight w:val="none"/>
        </w:rPr>
      </w:r>
      <w:r/>
    </w:p>
    <w:p>
      <w:pPr>
        <w:pStyle w:val="856"/>
        <w:ind w:firstLine="480"/>
        <w:spacing w:line="360" w:lineRule="auto"/>
        <w:rPr>
          <w:color w:val="000000"/>
          <w:sz w:val="24"/>
          <w:szCs w:val="24"/>
          <w:highlight w:val="none"/>
        </w:rPr>
      </w:pPr>
      <w:r>
        <w:rPr>
          <w:rFonts w:hint="eastAsia"/>
          <w:color w:val="000000"/>
          <w:sz w:val="24"/>
          <w:szCs w:val="24"/>
          <w:highlight w:val="none"/>
        </w:rPr>
        <w:t xml:space="preserve">主要专业技术能力有：</w:t>
      </w:r>
      <w:r>
        <w:rPr>
          <w:rFonts w:hint="eastAsia"/>
          <w:color w:val="000000"/>
          <w:sz w:val="24"/>
          <w:szCs w:val="24"/>
          <w:highlight w:val="none"/>
          <w:u w:val="single"/>
        </w:rPr>
        <w:t xml:space="preserve">                          </w:t>
      </w:r>
      <w:r>
        <w:rPr>
          <w:rFonts w:hint="eastAsia"/>
          <w:color w:val="000000"/>
          <w:sz w:val="24"/>
          <w:szCs w:val="24"/>
          <w:highlight w:val="none"/>
        </w:rPr>
        <w:t xml:space="preserve">。</w:t>
      </w:r>
      <w:r>
        <w:rPr>
          <w:color w:val="000000"/>
          <w:sz w:val="24"/>
          <w:szCs w:val="24"/>
          <w:highlight w:val="none"/>
        </w:rPr>
      </w:r>
      <w:r/>
    </w:p>
    <w:p>
      <w:pPr>
        <w:pStyle w:val="856"/>
        <w:ind w:firstLine="482"/>
        <w:spacing w:line="360" w:lineRule="auto"/>
        <w:rPr>
          <w:b/>
          <w:color w:val="000000"/>
          <w:sz w:val="24"/>
          <w:szCs w:val="24"/>
          <w:highlight w:val="none"/>
        </w:rPr>
      </w:pPr>
      <w:r>
        <w:rPr>
          <w:rFonts w:hint="eastAsia"/>
          <w:b/>
          <w:color w:val="000000"/>
          <w:sz w:val="24"/>
          <w:szCs w:val="24"/>
          <w:highlight w:val="none"/>
        </w:rPr>
        <w:t xml:space="preserve">注：须附证明材料。</w:t>
      </w:r>
      <w:r>
        <w:rPr>
          <w:b/>
          <w:color w:val="000000"/>
          <w:sz w:val="24"/>
          <w:szCs w:val="24"/>
          <w:highlight w:val="none"/>
        </w:rPr>
      </w:r>
      <w:r/>
    </w:p>
    <w:p>
      <w:pPr>
        <w:pStyle w:val="856"/>
        <w:ind w:firstLine="480"/>
        <w:spacing w:line="360" w:lineRule="auto"/>
        <w:rPr>
          <w:color w:val="000000"/>
          <w:sz w:val="24"/>
          <w:szCs w:val="24"/>
          <w:highlight w:val="none"/>
        </w:rPr>
      </w:pPr>
      <w:r>
        <w:rPr>
          <w:color w:val="000000"/>
          <w:sz w:val="24"/>
          <w:szCs w:val="24"/>
          <w:highlight w:val="none"/>
        </w:rPr>
      </w:r>
      <w:r/>
    </w:p>
    <w:p>
      <w:pPr>
        <w:pStyle w:val="856"/>
        <w:ind w:firstLine="480"/>
        <w:spacing w:line="360" w:lineRule="auto"/>
        <w:rPr>
          <w:color w:val="000000"/>
          <w:sz w:val="24"/>
          <w:szCs w:val="24"/>
          <w:highlight w:val="none"/>
        </w:rPr>
      </w:pPr>
      <w:r>
        <w:rPr>
          <w:color w:val="000000"/>
          <w:sz w:val="24"/>
          <w:szCs w:val="24"/>
          <w:highlight w:val="none"/>
        </w:rPr>
      </w:r>
      <w:r/>
    </w:p>
    <w:p>
      <w:pPr>
        <w:pStyle w:val="856"/>
        <w:ind w:firstLine="480"/>
        <w:spacing w:line="360" w:lineRule="auto"/>
        <w:rPr>
          <w:color w:val="000000"/>
          <w:sz w:val="24"/>
          <w:szCs w:val="24"/>
          <w:highlight w:val="none"/>
        </w:rPr>
      </w:pPr>
      <w:r>
        <w:rPr>
          <w:rFonts w:hint="eastAsia"/>
          <w:color w:val="000000"/>
          <w:sz w:val="24"/>
          <w:szCs w:val="24"/>
          <w:highlight w:val="none"/>
        </w:rPr>
        <w:t xml:space="preserve">声明人（盖章）：</w:t>
      </w:r>
      <w:r>
        <w:rPr>
          <w:color w:val="000000"/>
          <w:sz w:val="24"/>
          <w:szCs w:val="24"/>
          <w:highlight w:val="none"/>
        </w:rPr>
      </w:r>
      <w:r/>
    </w:p>
    <w:p>
      <w:pPr>
        <w:pStyle w:val="856"/>
        <w:ind w:firstLine="480"/>
        <w:spacing w:line="360" w:lineRule="auto"/>
        <w:rPr>
          <w:color w:val="000000"/>
          <w:sz w:val="24"/>
          <w:szCs w:val="24"/>
          <w:highlight w:val="none"/>
        </w:rPr>
      </w:pPr>
      <w:r>
        <w:rPr>
          <w:rFonts w:hint="eastAsia"/>
          <w:color w:val="000000"/>
          <w:sz w:val="24"/>
          <w:szCs w:val="24"/>
          <w:highlight w:val="none"/>
        </w:rPr>
        <w:t xml:space="preserve">日期：  年   月  日</w:t>
      </w:r>
      <w:r>
        <w:rPr>
          <w:color w:val="000000"/>
          <w:sz w:val="24"/>
          <w:szCs w:val="24"/>
          <w:highlight w:val="none"/>
        </w:rPr>
      </w:r>
      <w:r/>
    </w:p>
    <w:p>
      <w:pPr>
        <w:pStyle w:val="856"/>
        <w:ind w:firstLine="422"/>
        <w:spacing w:line="460" w:lineRule="exact"/>
        <w:rPr>
          <w:b/>
          <w:color w:val="000000"/>
          <w:szCs w:val="24"/>
          <w:highlight w:val="none"/>
        </w:rPr>
      </w:pPr>
      <w:r>
        <w:rPr>
          <w:b/>
          <w:color w:val="000000"/>
          <w:szCs w:val="24"/>
          <w:highlight w:val="none"/>
        </w:rPr>
      </w:r>
      <w:r/>
    </w:p>
    <w:p>
      <w:pPr>
        <w:pStyle w:val="856"/>
        <w:keepLines/>
        <w:keepNext/>
        <w:rPr>
          <w:rFonts w:ascii="Arial" w:hAnsi="Arial" w:eastAsia="黑体"/>
          <w:bCs/>
          <w:color w:val="000000"/>
          <w:sz w:val="32"/>
          <w:szCs w:val="32"/>
          <w:highlight w:val="none"/>
        </w:rPr>
        <w:outlineLvl w:val="1"/>
      </w:pPr>
      <w:r>
        <w:rPr>
          <w:rFonts w:ascii="Arial" w:hAnsi="Arial" w:eastAsia="黑体"/>
          <w:bCs/>
          <w:color w:val="000000"/>
          <w:sz w:val="32"/>
          <w:szCs w:val="32"/>
          <w:highlight w:val="none"/>
        </w:rPr>
        <w:br w:type="page" w:clear="all"/>
      </w:r>
      <w:r>
        <w:rPr>
          <w:rFonts w:ascii="Arial" w:hAnsi="Arial" w:eastAsia="黑体"/>
          <w:b/>
          <w:bCs/>
          <w:color w:val="000000"/>
          <w:sz w:val="24"/>
          <w:szCs w:val="32"/>
          <w:highlight w:val="none"/>
        </w:rPr>
        <w:t xml:space="preserve">格式</w:t>
      </w:r>
      <w:r>
        <w:rPr>
          <w:rFonts w:hint="eastAsia" w:ascii="Arial" w:hAnsi="Arial" w:eastAsia="黑体"/>
          <w:b/>
          <w:bCs/>
          <w:color w:val="000000"/>
          <w:sz w:val="24"/>
          <w:szCs w:val="32"/>
          <w:highlight w:val="none"/>
        </w:rPr>
        <w:t xml:space="preserve">7、参加政府采购活动前3年内在经营活动中没有重大违法记录的书面声明</w:t>
      </w:r>
      <w:r>
        <w:rPr>
          <w:rFonts w:ascii="Arial" w:hAnsi="Arial" w:eastAsia="黑体"/>
          <w:bCs/>
          <w:color w:val="000000"/>
          <w:sz w:val="32"/>
          <w:szCs w:val="32"/>
          <w:highlight w:val="none"/>
        </w:rPr>
      </w:r>
      <w:r/>
    </w:p>
    <w:p>
      <w:pPr>
        <w:pStyle w:val="856"/>
        <w:ind w:firstLine="422"/>
        <w:spacing w:line="460" w:lineRule="exact"/>
        <w:rPr>
          <w:b/>
          <w:color w:val="000000"/>
          <w:szCs w:val="24"/>
          <w:highlight w:val="none"/>
        </w:rPr>
      </w:pPr>
      <w:r>
        <w:rPr>
          <w:b/>
          <w:color w:val="000000"/>
          <w:szCs w:val="24"/>
          <w:highlight w:val="none"/>
        </w:rPr>
      </w:r>
      <w:r/>
    </w:p>
    <w:p>
      <w:pPr>
        <w:pStyle w:val="856"/>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声  明</w:t>
      </w:r>
      <w:r>
        <w:rPr>
          <w:rFonts w:ascii="黑体" w:hAnsi="黑体" w:eastAsia="黑体" w:cs="宋体"/>
          <w:bCs/>
          <w:color w:val="000000"/>
          <w:sz w:val="36"/>
          <w:szCs w:val="28"/>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color w:val="000000"/>
          <w:sz w:val="24"/>
          <w:szCs w:val="24"/>
          <w:highlight w:val="none"/>
        </w:rPr>
      </w:r>
      <w:r/>
    </w:p>
    <w:p>
      <w:pPr>
        <w:pStyle w:val="856"/>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投标人（盖章）：</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法定代表人或委托代理人（签字或盖章）：</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日期：    年     月     日</w:t>
      </w:r>
      <w:r>
        <w:rPr>
          <w:rFonts w:ascii="宋体" w:hAnsi="宋体"/>
          <w:color w:val="000000"/>
          <w:sz w:val="24"/>
          <w:szCs w:val="24"/>
          <w:highlight w:val="none"/>
        </w:rPr>
      </w:r>
      <w:r/>
    </w:p>
    <w:p>
      <w:pPr>
        <w:pStyle w:val="856"/>
        <w:keepLines/>
        <w:keepNext/>
        <w:rPr>
          <w:rFonts w:ascii="Arial" w:hAnsi="Arial"/>
          <w:b/>
          <w:bCs/>
          <w:color w:val="000000"/>
          <w:sz w:val="32"/>
          <w:szCs w:val="32"/>
          <w:highlight w:val="none"/>
        </w:rPr>
        <w:outlineLvl w:val="1"/>
      </w:pPr>
      <w:r>
        <w:rPr>
          <w:rFonts w:ascii="宋体" w:hAnsi="宋体" w:eastAsia="黑体"/>
          <w:b/>
          <w:bCs/>
          <w:color w:val="000000"/>
          <w:sz w:val="24"/>
          <w:szCs w:val="32"/>
          <w:highlight w:val="none"/>
        </w:rPr>
        <w:br w:type="page" w:clear="all"/>
      </w:r>
      <w:r>
        <w:rPr>
          <w:rFonts w:hint="eastAsia" w:ascii="Arial" w:hAnsi="Arial" w:eastAsia="黑体"/>
          <w:b/>
          <w:bCs/>
          <w:color w:val="000000"/>
          <w:sz w:val="24"/>
          <w:szCs w:val="32"/>
          <w:highlight w:val="none"/>
        </w:rPr>
        <w:t xml:space="preserve">格式8、法定代表人授权委托书</w:t>
      </w:r>
      <w:r>
        <w:rPr>
          <w:rFonts w:ascii="Arial" w:hAnsi="Arial"/>
          <w:b/>
          <w:bCs/>
          <w:color w:val="000000"/>
          <w:sz w:val="32"/>
          <w:szCs w:val="32"/>
          <w:highlight w:val="none"/>
        </w:rPr>
      </w:r>
      <w:r/>
    </w:p>
    <w:p>
      <w:pPr>
        <w:pStyle w:val="856"/>
        <w:ind w:firstLine="720"/>
        <w:jc w:val="center"/>
        <w:rPr>
          <w:rFonts w:ascii="黑体" w:hAnsi="黑体" w:eastAsia="黑体" w:cs="宋体"/>
          <w:bCs/>
          <w:color w:val="000000"/>
          <w:sz w:val="36"/>
          <w:szCs w:val="28"/>
          <w:highlight w:val="none"/>
        </w:rPr>
      </w:pPr>
      <w:r>
        <w:rPr>
          <w:rFonts w:ascii="黑体" w:hAnsi="黑体" w:eastAsia="黑体" w:cs="宋体"/>
          <w:bCs/>
          <w:color w:val="000000"/>
          <w:sz w:val="36"/>
          <w:szCs w:val="28"/>
          <w:highlight w:val="none"/>
        </w:rPr>
      </w:r>
      <w:r/>
    </w:p>
    <w:p>
      <w:pPr>
        <w:pStyle w:val="856"/>
        <w:ind w:firstLine="720"/>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法定代表人授权委托书</w:t>
      </w:r>
      <w:r>
        <w:rPr>
          <w:rFonts w:ascii="黑体" w:hAnsi="黑体" w:eastAsia="黑体" w:cs="宋体"/>
          <w:bCs/>
          <w:color w:val="000000"/>
          <w:sz w:val="36"/>
          <w:szCs w:val="28"/>
          <w:highlight w:val="none"/>
        </w:rPr>
      </w:r>
      <w:r/>
    </w:p>
    <w:p>
      <w:pPr>
        <w:pStyle w:val="856"/>
        <w:spacing w:line="360" w:lineRule="auto"/>
        <w:rPr>
          <w:rFonts w:ascii="宋体" w:hAnsi="宋体"/>
          <w:b/>
          <w:bCs/>
          <w:color w:val="000000"/>
          <w:sz w:val="24"/>
          <w:szCs w:val="24"/>
          <w:highlight w:val="none"/>
        </w:rPr>
      </w:pPr>
      <w:r>
        <w:rPr>
          <w:rFonts w:hint="eastAsia" w:ascii="宋体" w:hAnsi="宋体"/>
          <w:color w:val="000000"/>
          <w:sz w:val="24"/>
          <w:szCs w:val="24"/>
          <w:highlight w:val="none"/>
        </w:rPr>
        <w:t xml:space="preserve">连云港市市政公用事业发展中心：</w:t>
      </w:r>
      <w:r>
        <w:rPr>
          <w:rFonts w:ascii="宋体" w:hAnsi="宋体"/>
          <w:b/>
          <w:bCs/>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本授权书声明：注册于</w:t>
      </w:r>
      <w:r>
        <w:rPr>
          <w:rFonts w:hint="eastAsia" w:ascii="宋体" w:hAnsi="宋体"/>
          <w:color w:val="000000"/>
          <w:sz w:val="24"/>
          <w:szCs w:val="24"/>
          <w:highlight w:val="none"/>
          <w:u w:val="single"/>
        </w:rPr>
        <w:t xml:space="preserve">  （委托单位全称） </w:t>
      </w:r>
      <w:r>
        <w:rPr>
          <w:rFonts w:hint="eastAsia" w:ascii="宋体" w:hAnsi="宋体"/>
          <w:color w:val="000000"/>
          <w:sz w:val="24"/>
          <w:szCs w:val="24"/>
          <w:highlight w:val="none"/>
        </w:rPr>
        <w:t xml:space="preserve">的法定代表人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代表本公司授权</w:t>
      </w:r>
      <w:r>
        <w:rPr>
          <w:rFonts w:hint="eastAsia" w:ascii="宋体" w:hAnsi="宋体"/>
          <w:color w:val="000000"/>
          <w:sz w:val="24"/>
          <w:szCs w:val="24"/>
          <w:highlight w:val="none"/>
          <w:u w:val="single"/>
        </w:rPr>
        <w:t xml:space="preserve">（姓名和职务）</w:t>
      </w:r>
      <w:r>
        <w:rPr>
          <w:rFonts w:hint="eastAsia" w:ascii="宋体" w:hAnsi="宋体"/>
          <w:color w:val="000000"/>
          <w:sz w:val="24"/>
          <w:szCs w:val="24"/>
          <w:highlight w:val="none"/>
        </w:rPr>
        <w:t xml:space="preserve">为本公司合法代理人，就贵方组织的有关</w:t>
      </w:r>
      <w:r>
        <w:rPr>
          <w:rFonts w:hint="eastAsia" w:ascii="宋体" w:hAnsi="宋体"/>
          <w:color w:val="000000"/>
          <w:sz w:val="24"/>
          <w:szCs w:val="24"/>
          <w:highlight w:val="none"/>
          <w:u w:val="single"/>
        </w:rPr>
        <w:t xml:space="preserve">连云港市区污水设施委托运行维护项目 </w:t>
      </w:r>
      <w:r>
        <w:rPr>
          <w:rFonts w:hint="eastAsia" w:ascii="宋体" w:hAnsi="宋体"/>
          <w:color w:val="000000"/>
          <w:sz w:val="24"/>
          <w:szCs w:val="24"/>
          <w:highlight w:val="none"/>
        </w:rPr>
        <w:t xml:space="preserve">项目（标段编号：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）的招标采购及合同签订、执行、完成，以本单位名义处理一切与之有关的事务。</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本授权书于</w:t>
      </w:r>
      <w:r>
        <w:rPr>
          <w:rFonts w:hint="eastAsia" w:ascii="宋体" w:hAnsi="宋体"/>
          <w:color w:val="000000"/>
          <w:spacing w:val="1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日签字（或盖章）生效，特此声明。</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委托单位（盖章）：                      法定代表人（签字或盖章）：</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签发日期：</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ascii="宋体" w:hAnsi="宋体"/>
          <w:color w:val="000000"/>
          <w:sz w:val="24"/>
          <w:szCs w:val="24"/>
          <w:highlight w:val="none"/>
        </w:rPr>
      </w:r>
      <w:r/>
    </w:p>
    <w:p>
      <w:pPr>
        <w:pStyle w:val="856"/>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附法定代表人与委托代理人身份证明正反面电子件。</w:t>
      </w:r>
      <w:r>
        <w:rPr>
          <w:rFonts w:ascii="宋体" w:hAnsi="宋体"/>
          <w:b/>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1．委托书内容填写应当明确、文字工整清楚，涂改无效。</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2．委托书不得转借、转让、买卖。</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3．委托代理人根据授权范围，以委托单位的名义签订合同，并将此委托书提交给采购单位作为合同附件。</w:t>
      </w:r>
      <w:r>
        <w:rPr>
          <w:rFonts w:ascii="宋体" w:hAnsi="宋体"/>
          <w:color w:val="000000"/>
          <w:sz w:val="24"/>
          <w:szCs w:val="24"/>
          <w:highlight w:val="none"/>
        </w:rPr>
      </w:r>
      <w:r/>
    </w:p>
    <w:p>
      <w:pPr>
        <w:pStyle w:val="856"/>
        <w:keepLines/>
        <w:keepNext/>
        <w:rPr>
          <w:rFonts w:ascii="Arial" w:hAnsi="Arial" w:eastAsia="黑体"/>
          <w:color w:val="000000"/>
          <w:sz w:val="32"/>
          <w:szCs w:val="21"/>
          <w:highlight w:val="none"/>
        </w:rPr>
        <w:outlineLvl w:val="1"/>
      </w:pPr>
      <w:r>
        <w:rPr>
          <w:rFonts w:ascii="宋体" w:hAnsi="宋体" w:eastAsia="黑体"/>
          <w:b/>
          <w:bCs/>
          <w:color w:val="000000"/>
          <w:sz w:val="24"/>
          <w:szCs w:val="32"/>
          <w:highlight w:val="none"/>
        </w:rPr>
        <w:br w:type="page" w:clear="all"/>
      </w:r>
      <w:r>
        <w:rPr>
          <w:rFonts w:hint="eastAsia" w:ascii="Arial" w:hAnsi="Arial" w:eastAsia="黑体"/>
          <w:b/>
          <w:bCs/>
          <w:color w:val="000000"/>
          <w:sz w:val="24"/>
          <w:szCs w:val="32"/>
          <w:highlight w:val="none"/>
        </w:rPr>
        <w:t xml:space="preserve">格式9、商务条款偏离表</w:t>
      </w:r>
      <w:r>
        <w:rPr>
          <w:rFonts w:ascii="Arial" w:hAnsi="Arial" w:eastAsia="黑体"/>
          <w:color w:val="000000"/>
          <w:sz w:val="32"/>
          <w:szCs w:val="21"/>
          <w:highlight w:val="none"/>
        </w:rPr>
      </w:r>
      <w:r/>
    </w:p>
    <w:p>
      <w:pPr>
        <w:pStyle w:val="856"/>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商务条款偏离表</w:t>
      </w:r>
      <w:r>
        <w:rPr>
          <w:rFonts w:ascii="黑体" w:hAnsi="黑体" w:eastAsia="黑体" w:cs="宋体"/>
          <w:bCs/>
          <w:color w:val="000000"/>
          <w:sz w:val="36"/>
          <w:szCs w:val="28"/>
          <w:highlight w:val="none"/>
        </w:rPr>
      </w:r>
      <w:r/>
    </w:p>
    <w:p>
      <w:pPr>
        <w:pStyle w:val="856"/>
        <w:ind w:firstLine="480"/>
        <w:spacing w:line="360" w:lineRule="auto"/>
        <w:rPr>
          <w:rFonts w:ascii="宋体" w:hAnsi="宋体"/>
          <w:b/>
          <w:bCs/>
          <w:color w:val="000000"/>
          <w:sz w:val="24"/>
          <w:szCs w:val="24"/>
          <w:highlight w:val="none"/>
        </w:rPr>
      </w:pPr>
      <w:r>
        <w:rPr>
          <w:rFonts w:hint="eastAsia" w:ascii="宋体" w:hAnsi="宋体"/>
          <w:color w:val="000000"/>
          <w:sz w:val="24"/>
          <w:szCs w:val="24"/>
          <w:highlight w:val="none"/>
        </w:rPr>
        <w:t xml:space="preserve">请逐条对应采购文件“项目需求”等内容要求的商务条件，填写该表。</w:t>
      </w:r>
      <w:r>
        <w:rPr>
          <w:rFonts w:ascii="宋体" w:hAnsi="宋体"/>
          <w:b/>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trHeight w:val="496"/>
        </w:trPr>
        <w:tc>
          <w:tcPr>
            <w:tcW w:w="1010" w:type="dxa"/>
            <w:vAlign w:val="center"/>
            <w:textDirection w:val="lrTb"/>
            <w:noWrap w:val="false"/>
          </w:tcPr>
          <w:p>
            <w:pPr>
              <w:pStyle w:val="856"/>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项号</w:t>
            </w:r>
            <w:r>
              <w:rPr>
                <w:rFonts w:ascii="宋体" w:hAnsi="宋体"/>
                <w:color w:val="000000"/>
                <w:sz w:val="24"/>
                <w:szCs w:val="24"/>
                <w:highlight w:val="none"/>
              </w:rPr>
            </w:r>
            <w:r/>
          </w:p>
        </w:tc>
        <w:tc>
          <w:tcPr>
            <w:tcW w:w="2602" w:type="dxa"/>
            <w:vAlign w:val="center"/>
            <w:textDirection w:val="lrTb"/>
            <w:noWrap w:val="false"/>
          </w:tcPr>
          <w:p>
            <w:pPr>
              <w:pStyle w:val="856"/>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采购文件的商务条款</w:t>
            </w:r>
            <w:r>
              <w:rPr>
                <w:rFonts w:ascii="宋体" w:hAnsi="宋体"/>
                <w:color w:val="000000"/>
                <w:sz w:val="24"/>
                <w:szCs w:val="24"/>
                <w:highlight w:val="none"/>
              </w:rPr>
            </w:r>
            <w:r/>
          </w:p>
        </w:tc>
        <w:tc>
          <w:tcPr>
            <w:tcW w:w="2746" w:type="dxa"/>
            <w:vAlign w:val="center"/>
            <w:textDirection w:val="lrTb"/>
            <w:noWrap w:val="false"/>
          </w:tcPr>
          <w:p>
            <w:pPr>
              <w:pStyle w:val="856"/>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响应文件的商务条款</w:t>
            </w:r>
            <w:r>
              <w:rPr>
                <w:rFonts w:ascii="宋体" w:hAnsi="宋体"/>
                <w:color w:val="000000"/>
                <w:sz w:val="24"/>
                <w:szCs w:val="24"/>
                <w:highlight w:val="none"/>
              </w:rPr>
            </w:r>
            <w:r/>
          </w:p>
        </w:tc>
        <w:tc>
          <w:tcPr>
            <w:tcW w:w="2293" w:type="dxa"/>
            <w:vAlign w:val="center"/>
            <w:textDirection w:val="lrTb"/>
            <w:noWrap w:val="false"/>
          </w:tcPr>
          <w:p>
            <w:pPr>
              <w:pStyle w:val="856"/>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偏离说明</w:t>
            </w:r>
            <w:r>
              <w:rPr>
                <w:rFonts w:ascii="宋体" w:hAnsi="宋体"/>
                <w:color w:val="000000"/>
                <w:sz w:val="24"/>
                <w:szCs w:val="24"/>
                <w:highlight w:val="none"/>
              </w:rPr>
            </w:r>
            <w:r/>
          </w:p>
        </w:tc>
      </w:tr>
      <w:tr>
        <w:trPr>
          <w:trHeight w:val="496"/>
        </w:trPr>
        <w:tc>
          <w:tcPr>
            <w:tcW w:w="1010"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602"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746"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293"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496"/>
        </w:trPr>
        <w:tc>
          <w:tcPr>
            <w:tcW w:w="1010"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602"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746"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293"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496"/>
        </w:trPr>
        <w:tc>
          <w:tcPr>
            <w:tcW w:w="1010"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602"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746"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293"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496"/>
        </w:trPr>
        <w:tc>
          <w:tcPr>
            <w:tcW w:w="1010"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602"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746"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293"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496"/>
        </w:trPr>
        <w:tc>
          <w:tcPr>
            <w:tcW w:w="1010"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602"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746"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293"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496"/>
        </w:trPr>
        <w:tc>
          <w:tcPr>
            <w:tcW w:w="1010"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602"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746"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293"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496"/>
        </w:trPr>
        <w:tc>
          <w:tcPr>
            <w:tcW w:w="1010"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602"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746"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293"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496"/>
        </w:trPr>
        <w:tc>
          <w:tcPr>
            <w:tcW w:w="1010"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602"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746"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293"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496"/>
        </w:trPr>
        <w:tc>
          <w:tcPr>
            <w:tcW w:w="1010"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602"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746"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293"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496"/>
        </w:trPr>
        <w:tc>
          <w:tcPr>
            <w:tcW w:w="1010"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602"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746"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293" w:type="dxa"/>
            <w:vAlign w:val="top"/>
            <w:textDirection w:val="lrTb"/>
            <w:noWrap w:val="false"/>
          </w:tcPr>
          <w:p>
            <w:pPr>
              <w:pStyle w:val="856"/>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bl>
    <w:p>
      <w:pPr>
        <w:pStyle w:val="856"/>
        <w:spacing w:line="400" w:lineRule="exact"/>
        <w:rPr>
          <w:rFonts w:ascii="宋体" w:hAnsi="宋体"/>
          <w:color w:val="000000"/>
          <w:szCs w:val="20"/>
          <w:highlight w:val="none"/>
        </w:rPr>
      </w:pPr>
      <w:r>
        <w:rPr>
          <w:rFonts w:hint="eastAsia" w:ascii="宋体" w:hAnsi="宋体"/>
          <w:color w:val="000000"/>
          <w:sz w:val="24"/>
          <w:szCs w:val="24"/>
          <w:highlight w:val="none"/>
        </w:rPr>
        <w:t xml:space="preserve">注：“偏离说明”填写“正偏离”“负偏离”或“无偏离”。</w:t>
      </w:r>
      <w:r>
        <w:rPr>
          <w:rFonts w:ascii="宋体" w:hAnsi="宋体"/>
          <w:color w:val="000000"/>
          <w:szCs w:val="20"/>
          <w:highlight w:val="none"/>
        </w:rPr>
      </w:r>
      <w:r/>
    </w:p>
    <w:p>
      <w:pPr>
        <w:pStyle w:val="856"/>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856"/>
        <w:ind w:firstLine="480"/>
        <w:spacing w:line="360" w:lineRule="auto"/>
        <w:rPr>
          <w:color w:val="000000"/>
          <w:sz w:val="24"/>
          <w:szCs w:val="24"/>
          <w:highlight w:val="none"/>
        </w:rPr>
      </w:pPr>
      <w:r>
        <w:rPr>
          <w:rFonts w:hint="eastAsia"/>
          <w:color w:val="000000"/>
          <w:sz w:val="24"/>
          <w:szCs w:val="24"/>
          <w:highlight w:val="none"/>
        </w:rPr>
        <w:t xml:space="preserve">投标人（盖章）：</w:t>
      </w:r>
      <w:r>
        <w:rPr>
          <w:color w:val="000000"/>
          <w:sz w:val="24"/>
          <w:szCs w:val="24"/>
          <w:highlight w:val="none"/>
        </w:rPr>
      </w:r>
      <w:r/>
    </w:p>
    <w:p>
      <w:pPr>
        <w:pStyle w:val="856"/>
        <w:ind w:firstLine="480"/>
        <w:spacing w:line="360" w:lineRule="auto"/>
        <w:rPr>
          <w:color w:val="000000"/>
          <w:sz w:val="24"/>
          <w:szCs w:val="24"/>
          <w:highlight w:val="none"/>
        </w:rPr>
      </w:pPr>
      <w:r>
        <w:rPr>
          <w:rFonts w:hint="eastAsia"/>
          <w:color w:val="000000"/>
          <w:sz w:val="24"/>
          <w:szCs w:val="24"/>
          <w:highlight w:val="none"/>
        </w:rPr>
        <w:t xml:space="preserve">法定代表人或委托代理人（签字或盖章）：</w:t>
      </w:r>
      <w:r>
        <w:rPr>
          <w:color w:val="000000"/>
          <w:sz w:val="24"/>
          <w:szCs w:val="24"/>
          <w:highlight w:val="none"/>
        </w:rPr>
      </w:r>
      <w:r/>
    </w:p>
    <w:p>
      <w:pPr>
        <w:pStyle w:val="856"/>
        <w:ind w:firstLine="480"/>
        <w:spacing w:line="360" w:lineRule="auto"/>
        <w:rPr>
          <w:rFonts w:ascii="宋体" w:hAnsi="Courier New"/>
          <w:color w:val="000000"/>
          <w:sz w:val="24"/>
          <w:szCs w:val="24"/>
          <w:highlight w:val="none"/>
        </w:rPr>
      </w:pPr>
      <w:r>
        <w:rPr>
          <w:rFonts w:hint="eastAsia" w:ascii="宋体" w:hAnsi="Courier New"/>
          <w:color w:val="000000"/>
          <w:sz w:val="24"/>
          <w:szCs w:val="24"/>
          <w:highlight w:val="none"/>
        </w:rPr>
        <w:t xml:space="preserve">日期：    年     月     日</w:t>
      </w:r>
      <w:r>
        <w:rPr>
          <w:rFonts w:ascii="宋体" w:hAnsi="Courier New"/>
          <w:color w:val="000000"/>
          <w:sz w:val="24"/>
          <w:szCs w:val="24"/>
          <w:highlight w:val="none"/>
        </w:rPr>
      </w:r>
      <w:r/>
    </w:p>
    <w:p>
      <w:pPr>
        <w:pStyle w:val="856"/>
        <w:keepLines/>
        <w:keepNext/>
        <w:rPr>
          <w:rFonts w:ascii="Arial" w:hAnsi="宋体" w:eastAsia="黑体"/>
          <w:b/>
          <w:bCs/>
          <w:color w:val="000000"/>
          <w:sz w:val="32"/>
          <w:szCs w:val="21"/>
          <w:highlight w:val="none"/>
        </w:rPr>
        <w:outlineLvl w:val="1"/>
      </w:pPr>
      <w:r>
        <w:rPr>
          <w:rFonts w:ascii="Arial" w:hAnsi="Arial" w:eastAsia="黑体"/>
          <w:b/>
          <w:bCs/>
          <w:color w:val="000000"/>
          <w:sz w:val="32"/>
          <w:szCs w:val="32"/>
          <w:highlight w:val="none"/>
        </w:rPr>
        <w:br w:type="page" w:clear="all"/>
      </w:r>
      <w:r>
        <w:rPr>
          <w:rFonts w:hint="eastAsia" w:ascii="Arial" w:hAnsi="Arial" w:eastAsia="黑体"/>
          <w:b/>
          <w:bCs/>
          <w:color w:val="000000"/>
          <w:sz w:val="24"/>
          <w:szCs w:val="32"/>
          <w:highlight w:val="none"/>
        </w:rPr>
        <w:t xml:space="preserve">格式10、售后服务承诺书</w:t>
      </w:r>
      <w:r>
        <w:rPr>
          <w:rFonts w:ascii="Arial" w:hAnsi="宋体" w:eastAsia="黑体"/>
          <w:b/>
          <w:bCs/>
          <w:color w:val="000000"/>
          <w:sz w:val="32"/>
          <w:szCs w:val="21"/>
          <w:highlight w:val="none"/>
        </w:rPr>
      </w:r>
      <w:r/>
    </w:p>
    <w:p>
      <w:pPr>
        <w:pStyle w:val="856"/>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售后服务承诺书</w:t>
      </w:r>
      <w:r>
        <w:rPr>
          <w:rFonts w:ascii="黑体" w:hAnsi="黑体" w:eastAsia="黑体" w:cs="宋体"/>
          <w:bCs/>
          <w:color w:val="000000"/>
          <w:sz w:val="36"/>
          <w:szCs w:val="28"/>
          <w:highlight w:val="none"/>
        </w:rPr>
      </w:r>
      <w:r/>
    </w:p>
    <w:p>
      <w:pPr>
        <w:pStyle w:val="856"/>
        <w:ind w:firstLine="480"/>
        <w:jc w:val="center"/>
        <w:spacing w:line="360" w:lineRule="auto"/>
        <w:rPr>
          <w:rFonts w:ascii="宋体" w:hAnsi="宋体"/>
          <w:color w:val="000000"/>
          <w:sz w:val="24"/>
          <w:szCs w:val="24"/>
          <w:highlight w:val="none"/>
        </w:rPr>
      </w:pPr>
      <w:r>
        <w:rPr>
          <w:rFonts w:hint="eastAsia" w:ascii="宋体" w:hAnsi="宋体"/>
          <w:color w:val="000000"/>
          <w:sz w:val="24"/>
          <w:szCs w:val="20"/>
          <w:highlight w:val="none"/>
        </w:rPr>
        <w:t xml:space="preserve">（</w:t>
      </w:r>
      <w:r>
        <w:rPr>
          <w:rFonts w:hint="eastAsia" w:ascii="宋体" w:hAnsi="宋体" w:cs="宋体"/>
          <w:color w:val="000000"/>
          <w:sz w:val="24"/>
          <w:szCs w:val="24"/>
          <w:highlight w:val="none"/>
        </w:rPr>
        <w:t xml:space="preserve">投标人</w:t>
      </w:r>
      <w:r>
        <w:rPr>
          <w:rFonts w:hint="eastAsia" w:ascii="宋体" w:hAnsi="宋体"/>
          <w:color w:val="000000"/>
          <w:sz w:val="24"/>
          <w:szCs w:val="20"/>
          <w:highlight w:val="none"/>
        </w:rPr>
        <w:t xml:space="preserve">按“项目需求”等内容要求自行填写，格式自定)</w:t>
      </w: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56"/>
        <w:ind w:firstLine="480"/>
        <w:spacing w:line="360" w:lineRule="auto"/>
        <w:rPr>
          <w:color w:val="000000"/>
          <w:sz w:val="24"/>
          <w:szCs w:val="24"/>
          <w:highlight w:val="none"/>
        </w:rPr>
      </w:pPr>
      <w:r>
        <w:rPr>
          <w:rFonts w:hint="eastAsia"/>
          <w:color w:val="000000"/>
          <w:sz w:val="24"/>
          <w:szCs w:val="24"/>
          <w:highlight w:val="none"/>
        </w:rPr>
        <w:t xml:space="preserve">投标人（盖章）：</w:t>
      </w:r>
      <w:r>
        <w:rPr>
          <w:color w:val="000000"/>
          <w:sz w:val="24"/>
          <w:szCs w:val="24"/>
          <w:highlight w:val="none"/>
        </w:rPr>
      </w:r>
      <w:r/>
    </w:p>
    <w:p>
      <w:pPr>
        <w:pStyle w:val="856"/>
        <w:ind w:firstLine="480"/>
        <w:spacing w:line="360" w:lineRule="auto"/>
        <w:rPr>
          <w:color w:val="000000"/>
          <w:sz w:val="24"/>
          <w:szCs w:val="24"/>
          <w:highlight w:val="none"/>
        </w:rPr>
      </w:pPr>
      <w:r>
        <w:rPr>
          <w:rFonts w:hint="eastAsia"/>
          <w:color w:val="000000"/>
          <w:sz w:val="24"/>
          <w:szCs w:val="24"/>
          <w:highlight w:val="none"/>
        </w:rPr>
        <w:t xml:space="preserve">法定代表人或委托代理人（签字或盖章）：</w:t>
      </w:r>
      <w:r>
        <w:rPr>
          <w:color w:val="000000"/>
          <w:sz w:val="24"/>
          <w:szCs w:val="24"/>
          <w:highlight w:val="none"/>
        </w:rPr>
      </w:r>
      <w:r/>
    </w:p>
    <w:p>
      <w:pPr>
        <w:pStyle w:val="856"/>
        <w:ind w:firstLine="480"/>
        <w:spacing w:line="360" w:lineRule="auto"/>
        <w:rPr>
          <w:rFonts w:ascii="宋体" w:hAnsi="Courier New"/>
          <w:color w:val="000000"/>
          <w:sz w:val="24"/>
          <w:szCs w:val="24"/>
          <w:highlight w:val="none"/>
        </w:rPr>
      </w:pPr>
      <w:r>
        <w:rPr>
          <w:rFonts w:hint="eastAsia" w:ascii="宋体" w:hAnsi="Courier New"/>
          <w:color w:val="000000"/>
          <w:sz w:val="24"/>
          <w:szCs w:val="24"/>
          <w:highlight w:val="none"/>
        </w:rPr>
        <w:t xml:space="preserve">日期：    年     月     日</w:t>
      </w:r>
      <w:r>
        <w:rPr>
          <w:rFonts w:ascii="宋体" w:hAnsi="Courier New"/>
          <w:color w:val="000000"/>
          <w:sz w:val="24"/>
          <w:szCs w:val="24"/>
          <w:highlight w:val="none"/>
        </w:rPr>
      </w:r>
      <w:r/>
    </w:p>
    <w:p>
      <w:pPr>
        <w:pStyle w:val="856"/>
        <w:keepLines/>
        <w:keepNext/>
        <w:rPr>
          <w:rFonts w:ascii="Arial" w:hAnsi="宋体" w:eastAsia="黑体"/>
          <w:b/>
          <w:bCs/>
          <w:color w:val="000000"/>
          <w:sz w:val="32"/>
          <w:szCs w:val="21"/>
          <w:highlight w:val="none"/>
        </w:rPr>
        <w:outlineLvl w:val="1"/>
      </w:pPr>
      <w:r>
        <w:rPr>
          <w:rFonts w:ascii="Arial" w:hAnsi="Arial" w:eastAsia="黑体"/>
          <w:b/>
          <w:bCs/>
          <w:color w:val="000000"/>
          <w:sz w:val="32"/>
          <w:szCs w:val="32"/>
          <w:highlight w:val="none"/>
        </w:rPr>
        <w:br w:type="page" w:clear="all"/>
      </w:r>
      <w:r>
        <w:rPr>
          <w:rFonts w:hint="eastAsia" w:ascii="Arial" w:hAnsi="Arial" w:eastAsia="黑体"/>
          <w:b/>
          <w:bCs/>
          <w:color w:val="000000"/>
          <w:sz w:val="24"/>
          <w:szCs w:val="32"/>
          <w:highlight w:val="none"/>
        </w:rPr>
        <w:t xml:space="preserve">格式11、项目团队人员一览表</w:t>
      </w:r>
      <w:r>
        <w:rPr>
          <w:rFonts w:ascii="Arial" w:hAnsi="宋体" w:eastAsia="黑体"/>
          <w:b/>
          <w:bCs/>
          <w:color w:val="000000"/>
          <w:sz w:val="32"/>
          <w:szCs w:val="21"/>
          <w:highlight w:val="none"/>
        </w:rPr>
      </w:r>
      <w:r/>
    </w:p>
    <w:p>
      <w:pPr>
        <w:pStyle w:val="856"/>
        <w:ind w:firstLine="3233"/>
        <w:spacing w:line="520" w:lineRule="exact"/>
        <w:rPr>
          <w:rFonts w:ascii="宋体" w:hAnsi="宋体"/>
          <w:b/>
          <w:bCs/>
          <w:color w:val="000000"/>
          <w:sz w:val="28"/>
          <w:szCs w:val="24"/>
          <w:highlight w:val="none"/>
        </w:rPr>
      </w:pPr>
      <w:r>
        <w:rPr>
          <w:rFonts w:ascii="宋体" w:hAnsi="宋体"/>
          <w:b/>
          <w:bCs/>
          <w:color w:val="000000"/>
          <w:sz w:val="28"/>
          <w:szCs w:val="24"/>
          <w:highlight w:val="none"/>
        </w:rPr>
      </w:r>
      <w:r/>
    </w:p>
    <w:p>
      <w:pPr>
        <w:pStyle w:val="856"/>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项目团队人员一览表</w:t>
      </w:r>
      <w:r>
        <w:rPr>
          <w:rFonts w:ascii="黑体" w:hAnsi="黑体" w:eastAsia="黑体" w:cs="宋体"/>
          <w:bCs/>
          <w:color w:val="000000"/>
          <w:sz w:val="36"/>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pStyle w:val="856"/>
              <w:jc w:val="center"/>
              <w:spacing w:line="520" w:lineRule="exact"/>
              <w:rPr>
                <w:rFonts w:ascii="宋体" w:hAnsi="宋体"/>
                <w:color w:val="000000"/>
                <w:szCs w:val="24"/>
                <w:highlight w:val="none"/>
              </w:rPr>
            </w:pPr>
            <w:r>
              <w:rPr>
                <w:rFonts w:hint="eastAsia" w:ascii="宋体" w:hAnsi="宋体"/>
                <w:color w:val="000000"/>
                <w:szCs w:val="24"/>
                <w:highlight w:val="none"/>
              </w:rPr>
              <w:t xml:space="preserve">姓  名</w:t>
            </w:r>
            <w:r>
              <w:rPr>
                <w:rFonts w:ascii="宋体" w:hAnsi="宋体"/>
                <w:color w:val="000000"/>
                <w:szCs w:val="24"/>
                <w:highlight w:val="none"/>
              </w:rPr>
            </w:r>
            <w:r/>
          </w:p>
        </w:tc>
        <w:tc>
          <w:tcPr>
            <w:tcW w:w="1905" w:type="dxa"/>
            <w:vAlign w:val="center"/>
            <w:textDirection w:val="lrTb"/>
            <w:noWrap w:val="false"/>
          </w:tcPr>
          <w:p>
            <w:pPr>
              <w:pStyle w:val="856"/>
              <w:jc w:val="center"/>
              <w:spacing w:line="520" w:lineRule="exact"/>
              <w:rPr>
                <w:rFonts w:ascii="宋体" w:hAnsi="宋体"/>
                <w:color w:val="000000"/>
                <w:szCs w:val="24"/>
                <w:highlight w:val="none"/>
              </w:rPr>
            </w:pPr>
            <w:r>
              <w:rPr>
                <w:rFonts w:hint="eastAsia" w:ascii="宋体" w:hAnsi="宋体"/>
                <w:color w:val="000000"/>
                <w:szCs w:val="24"/>
                <w:highlight w:val="none"/>
              </w:rPr>
              <w:t xml:space="preserve">本项目拟任</w:t>
            </w:r>
            <w:r>
              <w:rPr>
                <w:rFonts w:ascii="宋体" w:hAnsi="宋体"/>
                <w:color w:val="000000"/>
                <w:szCs w:val="24"/>
                <w:highlight w:val="none"/>
              </w:rPr>
            </w:r>
            <w:r/>
          </w:p>
          <w:p>
            <w:pPr>
              <w:pStyle w:val="856"/>
              <w:jc w:val="center"/>
              <w:spacing w:line="520" w:lineRule="exact"/>
              <w:rPr>
                <w:rFonts w:ascii="宋体" w:hAnsi="宋体"/>
                <w:color w:val="000000"/>
                <w:szCs w:val="24"/>
                <w:highlight w:val="none"/>
              </w:rPr>
            </w:pPr>
            <w:r>
              <w:rPr>
                <w:rFonts w:hint="eastAsia" w:ascii="宋体" w:hAnsi="宋体"/>
                <w:color w:val="000000"/>
                <w:szCs w:val="24"/>
                <w:highlight w:val="none"/>
              </w:rPr>
              <w:t xml:space="preserve">职  务</w:t>
            </w:r>
            <w:r>
              <w:rPr>
                <w:rFonts w:ascii="宋体" w:hAnsi="宋体"/>
                <w:color w:val="000000"/>
                <w:szCs w:val="24"/>
                <w:highlight w:val="none"/>
              </w:rPr>
            </w:r>
            <w:r/>
          </w:p>
        </w:tc>
        <w:tc>
          <w:tcPr>
            <w:tcW w:w="1127" w:type="dxa"/>
            <w:vAlign w:val="center"/>
            <w:textDirection w:val="lrTb"/>
            <w:noWrap w:val="false"/>
          </w:tcPr>
          <w:p>
            <w:pPr>
              <w:pStyle w:val="856"/>
              <w:jc w:val="center"/>
              <w:spacing w:line="520" w:lineRule="exact"/>
              <w:rPr>
                <w:rFonts w:ascii="宋体" w:hAnsi="宋体"/>
                <w:color w:val="000000"/>
                <w:szCs w:val="24"/>
                <w:highlight w:val="none"/>
              </w:rPr>
            </w:pPr>
            <w:r>
              <w:rPr>
                <w:rFonts w:hint="eastAsia" w:ascii="宋体" w:hAnsi="宋体"/>
                <w:color w:val="000000"/>
                <w:szCs w:val="24"/>
                <w:highlight w:val="none"/>
              </w:rPr>
              <w:t xml:space="preserve">技术</w:t>
            </w:r>
            <w:r>
              <w:rPr>
                <w:rFonts w:ascii="宋体" w:hAnsi="宋体"/>
                <w:color w:val="000000"/>
                <w:szCs w:val="24"/>
                <w:highlight w:val="none"/>
              </w:rPr>
            </w:r>
            <w:r/>
          </w:p>
          <w:p>
            <w:pPr>
              <w:pStyle w:val="856"/>
              <w:jc w:val="center"/>
              <w:spacing w:line="520" w:lineRule="exact"/>
              <w:rPr>
                <w:rFonts w:ascii="宋体" w:hAnsi="宋体"/>
                <w:color w:val="000000"/>
                <w:szCs w:val="24"/>
                <w:highlight w:val="none"/>
              </w:rPr>
            </w:pPr>
            <w:r>
              <w:rPr>
                <w:rFonts w:hint="eastAsia" w:ascii="宋体" w:hAnsi="宋体"/>
                <w:color w:val="000000"/>
                <w:szCs w:val="24"/>
                <w:highlight w:val="none"/>
              </w:rPr>
              <w:t xml:space="preserve">职称</w:t>
            </w:r>
            <w:r>
              <w:rPr>
                <w:rFonts w:ascii="宋体" w:hAnsi="宋体"/>
                <w:color w:val="000000"/>
                <w:szCs w:val="24"/>
                <w:highlight w:val="none"/>
              </w:rPr>
            </w:r>
            <w:r/>
          </w:p>
        </w:tc>
        <w:tc>
          <w:tcPr>
            <w:tcW w:w="896" w:type="dxa"/>
            <w:vAlign w:val="center"/>
            <w:textDirection w:val="lrTb"/>
            <w:noWrap w:val="false"/>
          </w:tcPr>
          <w:p>
            <w:pPr>
              <w:pStyle w:val="856"/>
              <w:jc w:val="center"/>
              <w:spacing w:line="520" w:lineRule="exact"/>
              <w:rPr>
                <w:rFonts w:ascii="宋体" w:hAnsi="宋体"/>
                <w:color w:val="000000"/>
                <w:szCs w:val="24"/>
                <w:highlight w:val="none"/>
              </w:rPr>
            </w:pPr>
            <w:r>
              <w:rPr>
                <w:rFonts w:hint="eastAsia" w:ascii="宋体" w:hAnsi="宋体"/>
                <w:color w:val="000000"/>
                <w:szCs w:val="24"/>
                <w:highlight w:val="none"/>
              </w:rPr>
              <w:t xml:space="preserve">年龄</w:t>
            </w:r>
            <w:r>
              <w:rPr>
                <w:rFonts w:ascii="宋体" w:hAnsi="宋体"/>
                <w:color w:val="000000"/>
                <w:szCs w:val="24"/>
                <w:highlight w:val="none"/>
              </w:rPr>
            </w:r>
            <w:r/>
          </w:p>
        </w:tc>
        <w:tc>
          <w:tcPr>
            <w:tcW w:w="896" w:type="dxa"/>
            <w:vAlign w:val="center"/>
            <w:textDirection w:val="lrTb"/>
            <w:noWrap w:val="false"/>
          </w:tcPr>
          <w:p>
            <w:pPr>
              <w:pStyle w:val="856"/>
              <w:jc w:val="center"/>
              <w:spacing w:line="520" w:lineRule="exact"/>
              <w:rPr>
                <w:rFonts w:ascii="宋体" w:hAnsi="宋体"/>
                <w:color w:val="000000"/>
                <w:szCs w:val="24"/>
                <w:highlight w:val="none"/>
              </w:rPr>
            </w:pPr>
            <w:r>
              <w:rPr>
                <w:rFonts w:hint="eastAsia" w:ascii="宋体" w:hAnsi="宋体"/>
                <w:color w:val="000000"/>
                <w:szCs w:val="24"/>
                <w:highlight w:val="none"/>
              </w:rPr>
              <w:t xml:space="preserve">学历</w:t>
            </w:r>
            <w:r>
              <w:rPr>
                <w:rFonts w:ascii="宋体" w:hAnsi="宋体"/>
                <w:color w:val="000000"/>
                <w:szCs w:val="24"/>
                <w:highlight w:val="none"/>
              </w:rPr>
            </w:r>
            <w:r/>
          </w:p>
        </w:tc>
        <w:tc>
          <w:tcPr>
            <w:tcW w:w="2814" w:type="dxa"/>
            <w:vAlign w:val="center"/>
            <w:textDirection w:val="lrTb"/>
            <w:noWrap w:val="false"/>
          </w:tcPr>
          <w:p>
            <w:pPr>
              <w:pStyle w:val="856"/>
              <w:jc w:val="center"/>
              <w:spacing w:line="520" w:lineRule="exact"/>
              <w:rPr>
                <w:rFonts w:ascii="宋体" w:hAnsi="宋体"/>
                <w:color w:val="000000"/>
                <w:szCs w:val="24"/>
                <w:highlight w:val="none"/>
              </w:rPr>
            </w:pPr>
            <w:r>
              <w:rPr>
                <w:rFonts w:hint="eastAsia" w:ascii="宋体" w:hAnsi="宋体"/>
                <w:color w:val="000000"/>
                <w:szCs w:val="24"/>
                <w:highlight w:val="none"/>
              </w:rPr>
              <w:t xml:space="preserve">主要资历及担任过的职务</w:t>
            </w:r>
            <w:r>
              <w:rPr>
                <w:rFonts w:ascii="宋体" w:hAnsi="宋体"/>
                <w:color w:val="000000"/>
                <w:szCs w:val="24"/>
                <w:highlight w:val="none"/>
              </w:rPr>
            </w:r>
            <w:r/>
          </w:p>
        </w:tc>
      </w:tr>
      <w:tr>
        <w:trPr>
          <w:trHeight w:val="729"/>
        </w:trPr>
        <w:tc>
          <w:tcPr>
            <w:tcW w:w="1470"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1905"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1127"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896"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896"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814"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r>
      <w:tr>
        <w:trPr>
          <w:trHeight w:val="729"/>
        </w:trPr>
        <w:tc>
          <w:tcPr>
            <w:tcW w:w="1470"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1905"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1127"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896"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896"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814"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r>
      <w:tr>
        <w:trPr>
          <w:trHeight w:val="729"/>
        </w:trPr>
        <w:tc>
          <w:tcPr>
            <w:tcW w:w="1470"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1905"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1127"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896"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896"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814"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r>
      <w:tr>
        <w:trPr>
          <w:trHeight w:val="729"/>
        </w:trPr>
        <w:tc>
          <w:tcPr>
            <w:tcW w:w="1470"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1905"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1127"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896"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896"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814"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r>
      <w:tr>
        <w:trPr>
          <w:trHeight w:val="729"/>
        </w:trPr>
        <w:tc>
          <w:tcPr>
            <w:tcW w:w="1470"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1905"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1127"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896"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896"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814"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r>
      <w:tr>
        <w:trPr>
          <w:trHeight w:val="729"/>
        </w:trPr>
        <w:tc>
          <w:tcPr>
            <w:tcW w:w="1470"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1905"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1127"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896"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896"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814"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r>
      <w:tr>
        <w:trPr>
          <w:trHeight w:val="729"/>
        </w:trPr>
        <w:tc>
          <w:tcPr>
            <w:tcW w:w="1470"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1905"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1127"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896"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896"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814"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r>
      <w:tr>
        <w:trPr>
          <w:trHeight w:val="729"/>
        </w:trPr>
        <w:tc>
          <w:tcPr>
            <w:tcW w:w="1470"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1905"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1127"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896"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896"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814"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r>
      <w:tr>
        <w:trPr>
          <w:trHeight w:val="729"/>
        </w:trPr>
        <w:tc>
          <w:tcPr>
            <w:tcW w:w="1470"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1905"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1127"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896"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896"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814"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r>
    </w:tbl>
    <w:p>
      <w:pPr>
        <w:pStyle w:val="856"/>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ind w:firstLine="480"/>
        <w:spacing w:line="360" w:lineRule="auto"/>
        <w:rPr>
          <w:color w:val="000000"/>
          <w:sz w:val="24"/>
          <w:szCs w:val="24"/>
          <w:highlight w:val="none"/>
        </w:rPr>
      </w:pPr>
      <w:r>
        <w:rPr>
          <w:rFonts w:hint="eastAsia"/>
          <w:color w:val="000000"/>
          <w:sz w:val="24"/>
          <w:szCs w:val="24"/>
          <w:highlight w:val="none"/>
        </w:rPr>
        <w:t xml:space="preserve">投标人（盖章）：</w:t>
      </w:r>
      <w:r>
        <w:rPr>
          <w:color w:val="000000"/>
          <w:sz w:val="24"/>
          <w:szCs w:val="24"/>
          <w:highlight w:val="none"/>
        </w:rPr>
      </w:r>
      <w:r/>
    </w:p>
    <w:p>
      <w:pPr>
        <w:pStyle w:val="856"/>
        <w:ind w:firstLine="480"/>
        <w:spacing w:line="360" w:lineRule="auto"/>
        <w:rPr>
          <w:color w:val="000000"/>
          <w:sz w:val="24"/>
          <w:szCs w:val="24"/>
          <w:highlight w:val="none"/>
        </w:rPr>
      </w:pPr>
      <w:r>
        <w:rPr>
          <w:rFonts w:hint="eastAsia"/>
          <w:color w:val="000000"/>
          <w:sz w:val="24"/>
          <w:szCs w:val="24"/>
          <w:highlight w:val="none"/>
        </w:rPr>
        <w:t xml:space="preserve">法定代表人或委托代理人（签字或盖章）：</w:t>
      </w:r>
      <w:r>
        <w:rPr>
          <w:color w:val="000000"/>
          <w:sz w:val="24"/>
          <w:szCs w:val="24"/>
          <w:highlight w:val="none"/>
        </w:rPr>
      </w:r>
      <w:r/>
    </w:p>
    <w:p>
      <w:pPr>
        <w:pStyle w:val="856"/>
        <w:ind w:firstLine="480"/>
        <w:spacing w:line="360" w:lineRule="auto"/>
        <w:rPr>
          <w:rFonts w:ascii="宋体" w:hAnsi="Courier New"/>
          <w:color w:val="000000"/>
          <w:sz w:val="24"/>
          <w:szCs w:val="24"/>
          <w:highlight w:val="none"/>
        </w:rPr>
      </w:pPr>
      <w:r>
        <w:rPr>
          <w:rFonts w:hint="eastAsia" w:ascii="宋体" w:hAnsi="Courier New"/>
          <w:color w:val="000000"/>
          <w:sz w:val="24"/>
          <w:szCs w:val="24"/>
          <w:highlight w:val="none"/>
        </w:rPr>
        <w:t xml:space="preserve">日期：    年     月     日</w:t>
      </w:r>
      <w:r>
        <w:rPr>
          <w:rFonts w:ascii="宋体" w:hAnsi="Courier New"/>
          <w:color w:val="000000"/>
          <w:sz w:val="24"/>
          <w:szCs w:val="24"/>
          <w:highlight w:val="none"/>
        </w:rPr>
      </w:r>
      <w:r/>
    </w:p>
    <w:p>
      <w:pPr>
        <w:pStyle w:val="856"/>
        <w:ind w:firstLine="480"/>
        <w:spacing w:line="360" w:lineRule="auto"/>
        <w:rPr>
          <w:rFonts w:ascii="宋体" w:hAnsi="Courier New"/>
          <w:color w:val="000000"/>
          <w:sz w:val="24"/>
          <w:szCs w:val="24"/>
          <w:highlight w:val="none"/>
        </w:rPr>
      </w:pPr>
      <w:r>
        <w:rPr>
          <w:rFonts w:ascii="宋体" w:hAnsi="Courier New"/>
          <w:color w:val="000000"/>
          <w:sz w:val="24"/>
          <w:szCs w:val="24"/>
          <w:highlight w:val="none"/>
        </w:rPr>
      </w:r>
      <w:r/>
    </w:p>
    <w:p>
      <w:pPr>
        <w:pStyle w:val="856"/>
        <w:keepLines/>
        <w:keepNext/>
        <w:rPr>
          <w:rFonts w:ascii="Arial" w:hAnsi="Arial" w:eastAsia="黑体"/>
          <w:b/>
          <w:bCs/>
          <w:color w:val="000000"/>
          <w:sz w:val="32"/>
          <w:szCs w:val="32"/>
          <w:highlight w:val="none"/>
        </w:rPr>
        <w:outlineLvl w:val="1"/>
      </w:pPr>
      <w:r>
        <w:rPr>
          <w:rFonts w:ascii="Arial" w:hAnsi="Arial" w:eastAsia="黑体"/>
          <w:b/>
          <w:bCs/>
          <w:color w:val="000000"/>
          <w:sz w:val="32"/>
          <w:szCs w:val="32"/>
          <w:highlight w:val="none"/>
        </w:rPr>
        <w:br w:type="page" w:clear="all"/>
      </w:r>
      <w:r>
        <w:rPr>
          <w:rFonts w:hint="eastAsia" w:ascii="Arial" w:hAnsi="Arial" w:eastAsia="黑体"/>
          <w:b/>
          <w:bCs/>
          <w:color w:val="000000"/>
          <w:sz w:val="24"/>
          <w:szCs w:val="32"/>
          <w:highlight w:val="none"/>
        </w:rPr>
        <w:t xml:space="preserve">格式12、类似项目业绩一览表</w:t>
      </w:r>
      <w:r>
        <w:rPr>
          <w:rFonts w:ascii="Arial" w:hAnsi="Arial" w:eastAsia="黑体"/>
          <w:b/>
          <w:bCs/>
          <w:color w:val="000000"/>
          <w:sz w:val="32"/>
          <w:szCs w:val="32"/>
          <w:highlight w:val="none"/>
        </w:rPr>
      </w:r>
      <w:r/>
    </w:p>
    <w:p>
      <w:pPr>
        <w:pStyle w:val="856"/>
        <w:jc w:val="center"/>
        <w:spacing w:line="520" w:lineRule="exact"/>
        <w:rPr>
          <w:rFonts w:ascii="宋体" w:hAnsi="宋体"/>
          <w:b/>
          <w:bCs/>
          <w:color w:val="000000"/>
          <w:sz w:val="28"/>
          <w:szCs w:val="24"/>
          <w:highlight w:val="none"/>
        </w:rPr>
      </w:pPr>
      <w:r>
        <w:rPr>
          <w:rFonts w:ascii="宋体" w:hAnsi="宋体"/>
          <w:b/>
          <w:bCs/>
          <w:color w:val="000000"/>
          <w:sz w:val="28"/>
          <w:szCs w:val="24"/>
          <w:highlight w:val="none"/>
        </w:rPr>
      </w:r>
      <w:r/>
    </w:p>
    <w:p>
      <w:pPr>
        <w:pStyle w:val="856"/>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类似项目业绩一览表</w:t>
      </w:r>
      <w:r>
        <w:rPr>
          <w:rFonts w:ascii="黑体" w:hAnsi="黑体" w:eastAsia="黑体" w:cs="宋体"/>
          <w:bCs/>
          <w:color w:val="000000"/>
          <w:sz w:val="36"/>
          <w:szCs w:val="28"/>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trHeight w:val="753"/>
        </w:trPr>
        <w:tc>
          <w:tcPr>
            <w:tcW w:w="1014" w:type="dxa"/>
            <w:vAlign w:val="center"/>
            <w:textDirection w:val="lrTb"/>
            <w:noWrap w:val="false"/>
          </w:tcPr>
          <w:p>
            <w:pPr>
              <w:pStyle w:val="856"/>
              <w:jc w:val="center"/>
              <w:spacing w:line="520" w:lineRule="exact"/>
              <w:rPr>
                <w:rFonts w:ascii="宋体" w:hAnsi="宋体"/>
                <w:color w:val="000000"/>
                <w:sz w:val="28"/>
                <w:szCs w:val="24"/>
                <w:highlight w:val="none"/>
              </w:rPr>
            </w:pPr>
            <w:r>
              <w:rPr>
                <w:rFonts w:hint="eastAsia" w:ascii="宋体" w:hAnsi="宋体"/>
                <w:color w:val="000000"/>
                <w:sz w:val="28"/>
                <w:szCs w:val="24"/>
                <w:highlight w:val="none"/>
              </w:rPr>
              <w:t xml:space="preserve">序号</w:t>
            </w:r>
            <w:r>
              <w:rPr>
                <w:rFonts w:ascii="宋体" w:hAnsi="宋体"/>
                <w:color w:val="000000"/>
                <w:sz w:val="28"/>
                <w:szCs w:val="24"/>
                <w:highlight w:val="none"/>
              </w:rPr>
            </w:r>
            <w:r/>
          </w:p>
        </w:tc>
        <w:tc>
          <w:tcPr>
            <w:tcW w:w="2439" w:type="dxa"/>
            <w:vAlign w:val="center"/>
            <w:textDirection w:val="lrTb"/>
            <w:noWrap w:val="false"/>
          </w:tcPr>
          <w:p>
            <w:pPr>
              <w:pStyle w:val="856"/>
              <w:jc w:val="center"/>
              <w:spacing w:line="520" w:lineRule="exact"/>
              <w:rPr>
                <w:rFonts w:ascii="宋体" w:hAnsi="宋体"/>
                <w:color w:val="000000"/>
                <w:sz w:val="28"/>
                <w:szCs w:val="24"/>
                <w:highlight w:val="none"/>
              </w:rPr>
            </w:pPr>
            <w:r>
              <w:rPr>
                <w:rFonts w:hint="eastAsia" w:ascii="宋体" w:hAnsi="宋体"/>
                <w:color w:val="000000"/>
                <w:sz w:val="28"/>
                <w:szCs w:val="24"/>
                <w:highlight w:val="none"/>
              </w:rPr>
              <w:t xml:space="preserve">项目名称</w:t>
            </w:r>
            <w:r>
              <w:rPr>
                <w:rFonts w:ascii="宋体" w:hAnsi="宋体"/>
                <w:color w:val="000000"/>
                <w:sz w:val="28"/>
                <w:szCs w:val="24"/>
                <w:highlight w:val="none"/>
              </w:rPr>
            </w:r>
            <w:r/>
          </w:p>
        </w:tc>
        <w:tc>
          <w:tcPr>
            <w:tcW w:w="2135" w:type="dxa"/>
            <w:vAlign w:val="center"/>
            <w:textDirection w:val="lrTb"/>
            <w:noWrap w:val="false"/>
          </w:tcPr>
          <w:p>
            <w:pPr>
              <w:pStyle w:val="856"/>
              <w:jc w:val="center"/>
              <w:spacing w:line="520" w:lineRule="exact"/>
              <w:rPr>
                <w:rFonts w:ascii="宋体" w:hAnsi="宋体"/>
                <w:color w:val="000000"/>
                <w:sz w:val="28"/>
                <w:szCs w:val="24"/>
                <w:highlight w:val="none"/>
              </w:rPr>
            </w:pPr>
            <w:r>
              <w:rPr>
                <w:rFonts w:hint="eastAsia" w:ascii="宋体" w:hAnsi="宋体"/>
                <w:color w:val="000000"/>
                <w:sz w:val="28"/>
                <w:szCs w:val="24"/>
                <w:highlight w:val="none"/>
              </w:rPr>
              <w:t xml:space="preserve">签订时间</w:t>
            </w:r>
            <w:r>
              <w:rPr>
                <w:rFonts w:ascii="宋体" w:hAnsi="宋体"/>
                <w:color w:val="000000"/>
                <w:sz w:val="28"/>
                <w:szCs w:val="24"/>
                <w:highlight w:val="none"/>
              </w:rPr>
            </w:r>
            <w:r/>
          </w:p>
        </w:tc>
        <w:tc>
          <w:tcPr>
            <w:tcW w:w="1358" w:type="dxa"/>
            <w:vAlign w:val="center"/>
            <w:textDirection w:val="lrTb"/>
            <w:noWrap w:val="false"/>
          </w:tcPr>
          <w:p>
            <w:pPr>
              <w:pStyle w:val="856"/>
              <w:jc w:val="center"/>
              <w:spacing w:line="520" w:lineRule="exact"/>
              <w:rPr>
                <w:rFonts w:ascii="宋体" w:hAnsi="宋体"/>
                <w:color w:val="000000"/>
                <w:sz w:val="28"/>
                <w:szCs w:val="24"/>
                <w:highlight w:val="none"/>
              </w:rPr>
            </w:pPr>
            <w:r>
              <w:rPr>
                <w:rFonts w:hint="eastAsia" w:ascii="宋体" w:hAnsi="宋体"/>
                <w:color w:val="000000"/>
                <w:sz w:val="28"/>
                <w:szCs w:val="24"/>
                <w:highlight w:val="none"/>
              </w:rPr>
              <w:t xml:space="preserve">采购单位</w:t>
            </w:r>
            <w:r>
              <w:rPr>
                <w:rFonts w:ascii="宋体" w:hAnsi="宋体"/>
                <w:color w:val="000000"/>
                <w:sz w:val="28"/>
                <w:szCs w:val="24"/>
                <w:highlight w:val="none"/>
              </w:rPr>
            </w:r>
            <w:r/>
          </w:p>
        </w:tc>
        <w:tc>
          <w:tcPr>
            <w:tcW w:w="2418" w:type="dxa"/>
            <w:vAlign w:val="center"/>
            <w:textDirection w:val="lrTb"/>
            <w:noWrap w:val="false"/>
          </w:tcPr>
          <w:p>
            <w:pPr>
              <w:pStyle w:val="856"/>
              <w:jc w:val="center"/>
              <w:spacing w:line="520" w:lineRule="exact"/>
              <w:rPr>
                <w:rFonts w:ascii="宋体" w:hAnsi="宋体"/>
                <w:color w:val="000000"/>
                <w:sz w:val="28"/>
                <w:szCs w:val="24"/>
                <w:highlight w:val="none"/>
              </w:rPr>
            </w:pPr>
            <w:r>
              <w:rPr>
                <w:rFonts w:hint="eastAsia" w:ascii="宋体" w:hAnsi="宋体"/>
                <w:color w:val="000000"/>
                <w:sz w:val="28"/>
                <w:szCs w:val="24"/>
                <w:highlight w:val="none"/>
              </w:rPr>
              <w:t xml:space="preserve">合同金额</w:t>
            </w:r>
            <w:r>
              <w:rPr>
                <w:rFonts w:ascii="宋体" w:hAnsi="宋体"/>
                <w:color w:val="000000"/>
                <w:sz w:val="28"/>
                <w:szCs w:val="24"/>
                <w:highlight w:val="none"/>
              </w:rPr>
            </w:r>
            <w:r/>
          </w:p>
        </w:tc>
      </w:tr>
      <w:tr>
        <w:trPr>
          <w:trHeight w:val="753"/>
        </w:trPr>
        <w:tc>
          <w:tcPr>
            <w:tcW w:w="1014"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439"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135"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1358"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418"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r>
      <w:tr>
        <w:trPr>
          <w:trHeight w:val="753"/>
        </w:trPr>
        <w:tc>
          <w:tcPr>
            <w:tcW w:w="1014"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439"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135"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1358"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418"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r>
      <w:tr>
        <w:trPr>
          <w:trHeight w:val="753"/>
        </w:trPr>
        <w:tc>
          <w:tcPr>
            <w:tcW w:w="1014"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439"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135"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1358"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418"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r>
      <w:tr>
        <w:trPr>
          <w:trHeight w:val="753"/>
        </w:trPr>
        <w:tc>
          <w:tcPr>
            <w:tcW w:w="1014"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439"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135"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1358"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418"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r>
      <w:tr>
        <w:trPr>
          <w:trHeight w:val="753"/>
        </w:trPr>
        <w:tc>
          <w:tcPr>
            <w:tcW w:w="1014"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439"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135"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1358"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418"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r>
      <w:tr>
        <w:trPr>
          <w:trHeight w:val="753"/>
        </w:trPr>
        <w:tc>
          <w:tcPr>
            <w:tcW w:w="1014"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439"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135"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1358"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418"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r>
      <w:tr>
        <w:trPr>
          <w:trHeight w:val="753"/>
        </w:trPr>
        <w:tc>
          <w:tcPr>
            <w:tcW w:w="1014"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439"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135"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1358"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418"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r>
      <w:tr>
        <w:trPr>
          <w:trHeight w:val="753"/>
        </w:trPr>
        <w:tc>
          <w:tcPr>
            <w:tcW w:w="1014"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439"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135"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1358"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418"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r>
      <w:tr>
        <w:trPr>
          <w:trHeight w:val="753"/>
        </w:trPr>
        <w:tc>
          <w:tcPr>
            <w:tcW w:w="1014"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439"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135"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1358"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418"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r>
      <w:tr>
        <w:trPr>
          <w:trHeight w:val="772"/>
        </w:trPr>
        <w:tc>
          <w:tcPr>
            <w:tcW w:w="1014"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439"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135"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1358"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c>
          <w:tcPr>
            <w:tcW w:w="2418" w:type="dxa"/>
            <w:vAlign w:val="center"/>
            <w:textDirection w:val="lrTb"/>
            <w:noWrap w:val="false"/>
          </w:tcPr>
          <w:p>
            <w:pPr>
              <w:pStyle w:val="856"/>
              <w:jc w:val="center"/>
              <w:spacing w:line="520" w:lineRule="exact"/>
              <w:rPr>
                <w:rFonts w:ascii="宋体" w:hAnsi="宋体"/>
                <w:color w:val="000000"/>
                <w:sz w:val="28"/>
                <w:szCs w:val="24"/>
                <w:highlight w:val="none"/>
              </w:rPr>
            </w:pPr>
            <w:r>
              <w:rPr>
                <w:rFonts w:ascii="宋体" w:hAnsi="宋体"/>
                <w:color w:val="000000"/>
                <w:sz w:val="28"/>
                <w:szCs w:val="24"/>
                <w:highlight w:val="none"/>
              </w:rPr>
            </w:r>
            <w:r/>
          </w:p>
        </w:tc>
      </w:tr>
    </w:tbl>
    <w:p>
      <w:pPr>
        <w:pStyle w:val="856"/>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ind w:firstLine="480"/>
        <w:spacing w:line="360" w:lineRule="auto"/>
        <w:rPr>
          <w:color w:val="000000"/>
          <w:sz w:val="24"/>
          <w:szCs w:val="24"/>
          <w:highlight w:val="none"/>
        </w:rPr>
      </w:pPr>
      <w:r>
        <w:rPr>
          <w:rFonts w:hint="eastAsia"/>
          <w:color w:val="000000"/>
          <w:sz w:val="24"/>
          <w:szCs w:val="24"/>
          <w:highlight w:val="none"/>
        </w:rPr>
        <w:t xml:space="preserve">投标人（盖章）：</w:t>
      </w:r>
      <w:r>
        <w:rPr>
          <w:color w:val="000000"/>
          <w:sz w:val="24"/>
          <w:szCs w:val="24"/>
          <w:highlight w:val="none"/>
        </w:rPr>
      </w:r>
      <w:r/>
    </w:p>
    <w:p>
      <w:pPr>
        <w:pStyle w:val="856"/>
        <w:ind w:firstLine="480"/>
        <w:spacing w:line="360" w:lineRule="auto"/>
        <w:rPr>
          <w:color w:val="000000"/>
          <w:sz w:val="24"/>
          <w:szCs w:val="24"/>
          <w:highlight w:val="none"/>
        </w:rPr>
      </w:pPr>
      <w:r>
        <w:rPr>
          <w:rFonts w:hint="eastAsia"/>
          <w:color w:val="000000"/>
          <w:sz w:val="24"/>
          <w:szCs w:val="24"/>
          <w:highlight w:val="none"/>
        </w:rPr>
        <w:t xml:space="preserve">法定代表人或委托代理人（签字或盖章）：</w:t>
      </w:r>
      <w:r>
        <w:rPr>
          <w:color w:val="000000"/>
          <w:sz w:val="24"/>
          <w:szCs w:val="24"/>
          <w:highlight w:val="none"/>
        </w:rPr>
      </w:r>
      <w:r/>
    </w:p>
    <w:p>
      <w:pPr>
        <w:pStyle w:val="856"/>
        <w:ind w:firstLine="480"/>
        <w:spacing w:line="360" w:lineRule="auto"/>
        <w:rPr>
          <w:rFonts w:ascii="宋体" w:hAnsi="Courier New"/>
          <w:color w:val="000000"/>
          <w:sz w:val="24"/>
          <w:szCs w:val="24"/>
          <w:highlight w:val="none"/>
        </w:rPr>
      </w:pPr>
      <w:r>
        <w:rPr>
          <w:rFonts w:hint="eastAsia" w:ascii="宋体" w:hAnsi="Courier New"/>
          <w:color w:val="000000"/>
          <w:sz w:val="24"/>
          <w:szCs w:val="24"/>
          <w:highlight w:val="none"/>
        </w:rPr>
        <w:t xml:space="preserve">日期：    年     月     日</w:t>
      </w:r>
      <w:r>
        <w:rPr>
          <w:rFonts w:ascii="宋体" w:hAnsi="Courier New"/>
          <w:color w:val="000000"/>
          <w:sz w:val="24"/>
          <w:szCs w:val="24"/>
          <w:highlight w:val="none"/>
        </w:rPr>
      </w:r>
      <w:r/>
    </w:p>
    <w:p>
      <w:pPr>
        <w:pStyle w:val="856"/>
        <w:ind w:firstLine="480"/>
        <w:spacing w:line="360" w:lineRule="auto"/>
        <w:rPr>
          <w:rFonts w:ascii="宋体" w:hAnsi="Courier New"/>
          <w:color w:val="000000"/>
          <w:sz w:val="24"/>
          <w:szCs w:val="24"/>
          <w:highlight w:val="none"/>
        </w:rPr>
      </w:pPr>
      <w:r>
        <w:rPr>
          <w:rFonts w:ascii="宋体" w:hAnsi="Courier New"/>
          <w:color w:val="000000"/>
          <w:sz w:val="24"/>
          <w:szCs w:val="24"/>
          <w:highlight w:val="none"/>
        </w:rPr>
      </w:r>
      <w:r/>
    </w:p>
    <w:p>
      <w:pPr>
        <w:pStyle w:val="856"/>
        <w:keepLines/>
        <w:keepNext/>
        <w:rPr>
          <w:rFonts w:ascii="Arial" w:hAnsi="Arial" w:eastAsia="黑体"/>
          <w:b/>
          <w:bCs/>
          <w:color w:val="000000"/>
          <w:sz w:val="32"/>
          <w:szCs w:val="32"/>
          <w:highlight w:val="none"/>
        </w:rPr>
        <w:outlineLvl w:val="1"/>
      </w:pPr>
      <w:r>
        <w:rPr>
          <w:rFonts w:ascii="Arial" w:hAnsi="Arial" w:eastAsia="黑体"/>
          <w:b/>
          <w:bCs/>
          <w:color w:val="000000"/>
          <w:sz w:val="32"/>
          <w:szCs w:val="32"/>
          <w:highlight w:val="none"/>
        </w:rPr>
        <w:br w:type="page" w:clear="all"/>
      </w:r>
      <w:r>
        <w:rPr>
          <w:rFonts w:hint="eastAsia" w:ascii="Arial" w:hAnsi="Arial" w:eastAsia="黑体"/>
          <w:b/>
          <w:bCs/>
          <w:color w:val="000000"/>
          <w:sz w:val="24"/>
          <w:szCs w:val="32"/>
          <w:highlight w:val="none"/>
        </w:rPr>
        <w:t xml:space="preserve">格式13、项目需求响应</w:t>
      </w:r>
      <w:r>
        <w:rPr>
          <w:rFonts w:ascii="Arial" w:hAnsi="Arial" w:eastAsia="黑体"/>
          <w:b/>
          <w:bCs/>
          <w:color w:val="000000"/>
          <w:sz w:val="32"/>
          <w:szCs w:val="32"/>
          <w:highlight w:val="none"/>
        </w:rPr>
      </w:r>
      <w:r/>
    </w:p>
    <w:p>
      <w:pPr>
        <w:pStyle w:val="856"/>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项目需求响应</w:t>
      </w:r>
      <w:r>
        <w:rPr>
          <w:rFonts w:ascii="黑体" w:hAnsi="黑体" w:eastAsia="黑体" w:cs="宋体"/>
          <w:bCs/>
          <w:color w:val="000000"/>
          <w:sz w:val="36"/>
          <w:szCs w:val="28"/>
          <w:highlight w:val="none"/>
        </w:rPr>
      </w:r>
      <w:r/>
    </w:p>
    <w:p>
      <w:pPr>
        <w:pStyle w:val="856"/>
        <w:jc w:val="center"/>
        <w:spacing w:line="520" w:lineRule="exact"/>
        <w:rPr>
          <w:rFonts w:ascii="宋体" w:hAnsi="宋体"/>
          <w:color w:val="000000"/>
          <w:sz w:val="24"/>
          <w:szCs w:val="24"/>
          <w:highlight w:val="none"/>
        </w:rPr>
      </w:pPr>
      <w:r>
        <w:rPr>
          <w:rFonts w:hint="eastAsia" w:ascii="宋体" w:hAnsi="宋体"/>
          <w:color w:val="000000"/>
          <w:szCs w:val="24"/>
          <w:highlight w:val="none"/>
        </w:rPr>
        <w:t xml:space="preserve">（投标人按“项目需求”等内容要求自行填写，格式自定）</w:t>
      </w: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ind w:firstLine="480"/>
        <w:spacing w:line="360" w:lineRule="auto"/>
        <w:rPr>
          <w:color w:val="000000"/>
          <w:sz w:val="24"/>
          <w:szCs w:val="24"/>
          <w:highlight w:val="none"/>
        </w:rPr>
      </w:pPr>
      <w:r>
        <w:rPr>
          <w:rFonts w:hint="eastAsia"/>
          <w:color w:val="000000"/>
          <w:sz w:val="24"/>
          <w:szCs w:val="24"/>
          <w:highlight w:val="none"/>
        </w:rPr>
        <w:t xml:space="preserve">投标人（盖章）：</w:t>
      </w:r>
      <w:r>
        <w:rPr>
          <w:color w:val="000000"/>
          <w:sz w:val="24"/>
          <w:szCs w:val="24"/>
          <w:highlight w:val="none"/>
        </w:rPr>
      </w:r>
      <w:r/>
    </w:p>
    <w:p>
      <w:pPr>
        <w:pStyle w:val="856"/>
        <w:ind w:firstLine="480"/>
        <w:spacing w:line="360" w:lineRule="auto"/>
        <w:rPr>
          <w:color w:val="000000"/>
          <w:sz w:val="24"/>
          <w:szCs w:val="24"/>
          <w:highlight w:val="none"/>
        </w:rPr>
      </w:pPr>
      <w:r>
        <w:rPr>
          <w:rFonts w:hint="eastAsia"/>
          <w:color w:val="000000"/>
          <w:sz w:val="24"/>
          <w:szCs w:val="24"/>
          <w:highlight w:val="none"/>
        </w:rPr>
        <w:t xml:space="preserve">法定代表人或委托代理人（签字或盖章）：</w:t>
      </w:r>
      <w:r>
        <w:rPr>
          <w:color w:val="000000"/>
          <w:sz w:val="24"/>
          <w:szCs w:val="24"/>
          <w:highlight w:val="none"/>
        </w:rPr>
      </w:r>
      <w:r/>
    </w:p>
    <w:p>
      <w:pPr>
        <w:pStyle w:val="856"/>
        <w:ind w:firstLine="480"/>
        <w:spacing w:line="360" w:lineRule="auto"/>
        <w:rPr>
          <w:rFonts w:ascii="宋体" w:hAnsi="Courier New"/>
          <w:color w:val="000000"/>
          <w:sz w:val="24"/>
          <w:szCs w:val="24"/>
          <w:highlight w:val="none"/>
        </w:rPr>
      </w:pPr>
      <w:r>
        <w:rPr>
          <w:rFonts w:hint="eastAsia" w:ascii="宋体" w:hAnsi="Courier New"/>
          <w:color w:val="000000"/>
          <w:sz w:val="24"/>
          <w:szCs w:val="24"/>
          <w:highlight w:val="none"/>
        </w:rPr>
        <w:t xml:space="preserve">日期：    年     月     日</w:t>
      </w:r>
      <w:r>
        <w:rPr>
          <w:rFonts w:ascii="宋体" w:hAnsi="Courier New"/>
          <w:color w:val="000000"/>
          <w:sz w:val="24"/>
          <w:szCs w:val="24"/>
          <w:highlight w:val="none"/>
        </w:rPr>
      </w:r>
      <w:r/>
    </w:p>
    <w:p>
      <w:pPr>
        <w:pStyle w:val="856"/>
        <w:jc w:val="left"/>
        <w:spacing w:line="520" w:lineRule="exact"/>
        <w:rPr>
          <w:rFonts w:ascii="宋体" w:hAnsi="宋体"/>
          <w:b/>
          <w:color w:val="000000"/>
          <w:szCs w:val="21"/>
          <w:highlight w:val="none"/>
        </w:rPr>
      </w:pPr>
      <w:r>
        <w:rPr>
          <w:rFonts w:ascii="宋体" w:hAnsi="宋体"/>
          <w:b/>
          <w:color w:val="000000"/>
          <w:szCs w:val="21"/>
          <w:highlight w:val="none"/>
        </w:rPr>
      </w:r>
      <w:r/>
    </w:p>
    <w:p>
      <w:pPr>
        <w:pStyle w:val="856"/>
        <w:jc w:val="left"/>
        <w:widowControl/>
        <w:rPr>
          <w:rFonts w:ascii="Arial" w:hAnsi="Arial" w:eastAsia="黑体"/>
          <w:b/>
          <w:bCs/>
          <w:color w:val="000000"/>
          <w:sz w:val="24"/>
          <w:szCs w:val="32"/>
          <w:highlight w:val="none"/>
        </w:rPr>
      </w:pPr>
      <w:r>
        <w:rPr>
          <w:rFonts w:ascii="Arial" w:hAnsi="Arial" w:eastAsia="黑体"/>
          <w:b/>
          <w:bCs/>
          <w:color w:val="000000"/>
          <w:sz w:val="24"/>
          <w:szCs w:val="32"/>
          <w:highlight w:val="none"/>
        </w:rPr>
        <w:br w:type="page" w:clear="all"/>
      </w:r>
      <w:r>
        <w:rPr>
          <w:rFonts w:ascii="Arial" w:hAnsi="Arial" w:eastAsia="黑体"/>
          <w:b/>
          <w:bCs/>
          <w:color w:val="000000"/>
          <w:sz w:val="24"/>
          <w:szCs w:val="32"/>
          <w:highlight w:val="none"/>
        </w:rPr>
      </w:r>
      <w:r/>
    </w:p>
    <w:p>
      <w:pPr>
        <w:pStyle w:val="856"/>
        <w:keepLines/>
        <w:keepNext/>
        <w:rPr>
          <w:rFonts w:ascii="Arial" w:hAnsi="Arial" w:eastAsia="黑体"/>
          <w:b/>
          <w:bCs/>
          <w:color w:val="000000"/>
          <w:sz w:val="24"/>
          <w:szCs w:val="32"/>
          <w:highlight w:val="none"/>
        </w:rPr>
        <w:outlineLvl w:val="1"/>
      </w:pPr>
      <w:r>
        <w:rPr>
          <w:rFonts w:hint="eastAsia" w:ascii="Arial" w:hAnsi="Arial" w:eastAsia="黑体"/>
          <w:b/>
          <w:bCs/>
          <w:color w:val="000000"/>
          <w:sz w:val="24"/>
          <w:szCs w:val="32"/>
          <w:highlight w:val="none"/>
        </w:rPr>
        <w:t xml:space="preserve">格式14、其他材料</w:t>
      </w:r>
      <w:r>
        <w:rPr>
          <w:rFonts w:ascii="Arial" w:hAnsi="Arial" w:eastAsia="黑体"/>
          <w:b/>
          <w:bCs/>
          <w:color w:val="000000"/>
          <w:sz w:val="24"/>
          <w:szCs w:val="32"/>
          <w:highlight w:val="none"/>
        </w:rPr>
      </w:r>
      <w:r/>
    </w:p>
    <w:p>
      <w:pPr>
        <w:pStyle w:val="856"/>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其它材料</w:t>
      </w:r>
      <w:r>
        <w:rPr>
          <w:rFonts w:ascii="黑体" w:hAnsi="黑体" w:eastAsia="黑体" w:cs="宋体"/>
          <w:bCs/>
          <w:color w:val="000000"/>
          <w:sz w:val="36"/>
          <w:szCs w:val="28"/>
          <w:highlight w:val="none"/>
        </w:rPr>
      </w:r>
      <w:r/>
    </w:p>
    <w:p>
      <w:pPr>
        <w:pStyle w:val="856"/>
        <w:jc w:val="center"/>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（投标人对招标文件响应有必要提供的材料或评标办法中要求提供的材料）</w:t>
      </w: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856"/>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56"/>
        <w:ind w:firstLine="480"/>
        <w:spacing w:line="360" w:lineRule="auto"/>
        <w:rPr>
          <w:color w:val="000000"/>
          <w:sz w:val="24"/>
          <w:szCs w:val="24"/>
          <w:highlight w:val="none"/>
        </w:rPr>
      </w:pPr>
      <w:r>
        <w:rPr>
          <w:rFonts w:hint="eastAsia"/>
          <w:color w:val="000000"/>
          <w:sz w:val="24"/>
          <w:szCs w:val="24"/>
          <w:highlight w:val="none"/>
        </w:rPr>
        <w:t xml:space="preserve">投标人（盖章）：</w:t>
      </w:r>
      <w:r>
        <w:rPr>
          <w:color w:val="000000"/>
          <w:sz w:val="24"/>
          <w:szCs w:val="24"/>
          <w:highlight w:val="none"/>
        </w:rPr>
      </w:r>
      <w:r/>
    </w:p>
    <w:p>
      <w:pPr>
        <w:pStyle w:val="856"/>
        <w:ind w:firstLine="480"/>
        <w:spacing w:line="360" w:lineRule="auto"/>
        <w:rPr>
          <w:color w:val="000000"/>
          <w:sz w:val="24"/>
          <w:szCs w:val="24"/>
          <w:highlight w:val="none"/>
        </w:rPr>
      </w:pPr>
      <w:r>
        <w:rPr>
          <w:rFonts w:hint="eastAsia"/>
          <w:color w:val="000000"/>
          <w:sz w:val="24"/>
          <w:szCs w:val="24"/>
          <w:highlight w:val="none"/>
        </w:rPr>
        <w:t xml:space="preserve">法定代表人或委托代理人（签字或盖章）：</w:t>
      </w:r>
      <w:r>
        <w:rPr>
          <w:color w:val="000000"/>
          <w:sz w:val="24"/>
          <w:szCs w:val="24"/>
          <w:highlight w:val="none"/>
        </w:rPr>
      </w:r>
      <w:r/>
    </w:p>
    <w:p>
      <w:pPr>
        <w:pStyle w:val="856"/>
        <w:ind w:firstLine="480"/>
        <w:spacing w:line="360" w:lineRule="auto"/>
        <w:rPr>
          <w:rFonts w:ascii="仿宋_GB2312" w:hAnsi="Courier New" w:eastAsia="仿宋_GB2312"/>
          <w:color w:val="000000"/>
          <w:spacing w:val="6"/>
          <w:sz w:val="30"/>
          <w:szCs w:val="30"/>
          <w:highlight w:val="none"/>
        </w:rPr>
      </w:pPr>
      <w:r>
        <w:rPr>
          <w:rFonts w:hint="eastAsia" w:ascii="宋体" w:hAnsi="Courier New"/>
          <w:color w:val="000000"/>
          <w:sz w:val="24"/>
          <w:szCs w:val="24"/>
          <w:highlight w:val="none"/>
        </w:rPr>
        <w:t xml:space="preserve">日期：    年     月     日</w:t>
      </w:r>
      <w:r>
        <w:rPr>
          <w:rFonts w:ascii="仿宋_GB2312" w:hAnsi="Courier New" w:eastAsia="仿宋_GB2312"/>
          <w:color w:val="000000"/>
          <w:spacing w:val="6"/>
          <w:sz w:val="30"/>
          <w:szCs w:val="30"/>
          <w:highlight w:val="none"/>
        </w:rPr>
      </w:r>
      <w:r/>
    </w:p>
    <w:p>
      <w:pPr>
        <w:pStyle w:val="856"/>
        <w:rPr>
          <w:color w:val="000000"/>
          <w:highlight w:val="none"/>
        </w:rPr>
      </w:pPr>
      <w:r>
        <w:rPr>
          <w:color w:val="000000"/>
          <w:highlight w:val="none"/>
        </w:rPr>
      </w:r>
      <w:r/>
    </w:p>
    <w:p>
      <w:pPr>
        <w:pStyle w:val="856"/>
        <w:rPr>
          <w:rFonts w:hint="eastAsia" w:eastAsia="黑体"/>
          <w:color w:val="000000"/>
          <w:highlight w:val="none"/>
        </w:rPr>
      </w:pPr>
      <w:r>
        <w:rPr>
          <w:color w:val="000000"/>
          <w:highlight w:val="none"/>
        </w:rPr>
        <w:br w:type="page" w:clear="all"/>
      </w:r>
      <w:r>
        <w:rPr>
          <w:rFonts w:hint="eastAsia" w:ascii="Arial" w:hAnsi="Arial" w:eastAsia="黑体"/>
          <w:b/>
          <w:bCs/>
          <w:color w:val="000000"/>
          <w:sz w:val="24"/>
          <w:szCs w:val="32"/>
          <w:highlight w:val="none"/>
        </w:rPr>
        <w:t xml:space="preserve">格式15、财务状况报告及税收、社会保障资金缴纳情况承诺函</w:t>
      </w:r>
      <w:r>
        <w:rPr>
          <w:rFonts w:hint="eastAsia" w:eastAsia="黑体"/>
          <w:color w:val="000000"/>
          <w:highlight w:val="none"/>
        </w:rPr>
      </w:r>
      <w:r/>
    </w:p>
    <w:p>
      <w:pPr>
        <w:pStyle w:val="856"/>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r>
      <w:r/>
    </w:p>
    <w:p>
      <w:pPr>
        <w:pStyle w:val="856"/>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财务状况报告及税收、社会保障资金</w:t>
      </w:r>
      <w:r>
        <w:rPr>
          <w:rFonts w:hint="eastAsia" w:ascii="黑体" w:hAnsi="黑体" w:eastAsia="黑体" w:cs="宋体"/>
          <w:bCs/>
          <w:color w:val="000000"/>
          <w:sz w:val="36"/>
          <w:szCs w:val="28"/>
          <w:highlight w:val="none"/>
        </w:rPr>
      </w:r>
      <w:r/>
    </w:p>
    <w:p>
      <w:pPr>
        <w:pStyle w:val="856"/>
        <w:jc w:val="center"/>
        <w:rPr>
          <w:rFonts w:hint="eastAsia" w:ascii="方正小标宋简体" w:hAnsi="仿宋" w:eastAsia="方正小标宋简体"/>
          <w:color w:val="000000"/>
          <w:sz w:val="44"/>
          <w:szCs w:val="44"/>
          <w:highlight w:val="none"/>
        </w:rPr>
      </w:pPr>
      <w:r>
        <w:rPr>
          <w:rFonts w:hint="eastAsia" w:ascii="黑体" w:hAnsi="黑体" w:eastAsia="黑体" w:cs="宋体"/>
          <w:bCs/>
          <w:color w:val="000000"/>
          <w:sz w:val="36"/>
          <w:szCs w:val="28"/>
          <w:highlight w:val="none"/>
        </w:rPr>
        <w:t xml:space="preserve">缴纳情况承诺函</w:t>
      </w:r>
      <w:r>
        <w:rPr>
          <w:rFonts w:hint="eastAsia" w:ascii="方正小标宋简体" w:hAnsi="仿宋" w:eastAsia="方正小标宋简体"/>
          <w:color w:val="000000"/>
          <w:sz w:val="44"/>
          <w:szCs w:val="44"/>
          <w:highlight w:val="none"/>
        </w:rPr>
      </w:r>
      <w:r/>
    </w:p>
    <w:p>
      <w:pPr>
        <w:pStyle w:val="856"/>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致：</w:t>
      </w:r>
      <w:r>
        <w:rPr>
          <w:rFonts w:hint="eastAsia" w:ascii="宋体" w:hAnsi="宋体" w:cs="宋体"/>
          <w:color w:val="000000"/>
          <w:sz w:val="24"/>
          <w:szCs w:val="24"/>
          <w:highlight w:val="none"/>
          <w:u w:val="single"/>
        </w:rPr>
        <w:t xml:space="preserve">采购人名称</w:t>
      </w:r>
      <w:r>
        <w:rPr>
          <w:rFonts w:hint="eastAsia" w:ascii="宋体" w:hAnsi="宋体" w:cs="宋体"/>
          <w:color w:val="000000"/>
          <w:sz w:val="24"/>
          <w:szCs w:val="24"/>
          <w:highlight w:val="none"/>
        </w:rPr>
      </w:r>
      <w:r/>
    </w:p>
    <w:p>
      <w:pPr>
        <w:pStyle w:val="856"/>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我方</w:t>
      </w:r>
      <w:r>
        <w:rPr>
          <w:rFonts w:hint="eastAsia" w:ascii="宋体" w:hAnsi="宋体" w:cs="宋体"/>
          <w:color w:val="000000"/>
          <w:sz w:val="24"/>
          <w:szCs w:val="24"/>
          <w:highlight w:val="none"/>
          <w:u w:val="single"/>
        </w:rPr>
        <w:t xml:space="preserve">投标人名称</w:t>
      </w:r>
      <w:r>
        <w:rPr>
          <w:rFonts w:hint="eastAsia" w:ascii="宋体" w:hAnsi="宋体" w:cs="宋体"/>
          <w:color w:val="000000"/>
          <w:sz w:val="24"/>
          <w:szCs w:val="24"/>
          <w:highlight w:val="none"/>
        </w:rPr>
        <w:t xml:space="preserve">参加</w:t>
      </w:r>
      <w:r>
        <w:rPr>
          <w:rFonts w:hint="eastAsia" w:ascii="宋体" w:hAnsi="宋体" w:cs="宋体"/>
          <w:color w:val="000000"/>
          <w:sz w:val="24"/>
          <w:szCs w:val="24"/>
          <w:highlight w:val="none"/>
          <w:u w:val="single"/>
        </w:rPr>
        <w:t xml:space="preserve">项目名称</w:t>
      </w: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u w:val="single"/>
        </w:rPr>
        <w:t xml:space="preserve">项目编号</w:t>
      </w:r>
      <w:r>
        <w:rPr>
          <w:rFonts w:hint="eastAsia" w:ascii="宋体" w:hAnsi="宋体" w:cs="宋体"/>
          <w:color w:val="000000"/>
          <w:sz w:val="24"/>
          <w:szCs w:val="24"/>
          <w:highlight w:val="none"/>
        </w:rPr>
        <w:t xml:space="preserve">）采购，根据《</w:t>
      </w:r>
      <w:r>
        <w:rPr>
          <w:rStyle w:val="909"/>
          <w:rFonts w:hint="eastAsia" w:ascii="宋体" w:hAnsi="宋体" w:cs="宋体"/>
          <w:b w:val="0"/>
          <w:color w:val="000000"/>
          <w:sz w:val="24"/>
          <w:szCs w:val="24"/>
          <w:highlight w:val="none"/>
        </w:rPr>
        <w:t xml:space="preserve">关于简化政府采购供应商资格审查有关事项的通知</w:t>
      </w:r>
      <w:r>
        <w:rPr>
          <w:rFonts w:hint="eastAsia" w:ascii="宋体" w:hAnsi="宋体" w:cs="宋体"/>
          <w:color w:val="000000"/>
          <w:sz w:val="24"/>
          <w:szCs w:val="24"/>
          <w:highlight w:val="none"/>
        </w:rPr>
        <w:t xml:space="preserve">》（连财购〔2023〕4号），我方承诺具备《中华人民共和国政府采购法》第二十二条第（二）、第（四）项，《中华人民共和国政府采购法实施条例》第十七条第（二）项规定条件的，具体包括：</w:t>
      </w:r>
      <w:r>
        <w:rPr>
          <w:rFonts w:hint="eastAsia" w:ascii="宋体" w:hAnsi="宋体" w:cs="宋体"/>
          <w:color w:val="000000"/>
          <w:sz w:val="24"/>
          <w:szCs w:val="24"/>
          <w:highlight w:val="none"/>
        </w:rPr>
      </w:r>
      <w:r/>
    </w:p>
    <w:p>
      <w:pPr>
        <w:pStyle w:val="856"/>
        <w:ind w:left="360" w:firstLine="24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（1）具有良好的商业信誉和健全的财务会计制度（财务状况报告）；</w:t>
      </w:r>
      <w:r>
        <w:rPr>
          <w:rFonts w:hint="eastAsia" w:ascii="宋体" w:hAnsi="宋体" w:cs="宋体"/>
          <w:color w:val="000000"/>
          <w:sz w:val="24"/>
          <w:szCs w:val="24"/>
          <w:highlight w:val="none"/>
        </w:rPr>
      </w:r>
      <w:r/>
    </w:p>
    <w:p>
      <w:pPr>
        <w:pStyle w:val="856"/>
        <w:ind w:left="360" w:firstLine="24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（2）有依法缴纳税收和社会保障资金的良好记录。</w:t>
      </w:r>
      <w:r>
        <w:rPr>
          <w:rFonts w:hint="eastAsia" w:ascii="宋体" w:hAnsi="宋体" w:cs="宋体"/>
          <w:color w:val="000000"/>
          <w:sz w:val="24"/>
          <w:szCs w:val="24"/>
          <w:highlight w:val="none"/>
        </w:rPr>
      </w:r>
      <w:r/>
    </w:p>
    <w:p>
      <w:pPr>
        <w:pStyle w:val="856"/>
        <w:ind w:firstLine="480"/>
        <w:jc w:val="left"/>
        <w:spacing w:line="5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cs="宋体"/>
          <w:color w:val="000000"/>
          <w:sz w:val="24"/>
          <w:szCs w:val="24"/>
          <w:highlight w:val="none"/>
        </w:rPr>
      </w:r>
      <w:r/>
    </w:p>
    <w:p>
      <w:pPr>
        <w:pStyle w:val="856"/>
        <w:ind w:firstLine="480"/>
        <w:jc w:val="left"/>
        <w:spacing w:line="5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特此承诺</w:t>
      </w:r>
      <w:r>
        <w:rPr>
          <w:rFonts w:hint="eastAsia" w:ascii="宋体" w:hAnsi="宋体" w:cs="宋体"/>
          <w:color w:val="000000"/>
          <w:sz w:val="24"/>
          <w:szCs w:val="24"/>
          <w:highlight w:val="none"/>
        </w:rPr>
      </w:r>
      <w:r/>
    </w:p>
    <w:p>
      <w:pPr>
        <w:pStyle w:val="856"/>
        <w:ind w:left="360" w:firstLine="405"/>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56"/>
        <w:ind w:left="360" w:firstLine="405"/>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56"/>
        <w:ind w:left="360" w:firstLine="405"/>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投标人（公章）：          </w:t>
      </w:r>
      <w:r>
        <w:rPr>
          <w:rFonts w:hint="eastAsia" w:ascii="宋体" w:hAnsi="宋体" w:cs="宋体"/>
          <w:color w:val="000000"/>
          <w:sz w:val="24"/>
          <w:szCs w:val="24"/>
          <w:highlight w:val="none"/>
        </w:rPr>
      </w:r>
      <w:r/>
    </w:p>
    <w:p>
      <w:pPr>
        <w:pStyle w:val="856"/>
        <w:ind w:left="360" w:firstLine="405"/>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56"/>
        <w:ind w:left="360" w:firstLine="405"/>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法定代表人或其委托代理人（签名或签章）：</w:t>
      </w:r>
      <w:r>
        <w:rPr>
          <w:rFonts w:hint="eastAsia" w:ascii="宋体" w:hAnsi="宋体" w:cs="宋体"/>
          <w:color w:val="000000"/>
          <w:sz w:val="24"/>
          <w:szCs w:val="24"/>
          <w:highlight w:val="none"/>
        </w:rPr>
      </w:r>
      <w:r/>
    </w:p>
    <w:p>
      <w:pPr>
        <w:pStyle w:val="856"/>
        <w:ind w:left="360" w:firstLine="405"/>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56"/>
        <w:ind w:left="360" w:firstLine="405"/>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w:t>
      </w:r>
      <w:r/>
    </w:p>
    <w:sectPr>
      <w:footerReference w:type="default" r:id="rId9"/>
      <w:footerReference w:type="even" r:id="rId10"/>
      <w:footnotePr/>
      <w:endnotePr/>
      <w:type w:val="nextPage"/>
      <w:pgSz w:w="11906" w:h="16838" w:orient="portrait"/>
      <w:pgMar w:top="1134" w:right="1134" w:bottom="1134" w:left="1134"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MS Mincho">
    <w:panose1 w:val="02020603050405090304"/>
  </w:font>
  <w:font w:name="Cambria">
    <w:panose1 w:val="0204050305040603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华文中宋">
    <w:panose1 w:val="0201060004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pPr>
    <w:r>
      <w:t xml:space="preserve">第</w:t>
    </w:r>
    <w:r>
      <w:fldChar w:fldCharType="begin"/>
    </w:r>
    <w:r>
      <w:instrText xml:space="preserve"> PAGE  \* Arabic  \* MERGEFORMAT </w:instrText>
    </w:r>
    <w:r>
      <w:fldChar w:fldCharType="separate"/>
    </w:r>
    <w:r>
      <w:t xml:space="preserve">76</w:t>
    </w:r>
    <w:r>
      <w:fldChar w:fldCharType="end"/>
    </w:r>
    <w:r>
      <w:t xml:space="preserve">页</w:t>
    </w:r>
    <w:r>
      <w:rPr>
        <w:rFonts w:hint="eastAsia"/>
      </w:rPr>
      <w:t xml:space="preserve"> 共</w:t>
    </w:r>
    <w:r>
      <w:fldChar w:fldCharType="begin"/>
    </w:r>
    <w:r>
      <w:instrText xml:space="preserve"> NUMPAGES  \* Arabic  \* MERGEFORMAT </w:instrText>
    </w:r>
    <w:r>
      <w:fldChar w:fldCharType="separate"/>
    </w:r>
    <w:r>
      <w:t xml:space="preserve">128</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framePr w:wrap="around" w:vAnchor="text" w:hAnchor="margin" w:xAlign="center" w:y="1"/>
    </w:pPr>
    <w:r>
      <w:fldChar w:fldCharType="begin"/>
    </w:r>
    <w:r>
      <w:instrText xml:space="preserve">PAGE  </w:instrText>
    </w:r>
    <w:r>
      <w:fldChar w:fldCharType="end"/>
    </w:r>
    <w:r/>
  </w:p>
  <w:p>
    <w:pPr>
      <w:pStyle w:val="8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57"/>
      <w:isLgl w:val="false"/>
      <w:suff w:val="tab"/>
      <w:lvlText w:val="%1"/>
      <w:lvlJc w:val="left"/>
      <w:pPr>
        <w:pStyle w:val="856"/>
        <w:ind w:left="284" w:hanging="284"/>
        <w:tabs>
          <w:tab w:val="num" w:pos="360" w:leader="none"/>
        </w:tabs>
      </w:pPr>
      <w:rPr>
        <w:rFonts w:ascii="Times New Roman" w:hAnsi="Times New Roman"/>
        <w:b/>
        <w:i w:val="0"/>
        <w:sz w:val="28"/>
      </w:rPr>
    </w:lvl>
    <w:lvl w:ilvl="1">
      <w:start w:val="1"/>
      <w:numFmt w:val="decimal"/>
      <w:pStyle w:val="858"/>
      <w:isLgl w:val="false"/>
      <w:suff w:val="tab"/>
      <w:lvlText w:val="%1.%2"/>
      <w:lvlJc w:val="left"/>
      <w:pPr>
        <w:pStyle w:val="856"/>
        <w:ind w:left="1021" w:hanging="596"/>
        <w:tabs>
          <w:tab w:val="num" w:pos="1021" w:leader="none"/>
        </w:tabs>
      </w:pPr>
      <w:rPr>
        <w:rFonts w:ascii="Times New Roman" w:hAnsi="Times New Roman"/>
        <w:b/>
        <w:i w:val="0"/>
        <w:sz w:val="28"/>
      </w:rPr>
    </w:lvl>
    <w:lvl w:ilvl="2">
      <w:start w:val="1"/>
      <w:numFmt w:val="decimal"/>
      <w:pStyle w:val="859"/>
      <w:isLgl w:val="false"/>
      <w:suff w:val="tab"/>
      <w:lvlText w:val="%1.%2.%3"/>
      <w:lvlJc w:val="left"/>
      <w:pPr>
        <w:pStyle w:val="856"/>
        <w:ind w:left="1588" w:hanging="737"/>
        <w:tabs>
          <w:tab w:val="num" w:pos="1588" w:leader="none"/>
        </w:tabs>
      </w:pPr>
      <w:rPr>
        <w:rFonts w:ascii="Times New Roman" w:hAnsi="Times New Roman"/>
        <w:b/>
        <w:i w:val="0"/>
        <w:sz w:val="24"/>
      </w:rPr>
    </w:lvl>
    <w:lvl w:ilvl="3">
      <w:start w:val="1"/>
      <w:numFmt w:val="decimal"/>
      <w:pStyle w:val="860"/>
      <w:isLgl w:val="false"/>
      <w:suff w:val="tab"/>
      <w:lvlText w:val="%1.%2.%3.%4"/>
      <w:lvlJc w:val="left"/>
      <w:pPr>
        <w:pStyle w:val="856"/>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856"/>
        <w:ind w:left="2551" w:hanging="850"/>
        <w:tabs>
          <w:tab w:val="num" w:pos="3141" w:leader="none"/>
        </w:tabs>
      </w:pPr>
      <w:rPr>
        <w:rFonts w:hint="eastAsia"/>
      </w:rPr>
    </w:lvl>
    <w:lvl w:ilvl="5">
      <w:start w:val="1"/>
      <w:numFmt w:val="decimal"/>
      <w:isLgl w:val="false"/>
      <w:suff w:val="tab"/>
      <w:lvlText w:val="%1.%2.%3.%4.%5.%6"/>
      <w:lvlJc w:val="left"/>
      <w:pPr>
        <w:pStyle w:val="856"/>
        <w:ind w:left="3260" w:hanging="1134"/>
        <w:tabs>
          <w:tab w:val="num" w:pos="3566" w:leader="none"/>
        </w:tabs>
      </w:pPr>
      <w:rPr>
        <w:rFonts w:hint="eastAsia"/>
      </w:rPr>
    </w:lvl>
    <w:lvl w:ilvl="6">
      <w:start w:val="1"/>
      <w:numFmt w:val="decimal"/>
      <w:isLgl w:val="false"/>
      <w:suff w:val="tab"/>
      <w:lvlText w:val="%1.%2.%3.%4.%5.%6.%7"/>
      <w:lvlJc w:val="left"/>
      <w:pPr>
        <w:pStyle w:val="856"/>
        <w:ind w:left="3827" w:hanging="1276"/>
        <w:tabs>
          <w:tab w:val="num" w:pos="4351" w:leader="none"/>
        </w:tabs>
      </w:pPr>
      <w:rPr>
        <w:rFonts w:hint="eastAsia"/>
      </w:rPr>
    </w:lvl>
    <w:lvl w:ilvl="7">
      <w:start w:val="1"/>
      <w:numFmt w:val="decimal"/>
      <w:isLgl w:val="false"/>
      <w:suff w:val="tab"/>
      <w:lvlText w:val="%1.%2.%3.%4.%5.%6.%7.%8"/>
      <w:lvlJc w:val="left"/>
      <w:pPr>
        <w:pStyle w:val="856"/>
        <w:ind w:left="4394" w:hanging="1418"/>
        <w:tabs>
          <w:tab w:val="num" w:pos="5136" w:leader="none"/>
        </w:tabs>
      </w:pPr>
      <w:rPr>
        <w:rFonts w:hint="eastAsia"/>
      </w:rPr>
    </w:lvl>
    <w:lvl w:ilvl="8">
      <w:start w:val="1"/>
      <w:numFmt w:val="decimal"/>
      <w:isLgl w:val="false"/>
      <w:suff w:val="tab"/>
      <w:lvlText w:val="%1.%2.%3.%4.%5.%6.%7.%8.%9"/>
      <w:lvlJc w:val="left"/>
      <w:pPr>
        <w:pStyle w:val="856"/>
        <w:ind w:left="5102" w:hanging="1700"/>
        <w:tabs>
          <w:tab w:val="num" w:pos="5562" w:leader="none"/>
        </w:tabs>
      </w:pPr>
      <w:rPr>
        <w:rFonts w:hint="eastAsia"/>
      </w:rPr>
    </w:lvl>
  </w:abstractNum>
  <w:abstractNum w:abstractNumId="1">
    <w:multiLevelType w:val="hybridMultilevel"/>
    <w:lvl w:ilvl="0">
      <w:start w:val="1"/>
      <w:numFmt w:val="chineseCounting"/>
      <w:isLgl w:val="false"/>
      <w:suff w:val="nothing"/>
      <w:lvlText w:val="%1、"/>
      <w:lvlJc w:val="left"/>
      <w:pPr>
        <w:pStyle w:val="85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56"/>
        <w:ind w:left="360" w:hanging="360"/>
      </w:pPr>
    </w:lvl>
    <w:lvl w:ilvl="1">
      <w:start w:val="1"/>
      <w:numFmt w:val="lowerLetter"/>
      <w:isLgl w:val="false"/>
      <w:suff w:val="tab"/>
      <w:lvlText w:val="%2)"/>
      <w:lvlJc w:val="left"/>
      <w:pPr>
        <w:pStyle w:val="856"/>
        <w:ind w:left="840" w:hanging="420"/>
      </w:pPr>
    </w:lvl>
    <w:lvl w:ilvl="2">
      <w:start w:val="1"/>
      <w:numFmt w:val="lowerRoman"/>
      <w:isLgl w:val="false"/>
      <w:suff w:val="tab"/>
      <w:lvlText w:val="%3."/>
      <w:lvlJc w:val="right"/>
      <w:pPr>
        <w:pStyle w:val="856"/>
        <w:ind w:left="1260" w:hanging="420"/>
      </w:pPr>
    </w:lvl>
    <w:lvl w:ilvl="3">
      <w:start w:val="1"/>
      <w:numFmt w:val="decimal"/>
      <w:isLgl w:val="false"/>
      <w:suff w:val="tab"/>
      <w:lvlText w:val="%4."/>
      <w:lvlJc w:val="left"/>
      <w:pPr>
        <w:pStyle w:val="856"/>
        <w:ind w:left="1680" w:hanging="420"/>
      </w:pPr>
    </w:lvl>
    <w:lvl w:ilvl="4">
      <w:start w:val="1"/>
      <w:numFmt w:val="lowerLetter"/>
      <w:isLgl w:val="false"/>
      <w:suff w:val="tab"/>
      <w:lvlText w:val="%5)"/>
      <w:lvlJc w:val="left"/>
      <w:pPr>
        <w:pStyle w:val="856"/>
        <w:ind w:left="2100" w:hanging="420"/>
      </w:pPr>
    </w:lvl>
    <w:lvl w:ilvl="5">
      <w:start w:val="1"/>
      <w:numFmt w:val="lowerRoman"/>
      <w:isLgl w:val="false"/>
      <w:suff w:val="tab"/>
      <w:lvlText w:val="%6."/>
      <w:lvlJc w:val="right"/>
      <w:pPr>
        <w:pStyle w:val="856"/>
        <w:ind w:left="2520" w:hanging="420"/>
      </w:pPr>
    </w:lvl>
    <w:lvl w:ilvl="6">
      <w:start w:val="1"/>
      <w:numFmt w:val="decimal"/>
      <w:isLgl w:val="false"/>
      <w:suff w:val="tab"/>
      <w:lvlText w:val="%7."/>
      <w:lvlJc w:val="left"/>
      <w:pPr>
        <w:pStyle w:val="856"/>
        <w:ind w:left="2940" w:hanging="420"/>
      </w:pPr>
    </w:lvl>
    <w:lvl w:ilvl="7">
      <w:start w:val="1"/>
      <w:numFmt w:val="lowerLetter"/>
      <w:isLgl w:val="false"/>
      <w:suff w:val="tab"/>
      <w:lvlText w:val="%8)"/>
      <w:lvlJc w:val="left"/>
      <w:pPr>
        <w:pStyle w:val="856"/>
        <w:ind w:left="3360" w:hanging="420"/>
      </w:pPr>
    </w:lvl>
    <w:lvl w:ilvl="8">
      <w:start w:val="1"/>
      <w:numFmt w:val="lowerRoman"/>
      <w:isLgl w:val="false"/>
      <w:suff w:val="tab"/>
      <w:lvlText w:val="%9."/>
      <w:lvlJc w:val="right"/>
      <w:pPr>
        <w:pStyle w:val="856"/>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name w:val="Heading 1"/>
    <w:basedOn w:val="856"/>
    <w:next w:val="856"/>
    <w:link w:val="680"/>
    <w:uiPriority w:val="9"/>
    <w:qFormat/>
    <w:pPr>
      <w:keepLines/>
      <w:keepNext/>
      <w:spacing w:before="480" w:after="200"/>
      <w:outlineLvl w:val="0"/>
    </w:pPr>
    <w:rPr>
      <w:rFonts w:ascii="Arial" w:hAnsi="Arial" w:eastAsia="Arial" w:cs="Arial"/>
      <w:sz w:val="40"/>
      <w:szCs w:val="40"/>
    </w:rPr>
  </w:style>
  <w:style w:type="character" w:styleId="680">
    <w:name w:val="Heading 1 Char"/>
    <w:link w:val="679"/>
    <w:uiPriority w:val="9"/>
    <w:rPr>
      <w:rFonts w:ascii="Arial" w:hAnsi="Arial" w:eastAsia="Arial" w:cs="Arial"/>
      <w:sz w:val="40"/>
      <w:szCs w:val="40"/>
    </w:rPr>
  </w:style>
  <w:style w:type="paragraph" w:styleId="681">
    <w:name w:val="Heading 2"/>
    <w:basedOn w:val="856"/>
    <w:next w:val="856"/>
    <w:link w:val="682"/>
    <w:uiPriority w:val="9"/>
    <w:unhideWhenUsed/>
    <w:qFormat/>
    <w:pPr>
      <w:keepLines/>
      <w:keepNext/>
      <w:spacing w:before="360" w:after="200"/>
      <w:outlineLvl w:val="1"/>
    </w:pPr>
    <w:rPr>
      <w:rFonts w:ascii="Arial" w:hAnsi="Arial" w:eastAsia="Arial" w:cs="Arial"/>
      <w:sz w:val="34"/>
    </w:rPr>
  </w:style>
  <w:style w:type="character" w:styleId="682">
    <w:name w:val="Heading 2 Char"/>
    <w:link w:val="681"/>
    <w:uiPriority w:val="9"/>
    <w:rPr>
      <w:rFonts w:ascii="Arial" w:hAnsi="Arial" w:eastAsia="Arial" w:cs="Arial"/>
      <w:sz w:val="34"/>
    </w:rPr>
  </w:style>
  <w:style w:type="paragraph" w:styleId="683">
    <w:name w:val="Heading 3"/>
    <w:basedOn w:val="856"/>
    <w:next w:val="856"/>
    <w:link w:val="684"/>
    <w:uiPriority w:val="9"/>
    <w:unhideWhenUsed/>
    <w:qFormat/>
    <w:pPr>
      <w:keepLines/>
      <w:keepNext/>
      <w:spacing w:before="320" w:after="200"/>
      <w:outlineLvl w:val="2"/>
    </w:pPr>
    <w:rPr>
      <w:rFonts w:ascii="Arial" w:hAnsi="Arial" w:eastAsia="Arial" w:cs="Arial"/>
      <w:sz w:val="30"/>
      <w:szCs w:val="30"/>
    </w:rPr>
  </w:style>
  <w:style w:type="character" w:styleId="684">
    <w:name w:val="Heading 3 Char"/>
    <w:link w:val="683"/>
    <w:uiPriority w:val="9"/>
    <w:rPr>
      <w:rFonts w:ascii="Arial" w:hAnsi="Arial" w:eastAsia="Arial" w:cs="Arial"/>
      <w:sz w:val="30"/>
      <w:szCs w:val="30"/>
    </w:rPr>
  </w:style>
  <w:style w:type="paragraph" w:styleId="685">
    <w:name w:val="Heading 4"/>
    <w:basedOn w:val="856"/>
    <w:next w:val="856"/>
    <w:link w:val="686"/>
    <w:uiPriority w:val="9"/>
    <w:unhideWhenUsed/>
    <w:qFormat/>
    <w:pPr>
      <w:keepLines/>
      <w:keepNext/>
      <w:spacing w:before="320" w:after="200"/>
      <w:outlineLvl w:val="3"/>
    </w:pPr>
    <w:rPr>
      <w:rFonts w:ascii="Arial" w:hAnsi="Arial" w:eastAsia="Arial" w:cs="Arial"/>
      <w:b/>
      <w:bCs/>
      <w:sz w:val="26"/>
      <w:szCs w:val="26"/>
    </w:rPr>
  </w:style>
  <w:style w:type="character" w:styleId="686">
    <w:name w:val="Heading 4 Char"/>
    <w:link w:val="685"/>
    <w:uiPriority w:val="9"/>
    <w:rPr>
      <w:rFonts w:ascii="Arial" w:hAnsi="Arial" w:eastAsia="Arial" w:cs="Arial"/>
      <w:b/>
      <w:bCs/>
      <w:sz w:val="26"/>
      <w:szCs w:val="26"/>
    </w:rPr>
  </w:style>
  <w:style w:type="paragraph" w:styleId="687">
    <w:name w:val="Heading 5"/>
    <w:basedOn w:val="856"/>
    <w:next w:val="856"/>
    <w:link w:val="688"/>
    <w:uiPriority w:val="9"/>
    <w:unhideWhenUsed/>
    <w:qFormat/>
    <w:pPr>
      <w:keepLines/>
      <w:keepNext/>
      <w:spacing w:before="320" w:after="200"/>
      <w:outlineLvl w:val="4"/>
    </w:pPr>
    <w:rPr>
      <w:rFonts w:ascii="Arial" w:hAnsi="Arial" w:eastAsia="Arial" w:cs="Arial"/>
      <w:b/>
      <w:bCs/>
      <w:sz w:val="24"/>
      <w:szCs w:val="24"/>
    </w:rPr>
  </w:style>
  <w:style w:type="character" w:styleId="688">
    <w:name w:val="Heading 5 Char"/>
    <w:link w:val="687"/>
    <w:uiPriority w:val="9"/>
    <w:rPr>
      <w:rFonts w:ascii="Arial" w:hAnsi="Arial" w:eastAsia="Arial" w:cs="Arial"/>
      <w:b/>
      <w:bCs/>
      <w:sz w:val="24"/>
      <w:szCs w:val="24"/>
    </w:rPr>
  </w:style>
  <w:style w:type="paragraph" w:styleId="689">
    <w:name w:val="Heading 6"/>
    <w:basedOn w:val="856"/>
    <w:next w:val="856"/>
    <w:link w:val="690"/>
    <w:uiPriority w:val="9"/>
    <w:unhideWhenUsed/>
    <w:qFormat/>
    <w:pPr>
      <w:keepLines/>
      <w:keepNext/>
      <w:spacing w:before="320" w:after="200"/>
      <w:outlineLvl w:val="5"/>
    </w:pPr>
    <w:rPr>
      <w:rFonts w:ascii="Arial" w:hAnsi="Arial" w:eastAsia="Arial" w:cs="Arial"/>
      <w:b/>
      <w:bCs/>
      <w:sz w:val="22"/>
      <w:szCs w:val="22"/>
    </w:rPr>
  </w:style>
  <w:style w:type="character" w:styleId="690">
    <w:name w:val="Heading 6 Char"/>
    <w:link w:val="689"/>
    <w:uiPriority w:val="9"/>
    <w:rPr>
      <w:rFonts w:ascii="Arial" w:hAnsi="Arial" w:eastAsia="Arial" w:cs="Arial"/>
      <w:b/>
      <w:bCs/>
      <w:sz w:val="22"/>
      <w:szCs w:val="22"/>
    </w:rPr>
  </w:style>
  <w:style w:type="paragraph" w:styleId="691">
    <w:name w:val="Heading 7"/>
    <w:basedOn w:val="856"/>
    <w:next w:val="856"/>
    <w:link w:val="692"/>
    <w:uiPriority w:val="9"/>
    <w:unhideWhenUsed/>
    <w:qFormat/>
    <w:pPr>
      <w:keepLines/>
      <w:keepNext/>
      <w:spacing w:before="320" w:after="200"/>
      <w:outlineLvl w:val="6"/>
    </w:pPr>
    <w:rPr>
      <w:rFonts w:ascii="Arial" w:hAnsi="Arial" w:eastAsia="Arial" w:cs="Arial"/>
      <w:b/>
      <w:bCs/>
      <w:i/>
      <w:iCs/>
      <w:sz w:val="22"/>
      <w:szCs w:val="22"/>
    </w:rPr>
  </w:style>
  <w:style w:type="character" w:styleId="692">
    <w:name w:val="Heading 7 Char"/>
    <w:link w:val="691"/>
    <w:uiPriority w:val="9"/>
    <w:rPr>
      <w:rFonts w:ascii="Arial" w:hAnsi="Arial" w:eastAsia="Arial" w:cs="Arial"/>
      <w:b/>
      <w:bCs/>
      <w:i/>
      <w:iCs/>
      <w:sz w:val="22"/>
      <w:szCs w:val="22"/>
    </w:rPr>
  </w:style>
  <w:style w:type="paragraph" w:styleId="693">
    <w:name w:val="Heading 8"/>
    <w:basedOn w:val="856"/>
    <w:next w:val="856"/>
    <w:link w:val="694"/>
    <w:uiPriority w:val="9"/>
    <w:unhideWhenUsed/>
    <w:qFormat/>
    <w:pPr>
      <w:keepLines/>
      <w:keepNext/>
      <w:spacing w:before="320" w:after="200"/>
      <w:outlineLvl w:val="7"/>
    </w:pPr>
    <w:rPr>
      <w:rFonts w:ascii="Arial" w:hAnsi="Arial" w:eastAsia="Arial" w:cs="Arial"/>
      <w:i/>
      <w:iCs/>
      <w:sz w:val="22"/>
      <w:szCs w:val="22"/>
    </w:rPr>
  </w:style>
  <w:style w:type="character" w:styleId="694">
    <w:name w:val="Heading 8 Char"/>
    <w:link w:val="693"/>
    <w:uiPriority w:val="9"/>
    <w:rPr>
      <w:rFonts w:ascii="Arial" w:hAnsi="Arial" w:eastAsia="Arial" w:cs="Arial"/>
      <w:i/>
      <w:iCs/>
      <w:sz w:val="22"/>
      <w:szCs w:val="22"/>
    </w:rPr>
  </w:style>
  <w:style w:type="paragraph" w:styleId="695">
    <w:name w:val="Heading 9"/>
    <w:basedOn w:val="856"/>
    <w:next w:val="856"/>
    <w:link w:val="696"/>
    <w:uiPriority w:val="9"/>
    <w:unhideWhenUsed/>
    <w:qFormat/>
    <w:pPr>
      <w:keepLines/>
      <w:keepNext/>
      <w:spacing w:before="320" w:after="200"/>
      <w:outlineLvl w:val="8"/>
    </w:pPr>
    <w:rPr>
      <w:rFonts w:ascii="Arial" w:hAnsi="Arial" w:eastAsia="Arial" w:cs="Arial"/>
      <w:i/>
      <w:iCs/>
      <w:sz w:val="21"/>
      <w:szCs w:val="21"/>
    </w:rPr>
  </w:style>
  <w:style w:type="character" w:styleId="696">
    <w:name w:val="Heading 9 Char"/>
    <w:link w:val="695"/>
    <w:uiPriority w:val="9"/>
    <w:rPr>
      <w:rFonts w:ascii="Arial" w:hAnsi="Arial" w:eastAsia="Arial" w:cs="Arial"/>
      <w:i/>
      <w:iCs/>
      <w:sz w:val="21"/>
      <w:szCs w:val="21"/>
    </w:rPr>
  </w:style>
  <w:style w:type="paragraph" w:styleId="697">
    <w:name w:val="List Paragraph"/>
    <w:basedOn w:val="856"/>
    <w:uiPriority w:val="34"/>
    <w:qFormat/>
    <w:pPr>
      <w:contextualSpacing/>
      <w:ind w:left="720"/>
    </w:pPr>
  </w:style>
  <w:style w:type="paragraph" w:styleId="698">
    <w:name w:val="No Spacing"/>
    <w:uiPriority w:val="1"/>
    <w:qFormat/>
    <w:pPr>
      <w:spacing w:before="0" w:after="0" w:line="240" w:lineRule="auto"/>
    </w:pPr>
  </w:style>
  <w:style w:type="paragraph" w:styleId="699">
    <w:name w:val="Title"/>
    <w:basedOn w:val="856"/>
    <w:next w:val="856"/>
    <w:link w:val="700"/>
    <w:uiPriority w:val="10"/>
    <w:qFormat/>
    <w:pPr>
      <w:contextualSpacing/>
      <w:spacing w:before="300" w:after="200"/>
    </w:pPr>
    <w:rPr>
      <w:sz w:val="48"/>
      <w:szCs w:val="48"/>
    </w:rPr>
  </w:style>
  <w:style w:type="character" w:styleId="700">
    <w:name w:val="Title Char"/>
    <w:link w:val="699"/>
    <w:uiPriority w:val="10"/>
    <w:rPr>
      <w:sz w:val="48"/>
      <w:szCs w:val="48"/>
    </w:rPr>
  </w:style>
  <w:style w:type="paragraph" w:styleId="701">
    <w:name w:val="Subtitle"/>
    <w:basedOn w:val="856"/>
    <w:next w:val="856"/>
    <w:link w:val="702"/>
    <w:uiPriority w:val="11"/>
    <w:qFormat/>
    <w:pPr>
      <w:spacing w:before="200" w:after="200"/>
    </w:pPr>
    <w:rPr>
      <w:sz w:val="24"/>
      <w:szCs w:val="24"/>
    </w:rPr>
  </w:style>
  <w:style w:type="character" w:styleId="702">
    <w:name w:val="Subtitle Char"/>
    <w:link w:val="701"/>
    <w:uiPriority w:val="11"/>
    <w:rPr>
      <w:sz w:val="24"/>
      <w:szCs w:val="24"/>
    </w:rPr>
  </w:style>
  <w:style w:type="paragraph" w:styleId="703">
    <w:name w:val="Quote"/>
    <w:basedOn w:val="856"/>
    <w:next w:val="856"/>
    <w:link w:val="704"/>
    <w:uiPriority w:val="29"/>
    <w:qFormat/>
    <w:pPr>
      <w:ind w:left="720" w:right="720"/>
    </w:pPr>
    <w:rPr>
      <w:i/>
    </w:rPr>
  </w:style>
  <w:style w:type="character" w:styleId="704">
    <w:name w:val="Quote Char"/>
    <w:link w:val="703"/>
    <w:uiPriority w:val="29"/>
    <w:rPr>
      <w:i/>
    </w:rPr>
  </w:style>
  <w:style w:type="paragraph" w:styleId="705">
    <w:name w:val="Intense Quote"/>
    <w:basedOn w:val="856"/>
    <w:next w:val="856"/>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link w:val="705"/>
    <w:uiPriority w:val="30"/>
    <w:rPr>
      <w:i/>
    </w:rPr>
  </w:style>
  <w:style w:type="paragraph" w:styleId="707">
    <w:name w:val="Header"/>
    <w:basedOn w:val="856"/>
    <w:link w:val="708"/>
    <w:uiPriority w:val="99"/>
    <w:unhideWhenUsed/>
    <w:pPr>
      <w:spacing w:after="0" w:line="240" w:lineRule="auto"/>
      <w:tabs>
        <w:tab w:val="center" w:pos="7143" w:leader="none"/>
        <w:tab w:val="right" w:pos="14287" w:leader="none"/>
      </w:tabs>
    </w:pPr>
  </w:style>
  <w:style w:type="character" w:styleId="708">
    <w:name w:val="Header Char"/>
    <w:link w:val="707"/>
    <w:uiPriority w:val="99"/>
  </w:style>
  <w:style w:type="paragraph" w:styleId="709">
    <w:name w:val="Footer"/>
    <w:basedOn w:val="856"/>
    <w:link w:val="712"/>
    <w:uiPriority w:val="99"/>
    <w:unhideWhenUsed/>
    <w:pPr>
      <w:spacing w:after="0" w:line="240" w:lineRule="auto"/>
      <w:tabs>
        <w:tab w:val="center" w:pos="7143" w:leader="none"/>
        <w:tab w:val="right" w:pos="14287" w:leader="none"/>
      </w:tabs>
    </w:pPr>
  </w:style>
  <w:style w:type="character" w:styleId="710">
    <w:name w:val="Footer Char"/>
    <w:link w:val="709"/>
    <w:uiPriority w:val="99"/>
  </w:style>
  <w:style w:type="paragraph" w:styleId="711">
    <w:name w:val="Caption"/>
    <w:basedOn w:val="856"/>
    <w:next w:val="856"/>
    <w:uiPriority w:val="35"/>
    <w:semiHidden/>
    <w:unhideWhenUsed/>
    <w:qFormat/>
    <w:pPr>
      <w:spacing w:line="276" w:lineRule="auto"/>
    </w:pPr>
    <w:rPr>
      <w:b/>
      <w:bCs/>
      <w:color w:val="4f81bd" w:themeColor="accent1"/>
      <w:sz w:val="18"/>
      <w:szCs w:val="18"/>
    </w:rPr>
  </w:style>
  <w:style w:type="character" w:styleId="712">
    <w:name w:val="Caption Char"/>
    <w:basedOn w:val="711"/>
    <w:link w:val="709"/>
    <w:uiPriority w:val="99"/>
  </w:style>
  <w:style w:type="table" w:styleId="71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9">
    <w:name w:val="Hyperlink"/>
    <w:uiPriority w:val="99"/>
    <w:unhideWhenUsed/>
    <w:rPr>
      <w:color w:val="0000ff" w:themeColor="hyperlink"/>
      <w:u w:val="single"/>
    </w:rPr>
  </w:style>
  <w:style w:type="paragraph" w:styleId="840">
    <w:name w:val="footnote text"/>
    <w:basedOn w:val="856"/>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uiPriority w:val="99"/>
    <w:unhideWhenUsed/>
    <w:rPr>
      <w:vertAlign w:val="superscript"/>
    </w:rPr>
  </w:style>
  <w:style w:type="paragraph" w:styleId="843">
    <w:name w:val="endnote text"/>
    <w:basedOn w:val="856"/>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uiPriority w:val="99"/>
    <w:semiHidden/>
    <w:unhideWhenUsed/>
    <w:rPr>
      <w:vertAlign w:val="superscript"/>
    </w:rPr>
  </w:style>
  <w:style w:type="paragraph" w:styleId="846">
    <w:name w:val="toc 1"/>
    <w:basedOn w:val="856"/>
    <w:next w:val="856"/>
    <w:uiPriority w:val="39"/>
    <w:unhideWhenUsed/>
    <w:pPr>
      <w:ind w:left="0" w:right="0" w:firstLine="0"/>
      <w:spacing w:after="57"/>
    </w:pPr>
  </w:style>
  <w:style w:type="paragraph" w:styleId="847">
    <w:name w:val="toc 2"/>
    <w:basedOn w:val="856"/>
    <w:next w:val="856"/>
    <w:uiPriority w:val="39"/>
    <w:unhideWhenUsed/>
    <w:pPr>
      <w:ind w:left="283" w:right="0" w:firstLine="0"/>
      <w:spacing w:after="57"/>
    </w:pPr>
  </w:style>
  <w:style w:type="paragraph" w:styleId="848">
    <w:name w:val="toc 3"/>
    <w:basedOn w:val="856"/>
    <w:next w:val="856"/>
    <w:uiPriority w:val="39"/>
    <w:unhideWhenUsed/>
    <w:pPr>
      <w:ind w:left="567" w:right="0" w:firstLine="0"/>
      <w:spacing w:after="57"/>
    </w:pPr>
  </w:style>
  <w:style w:type="paragraph" w:styleId="849">
    <w:name w:val="toc 4"/>
    <w:basedOn w:val="856"/>
    <w:next w:val="856"/>
    <w:uiPriority w:val="39"/>
    <w:unhideWhenUsed/>
    <w:pPr>
      <w:ind w:left="850" w:right="0" w:firstLine="0"/>
      <w:spacing w:after="57"/>
    </w:pPr>
  </w:style>
  <w:style w:type="paragraph" w:styleId="850">
    <w:name w:val="toc 5"/>
    <w:basedOn w:val="856"/>
    <w:next w:val="856"/>
    <w:uiPriority w:val="39"/>
    <w:unhideWhenUsed/>
    <w:pPr>
      <w:ind w:left="1134" w:right="0" w:firstLine="0"/>
      <w:spacing w:after="57"/>
    </w:pPr>
  </w:style>
  <w:style w:type="paragraph" w:styleId="851">
    <w:name w:val="toc 6"/>
    <w:basedOn w:val="856"/>
    <w:next w:val="856"/>
    <w:uiPriority w:val="39"/>
    <w:unhideWhenUsed/>
    <w:pPr>
      <w:ind w:left="1417" w:right="0" w:firstLine="0"/>
      <w:spacing w:after="57"/>
    </w:pPr>
  </w:style>
  <w:style w:type="paragraph" w:styleId="852">
    <w:name w:val="toc 7"/>
    <w:basedOn w:val="856"/>
    <w:next w:val="856"/>
    <w:uiPriority w:val="39"/>
    <w:unhideWhenUsed/>
    <w:pPr>
      <w:ind w:left="1701" w:right="0" w:firstLine="0"/>
      <w:spacing w:after="57"/>
    </w:pPr>
  </w:style>
  <w:style w:type="paragraph" w:styleId="853">
    <w:name w:val="toc 8"/>
    <w:basedOn w:val="856"/>
    <w:next w:val="856"/>
    <w:uiPriority w:val="39"/>
    <w:unhideWhenUsed/>
    <w:pPr>
      <w:ind w:left="1984" w:right="0" w:firstLine="0"/>
      <w:spacing w:after="57"/>
    </w:pPr>
  </w:style>
  <w:style w:type="paragraph" w:styleId="854">
    <w:name w:val="toc 9"/>
    <w:basedOn w:val="856"/>
    <w:next w:val="856"/>
    <w:uiPriority w:val="39"/>
    <w:unhideWhenUsed/>
    <w:pPr>
      <w:ind w:left="2268" w:right="0" w:firstLine="0"/>
      <w:spacing w:after="57"/>
    </w:pPr>
  </w:style>
  <w:style w:type="paragraph" w:styleId="855">
    <w:name w:val="table of figures"/>
    <w:basedOn w:val="856"/>
    <w:next w:val="856"/>
    <w:uiPriority w:val="99"/>
    <w:unhideWhenUsed/>
    <w:pPr>
      <w:spacing w:after="0" w:afterAutospacing="0"/>
    </w:pPr>
  </w:style>
  <w:style w:type="paragraph" w:styleId="856" w:default="1">
    <w:name w:val="Normal"/>
    <w:next w:val="868"/>
    <w:link w:val="856"/>
    <w:qFormat/>
    <w:pPr>
      <w:jc w:val="both"/>
      <w:widowControl w:val="off"/>
    </w:pPr>
    <w:rPr>
      <w:sz w:val="21"/>
      <w:szCs w:val="22"/>
      <w:lang w:val="en-US" w:eastAsia="zh-CN" w:bidi="ar-SA"/>
    </w:rPr>
  </w:style>
  <w:style w:type="paragraph" w:styleId="857">
    <w:name w:val="标题 1"/>
    <w:basedOn w:val="856"/>
    <w:next w:val="856"/>
    <w:link w:val="869"/>
    <w:qFormat/>
    <w:pPr>
      <w:numPr>
        <w:ilvl w:val="0"/>
        <w:numId w:val="1"/>
      </w:numPr>
      <w:jc w:val="center"/>
      <w:keepLines/>
      <w:keepNext/>
      <w:spacing w:line="360" w:lineRule="auto"/>
      <w:tabs>
        <w:tab w:val="left" w:pos="360" w:leader="none"/>
      </w:tabs>
      <w:outlineLvl w:val="0"/>
    </w:pPr>
    <w:rPr>
      <w:rFonts w:eastAsia="黑体"/>
      <w:b/>
      <w:sz w:val="36"/>
      <w:szCs w:val="20"/>
    </w:rPr>
  </w:style>
  <w:style w:type="paragraph" w:styleId="858">
    <w:name w:val="标题 2"/>
    <w:basedOn w:val="856"/>
    <w:next w:val="856"/>
    <w:link w:val="870"/>
    <w:qFormat/>
    <w:pPr>
      <w:numPr>
        <w:ilvl w:val="1"/>
        <w:numId w:val="1"/>
      </w:numPr>
      <w:keepNext/>
      <w:spacing w:line="360" w:lineRule="auto"/>
      <w:tabs>
        <w:tab w:val="left" w:pos="1021" w:leader="none"/>
      </w:tabs>
      <w:outlineLvl w:val="1"/>
    </w:pPr>
    <w:rPr>
      <w:rFonts w:eastAsia="黑体"/>
      <w:b/>
      <w:sz w:val="28"/>
      <w:szCs w:val="20"/>
    </w:rPr>
  </w:style>
  <w:style w:type="paragraph" w:styleId="859">
    <w:name w:val="标题 3"/>
    <w:basedOn w:val="856"/>
    <w:next w:val="856"/>
    <w:link w:val="871"/>
    <w:qFormat/>
    <w:pPr>
      <w:numPr>
        <w:ilvl w:val="2"/>
        <w:numId w:val="1"/>
      </w:numPr>
      <w:spacing w:before="120" w:line="360" w:lineRule="auto"/>
      <w:tabs>
        <w:tab w:val="left" w:pos="900" w:leader="none"/>
        <w:tab w:val="left" w:pos="1588" w:leader="none"/>
      </w:tabs>
      <w:outlineLvl w:val="2"/>
    </w:pPr>
    <w:rPr>
      <w:rFonts w:eastAsia="黑体"/>
      <w:b/>
      <w:sz w:val="28"/>
      <w:szCs w:val="20"/>
    </w:rPr>
  </w:style>
  <w:style w:type="paragraph" w:styleId="860">
    <w:name w:val="标题 4"/>
    <w:basedOn w:val="856"/>
    <w:next w:val="856"/>
    <w:link w:val="872"/>
    <w:qFormat/>
    <w:pPr>
      <w:numPr>
        <w:ilvl w:val="3"/>
        <w:numId w:val="1"/>
      </w:numPr>
      <w:ind w:firstLine="200"/>
      <w:spacing w:before="120" w:line="360" w:lineRule="auto"/>
      <w:tabs>
        <w:tab w:val="left" w:pos="2155" w:leader="none"/>
      </w:tabs>
      <w:outlineLvl w:val="3"/>
    </w:pPr>
    <w:rPr>
      <w:rFonts w:ascii="Arial" w:eastAsia="黑体"/>
      <w:sz w:val="28"/>
      <w:szCs w:val="20"/>
    </w:rPr>
  </w:style>
  <w:style w:type="paragraph" w:styleId="861">
    <w:name w:val="标题 5"/>
    <w:next w:val="856"/>
    <w:link w:val="873"/>
    <w:qFormat/>
    <w:pPr>
      <w:keepLines/>
      <w:keepNext/>
      <w:spacing w:before="280" w:after="290" w:line="376" w:lineRule="auto"/>
      <w:outlineLvl w:val="4"/>
    </w:pPr>
    <w:rPr>
      <w:rFonts w:eastAsia="黑体"/>
      <w:b/>
      <w:bCs/>
      <w:sz w:val="28"/>
      <w:szCs w:val="28"/>
      <w:lang w:val="en-US" w:eastAsia="zh-CN" w:bidi="ar-SA"/>
    </w:rPr>
  </w:style>
  <w:style w:type="paragraph" w:styleId="862">
    <w:name w:val="标题 6"/>
    <w:basedOn w:val="856"/>
    <w:next w:val="856"/>
    <w:link w:val="874"/>
    <w:qFormat/>
    <w:pPr>
      <w:keepLines/>
      <w:keepNext/>
      <w:spacing w:before="240" w:after="64" w:line="320" w:lineRule="auto"/>
      <w:outlineLvl w:val="5"/>
    </w:pPr>
    <w:rPr>
      <w:rFonts w:ascii="Arial" w:hAnsi="Arial" w:eastAsia="黑体"/>
      <w:b/>
      <w:bCs/>
      <w:sz w:val="24"/>
      <w:szCs w:val="24"/>
    </w:rPr>
  </w:style>
  <w:style w:type="paragraph" w:styleId="863">
    <w:name w:val="标题 7"/>
    <w:basedOn w:val="856"/>
    <w:next w:val="856"/>
    <w:link w:val="875"/>
    <w:qFormat/>
    <w:pPr>
      <w:keepLines/>
      <w:keepNext/>
      <w:spacing w:before="240" w:after="64" w:line="320" w:lineRule="auto"/>
      <w:outlineLvl w:val="6"/>
    </w:pPr>
    <w:rPr>
      <w:b/>
      <w:bCs/>
      <w:sz w:val="24"/>
      <w:szCs w:val="24"/>
    </w:rPr>
  </w:style>
  <w:style w:type="paragraph" w:styleId="864">
    <w:name w:val="标题 8"/>
    <w:basedOn w:val="856"/>
    <w:next w:val="856"/>
    <w:link w:val="876"/>
    <w:qFormat/>
    <w:pPr>
      <w:keepLines/>
      <w:keepNext/>
      <w:spacing w:before="240" w:after="64" w:line="320" w:lineRule="auto"/>
      <w:outlineLvl w:val="7"/>
    </w:pPr>
    <w:rPr>
      <w:rFonts w:ascii="Arial" w:hAnsi="Arial" w:eastAsia="黑体"/>
      <w:sz w:val="24"/>
      <w:szCs w:val="24"/>
    </w:rPr>
  </w:style>
  <w:style w:type="paragraph" w:styleId="865">
    <w:name w:val="标题 9"/>
    <w:basedOn w:val="856"/>
    <w:next w:val="856"/>
    <w:link w:val="877"/>
    <w:qFormat/>
    <w:pPr>
      <w:keepLines/>
      <w:keepNext/>
      <w:spacing w:before="240" w:after="64" w:line="320" w:lineRule="auto"/>
      <w:outlineLvl w:val="8"/>
    </w:pPr>
    <w:rPr>
      <w:rFonts w:ascii="Arial" w:hAnsi="Arial" w:eastAsia="黑体"/>
      <w:sz w:val="20"/>
      <w:szCs w:val="21"/>
    </w:rPr>
  </w:style>
  <w:style w:type="character" w:styleId="866">
    <w:name w:val="默认段落字体"/>
    <w:next w:val="866"/>
    <w:link w:val="856"/>
    <w:uiPriority w:val="1"/>
    <w:unhideWhenUsed/>
  </w:style>
  <w:style w:type="table" w:styleId="867">
    <w:name w:val="普通表格"/>
    <w:next w:val="867"/>
    <w:link w:val="856"/>
    <w:uiPriority w:val="99"/>
    <w:unhideWhenUsed/>
    <w:qFormat/>
    <w:tblPr/>
  </w:style>
  <w:style w:type="paragraph" w:styleId="868">
    <w:name w:val="引文目录1"/>
    <w:basedOn w:val="856"/>
    <w:next w:val="856"/>
    <w:link w:val="856"/>
    <w:qFormat/>
    <w:pPr>
      <w:ind w:left="420"/>
    </w:pPr>
  </w:style>
  <w:style w:type="character" w:styleId="869">
    <w:name w:val="标题 1 Char"/>
    <w:next w:val="869"/>
    <w:link w:val="857"/>
    <w:qFormat/>
    <w:rPr>
      <w:rFonts w:ascii="Times New Roman" w:hAnsi="Times New Roman" w:eastAsia="黑体" w:cs="Times New Roman"/>
      <w:b/>
      <w:sz w:val="36"/>
      <w:szCs w:val="20"/>
    </w:rPr>
  </w:style>
  <w:style w:type="character" w:styleId="870">
    <w:name w:val="标题 2 Char"/>
    <w:next w:val="870"/>
    <w:link w:val="858"/>
    <w:qFormat/>
    <w:rPr>
      <w:rFonts w:ascii="Times New Roman" w:hAnsi="Times New Roman" w:eastAsia="黑体" w:cs="Times New Roman"/>
      <w:b/>
      <w:sz w:val="28"/>
      <w:szCs w:val="20"/>
    </w:rPr>
  </w:style>
  <w:style w:type="character" w:styleId="871">
    <w:name w:val="标题 3 Char"/>
    <w:next w:val="871"/>
    <w:link w:val="859"/>
    <w:qFormat/>
    <w:rPr>
      <w:rFonts w:ascii="Times New Roman" w:hAnsi="Times New Roman" w:eastAsia="黑体" w:cs="Times New Roman"/>
      <w:b/>
      <w:sz w:val="28"/>
      <w:szCs w:val="20"/>
    </w:rPr>
  </w:style>
  <w:style w:type="character" w:styleId="872">
    <w:name w:val="标题 4 Char"/>
    <w:next w:val="872"/>
    <w:link w:val="860"/>
    <w:qFormat/>
    <w:rPr>
      <w:rFonts w:ascii="Arial" w:hAnsi="Times New Roman" w:eastAsia="黑体" w:cs="Times New Roman"/>
      <w:sz w:val="28"/>
      <w:szCs w:val="20"/>
    </w:rPr>
  </w:style>
  <w:style w:type="character" w:styleId="873">
    <w:name w:val="标题 5 Char"/>
    <w:next w:val="873"/>
    <w:link w:val="861"/>
    <w:qFormat/>
    <w:rPr>
      <w:rFonts w:eastAsia="黑体"/>
      <w:b/>
      <w:bCs/>
      <w:sz w:val="28"/>
      <w:szCs w:val="28"/>
      <w:lang w:bidi="ar-SA"/>
    </w:rPr>
  </w:style>
  <w:style w:type="character" w:styleId="874">
    <w:name w:val="标题 6 Char"/>
    <w:next w:val="874"/>
    <w:link w:val="862"/>
    <w:qFormat/>
    <w:rPr>
      <w:rFonts w:ascii="Arial" w:hAnsi="Arial" w:eastAsia="黑体" w:cs="Times New Roman"/>
      <w:b/>
      <w:bCs/>
      <w:sz w:val="24"/>
      <w:szCs w:val="24"/>
    </w:rPr>
  </w:style>
  <w:style w:type="character" w:styleId="875">
    <w:name w:val="标题 7 Char"/>
    <w:next w:val="875"/>
    <w:link w:val="863"/>
    <w:qFormat/>
    <w:rPr>
      <w:rFonts w:ascii="Times New Roman" w:hAnsi="Times New Roman" w:eastAsia="宋体" w:cs="Times New Roman"/>
      <w:b/>
      <w:bCs/>
      <w:sz w:val="24"/>
      <w:szCs w:val="24"/>
    </w:rPr>
  </w:style>
  <w:style w:type="character" w:styleId="876">
    <w:name w:val="标题 8 Char"/>
    <w:next w:val="876"/>
    <w:link w:val="864"/>
    <w:qFormat/>
    <w:rPr>
      <w:rFonts w:ascii="Arial" w:hAnsi="Arial" w:eastAsia="黑体" w:cs="Times New Roman"/>
      <w:sz w:val="24"/>
      <w:szCs w:val="24"/>
    </w:rPr>
  </w:style>
  <w:style w:type="character" w:styleId="877">
    <w:name w:val="标题 9 Char"/>
    <w:next w:val="877"/>
    <w:link w:val="865"/>
    <w:qFormat/>
    <w:rPr>
      <w:rFonts w:ascii="Arial" w:hAnsi="Arial" w:eastAsia="黑体" w:cs="Times New Roman"/>
      <w:szCs w:val="21"/>
    </w:rPr>
  </w:style>
  <w:style w:type="paragraph" w:styleId="878">
    <w:name w:val="正文缩进"/>
    <w:basedOn w:val="856"/>
    <w:next w:val="878"/>
    <w:link w:val="856"/>
    <w:qFormat/>
    <w:pPr>
      <w:ind w:firstLine="200"/>
      <w:jc w:val="left"/>
      <w:spacing w:line="360" w:lineRule="auto"/>
    </w:pPr>
    <w:rPr>
      <w:rFonts w:ascii="Times New Roman" w:hAnsi="Times New Roman" w:eastAsia="宋体" w:cs="Times New Roman"/>
      <w:szCs w:val="24"/>
      <w:lang w:bidi="ar-SA"/>
    </w:rPr>
  </w:style>
  <w:style w:type="paragraph" w:styleId="879">
    <w:name w:val="文档结构图"/>
    <w:basedOn w:val="856"/>
    <w:next w:val="879"/>
    <w:link w:val="880"/>
    <w:uiPriority w:val="99"/>
    <w:unhideWhenUsed/>
    <w:qFormat/>
    <w:rPr>
      <w:rFonts w:ascii="宋体"/>
      <w:sz w:val="18"/>
      <w:szCs w:val="18"/>
    </w:rPr>
  </w:style>
  <w:style w:type="character" w:styleId="880">
    <w:name w:val="文档结构图 Char"/>
    <w:next w:val="880"/>
    <w:link w:val="879"/>
    <w:uiPriority w:val="99"/>
    <w:semiHidden/>
    <w:qFormat/>
    <w:rPr>
      <w:rFonts w:ascii="宋体" w:eastAsia="宋体"/>
      <w:sz w:val="18"/>
      <w:szCs w:val="18"/>
    </w:rPr>
  </w:style>
  <w:style w:type="paragraph" w:styleId="881">
    <w:name w:val="批注文字"/>
    <w:basedOn w:val="856"/>
    <w:next w:val="881"/>
    <w:link w:val="882"/>
    <w:qFormat/>
    <w:pPr>
      <w:jc w:val="left"/>
    </w:pPr>
    <w:rPr>
      <w:sz w:val="20"/>
      <w:szCs w:val="24"/>
    </w:rPr>
  </w:style>
  <w:style w:type="character" w:styleId="882">
    <w:name w:val="批注文字 Char"/>
    <w:next w:val="882"/>
    <w:link w:val="881"/>
    <w:qFormat/>
    <w:rPr>
      <w:rFonts w:ascii="Times New Roman" w:hAnsi="Times New Roman" w:eastAsia="宋体" w:cs="Times New Roman"/>
      <w:szCs w:val="24"/>
    </w:rPr>
  </w:style>
  <w:style w:type="paragraph" w:styleId="883">
    <w:name w:val="正文文本"/>
    <w:basedOn w:val="856"/>
    <w:next w:val="885"/>
    <w:link w:val="884"/>
    <w:uiPriority w:val="99"/>
    <w:unhideWhenUsed/>
    <w:qFormat/>
    <w:pPr>
      <w:spacing w:after="120"/>
    </w:pPr>
  </w:style>
  <w:style w:type="character" w:styleId="884">
    <w:name w:val="正文文本 Char"/>
    <w:next w:val="884"/>
    <w:link w:val="883"/>
    <w:uiPriority w:val="99"/>
    <w:semiHidden/>
    <w:qFormat/>
  </w:style>
  <w:style w:type="paragraph" w:styleId="885">
    <w:name w:val="style4"/>
    <w:basedOn w:val="856"/>
    <w:next w:val="886"/>
    <w:link w:val="856"/>
    <w:qFormat/>
    <w:pPr>
      <w:spacing w:before="280" w:after="280"/>
      <w:widowControl/>
    </w:pPr>
    <w:rPr>
      <w:rFonts w:ascii="宋体"/>
      <w:sz w:val="18"/>
    </w:rPr>
  </w:style>
  <w:style w:type="paragraph" w:styleId="886">
    <w:name w:val="2"/>
    <w:next w:val="856"/>
    <w:link w:val="856"/>
    <w:qFormat/>
    <w:pPr>
      <w:jc w:val="both"/>
      <w:widowControl w:val="off"/>
    </w:pPr>
    <w:rPr>
      <w:sz w:val="21"/>
      <w:szCs w:val="22"/>
      <w:lang w:val="en-US" w:eastAsia="zh-CN" w:bidi="ar-SA"/>
    </w:rPr>
  </w:style>
  <w:style w:type="paragraph" w:styleId="887">
    <w:name w:val="正文文本缩进"/>
    <w:basedOn w:val="856"/>
    <w:next w:val="888"/>
    <w:link w:val="856"/>
    <w:qFormat/>
    <w:pPr>
      <w:ind w:left="1050"/>
      <w:spacing w:line="500" w:lineRule="exact"/>
    </w:pPr>
    <w:rPr>
      <w:rFonts w:ascii="仿宋_GB2312" w:eastAsia="仿宋_GB2312"/>
      <w:sz w:val="28"/>
    </w:rPr>
  </w:style>
  <w:style w:type="paragraph" w:styleId="888">
    <w:name w:val="寄信人地址"/>
    <w:basedOn w:val="856"/>
    <w:next w:val="888"/>
    <w:link w:val="856"/>
    <w:qFormat/>
    <w:rPr>
      <w:rFonts w:ascii="Arial" w:hAnsi="Arial"/>
    </w:rPr>
  </w:style>
  <w:style w:type="paragraph" w:styleId="889">
    <w:name w:val="索引 4"/>
    <w:basedOn w:val="856"/>
    <w:next w:val="856"/>
    <w:link w:val="856"/>
    <w:uiPriority w:val="99"/>
    <w:unhideWhenUsed/>
    <w:qFormat/>
    <w:pPr>
      <w:ind w:left="600"/>
    </w:pPr>
  </w:style>
  <w:style w:type="paragraph" w:styleId="890">
    <w:name w:val="目录 3"/>
    <w:basedOn w:val="856"/>
    <w:next w:val="856"/>
    <w:link w:val="856"/>
    <w:uiPriority w:val="39"/>
    <w:unhideWhenUsed/>
    <w:qFormat/>
    <w:pPr>
      <w:ind w:left="420" w:firstLine="922"/>
      <w:jc w:val="left"/>
      <w:spacing w:line="360" w:lineRule="auto"/>
    </w:pPr>
    <w:rPr>
      <w:rFonts w:ascii="Calibri" w:hAnsi="Calibri" w:eastAsia="宋体" w:cs="Times New Roman"/>
      <w:sz w:val="20"/>
      <w:szCs w:val="20"/>
    </w:rPr>
  </w:style>
  <w:style w:type="paragraph" w:styleId="891">
    <w:name w:val="纯文本"/>
    <w:basedOn w:val="856"/>
    <w:next w:val="891"/>
    <w:link w:val="892"/>
    <w:qFormat/>
    <w:pPr>
      <w:ind w:firstLine="922"/>
      <w:spacing w:line="360" w:lineRule="auto"/>
    </w:pPr>
    <w:rPr>
      <w:rFonts w:ascii="宋体" w:hAnsi="Courier New"/>
      <w:sz w:val="20"/>
      <w:szCs w:val="20"/>
    </w:rPr>
  </w:style>
  <w:style w:type="character" w:styleId="892">
    <w:name w:val="纯文本 Char"/>
    <w:next w:val="892"/>
    <w:link w:val="891"/>
    <w:qFormat/>
    <w:rPr>
      <w:rFonts w:ascii="宋体" w:hAnsi="Courier New"/>
    </w:rPr>
  </w:style>
  <w:style w:type="paragraph" w:styleId="893">
    <w:name w:val="批注框文本"/>
    <w:basedOn w:val="856"/>
    <w:next w:val="893"/>
    <w:link w:val="894"/>
    <w:qFormat/>
    <w:rPr>
      <w:sz w:val="18"/>
      <w:szCs w:val="18"/>
    </w:rPr>
  </w:style>
  <w:style w:type="character" w:styleId="894">
    <w:name w:val="批注框文本 Char"/>
    <w:next w:val="894"/>
    <w:link w:val="893"/>
    <w:qFormat/>
    <w:rPr>
      <w:rFonts w:ascii="Times New Roman" w:hAnsi="Times New Roman" w:eastAsia="宋体" w:cs="Times New Roman"/>
      <w:sz w:val="18"/>
      <w:szCs w:val="18"/>
    </w:rPr>
  </w:style>
  <w:style w:type="paragraph" w:styleId="895">
    <w:name w:val="页脚"/>
    <w:basedOn w:val="856"/>
    <w:next w:val="895"/>
    <w:link w:val="896"/>
    <w:uiPriority w:val="99"/>
    <w:unhideWhenUsed/>
    <w:qFormat/>
    <w:pPr>
      <w:jc w:val="left"/>
      <w:tabs>
        <w:tab w:val="center" w:pos="4153" w:leader="none"/>
        <w:tab w:val="right" w:pos="8306" w:leader="none"/>
      </w:tabs>
    </w:pPr>
    <w:rPr>
      <w:sz w:val="18"/>
      <w:szCs w:val="18"/>
    </w:rPr>
  </w:style>
  <w:style w:type="character" w:styleId="896">
    <w:name w:val="页脚 Char"/>
    <w:next w:val="896"/>
    <w:link w:val="895"/>
    <w:uiPriority w:val="99"/>
    <w:qFormat/>
    <w:rPr>
      <w:sz w:val="18"/>
      <w:szCs w:val="18"/>
    </w:rPr>
  </w:style>
  <w:style w:type="paragraph" w:styleId="897">
    <w:name w:val="页眉"/>
    <w:basedOn w:val="856"/>
    <w:next w:val="897"/>
    <w:link w:val="89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98">
    <w:name w:val="页眉 Char"/>
    <w:next w:val="898"/>
    <w:link w:val="897"/>
    <w:uiPriority w:val="99"/>
    <w:qFormat/>
    <w:rPr>
      <w:sz w:val="18"/>
      <w:szCs w:val="18"/>
    </w:rPr>
  </w:style>
  <w:style w:type="paragraph" w:styleId="899">
    <w:name w:val="目录 1"/>
    <w:basedOn w:val="856"/>
    <w:next w:val="856"/>
    <w:link w:val="856"/>
    <w:uiPriority w:val="39"/>
    <w:qFormat/>
    <w:pPr>
      <w:ind w:firstLine="922"/>
      <w:jc w:val="left"/>
      <w:spacing w:before="120" w:line="360" w:lineRule="auto"/>
    </w:pPr>
    <w:rPr>
      <w:rFonts w:ascii="Calibri" w:hAnsi="Calibri" w:eastAsia="宋体" w:cs="Times New Roman"/>
      <w:b/>
      <w:bCs/>
      <w:i/>
      <w:iCs/>
      <w:sz w:val="24"/>
      <w:szCs w:val="24"/>
    </w:rPr>
  </w:style>
  <w:style w:type="paragraph" w:styleId="900">
    <w:name w:val="副标题"/>
    <w:basedOn w:val="856"/>
    <w:next w:val="856"/>
    <w:link w:val="901"/>
    <w:qFormat/>
    <w:pPr>
      <w:ind w:firstLine="922"/>
      <w:jc w:val="center"/>
      <w:spacing w:before="240" w:after="60" w:line="312" w:lineRule="auto"/>
      <w:outlineLvl w:val="1"/>
    </w:pPr>
    <w:rPr>
      <w:rFonts w:ascii="Cambria" w:hAnsi="Cambria"/>
      <w:b/>
      <w:bCs/>
      <w:sz w:val="32"/>
      <w:szCs w:val="32"/>
    </w:rPr>
  </w:style>
  <w:style w:type="character" w:styleId="901">
    <w:name w:val="副标题 Char"/>
    <w:next w:val="901"/>
    <w:link w:val="900"/>
    <w:qFormat/>
    <w:rPr>
      <w:rFonts w:ascii="Cambria" w:hAnsi="Cambria"/>
      <w:b/>
      <w:bCs/>
      <w:sz w:val="32"/>
      <w:szCs w:val="32"/>
    </w:rPr>
  </w:style>
  <w:style w:type="paragraph" w:styleId="902">
    <w:name w:val="目录 2"/>
    <w:basedOn w:val="856"/>
    <w:next w:val="856"/>
    <w:link w:val="856"/>
    <w:uiPriority w:val="39"/>
    <w:unhideWhenUsed/>
    <w:qFormat/>
    <w:pPr>
      <w:ind w:left="210" w:firstLine="922"/>
      <w:jc w:val="left"/>
      <w:spacing w:before="120" w:line="360" w:lineRule="auto"/>
    </w:pPr>
    <w:rPr>
      <w:rFonts w:ascii="Calibri" w:hAnsi="Calibri" w:eastAsia="宋体" w:cs="Times New Roman"/>
      <w:b/>
      <w:bCs/>
      <w:sz w:val="22"/>
    </w:rPr>
  </w:style>
  <w:style w:type="paragraph" w:styleId="903">
    <w:name w:val="HTML 预设格式"/>
    <w:basedOn w:val="856"/>
    <w:next w:val="903"/>
    <w:link w:val="90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04">
    <w:name w:val="HTML 预设格式 Char"/>
    <w:next w:val="904"/>
    <w:link w:val="903"/>
    <w:qFormat/>
    <w:rPr>
      <w:rFonts w:ascii="宋体" w:hAnsi="宋体" w:eastAsia="宋体" w:cs="宋体"/>
      <w:sz w:val="24"/>
      <w:szCs w:val="24"/>
    </w:rPr>
  </w:style>
  <w:style w:type="paragraph" w:styleId="905">
    <w:name w:val="索引 1"/>
    <w:basedOn w:val="856"/>
    <w:next w:val="856"/>
    <w:link w:val="856"/>
    <w:semiHidden/>
    <w:qFormat/>
    <w:rPr>
      <w:rFonts w:ascii="Times New Roman" w:hAnsi="Times New Roman" w:eastAsia="宋体" w:cs="Times New Roman"/>
      <w:szCs w:val="24"/>
    </w:rPr>
  </w:style>
  <w:style w:type="paragraph" w:styleId="906">
    <w:name w:val="批注主题"/>
    <w:basedOn w:val="881"/>
    <w:next w:val="881"/>
    <w:link w:val="907"/>
    <w:uiPriority w:val="99"/>
    <w:unhideWhenUsed/>
    <w:qFormat/>
    <w:rPr>
      <w:b/>
      <w:bCs/>
    </w:rPr>
  </w:style>
  <w:style w:type="character" w:styleId="907">
    <w:name w:val="批注主题 Char"/>
    <w:next w:val="907"/>
    <w:link w:val="906"/>
    <w:uiPriority w:val="99"/>
    <w:semiHidden/>
    <w:qFormat/>
    <w:rPr>
      <w:rFonts w:ascii="Times New Roman" w:hAnsi="Times New Roman" w:eastAsia="宋体" w:cs="Times New Roman"/>
      <w:b/>
      <w:bCs/>
      <w:szCs w:val="24"/>
    </w:rPr>
  </w:style>
  <w:style w:type="paragraph" w:styleId="908">
    <w:name w:val="正文首行缩进"/>
    <w:basedOn w:val="883"/>
    <w:next w:val="908"/>
    <w:link w:val="856"/>
    <w:uiPriority w:val="99"/>
    <w:qFormat/>
    <w:pPr>
      <w:ind w:firstLine="420"/>
    </w:pPr>
  </w:style>
  <w:style w:type="character" w:styleId="909">
    <w:name w:val="要点"/>
    <w:next w:val="909"/>
    <w:link w:val="856"/>
    <w:qFormat/>
    <w:rPr>
      <w:b/>
      <w:bCs/>
    </w:rPr>
  </w:style>
  <w:style w:type="character" w:styleId="910">
    <w:name w:val="已访问的超链接"/>
    <w:next w:val="910"/>
    <w:link w:val="856"/>
    <w:uiPriority w:val="99"/>
    <w:unhideWhenUsed/>
    <w:rPr>
      <w:color w:val="800080"/>
      <w:u w:val="none"/>
    </w:rPr>
  </w:style>
  <w:style w:type="character" w:styleId="911">
    <w:name w:val="强调"/>
    <w:next w:val="911"/>
    <w:link w:val="856"/>
    <w:uiPriority w:val="20"/>
    <w:qFormat/>
    <w:rPr>
      <w:b/>
      <w:bCs/>
      <w:i w:val="0"/>
      <w:iCs w:val="0"/>
    </w:rPr>
  </w:style>
  <w:style w:type="character" w:styleId="912">
    <w:name w:val="HTML 定义"/>
    <w:next w:val="912"/>
    <w:link w:val="856"/>
    <w:uiPriority w:val="99"/>
    <w:unhideWhenUsed/>
    <w:rPr>
      <w:b w:val="0"/>
      <w:bCs w:val="0"/>
      <w:i w:val="0"/>
      <w:iCs w:val="0"/>
    </w:rPr>
  </w:style>
  <w:style w:type="character" w:styleId="913">
    <w:name w:val="HTML 打字机"/>
    <w:next w:val="913"/>
    <w:link w:val="856"/>
    <w:uiPriority w:val="99"/>
    <w:unhideWhenUsed/>
    <w:rPr>
      <w:rFonts w:ascii="monospace" w:hAnsi="monospace" w:eastAsia="monospace" w:cs="monospace"/>
      <w:sz w:val="20"/>
    </w:rPr>
  </w:style>
  <w:style w:type="character" w:styleId="914">
    <w:name w:val="HTML 缩写"/>
    <w:next w:val="914"/>
    <w:link w:val="856"/>
    <w:uiPriority w:val="99"/>
    <w:unhideWhenUsed/>
  </w:style>
  <w:style w:type="character" w:styleId="915">
    <w:name w:val="HTML 变量"/>
    <w:next w:val="915"/>
    <w:link w:val="856"/>
    <w:uiPriority w:val="99"/>
    <w:unhideWhenUsed/>
    <w:rPr>
      <w:b w:val="0"/>
      <w:bCs w:val="0"/>
      <w:i w:val="0"/>
      <w:iCs w:val="0"/>
    </w:rPr>
  </w:style>
  <w:style w:type="character" w:styleId="916">
    <w:name w:val="超链接"/>
    <w:next w:val="916"/>
    <w:link w:val="856"/>
    <w:uiPriority w:val="99"/>
    <w:qFormat/>
    <w:rPr>
      <w:color w:val="0000ff"/>
      <w:u w:val="none"/>
    </w:rPr>
  </w:style>
  <w:style w:type="character" w:styleId="917">
    <w:name w:val="HTML 代码"/>
    <w:next w:val="917"/>
    <w:link w:val="856"/>
    <w:uiPriority w:val="99"/>
    <w:unhideWhenUsed/>
    <w:rPr>
      <w:rFonts w:ascii="monospace" w:hAnsi="monospace" w:eastAsia="monospace" w:cs="monospace"/>
      <w:b w:val="0"/>
      <w:bCs w:val="0"/>
      <w:i w:val="0"/>
      <w:iCs w:val="0"/>
      <w:sz w:val="20"/>
      <w:shd w:val="clear" w:color="auto" w:fill="ffffff"/>
    </w:rPr>
  </w:style>
  <w:style w:type="character" w:styleId="918">
    <w:name w:val="批注引用"/>
    <w:next w:val="918"/>
    <w:link w:val="856"/>
    <w:qFormat/>
    <w:rPr>
      <w:sz w:val="21"/>
      <w:szCs w:val="21"/>
    </w:rPr>
  </w:style>
  <w:style w:type="character" w:styleId="919">
    <w:name w:val="HTML 引文"/>
    <w:next w:val="919"/>
    <w:link w:val="856"/>
    <w:uiPriority w:val="99"/>
    <w:unhideWhenUsed/>
    <w:rPr>
      <w:b w:val="0"/>
      <w:bCs w:val="0"/>
      <w:i w:val="0"/>
      <w:iCs w:val="0"/>
    </w:rPr>
  </w:style>
  <w:style w:type="character" w:styleId="920">
    <w:name w:val="HTML 键盘"/>
    <w:next w:val="920"/>
    <w:link w:val="856"/>
    <w:uiPriority w:val="99"/>
    <w:unhideWhenUsed/>
    <w:rPr>
      <w:rFonts w:ascii="monospace" w:hAnsi="monospace" w:eastAsia="monospace" w:cs="monospace"/>
      <w:sz w:val="20"/>
    </w:rPr>
  </w:style>
  <w:style w:type="character" w:styleId="921">
    <w:name w:val="HTML 样本"/>
    <w:next w:val="921"/>
    <w:link w:val="856"/>
    <w:uiPriority w:val="99"/>
    <w:unhideWhenUsed/>
    <w:rPr>
      <w:rFonts w:ascii="monospace" w:hAnsi="monospace" w:eastAsia="monospace" w:cs="monospace"/>
    </w:rPr>
  </w:style>
  <w:style w:type="paragraph" w:styleId="922">
    <w:name w:val="正文_13"/>
    <w:next w:val="922"/>
    <w:link w:val="856"/>
    <w:qFormat/>
    <w:pPr>
      <w:jc w:val="both"/>
      <w:widowControl w:val="off"/>
    </w:pPr>
    <w:rPr>
      <w:sz w:val="21"/>
      <w:szCs w:val="24"/>
      <w:lang w:val="en-US" w:eastAsia="zh-CN" w:bidi="ar-SA"/>
    </w:rPr>
  </w:style>
  <w:style w:type="paragraph" w:styleId="923">
    <w:name w:val="Char"/>
    <w:basedOn w:val="856"/>
    <w:next w:val="923"/>
    <w:link w:val="856"/>
    <w:qFormat/>
    <w:pPr>
      <w:ind w:firstLine="922"/>
      <w:jc w:val="left"/>
      <w:spacing w:after="160" w:line="240" w:lineRule="exact"/>
      <w:widowControl/>
    </w:pPr>
    <w:rPr>
      <w:rFonts w:ascii="Arial" w:hAnsi="Arial" w:eastAsia="Times New Roman" w:cs="Verdana"/>
      <w:b/>
      <w:sz w:val="24"/>
      <w:szCs w:val="20"/>
      <w:lang w:eastAsia="en-US"/>
    </w:rPr>
  </w:style>
  <w:style w:type="paragraph" w:styleId="924">
    <w:name w:val="1"/>
    <w:basedOn w:val="856"/>
    <w:next w:val="924"/>
    <w:link w:val="925"/>
    <w:qFormat/>
    <w:pPr>
      <w:jc w:val="left"/>
      <w:spacing w:line="360" w:lineRule="auto"/>
    </w:pPr>
    <w:rPr>
      <w:sz w:val="20"/>
      <w:szCs w:val="24"/>
    </w:rPr>
  </w:style>
  <w:style w:type="character" w:styleId="925">
    <w:name w:val="1 Char"/>
    <w:next w:val="925"/>
    <w:link w:val="924"/>
    <w:qFormat/>
    <w:rPr>
      <w:szCs w:val="24"/>
    </w:rPr>
  </w:style>
  <w:style w:type="paragraph" w:styleId="926">
    <w:name w:val="列出段落"/>
    <w:basedOn w:val="856"/>
    <w:next w:val="926"/>
    <w:link w:val="856"/>
    <w:uiPriority w:val="34"/>
    <w:qFormat/>
    <w:pPr>
      <w:ind w:firstLine="420"/>
      <w:spacing w:line="360" w:lineRule="auto"/>
    </w:pPr>
    <w:rPr>
      <w:rFonts w:ascii="Times New Roman" w:hAnsi="Times New Roman" w:eastAsia="宋体" w:cs="Times New Roman"/>
      <w:szCs w:val="24"/>
    </w:rPr>
  </w:style>
  <w:style w:type="paragraph" w:styleId="927">
    <w:name w:val="TOC Heading"/>
    <w:basedOn w:val="857"/>
    <w:next w:val="856"/>
    <w:link w:val="856"/>
    <w:uiPriority w:val="39"/>
    <w:qFormat/>
    <w:pPr>
      <w:numPr>
        <w:ilvl w:val="0"/>
        <w:numId w:val="0"/>
      </w:numPr>
      <w:jc w:val="left"/>
      <w:spacing w:before="480" w:line="276" w:lineRule="auto"/>
      <w:widowControl/>
      <w:tabs>
        <w:tab w:val="left" w:pos="360" w:leader="none"/>
      </w:tabs>
      <w:outlineLvl w:val="9"/>
    </w:pPr>
    <w:rPr>
      <w:rFonts w:ascii="Cambria" w:hAnsi="Cambria" w:eastAsia="宋体"/>
      <w:bCs/>
      <w:color w:val="365f91"/>
      <w:szCs w:val="28"/>
    </w:rPr>
  </w:style>
  <w:style w:type="paragraph" w:styleId="928">
    <w:name w:val="二级标题2"/>
    <w:basedOn w:val="858"/>
    <w:next w:val="883"/>
    <w:link w:val="929"/>
    <w:qFormat/>
    <w:pPr>
      <w:numPr>
        <w:ilvl w:val="0"/>
        <w:numId w:val="0"/>
      </w:numPr>
      <w:ind w:left="1021" w:hanging="596"/>
      <w:keepLines/>
      <w:tabs>
        <w:tab w:val="left" w:pos="1021" w:leader="none"/>
      </w:tabs>
    </w:pPr>
    <w:rPr>
      <w:rFonts w:ascii="华文中宋" w:hAnsi="华文中宋" w:eastAsia="华文中宋"/>
      <w:bCs/>
      <w:sz w:val="24"/>
      <w:szCs w:val="24"/>
    </w:rPr>
  </w:style>
  <w:style w:type="character" w:styleId="929">
    <w:name w:val="二级标题2 Char"/>
    <w:next w:val="929"/>
    <w:link w:val="928"/>
    <w:qFormat/>
    <w:rPr>
      <w:rFonts w:ascii="华文中宋" w:hAnsi="华文中宋" w:eastAsia="华文中宋"/>
      <w:b/>
      <w:bCs/>
      <w:sz w:val="24"/>
      <w:szCs w:val="24"/>
    </w:rPr>
  </w:style>
  <w:style w:type="paragraph" w:styleId="930">
    <w:name w:val="三级标题"/>
    <w:basedOn w:val="856"/>
    <w:next w:val="856"/>
    <w:link w:val="931"/>
    <w:qFormat/>
    <w:pPr>
      <w:spacing w:line="360" w:lineRule="auto"/>
      <w:outlineLvl w:val="2"/>
    </w:pPr>
    <w:rPr>
      <w:rFonts w:ascii="华文中宋" w:hAnsi="华文中宋" w:eastAsia="华文中宋"/>
      <w:sz w:val="24"/>
      <w:szCs w:val="24"/>
    </w:rPr>
  </w:style>
  <w:style w:type="character" w:styleId="931">
    <w:name w:val="三级标题 Char"/>
    <w:next w:val="931"/>
    <w:link w:val="930"/>
    <w:qFormat/>
    <w:rPr>
      <w:rFonts w:ascii="华文中宋" w:hAnsi="华文中宋" w:eastAsia="华文中宋"/>
      <w:sz w:val="24"/>
      <w:szCs w:val="24"/>
    </w:rPr>
  </w:style>
  <w:style w:type="paragraph" w:styleId="932">
    <w:name w:val="无间隔"/>
    <w:next w:val="932"/>
    <w:link w:val="856"/>
    <w:qFormat/>
    <w:rPr>
      <w:sz w:val="22"/>
      <w:szCs w:val="22"/>
      <w:lang w:val="en-US" w:eastAsia="zh-CN" w:bidi="ar-SA"/>
    </w:rPr>
  </w:style>
  <w:style w:type="paragraph" w:styleId="933">
    <w:name w:val="Default"/>
    <w:next w:val="933"/>
    <w:link w:val="934"/>
    <w:uiPriority w:val="99"/>
    <w:qFormat/>
    <w:pPr>
      <w:widowControl w:val="off"/>
    </w:pPr>
    <w:rPr>
      <w:rFonts w:ascii="MS Mincho" w:eastAsia="MS Mincho"/>
      <w:color w:val="000000"/>
      <w:sz w:val="24"/>
      <w:szCs w:val="24"/>
      <w:lang w:val="en-US" w:eastAsia="zh-CN" w:bidi="ar-SA"/>
    </w:rPr>
  </w:style>
  <w:style w:type="character" w:styleId="934">
    <w:name w:val="Default Char"/>
    <w:next w:val="934"/>
    <w:link w:val="933"/>
    <w:uiPriority w:val="99"/>
    <w:qFormat/>
    <w:rPr>
      <w:rFonts w:ascii="MS Mincho" w:eastAsia="MS Mincho"/>
      <w:color w:val="000000"/>
      <w:sz w:val="24"/>
      <w:szCs w:val="24"/>
      <w:lang w:bidi="ar-SA"/>
    </w:rPr>
  </w:style>
  <w:style w:type="paragraph" w:styleId="935">
    <w:name w:val="列出段落1"/>
    <w:basedOn w:val="856"/>
    <w:next w:val="935"/>
    <w:link w:val="936"/>
    <w:qFormat/>
    <w:pPr>
      <w:contextualSpacing/>
      <w:ind w:left="720"/>
      <w:jc w:val="left"/>
      <w:widowControl/>
    </w:pPr>
    <w:rPr>
      <w:rFonts w:ascii="Calibri" w:hAnsi="Calibri"/>
      <w:sz w:val="24"/>
      <w:szCs w:val="24"/>
      <w:lang w:eastAsia="en-US" w:bidi="en-US"/>
    </w:rPr>
  </w:style>
  <w:style w:type="character" w:styleId="936">
    <w:name w:val="列出段落 Char"/>
    <w:next w:val="936"/>
    <w:link w:val="935"/>
    <w:qFormat/>
    <w:rPr>
      <w:rFonts w:ascii="Calibri" w:hAnsi="Calibri"/>
      <w:sz w:val="24"/>
      <w:szCs w:val="24"/>
      <w:lang w:eastAsia="en-US" w:bidi="en-US"/>
    </w:rPr>
  </w:style>
  <w:style w:type="character" w:styleId="937">
    <w:name w:val="mini-outputtext1"/>
    <w:next w:val="937"/>
    <w:link w:val="856"/>
  </w:style>
  <w:style w:type="paragraph" w:styleId="938">
    <w:name w:val="正文（缩进）"/>
    <w:basedOn w:val="856"/>
    <w:next w:val="938"/>
    <w:link w:val="856"/>
    <w:qFormat/>
    <w:pPr>
      <w:ind w:firstLine="480"/>
      <w:spacing w:before="156" w:after="156"/>
    </w:pPr>
    <w:rPr>
      <w:rFonts w:ascii="Times New Roman" w:hAnsi="Times New Roman" w:cs="Times New Roman"/>
      <w:szCs w:val="21"/>
    </w:rPr>
  </w:style>
  <w:style w:type="paragraph" w:styleId="939">
    <w:name w:val="Table Paragraph"/>
    <w:basedOn w:val="856"/>
    <w:next w:val="939"/>
    <w:link w:val="856"/>
    <w:uiPriority w:val="1"/>
    <w:qFormat/>
    <w:rPr>
      <w:rFonts w:ascii="宋体" w:hAnsi="宋体" w:cs="宋体"/>
      <w:lang w:val="zh-CN" w:bidi="zh-CN"/>
    </w:rPr>
  </w:style>
  <w:style w:type="paragraph" w:styleId="940">
    <w:name w:val="纯文本1"/>
    <w:basedOn w:val="856"/>
    <w:next w:val="940"/>
    <w:link w:val="856"/>
    <w:qFormat/>
    <w:rPr>
      <w:rFonts w:ascii="宋体" w:hAnsi="Courier New"/>
      <w:szCs w:val="20"/>
    </w:rPr>
  </w:style>
  <w:style w:type="paragraph" w:styleId="941">
    <w:name w:val="TOC 标题1"/>
    <w:basedOn w:val="857"/>
    <w:next w:val="856"/>
    <w:link w:val="856"/>
    <w:uiPriority w:val="39"/>
    <w:qFormat/>
    <w:pPr>
      <w:numPr>
        <w:ilvl w:val="0"/>
        <w:numId w:val="0"/>
      </w:numPr>
      <w:jc w:val="left"/>
      <w:spacing w:before="480" w:line="276" w:lineRule="auto"/>
      <w:widowControl/>
      <w:tabs>
        <w:tab w:val="left" w:pos="360" w:leader="none"/>
      </w:tabs>
      <w:outlineLvl w:val="9"/>
    </w:pPr>
    <w:rPr>
      <w:rFonts w:ascii="Cambria" w:hAnsi="Cambria" w:eastAsia="宋体"/>
      <w:bCs/>
      <w:color w:val="365f91"/>
      <w:szCs w:val="28"/>
    </w:rPr>
  </w:style>
  <w:style w:type="paragraph" w:styleId="942">
    <w:name w:val="xl63"/>
    <w:basedOn w:val="856"/>
    <w:next w:val="942"/>
    <w:link w:val="856"/>
    <w:pPr>
      <w:jc w:val="center"/>
      <w:spacing w:before="100" w:beforeAutospacing="1" w:after="100" w:afterAutospacing="1"/>
      <w:widowControl/>
      <w:pBdr>
        <w:right w:val="single" w:color="000000" w:sz="8" w:space="0"/>
      </w:pBdr>
    </w:pPr>
    <w:rPr>
      <w:rFonts w:ascii="等线" w:hAnsi="等线" w:eastAsia="等线" w:cs="宋体"/>
      <w:color w:val="000000"/>
      <w:sz w:val="20"/>
      <w:szCs w:val="20"/>
    </w:rPr>
  </w:style>
  <w:style w:type="paragraph" w:styleId="943">
    <w:name w:val="xl64"/>
    <w:basedOn w:val="856"/>
    <w:next w:val="943"/>
    <w:link w:val="856"/>
    <w:pPr>
      <w:jc w:val="center"/>
      <w:spacing w:before="100" w:beforeAutospacing="1" w:after="100" w:afterAutospacing="1"/>
      <w:widowControl/>
      <w:pBdr>
        <w:left w:val="single" w:color="000000" w:sz="8" w:space="0"/>
        <w:bottom w:val="single" w:color="000000" w:sz="8" w:space="0"/>
        <w:right w:val="single" w:color="000000" w:sz="8" w:space="0"/>
      </w:pBdr>
    </w:pPr>
    <w:rPr>
      <w:rFonts w:ascii="等线" w:hAnsi="等线" w:eastAsia="等线" w:cs="宋体"/>
      <w:color w:val="000000"/>
      <w:sz w:val="20"/>
      <w:szCs w:val="20"/>
    </w:rPr>
  </w:style>
  <w:style w:type="paragraph" w:styleId="944">
    <w:name w:val="xl65"/>
    <w:basedOn w:val="856"/>
    <w:next w:val="944"/>
    <w:link w:val="856"/>
    <w:pPr>
      <w:jc w:val="center"/>
      <w:spacing w:before="100" w:beforeAutospacing="1" w:after="100" w:afterAutospacing="1"/>
      <w:widowControl/>
      <w:pBdr>
        <w:bottom w:val="single" w:color="000000" w:sz="8" w:space="0"/>
        <w:right w:val="single" w:color="000000" w:sz="8" w:space="0"/>
      </w:pBdr>
    </w:pPr>
    <w:rPr>
      <w:rFonts w:ascii="等线" w:hAnsi="等线" w:eastAsia="等线" w:cs="宋体"/>
      <w:color w:val="000000"/>
      <w:sz w:val="20"/>
      <w:szCs w:val="20"/>
    </w:rPr>
  </w:style>
  <w:style w:type="paragraph" w:styleId="945">
    <w:name w:val="xl66"/>
    <w:basedOn w:val="856"/>
    <w:next w:val="945"/>
    <w:link w:val="856"/>
    <w:pPr>
      <w:jc w:val="center"/>
      <w:spacing w:before="100" w:beforeAutospacing="1" w:after="100" w:afterAutospacing="1"/>
      <w:widowControl/>
      <w:pBdr>
        <w:bottom w:val="single" w:color="000000" w:sz="8" w:space="0"/>
        <w:right w:val="single" w:color="000000" w:sz="8" w:space="0"/>
      </w:pBdr>
    </w:pPr>
    <w:rPr>
      <w:rFonts w:ascii="等线" w:hAnsi="等线" w:eastAsia="等线" w:cs="宋体"/>
      <w:color w:val="000000"/>
      <w:sz w:val="24"/>
      <w:szCs w:val="24"/>
    </w:rPr>
  </w:style>
  <w:style w:type="paragraph" w:styleId="946">
    <w:name w:val="xl67"/>
    <w:basedOn w:val="856"/>
    <w:next w:val="946"/>
    <w:link w:val="856"/>
    <w:pPr>
      <w:jc w:val="center"/>
      <w:spacing w:before="100" w:beforeAutospacing="1" w:after="100" w:afterAutospacing="1"/>
      <w:widowControl/>
      <w:pBdr>
        <w:top w:val="single" w:color="000000" w:sz="8" w:space="0"/>
        <w:left w:val="single" w:color="000000" w:sz="8" w:space="0"/>
        <w:bottom w:val="single" w:color="000000" w:sz="8" w:space="0"/>
      </w:pBdr>
    </w:pPr>
    <w:rPr>
      <w:rFonts w:ascii="等线" w:hAnsi="等线" w:eastAsia="等线" w:cs="宋体"/>
      <w:b/>
      <w:bCs/>
      <w:color w:val="000000"/>
      <w:sz w:val="24"/>
      <w:szCs w:val="24"/>
    </w:rPr>
  </w:style>
  <w:style w:type="paragraph" w:styleId="947">
    <w:name w:val="xl68"/>
    <w:basedOn w:val="856"/>
    <w:next w:val="947"/>
    <w:link w:val="856"/>
    <w:pPr>
      <w:jc w:val="center"/>
      <w:spacing w:before="100" w:beforeAutospacing="1" w:after="100" w:afterAutospacing="1"/>
      <w:widowControl/>
      <w:pBdr>
        <w:top w:val="single" w:color="000000" w:sz="8" w:space="0"/>
        <w:bottom w:val="single" w:color="000000" w:sz="8" w:space="0"/>
      </w:pBdr>
    </w:pPr>
    <w:rPr>
      <w:rFonts w:ascii="等线" w:hAnsi="等线" w:eastAsia="等线" w:cs="宋体"/>
      <w:b/>
      <w:bCs/>
      <w:color w:val="000000"/>
      <w:sz w:val="24"/>
      <w:szCs w:val="24"/>
    </w:rPr>
  </w:style>
  <w:style w:type="paragraph" w:styleId="948">
    <w:name w:val="xl69"/>
    <w:basedOn w:val="856"/>
    <w:next w:val="948"/>
    <w:link w:val="856"/>
    <w:pPr>
      <w:jc w:val="center"/>
      <w:spacing w:before="100" w:beforeAutospacing="1" w:after="100" w:afterAutospacing="1"/>
      <w:widowControl/>
      <w:pBdr>
        <w:top w:val="single" w:color="000000" w:sz="8" w:space="0"/>
        <w:bottom w:val="single" w:color="000000" w:sz="8" w:space="0"/>
        <w:right w:val="single" w:color="000000" w:sz="8" w:space="0"/>
      </w:pBdr>
    </w:pPr>
    <w:rPr>
      <w:rFonts w:ascii="等线" w:hAnsi="等线" w:eastAsia="等线" w:cs="宋体"/>
      <w:b/>
      <w:bCs/>
      <w:color w:val="000000"/>
      <w:sz w:val="24"/>
      <w:szCs w:val="24"/>
    </w:rPr>
  </w:style>
  <w:style w:type="paragraph" w:styleId="949">
    <w:name w:val="xl70"/>
    <w:basedOn w:val="856"/>
    <w:next w:val="949"/>
    <w:link w:val="856"/>
    <w:pPr>
      <w:jc w:val="center"/>
      <w:spacing w:before="100" w:beforeAutospacing="1" w:after="100" w:afterAutospacing="1"/>
      <w:widowControl/>
      <w:pBdr>
        <w:top w:val="single" w:color="000000" w:sz="8" w:space="0"/>
        <w:left w:val="single" w:color="000000" w:sz="8" w:space="0"/>
        <w:right w:val="single" w:color="000000" w:sz="8" w:space="0"/>
      </w:pBdr>
    </w:pPr>
    <w:rPr>
      <w:rFonts w:ascii="等线" w:hAnsi="等线" w:eastAsia="等线" w:cs="宋体"/>
      <w:color w:val="000000"/>
      <w:sz w:val="20"/>
      <w:szCs w:val="20"/>
    </w:rPr>
  </w:style>
  <w:style w:type="paragraph" w:styleId="950">
    <w:name w:val="xl71"/>
    <w:basedOn w:val="856"/>
    <w:next w:val="950"/>
    <w:link w:val="856"/>
    <w:pPr>
      <w:jc w:val="center"/>
      <w:spacing w:before="100" w:beforeAutospacing="1" w:after="100" w:afterAutospacing="1"/>
      <w:widowControl/>
      <w:pBdr>
        <w:top w:val="single" w:color="000000" w:sz="8" w:space="0"/>
        <w:left w:val="single" w:color="000000" w:sz="8" w:space="0"/>
        <w:bottom w:val="single" w:color="000000" w:sz="8" w:space="0"/>
      </w:pBdr>
    </w:pPr>
    <w:rPr>
      <w:rFonts w:ascii="等线" w:hAnsi="等线" w:eastAsia="等线" w:cs="宋体"/>
      <w:b/>
      <w:bCs/>
      <w:color w:val="000000"/>
      <w:sz w:val="40"/>
      <w:szCs w:val="40"/>
    </w:rPr>
  </w:style>
  <w:style w:type="paragraph" w:styleId="951">
    <w:name w:val="xl72"/>
    <w:basedOn w:val="856"/>
    <w:next w:val="951"/>
    <w:link w:val="856"/>
    <w:pPr>
      <w:jc w:val="center"/>
      <w:spacing w:before="100" w:beforeAutospacing="1" w:after="100" w:afterAutospacing="1"/>
      <w:widowControl/>
      <w:pBdr>
        <w:top w:val="single" w:color="000000" w:sz="8" w:space="0"/>
        <w:bottom w:val="single" w:color="000000" w:sz="8" w:space="0"/>
      </w:pBdr>
    </w:pPr>
    <w:rPr>
      <w:rFonts w:ascii="等线" w:hAnsi="等线" w:eastAsia="等线" w:cs="宋体"/>
      <w:b/>
      <w:bCs/>
      <w:color w:val="000000"/>
      <w:sz w:val="40"/>
      <w:szCs w:val="40"/>
    </w:rPr>
  </w:style>
  <w:style w:type="paragraph" w:styleId="952">
    <w:name w:val="xl73"/>
    <w:basedOn w:val="856"/>
    <w:next w:val="952"/>
    <w:link w:val="856"/>
    <w:pPr>
      <w:jc w:val="center"/>
      <w:spacing w:before="100" w:beforeAutospacing="1" w:after="100" w:afterAutospacing="1"/>
      <w:widowControl/>
      <w:pBdr>
        <w:top w:val="single" w:color="000000" w:sz="8" w:space="0"/>
        <w:bottom w:val="single" w:color="000000" w:sz="8" w:space="0"/>
        <w:right w:val="single" w:color="000000" w:sz="8" w:space="0"/>
      </w:pBdr>
    </w:pPr>
    <w:rPr>
      <w:rFonts w:ascii="等线" w:hAnsi="等线" w:eastAsia="等线" w:cs="宋体"/>
      <w:b/>
      <w:bCs/>
      <w:color w:val="000000"/>
      <w:sz w:val="40"/>
      <w:szCs w:val="40"/>
    </w:rPr>
  </w:style>
  <w:style w:type="paragraph" w:styleId="953">
    <w:name w:val="xl74"/>
    <w:basedOn w:val="856"/>
    <w:next w:val="953"/>
    <w:link w:val="856"/>
    <w:pPr>
      <w:jc w:val="center"/>
      <w:spacing w:before="100" w:beforeAutospacing="1" w:after="100" w:afterAutospacing="1"/>
      <w:widowControl/>
      <w:pBdr>
        <w:left w:val="single" w:color="000000" w:sz="8" w:space="0"/>
        <w:right w:val="single" w:color="000000" w:sz="8" w:space="0"/>
      </w:pBdr>
    </w:pPr>
    <w:rPr>
      <w:rFonts w:ascii="等线" w:hAnsi="等线" w:eastAsia="等线" w:cs="宋体"/>
      <w:color w:val="000000"/>
      <w:sz w:val="20"/>
      <w:szCs w:val="20"/>
    </w:rPr>
  </w:style>
  <w:style w:type="paragraph" w:styleId="954">
    <w:name w:val="xl75"/>
    <w:basedOn w:val="856"/>
    <w:next w:val="954"/>
    <w:link w:val="856"/>
    <w:pPr>
      <w:jc w:val="center"/>
      <w:spacing w:before="100" w:beforeAutospacing="1" w:after="100" w:afterAutospacing="1"/>
      <w:widowControl/>
      <w:pBdr>
        <w:left w:val="single" w:color="000000" w:sz="8" w:space="0"/>
        <w:bottom w:val="single" w:color="000000" w:sz="8" w:space="0"/>
      </w:pBdr>
    </w:pPr>
    <w:rPr>
      <w:rFonts w:ascii="等线" w:hAnsi="等线" w:eastAsia="等线" w:cs="宋体"/>
      <w:b/>
      <w:bCs/>
      <w:color w:val="000000"/>
      <w:sz w:val="24"/>
      <w:szCs w:val="24"/>
    </w:rPr>
  </w:style>
  <w:style w:type="paragraph" w:styleId="955">
    <w:name w:val="xl76"/>
    <w:basedOn w:val="856"/>
    <w:next w:val="955"/>
    <w:link w:val="856"/>
    <w:pPr>
      <w:jc w:val="center"/>
      <w:spacing w:before="100" w:beforeAutospacing="1" w:after="100" w:afterAutospacing="1"/>
      <w:widowControl/>
      <w:pBdr>
        <w:bottom w:val="single" w:color="000000" w:sz="8" w:space="0"/>
      </w:pBdr>
    </w:pPr>
    <w:rPr>
      <w:rFonts w:ascii="等线" w:hAnsi="等线" w:eastAsia="等线" w:cs="宋体"/>
      <w:b/>
      <w:bCs/>
      <w:color w:val="000000"/>
      <w:sz w:val="24"/>
      <w:szCs w:val="24"/>
    </w:rPr>
  </w:style>
  <w:style w:type="paragraph" w:styleId="956">
    <w:name w:val="xl77"/>
    <w:basedOn w:val="856"/>
    <w:next w:val="956"/>
    <w:link w:val="856"/>
    <w:pPr>
      <w:jc w:val="center"/>
      <w:spacing w:before="100" w:beforeAutospacing="1" w:after="100" w:afterAutospacing="1"/>
      <w:widowControl/>
      <w:pBdr>
        <w:bottom w:val="single" w:color="000000" w:sz="8" w:space="0"/>
        <w:right w:val="single" w:color="000000" w:sz="8" w:space="0"/>
      </w:pBdr>
    </w:pPr>
    <w:rPr>
      <w:rFonts w:ascii="等线" w:hAnsi="等线" w:eastAsia="等线" w:cs="宋体"/>
      <w:b/>
      <w:bCs/>
      <w:color w:val="000000"/>
      <w:sz w:val="24"/>
      <w:szCs w:val="24"/>
    </w:rPr>
  </w:style>
  <w:style w:type="paragraph" w:styleId="957">
    <w:name w:val="font5"/>
    <w:basedOn w:val="856"/>
    <w:next w:val="957"/>
    <w:link w:val="856"/>
    <w:pPr>
      <w:jc w:val="left"/>
      <w:spacing w:before="100" w:beforeAutospacing="1" w:after="100" w:afterAutospacing="1"/>
      <w:widowControl/>
    </w:pPr>
    <w:rPr>
      <w:rFonts w:ascii="宋体" w:hAnsi="宋体" w:cs="宋体"/>
      <w:sz w:val="18"/>
      <w:szCs w:val="18"/>
    </w:rPr>
  </w:style>
  <w:style w:type="paragraph" w:styleId="958">
    <w:name w:val="xl78"/>
    <w:basedOn w:val="856"/>
    <w:next w:val="958"/>
    <w:link w:val="856"/>
    <w:pPr>
      <w:spacing w:before="100" w:beforeAutospacing="1" w:after="100" w:afterAutospacing="1"/>
      <w:widowControl/>
      <w:pBdr>
        <w:top w:val="single" w:color="000000" w:sz="8" w:space="0"/>
        <w:left w:val="single" w:color="000000" w:sz="8" w:space="0"/>
        <w:right w:val="single" w:color="000000" w:sz="8" w:space="0"/>
      </w:pBdr>
    </w:pPr>
    <w:rPr>
      <w:rFonts w:ascii="宋体" w:hAnsi="宋体" w:cs="宋体"/>
      <w:color w:val="000000"/>
      <w:sz w:val="20"/>
      <w:szCs w:val="20"/>
    </w:rPr>
  </w:style>
  <w:style w:type="paragraph" w:styleId="959">
    <w:name w:val="xl79"/>
    <w:basedOn w:val="856"/>
    <w:next w:val="959"/>
    <w:link w:val="856"/>
    <w:pP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color w:val="000000"/>
      <w:sz w:val="20"/>
      <w:szCs w:val="20"/>
    </w:rPr>
  </w:style>
  <w:style w:type="paragraph" w:styleId="960">
    <w:name w:val="xl80"/>
    <w:basedOn w:val="856"/>
    <w:next w:val="960"/>
    <w:link w:val="856"/>
    <w:pPr>
      <w:jc w:val="right"/>
      <w:spacing w:before="100" w:beforeAutospacing="1" w:after="100" w:afterAutospacing="1"/>
      <w:widowControl/>
      <w:pBdr>
        <w:top w:val="single" w:color="000000" w:sz="8" w:space="0"/>
        <w:left w:val="single" w:color="000000" w:sz="8" w:space="0"/>
        <w:right w:val="single" w:color="000000" w:sz="8" w:space="0"/>
      </w:pBdr>
    </w:pPr>
    <w:rPr>
      <w:rFonts w:ascii="宋体" w:hAnsi="宋体" w:cs="宋体"/>
      <w:color w:val="000000"/>
      <w:sz w:val="20"/>
      <w:szCs w:val="20"/>
    </w:rPr>
  </w:style>
  <w:style w:type="paragraph" w:styleId="961">
    <w:name w:val="xl81"/>
    <w:basedOn w:val="856"/>
    <w:next w:val="961"/>
    <w:link w:val="856"/>
    <w:pPr>
      <w:jc w:val="right"/>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color w:val="000000"/>
      <w:sz w:val="20"/>
      <w:szCs w:val="20"/>
    </w:rPr>
  </w:style>
  <w:style w:type="paragraph" w:styleId="962">
    <w:name w:val="xl82"/>
    <w:basedOn w:val="856"/>
    <w:next w:val="962"/>
    <w:link w:val="856"/>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cs="宋体"/>
      <w:color w:val="000000"/>
      <w:sz w:val="20"/>
      <w:szCs w:val="20"/>
    </w:rPr>
  </w:style>
  <w:style w:type="paragraph" w:styleId="963">
    <w:name w:val="xl83"/>
    <w:basedOn w:val="856"/>
    <w:next w:val="963"/>
    <w:link w:val="856"/>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color w:val="000000"/>
      <w:sz w:val="20"/>
      <w:szCs w:val="20"/>
    </w:rPr>
  </w:style>
  <w:style w:type="paragraph" w:styleId="964">
    <w:name w:val="xl84"/>
    <w:basedOn w:val="856"/>
    <w:next w:val="964"/>
    <w:link w:val="856"/>
    <w:pPr>
      <w:jc w:val="right"/>
      <w:spacing w:before="100" w:beforeAutospacing="1" w:after="100" w:afterAutospacing="1"/>
      <w:widowControl/>
      <w:pBdr>
        <w:top w:val="single" w:color="000000" w:sz="8" w:space="0"/>
        <w:left w:val="single" w:color="000000" w:sz="8" w:space="0"/>
        <w:right w:val="single" w:color="000000" w:sz="8" w:space="0"/>
      </w:pBdr>
    </w:pPr>
    <w:rPr>
      <w:rFonts w:ascii="宋体" w:hAnsi="宋体" w:cs="宋体"/>
      <w:color w:val="000000"/>
      <w:sz w:val="20"/>
      <w:szCs w:val="20"/>
    </w:rPr>
  </w:style>
  <w:style w:type="paragraph" w:styleId="965">
    <w:name w:val="xl85"/>
    <w:basedOn w:val="856"/>
    <w:next w:val="965"/>
    <w:link w:val="856"/>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cs="宋体"/>
      <w:color w:val="000000"/>
      <w:sz w:val="20"/>
      <w:szCs w:val="20"/>
    </w:rPr>
  </w:style>
  <w:style w:type="paragraph" w:styleId="966">
    <w:name w:val="xl86"/>
    <w:basedOn w:val="856"/>
    <w:next w:val="966"/>
    <w:link w:val="856"/>
    <w:pPr>
      <w:jc w:val="center"/>
      <w:spacing w:before="100" w:beforeAutospacing="1" w:after="100" w:afterAutospacing="1"/>
      <w:widowControl/>
      <w:pBdr>
        <w:bottom w:val="single" w:color="000000" w:sz="8" w:space="0"/>
      </w:pBdr>
    </w:pPr>
    <w:rPr>
      <w:rFonts w:ascii="宋体" w:hAnsi="宋体" w:cs="宋体"/>
      <w:sz w:val="24"/>
      <w:szCs w:val="24"/>
    </w:rPr>
  </w:style>
  <w:style w:type="character" w:styleId="967" w:default="1">
    <w:name w:val="Default Paragraph Font"/>
    <w:uiPriority w:val="1"/>
    <w:semiHidden/>
    <w:unhideWhenUsed/>
  </w:style>
  <w:style w:type="numbering" w:styleId="968" w:default="1">
    <w:name w:val="No List"/>
    <w:uiPriority w:val="99"/>
    <w:semiHidden/>
    <w:unhideWhenUsed/>
  </w:style>
  <w:style w:type="table" w:styleId="9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Eag</dc:creator>
  <cp:lastModifiedBy>王维霖</cp:lastModifiedBy>
  <cp:revision>5</cp:revision>
  <dcterms:created xsi:type="dcterms:W3CDTF">2023-11-29T01:36:00Z</dcterms:created>
  <dcterms:modified xsi:type="dcterms:W3CDTF">2024-12-05T04:16:36Z</dcterms:modified>
</cp:coreProperties>
</file>