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07"/>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招　标　文　件</w:t>
      </w:r>
      <w:r/>
    </w:p>
    <w:p>
      <w:pPr>
        <w:pStyle w:val="907"/>
        <w:ind w:firstLine="964"/>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项目名称：江苏开放大学数据中心私有云升级及虚拟化部署</w:t>
      </w:r>
      <w:r/>
    </w:p>
    <w:p>
      <w:pPr>
        <w:pStyle w:val="907"/>
        <w:ind w:firstLine="964"/>
        <w:spacing w:before="120" w:after="120" w:line="360" w:lineRule="auto"/>
        <w:rPr>
          <w:rFonts w:hint="eastAsia" w:ascii="Arial" w:hAnsi="Arial"/>
          <w:b/>
          <w:bCs/>
          <w:sz w:val="32"/>
          <w:szCs w:val="24"/>
        </w:rPr>
      </w:pPr>
      <w:r>
        <w:rPr>
          <w:rFonts w:hint="eastAsia" w:ascii="Arial" w:hAnsi="Arial"/>
          <w:b/>
          <w:bCs/>
          <w:sz w:val="32"/>
          <w:szCs w:val="24"/>
        </w:rPr>
        <w:t xml:space="preserve">项目编号：JSZC-320000-SCZX-G2025-0485</w:t>
      </w:r>
      <w:r/>
    </w:p>
    <w:p>
      <w:pPr>
        <w:pStyle w:val="907"/>
        <w:ind w:left="2800" w:hanging="2800"/>
        <w:rPr>
          <w:rFonts w:hint="eastAsia" w:ascii="宋体" w:hAnsi="宋体"/>
          <w:sz w:val="24"/>
          <w:szCs w:val="24"/>
        </w:rPr>
      </w:pPr>
      <w:r>
        <w:rPr>
          <w:rFonts w:hint="eastAsia" w:ascii="Times New Roman" w:hAnsi="Times New Roman"/>
          <w:sz w:val="28"/>
          <w:szCs w:val="28"/>
        </w:rPr>
        <w:t xml:space="preserve">       </w:t>
      </w:r>
      <w:r>
        <w:rPr>
          <w:rFonts w:hint="eastAsia" w:ascii="宋体" w:hAnsi="宋体"/>
          <w:sz w:val="24"/>
          <w:szCs w:val="24"/>
        </w:rPr>
      </w:r>
      <w:r/>
    </w:p>
    <w:p>
      <w:pPr>
        <w:pStyle w:val="907"/>
        <w:jc w:val="left"/>
        <w:spacing w:line="360" w:lineRule="auto"/>
        <w:rPr>
          <w:rFonts w:hint="eastAsia" w:ascii="宋体" w:hAnsi="宋体"/>
          <w:sz w:val="24"/>
          <w:szCs w:val="24"/>
        </w:rPr>
      </w:pPr>
      <w:r>
        <w:rPr>
          <w:rFonts w:hint="eastAsia" w:ascii="宋体" w:hAnsi="宋体"/>
          <w:sz w:val="24"/>
          <w:szCs w:val="24"/>
        </w:rPr>
      </w:r>
      <w:r/>
    </w:p>
    <w:p>
      <w:pPr>
        <w:pStyle w:val="907"/>
        <w:jc w:val="left"/>
        <w:spacing w:line="360" w:lineRule="auto"/>
        <w:rPr>
          <w:rFonts w:hint="eastAsia" w:ascii="宋体" w:hAnsi="宋体"/>
          <w:sz w:val="24"/>
          <w:szCs w:val="24"/>
        </w:rPr>
      </w:pPr>
      <w:r>
        <w:rPr>
          <w:rFonts w:hint="eastAsia" w:ascii="宋体" w:hAnsi="宋体"/>
          <w:sz w:val="24"/>
          <w:szCs w:val="24"/>
        </w:rPr>
      </w:r>
      <w:r/>
    </w:p>
    <w:p>
      <w:pPr>
        <w:pStyle w:val="907"/>
        <w:jc w:val="left"/>
        <w:spacing w:line="360" w:lineRule="auto"/>
        <w:rPr>
          <w:rFonts w:hint="eastAsia" w:ascii="宋体" w:hAnsi="宋体"/>
          <w:sz w:val="24"/>
          <w:szCs w:val="24"/>
        </w:rPr>
      </w:pPr>
      <w:r>
        <w:rPr>
          <w:rFonts w:hint="eastAsia" w:ascii="宋体" w:hAnsi="宋体"/>
          <w:sz w:val="24"/>
          <w:szCs w:val="24"/>
        </w:rPr>
      </w:r>
      <w:r/>
    </w:p>
    <w:p>
      <w:pPr>
        <w:pStyle w:val="907"/>
        <w:jc w:val="left"/>
        <w:spacing w:line="360" w:lineRule="auto"/>
        <w:rPr>
          <w:rFonts w:hint="eastAsia" w:ascii="宋体" w:hAnsi="宋体"/>
          <w:sz w:val="24"/>
          <w:szCs w:val="24"/>
        </w:rPr>
      </w:pPr>
      <w:r>
        <w:rPr>
          <w:rFonts w:hint="eastAsia" w:ascii="宋体" w:hAnsi="宋体"/>
          <w:sz w:val="24"/>
          <w:szCs w:val="24"/>
        </w:rPr>
      </w:r>
      <w:r/>
    </w:p>
    <w:p>
      <w:pPr>
        <w:pStyle w:val="907"/>
        <w:jc w:val="left"/>
        <w:spacing w:line="360" w:lineRule="auto"/>
        <w:rPr>
          <w:rFonts w:hint="eastAsia" w:ascii="宋体" w:hAnsi="宋体"/>
          <w:sz w:val="24"/>
          <w:szCs w:val="24"/>
        </w:rPr>
      </w:pPr>
      <w:r>
        <w:rPr>
          <w:rFonts w:hint="eastAsia" w:ascii="宋体" w:hAnsi="宋体"/>
          <w:sz w:val="24"/>
          <w:szCs w:val="24"/>
        </w:rPr>
      </w:r>
      <w:r/>
    </w:p>
    <w:p>
      <w:pPr>
        <w:pStyle w:val="907"/>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p>
    <w:p>
      <w:pPr>
        <w:pStyle w:val="907"/>
        <w:jc w:val="center"/>
        <w:spacing w:before="120" w:after="120" w:line="360" w:lineRule="auto"/>
        <w:rPr>
          <w:rFonts w:hint="eastAsia" w:ascii="Arial" w:hAnsi="Arial"/>
          <w:b/>
          <w:bCs/>
          <w:sz w:val="32"/>
          <w:szCs w:val="24"/>
        </w:rPr>
      </w:pPr>
      <w:r>
        <w:rPr>
          <w:rFonts w:hint="eastAsia" w:ascii="Arial" w:hAnsi="Arial"/>
          <w:b/>
          <w:bCs/>
          <w:sz w:val="32"/>
          <w:szCs w:val="24"/>
        </w:rPr>
        <w:t xml:space="preserve">2025年9月</w:t>
      </w:r>
      <w:r/>
    </w:p>
    <w:p>
      <w:pPr>
        <w:pStyle w:val="90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07"/>
        <w:jc w:val="center"/>
        <w:spacing w:before="120" w:after="120" w:line="360" w:lineRule="auto"/>
        <w:rPr>
          <w:rFonts w:hint="eastAsia" w:ascii="Arial" w:hAnsi="Arial"/>
          <w:sz w:val="24"/>
          <w:szCs w:val="24"/>
        </w:rPr>
      </w:pPr>
      <w:r>
        <w:rPr>
          <w:rFonts w:hint="eastAsia" w:ascii="Arial" w:hAnsi="Arial"/>
          <w:sz w:val="24"/>
          <w:szCs w:val="24"/>
        </w:rPr>
      </w:r>
      <w:r/>
    </w:p>
    <w:p>
      <w:pPr>
        <w:pStyle w:val="907"/>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16938516"/>
      <w:r/>
      <w:bookmarkStart w:id="2" w:name="_Toc20823272"/>
      <w:r/>
      <w:bookmarkStart w:id="3" w:name="_Toc513029200"/>
      <w:r/>
      <w:bookmarkStart w:id="4" w:name="_Toc479757206"/>
      <w:r/>
      <w:bookmarkStart w:id="5" w:name="_Toc523127445"/>
      <w:r>
        <w:rPr>
          <w:rFonts w:hint="eastAsia" w:ascii="黑体" w:hAnsi="Arial" w:eastAsia="黑体"/>
          <w:b/>
          <w:sz w:val="44"/>
          <w:szCs w:val="21"/>
        </w:rPr>
        <w:t xml:space="preserve">总  目  录</w:t>
      </w:r>
      <w:r/>
    </w:p>
    <w:p>
      <w:pPr>
        <w:pStyle w:val="907"/>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907"/>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w:t>
      </w:r>
      <w:r>
        <w:rPr>
          <w:rFonts w:hint="eastAsia" w:ascii="黑体" w:hAnsi="Showcard Gothic" w:eastAsia="黑体"/>
          <w:sz w:val="36"/>
          <w:szCs w:val="21"/>
        </w:rPr>
        <w:t xml:space="preserve">3</w:t>
      </w:r>
      <w:r>
        <w:rPr>
          <w:rFonts w:hint="eastAsia" w:ascii="黑体" w:hAnsi="Showcard Gothic" w:eastAsia="黑体"/>
          <w:sz w:val="32"/>
          <w:szCs w:val="21"/>
        </w:rPr>
      </w:r>
      <w:r/>
    </w:p>
    <w:p>
      <w:pPr>
        <w:pStyle w:val="90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6</w:t>
      </w:r>
      <w:r>
        <w:rPr>
          <w:rFonts w:hint="eastAsia" w:ascii="黑体" w:hAnsi="Showcard Gothic" w:eastAsia="黑体"/>
          <w:sz w:val="36"/>
          <w:szCs w:val="21"/>
        </w:rPr>
      </w:r>
      <w:r/>
    </w:p>
    <w:p>
      <w:pPr>
        <w:pStyle w:val="90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…………………………………17</w:t>
      </w:r>
      <w:r>
        <w:rPr>
          <w:rFonts w:hint="eastAsia" w:ascii="黑体" w:hAnsi="Showcard Gothic" w:eastAsia="黑体"/>
          <w:sz w:val="36"/>
          <w:szCs w:val="21"/>
        </w:rPr>
      </w:r>
      <w:r/>
    </w:p>
    <w:p>
      <w:pPr>
        <w:pStyle w:val="90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…………………………………33</w:t>
      </w:r>
      <w:r>
        <w:rPr>
          <w:rFonts w:hint="eastAsia" w:ascii="黑体" w:hAnsi="Showcard Gothic" w:eastAsia="黑体"/>
          <w:sz w:val="36"/>
          <w:szCs w:val="21"/>
        </w:rPr>
      </w:r>
      <w:r/>
    </w:p>
    <w:p>
      <w:pPr>
        <w:pStyle w:val="90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……………………51</w:t>
      </w:r>
      <w:r>
        <w:rPr>
          <w:rFonts w:hint="eastAsia" w:ascii="黑体" w:hAnsi="Showcard Gothic" w:eastAsia="黑体"/>
          <w:sz w:val="36"/>
          <w:szCs w:val="21"/>
        </w:rPr>
      </w:r>
      <w:r/>
    </w:p>
    <w:p>
      <w:pPr>
        <w:pStyle w:val="90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……………………………56</w:t>
      </w:r>
      <w:r>
        <w:rPr>
          <w:rFonts w:hint="eastAsia" w:ascii="黑体" w:hAnsi="Showcard Gothic" w:eastAsia="黑体"/>
          <w:sz w:val="36"/>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rPr>
          <w:rFonts w:hint="eastAsia" w:ascii="Times New Roman" w:hAnsi="Times New Roman"/>
          <w:szCs w:val="21"/>
        </w:rPr>
      </w:pPr>
      <w:r>
        <w:rPr>
          <w:rFonts w:hint="eastAsia" w:ascii="Times New Roman" w:hAnsi="Times New Roman"/>
          <w:szCs w:val="21"/>
        </w:rPr>
      </w:r>
      <w:r/>
    </w:p>
    <w:p>
      <w:pPr>
        <w:pStyle w:val="907"/>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投标邀请</w:t>
      </w:r>
      <w:r>
        <w:rPr>
          <w:rFonts w:hint="eastAsia" w:ascii="黑体" w:hAnsi="Times New Roman" w:eastAsia="黑体"/>
          <w:bCs/>
          <w:sz w:val="44"/>
          <w:szCs w:val="44"/>
        </w:rPr>
      </w:r>
      <w:r/>
    </w:p>
    <w:p>
      <w:pPr>
        <w:pStyle w:val="907"/>
        <w:ind w:firstLine="480"/>
        <w:spacing w:line="400" w:lineRule="exact"/>
        <w:rPr>
          <w:rFonts w:ascii="宋体" w:hAnsi="宋体"/>
          <w:sz w:val="24"/>
          <w:szCs w:val="24"/>
        </w:rPr>
      </w:pPr>
      <w:r>
        <w:rPr>
          <w:rFonts w:hint="eastAsia" w:ascii="宋体" w:hAnsi="宋体"/>
          <w:sz w:val="24"/>
          <w:szCs w:val="24"/>
        </w:rPr>
        <w:t xml:space="preserve">受江苏开放大学的委托，江苏省政府采购中心就江苏开放大学数据中心私有云升级及虚拟化部署(JSZC-320000-SCZX-G2025-0485)项目进行公开招标采购，欢迎符合条件的供应商投标。</w:t>
      </w:r>
      <w:r>
        <w:rPr>
          <w:rFonts w:ascii="宋体" w:hAnsi="宋体"/>
          <w:sz w:val="24"/>
          <w:szCs w:val="24"/>
        </w:rPr>
      </w:r>
      <w:r/>
    </w:p>
    <w:p>
      <w:pPr>
        <w:pStyle w:val="907"/>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07"/>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江苏开放大学数据中心私有云升级及虚拟化部署招标项目的潜在投标人可在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2025</w:t>
      </w:r>
      <w:r>
        <w:rPr>
          <w:rFonts w:hint="eastAsia" w:ascii="宋体" w:hAnsi="宋体"/>
          <w:bCs/>
          <w:sz w:val="24"/>
          <w:szCs w:val="24"/>
          <w:u w:val="single"/>
        </w:rPr>
        <w:t xml:space="preserve">年10月16日9点30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07"/>
        <w:ind w:firstLine="498"/>
        <w:keepLines/>
        <w:keepNext/>
        <w:spacing w:before="156" w:after="156" w:line="400" w:lineRule="exact"/>
        <w:rPr>
          <w:rFonts w:ascii="Times New Roman" w:hAnsi="Times New Roman"/>
          <w:b/>
          <w:bCs/>
          <w:sz w:val="32"/>
          <w:szCs w:val="32"/>
        </w:rPr>
        <w:outlineLvl w:val="2"/>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907"/>
        <w:ind w:firstLine="480"/>
        <w:spacing w:line="400" w:lineRule="exact"/>
        <w:rPr>
          <w:rFonts w:hint="eastAsia" w:ascii="宋体" w:hAnsi="宋体"/>
          <w:sz w:val="24"/>
          <w:szCs w:val="24"/>
        </w:rPr>
      </w:pPr>
      <w:r>
        <w:rPr>
          <w:rFonts w:hint="eastAsia" w:ascii="宋体" w:hAnsi="宋体"/>
          <w:sz w:val="24"/>
          <w:szCs w:val="24"/>
        </w:rPr>
        <w:t xml:space="preserve">1.项目编号：JSZC-320000-SCZX-G2025-0485</w:t>
      </w:r>
      <w:r/>
    </w:p>
    <w:p>
      <w:pPr>
        <w:pStyle w:val="907"/>
        <w:ind w:firstLine="480"/>
        <w:spacing w:line="400" w:lineRule="exact"/>
        <w:rPr>
          <w:rFonts w:hint="eastAsia"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江苏开放大学数据中心私有云升级及虚拟化部署</w:t>
      </w:r>
      <w:r/>
    </w:p>
    <w:p>
      <w:pPr>
        <w:pStyle w:val="907"/>
        <w:ind w:firstLine="480"/>
        <w:spacing w:line="400" w:lineRule="exact"/>
        <w:rPr>
          <w:rFonts w:ascii="宋体" w:hAnsi="宋体"/>
          <w:sz w:val="24"/>
          <w:szCs w:val="24"/>
        </w:rPr>
      </w:pPr>
      <w:r>
        <w:rPr>
          <w:rFonts w:hint="eastAsia" w:ascii="宋体" w:hAnsi="宋体"/>
          <w:sz w:val="24"/>
          <w:szCs w:val="24"/>
        </w:rPr>
        <w:t xml:space="preserve">3.预算金额</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7"/>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200</w:t>
            </w:r>
            <w:r>
              <w:rPr>
                <w:rFonts w:ascii="宋体" w:hAnsi="宋体"/>
                <w:sz w:val="24"/>
                <w:szCs w:val="24"/>
              </w:rPr>
            </w:r>
            <w:r/>
          </w:p>
        </w:tc>
      </w:tr>
      <w:tr>
        <w:trPr/>
        <w:tc>
          <w:tcPr>
            <w:tcW w:w="1148"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2800"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r>
      <w:tr>
        <w:trPr/>
        <w:tc>
          <w:tcPr>
            <w:tcW w:w="1148" w:type="dxa"/>
            <w:vAlign w:val="top"/>
            <w:textDirection w:val="lrTb"/>
            <w:noWrap w:val="false"/>
          </w:tcPr>
          <w:p>
            <w:pPr>
              <w:pStyle w:val="90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00" w:type="dxa"/>
            <w:vAlign w:val="top"/>
            <w:textDirection w:val="lrTb"/>
            <w:noWrap w:val="false"/>
          </w:tcPr>
          <w:p>
            <w:pPr>
              <w:pStyle w:val="907"/>
              <w:spacing w:line="0" w:lineRule="atLeast"/>
              <w:rPr>
                <w:rFonts w:ascii="宋体" w:hAnsi="宋体"/>
                <w:sz w:val="24"/>
                <w:szCs w:val="24"/>
              </w:rPr>
            </w:pPr>
            <w:r>
              <w:rPr>
                <w:rFonts w:ascii="宋体" w:hAnsi="宋体"/>
                <w:sz w:val="24"/>
                <w:szCs w:val="24"/>
              </w:rPr>
            </w:r>
            <w:r/>
          </w:p>
        </w:tc>
      </w:tr>
    </w:tbl>
    <w:p>
      <w:pPr>
        <w:pStyle w:val="907"/>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7"/>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ascii="宋体" w:hAnsi="宋体"/>
                <w:sz w:val="24"/>
                <w:szCs w:val="24"/>
              </w:rPr>
            </w:r>
            <w:r/>
          </w:p>
          <w:p>
            <w:pPr>
              <w:pStyle w:val="90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135"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是</w:t>
            </w:r>
            <w:r>
              <w:rPr>
                <w:rFonts w:ascii="宋体" w:hAnsi="宋体"/>
                <w:sz w:val="24"/>
                <w:szCs w:val="24"/>
              </w:rPr>
            </w:r>
            <w:r/>
          </w:p>
        </w:tc>
        <w:tc>
          <w:tcPr>
            <w:tcW w:w="3135"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200</w:t>
            </w:r>
            <w:r>
              <w:rPr>
                <w:rFonts w:ascii="宋体" w:hAnsi="宋体"/>
                <w:sz w:val="24"/>
                <w:szCs w:val="24"/>
              </w:rPr>
            </w:r>
            <w:r/>
          </w:p>
        </w:tc>
      </w:tr>
      <w:tr>
        <w:trPr/>
        <w:tc>
          <w:tcPr>
            <w:tcW w:w="1148"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2800"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3135"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r>
      <w:tr>
        <w:trPr/>
        <w:tc>
          <w:tcPr>
            <w:tcW w:w="1148" w:type="dxa"/>
            <w:vAlign w:val="top"/>
            <w:textDirection w:val="lrTb"/>
            <w:noWrap w:val="false"/>
          </w:tcPr>
          <w:p>
            <w:pPr>
              <w:pStyle w:val="90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00" w:type="dxa"/>
            <w:vAlign w:val="top"/>
            <w:textDirection w:val="lrTb"/>
            <w:noWrap w:val="false"/>
          </w:tcPr>
          <w:p>
            <w:pPr>
              <w:pStyle w:val="907"/>
              <w:spacing w:line="0" w:lineRule="atLeast"/>
              <w:rPr>
                <w:rFonts w:ascii="宋体" w:hAnsi="宋体"/>
                <w:sz w:val="24"/>
                <w:szCs w:val="24"/>
              </w:rPr>
            </w:pPr>
            <w:r>
              <w:rPr>
                <w:rFonts w:ascii="宋体" w:hAnsi="宋体"/>
                <w:sz w:val="24"/>
                <w:szCs w:val="24"/>
              </w:rPr>
            </w:r>
            <w:r/>
          </w:p>
        </w:tc>
        <w:tc>
          <w:tcPr>
            <w:tcW w:w="3135" w:type="dxa"/>
            <w:vAlign w:val="top"/>
            <w:textDirection w:val="lrTb"/>
            <w:noWrap w:val="false"/>
          </w:tcPr>
          <w:p>
            <w:pPr>
              <w:pStyle w:val="907"/>
              <w:spacing w:line="0" w:lineRule="atLeast"/>
              <w:rPr>
                <w:rFonts w:ascii="宋体" w:hAnsi="宋体"/>
                <w:sz w:val="24"/>
                <w:szCs w:val="24"/>
              </w:rPr>
            </w:pPr>
            <w:r>
              <w:rPr>
                <w:rFonts w:ascii="宋体" w:hAnsi="宋体"/>
                <w:sz w:val="24"/>
                <w:szCs w:val="24"/>
              </w:rPr>
            </w:r>
            <w:r/>
          </w:p>
        </w:tc>
      </w:tr>
    </w:tbl>
    <w:p>
      <w:pPr>
        <w:pStyle w:val="907"/>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rPr>
          <w:rFonts w:ascii="宋体" w:hAnsi="宋体"/>
          <w:sz w:val="24"/>
          <w:szCs w:val="24"/>
          <w:u w:val="single"/>
        </w:rPr>
      </w:r>
      <w:r/>
    </w:p>
    <w:p>
      <w:pPr>
        <w:pStyle w:val="907"/>
        <w:ind w:firstLine="480"/>
        <w:spacing w:line="400" w:lineRule="exact"/>
        <w:rPr>
          <w:rFonts w:ascii="宋体" w:hAnsi="宋体"/>
          <w:sz w:val="24"/>
          <w:szCs w:val="24"/>
          <w:u w:val="single"/>
        </w:rPr>
      </w:pPr>
      <w:r>
        <w:rPr>
          <w:rFonts w:hint="eastAsia" w:ascii="宋体" w:hAnsi="宋体"/>
          <w:sz w:val="24"/>
          <w:szCs w:val="24"/>
        </w:rPr>
        <w:t xml:space="preserve">6.合同履行期限：签订合同后30日内完成</w:t>
      </w:r>
      <w:r>
        <w:rPr>
          <w:rFonts w:ascii="宋体" w:hAnsi="宋体"/>
          <w:sz w:val="24"/>
          <w:szCs w:val="24"/>
          <w:u w:val="single"/>
        </w:rPr>
      </w:r>
      <w:r/>
    </w:p>
    <w:p>
      <w:pPr>
        <w:pStyle w:val="907"/>
        <w:ind w:firstLine="498"/>
        <w:keepLines/>
        <w:keepNext/>
        <w:spacing w:before="156" w:after="156" w:line="360" w:lineRule="auto"/>
        <w:rPr>
          <w:rFonts w:ascii="Times New Roman" w:hAnsi="Times New Roman"/>
          <w:b/>
          <w:bCs/>
          <w:sz w:val="32"/>
          <w:szCs w:val="32"/>
        </w:rPr>
        <w:outlineLvl w:val="2"/>
      </w:pPr>
      <w:r/>
      <w:bookmarkStart w:id="12" w:name="_Toc35393791"/>
      <w:r/>
      <w:bookmarkStart w:id="13" w:name="_Toc35393622"/>
      <w:r/>
      <w:bookmarkStart w:id="14" w:name="_Toc28359080"/>
      <w:r/>
      <w:bookmarkStart w:id="15" w:name="_Toc38985264"/>
      <w:r/>
      <w:bookmarkStart w:id="16" w:name="_Toc28359003"/>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907"/>
        <w:ind w:firstLine="560"/>
        <w:spacing w:line="400" w:lineRule="exact"/>
        <w:rPr>
          <w:rFonts w:hint="eastAsia" w:ascii="宋体" w:hAnsi="宋体"/>
          <w:sz w:val="28"/>
          <w:szCs w:val="28"/>
        </w:rPr>
      </w:pPr>
      <w:r/>
      <w:bookmarkStart w:id="17" w:name="_Toc28359081"/>
      <w:r/>
      <w:bookmarkStart w:id="18" w:name="_Toc35393623"/>
      <w:r/>
      <w:bookmarkStart w:id="19" w:name="_Toc38985265"/>
      <w:r/>
      <w:bookmarkStart w:id="20" w:name="_Toc28359004"/>
      <w:r/>
      <w:bookmarkStart w:id="21" w:name="_Toc35393792"/>
      <w:r>
        <w:rPr>
          <w:rFonts w:hint="eastAsia" w:ascii="宋体" w:hAnsi="宋体"/>
          <w:sz w:val="28"/>
          <w:szCs w:val="28"/>
        </w:rPr>
        <w:t xml:space="preserve">（一</w:t>
      </w:r>
      <w:r>
        <w:rPr>
          <w:rFonts w:ascii="宋体" w:hAnsi="宋体"/>
          <w:sz w:val="28"/>
          <w:szCs w:val="28"/>
        </w:rPr>
        <w:t xml:space="preserve">）</w:t>
      </w:r>
      <w:r>
        <w:rPr>
          <w:rFonts w:hint="eastAsia" w:ascii="宋体" w:hAnsi="宋体"/>
          <w:sz w:val="28"/>
          <w:szCs w:val="28"/>
        </w:rPr>
        <w:t xml:space="preserve">通用</w:t>
      </w:r>
      <w:r>
        <w:rPr>
          <w:rFonts w:ascii="宋体" w:hAnsi="宋体"/>
          <w:sz w:val="28"/>
          <w:szCs w:val="28"/>
        </w:rPr>
        <w:t xml:space="preserve">资格要求</w:t>
      </w:r>
      <w:r>
        <w:rPr>
          <w:rFonts w:hint="eastAsia" w:ascii="宋体" w:hAnsi="宋体"/>
          <w:sz w:val="28"/>
          <w:szCs w:val="28"/>
        </w:rPr>
      </w:r>
      <w:r/>
    </w:p>
    <w:p>
      <w:pPr>
        <w:pStyle w:val="907"/>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07"/>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907"/>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07"/>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7"/>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07"/>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07"/>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7"/>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7"/>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pStyle w:val="90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否</w:t>
            </w:r>
            <w:r/>
          </w:p>
        </w:tc>
        <w:tc>
          <w:tcPr>
            <w:tcW w:w="2967"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r>
      <w:tr>
        <w:trPr/>
        <w:tc>
          <w:tcPr>
            <w:tcW w:w="1148" w:type="dxa"/>
            <w:vAlign w:val="top"/>
            <w:textDirection w:val="lrTb"/>
            <w:noWrap w:val="false"/>
          </w:tcPr>
          <w:p>
            <w:pPr>
              <w:pStyle w:val="907"/>
              <w:jc w:val="center"/>
              <w:spacing w:line="400" w:lineRule="exact"/>
              <w:rPr>
                <w:rFonts w:ascii="宋体" w:hAnsi="宋体"/>
                <w:sz w:val="24"/>
                <w:szCs w:val="24"/>
              </w:rPr>
            </w:pPr>
            <w:r>
              <w:rPr>
                <w:rFonts w:ascii="宋体" w:hAnsi="宋体"/>
                <w:sz w:val="24"/>
                <w:szCs w:val="24"/>
              </w:rPr>
            </w:r>
            <w:r/>
          </w:p>
        </w:tc>
        <w:tc>
          <w:tcPr>
            <w:tcW w:w="2968" w:type="dxa"/>
            <w:vAlign w:val="top"/>
            <w:textDirection w:val="lrTb"/>
            <w:noWrap w:val="false"/>
          </w:tcPr>
          <w:p>
            <w:pPr>
              <w:pStyle w:val="907"/>
              <w:jc w:val="center"/>
              <w:spacing w:line="400" w:lineRule="exact"/>
              <w:rPr>
                <w:rFonts w:ascii="宋体" w:hAnsi="宋体"/>
                <w:sz w:val="24"/>
                <w:szCs w:val="24"/>
              </w:rPr>
            </w:pPr>
            <w:r>
              <w:rPr>
                <w:rFonts w:ascii="宋体" w:hAnsi="宋体"/>
                <w:sz w:val="24"/>
                <w:szCs w:val="24"/>
              </w:rPr>
            </w:r>
            <w:r/>
          </w:p>
        </w:tc>
        <w:tc>
          <w:tcPr>
            <w:tcW w:w="296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r>
        <w:trPr/>
        <w:tc>
          <w:tcPr>
            <w:tcW w:w="1148" w:type="dxa"/>
            <w:vAlign w:val="top"/>
            <w:textDirection w:val="lrTb"/>
            <w:noWrap w:val="false"/>
          </w:tcPr>
          <w:p>
            <w:pPr>
              <w:pStyle w:val="90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968" w:type="dxa"/>
            <w:vAlign w:val="top"/>
            <w:textDirection w:val="lrTb"/>
            <w:noWrap w:val="false"/>
          </w:tcPr>
          <w:p>
            <w:pPr>
              <w:pStyle w:val="907"/>
              <w:spacing w:line="400" w:lineRule="exact"/>
              <w:rPr>
                <w:rFonts w:ascii="宋体" w:hAnsi="宋体"/>
                <w:sz w:val="24"/>
                <w:szCs w:val="24"/>
              </w:rPr>
            </w:pPr>
            <w:r>
              <w:rPr>
                <w:rFonts w:ascii="宋体" w:hAnsi="宋体"/>
                <w:sz w:val="24"/>
                <w:szCs w:val="24"/>
              </w:rPr>
            </w:r>
            <w:r/>
          </w:p>
        </w:tc>
        <w:tc>
          <w:tcPr>
            <w:tcW w:w="2967" w:type="dxa"/>
            <w:vAlign w:val="top"/>
            <w:textDirection w:val="lrTb"/>
            <w:noWrap w:val="false"/>
          </w:tcPr>
          <w:p>
            <w:pPr>
              <w:pStyle w:val="907"/>
              <w:spacing w:line="400" w:lineRule="exact"/>
              <w:rPr>
                <w:rFonts w:ascii="宋体" w:hAnsi="宋体"/>
                <w:sz w:val="24"/>
                <w:szCs w:val="24"/>
              </w:rPr>
            </w:pPr>
            <w:r>
              <w:rPr>
                <w:rFonts w:ascii="宋体" w:hAnsi="宋体"/>
                <w:sz w:val="24"/>
                <w:szCs w:val="24"/>
              </w:rPr>
            </w:r>
            <w:r/>
          </w:p>
        </w:tc>
      </w:tr>
    </w:tbl>
    <w:p>
      <w:pPr>
        <w:pStyle w:val="907"/>
        <w:ind w:firstLine="560"/>
        <w:spacing w:line="400" w:lineRule="exact"/>
        <w:rPr>
          <w:rFonts w:ascii="宋体" w:hAnsi="宋体"/>
          <w:sz w:val="28"/>
          <w:szCs w:val="28"/>
        </w:rPr>
      </w:pPr>
      <w:r>
        <w:rPr>
          <w:rFonts w:hint="eastAsia" w:ascii="宋体" w:hAnsi="宋体"/>
          <w:sz w:val="28"/>
          <w:szCs w:val="28"/>
        </w:rPr>
        <w:t xml:space="preserve">（二）本项目的特定资格要求</w:t>
      </w:r>
      <w:r>
        <w:rPr>
          <w:rFonts w:ascii="宋体" w:hAnsi="宋体"/>
          <w:sz w:val="28"/>
          <w:szCs w:val="28"/>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7"/>
              <w:jc w:val="center"/>
              <w:spacing w:line="400" w:lineRule="exact"/>
              <w:rPr>
                <w:rFonts w:hint="eastAsia" w:ascii="宋体" w:hAnsi="宋体"/>
                <w:sz w:val="24"/>
                <w:szCs w:val="24"/>
              </w:rPr>
            </w:pPr>
            <w:r>
              <w:rPr>
                <w:rFonts w:hint="eastAsia" w:ascii="宋体" w:hAnsi="宋体"/>
                <w:sz w:val="24"/>
                <w:szCs w:val="24"/>
              </w:rPr>
              <w:t xml:space="preserve">包号</w:t>
            </w:r>
            <w:r/>
          </w:p>
        </w:tc>
        <w:tc>
          <w:tcPr>
            <w:tcW w:w="592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无</w:t>
            </w:r>
            <w:r/>
          </w:p>
        </w:tc>
      </w:tr>
      <w:tr>
        <w:trPr/>
        <w:tc>
          <w:tcPr>
            <w:tcW w:w="1148" w:type="dxa"/>
            <w:vAlign w:val="top"/>
            <w:textDirection w:val="lrTb"/>
            <w:noWrap w:val="false"/>
          </w:tcPr>
          <w:p>
            <w:pPr>
              <w:pStyle w:val="907"/>
              <w:jc w:val="center"/>
              <w:spacing w:line="400" w:lineRule="exact"/>
              <w:rPr>
                <w:rFonts w:ascii="宋体" w:hAnsi="宋体"/>
                <w:sz w:val="24"/>
                <w:szCs w:val="24"/>
              </w:rPr>
            </w:pPr>
            <w:r>
              <w:rPr>
                <w:rFonts w:ascii="宋体" w:hAnsi="宋体"/>
                <w:sz w:val="24"/>
                <w:szCs w:val="24"/>
              </w:rPr>
            </w:r>
            <w:r/>
          </w:p>
        </w:tc>
        <w:tc>
          <w:tcPr>
            <w:tcW w:w="592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r>
        <w:trPr/>
        <w:tc>
          <w:tcPr>
            <w:tcW w:w="1148" w:type="dxa"/>
            <w:vAlign w:val="top"/>
            <w:textDirection w:val="lrTb"/>
            <w:noWrap w:val="false"/>
          </w:tcPr>
          <w:p>
            <w:pPr>
              <w:pStyle w:val="90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5921" w:type="dxa"/>
            <w:vAlign w:val="top"/>
            <w:textDirection w:val="lrTb"/>
            <w:noWrap w:val="false"/>
          </w:tcPr>
          <w:p>
            <w:pPr>
              <w:pStyle w:val="907"/>
              <w:spacing w:line="400" w:lineRule="exact"/>
              <w:rPr>
                <w:rFonts w:ascii="宋体" w:hAnsi="宋体"/>
                <w:sz w:val="24"/>
                <w:szCs w:val="24"/>
              </w:rPr>
            </w:pPr>
            <w:r>
              <w:rPr>
                <w:rFonts w:ascii="宋体" w:hAnsi="宋体"/>
                <w:sz w:val="24"/>
                <w:szCs w:val="24"/>
              </w:rPr>
            </w:r>
            <w:r/>
          </w:p>
        </w:tc>
      </w:tr>
    </w:tbl>
    <w:p>
      <w:pPr>
        <w:pStyle w:val="907"/>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三、获取招标文件</w:t>
      </w:r>
      <w:r>
        <w:rPr>
          <w:rFonts w:ascii="Times New Roman" w:hAnsi="Times New Roman"/>
          <w:b/>
          <w:bCs/>
          <w:sz w:val="32"/>
          <w:szCs w:val="32"/>
        </w:rPr>
      </w:r>
      <w:r/>
    </w:p>
    <w:p>
      <w:pPr>
        <w:pStyle w:val="907"/>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907"/>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hint="eastAsia" w:ascii="宋体" w:hAnsi="宋体" w:cs="宋体"/>
          <w:sz w:val="24"/>
          <w:szCs w:val="24"/>
          <w:u w:val="single"/>
        </w:rPr>
      </w:r>
      <w:r/>
    </w:p>
    <w:p>
      <w:pPr>
        <w:pStyle w:val="907"/>
        <w:ind w:firstLine="498"/>
        <w:keepLines/>
        <w:keepNext/>
        <w:spacing w:before="156" w:after="156" w:line="400" w:lineRule="exact"/>
        <w:rPr>
          <w:rFonts w:ascii="Times New Roman" w:hAnsi="Times New Roman"/>
          <w:b/>
          <w:bCs/>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793"/>
      <w:r/>
      <w:bookmarkStart w:id="25" w:name="_Toc35393624"/>
      <w:r/>
      <w:bookmarkStart w:id="26" w:name="_Toc38985266"/>
      <w:r>
        <w:rPr>
          <w:rFonts w:hint="eastAsia" w:ascii="Times New Roman" w:hAnsi="Times New Roman"/>
          <w:b/>
          <w:bCs/>
          <w:sz w:val="32"/>
          <w:szCs w:val="32"/>
        </w:rPr>
        <w:t xml:space="preserve">四、提交投标文件</w:t>
      </w:r>
      <w:bookmarkEnd w:id="22"/>
      <w:r/>
      <w:bookmarkEnd w:id="23"/>
      <w:r>
        <w:rPr>
          <w:rFonts w:hint="eastAsia" w:ascii="Times New Roman" w:hAnsi="Times New Roman"/>
          <w:b/>
          <w:bCs/>
          <w:sz w:val="32"/>
          <w:szCs w:val="32"/>
        </w:rPr>
        <w:t xml:space="preserve">截止时间、开标时间和地点</w:t>
      </w:r>
      <w:bookmarkEnd w:id="24"/>
      <w:r/>
      <w:bookmarkEnd w:id="25"/>
      <w:r/>
      <w:bookmarkEnd w:id="26"/>
      <w:r>
        <w:rPr>
          <w:rFonts w:ascii="Times New Roman" w:hAnsi="Times New Roman"/>
          <w:b/>
          <w:bCs/>
          <w:sz w:val="32"/>
          <w:szCs w:val="32"/>
        </w:rPr>
      </w:r>
      <w:r/>
    </w:p>
    <w:p>
      <w:pPr>
        <w:pStyle w:val="907"/>
        <w:ind w:firstLine="480"/>
        <w:spacing w:line="400" w:lineRule="exac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rPr>
          <w:rFonts w:ascii="宋体" w:hAnsi="宋体"/>
          <w:sz w:val="24"/>
          <w:szCs w:val="24"/>
          <w:u w:val="single"/>
        </w:rPr>
        <w:t xml:space="preserve">2025</w:t>
      </w:r>
      <w:r>
        <w:rPr>
          <w:rFonts w:hint="eastAsia" w:ascii="宋体" w:hAnsi="宋体"/>
          <w:bCs/>
          <w:sz w:val="24"/>
          <w:szCs w:val="24"/>
          <w:u w:val="single"/>
        </w:rPr>
        <w:t xml:space="preserve">年10月16日9点30</w:t>
      </w:r>
      <w:r/>
      <w:r>
        <w:rPr>
          <w:rFonts w:hint="eastAsia" w:ascii="宋体" w:hAnsi="宋体"/>
          <w:bCs/>
          <w:sz w:val="24"/>
          <w:szCs w:val="24"/>
        </w:rPr>
        <w:t xml:space="preserve">分（北京时间）。</w:t>
      </w:r>
      <w:r/>
    </w:p>
    <w:p>
      <w:pPr>
        <w:pStyle w:val="907"/>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7"/>
        <w:ind w:firstLine="498"/>
        <w:keepLines/>
        <w:keepNext/>
        <w:spacing w:before="156" w:after="156" w:line="360" w:lineRule="auto"/>
        <w:rPr>
          <w:rFonts w:ascii="Times New Roman" w:hAnsi="Times New Roman"/>
          <w:b/>
          <w:bCs/>
          <w:sz w:val="32"/>
          <w:szCs w:val="32"/>
        </w:rPr>
        <w:outlineLvl w:val="2"/>
      </w:pPr>
      <w:r/>
      <w:bookmarkStart w:id="27" w:name="_Toc38985267"/>
      <w:r/>
      <w:bookmarkStart w:id="28" w:name="_Toc35393625"/>
      <w:r/>
      <w:bookmarkStart w:id="29" w:name="_Toc28359007"/>
      <w:r/>
      <w:bookmarkStart w:id="30" w:name="_Toc35393794"/>
      <w:r/>
      <w:bookmarkStart w:id="31" w:name="_Toc28359084"/>
      <w:r>
        <w:rPr>
          <w:rFonts w:hint="eastAsia" w:ascii="Times New Roman" w:hAnsi="Times New Roman"/>
          <w:b/>
          <w:bCs/>
          <w:sz w:val="32"/>
          <w:szCs w:val="32"/>
        </w:rPr>
        <w:t xml:space="preserve">五、公告期限</w:t>
      </w:r>
      <w:bookmarkEnd w:id="27"/>
      <w:r/>
      <w:bookmarkEnd w:id="28"/>
      <w:r/>
      <w:bookmarkEnd w:id="29"/>
      <w:r/>
      <w:bookmarkEnd w:id="30"/>
      <w:r/>
      <w:bookmarkEnd w:id="31"/>
      <w:r>
        <w:rPr>
          <w:rFonts w:ascii="Times New Roman" w:hAnsi="Times New Roman"/>
          <w:b/>
          <w:bCs/>
          <w:sz w:val="32"/>
          <w:szCs w:val="32"/>
        </w:rPr>
      </w:r>
      <w:r/>
    </w:p>
    <w:p>
      <w:pPr>
        <w:pStyle w:val="907"/>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907"/>
        <w:ind w:firstLine="498"/>
        <w:keepLines/>
        <w:keepNext/>
        <w:spacing w:before="156" w:after="156" w:line="400" w:lineRule="exact"/>
        <w:rPr>
          <w:rFonts w:ascii="Times New Roman" w:hAnsi="Times New Roman"/>
          <w:b/>
          <w:bCs/>
          <w:sz w:val="32"/>
          <w:szCs w:val="32"/>
        </w:rPr>
        <w:outlineLvl w:val="2"/>
      </w:pPr>
      <w:r/>
      <w:bookmarkStart w:id="32" w:name="_Toc35393795"/>
      <w:r/>
      <w:bookmarkStart w:id="33" w:name="_Toc38985268"/>
      <w:r/>
      <w:bookmarkStart w:id="34" w:name="_Toc35393626"/>
      <w:r>
        <w:rPr>
          <w:rFonts w:hint="eastAsia" w:ascii="Times New Roman" w:hAnsi="Times New Roman"/>
          <w:b/>
          <w:bCs/>
          <w:sz w:val="32"/>
          <w:szCs w:val="32"/>
        </w:rPr>
        <w:t xml:space="preserve">六、其他补充事宜</w:t>
      </w:r>
      <w:bookmarkEnd w:id="32"/>
      <w:r/>
      <w:bookmarkEnd w:id="33"/>
      <w:r/>
      <w:bookmarkEnd w:id="34"/>
      <w:r>
        <w:rPr>
          <w:rFonts w:ascii="Times New Roman" w:hAnsi="Times New Roman"/>
          <w:b/>
          <w:bCs/>
          <w:sz w:val="32"/>
          <w:szCs w:val="32"/>
        </w:rPr>
      </w:r>
      <w:r/>
    </w:p>
    <w:p>
      <w:pPr>
        <w:pStyle w:val="907"/>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7"/>
        <w:ind w:firstLine="498"/>
        <w:keepLines/>
        <w:keepNext/>
        <w:spacing w:before="156" w:after="156" w:line="400" w:lineRule="exact"/>
        <w:rPr>
          <w:rFonts w:ascii="Times New Roman" w:hAnsi="Times New Roman"/>
          <w:b/>
          <w:bCs/>
          <w:sz w:val="32"/>
          <w:szCs w:val="32"/>
        </w:rPr>
        <w:outlineLvl w:val="2"/>
      </w:pPr>
      <w:r/>
      <w:bookmarkStart w:id="35" w:name="_Toc38985269"/>
      <w:r/>
      <w:bookmarkStart w:id="36" w:name="_Toc35393627"/>
      <w:r/>
      <w:bookmarkStart w:id="37" w:name="_Toc35393796"/>
      <w:r/>
      <w:bookmarkStart w:id="38" w:name="_Toc28359085"/>
      <w:r/>
      <w:bookmarkStart w:id="39" w:name="_Toc28359008"/>
      <w:r>
        <w:rPr>
          <w:rFonts w:hint="eastAsia" w:ascii="Times New Roman" w:hAnsi="Times New Roman"/>
          <w:b/>
          <w:bCs/>
          <w:sz w:val="32"/>
          <w:szCs w:val="32"/>
        </w:rPr>
        <w:t xml:space="preserve">七、本次招标联系方式</w:t>
      </w:r>
      <w:bookmarkEnd w:id="35"/>
      <w:r/>
      <w:bookmarkEnd w:id="36"/>
      <w:r/>
      <w:bookmarkEnd w:id="37"/>
      <w:r/>
      <w:bookmarkEnd w:id="38"/>
      <w:r/>
      <w:bookmarkEnd w:id="39"/>
      <w:r>
        <w:rPr>
          <w:rFonts w:ascii="Times New Roman" w:hAnsi="Times New Roman"/>
          <w:b/>
          <w:bCs/>
          <w:sz w:val="32"/>
          <w:szCs w:val="32"/>
        </w:rPr>
      </w:r>
      <w:r/>
    </w:p>
    <w:p>
      <w:pPr>
        <w:pStyle w:val="907"/>
        <w:jc w:val="left"/>
        <w:spacing w:line="400" w:lineRule="exact"/>
        <w:widowControl/>
        <w:rPr>
          <w:rFonts w:ascii="宋体" w:hAnsi="宋体" w:cs="宋体"/>
          <w:sz w:val="24"/>
          <w:szCs w:val="24"/>
        </w:rPr>
      </w:pPr>
      <w:r>
        <w:rPr>
          <w:rFonts w:hint="eastAsia" w:ascii="宋体" w:hAnsi="宋体" w:cs="宋体"/>
          <w:sz w:val="24"/>
          <w:szCs w:val="24"/>
        </w:rPr>
        <w:t xml:space="preserve">　　1.采购人信息</w:t>
      </w:r>
      <w:r>
        <w:rPr>
          <w:rFonts w:ascii="宋体" w:hAnsi="宋体" w:cs="宋体"/>
          <w:sz w:val="24"/>
          <w:szCs w:val="24"/>
        </w:rPr>
      </w:r>
      <w:r/>
    </w:p>
    <w:p>
      <w:pPr>
        <w:pStyle w:val="907"/>
        <w:ind w:firstLine="480"/>
        <w:jc w:val="left"/>
        <w:spacing w:line="400" w:lineRule="exact"/>
        <w:rPr>
          <w:rFonts w:hint="eastAsia" w:ascii="宋体" w:hAnsi="宋体" w:cs="宋体"/>
          <w:sz w:val="24"/>
          <w:szCs w:val="24"/>
        </w:rPr>
      </w:pPr>
      <w:r/>
      <w:bookmarkStart w:id="40" w:name="_Toc28359086"/>
      <w:r/>
      <w:bookmarkStart w:id="41" w:name="_Toc28359009"/>
      <w:r>
        <w:rPr>
          <w:rFonts w:hint="eastAsia" w:ascii="宋体" w:hAnsi="宋体" w:cs="宋体"/>
          <w:sz w:val="24"/>
          <w:szCs w:val="24"/>
        </w:rPr>
        <w:t xml:space="preserve">名 称：江苏开放大学（江苏城市职业学院）</w:t>
      </w:r>
      <w:r/>
    </w:p>
    <w:p>
      <w:pPr>
        <w:pStyle w:val="907"/>
        <w:ind w:firstLine="480"/>
        <w:jc w:val="left"/>
        <w:spacing w:line="400" w:lineRule="exact"/>
        <w:rPr>
          <w:rFonts w:hint="eastAsia" w:ascii="宋体" w:hAnsi="宋体" w:cs="宋体"/>
          <w:sz w:val="24"/>
          <w:szCs w:val="24"/>
        </w:rPr>
      </w:pPr>
      <w:r>
        <w:rPr>
          <w:rFonts w:hint="eastAsia" w:ascii="宋体" w:hAnsi="宋体" w:cs="宋体"/>
          <w:sz w:val="24"/>
          <w:szCs w:val="24"/>
        </w:rPr>
        <w:t xml:space="preserve">地址：　南京市江东北路399 号　　　</w:t>
      </w:r>
      <w:r/>
    </w:p>
    <w:p>
      <w:pPr>
        <w:pStyle w:val="907"/>
        <w:ind w:firstLine="480"/>
        <w:jc w:val="left"/>
        <w:spacing w:line="400" w:lineRule="exact"/>
        <w:rPr>
          <w:rFonts w:hint="eastAsia" w:ascii="宋体" w:hAnsi="宋体" w:cs="宋体"/>
          <w:sz w:val="24"/>
          <w:szCs w:val="24"/>
        </w:rPr>
      </w:pPr>
      <w:r>
        <w:rPr>
          <w:rFonts w:hint="eastAsia" w:ascii="宋体" w:hAnsi="宋体" w:cs="宋体"/>
          <w:sz w:val="24"/>
          <w:szCs w:val="24"/>
        </w:rPr>
        <w:t xml:space="preserve">联系人： 李枫 </w:t>
      </w:r>
      <w:r/>
    </w:p>
    <w:p>
      <w:pPr>
        <w:pStyle w:val="907"/>
        <w:ind w:firstLine="480"/>
        <w:jc w:val="left"/>
        <w:spacing w:line="400" w:lineRule="exact"/>
        <w:rPr>
          <w:rFonts w:hint="eastAsia" w:ascii="宋体" w:hAnsi="宋体" w:cs="宋体"/>
          <w:sz w:val="24"/>
          <w:szCs w:val="24"/>
        </w:rPr>
      </w:pPr>
      <w:r>
        <w:rPr>
          <w:rFonts w:hint="eastAsia" w:ascii="宋体" w:hAnsi="宋体" w:cs="宋体"/>
          <w:sz w:val="24"/>
          <w:szCs w:val="24"/>
        </w:rPr>
        <w:t xml:space="preserve">联系方式： 025-86265605 </w:t>
      </w:r>
      <w:r/>
    </w:p>
    <w:p>
      <w:pPr>
        <w:pStyle w:val="907"/>
        <w:ind w:firstLine="480"/>
        <w:jc w:val="left"/>
        <w:spacing w:line="400" w:lineRule="exact"/>
        <w:rPr>
          <w:rFonts w:hint="eastAsia" w:ascii="宋体" w:hAnsi="宋体" w:cs="宋体"/>
          <w:sz w:val="24"/>
          <w:szCs w:val="24"/>
        </w:rPr>
      </w:pPr>
      <w:r>
        <w:rPr>
          <w:rFonts w:hint="eastAsia" w:ascii="宋体" w:hAnsi="宋体" w:cs="宋体"/>
          <w:sz w:val="24"/>
          <w:szCs w:val="24"/>
        </w:rPr>
        <w:t xml:space="preserve">2.江苏省政府采购中心信息</w:t>
      </w:r>
      <w:bookmarkEnd w:id="40"/>
      <w:r/>
      <w:bookmarkEnd w:id="41"/>
      <w:r>
        <w:rPr>
          <w:rFonts w:hint="eastAsia" w:ascii="宋体" w:hAnsi="宋体" w:cs="宋体"/>
          <w:sz w:val="24"/>
          <w:szCs w:val="24"/>
        </w:rPr>
      </w:r>
      <w:r/>
    </w:p>
    <w:p>
      <w:pPr>
        <w:pStyle w:val="907"/>
        <w:ind w:firstLine="480"/>
        <w:jc w:val="left"/>
        <w:spacing w:line="400" w:lineRule="exact"/>
        <w:rPr>
          <w:rFonts w:hint="eastAsia" w:ascii="宋体" w:hAnsi="宋体" w:cs="宋体"/>
          <w:sz w:val="24"/>
          <w:szCs w:val="24"/>
        </w:rPr>
      </w:pPr>
      <w:r>
        <w:rPr>
          <w:rFonts w:hint="eastAsia" w:ascii="宋体" w:hAnsi="宋体" w:cs="宋体"/>
          <w:sz w:val="24"/>
          <w:szCs w:val="24"/>
        </w:rPr>
        <w:t xml:space="preserve">地　址：南京市汉中门大街145号省政务中心二期3楼南区</w:t>
      </w:r>
      <w:r/>
    </w:p>
    <w:p>
      <w:pPr>
        <w:pStyle w:val="907"/>
        <w:ind w:firstLine="480"/>
        <w:jc w:val="left"/>
        <w:spacing w:line="400" w:lineRule="exact"/>
        <w:rPr>
          <w:rFonts w:hint="eastAsia" w:ascii="宋体" w:hAnsi="宋体" w:cs="宋体"/>
          <w:sz w:val="24"/>
          <w:szCs w:val="24"/>
        </w:rPr>
      </w:pPr>
      <w:r>
        <w:rPr>
          <w:rFonts w:hint="eastAsia" w:ascii="宋体" w:hAnsi="宋体" w:cs="宋体"/>
          <w:sz w:val="24"/>
          <w:szCs w:val="24"/>
        </w:rPr>
        <w:t xml:space="preserve">联系人：乔秀善</w:t>
      </w:r>
      <w:r>
        <w:rPr>
          <w:rFonts w:hint="eastAsia" w:ascii="宋体" w:hAnsi="宋体" w:cs="宋体"/>
          <w:sz w:val="24"/>
          <w:szCs w:val="24"/>
        </w:rPr>
        <w:t xml:space="preserve">、付钢</w:t>
      </w:r>
      <w:r>
        <w:rPr>
          <w:rFonts w:hint="eastAsia" w:ascii="宋体" w:hAnsi="宋体" w:cs="宋体"/>
          <w:sz w:val="24"/>
          <w:szCs w:val="24"/>
        </w:rPr>
      </w:r>
      <w:r/>
    </w:p>
    <w:p>
      <w:pPr>
        <w:pStyle w:val="907"/>
        <w:ind w:firstLine="480"/>
        <w:jc w:val="left"/>
        <w:spacing w:line="400" w:lineRule="exact"/>
        <w:rPr>
          <w:rFonts w:ascii="宋体" w:hAnsi="宋体" w:cs="宋体"/>
          <w:sz w:val="24"/>
          <w:szCs w:val="24"/>
        </w:rPr>
      </w:pPr>
      <w:r>
        <w:rPr>
          <w:rFonts w:hint="eastAsia" w:ascii="宋体" w:hAnsi="宋体" w:cs="宋体"/>
          <w:sz w:val="24"/>
          <w:szCs w:val="24"/>
        </w:rPr>
        <w:t xml:space="preserve">联系方式：</w:t>
      </w:r>
      <w:bookmarkStart w:id="42" w:name="_Toc28359010"/>
      <w:r/>
      <w:bookmarkStart w:id="43" w:name="_Toc28359087"/>
      <w:r>
        <w:rPr>
          <w:rFonts w:hint="eastAsia" w:ascii="宋体" w:hAnsi="宋体" w:cs="宋体"/>
          <w:sz w:val="24"/>
          <w:szCs w:val="24"/>
        </w:rPr>
        <w:t xml:space="preserve">025-83668530</w:t>
      </w:r>
      <w:r>
        <w:rPr>
          <w:rFonts w:hint="eastAsia" w:ascii="宋体" w:hAnsi="宋体" w:cs="宋体"/>
          <w:sz w:val="24"/>
          <w:szCs w:val="24"/>
        </w:rPr>
        <w:t xml:space="preserve">、83668520</w:t>
      </w:r>
      <w:r>
        <w:rPr>
          <w:rFonts w:ascii="宋体" w:hAnsi="宋体" w:cs="宋体"/>
          <w:sz w:val="24"/>
          <w:szCs w:val="24"/>
        </w:rPr>
      </w:r>
      <w:r/>
    </w:p>
    <w:p>
      <w:pPr>
        <w:pStyle w:val="907"/>
        <w:ind w:firstLine="498"/>
        <w:keepLines/>
        <w:keepNext/>
        <w:spacing w:before="156" w:after="156" w:line="360" w:lineRule="auto"/>
        <w:rPr>
          <w:rFonts w:ascii="Times New Roman" w:hAnsi="Times New Roman"/>
          <w:b/>
          <w:bCs/>
          <w:sz w:val="32"/>
          <w:szCs w:val="32"/>
        </w:rPr>
        <w:outlineLvl w:val="2"/>
      </w:pPr>
      <w:r/>
      <w:bookmarkEnd w:id="42"/>
      <w:r/>
      <w:bookmarkEnd w:id="43"/>
      <w:r>
        <w:rPr>
          <w:rFonts w:hint="eastAsia" w:ascii="Times New Roman" w:hAnsi="Times New Roman"/>
          <w:b/>
          <w:bCs/>
          <w:sz w:val="32"/>
          <w:szCs w:val="32"/>
        </w:rPr>
        <w:t xml:space="preserve">八、其他</w:t>
      </w:r>
      <w:r>
        <w:rPr>
          <w:rFonts w:ascii="Times New Roman" w:hAnsi="Times New Roman"/>
          <w:b/>
          <w:bCs/>
          <w:sz w:val="32"/>
          <w:szCs w:val="32"/>
        </w:rPr>
      </w:r>
      <w:r/>
    </w:p>
    <w:p>
      <w:pPr>
        <w:pStyle w:val="907"/>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szCs w:val="21"/>
        </w:rPr>
        <w:fldChar w:fldCharType="begin"/>
      </w:r>
      <w:r>
        <w:rPr>
          <w:rFonts w:ascii="Times New Roman" w:hAnsi="Times New Roman"/>
          <w:bCs/>
          <w:szCs w:val="21"/>
        </w:rPr>
        <w:instrText xml:space="preserve"> HYPERLINK "http://www.ccgp-jiangsu.gov.cn/jiangsu/zlxz/ee/ee3a4bc5a3454aa2b0d9312230633ce9.html" </w:instrText>
      </w:r>
      <w:r>
        <w:rPr>
          <w:rFonts w:ascii="Times New Roman" w:hAnsi="Times New Roman"/>
          <w:bCs/>
          <w:szCs w:val="21"/>
        </w:rPr>
        <w:fldChar w:fldCharType="separate"/>
      </w:r>
      <w:r>
        <w:rPr>
          <w:rStyle w:val="983"/>
          <w:rFonts w:ascii="Times New Roman" w:hAnsi="Times New Roman"/>
          <w:bCs/>
          <w:color w:val="000000"/>
          <w:szCs w:val="21"/>
        </w:rPr>
        <w:t xml:space="preserve">http://www.ccgp-jiangsu.gov.cn/jiangsu/zlxz/ee/ee3a4bc5a3454aa2b0d9312230633ce9.html</w:t>
      </w:r>
      <w:r>
        <w:rPr>
          <w:rFonts w:ascii="Times New Roman" w:hAnsi="Times New Roman"/>
          <w:bCs/>
          <w:szCs w:val="21"/>
        </w:rPr>
        <w:fldChar w:fldCharType="end"/>
      </w:r>
      <w:r>
        <w:rPr>
          <w:rFonts w:ascii="Times New Roman" w:hAnsi="Times New Roman"/>
          <w:bCs/>
          <w:szCs w:val="21"/>
        </w:rPr>
        <w:t xml:space="preserve">。</w:t>
      </w:r>
      <w:r>
        <w:rPr>
          <w:rFonts w:ascii="宋体" w:hAnsi="宋体"/>
          <w:bCs/>
          <w:sz w:val="24"/>
          <w:szCs w:val="24"/>
        </w:rPr>
      </w:r>
      <w:r/>
    </w:p>
    <w:p>
      <w:pPr>
        <w:pStyle w:val="907"/>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7"/>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pStyle w:val="907"/>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pStyle w:val="907"/>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pStyle w:val="907"/>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07"/>
        <w:ind w:firstLine="2429"/>
        <w:keepLines/>
        <w:keepNext/>
        <w:spacing w:before="260" w:after="260" w:line="416" w:lineRule="auto"/>
        <w:rPr>
          <w:rFonts w:hint="eastAsia" w:ascii="黑体" w:hAnsi="Arial" w:eastAsia="黑体" w:cs="Arial"/>
          <w:sz w:val="44"/>
          <w:szCs w:val="44"/>
        </w:rPr>
        <w:outlineLvl w:val="1"/>
      </w:pPr>
      <w:r/>
      <w:bookmarkStart w:id="4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513029202"/>
      <w:r/>
      <w:bookmarkStart w:id="48" w:name="_Toc20823274"/>
      <w:r>
        <w:rPr>
          <w:rFonts w:hint="eastAsia" w:ascii="黑体" w:hAnsi="Arial" w:eastAsia="黑体" w:cs="Arial"/>
          <w:b/>
          <w:bCs/>
          <w:sz w:val="44"/>
          <w:szCs w:val="44"/>
        </w:rPr>
        <w:t xml:space="preserve">投标人须知</w:t>
      </w:r>
      <w:bookmarkEnd w:id="45"/>
      <w:r/>
      <w:bookmarkEnd w:id="46"/>
      <w:r/>
      <w:bookmarkEnd w:id="47"/>
      <w:r/>
      <w:bookmarkEnd w:id="48"/>
      <w:r>
        <w:rPr>
          <w:rFonts w:hint="eastAsia" w:ascii="黑体" w:hAnsi="Arial" w:eastAsia="黑体" w:cs="Arial"/>
          <w:sz w:val="44"/>
          <w:szCs w:val="44"/>
        </w:rPr>
      </w:r>
      <w:r/>
    </w:p>
    <w:p>
      <w:pPr>
        <w:pStyle w:val="907"/>
        <w:ind w:firstLine="498"/>
        <w:keepLines/>
        <w:keepNext/>
        <w:spacing w:before="156" w:after="156" w:line="400" w:lineRule="exact"/>
        <w:rPr>
          <w:rFonts w:hint="eastAsia" w:ascii="Times New Roman" w:hAnsi="Times New Roman"/>
          <w:b/>
          <w:bCs/>
          <w:sz w:val="32"/>
          <w:szCs w:val="32"/>
        </w:rPr>
        <w:outlineLvl w:val="2"/>
      </w:pPr>
      <w:r/>
      <w:bookmarkStart w:id="49" w:name="_Toc16938519"/>
      <w:r/>
      <w:bookmarkStart w:id="50" w:name="_Toc20823275"/>
      <w:r/>
      <w:bookmarkStart w:id="51" w:name="_Toc513029203"/>
      <w:r/>
      <w:bookmarkStart w:id="52" w:name="_Toc120614214"/>
      <w:r>
        <w:rPr>
          <w:rFonts w:hint="eastAsia" w:ascii="Times New Roman" w:hAnsi="Times New Roman"/>
          <w:b/>
          <w:bCs/>
          <w:sz w:val="32"/>
          <w:szCs w:val="32"/>
        </w:rPr>
        <w:t xml:space="preserve">一、总则</w:t>
      </w:r>
      <w:bookmarkEnd w:id="49"/>
      <w:r/>
      <w:bookmarkEnd w:id="50"/>
      <w:r/>
      <w:bookmarkEnd w:id="51"/>
      <w:r/>
      <w:bookmarkEnd w:id="52"/>
      <w:r>
        <w:rPr>
          <w:rFonts w:hint="eastAsia" w:ascii="Times New Roman" w:hAnsi="Times New Roman"/>
          <w:b/>
          <w:bCs/>
          <w:sz w:val="32"/>
          <w:szCs w:val="32"/>
        </w:rPr>
      </w:r>
      <w:r/>
    </w:p>
    <w:p>
      <w:pPr>
        <w:pStyle w:val="907"/>
        <w:ind w:firstLine="420"/>
        <w:keepLines/>
        <w:keepNext/>
        <w:spacing w:line="400" w:lineRule="exact"/>
        <w:rPr>
          <w:rFonts w:hint="eastAsia" w:ascii="Arial" w:hAnsi="Arial" w:eastAsia="黑体" w:cs="Arial"/>
          <w:sz w:val="28"/>
          <w:szCs w:val="28"/>
        </w:rPr>
        <w:outlineLvl w:val="3"/>
      </w:pPr>
      <w:r/>
      <w:bookmarkStart w:id="53" w:name="_Hlt16619475"/>
      <w:r/>
      <w:bookmarkEnd w:id="53"/>
      <w:r/>
      <w:bookmarkStart w:id="54" w:name="_Toc458694821"/>
      <w:r/>
      <w:bookmarkStart w:id="55" w:name="_Toc513029204"/>
      <w:r/>
      <w:bookmarkStart w:id="56" w:name="_Toc20823276"/>
      <w:r/>
      <w:bookmarkStart w:id="57" w:name="_Toc16938520"/>
      <w:r>
        <w:rPr>
          <w:rFonts w:hint="eastAsia" w:ascii="Arial" w:hAnsi="Arial" w:eastAsia="黑体" w:cs="Arial"/>
          <w:sz w:val="28"/>
          <w:szCs w:val="28"/>
        </w:rPr>
        <w:t xml:space="preserve">1</w:t>
      </w:r>
      <w:bookmarkEnd w:id="54"/>
      <w:r>
        <w:rPr>
          <w:rFonts w:hint="eastAsia" w:ascii="Arial" w:hAnsi="Arial" w:eastAsia="黑体" w:cs="Arial"/>
          <w:sz w:val="28"/>
          <w:szCs w:val="28"/>
        </w:rPr>
        <w:t xml:space="preserve">、招标方式</w:t>
      </w:r>
      <w:bookmarkEnd w:id="55"/>
      <w:r/>
      <w:bookmarkEnd w:id="56"/>
      <w:r/>
      <w:bookmarkEnd w:id="57"/>
      <w:r>
        <w:rPr>
          <w:rFonts w:hint="eastAsia" w:ascii="Arial" w:hAnsi="Arial" w:eastAsia="黑体" w:cs="Arial"/>
          <w:sz w:val="28"/>
          <w:szCs w:val="28"/>
        </w:rPr>
      </w:r>
      <w:r/>
    </w:p>
    <w:p>
      <w:pPr>
        <w:pStyle w:val="907"/>
        <w:ind w:firstLine="480"/>
        <w:spacing w:line="4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pStyle w:val="907"/>
        <w:ind w:firstLine="420"/>
        <w:keepLines/>
        <w:keepNext/>
        <w:spacing w:line="400" w:lineRule="exact"/>
        <w:rPr>
          <w:rFonts w:hint="eastAsia" w:ascii="Arial" w:hAnsi="Arial" w:eastAsia="黑体" w:cs="Arial"/>
          <w:sz w:val="28"/>
          <w:szCs w:val="28"/>
        </w:rPr>
        <w:outlineLvl w:val="3"/>
      </w:pPr>
      <w:r/>
      <w:bookmarkStart w:id="58" w:name="_Toc20823277"/>
      <w:r/>
      <w:bookmarkStart w:id="59" w:name="_Toc513029205"/>
      <w:r/>
      <w:bookmarkStart w:id="60" w:name="_Toc16938521"/>
      <w:r>
        <w:rPr>
          <w:rFonts w:hint="eastAsia" w:ascii="Arial" w:hAnsi="Arial" w:eastAsia="黑体" w:cs="Arial"/>
          <w:sz w:val="28"/>
          <w:szCs w:val="28"/>
        </w:rPr>
        <w:t xml:space="preserve">2、合格的投标人</w:t>
      </w:r>
      <w:bookmarkEnd w:id="58"/>
      <w:r/>
      <w:bookmarkEnd w:id="59"/>
      <w:r/>
      <w:bookmarkEnd w:id="60"/>
      <w:r>
        <w:rPr>
          <w:rFonts w:hint="eastAsia" w:ascii="Arial" w:hAnsi="Arial" w:eastAsia="黑体" w:cs="Arial"/>
          <w:sz w:val="28"/>
          <w:szCs w:val="28"/>
        </w:rPr>
      </w:r>
      <w:r/>
    </w:p>
    <w:p>
      <w:pPr>
        <w:pStyle w:val="90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07"/>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907"/>
        <w:ind w:firstLine="420"/>
        <w:keepLines/>
        <w:keepNext/>
        <w:spacing w:line="400" w:lineRule="exact"/>
        <w:rPr>
          <w:rFonts w:hint="eastAsia" w:ascii="Arial" w:hAnsi="Arial" w:eastAsia="黑体" w:cs="Arial"/>
          <w:sz w:val="28"/>
          <w:szCs w:val="28"/>
        </w:rPr>
        <w:outlineLvl w:val="3"/>
      </w:pPr>
      <w:r/>
      <w:bookmarkStart w:id="61" w:name="_Toc20823278"/>
      <w:r/>
      <w:bookmarkStart w:id="62" w:name="_Toc16938522"/>
      <w:r/>
      <w:bookmarkStart w:id="63" w:name="_Toc513029206"/>
      <w:r>
        <w:rPr>
          <w:rFonts w:hint="eastAsia" w:ascii="Arial" w:hAnsi="Arial" w:eastAsia="黑体" w:cs="Arial"/>
          <w:sz w:val="28"/>
          <w:szCs w:val="28"/>
        </w:rPr>
        <w:t xml:space="preserve">3、适用法律</w:t>
      </w:r>
      <w:bookmarkEnd w:id="61"/>
      <w:r/>
      <w:bookmarkEnd w:id="62"/>
      <w:r/>
      <w:bookmarkEnd w:id="63"/>
      <w:r>
        <w:rPr>
          <w:rFonts w:hint="eastAsia" w:ascii="Arial" w:hAnsi="Arial" w:eastAsia="黑体" w:cs="Arial"/>
          <w:sz w:val="28"/>
          <w:szCs w:val="28"/>
        </w:rPr>
      </w:r>
      <w:r/>
    </w:p>
    <w:p>
      <w:pPr>
        <w:pStyle w:val="907"/>
        <w:ind w:firstLine="420"/>
        <w:spacing w:line="4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07"/>
        <w:ind w:firstLine="420"/>
        <w:keepLines/>
        <w:keepNext/>
        <w:spacing w:line="400" w:lineRule="exact"/>
        <w:rPr>
          <w:rFonts w:hint="eastAsia" w:ascii="Arial" w:hAnsi="Arial" w:eastAsia="黑体" w:cs="Arial"/>
          <w:sz w:val="28"/>
          <w:szCs w:val="28"/>
        </w:rPr>
        <w:outlineLvl w:val="3"/>
      </w:pPr>
      <w:r/>
      <w:bookmarkStart w:id="64" w:name="_Toc20823279"/>
      <w:r/>
      <w:bookmarkStart w:id="65" w:name="_Toc462564067"/>
      <w:r/>
      <w:bookmarkStart w:id="66" w:name="_Toc16938523"/>
      <w:r/>
      <w:bookmarkStart w:id="67" w:name="_Toc513029207"/>
      <w:r>
        <w:rPr>
          <w:rFonts w:hint="eastAsia" w:ascii="Arial" w:hAnsi="Arial" w:eastAsia="黑体" w:cs="Arial"/>
          <w:sz w:val="28"/>
          <w:szCs w:val="28"/>
        </w:rPr>
        <w:t xml:space="preserve">4、投标费用</w:t>
      </w:r>
      <w:bookmarkEnd w:id="64"/>
      <w:r/>
      <w:bookmarkEnd w:id="65"/>
      <w:r/>
      <w:bookmarkEnd w:id="66"/>
      <w:r/>
      <w:bookmarkEnd w:id="67"/>
      <w:r>
        <w:rPr>
          <w:rFonts w:hint="eastAsia" w:ascii="Arial" w:hAnsi="Arial" w:eastAsia="黑体" w:cs="Arial"/>
          <w:sz w:val="28"/>
          <w:szCs w:val="28"/>
        </w:rPr>
      </w:r>
      <w:r/>
    </w:p>
    <w:p>
      <w:pPr>
        <w:pStyle w:val="907"/>
        <w:ind w:firstLine="480"/>
        <w:spacing w:line="4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pStyle w:val="907"/>
        <w:ind w:firstLine="480"/>
        <w:spacing w:line="400" w:lineRule="exact"/>
        <w:rPr>
          <w:rFonts w:hint="eastAsia" w:ascii="宋体" w:hAnsi="宋体"/>
          <w:sz w:val="24"/>
          <w:szCs w:val="21"/>
        </w:rPr>
      </w:pPr>
      <w:r>
        <w:rPr>
          <w:rFonts w:hint="eastAsia" w:ascii="宋体" w:hAnsi="宋体"/>
          <w:sz w:val="24"/>
          <w:szCs w:val="21"/>
        </w:rPr>
        <w:t xml:space="preserve">4.2本次招标采购中心和采购人不收取标书工本费与中标服务费。</w:t>
      </w:r>
      <w:r/>
    </w:p>
    <w:p>
      <w:pPr>
        <w:pStyle w:val="907"/>
        <w:ind w:firstLine="452"/>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pStyle w:val="907"/>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07"/>
        <w:ind w:firstLine="321"/>
        <w:keepLines/>
        <w:keepNext/>
        <w:spacing w:before="156" w:after="156" w:line="400" w:lineRule="exact"/>
        <w:rPr>
          <w:rFonts w:hint="eastAsia" w:ascii="Times New Roman" w:hAnsi="Times New Roman"/>
          <w:b/>
          <w:bCs/>
          <w:sz w:val="32"/>
          <w:szCs w:val="32"/>
        </w:rPr>
        <w:outlineLvl w:val="2"/>
      </w:pPr>
      <w:r/>
      <w:bookmarkStart w:id="68" w:name="_Toc16938525"/>
      <w:r/>
      <w:bookmarkStart w:id="69" w:name="_Toc120614215"/>
      <w:r/>
      <w:bookmarkStart w:id="70" w:name="_Toc513029209"/>
      <w:r/>
      <w:bookmarkStart w:id="71" w:name="_Toc20823281"/>
      <w:r>
        <w:rPr>
          <w:rFonts w:hint="eastAsia" w:ascii="Times New Roman" w:hAnsi="Times New Roman"/>
          <w:b/>
          <w:bCs/>
          <w:sz w:val="32"/>
          <w:szCs w:val="32"/>
        </w:rPr>
        <w:t xml:space="preserve">二、招标文件</w:t>
      </w:r>
      <w:bookmarkEnd w:id="68"/>
      <w:r/>
      <w:bookmarkEnd w:id="69"/>
      <w:r/>
      <w:bookmarkEnd w:id="70"/>
      <w:r/>
      <w:bookmarkEnd w:id="71"/>
      <w:r>
        <w:rPr>
          <w:rFonts w:hint="eastAsia" w:ascii="Times New Roman" w:hAnsi="Times New Roman"/>
          <w:b/>
          <w:bCs/>
          <w:sz w:val="32"/>
          <w:szCs w:val="32"/>
        </w:rPr>
      </w:r>
      <w:r/>
    </w:p>
    <w:p>
      <w:pPr>
        <w:pStyle w:val="907"/>
        <w:ind w:firstLine="420"/>
        <w:keepLines/>
        <w:keepNext/>
        <w:spacing w:line="400" w:lineRule="exact"/>
        <w:rPr>
          <w:rFonts w:hint="eastAsia" w:ascii="Arial" w:hAnsi="Arial" w:eastAsia="黑体" w:cs="Arial"/>
          <w:sz w:val="28"/>
          <w:szCs w:val="28"/>
        </w:rPr>
        <w:outlineLvl w:val="3"/>
      </w:pPr>
      <w:r/>
      <w:bookmarkStart w:id="72" w:name="_Toc513029210"/>
      <w:r/>
      <w:bookmarkStart w:id="73" w:name="_Toc20823282"/>
      <w:r/>
      <w:bookmarkStart w:id="74" w:name="_Toc16938526"/>
      <w:r>
        <w:rPr>
          <w:rFonts w:hint="eastAsia" w:ascii="Arial" w:hAnsi="Arial" w:eastAsia="黑体" w:cs="Arial"/>
          <w:sz w:val="28"/>
          <w:szCs w:val="28"/>
        </w:rPr>
        <w:t xml:space="preserve">6、招标文件构成</w:t>
      </w:r>
      <w:bookmarkEnd w:id="72"/>
      <w:r/>
      <w:bookmarkEnd w:id="73"/>
      <w:r/>
      <w:bookmarkEnd w:id="74"/>
      <w:r>
        <w:rPr>
          <w:rFonts w:hint="eastAsia" w:ascii="Arial" w:hAnsi="Arial" w:eastAsia="黑体" w:cs="Arial"/>
          <w:sz w:val="28"/>
          <w:szCs w:val="28"/>
        </w:rPr>
      </w:r>
      <w:r/>
    </w:p>
    <w:p>
      <w:pPr>
        <w:pStyle w:val="907"/>
        <w:ind w:firstLine="480"/>
        <w:spacing w:line="4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pStyle w:val="90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7"/>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07"/>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07"/>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07"/>
        <w:ind w:firstLine="360"/>
        <w:spacing w:line="400" w:lineRule="exact"/>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评标方法与评标标准</w:t>
      </w:r>
      <w:r>
        <w:rPr>
          <w:rFonts w:hint="eastAsia" w:ascii="Times New Roman" w:hAnsi="Times New Roman"/>
          <w:sz w:val="24"/>
          <w:szCs w:val="24"/>
        </w:rPr>
      </w:r>
      <w:r/>
    </w:p>
    <w:p>
      <w:pPr>
        <w:pStyle w:val="907"/>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07"/>
        <w:ind w:firstLine="480"/>
        <w:spacing w:line="400" w:lineRule="exact"/>
        <w:rPr>
          <w:rFonts w:hint="eastAsia" w:ascii="宋体" w:hAnsi="宋体"/>
          <w:sz w:val="24"/>
          <w:szCs w:val="21"/>
        </w:rPr>
      </w:pPr>
      <w:r>
        <w:rPr>
          <w:rFonts w:hint="eastAsia" w:ascii="宋体" w:hAnsi="宋体"/>
          <w:sz w:val="24"/>
          <w:szCs w:val="21"/>
        </w:rPr>
        <w:t xml:space="preserve">请仔细检查招标文件是否齐全，如有缺漏请立即与采购中心联系解决。</w:t>
      </w:r>
      <w:r/>
    </w:p>
    <w:p>
      <w:pPr>
        <w:pStyle w:val="907"/>
        <w:ind w:firstLine="480"/>
        <w:spacing w:line="4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7"/>
        <w:ind w:firstLine="560"/>
        <w:keepLines/>
        <w:keepNext/>
        <w:spacing w:line="400" w:lineRule="exact"/>
        <w:rPr>
          <w:rFonts w:hint="eastAsia" w:ascii="Arial" w:hAnsi="Arial" w:eastAsia="黑体" w:cs="Arial"/>
          <w:sz w:val="28"/>
          <w:szCs w:val="28"/>
        </w:rPr>
        <w:outlineLvl w:val="3"/>
      </w:pPr>
      <w:r/>
      <w:bookmarkStart w:id="75" w:name="_Toc513029212"/>
      <w:r/>
      <w:bookmarkStart w:id="76" w:name="_Toc16938528"/>
      <w:r/>
      <w:bookmarkStart w:id="77" w:name="_Toc20823284"/>
      <w:r/>
      <w:bookmarkStart w:id="78" w:name="_Toc462564071"/>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75"/>
      <w:r/>
      <w:bookmarkEnd w:id="76"/>
      <w:r/>
      <w:bookmarkEnd w:id="77"/>
      <w:r/>
      <w:bookmarkEnd w:id="78"/>
      <w:r>
        <w:rPr>
          <w:rFonts w:hint="eastAsia" w:ascii="Arial" w:hAnsi="Arial" w:eastAsia="黑体" w:cs="Arial"/>
          <w:sz w:val="28"/>
          <w:szCs w:val="28"/>
        </w:rPr>
      </w:r>
      <w:r/>
    </w:p>
    <w:p>
      <w:pPr>
        <w:pStyle w:val="907"/>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，采购中心可以对招标文件进行修改。</w:t>
      </w:r>
      <w:r/>
    </w:p>
    <w:p>
      <w:pPr>
        <w:pStyle w:val="907"/>
        <w:ind w:firstLine="480"/>
        <w:spacing w:line="400" w:lineRule="exact"/>
        <w:rPr>
          <w:rFonts w:hint="eastAsia" w:ascii="宋体" w:hAnsi="Arial"/>
          <w:sz w:val="28"/>
          <w:szCs w:val="21"/>
        </w:rPr>
      </w:pPr>
      <w:r>
        <w:rPr>
          <w:rFonts w:ascii="宋体" w:hAnsi="宋体"/>
          <w:bCs/>
          <w:sz w:val="24"/>
          <w:szCs w:val="21"/>
        </w:rPr>
        <w:t xml:space="preserve">7</w:t>
      </w:r>
      <w:r>
        <w:rPr>
          <w:rFonts w:hint="eastAsia" w:ascii="宋体" w:hAnsi="宋体"/>
          <w:bCs/>
          <w:sz w:val="24"/>
          <w:szCs w:val="21"/>
        </w:rPr>
        <w:t xml:space="preserve">.2 </w:t>
      </w:r>
      <w:r>
        <w:rPr>
          <w:rFonts w:hint="eastAsia" w:ascii="宋体" w:hAnsi="宋体"/>
          <w:sz w:val="24"/>
          <w:szCs w:val="21"/>
        </w:rPr>
        <w:t xml:space="preserve">采购中心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rPr>
          <w:rFonts w:hint="eastAsia" w:ascii="宋体" w:hAnsi="Arial"/>
          <w:sz w:val="28"/>
          <w:szCs w:val="21"/>
        </w:rPr>
      </w:r>
      <w:r/>
    </w:p>
    <w:p>
      <w:pPr>
        <w:pStyle w:val="907"/>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p>
    <w:p>
      <w:pPr>
        <w:pStyle w:val="907"/>
        <w:ind w:firstLine="482"/>
        <w:keepLines/>
        <w:keepNext/>
        <w:spacing w:before="156" w:after="156" w:line="400" w:lineRule="exact"/>
        <w:rPr>
          <w:rFonts w:hint="eastAsia" w:ascii="Times New Roman" w:hAnsi="Times New Roman"/>
          <w:b/>
          <w:bCs/>
          <w:sz w:val="32"/>
          <w:szCs w:val="32"/>
        </w:rPr>
        <w:outlineLvl w:val="2"/>
      </w:pPr>
      <w:r/>
      <w:bookmarkStart w:id="79" w:name="_Toc513029213"/>
      <w:r/>
      <w:bookmarkStart w:id="80" w:name="_Toc16938529"/>
      <w:r/>
      <w:bookmarkStart w:id="81" w:name="_Toc462564072"/>
      <w:r/>
      <w:bookmarkStart w:id="82" w:name="_Toc20823285"/>
      <w:r/>
      <w:bookmarkStart w:id="83" w:name="_Toc120614216"/>
      <w:r>
        <w:rPr>
          <w:rFonts w:hint="eastAsia" w:ascii="Times New Roman" w:hAnsi="Times New Roman"/>
          <w:b/>
          <w:bCs/>
          <w:sz w:val="32"/>
          <w:szCs w:val="32"/>
        </w:rPr>
        <w:t xml:space="preserve">三、投标文件的编制</w:t>
      </w:r>
      <w:bookmarkEnd w:id="79"/>
      <w:r/>
      <w:bookmarkEnd w:id="80"/>
      <w:r/>
      <w:bookmarkEnd w:id="81"/>
      <w:r/>
      <w:bookmarkEnd w:id="82"/>
      <w:r/>
      <w:bookmarkEnd w:id="83"/>
      <w:r>
        <w:rPr>
          <w:rFonts w:hint="eastAsia" w:ascii="Times New Roman" w:hAnsi="Times New Roman"/>
          <w:b/>
          <w:bCs/>
          <w:sz w:val="32"/>
          <w:szCs w:val="32"/>
        </w:rPr>
      </w:r>
      <w:r/>
    </w:p>
    <w:p>
      <w:pPr>
        <w:pStyle w:val="907"/>
        <w:ind w:firstLine="560"/>
        <w:keepLines/>
        <w:keepNext/>
        <w:spacing w:line="400" w:lineRule="exact"/>
        <w:rPr>
          <w:rFonts w:hint="eastAsia" w:ascii="Arial" w:hAnsi="Arial" w:eastAsia="黑体" w:cs="Arial"/>
          <w:b/>
          <w:sz w:val="28"/>
          <w:szCs w:val="28"/>
        </w:rPr>
        <w:outlineLvl w:val="3"/>
      </w:pPr>
      <w:r/>
      <w:bookmarkStart w:id="84" w:name="_Toc16938530"/>
      <w:r/>
      <w:bookmarkStart w:id="85" w:name="_Toc20823286"/>
      <w:r/>
      <w:bookmarkStart w:id="86" w:name="_Toc513029214"/>
      <w:r/>
      <w:bookmarkStart w:id="87" w:name="_Toc462564073"/>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84"/>
      <w:r/>
      <w:bookmarkEnd w:id="85"/>
      <w:r/>
      <w:bookmarkEnd w:id="86"/>
      <w:r/>
      <w:bookmarkEnd w:id="87"/>
      <w:r>
        <w:rPr>
          <w:rFonts w:hint="eastAsia" w:ascii="Arial" w:hAnsi="Arial" w:eastAsia="黑体" w:cs="Arial"/>
          <w:b/>
          <w:sz w:val="28"/>
          <w:szCs w:val="28"/>
        </w:rPr>
      </w:r>
      <w:r/>
    </w:p>
    <w:p>
      <w:pPr>
        <w:pStyle w:val="907"/>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 投标人提交的投标文件以及投标人与采购中心就有关投标的所有来往通知、函件和文件均应使用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907"/>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除技术性能另有规定外，投标文件所使用的度量衡单位，均须采用国家法定计量单位。</w:t>
      </w:r>
      <w:r/>
    </w:p>
    <w:p>
      <w:pPr>
        <w:pStyle w:val="907"/>
        <w:ind w:firstLine="420"/>
        <w:keepLines/>
        <w:keepNext/>
        <w:spacing w:line="400" w:lineRule="exact"/>
        <w:rPr>
          <w:rFonts w:hint="eastAsia" w:ascii="Arial" w:hAnsi="Arial" w:eastAsia="黑体" w:cs="Arial"/>
          <w:sz w:val="28"/>
          <w:szCs w:val="28"/>
        </w:rPr>
        <w:outlineLvl w:val="3"/>
      </w:pPr>
      <w:r/>
      <w:bookmarkStart w:id="88" w:name="_Toc462564074"/>
      <w:r/>
      <w:bookmarkStart w:id="89" w:name="_Toc16938531"/>
      <w:r/>
      <w:bookmarkStart w:id="90" w:name="_Toc20823287"/>
      <w:r/>
      <w:bookmarkStart w:id="91" w:name="_Toc513029215"/>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88"/>
      <w:r/>
      <w:bookmarkEnd w:id="89"/>
      <w:r/>
      <w:bookmarkEnd w:id="90"/>
      <w:r/>
      <w:bookmarkEnd w:id="91"/>
      <w:r>
        <w:rPr>
          <w:rFonts w:hint="eastAsia" w:ascii="Arial" w:hAnsi="Arial" w:eastAsia="黑体" w:cs="Arial"/>
          <w:sz w:val="28"/>
          <w:szCs w:val="28"/>
        </w:rPr>
      </w:r>
      <w:r/>
    </w:p>
    <w:p>
      <w:pPr>
        <w:pStyle w:val="907"/>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pStyle w:val="907"/>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如标书制作工具中格式和内容与“江苏政府采购网”发布的招标文件不一致，请以“江苏政府采购网”发布的招标文件为准。</w:t>
      </w:r>
      <w:r/>
    </w:p>
    <w:p>
      <w:pPr>
        <w:pStyle w:val="907"/>
        <w:ind w:firstLine="420"/>
        <w:keepLines/>
        <w:keepNext/>
        <w:spacing w:line="400" w:lineRule="exact"/>
        <w:rPr>
          <w:rFonts w:hint="eastAsia" w:ascii="Arial" w:hAnsi="Arial" w:eastAsia="黑体" w:cs="Arial"/>
          <w:sz w:val="28"/>
          <w:szCs w:val="28"/>
        </w:rPr>
        <w:outlineLvl w:val="3"/>
      </w:pPr>
      <w:r/>
      <w:bookmarkStart w:id="92" w:name="_Hlt26670360"/>
      <w:r/>
      <w:bookmarkEnd w:id="92"/>
      <w:r/>
      <w:bookmarkStart w:id="93" w:name="_Hlt26954838"/>
      <w:r/>
      <w:bookmarkEnd w:id="93"/>
      <w:r/>
      <w:bookmarkStart w:id="94" w:name="_Hlt26668975"/>
      <w:r/>
      <w:bookmarkEnd w:id="94"/>
      <w:r/>
      <w:bookmarkStart w:id="95" w:name="_Toc14577357"/>
      <w:r/>
      <w:bookmarkStart w:id="96" w:name="_Toc49090509"/>
      <w:r/>
      <w:bookmarkStart w:id="97" w:name="_Toc513029219"/>
      <w:r/>
      <w:bookmarkStart w:id="98" w:name="_Toc14577354"/>
      <w:r/>
      <w:bookmarkStart w:id="99" w:name="_Toc513029216"/>
      <w:r/>
      <w:bookmarkStart w:id="100" w:name="_Toc49090507"/>
      <w:r/>
      <w:bookmarkStart w:id="101" w:name="_Toc49090508"/>
      <w:r/>
      <w:bookmarkStart w:id="102" w:name="_Toc14577355"/>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95"/>
      <w:r/>
      <w:bookmarkEnd w:id="96"/>
      <w:r/>
      <w:bookmarkEnd w:id="97"/>
      <w:r>
        <w:rPr>
          <w:rFonts w:hint="eastAsia" w:ascii="Arial" w:hAnsi="Arial" w:eastAsia="黑体" w:cs="Arial"/>
          <w:sz w:val="28"/>
          <w:szCs w:val="28"/>
        </w:rPr>
      </w:r>
      <w:r/>
    </w:p>
    <w:p>
      <w:pPr>
        <w:pStyle w:val="907"/>
        <w:spacing w:line="400" w:lineRule="exact"/>
        <w:rPr>
          <w:rFonts w:hint="eastAsia" w:ascii="宋体" w:hAnsi="宋体"/>
          <w:sz w:val="24"/>
          <w:szCs w:val="24"/>
        </w:rPr>
      </w:pPr>
      <w:r/>
      <w:bookmarkEnd w:id="98"/>
      <w:r/>
      <w:bookmarkEnd w:id="99"/>
      <w:r/>
      <w:bookmarkEnd w:id="100"/>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pStyle w:val="907"/>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907"/>
        <w:ind w:firstLine="420"/>
        <w:keepLines/>
        <w:keepNext/>
        <w:spacing w:line="400" w:lineRule="exact"/>
        <w:rPr>
          <w:rFonts w:hint="eastAsia" w:ascii="Arial" w:hAnsi="Arial" w:eastAsia="黑体" w:cs="Arial"/>
          <w:sz w:val="28"/>
          <w:szCs w:val="28"/>
        </w:rPr>
        <w:outlineLvl w:val="3"/>
      </w:pPr>
      <w:r/>
      <w:bookmarkEnd w:id="101"/>
      <w:r/>
      <w:bookmarkEnd w:id="102"/>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rPr>
          <w:rFonts w:hint="eastAsia" w:ascii="宋体" w:hAnsi="宋体"/>
          <w:bCs/>
          <w:sz w:val="24"/>
          <w:szCs w:val="21"/>
        </w:rPr>
      </w:r>
      <w:r/>
    </w:p>
    <w:p>
      <w:pPr>
        <w:pStyle w:val="907"/>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7"/>
        <w:ind w:firstLine="420"/>
        <w:keepLines/>
        <w:keepNext/>
        <w:spacing w:line="400" w:lineRule="exact"/>
        <w:rPr>
          <w:rFonts w:hint="eastAsia" w:ascii="Arial" w:hAnsi="Arial" w:eastAsia="黑体" w:cs="Arial"/>
          <w:sz w:val="28"/>
          <w:szCs w:val="28"/>
        </w:rPr>
        <w:outlineLvl w:val="3"/>
      </w:pPr>
      <w:r/>
      <w:bookmarkStart w:id="105" w:name="_Hlt26670482"/>
      <w:r/>
      <w:bookmarkEnd w:id="105"/>
      <w:r/>
      <w:bookmarkStart w:id="106" w:name="_Hlt26954731"/>
      <w:r/>
      <w:bookmarkEnd w:id="106"/>
      <w:r/>
      <w:bookmarkStart w:id="107" w:name="_Hlt26954846"/>
      <w:r/>
      <w:bookmarkEnd w:id="107"/>
      <w:r/>
      <w:bookmarkStart w:id="108" w:name="_Hlt26954848"/>
      <w:r/>
      <w:bookmarkEnd w:id="108"/>
      <w:r/>
      <w:bookmarkStart w:id="109" w:name="_Hlt26670486"/>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pStyle w:val="907"/>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pStyle w:val="907"/>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pStyle w:val="907"/>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pStyle w:val="907"/>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pStyle w:val="907"/>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pStyle w:val="907"/>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1"/>
          <w:lang w:val="zh-CN"/>
        </w:rPr>
        <w:t xml:space="preserve">所投标的的主要组成部分、功能设计、实现思路及关键技术等。</w:t>
      </w:r>
      <w:r>
        <w:rPr>
          <w:rFonts w:hint="eastAsia" w:ascii="宋体" w:hAnsi="宋体"/>
          <w:sz w:val="24"/>
          <w:szCs w:val="24"/>
        </w:rPr>
      </w:r>
      <w:r/>
    </w:p>
    <w:p>
      <w:pPr>
        <w:pStyle w:val="907"/>
        <w:ind w:firstLine="420"/>
        <w:keepLines/>
        <w:keepNext/>
        <w:spacing w:line="400" w:lineRule="exact"/>
        <w:rPr>
          <w:rFonts w:hint="eastAsia" w:ascii="Arial" w:hAnsi="Arial" w:eastAsia="黑体" w:cs="Arial"/>
          <w:sz w:val="28"/>
          <w:szCs w:val="28"/>
        </w:rPr>
        <w:outlineLvl w:val="3"/>
      </w:pPr>
      <w:r/>
      <w:bookmarkStart w:id="110" w:name="_Toc14577359"/>
      <w:r/>
      <w:bookmarkStart w:id="111" w:name="_Toc49090510"/>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pStyle w:val="907"/>
        <w:ind w:firstLine="480"/>
        <w:spacing w:line="4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 投标人应按照招标文件中提供的格式完整、正确填写投标函、开标一览表。</w:t>
      </w:r>
      <w:r/>
    </w:p>
    <w:p>
      <w:pPr>
        <w:pStyle w:val="907"/>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4</w:t>
      </w:r>
      <w:r>
        <w:rPr>
          <w:rFonts w:hint="eastAsia" w:ascii="宋体" w:hAnsi="宋体"/>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907"/>
        <w:ind w:firstLine="420"/>
        <w:keepLines/>
        <w:keepNext/>
        <w:spacing w:line="400" w:lineRule="exact"/>
        <w:rPr>
          <w:rFonts w:hint="eastAsia" w:ascii="Arial" w:hAnsi="Arial" w:eastAsia="黑体" w:cs="Arial"/>
          <w:sz w:val="28"/>
          <w:szCs w:val="28"/>
        </w:rPr>
        <w:outlineLvl w:val="3"/>
      </w:pPr>
      <w:r/>
      <w:bookmarkEnd w:id="110"/>
      <w:r/>
      <w:bookmarkEnd w:id="111"/>
      <w:r/>
      <w:bookmarkStart w:id="112" w:name="_Toc14577360"/>
      <w:r/>
      <w:bookmarkStart w:id="113" w:name="_Toc49090511"/>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12"/>
      <w:r/>
      <w:bookmarkEnd w:id="113"/>
      <w:r>
        <w:rPr>
          <w:rFonts w:hint="eastAsia" w:ascii="Arial" w:hAnsi="Arial" w:eastAsia="黑体" w:cs="Arial"/>
          <w:sz w:val="28"/>
          <w:szCs w:val="28"/>
        </w:rPr>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.1投标有效期为采购中心规定的开标之日后</w:t>
      </w:r>
      <w:r>
        <w:rPr>
          <w:rFonts w:hint="eastAsia" w:ascii="仿宋_GB2312" w:hAnsi="仿宋_GB2312"/>
          <w:b/>
          <w:sz w:val="24"/>
          <w:szCs w:val="21"/>
          <w:u w:val="single"/>
        </w:rPr>
        <w:t xml:space="preserve">六十（60）天</w:t>
      </w:r>
      <w:r>
        <w:rPr>
          <w:rFonts w:hint="eastAsia" w:ascii="宋体" w:hAnsi="宋体"/>
          <w:bCs/>
          <w:sz w:val="24"/>
          <w:szCs w:val="21"/>
        </w:rPr>
        <w:t xml:space="preserve">。投标有效期比规定短的将被视为未实质性响应招标文件而予以拒绝。</w:t>
      </w:r>
      <w:r/>
    </w:p>
    <w:p>
      <w:pPr>
        <w:pStyle w:val="907"/>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p>
    <w:p>
      <w:pPr>
        <w:pStyle w:val="907"/>
        <w:keepLines/>
        <w:keepNext/>
        <w:spacing w:before="156" w:after="156" w:line="400" w:lineRule="exact"/>
        <w:rPr>
          <w:rFonts w:hint="eastAsia" w:ascii="Times New Roman" w:hAnsi="Times New Roman"/>
          <w:b/>
          <w:bCs/>
          <w:sz w:val="32"/>
          <w:szCs w:val="32"/>
        </w:rPr>
        <w:outlineLvl w:val="2"/>
      </w:pPr>
      <w:r/>
      <w:bookmarkStart w:id="114" w:name="_Hlt26954852"/>
      <w:r/>
      <w:bookmarkEnd w:id="114"/>
      <w:r/>
      <w:bookmarkStart w:id="115" w:name="_Hlt26954739"/>
      <w:r/>
      <w:bookmarkEnd w:id="115"/>
      <w:r/>
      <w:bookmarkStart w:id="116" w:name="_Toc20823296"/>
      <w:r/>
      <w:bookmarkStart w:id="117" w:name="_Toc16938540"/>
      <w:r/>
      <w:bookmarkStart w:id="118" w:name="_Toc120614217"/>
      <w:r/>
      <w:bookmarkStart w:id="119" w:name="_Toc513029224"/>
      <w:r>
        <w:rPr>
          <w:rFonts w:hint="eastAsia" w:ascii="Times New Roman" w:hAnsi="Times New Roman"/>
          <w:b/>
          <w:bCs/>
          <w:sz w:val="32"/>
          <w:szCs w:val="32"/>
        </w:rPr>
        <w:t xml:space="preserve">四、投标文件的递交</w:t>
      </w:r>
      <w:bookmarkEnd w:id="116"/>
      <w:r/>
      <w:bookmarkEnd w:id="117"/>
      <w:r/>
      <w:bookmarkEnd w:id="118"/>
      <w:r/>
      <w:bookmarkEnd w:id="119"/>
      <w:r>
        <w:rPr>
          <w:rFonts w:hint="eastAsia" w:ascii="Times New Roman" w:hAnsi="Times New Roman"/>
          <w:b/>
          <w:bCs/>
          <w:sz w:val="32"/>
          <w:szCs w:val="32"/>
        </w:rPr>
      </w:r>
      <w:r/>
    </w:p>
    <w:p>
      <w:pPr>
        <w:pStyle w:val="907"/>
        <w:ind w:firstLine="420"/>
        <w:keepLines/>
        <w:keepNext/>
        <w:spacing w:line="400" w:lineRule="exact"/>
        <w:rPr>
          <w:rFonts w:hint="eastAsia" w:ascii="黑体" w:hAnsi="Arial" w:eastAsia="黑体" w:cs="Arial"/>
          <w:sz w:val="28"/>
          <w:szCs w:val="28"/>
        </w:rPr>
        <w:outlineLvl w:val="3"/>
      </w:pPr>
      <w:r/>
      <w:bookmarkStart w:id="120" w:name="_Toc20823297"/>
      <w:r/>
      <w:bookmarkStart w:id="121" w:name="_Toc513029225"/>
      <w:r/>
      <w:bookmarkStart w:id="122" w:name="_Toc16938541"/>
      <w:r/>
      <w:bookmarkStart w:id="123" w:name="_Toc462564084"/>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20"/>
      <w:r/>
      <w:bookmarkEnd w:id="121"/>
      <w:r/>
      <w:bookmarkEnd w:id="122"/>
      <w:r/>
      <w:bookmarkEnd w:id="123"/>
      <w:r>
        <w:rPr>
          <w:rFonts w:hint="eastAsia" w:ascii="黑体" w:hAnsi="Arial" w:eastAsia="黑体" w:cs="Arial"/>
          <w:sz w:val="28"/>
          <w:szCs w:val="28"/>
        </w:rPr>
        <w:t xml:space="preserve">的递交</w:t>
      </w:r>
      <w:r/>
    </w:p>
    <w:p>
      <w:pPr>
        <w:pStyle w:val="907"/>
        <w:ind w:left="525"/>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w:t>
      </w:r>
      <w:r>
        <w:rPr>
          <w:rFonts w:ascii="宋体" w:hAnsi="宋体"/>
          <w:bCs/>
          <w:sz w:val="24"/>
          <w:szCs w:val="21"/>
        </w:rPr>
      </w:r>
      <w:r/>
    </w:p>
    <w:p>
      <w:pPr>
        <w:pStyle w:val="907"/>
        <w:spacing w:line="400" w:lineRule="exact"/>
        <w:rPr>
          <w:rFonts w:ascii="宋体" w:hAnsi="宋体"/>
          <w:bCs/>
          <w:sz w:val="24"/>
          <w:szCs w:val="21"/>
        </w:rPr>
      </w:pPr>
      <w:r>
        <w:rPr>
          <w:rFonts w:hint="eastAsia" w:ascii="宋体" w:hAnsi="宋体"/>
          <w:bCs/>
          <w:sz w:val="24"/>
          <w:szCs w:val="21"/>
        </w:rPr>
        <w:t xml:space="preserve">子投标文件。</w:t>
      </w:r>
      <w:bookmarkStart w:id="124" w:name="_Toc20823298"/>
      <w:r/>
      <w:bookmarkStart w:id="125" w:name="_Toc513029226"/>
      <w:r/>
      <w:bookmarkStart w:id="126" w:name="_Toc16938542"/>
      <w:r>
        <w:rPr>
          <w:rFonts w:ascii="宋体" w:hAnsi="宋体"/>
          <w:bCs/>
          <w:sz w:val="24"/>
          <w:szCs w:val="21"/>
        </w:rPr>
      </w:r>
      <w:r/>
    </w:p>
    <w:p>
      <w:pPr>
        <w:pStyle w:val="907"/>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bookmarkEnd w:id="124"/>
      <w:r/>
      <w:bookmarkEnd w:id="125"/>
      <w:r/>
      <w:bookmarkEnd w:id="126"/>
      <w:r>
        <w:rPr>
          <w:rFonts w:hint="eastAsia" w:ascii="宋体" w:hAnsi="宋体" w:eastAsia="黑体" w:cs="Arial"/>
          <w:bCs/>
          <w:sz w:val="24"/>
          <w:szCs w:val="28"/>
        </w:rPr>
      </w:r>
      <w:r/>
    </w:p>
    <w:p>
      <w:pPr>
        <w:pStyle w:val="907"/>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 投标人上传电子投标文件的时间不得迟于招标公告中规定的投标截止时间。</w:t>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w:t>
      </w:r>
      <w:r>
        <w:rPr>
          <w:rFonts w:ascii="宋体" w:hAnsi="宋体"/>
          <w:bCs/>
          <w:sz w:val="24"/>
          <w:szCs w:val="21"/>
        </w:rPr>
        <w:t xml:space="preserve">6</w:t>
      </w:r>
      <w:r>
        <w:rPr>
          <w:rFonts w:hint="eastAsia" w:ascii="宋体" w:hAnsi="宋体"/>
          <w:bCs/>
          <w:sz w:val="24"/>
          <w:szCs w:val="21"/>
        </w:rPr>
        <w:t xml:space="preserve">.1.2条规定做无效投标处理。</w:t>
      </w:r>
      <w:r/>
    </w:p>
    <w:p>
      <w:pPr>
        <w:pStyle w:val="907"/>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pStyle w:val="907"/>
        <w:ind w:firstLine="420"/>
        <w:keepLines/>
        <w:keepNext/>
        <w:spacing w:line="400" w:lineRule="exact"/>
        <w:rPr>
          <w:rFonts w:hint="eastAsia" w:ascii="Arial" w:hAnsi="Arial" w:eastAsia="黑体" w:cs="Arial"/>
          <w:sz w:val="28"/>
          <w:szCs w:val="28"/>
        </w:rPr>
        <w:outlineLvl w:val="3"/>
      </w:pPr>
      <w:r/>
      <w:bookmarkStart w:id="127" w:name="_Toc513029227"/>
      <w:r/>
      <w:bookmarkStart w:id="128" w:name="_Toc20823299"/>
      <w:r/>
      <w:bookmarkStart w:id="129" w:name="_Toc16938543"/>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27"/>
      <w:r/>
      <w:bookmarkEnd w:id="128"/>
      <w:r/>
      <w:bookmarkEnd w:id="129"/>
      <w:r>
        <w:rPr>
          <w:rFonts w:hint="eastAsia" w:ascii="Arial" w:hAnsi="Arial" w:eastAsia="黑体" w:cs="Arial"/>
          <w:sz w:val="28"/>
          <w:szCs w:val="28"/>
        </w:rPr>
        <w:t xml:space="preserve">的拒收</w:t>
      </w:r>
      <w:r/>
    </w:p>
    <w:p>
      <w:pPr>
        <w:pStyle w:val="907"/>
        <w:ind w:firstLine="480"/>
        <w:spacing w:line="4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采购中心拒绝接收在其规定的投标截止时间后上传的任何投标文件。</w:t>
      </w:r>
      <w:r/>
    </w:p>
    <w:p>
      <w:pPr>
        <w:pStyle w:val="907"/>
        <w:ind w:firstLine="420"/>
        <w:keepLines/>
        <w:keepNext/>
        <w:spacing w:line="400" w:lineRule="exact"/>
        <w:rPr>
          <w:rFonts w:hint="eastAsia" w:ascii="Arial" w:hAnsi="Arial" w:eastAsia="黑体" w:cs="Arial"/>
          <w:sz w:val="28"/>
          <w:szCs w:val="28"/>
        </w:rPr>
        <w:outlineLvl w:val="3"/>
      </w:pPr>
      <w:r/>
      <w:bookmarkStart w:id="130" w:name="_Toc513029228"/>
      <w:r/>
      <w:bookmarkStart w:id="131" w:name="_Toc16938544"/>
      <w:r/>
      <w:bookmarkStart w:id="132" w:name="_Toc20823300"/>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30"/>
      <w:r/>
      <w:bookmarkEnd w:id="131"/>
      <w:r/>
      <w:bookmarkEnd w:id="132"/>
      <w:r>
        <w:rPr>
          <w:rFonts w:hint="eastAsia" w:ascii="Arial" w:hAnsi="Arial" w:eastAsia="黑体" w:cs="Arial"/>
          <w:sz w:val="28"/>
          <w:szCs w:val="28"/>
        </w:rPr>
      </w:r>
      <w:r/>
    </w:p>
    <w:p>
      <w:pPr>
        <w:pStyle w:val="907"/>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投标文件的撤回</w:t>
      </w:r>
      <w:r/>
    </w:p>
    <w:p>
      <w:pPr>
        <w:pStyle w:val="907"/>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.1.1 电子投标文件的撤回</w:t>
      </w:r>
      <w:r/>
    </w:p>
    <w:p>
      <w:pPr>
        <w:pStyle w:val="907"/>
        <w:ind w:firstLine="480"/>
        <w:spacing w:line="4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pStyle w:val="907"/>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07"/>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pStyle w:val="907"/>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.2.1投标人可在投标截止时间前，对其电子投标文件进行修改，具体操作方法见《操作手册》。</w:t>
      </w:r>
      <w:r/>
    </w:p>
    <w:p>
      <w:pPr>
        <w:pStyle w:val="907"/>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pStyle w:val="907"/>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pStyle w:val="907"/>
        <w:ind w:firstLine="482"/>
        <w:keepLines/>
        <w:keepNext/>
        <w:spacing w:before="156" w:after="156" w:line="400" w:lineRule="exact"/>
        <w:rPr>
          <w:rFonts w:hint="eastAsia" w:ascii="Times New Roman" w:hAnsi="Times New Roman"/>
          <w:b/>
          <w:bCs/>
          <w:sz w:val="32"/>
          <w:szCs w:val="32"/>
        </w:rPr>
        <w:outlineLvl w:val="2"/>
      </w:pPr>
      <w:r/>
      <w:bookmarkStart w:id="133" w:name="_Toc120614218"/>
      <w:r/>
      <w:bookmarkStart w:id="134" w:name="_Toc20823301"/>
      <w:r/>
      <w:bookmarkStart w:id="135" w:name="_Toc513029229"/>
      <w:r/>
      <w:bookmarkStart w:id="136" w:name="_Toc16938545"/>
      <w:r>
        <w:rPr>
          <w:rFonts w:hint="eastAsia" w:ascii="Times New Roman" w:hAnsi="Times New Roman"/>
          <w:b/>
          <w:bCs/>
          <w:sz w:val="32"/>
          <w:szCs w:val="32"/>
        </w:rPr>
        <w:t xml:space="preserve">五、开标与评标</w:t>
      </w:r>
      <w:bookmarkEnd w:id="133"/>
      <w:r/>
      <w:bookmarkEnd w:id="134"/>
      <w:r/>
      <w:bookmarkEnd w:id="135"/>
      <w:r/>
      <w:bookmarkEnd w:id="136"/>
      <w:r>
        <w:rPr>
          <w:rFonts w:hint="eastAsia" w:ascii="Times New Roman" w:hAnsi="Times New Roman"/>
          <w:b/>
          <w:bCs/>
          <w:sz w:val="32"/>
          <w:szCs w:val="32"/>
        </w:rPr>
      </w:r>
      <w:r/>
    </w:p>
    <w:p>
      <w:pPr>
        <w:pStyle w:val="907"/>
        <w:ind w:firstLine="420"/>
        <w:keepLines/>
        <w:keepNext/>
        <w:spacing w:line="400" w:lineRule="exact"/>
        <w:rPr>
          <w:rFonts w:hint="eastAsia" w:ascii="Arial" w:hAnsi="Arial" w:eastAsia="黑体" w:cs="Arial"/>
          <w:sz w:val="28"/>
          <w:szCs w:val="28"/>
        </w:rPr>
        <w:outlineLvl w:val="3"/>
      </w:pPr>
      <w:r/>
      <w:bookmarkStart w:id="137" w:name="_Toc16938546"/>
      <w:r/>
      <w:bookmarkStart w:id="138" w:name="_Toc20823302"/>
      <w:r/>
      <w:bookmarkStart w:id="139" w:name="_Toc51302923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37"/>
      <w:r/>
      <w:bookmarkEnd w:id="138"/>
      <w:r/>
      <w:bookmarkEnd w:id="139"/>
      <w:r>
        <w:rPr>
          <w:rFonts w:hint="eastAsia" w:ascii="Arial" w:hAnsi="Arial" w:eastAsia="黑体" w:cs="Arial"/>
          <w:sz w:val="28"/>
          <w:szCs w:val="28"/>
        </w:rPr>
      </w:r>
      <w:r/>
    </w:p>
    <w:p>
      <w:pPr>
        <w:pStyle w:val="907"/>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907"/>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907"/>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0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7"/>
        <w:ind w:firstLine="420"/>
        <w:keepLines/>
        <w:keepNext/>
        <w:spacing w:line="400" w:lineRule="exact"/>
        <w:rPr>
          <w:rFonts w:hint="eastAsia" w:ascii="Arial" w:hAnsi="Arial" w:eastAsia="黑体" w:cs="Arial"/>
          <w:sz w:val="28"/>
          <w:szCs w:val="28"/>
        </w:rPr>
        <w:outlineLvl w:val="3"/>
      </w:pPr>
      <w:r/>
      <w:bookmarkStart w:id="140" w:name="_Toc20823303"/>
      <w:r/>
      <w:bookmarkStart w:id="141" w:name="_Toc513029231"/>
      <w:r/>
      <w:bookmarkStart w:id="142"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pStyle w:val="907"/>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7"/>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p>
    <w:p>
      <w:pPr>
        <w:pStyle w:val="907"/>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p>
    <w:p>
      <w:pPr>
        <w:pStyle w:val="907"/>
        <w:ind w:firstLine="420"/>
        <w:keepLines/>
        <w:keepNext/>
        <w:spacing w:line="40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r/>
    </w:p>
    <w:p>
      <w:pPr>
        <w:pStyle w:val="907"/>
        <w:ind w:firstLine="480"/>
        <w:spacing w:line="400" w:lineRule="exact"/>
        <w:rPr>
          <w:rFonts w:hint="eastAsia" w:ascii="宋体" w:hAnsi="宋体"/>
          <w:bCs/>
          <w:sz w:val="24"/>
          <w:szCs w:val="21"/>
        </w:rPr>
      </w:pPr>
      <w:r/>
      <w:bookmarkEnd w:id="140"/>
      <w:r/>
      <w:bookmarkEnd w:id="141"/>
      <w:r/>
      <w:bookmarkEnd w:id="142"/>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凡是与审查、澄清、评价和比较投标的有关资料以及授标建议等，采购人、评委、采购中心均不得向投标人或与评标无关的其他人员透露。</w:t>
      </w:r>
      <w:r/>
    </w:p>
    <w:p>
      <w:pPr>
        <w:pStyle w:val="907"/>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p>
    <w:p>
      <w:pPr>
        <w:pStyle w:val="907"/>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0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7"/>
        <w:ind w:firstLine="420"/>
        <w:keepLines/>
        <w:keepNext/>
        <w:spacing w:line="400" w:lineRule="exact"/>
        <w:rPr>
          <w:rFonts w:hint="eastAsia" w:ascii="Arial" w:hAnsi="Arial" w:eastAsia="黑体" w:cs="Arial"/>
          <w:sz w:val="28"/>
          <w:szCs w:val="28"/>
        </w:rPr>
        <w:outlineLvl w:val="3"/>
      </w:pPr>
      <w:r/>
      <w:bookmarkStart w:id="143" w:name="_Toc513029232"/>
      <w:r/>
      <w:bookmarkStart w:id="144" w:name="_Toc20823304"/>
      <w:r/>
      <w:bookmarkStart w:id="145" w:name="_Toc16938548"/>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43"/>
      <w:r/>
      <w:bookmarkEnd w:id="144"/>
      <w:r/>
      <w:bookmarkEnd w:id="145"/>
      <w:r>
        <w:rPr>
          <w:rFonts w:hint="eastAsia" w:ascii="Arial" w:hAnsi="Arial" w:eastAsia="黑体" w:cs="Arial"/>
          <w:sz w:val="28"/>
          <w:szCs w:val="28"/>
        </w:rPr>
      </w:r>
      <w:r/>
    </w:p>
    <w:p>
      <w:pPr>
        <w:pStyle w:val="907"/>
        <w:ind w:firstLine="480"/>
        <w:spacing w:line="400" w:lineRule="exact"/>
        <w:rPr>
          <w:rFonts w:ascii="宋体" w:hAnsi="宋体"/>
          <w:sz w:val="24"/>
          <w:szCs w:val="24"/>
        </w:rPr>
      </w:pPr>
      <w:r/>
      <w:bookmarkStart w:id="146" w:name="_Toc513029233"/>
      <w:r/>
      <w:bookmarkStart w:id="147" w:name="_Toc16938549"/>
      <w:r/>
      <w:bookmarkStart w:id="148" w:name="_Toc20823305"/>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7"/>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7"/>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0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907"/>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pStyle w:val="907"/>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bookmarkEnd w:id="146"/>
      <w:r/>
      <w:bookmarkEnd w:id="147"/>
      <w:r/>
      <w:bookmarkEnd w:id="148"/>
      <w:r>
        <w:rPr>
          <w:rFonts w:hint="eastAsia" w:ascii="Arial" w:hAnsi="Arial" w:eastAsia="黑体" w:cs="Arial"/>
          <w:sz w:val="28"/>
          <w:szCs w:val="28"/>
        </w:rPr>
      </w:r>
      <w:r/>
    </w:p>
    <w:p>
      <w:pPr>
        <w:pStyle w:val="907"/>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t>
      </w:r>
      <w:r>
        <w:rPr>
          <w:rFonts w:ascii="Times New Roman" w:hAnsi="Times New Roman"/>
          <w:bCs/>
          <w:szCs w:val="21"/>
        </w:rPr>
        <w:t xml:space="preserve">（www.creditchina.gov.cn）</w:t>
      </w:r>
      <w:r>
        <w:rPr>
          <w:rFonts w:hint="eastAsia" w:ascii="宋体" w:hAnsi="宋体"/>
          <w:bCs/>
          <w:sz w:val="24"/>
          <w:szCs w:val="21"/>
        </w:rPr>
        <w:t xml:space="preserve">查询投标人的信用记录，以确定投标人是否具备投标资格,查询结果留存并归档。</w:t>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.1.3 未通过资格审查或符合性审查的投标人，采购中心将在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pStyle w:val="907"/>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907"/>
        <w:ind w:firstLine="480"/>
        <w:spacing w:line="40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pStyle w:val="907"/>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pStyle w:val="907"/>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pStyle w:val="907"/>
        <w:ind w:firstLine="480"/>
        <w:spacing w:line="4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907"/>
        <w:ind w:firstLine="480"/>
        <w:spacing w:line="4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907"/>
        <w:ind w:firstLine="480"/>
        <w:spacing w:line="4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pStyle w:val="907"/>
        <w:ind w:firstLine="480"/>
        <w:spacing w:line="4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907"/>
        <w:ind w:firstLine="480"/>
        <w:spacing w:line="400" w:lineRule="exact"/>
        <w:rPr>
          <w:rFonts w:ascii="宋体" w:hAnsi="宋体"/>
          <w:sz w:val="24"/>
          <w:szCs w:val="21"/>
        </w:rPr>
      </w:pPr>
      <w:r/>
      <w:bookmarkStart w:id="149" w:name="_Toc20823306"/>
      <w:r/>
      <w:bookmarkStart w:id="150" w:name="_Toc513029234"/>
      <w:r/>
      <w:bookmarkStart w:id="151" w:name="_Toc16938550"/>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pStyle w:val="907"/>
        <w:ind w:firstLine="480"/>
        <w:spacing w:line="4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pStyle w:val="907"/>
        <w:ind w:firstLine="420"/>
        <w:spacing w:line="4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907"/>
        <w:ind w:firstLine="42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907"/>
        <w:ind w:firstLine="420"/>
        <w:spacing w:line="400" w:lineRule="exact"/>
        <w:rPr>
          <w:rFonts w:hint="eastAsia" w:ascii="方正魏碑_GBK" w:hAnsi="方正魏碑_GBK" w:eastAsia="方正魏碑_GBK" w:cs="方正魏碑_GBK"/>
          <w:sz w:val="30"/>
          <w:szCs w:val="30"/>
        </w:rPr>
      </w:pPr>
      <w:r>
        <w:rPr>
          <w:rFonts w:hint="eastAsia" w:ascii="方正魏碑_GBK" w:hAnsi="方正魏碑_GBK" w:eastAsia="方正魏碑_GBK" w:cs="方正魏碑_GBK"/>
          <w:sz w:val="30"/>
          <w:szCs w:val="30"/>
        </w:rPr>
        <w:t xml:space="preserve">25.8 异常低价投标审查</w:t>
      </w:r>
      <w:r/>
    </w:p>
    <w:p>
      <w:pPr>
        <w:pStyle w:val="907"/>
        <w:ind w:firstLine="420"/>
        <w:spacing w:line="400" w:lineRule="exact"/>
        <w:rPr>
          <w:rFonts w:hint="eastAsia" w:ascii="方正魏碑_GBK" w:hAnsi="方正魏碑_GBK" w:eastAsia="方正魏碑_GBK" w:cs="方正魏碑_GBK"/>
          <w:sz w:val="30"/>
          <w:szCs w:val="30"/>
        </w:rPr>
      </w:pPr>
      <w:r>
        <w:rPr>
          <w:rFonts w:hint="eastAsia" w:ascii="方正魏碑_GBK" w:hAnsi="方正魏碑_GBK" w:eastAsia="方正魏碑_GBK" w:cs="方正魏碑_GBK"/>
          <w:sz w:val="30"/>
          <w:szCs w:val="30"/>
        </w:rPr>
        <w:t xml:space="preserve">25.8.1 评标过程中出现下列情形之一的，评标委员会应当启动异常低价投标审查程序：</w:t>
      </w:r>
      <w:r/>
    </w:p>
    <w:p>
      <w:pPr>
        <w:pStyle w:val="907"/>
        <w:ind w:firstLine="420"/>
        <w:spacing w:line="400" w:lineRule="exact"/>
        <w:rPr>
          <w:rFonts w:hint="eastAsia" w:ascii="方正魏碑_GBK" w:hAnsi="方正魏碑_GBK" w:eastAsia="方正魏碑_GBK" w:cs="方正魏碑_GBK"/>
          <w:sz w:val="30"/>
          <w:szCs w:val="30"/>
        </w:rPr>
      </w:pPr>
      <w:r>
        <w:rPr>
          <w:rFonts w:hint="eastAsia" w:ascii="方正魏碑_GBK" w:hAnsi="方正魏碑_GBK" w:eastAsia="方正魏碑_GBK" w:cs="方正魏碑_GBK"/>
          <w:sz w:val="30"/>
          <w:szCs w:val="30"/>
        </w:rPr>
        <w:t xml:space="preserve">（1）投标报价低于采购项目预算50%的，即投标报价＜采购项目预算×50%；</w:t>
      </w:r>
      <w:r/>
    </w:p>
    <w:p>
      <w:pPr>
        <w:pStyle w:val="907"/>
        <w:ind w:firstLine="420"/>
        <w:spacing w:line="400" w:lineRule="exact"/>
        <w:rPr>
          <w:rFonts w:hint="eastAsia" w:ascii="方正魏碑_GBK" w:hAnsi="方正魏碑_GBK" w:eastAsia="方正魏碑_GBK" w:cs="方正魏碑_GBK"/>
          <w:sz w:val="30"/>
          <w:szCs w:val="30"/>
        </w:rPr>
      </w:pPr>
      <w:r>
        <w:rPr>
          <w:rFonts w:hint="eastAsia" w:ascii="方正魏碑_GBK" w:hAnsi="方正魏碑_GBK" w:eastAsia="方正魏碑_GBK" w:cs="方正魏碑_GBK"/>
          <w:sz w:val="30"/>
          <w:szCs w:val="30"/>
        </w:rPr>
        <w:t xml:space="preserve">（2）投标报价低于采购项目最高限价45%的，即投标报价＜采购项目最高限价×45%；</w:t>
      </w:r>
      <w:r/>
    </w:p>
    <w:p>
      <w:pPr>
        <w:pStyle w:val="907"/>
        <w:ind w:firstLine="420"/>
        <w:spacing w:line="400" w:lineRule="exact"/>
        <w:rPr>
          <w:rFonts w:hint="eastAsia" w:ascii="方正魏碑_GBK" w:hAnsi="方正魏碑_GBK" w:eastAsia="方正魏碑_GBK" w:cs="方正魏碑_GBK"/>
          <w:sz w:val="30"/>
          <w:szCs w:val="30"/>
        </w:rPr>
      </w:pPr>
      <w:r>
        <w:rPr>
          <w:rFonts w:hint="eastAsia" w:ascii="方正魏碑_GBK" w:hAnsi="方正魏碑_GBK" w:eastAsia="方正魏碑_GBK" w:cs="方正魏碑_GBK"/>
          <w:sz w:val="30"/>
          <w:szCs w:val="30"/>
        </w:rPr>
        <w:t xml:space="preserve">（3）评标委员会认定的供应商报价过低、有可能影响产品质量或者不能诚信履约的其他情形。</w:t>
      </w:r>
      <w:r/>
    </w:p>
    <w:p>
      <w:pPr>
        <w:pStyle w:val="907"/>
        <w:ind w:firstLine="420"/>
        <w:spacing w:line="400" w:lineRule="exact"/>
        <w:rPr>
          <w:rFonts w:hint="eastAsia" w:ascii="方正魏碑_GBK" w:hAnsi="方正魏碑_GBK" w:eastAsia="方正魏碑_GBK" w:cs="方正魏碑_GBK"/>
          <w:sz w:val="30"/>
          <w:szCs w:val="30"/>
        </w:rPr>
      </w:pPr>
      <w:r>
        <w:rPr>
          <w:rFonts w:hint="eastAsia" w:ascii="方正魏碑_GBK" w:hAnsi="方正魏碑_GBK" w:eastAsia="方正魏碑_GBK" w:cs="方正魏碑_GBK"/>
          <w:sz w:val="30"/>
          <w:szCs w:val="30"/>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907"/>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p>
    <w:p>
      <w:pPr>
        <w:pStyle w:val="907"/>
        <w:ind w:left="479"/>
        <w:spacing w:line="400" w:lineRule="exact"/>
        <w:rPr>
          <w:rFonts w:hint="eastAsia" w:ascii="宋体" w:hAnsi="宋体"/>
          <w:bCs/>
          <w:sz w:val="24"/>
          <w:szCs w:val="21"/>
        </w:rPr>
      </w:pPr>
      <w:r/>
      <w:bookmarkStart w:id="152" w:name="_Toc513029235"/>
      <w:r/>
      <w:bookmarkStart w:id="153" w:name="_Toc16938551"/>
      <w:r/>
      <w:bookmarkStart w:id="15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pStyle w:val="907"/>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 投标人同一</w:t>
      </w:r>
      <w:r>
        <w:rPr>
          <w:rFonts w:ascii="宋体" w:hAnsi="宋体"/>
          <w:bCs/>
          <w:sz w:val="24"/>
          <w:szCs w:val="21"/>
        </w:rPr>
        <w:t xml:space="preserve">采购包</w:t>
      </w:r>
      <w:r>
        <w:rPr>
          <w:rFonts w:hint="eastAsia" w:ascii="宋体" w:hAnsi="宋体"/>
          <w:bCs/>
          <w:sz w:val="24"/>
          <w:szCs w:val="21"/>
        </w:rPr>
        <w:t xml:space="preserve">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907"/>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pStyle w:val="907"/>
        <w:ind w:firstLine="480"/>
        <w:spacing w:line="4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907"/>
        <w:ind w:firstLine="360"/>
        <w:spacing w:line="40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sz w:val="24"/>
          <w:szCs w:val="21"/>
          <w:u w:val="single"/>
        </w:rPr>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pStyle w:val="907"/>
        <w:ind w:firstLine="420"/>
        <w:spacing w:line="400" w:lineRule="exact"/>
        <w:rPr>
          <w:rFonts w:hint="eastAsia" w:ascii="方正魏碑_GBK" w:hAnsi="方正魏碑_GBK" w:eastAsia="方正魏碑_GBK" w:cs="方正魏碑_GBK"/>
          <w:sz w:val="30"/>
          <w:szCs w:val="30"/>
        </w:rPr>
      </w:pPr>
      <w:r>
        <w:rPr>
          <w:rFonts w:hint="eastAsia" w:ascii="方正魏碑_GBK" w:hAnsi="方正魏碑_GBK" w:eastAsia="方正魏碑_GBK" w:cs="方正魏碑_GBK"/>
          <w:sz w:val="30"/>
          <w:szCs w:val="30"/>
        </w:rPr>
        <w:t xml:space="preserve">26.1.10 评标委员会按照本招标文件规定对投标人进行异常低价投标审查后，认为投标人不能证明其报价合理性的。</w:t>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pStyle w:val="907"/>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.2废标条款</w:t>
      </w:r>
      <w:r/>
    </w:p>
    <w:p>
      <w:pPr>
        <w:pStyle w:val="907"/>
        <w:ind w:left="479"/>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.2.1符合专业条件的供应商或者对招标文件作实质响应的供应商不足三</w:t>
      </w:r>
      <w:r>
        <w:rPr>
          <w:rFonts w:ascii="宋体" w:hAnsi="宋体"/>
          <w:bCs/>
          <w:sz w:val="24"/>
          <w:szCs w:val="21"/>
        </w:rPr>
      </w:r>
      <w:r/>
    </w:p>
    <w:p>
      <w:pPr>
        <w:pStyle w:val="907"/>
        <w:spacing w:line="400" w:lineRule="exact"/>
        <w:rPr>
          <w:rFonts w:ascii="宋体" w:hAnsi="宋体"/>
          <w:bCs/>
          <w:sz w:val="24"/>
          <w:szCs w:val="21"/>
        </w:rPr>
      </w:pPr>
      <w:r>
        <w:rPr>
          <w:rFonts w:hint="eastAsia" w:ascii="宋体" w:hAnsi="宋体"/>
          <w:bCs/>
          <w:sz w:val="24"/>
          <w:szCs w:val="21"/>
        </w:rPr>
        <w:t xml:space="preserve">家的。</w:t>
      </w:r>
      <w:r>
        <w:rPr>
          <w:rFonts w:ascii="宋体" w:hAnsi="宋体"/>
          <w:bCs/>
          <w:sz w:val="24"/>
          <w:szCs w:val="21"/>
        </w:rPr>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.2.2出现影响采购公正的违法、违规行为的。</w:t>
      </w:r>
      <w:r/>
    </w:p>
    <w:p>
      <w:pPr>
        <w:pStyle w:val="907"/>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.2.3因重大变故，采购任务取消的。</w:t>
      </w:r>
      <w:r/>
    </w:p>
    <w:p>
      <w:pPr>
        <w:pStyle w:val="907"/>
        <w:ind w:left="479"/>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.2.4评标委员会认定招标文件存在歧义、重大缺陷导致评审工作无法进</w:t>
      </w:r>
      <w:r>
        <w:rPr>
          <w:rFonts w:ascii="宋体" w:hAnsi="宋体"/>
          <w:bCs/>
          <w:sz w:val="24"/>
          <w:szCs w:val="21"/>
        </w:rPr>
      </w:r>
      <w:r/>
    </w:p>
    <w:p>
      <w:pPr>
        <w:pStyle w:val="907"/>
        <w:spacing w:line="400" w:lineRule="exact"/>
        <w:rPr>
          <w:rFonts w:ascii="宋体" w:hAnsi="宋体"/>
          <w:bCs/>
          <w:sz w:val="24"/>
          <w:szCs w:val="21"/>
        </w:rPr>
      </w:pPr>
      <w:r>
        <w:rPr>
          <w:rFonts w:hint="eastAsia" w:ascii="宋体" w:hAnsi="宋体"/>
          <w:bCs/>
          <w:sz w:val="24"/>
          <w:szCs w:val="21"/>
        </w:rPr>
        <w:t xml:space="preserve">行。</w:t>
      </w:r>
      <w:r>
        <w:rPr>
          <w:rFonts w:ascii="宋体" w:hAnsi="宋体"/>
          <w:bCs/>
          <w:sz w:val="24"/>
          <w:szCs w:val="21"/>
        </w:rPr>
      </w:r>
      <w:r/>
    </w:p>
    <w:p>
      <w:pPr>
        <w:pStyle w:val="907"/>
        <w:ind w:left="479"/>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rPr>
          <w:rFonts w:ascii="宋体" w:hAnsi="宋体"/>
          <w:bCs/>
          <w:sz w:val="24"/>
          <w:szCs w:val="21"/>
        </w:rPr>
      </w:r>
      <w:r/>
    </w:p>
    <w:p>
      <w:pPr>
        <w:pStyle w:val="907"/>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投标截止时间结束后参加投标的供应商不足三家的处理：</w:t>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pStyle w:val="907"/>
        <w:ind w:firstLine="482"/>
        <w:keepLines/>
        <w:keepNext/>
        <w:spacing w:before="156" w:after="156" w:line="400" w:lineRule="exact"/>
        <w:rPr>
          <w:rFonts w:hint="eastAsia" w:ascii="Times New Roman" w:hAnsi="Times New Roman"/>
          <w:b/>
          <w:bCs/>
          <w:sz w:val="32"/>
          <w:szCs w:val="32"/>
        </w:rPr>
        <w:outlineLvl w:val="2"/>
      </w:pPr>
      <w:r/>
      <w:bookmarkStart w:id="155" w:name="_Toc120614219"/>
      <w:r>
        <w:rPr>
          <w:rFonts w:hint="eastAsia" w:ascii="Times New Roman" w:hAnsi="Times New Roman"/>
          <w:b/>
          <w:bCs/>
          <w:sz w:val="32"/>
          <w:szCs w:val="32"/>
        </w:rPr>
        <w:t xml:space="preserve">六、</w:t>
      </w:r>
      <w:bookmarkEnd w:id="152"/>
      <w:r/>
      <w:bookmarkEnd w:id="153"/>
      <w:r/>
      <w:bookmarkEnd w:id="154"/>
      <w:r>
        <w:rPr>
          <w:rFonts w:hint="eastAsia" w:ascii="Times New Roman" w:hAnsi="Times New Roman"/>
          <w:b/>
          <w:bCs/>
          <w:sz w:val="32"/>
          <w:szCs w:val="32"/>
        </w:rPr>
        <w:t xml:space="preserve">定标</w:t>
      </w:r>
      <w:bookmarkEnd w:id="155"/>
      <w:r>
        <w:rPr>
          <w:rFonts w:hint="eastAsia" w:ascii="Times New Roman" w:hAnsi="Times New Roman"/>
          <w:b/>
          <w:bCs/>
          <w:sz w:val="32"/>
          <w:szCs w:val="32"/>
        </w:rPr>
      </w:r>
      <w:r/>
    </w:p>
    <w:p>
      <w:pPr>
        <w:pStyle w:val="907"/>
        <w:ind w:firstLine="600"/>
        <w:keepLines/>
        <w:keepNext/>
        <w:spacing w:line="400" w:lineRule="exact"/>
        <w:rPr>
          <w:rFonts w:hint="eastAsia" w:ascii="黑体" w:hAnsi="宋体" w:eastAsia="黑体"/>
          <w:bCs/>
          <w:sz w:val="30"/>
          <w:szCs w:val="30"/>
        </w:rPr>
        <w:outlineLvl w:val="3"/>
      </w:pPr>
      <w:r/>
      <w:bookmarkStart w:id="156" w:name="_Toc513029238"/>
      <w:r/>
      <w:bookmarkStart w:id="157" w:name="_Toc16938554"/>
      <w:r/>
      <w:bookmarkStart w:id="158"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56"/>
      <w:r>
        <w:rPr>
          <w:rFonts w:hint="eastAsia" w:ascii="黑体" w:hAnsi="宋体" w:eastAsia="黑体"/>
          <w:bCs/>
          <w:sz w:val="30"/>
          <w:szCs w:val="30"/>
        </w:rPr>
        <w:t xml:space="preserve">确定</w:t>
      </w:r>
      <w:bookmarkEnd w:id="157"/>
      <w:r/>
      <w:bookmarkEnd w:id="158"/>
      <w:r>
        <w:rPr>
          <w:rFonts w:hint="eastAsia" w:ascii="黑体" w:hAnsi="宋体" w:eastAsia="黑体"/>
          <w:bCs/>
          <w:sz w:val="30"/>
          <w:szCs w:val="30"/>
        </w:rPr>
        <w:t xml:space="preserve">中标单位</w:t>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27.1中标候选人的选取原则和数量见招标文件第五章规定。 </w:t>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27.2 采购人应根据评委会推荐的中标候选人确定中标供应商。</w:t>
      </w:r>
      <w:r/>
    </w:p>
    <w:p>
      <w:pPr>
        <w:pStyle w:val="907"/>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pStyle w:val="907"/>
        <w:ind w:firstLine="480"/>
        <w:spacing w:line="40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p>
    <w:p>
      <w:pPr>
        <w:pStyle w:val="907"/>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p>
    <w:p>
      <w:pPr>
        <w:pStyle w:val="907"/>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07"/>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07"/>
        <w:ind w:firstLine="480"/>
        <w:spacing w:line="4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7"/>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7"/>
        <w:ind w:firstLine="480"/>
        <w:spacing w:line="400" w:lineRule="exact"/>
        <w:rPr>
          <w:rFonts w:ascii="宋体" w:hAnsi="宋体"/>
          <w:sz w:val="24"/>
          <w:szCs w:val="24"/>
        </w:rPr>
      </w:pPr>
      <w:r/>
      <w:bookmarkStart w:id="159" w:name="_Toc200451960"/>
      <w:r>
        <w:rPr>
          <w:rFonts w:hint="eastAsia" w:ascii="宋体" w:hAnsi="宋体"/>
          <w:sz w:val="24"/>
          <w:szCs w:val="24"/>
        </w:rPr>
        <w:t xml:space="preserve">27.5 </w:t>
      </w:r>
      <w:r>
        <w:rPr>
          <w:rFonts w:ascii="Times New Roman" w:hAnsi="宋体" w:cs="宋体"/>
          <w:sz w:val="24"/>
          <w:szCs w:val="24"/>
        </w:rPr>
        <w:t xml:space="preserve">有下列情形之一的，</w:t>
      </w:r>
      <w:r>
        <w:rPr>
          <w:rFonts w:hint="eastAsia" w:ascii="Times New Roman" w:hAnsi="宋体" w:cs="宋体"/>
          <w:sz w:val="24"/>
          <w:szCs w:val="24"/>
        </w:rPr>
        <w:t xml:space="preserve">视为投标人</w:t>
      </w:r>
      <w:r>
        <w:rPr>
          <w:rFonts w:ascii="Times New Roman" w:hAnsi="宋体" w:cs="宋体"/>
          <w:sz w:val="24"/>
          <w:szCs w:val="24"/>
        </w:rPr>
        <w:t xml:space="preserve">串通</w:t>
      </w:r>
      <w:r>
        <w:rPr>
          <w:rFonts w:hint="eastAsia" w:ascii="Times New Roman" w:hAnsi="宋体" w:cs="宋体"/>
          <w:sz w:val="24"/>
          <w:szCs w:val="24"/>
        </w:rPr>
        <w:t xml:space="preserve">投标，投标无效：</w:t>
      </w:r>
      <w:r>
        <w:rPr>
          <w:rFonts w:ascii="宋体" w:hAnsi="宋体"/>
          <w:sz w:val="24"/>
          <w:szCs w:val="24"/>
        </w:rPr>
      </w:r>
      <w:r/>
    </w:p>
    <w:p>
      <w:pPr>
        <w:pStyle w:val="907"/>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7"/>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7"/>
        <w:ind w:firstLine="480"/>
        <w:spacing w:line="4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7"/>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7"/>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59"/>
      <w:r>
        <w:rPr>
          <w:rFonts w:hint="eastAsia" w:ascii="黑体" w:hAnsi="宋体" w:eastAsia="黑体"/>
          <w:bCs/>
          <w:sz w:val="30"/>
          <w:szCs w:val="30"/>
        </w:rPr>
      </w:r>
      <w:r/>
    </w:p>
    <w:p>
      <w:pPr>
        <w:pStyle w:val="907"/>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907"/>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07"/>
        <w:ind w:firstLine="480"/>
        <w:spacing w:line="400" w:lineRule="exact"/>
        <w:rPr>
          <w:rFonts w:hint="eastAsia" w:ascii="Times New Roman"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br w:type="textWrapping" w:clear="all"/>
        <w:t xml:space="preserve">　　</w:t>
      </w:r>
      <w:r>
        <w:rPr>
          <w:rFonts w:ascii="宋体" w:hAnsi="宋体"/>
          <w:sz w:val="24"/>
          <w:szCs w:val="24"/>
        </w:rPr>
        <w:t xml:space="preserve">28.</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br w:type="textWrapping" w:clear="all"/>
        <w:t xml:space="preserve">　　</w:t>
      </w:r>
      <w:r>
        <w:rPr>
          <w:rFonts w:ascii="宋体" w:hAnsi="宋体"/>
          <w:sz w:val="24"/>
          <w:szCs w:val="24"/>
        </w:rPr>
        <w:t xml:space="preserve">28.</w:t>
      </w:r>
      <w:r>
        <w:rPr>
          <w:rFonts w:hint="eastAsia" w:ascii="宋体" w:hAnsi="宋体"/>
          <w:sz w:val="24"/>
          <w:szCs w:val="24"/>
        </w:rPr>
        <w:t xml:space="preserve">2.3</w:t>
      </w:r>
      <w:r>
        <w:rPr>
          <w:rFonts w:ascii="Times New Roman" w:hAnsi="宋体" w:cs="宋体"/>
          <w:sz w:val="24"/>
          <w:szCs w:val="24"/>
        </w:rPr>
        <w:t xml:space="preserve">对中标或者成交结果提出质疑的，为中标或者成交结果公告期限届满之日。</w:t>
      </w:r>
      <w:r>
        <w:rPr>
          <w:rFonts w:hint="eastAsia" w:ascii="Times New Roman" w:hAnsi="宋体" w:cs="宋体"/>
          <w:sz w:val="24"/>
          <w:szCs w:val="24"/>
        </w:rPr>
      </w:r>
      <w:r/>
    </w:p>
    <w:p>
      <w:pPr>
        <w:pStyle w:val="907"/>
        <w:ind w:firstLine="480"/>
        <w:spacing w:line="40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pStyle w:val="907"/>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907"/>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7"/>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pStyle w:val="907"/>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907"/>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907"/>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pStyle w:val="907"/>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pStyle w:val="907"/>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pStyle w:val="907"/>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pStyle w:val="907"/>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pStyle w:val="907"/>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pStyle w:val="907"/>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07"/>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pStyle w:val="907"/>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07"/>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07"/>
        <w:keepLines/>
        <w:keepNext/>
        <w:spacing w:before="156" w:after="156" w:line="400" w:lineRule="exact"/>
        <w:rPr>
          <w:rFonts w:hint="eastAsia" w:ascii="Times New Roman" w:hAnsi="Times New Roman"/>
          <w:b/>
          <w:bCs/>
          <w:sz w:val="32"/>
          <w:szCs w:val="32"/>
        </w:rPr>
        <w:outlineLvl w:val="2"/>
      </w:pPr>
      <w:r/>
      <w:bookmarkStart w:id="160" w:name="_Toc120614220"/>
      <w:r/>
      <w:bookmarkStart w:id="161" w:name="_Toc16938552"/>
      <w:r/>
      <w:bookmarkStart w:id="162" w:name="_Toc20823308"/>
      <w:r/>
      <w:bookmarkStart w:id="163" w:name="_Toc513029236"/>
      <w:r>
        <w:rPr>
          <w:rFonts w:hint="eastAsia" w:ascii="Times New Roman" w:hAnsi="Times New Roman"/>
          <w:b/>
          <w:bCs/>
          <w:sz w:val="32"/>
          <w:szCs w:val="32"/>
        </w:rPr>
        <w:t xml:space="preserve">七、授予合同</w:t>
      </w:r>
      <w:bookmarkEnd w:id="160"/>
      <w:r>
        <w:rPr>
          <w:rFonts w:hint="eastAsia" w:ascii="Times New Roman" w:hAnsi="Times New Roman"/>
          <w:b/>
          <w:bCs/>
          <w:sz w:val="32"/>
          <w:szCs w:val="32"/>
        </w:rPr>
      </w:r>
      <w:r/>
    </w:p>
    <w:p>
      <w:pPr>
        <w:pStyle w:val="907"/>
        <w:ind w:firstLine="600"/>
        <w:keepLines/>
        <w:keepNext/>
        <w:spacing w:line="400" w:lineRule="exact"/>
        <w:rPr>
          <w:rFonts w:hint="eastAsia" w:ascii="黑体" w:hAnsi="宋体" w:eastAsia="黑体"/>
          <w:bCs/>
          <w:sz w:val="30"/>
          <w:szCs w:val="30"/>
        </w:rPr>
        <w:outlineLvl w:val="3"/>
      </w:pPr>
      <w:r/>
      <w:bookmarkEnd w:id="161"/>
      <w:r/>
      <w:bookmarkEnd w:id="162"/>
      <w:r/>
      <w:bookmarkEnd w:id="163"/>
      <w:r/>
      <w:bookmarkStart w:id="164" w:name="_Toc20823309"/>
      <w:r/>
      <w:bookmarkStart w:id="165" w:name="_Toc16938553"/>
      <w:r/>
      <w:bookmarkStart w:id="166" w:name="_Toc513029237"/>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pStyle w:val="907"/>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pStyle w:val="907"/>
        <w:ind w:firstLine="600"/>
        <w:spacing w:line="40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907"/>
        <w:ind w:firstLine="600"/>
        <w:spacing w:line="40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07"/>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pStyle w:val="907"/>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907"/>
        <w:ind w:firstLine="600"/>
        <w:keepLines/>
        <w:keepNext/>
        <w:spacing w:line="400" w:lineRule="exact"/>
        <w:rPr>
          <w:rFonts w:ascii="黑体" w:hAnsi="宋体" w:eastAsia="黑体"/>
          <w:bCs/>
          <w:sz w:val="30"/>
          <w:szCs w:val="30"/>
        </w:rPr>
        <w:outlineLvl w:val="3"/>
      </w:pPr>
      <w:r/>
      <w:bookmarkEnd w:id="164"/>
      <w:r/>
      <w:bookmarkEnd w:id="165"/>
      <w:r/>
      <w:bookmarkEnd w:id="166"/>
      <w:r/>
      <w:bookmarkStart w:id="167" w:name="_Toc20823314"/>
      <w:r/>
      <w:bookmarkStart w:id="168" w:name="_Toc120614221"/>
      <w:r/>
      <w:bookmarkStart w:id="169" w:name="_Toc479757207"/>
      <w:r/>
      <w:bookmarkStart w:id="170" w:name="_Toc513029242"/>
      <w:r/>
      <w:bookmarkStart w:id="171" w:name="_Toc16938558"/>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907"/>
        <w:ind w:firstLine="555"/>
        <w:spacing w:line="4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pStyle w:val="907"/>
        <w:ind w:firstLine="420"/>
        <w:spacing w:line="400" w:lineRule="exact"/>
        <w:rPr>
          <w:rFonts w:hint="eastAsia" w:ascii="Times New Roman" w:hAnsi="Times New Roman"/>
          <w:szCs w:val="21"/>
        </w:rPr>
      </w:pPr>
      <w:r>
        <w:rPr>
          <w:rFonts w:hint="eastAsia" w:ascii="Times New Roman" w:hAnsi="Times New Roman"/>
          <w:szCs w:val="21"/>
        </w:rPr>
      </w:r>
      <w:r/>
    </w:p>
    <w:p>
      <w:pPr>
        <w:pStyle w:val="907"/>
        <w:spacing w:line="500" w:lineRule="exact"/>
        <w:rPr>
          <w:rFonts w:hint="eastAsia" w:ascii="宋体" w:hAnsi="宋体"/>
          <w:bCs/>
          <w:sz w:val="24"/>
          <w:szCs w:val="24"/>
        </w:rPr>
      </w:pPr>
      <w:r>
        <w:rPr>
          <w:rFonts w:hint="eastAsia" w:ascii="宋体" w:hAnsi="宋体"/>
          <w:bCs/>
          <w:sz w:val="24"/>
          <w:szCs w:val="24"/>
        </w:rPr>
      </w:r>
      <w:r/>
    </w:p>
    <w:p>
      <w:pPr>
        <w:pStyle w:val="907"/>
        <w:ind w:firstLine="2640"/>
        <w:jc w:val="lef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907"/>
        <w:ind w:firstLine="2640"/>
        <w:jc w:val="lef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907"/>
        <w:ind w:firstLine="2640"/>
        <w:jc w:val="lef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907"/>
        <w:ind w:firstLine="2640"/>
        <w:jc w:val="lef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907"/>
        <w:ind w:firstLine="2640"/>
        <w:jc w:val="lef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907"/>
        <w:ind w:firstLine="2640"/>
        <w:jc w:val="lef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920"/>
        <w:rPr>
          <w:rFonts w:hint="eastAsia"/>
        </w:rPr>
      </w:pPr>
      <w:r>
        <w:rPr>
          <w:rFonts w:hint="eastAsia"/>
        </w:rPr>
      </w:r>
      <w:r/>
    </w:p>
    <w:p>
      <w:pPr>
        <w:pStyle w:val="907"/>
        <w:rPr>
          <w:rFonts w:hint="eastAsia"/>
        </w:rPr>
      </w:pPr>
      <w:r>
        <w:rPr>
          <w:rFonts w:hint="eastAsia"/>
        </w:rPr>
      </w:r>
      <w:r/>
    </w:p>
    <w:p>
      <w:pPr>
        <w:pStyle w:val="920"/>
        <w:rPr>
          <w:rFonts w:hint="eastAsia"/>
        </w:rPr>
      </w:pPr>
      <w:r>
        <w:rPr>
          <w:rFonts w:hint="eastAsia"/>
        </w:rPr>
      </w:r>
      <w:r/>
    </w:p>
    <w:p>
      <w:pPr>
        <w:pStyle w:val="907"/>
        <w:rPr>
          <w:rFonts w:hint="eastAsia"/>
        </w:rPr>
      </w:pPr>
      <w:r>
        <w:rPr>
          <w:rFonts w:hint="eastAsia"/>
        </w:rPr>
      </w:r>
      <w:r/>
    </w:p>
    <w:p>
      <w:pPr>
        <w:pStyle w:val="907"/>
        <w:ind w:firstLine="2640"/>
        <w:jc w:val="lef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907"/>
        <w:ind w:firstLine="2640"/>
        <w:jc w:val="lef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907"/>
        <w:ind w:firstLine="2640"/>
        <w:jc w:val="lef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907"/>
        <w:ind w:firstLine="2640"/>
        <w:jc w:val="left"/>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67"/>
      <w:r/>
      <w:bookmarkEnd w:id="168"/>
      <w:r/>
      <w:bookmarkEnd w:id="169"/>
      <w:r/>
      <w:bookmarkEnd w:id="170"/>
      <w:r/>
      <w:bookmarkEnd w:id="171"/>
      <w:r>
        <w:rPr>
          <w:rFonts w:hint="eastAsia" w:ascii="黑体" w:hAnsi="Times New Roman" w:eastAsia="黑体"/>
          <w:bCs/>
          <w:sz w:val="44"/>
          <w:szCs w:val="28"/>
        </w:rPr>
        <w:t xml:space="preserve">文本</w:t>
      </w:r>
      <w:r/>
    </w:p>
    <w:p>
      <w:pPr>
        <w:pStyle w:val="940"/>
        <w:jc w:val="center"/>
        <w:rPr>
          <w:rFonts w:ascii="宋体" w:hAnsi="宋体" w:eastAsia="宋体" w:cs="宋体"/>
          <w:b/>
          <w:bCs/>
          <w:spacing w:val="-20"/>
          <w:sz w:val="32"/>
          <w:szCs w:val="32"/>
        </w:rPr>
      </w:pPr>
      <w:r/>
      <w:bookmarkStart w:id="172" w:name="_Hlt16619350"/>
      <w:r/>
      <w:bookmarkStart w:id="173" w:name="_Toc120614244"/>
      <w:r/>
      <w:bookmarkStart w:id="174" w:name="_Toc16938590"/>
      <w:r/>
      <w:bookmarkStart w:id="175" w:name="_Toc20823346"/>
      <w:r/>
      <w:bookmarkStart w:id="176" w:name="_Toc479757211"/>
      <w:r/>
      <w:bookmarkStart w:id="177" w:name="_Toc462564139"/>
      <w:r>
        <w:rPr>
          <w:rFonts w:ascii="宋体" w:hAnsi="宋体" w:eastAsia="宋体" w:cs="宋体"/>
          <w:b/>
          <w:bCs/>
          <w:spacing w:val="-20"/>
          <w:sz w:val="32"/>
          <w:szCs w:val="32"/>
        </w:rPr>
      </w:r>
      <w:r/>
    </w:p>
    <w:p>
      <w:pPr>
        <w:pStyle w:val="940"/>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4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4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07"/>
        <w:rPr>
          <w:rFonts w:ascii="宋体" w:hAnsi="宋体" w:cs="宋体"/>
          <w:b/>
          <w:bCs/>
          <w:spacing w:val="-20"/>
          <w:sz w:val="40"/>
          <w:szCs w:val="40"/>
        </w:rPr>
      </w:pPr>
      <w:r>
        <w:rPr>
          <w:rFonts w:ascii="宋体" w:hAnsi="宋体" w:cs="宋体"/>
          <w:b/>
          <w:bCs/>
          <w:spacing w:val="-20"/>
          <w:sz w:val="40"/>
          <w:szCs w:val="40"/>
        </w:rPr>
      </w:r>
      <w:r/>
    </w:p>
    <w:p>
      <w:pPr>
        <w:pStyle w:val="907"/>
        <w:rPr>
          <w:rFonts w:ascii="宋体" w:hAnsi="宋体" w:cs="宋体"/>
          <w:b/>
          <w:bCs/>
          <w:spacing w:val="-20"/>
          <w:sz w:val="40"/>
          <w:szCs w:val="40"/>
        </w:rPr>
      </w:pPr>
      <w:r>
        <w:rPr>
          <w:rFonts w:ascii="宋体" w:hAnsi="宋体" w:cs="宋体"/>
          <w:b/>
          <w:bCs/>
          <w:spacing w:val="-20"/>
          <w:sz w:val="40"/>
          <w:szCs w:val="40"/>
        </w:rPr>
      </w:r>
      <w:r/>
    </w:p>
    <w:p>
      <w:pPr>
        <w:pStyle w:val="907"/>
        <w:rPr>
          <w:rFonts w:ascii="宋体" w:hAnsi="宋体" w:cs="宋体"/>
          <w:b/>
          <w:bCs/>
          <w:spacing w:val="-20"/>
          <w:sz w:val="40"/>
          <w:szCs w:val="40"/>
        </w:rPr>
      </w:pPr>
      <w:r>
        <w:rPr>
          <w:rFonts w:ascii="宋体" w:hAnsi="宋体" w:cs="宋体"/>
          <w:b/>
          <w:bCs/>
          <w:spacing w:val="-20"/>
          <w:sz w:val="40"/>
          <w:szCs w:val="40"/>
        </w:rPr>
      </w:r>
      <w:r/>
    </w:p>
    <w:p>
      <w:pPr>
        <w:pStyle w:val="907"/>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07"/>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07"/>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07"/>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07"/>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07"/>
      </w:pPr>
      <w:r/>
      <w:r/>
    </w:p>
    <w:p>
      <w:pPr>
        <w:pStyle w:val="907"/>
        <w:rPr>
          <w:rFonts w:eastAsia="黑体"/>
          <w:sz w:val="44"/>
          <w:szCs w:val="44"/>
        </w:rPr>
      </w:pPr>
      <w:r>
        <w:rPr>
          <w:rFonts w:eastAsia="黑体"/>
          <w:sz w:val="44"/>
          <w:szCs w:val="44"/>
        </w:rPr>
      </w:r>
      <w:r/>
    </w:p>
    <w:p>
      <w:pPr>
        <w:pStyle w:val="907"/>
        <w:rPr>
          <w:rFonts w:eastAsia="黑体"/>
          <w:sz w:val="44"/>
          <w:szCs w:val="44"/>
        </w:rPr>
      </w:pPr>
      <w:r>
        <w:rPr>
          <w:rFonts w:eastAsia="黑体"/>
          <w:sz w:val="44"/>
          <w:szCs w:val="44"/>
        </w:rPr>
      </w:r>
      <w:r/>
    </w:p>
    <w:p>
      <w:pPr>
        <w:pStyle w:val="907"/>
        <w:rPr>
          <w:rFonts w:eastAsia="黑体"/>
          <w:sz w:val="44"/>
          <w:szCs w:val="44"/>
        </w:rPr>
      </w:pPr>
      <w:r>
        <w:rPr>
          <w:rFonts w:eastAsia="黑体"/>
          <w:sz w:val="44"/>
          <w:szCs w:val="44"/>
        </w:rPr>
      </w:r>
      <w:r/>
    </w:p>
    <w:p>
      <w:pPr>
        <w:pStyle w:val="907"/>
        <w:rPr>
          <w:rFonts w:eastAsia="黑体"/>
          <w:sz w:val="44"/>
          <w:szCs w:val="44"/>
        </w:rPr>
      </w:pPr>
      <w:r>
        <w:rPr>
          <w:rFonts w:eastAsia="黑体"/>
          <w:sz w:val="44"/>
          <w:szCs w:val="44"/>
        </w:rPr>
      </w:r>
      <w:r/>
    </w:p>
    <w:p>
      <w:pPr>
        <w:pStyle w:val="907"/>
        <w:rPr>
          <w:rFonts w:eastAsia="黑体"/>
          <w:sz w:val="44"/>
          <w:szCs w:val="44"/>
        </w:rPr>
      </w:pPr>
      <w:r>
        <w:rPr>
          <w:rFonts w:eastAsia="黑体"/>
          <w:sz w:val="44"/>
          <w:szCs w:val="44"/>
        </w:rPr>
      </w:r>
      <w:r/>
    </w:p>
    <w:p>
      <w:pPr>
        <w:pStyle w:val="907"/>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07"/>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7"/>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07"/>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07"/>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07"/>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909"/>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09"/>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07"/>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07"/>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07"/>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7"/>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7"/>
        <w:spacing w:line="400" w:lineRule="exact"/>
      </w:pPr>
      <w:r/>
      <w:r/>
    </w:p>
    <w:p>
      <w:pPr>
        <w:pStyle w:val="942"/>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07"/>
        <w:numPr>
          <w:ilvl w:val="0"/>
          <w:numId w:val="5"/>
        </w:numPr>
        <w:ind w:firstLine="422"/>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42"/>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42"/>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rPr>
      </w:r>
      <w:r/>
    </w:p>
    <w:p>
      <w:pPr>
        <w:pStyle w:val="942"/>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pStyle w:val="907"/>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07"/>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07"/>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07"/>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07"/>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07"/>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21"/>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21"/>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21"/>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21"/>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2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2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21"/>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2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21"/>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21"/>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21"/>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7"/>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7"/>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7"/>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7"/>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07"/>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07"/>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07"/>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07"/>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07"/>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07"/>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07"/>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07"/>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21"/>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7"/>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07"/>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07"/>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07"/>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7"/>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07"/>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07"/>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7"/>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7"/>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07"/>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07"/>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7"/>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21"/>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21"/>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7"/>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21"/>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07"/>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07"/>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07"/>
        <w:numPr>
          <w:ilvl w:val="0"/>
          <w:numId w:val="5"/>
        </w:numPr>
        <w:ind w:firstLine="422"/>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07"/>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07"/>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07"/>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07"/>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07"/>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07"/>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07"/>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89"/>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07"/>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07"/>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07"/>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07"/>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07"/>
        <w:numPr>
          <w:ilvl w:val="0"/>
          <w:numId w:val="5"/>
        </w:numPr>
        <w:ind w:firstLine="422"/>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07"/>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07"/>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07"/>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þ</w:t>
      </w:r>
      <w:r>
        <w:rPr>
          <w:rFonts w:hint="eastAsia" w:ascii="宋体" w:hAnsi="宋体" w:cs="宋体"/>
          <w:szCs w:val="21"/>
        </w:rPr>
        <w:t xml:space="preserve">否</w:t>
      </w:r>
      <w:r>
        <w:rPr>
          <w:rFonts w:ascii="宋体" w:hAnsi="宋体" w:cs="宋体"/>
          <w:szCs w:val="21"/>
        </w:rPr>
      </w:r>
      <w:r/>
    </w:p>
    <w:p>
      <w:pPr>
        <w:pStyle w:val="1021"/>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21"/>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07"/>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07"/>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07"/>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rPr>
          <w:rFonts w:ascii="宋体" w:hAnsi="宋体" w:cs="宋体"/>
          <w:szCs w:val="21"/>
          <w:u w:val="single"/>
        </w:rPr>
      </w:r>
      <w:r/>
    </w:p>
    <w:p>
      <w:pPr>
        <w:pStyle w:val="907"/>
        <w:numPr>
          <w:ilvl w:val="0"/>
          <w:numId w:val="5"/>
        </w:numPr>
        <w:ind w:firstLine="422"/>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07"/>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07"/>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07"/>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7"/>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7"/>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7"/>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7"/>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7"/>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07"/>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7"/>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07"/>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07"/>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07"/>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07"/>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07"/>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07"/>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2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7"/>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07"/>
        <w:numPr>
          <w:ilvl w:val="0"/>
          <w:numId w:val="5"/>
        </w:numPr>
        <w:ind w:firstLine="422"/>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07"/>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2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rPr>
          <w:rFonts w:ascii="宋体" w:hAnsi="宋体" w:eastAsia="宋体" w:cs="宋体"/>
          <w:sz w:val="21"/>
        </w:rPr>
      </w:r>
      <w:r/>
    </w:p>
    <w:p>
      <w:pPr>
        <w:pStyle w:val="907"/>
        <w:numPr>
          <w:ilvl w:val="0"/>
          <w:numId w:val="5"/>
        </w:numPr>
        <w:ind w:firstLine="422"/>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07"/>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07"/>
        <w:numPr>
          <w:ilvl w:val="0"/>
          <w:numId w:val="5"/>
        </w:numPr>
        <w:ind w:firstLine="422"/>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07"/>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07"/>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989"/>
        <w:rPr>
          <w:lang w:eastAsia="zh-CN"/>
        </w:rPr>
      </w:pPr>
      <w:r>
        <w:rPr>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907"/>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pStyle w:val="907"/>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907"/>
              <w:jc w:val="center"/>
              <w:spacing w:line="300" w:lineRule="exact"/>
              <w:rPr>
                <w:szCs w:val="21"/>
              </w:rPr>
            </w:pPr>
            <w:r>
              <w:rPr>
                <w:szCs w:val="21"/>
              </w:rPr>
              <w:t xml:space="preserve">法定代表人</w:t>
            </w:r>
            <w:r/>
          </w:p>
          <w:p>
            <w:pPr>
              <w:pStyle w:val="907"/>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907"/>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907"/>
              <w:jc w:val="center"/>
              <w:spacing w:line="300" w:lineRule="exact"/>
              <w:rPr>
                <w:szCs w:val="21"/>
              </w:rPr>
            </w:pPr>
            <w:r>
              <w:rPr>
                <w:szCs w:val="21"/>
              </w:rPr>
              <w:t xml:space="preserve">法定代表人</w:t>
            </w:r>
            <w:r/>
          </w:p>
          <w:p>
            <w:pPr>
              <w:pStyle w:val="907"/>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907"/>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90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szCs w:val="21"/>
              </w:rPr>
            </w:pPr>
            <w:r>
              <w:rPr>
                <w:rFonts w:hint="eastAsia"/>
                <w:szCs w:val="21"/>
              </w:rPr>
              <w:t xml:space="preserve">住  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szCs w:val="21"/>
              </w:rPr>
            </w:pPr>
            <w:r>
              <w:rPr>
                <w:rFonts w:hint="eastAsia"/>
                <w:szCs w:val="21"/>
              </w:rPr>
              <w:t xml:space="preserve">住  所</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942"/>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09"/>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07"/>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7"/>
        <w:ind w:firstLine="420"/>
        <w:jc w:val="left"/>
        <w:spacing w:line="400" w:lineRule="exact"/>
        <w:rPr>
          <w:rFonts w:ascii="宋体" w:hAnsi="宋体"/>
          <w:szCs w:val="21"/>
        </w:rPr>
      </w:pPr>
      <w:r>
        <w:rPr>
          <w:rFonts w:hint="eastAsia" w:ascii="宋体" w:hAnsi="宋体"/>
          <w:szCs w:val="21"/>
        </w:rPr>
        <w:t xml:space="preserve">1.1合同当事人</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07"/>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07"/>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07"/>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ascii="宋体" w:hAnsi="宋体"/>
          <w:szCs w:val="21"/>
          <w:lang w:val="en"/>
        </w:rPr>
        <w:t xml:space="preserve">其他</w:t>
      </w:r>
      <w:r>
        <w:rPr>
          <w:rFonts w:hint="eastAsia" w:ascii="宋体" w:hAnsi="宋体"/>
          <w:szCs w:val="21"/>
        </w:rPr>
        <w:t xml:space="preserve">技术资料和材料等。</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lang w:val="en"/>
        </w:rPr>
        <w:t xml:space="preserve">其他</w:t>
      </w:r>
      <w:r>
        <w:rPr>
          <w:rFonts w:hint="eastAsia" w:ascii="宋体" w:hAnsi="宋体"/>
          <w:szCs w:val="21"/>
        </w:rPr>
        <w:t xml:space="preserve">义务。</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szCs w:val="21"/>
        </w:rPr>
      </w:r>
      <w:r/>
    </w:p>
    <w:p>
      <w:pPr>
        <w:pStyle w:val="907"/>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rPr>
          <w:rFonts w:ascii="宋体" w:hAnsi="宋体"/>
          <w:szCs w:val="21"/>
        </w:rPr>
      </w:r>
      <w:r/>
    </w:p>
    <w:p>
      <w:pPr>
        <w:pStyle w:val="907"/>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rPr>
          <w:rFonts w:ascii="宋体" w:hAnsi="宋体"/>
          <w:szCs w:val="21"/>
        </w:rPr>
      </w:r>
      <w:r/>
    </w:p>
    <w:p>
      <w:pPr>
        <w:pStyle w:val="907"/>
        <w:numPr>
          <w:ilvl w:val="0"/>
          <w:numId w:val="8"/>
        </w:numPr>
        <w:jc w:val="left"/>
        <w:spacing w:line="400" w:lineRule="exact"/>
        <w:rPr>
          <w:rFonts w:ascii="宋体" w:hAnsi="宋体"/>
          <w:b/>
          <w:bCs/>
          <w:sz w:val="24"/>
        </w:rPr>
      </w:pPr>
      <w:r>
        <w:rPr>
          <w:rFonts w:hint="eastAsia" w:ascii="宋体" w:hAnsi="宋体"/>
          <w:b/>
          <w:sz w:val="24"/>
        </w:rPr>
        <w:t xml:space="preserve">合同标的及金额</w:t>
      </w:r>
      <w:r>
        <w:rPr>
          <w:rFonts w:ascii="宋体" w:hAnsi="宋体"/>
          <w:b/>
          <w:bCs/>
          <w:sz w:val="24"/>
        </w:rPr>
      </w:r>
      <w:r/>
    </w:p>
    <w:p>
      <w:pPr>
        <w:pStyle w:val="907"/>
        <w:ind w:firstLine="420"/>
        <w:jc w:val="left"/>
        <w:spacing w:line="40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lang w:val="en"/>
        </w:rPr>
        <w:t xml:space="preserve">其他</w:t>
      </w:r>
      <w:r>
        <w:rPr>
          <w:rFonts w:hint="eastAsia" w:ascii="宋体" w:hAnsi="宋体"/>
          <w:szCs w:val="21"/>
        </w:rPr>
        <w:t xml:space="preserve">任何费用。</w:t>
      </w:r>
      <w:r>
        <w:rPr>
          <w:rFonts w:ascii="宋体" w:hAnsi="宋体"/>
          <w:b/>
          <w:bCs/>
          <w:i/>
          <w:iCs/>
          <w:szCs w:val="21"/>
        </w:rPr>
      </w:r>
      <w:r/>
    </w:p>
    <w:p>
      <w:pPr>
        <w:pStyle w:val="907"/>
        <w:jc w:val="left"/>
        <w:spacing w:line="400" w:lineRule="exact"/>
        <w:rPr>
          <w:rFonts w:ascii="宋体" w:hAnsi="宋体"/>
          <w:b/>
          <w:sz w:val="24"/>
        </w:rPr>
      </w:pPr>
      <w:r>
        <w:rPr>
          <w:rFonts w:hint="eastAsia" w:ascii="宋体" w:hAnsi="宋体"/>
          <w:b/>
          <w:sz w:val="24"/>
        </w:rPr>
        <w:t xml:space="preserve">3. 履行合同的时间、地点和方式</w:t>
      </w:r>
      <w:r>
        <w:rPr>
          <w:rFonts w:ascii="宋体" w:hAnsi="宋体"/>
          <w:b/>
          <w:sz w:val="24"/>
        </w:rPr>
      </w:r>
      <w:r/>
    </w:p>
    <w:p>
      <w:pPr>
        <w:pStyle w:val="907"/>
        <w:ind w:firstLine="420"/>
        <w:jc w:val="left"/>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rPr>
          <w:rFonts w:ascii="宋体" w:hAnsi="宋体"/>
          <w:szCs w:val="21"/>
        </w:rPr>
      </w:r>
      <w:r/>
    </w:p>
    <w:p>
      <w:pPr>
        <w:pStyle w:val="907"/>
        <w:jc w:val="left"/>
        <w:spacing w:line="400" w:lineRule="exact"/>
        <w:rPr>
          <w:rFonts w:ascii="宋体" w:hAnsi="宋体"/>
          <w:b/>
          <w:bCs/>
          <w:sz w:val="24"/>
        </w:rPr>
      </w:pPr>
      <w:r>
        <w:rPr>
          <w:rFonts w:hint="eastAsia" w:ascii="宋体" w:hAnsi="宋体"/>
          <w:b/>
          <w:bCs/>
          <w:sz w:val="24"/>
        </w:rPr>
        <w:t xml:space="preserve">4. 甲方的权利和义务</w:t>
      </w:r>
      <w:r>
        <w:rPr>
          <w:rFonts w:ascii="宋体" w:hAnsi="宋体"/>
          <w:b/>
          <w:bCs/>
          <w:sz w:val="24"/>
        </w:rPr>
      </w:r>
      <w:r/>
    </w:p>
    <w:p>
      <w:pPr>
        <w:pStyle w:val="907"/>
        <w:ind w:firstLine="420"/>
        <w:jc w:val="left"/>
        <w:spacing w:line="400" w:lineRule="exact"/>
        <w:rPr>
          <w:rFonts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pStyle w:val="907"/>
        <w:ind w:firstLine="420"/>
        <w:jc w:val="left"/>
        <w:spacing w:line="400" w:lineRule="exact"/>
        <w:rPr>
          <w:rFonts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pStyle w:val="907"/>
        <w:ind w:firstLine="420"/>
        <w:jc w:val="left"/>
        <w:spacing w:line="400" w:lineRule="exact"/>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w:t>
      </w:r>
      <w:r>
        <w:rPr>
          <w:rFonts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rPr>
          <w:rFonts w:ascii="宋体" w:hAnsi="宋体"/>
          <w:szCs w:val="21"/>
        </w:rPr>
      </w:r>
      <w:r/>
    </w:p>
    <w:p>
      <w:pPr>
        <w:pStyle w:val="907"/>
        <w:ind w:firstLine="420"/>
        <w:spacing w:line="400" w:lineRule="exact"/>
        <w:rPr>
          <w:rFonts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rPr>
          <w:rFonts w:eastAsia="华文楷体"/>
        </w:rPr>
      </w:r>
      <w:r/>
    </w:p>
    <w:p>
      <w:pPr>
        <w:pStyle w:val="907"/>
        <w:ind w:firstLine="420"/>
        <w:jc w:val="left"/>
        <w:spacing w:line="400" w:lineRule="exact"/>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pStyle w:val="907"/>
        <w:ind w:firstLine="420"/>
        <w:jc w:val="left"/>
        <w:spacing w:line="400" w:lineRule="exact"/>
        <w:rPr>
          <w:rFonts w:ascii="宋体" w:hAnsi="宋体"/>
          <w:szCs w:val="21"/>
        </w:rPr>
      </w:pPr>
      <w:r>
        <w:rPr>
          <w:rFonts w:hint="eastAsia" w:ascii="宋体" w:hAnsi="宋体"/>
          <w:szCs w:val="21"/>
        </w:rPr>
        <w:t xml:space="preserve">4.6</w:t>
      </w:r>
      <w:r>
        <w:rPr>
          <w:rFonts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rPr>
          <w:rFonts w:ascii="宋体" w:hAnsi="宋体"/>
          <w:szCs w:val="21"/>
        </w:rPr>
      </w:r>
      <w:r/>
    </w:p>
    <w:p>
      <w:pPr>
        <w:pStyle w:val="907"/>
        <w:jc w:val="left"/>
        <w:spacing w:line="400" w:lineRule="exact"/>
        <w:rPr>
          <w:rFonts w:ascii="宋体" w:hAnsi="宋体"/>
          <w:b/>
          <w:bCs/>
          <w:sz w:val="24"/>
        </w:rPr>
      </w:pPr>
      <w:r>
        <w:rPr>
          <w:rFonts w:hint="eastAsia" w:ascii="宋体" w:hAnsi="宋体"/>
          <w:b/>
          <w:bCs/>
          <w:sz w:val="24"/>
        </w:rPr>
        <w:t xml:space="preserve">5. 乙方的权利和义务</w:t>
      </w:r>
      <w:r>
        <w:rPr>
          <w:rFonts w:ascii="宋体" w:hAnsi="宋体"/>
          <w:b/>
          <w:bCs/>
          <w:sz w:val="24"/>
        </w:rPr>
      </w:r>
      <w:r/>
    </w:p>
    <w:p>
      <w:pPr>
        <w:pStyle w:val="907"/>
        <w:ind w:firstLine="420"/>
        <w:jc w:val="left"/>
        <w:spacing w:line="400" w:lineRule="exact"/>
        <w:rPr>
          <w:rFonts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pStyle w:val="907"/>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pStyle w:val="907"/>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乙方有权根据合同约定向甲方收取合同价款。</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4</w:t>
      </w:r>
      <w:r>
        <w:rPr>
          <w:rFonts w:hint="eastAsia" w:ascii="宋体" w:hAnsi="宋体"/>
          <w:szCs w:val="21"/>
        </w:rPr>
        <w:t xml:space="preserve">国家法律法规规定及</w:t>
      </w:r>
      <w:r>
        <w:rPr>
          <w:rFonts w:hint="eastAsia" w:ascii="宋体" w:hAnsi="宋体"/>
          <w:b/>
          <w:szCs w:val="21"/>
        </w:rPr>
        <w:t xml:space="preserve">【政府采购合同专用条款】</w:t>
      </w:r>
      <w:r>
        <w:rPr>
          <w:rFonts w:hint="eastAsia" w:ascii="宋体" w:hAnsi="宋体"/>
          <w:szCs w:val="21"/>
        </w:rPr>
        <w:t xml:space="preserve">约定应由乙方承担的其他义务和责任。</w:t>
      </w:r>
      <w:r>
        <w:rPr>
          <w:rFonts w:ascii="宋体" w:hAnsi="宋体"/>
          <w:szCs w:val="21"/>
        </w:rPr>
      </w:r>
      <w:r/>
    </w:p>
    <w:p>
      <w:pPr>
        <w:pStyle w:val="907"/>
        <w:numPr>
          <w:ilvl w:val="0"/>
          <w:numId w:val="9"/>
        </w:numPr>
        <w:jc w:val="left"/>
        <w:spacing w:line="400" w:lineRule="exact"/>
        <w:rPr>
          <w:rFonts w:ascii="宋体" w:hAnsi="宋体"/>
          <w:b/>
          <w:bCs/>
          <w:sz w:val="24"/>
        </w:rPr>
      </w:pPr>
      <w:r>
        <w:rPr>
          <w:rFonts w:hint="eastAsia" w:ascii="宋体" w:hAnsi="宋体"/>
          <w:b/>
          <w:bCs/>
          <w:sz w:val="24"/>
        </w:rPr>
        <w:t xml:space="preserve">合同履行</w:t>
      </w:r>
      <w:r>
        <w:rPr>
          <w:rFonts w:ascii="宋体" w:hAnsi="宋体"/>
          <w:b/>
          <w:bCs/>
          <w:sz w:val="24"/>
        </w:rPr>
      </w:r>
      <w:r/>
    </w:p>
    <w:p>
      <w:pPr>
        <w:pStyle w:val="907"/>
        <w:ind w:firstLine="420"/>
        <w:jc w:val="left"/>
        <w:spacing w:line="40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rPr>
          <w:rFonts w:ascii="宋体" w:hAnsi="宋体"/>
          <w:szCs w:val="21"/>
        </w:rPr>
      </w:r>
      <w:r/>
    </w:p>
    <w:p>
      <w:pPr>
        <w:pStyle w:val="907"/>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07"/>
        <w:jc w:val="left"/>
        <w:spacing w:line="400" w:lineRule="exact"/>
        <w:rPr>
          <w:rFonts w:ascii="宋体" w:hAnsi="宋体"/>
          <w:b/>
          <w:bCs/>
          <w:sz w:val="24"/>
        </w:rPr>
      </w:pPr>
      <w:r>
        <w:rPr>
          <w:rFonts w:hint="eastAsia" w:ascii="宋体" w:hAnsi="宋体"/>
          <w:b/>
          <w:bCs/>
          <w:sz w:val="24"/>
        </w:rPr>
        <w:t xml:space="preserve">7. 货物包装、运输、保险和交付要求</w:t>
      </w:r>
      <w:r>
        <w:rPr>
          <w:rFonts w:ascii="宋体" w:hAnsi="宋体"/>
          <w:b/>
          <w:bCs/>
          <w:sz w:val="24"/>
        </w:rPr>
      </w:r>
      <w:r/>
    </w:p>
    <w:p>
      <w:pPr>
        <w:pStyle w:val="907"/>
        <w:ind w:firstLine="420"/>
        <w:jc w:val="left"/>
        <w:spacing w:line="400" w:lineRule="exact"/>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rPr>
          <w:rFonts w:ascii="宋体" w:hAnsi="宋体"/>
          <w:szCs w:val="21"/>
        </w:rPr>
      </w:r>
      <w:r/>
    </w:p>
    <w:p>
      <w:pPr>
        <w:pStyle w:val="1021"/>
        <w:ind w:firstLine="420"/>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rPr>
          <w:sz w:val="21"/>
        </w:rPr>
      </w:r>
      <w:r/>
    </w:p>
    <w:p>
      <w:pPr>
        <w:pStyle w:val="907"/>
        <w:jc w:val="left"/>
        <w:spacing w:line="400" w:lineRule="exact"/>
        <w:rPr>
          <w:rFonts w:ascii="宋体" w:hAnsi="宋体"/>
          <w:b/>
          <w:sz w:val="24"/>
        </w:rPr>
      </w:pPr>
      <w:r>
        <w:rPr>
          <w:rFonts w:hint="eastAsia" w:ascii="宋体" w:hAnsi="宋体"/>
          <w:b/>
          <w:sz w:val="24"/>
        </w:rPr>
        <w:t xml:space="preserve">8. 质量标准和保证</w:t>
      </w:r>
      <w:r>
        <w:rPr>
          <w:rFonts w:ascii="宋体" w:hAnsi="宋体"/>
          <w:b/>
          <w:sz w:val="24"/>
        </w:rPr>
      </w:r>
      <w:r/>
    </w:p>
    <w:p>
      <w:pPr>
        <w:pStyle w:val="947"/>
        <w:ind w:firstLine="420"/>
        <w:jc w:val="left"/>
        <w:spacing w:line="400" w:lineRule="exact"/>
        <w:rPr>
          <w:rFonts w:hAnsi="宋体"/>
          <w:b/>
        </w:rPr>
      </w:pPr>
      <w:r>
        <w:rPr>
          <w:rFonts w:hint="eastAsia" w:hAnsi="宋体"/>
        </w:rPr>
        <w:t xml:space="preserve">8.1 质量标准</w:t>
      </w:r>
      <w:r>
        <w:rPr>
          <w:rFonts w:hAnsi="宋体"/>
          <w:b/>
        </w:rPr>
      </w:r>
      <w:r/>
    </w:p>
    <w:p>
      <w:pPr>
        <w:pStyle w:val="907"/>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47"/>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7"/>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szCs w:val="21"/>
        </w:rPr>
      </w:r>
      <w:r/>
    </w:p>
    <w:p>
      <w:pPr>
        <w:pStyle w:val="907"/>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07"/>
        <w:jc w:val="left"/>
        <w:spacing w:line="400" w:lineRule="exact"/>
        <w:rPr>
          <w:rFonts w:ascii="宋体" w:hAnsi="宋体"/>
          <w:b/>
          <w:bCs/>
          <w:sz w:val="24"/>
        </w:rPr>
      </w:pPr>
      <w:r>
        <w:rPr>
          <w:rFonts w:hint="eastAsia" w:ascii="宋体" w:hAnsi="宋体"/>
          <w:b/>
          <w:bCs/>
          <w:sz w:val="24"/>
        </w:rPr>
        <w:t xml:space="preserve">9. 权利瑕疵担保</w:t>
      </w:r>
      <w:r>
        <w:rPr>
          <w:rFonts w:ascii="宋体" w:hAnsi="宋体"/>
          <w:b/>
          <w:bCs/>
          <w:sz w:val="24"/>
        </w:rPr>
      </w:r>
      <w:r/>
    </w:p>
    <w:p>
      <w:pPr>
        <w:pStyle w:val="907"/>
        <w:ind w:firstLine="420"/>
        <w:jc w:val="left"/>
        <w:spacing w:line="400" w:lineRule="exact"/>
        <w:rPr>
          <w:rFonts w:ascii="宋体" w:hAnsi="宋体"/>
          <w:szCs w:val="21"/>
        </w:rPr>
      </w:pPr>
      <w:r>
        <w:rPr>
          <w:rFonts w:hint="eastAsia" w:ascii="宋体" w:hAnsi="宋体"/>
          <w:szCs w:val="21"/>
        </w:rPr>
        <w:t xml:space="preserve">9.1 乙方保证对其出售的货物享有合法的权利。</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9.3 如甲方使用上述货物构成对第三人侵权的，则由乙方承担全部责任。</w:t>
      </w:r>
      <w:r>
        <w:rPr>
          <w:rFonts w:ascii="宋体" w:hAnsi="宋体"/>
          <w:szCs w:val="21"/>
        </w:rPr>
      </w:r>
      <w:r/>
    </w:p>
    <w:p>
      <w:pPr>
        <w:pStyle w:val="907"/>
        <w:jc w:val="left"/>
        <w:spacing w:line="400" w:lineRule="exact"/>
        <w:rPr>
          <w:rFonts w:ascii="宋体" w:hAnsi="宋体"/>
          <w:b/>
          <w:bCs/>
          <w:sz w:val="24"/>
        </w:rPr>
      </w:pPr>
      <w:r>
        <w:rPr>
          <w:rFonts w:hint="eastAsia" w:ascii="宋体" w:hAnsi="宋体"/>
          <w:b/>
          <w:bCs/>
          <w:sz w:val="24"/>
        </w:rPr>
        <w:t xml:space="preserve">10. 知识产权保护</w:t>
      </w:r>
      <w:r>
        <w:rPr>
          <w:rFonts w:ascii="宋体" w:hAnsi="宋体"/>
          <w:b/>
          <w:bCs/>
          <w:sz w:val="24"/>
        </w:rPr>
      </w:r>
      <w:r/>
    </w:p>
    <w:p>
      <w:pPr>
        <w:pStyle w:val="907"/>
        <w:ind w:firstLine="420"/>
        <w:jc w:val="left"/>
        <w:spacing w:line="400" w:lineRule="exact"/>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07"/>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07"/>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7"/>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7"/>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07"/>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07"/>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07"/>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07"/>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07"/>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21"/>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7"/>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07"/>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7"/>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07"/>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07"/>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07"/>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07"/>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7"/>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21"/>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07"/>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07"/>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07"/>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21"/>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21"/>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07"/>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7"/>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07"/>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7"/>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07"/>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21"/>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21"/>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21"/>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7"/>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7"/>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07"/>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07"/>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07"/>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21"/>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21"/>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7"/>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21"/>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21"/>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07"/>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07"/>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7"/>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07"/>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07"/>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pPr>
            <w:r>
              <w:rPr>
                <w:rFonts w:hint="eastAsia" w:ascii="宋体" w:hAnsi="宋体"/>
                <w:szCs w:val="21"/>
              </w:rPr>
              <w:t xml:space="preserve">第5.4款</w:t>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07"/>
            </w:pPr>
            <w:r/>
            <w:r/>
          </w:p>
        </w:tc>
      </w:tr>
      <w:tr>
        <w:trPr>
          <w:cantSplit/>
          <w:trHeight w:val="667"/>
        </w:trPr>
        <w:tc>
          <w:tcPr>
            <w:tcW w:w="1607" w:type="dxa"/>
            <w:vAlign w:val="center"/>
            <w:vMerge w:val="continue"/>
            <w:textDirection w:val="lrTb"/>
            <w:noWrap w:val="false"/>
          </w:tcPr>
          <w:p>
            <w:pPr>
              <w:pStyle w:val="907"/>
              <w:jc w:val="center"/>
              <w:rPr>
                <w:rFonts w:ascii="宋体" w:hAnsi="宋体"/>
                <w:szCs w:val="21"/>
              </w:rPr>
            </w:pP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07"/>
            </w:pPr>
            <w:r/>
            <w:r/>
          </w:p>
        </w:tc>
      </w:tr>
      <w:tr>
        <w:trPr>
          <w:trHeight w:val="772"/>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07"/>
            </w:pPr>
            <w:r/>
            <w:r/>
          </w:p>
        </w:tc>
      </w:tr>
      <w:tr>
        <w:trPr>
          <w:trHeight w:val="667"/>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07"/>
            </w:p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07"/>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07"/>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21"/>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7"/>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07"/>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07"/>
              <w:jc w:val="left"/>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left w:val="single" w:color="000000" w:sz="2" w:space="0"/>
              <w:bottom w:val="single" w:color="000000" w:sz="2" w:space="0"/>
            </w:tcBorders>
            <w:tcW w:w="5170" w:type="dxa"/>
            <w:vAlign w:val="center"/>
            <w:textDirection w:val="lrTb"/>
            <w:noWrap w:val="false"/>
          </w:tcPr>
          <w:p>
            <w:pPr>
              <w:pStyle w:val="907"/>
              <w:jc w:val="left"/>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tcBorders>
            <w:tcW w:w="5170" w:type="dxa"/>
            <w:vAlign w:val="center"/>
            <w:textDirection w:val="lrTb"/>
            <w:noWrap w:val="false"/>
          </w:tcPr>
          <w:p>
            <w:pPr>
              <w:pStyle w:val="907"/>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07"/>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07"/>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bl>
    <w:p>
      <w:pPr>
        <w:pStyle w:val="940"/>
        <w:jc w:val="center"/>
        <w:rPr>
          <w:rFonts w:ascii="黑体" w:hAnsi="Courier New" w:eastAsia="黑体" w:cs="Courier New"/>
          <w:bCs/>
          <w:sz w:val="44"/>
          <w:szCs w:val="21"/>
        </w:rPr>
      </w:pPr>
      <w:r>
        <w:rPr>
          <w:rFonts w:ascii="黑体" w:hAnsi="Courier New" w:eastAsia="黑体" w:cs="Courier New"/>
          <w:bCs/>
          <w:sz w:val="44"/>
          <w:szCs w:val="21"/>
        </w:rPr>
      </w:r>
      <w:r/>
    </w:p>
    <w:p>
      <w:pPr>
        <w:pStyle w:val="940"/>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07"/>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907"/>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907"/>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907"/>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907"/>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07"/>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07"/>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07"/>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07"/>
        <w:jc w:val="center"/>
        <w:spacing w:before="120" w:after="120" w:line="0" w:lineRule="atLeast"/>
        <w:rPr>
          <w:rFonts w:hint="eastAsia" w:ascii="宋体" w:hAnsi="宋体" w:cs="Courier New"/>
          <w:sz w:val="24"/>
          <w:szCs w:val="24"/>
        </w:rPr>
      </w:pPr>
      <w:r>
        <w:rPr>
          <w:rFonts w:hint="eastAsia" w:ascii="黑体" w:hAnsi="Courier New" w:eastAsia="黑体" w:cs="Courier New"/>
          <w:bCs/>
          <w:sz w:val="44"/>
          <w:szCs w:val="21"/>
        </w:rPr>
        <w:t xml:space="preserve">第</w:t>
      </w:r>
      <w:bookmarkEnd w:id="172"/>
      <w:r>
        <w:rPr>
          <w:rFonts w:hint="eastAsia" w:ascii="黑体" w:hAnsi="Courier New" w:eastAsia="黑体" w:cs="Courier New"/>
          <w:bCs/>
          <w:sz w:val="44"/>
          <w:szCs w:val="21"/>
        </w:rPr>
        <w:t xml:space="preserve">四章 采购需求</w:t>
      </w:r>
      <w:bookmarkEnd w:id="173"/>
      <w:r/>
      <w:bookmarkEnd w:id="174"/>
      <w:r/>
      <w:bookmarkEnd w:id="175"/>
      <w:r>
        <w:rPr>
          <w:rFonts w:hint="eastAsia" w:ascii="宋体" w:hAnsi="宋体" w:cs="Courier New"/>
          <w:sz w:val="24"/>
          <w:szCs w:val="24"/>
        </w:rPr>
      </w:r>
      <w:r/>
    </w:p>
    <w:p>
      <w:pPr>
        <w:pStyle w:val="907"/>
        <w:spacing w:line="0" w:lineRule="atLeast"/>
        <w:rPr>
          <w:rFonts w:ascii="宋体" w:hAnsi="宋体"/>
          <w:sz w:val="24"/>
          <w:szCs w:val="24"/>
        </w:rPr>
      </w:pPr>
      <w:r/>
      <w:bookmarkStart w:id="178" w:name="_Toc49090575"/>
      <w:r/>
      <w:bookmarkStart w:id="179" w:name="_Toc26554093"/>
      <w:r>
        <w:rPr>
          <w:rFonts w:ascii="宋体" w:hAnsi="宋体"/>
          <w:sz w:val="24"/>
          <w:szCs w:val="24"/>
        </w:rPr>
      </w:r>
      <w:r/>
    </w:p>
    <w:p>
      <w:pPr>
        <w:pStyle w:val="907"/>
        <w:spacing w:line="0" w:lineRule="atLeast"/>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696"/>
        <w:gridCol w:w="2856"/>
        <w:gridCol w:w="3576"/>
      </w:tblGrid>
      <w:tr>
        <w:trPr>
          <w:cantSplit/>
        </w:trPr>
        <w:tc>
          <w:tcPr>
            <w:tcW w:w="936" w:type="auto"/>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696" w:type="auto"/>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856" w:type="auto"/>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576" w:type="auto"/>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450"/>
        </w:trPr>
        <w:tc>
          <w:tcPr>
            <w:tcW w:w="936" w:type="auto"/>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r>
            <w:r/>
          </w:p>
        </w:tc>
        <w:tc>
          <w:tcPr>
            <w:tcW w:w="696" w:type="auto"/>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56" w:type="auto"/>
            <w:vAlign w:val="top"/>
            <w:textDirection w:val="lrTb"/>
            <w:noWrap w:val="false"/>
          </w:tcPr>
          <w:p>
            <w:pPr>
              <w:pStyle w:val="907"/>
              <w:jc w:val="center"/>
              <w:spacing w:line="0" w:lineRule="atLeast"/>
              <w:tabs>
                <w:tab w:val="left" w:pos="2020" w:leader="none"/>
              </w:tabs>
              <w:rPr>
                <w:rFonts w:ascii="宋体" w:hAnsi="宋体"/>
                <w:sz w:val="24"/>
                <w:szCs w:val="24"/>
              </w:rPr>
            </w:pPr>
            <w:r>
              <w:rPr>
                <w:rFonts w:hint="eastAsia" w:ascii="宋体" w:hAnsi="宋体"/>
                <w:sz w:val="24"/>
                <w:szCs w:val="24"/>
              </w:rPr>
              <w:t xml:space="preserve">计算服务器（核心产品）</w:t>
            </w:r>
            <w:r>
              <w:rPr>
                <w:rFonts w:ascii="宋体" w:hAnsi="宋体"/>
                <w:sz w:val="24"/>
                <w:szCs w:val="24"/>
              </w:rPr>
            </w:r>
            <w:r/>
          </w:p>
        </w:tc>
        <w:tc>
          <w:tcPr>
            <w:tcW w:w="3576" w:type="auto"/>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工业</w:t>
            </w:r>
            <w:r/>
          </w:p>
        </w:tc>
      </w:tr>
    </w:tbl>
    <w:p>
      <w:pPr>
        <w:pStyle w:val="907"/>
        <w:spacing w:line="0" w:lineRule="atLeast"/>
        <w:rPr>
          <w:rFonts w:ascii="宋体" w:hAnsi="宋体"/>
          <w:b/>
          <w:sz w:val="24"/>
          <w:szCs w:val="24"/>
        </w:rPr>
      </w:pPr>
      <w:r>
        <w:rPr>
          <w:rFonts w:ascii="宋体" w:hAnsi="宋体"/>
          <w:b/>
          <w:sz w:val="24"/>
          <w:szCs w:val="24"/>
        </w:rPr>
      </w:r>
      <w:r/>
    </w:p>
    <w:p>
      <w:pPr>
        <w:pStyle w:val="907"/>
        <w:spacing w:line="0" w:lineRule="atLeast"/>
        <w:rPr>
          <w:rFonts w:ascii="宋体" w:hAnsi="宋体"/>
          <w:b/>
          <w:sz w:val="24"/>
          <w:szCs w:val="24"/>
        </w:rPr>
      </w:pPr>
      <w:r>
        <w:rPr>
          <w:rFonts w:hint="eastAsia" w:ascii="宋体" w:hAnsi="宋体"/>
          <w:b/>
          <w:sz w:val="24"/>
          <w:szCs w:val="24"/>
        </w:rPr>
        <w:t xml:space="preserve">二</w:t>
      </w:r>
      <w:r>
        <w:rPr>
          <w:rFonts w:ascii="宋体" w:hAnsi="宋体"/>
          <w:b/>
          <w:sz w:val="24"/>
          <w:szCs w:val="24"/>
        </w:rPr>
        <w:t xml:space="preserve">、技术要求</w:t>
      </w:r>
      <w:r/>
    </w:p>
    <w:p>
      <w:pPr>
        <w:pStyle w:val="907"/>
        <w:spacing w:line="0" w:lineRule="atLeast"/>
        <w:rPr>
          <w:rFonts w:ascii="宋体" w:hAnsi="宋体"/>
          <w:b/>
          <w:bCs/>
          <w:sz w:val="24"/>
          <w:szCs w:val="21"/>
        </w:rPr>
      </w:pPr>
      <w:r>
        <w:rPr>
          <w:rFonts w:hint="eastAsia" w:ascii="宋体" w:hAnsi="宋体"/>
          <w:b/>
          <w:bCs/>
          <w:sz w:val="24"/>
          <w:szCs w:val="21"/>
        </w:rPr>
        <w:t xml:space="preserve">（一）设备清单</w:t>
      </w:r>
      <w:r>
        <w:rPr>
          <w:rFonts w:ascii="宋体" w:hAnsi="宋体"/>
          <w:b/>
          <w:bCs/>
          <w:sz w:val="24"/>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3051"/>
        <w:gridCol w:w="1323"/>
        <w:gridCol w:w="1815"/>
      </w:tblGrid>
      <w:tr>
        <w:trPr>
          <w:trHeight w:val="925"/>
        </w:trPr>
        <w:tc>
          <w:tcPr>
            <w:shd w:val="clear" w:color="auto" w:fill="d7d7d7"/>
            <w:tcW w:w="688" w:type="dxa"/>
            <w:vAlign w:val="center"/>
            <w:textDirection w:val="lrTb"/>
            <w:noWrap w:val="false"/>
          </w:tcPr>
          <w:p>
            <w:pPr>
              <w:pStyle w:val="907"/>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shd w:val="clear" w:color="auto" w:fill="d7d7d7"/>
            <w:tcW w:w="3051" w:type="dxa"/>
            <w:vAlign w:val="center"/>
            <w:textDirection w:val="lrTb"/>
            <w:noWrap w:val="false"/>
          </w:tcPr>
          <w:p>
            <w:pPr>
              <w:pStyle w:val="907"/>
              <w:jc w:val="center"/>
              <w:rPr>
                <w:rFonts w:ascii="宋体" w:hAnsi="宋体"/>
                <w:sz w:val="24"/>
                <w:szCs w:val="24"/>
              </w:rPr>
            </w:pPr>
            <w:r>
              <w:rPr>
                <w:rFonts w:hint="eastAsia" w:ascii="宋体" w:hAnsi="宋体"/>
                <w:sz w:val="24"/>
                <w:szCs w:val="24"/>
              </w:rPr>
              <w:t xml:space="preserve">具体名称</w:t>
            </w:r>
            <w:r>
              <w:rPr>
                <w:rFonts w:ascii="宋体" w:hAnsi="宋体"/>
                <w:sz w:val="24"/>
                <w:szCs w:val="24"/>
              </w:rPr>
            </w:r>
            <w:r/>
          </w:p>
        </w:tc>
        <w:tc>
          <w:tcPr>
            <w:shd w:val="clear" w:color="auto" w:fill="d7d7d7"/>
            <w:tcW w:w="1323" w:type="dxa"/>
            <w:vAlign w:val="center"/>
            <w:textDirection w:val="lrTb"/>
            <w:noWrap w:val="false"/>
          </w:tcPr>
          <w:p>
            <w:pPr>
              <w:pStyle w:val="907"/>
              <w:jc w:val="center"/>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shd w:val="clear" w:color="auto" w:fill="d7d7d7"/>
            <w:tcW w:w="1815" w:type="dxa"/>
            <w:vAlign w:val="center"/>
            <w:textDirection w:val="lrTb"/>
            <w:noWrap w:val="false"/>
          </w:tcPr>
          <w:p>
            <w:pPr>
              <w:pStyle w:val="907"/>
              <w:jc w:val="center"/>
              <w:rPr>
                <w:rFonts w:ascii="宋体" w:hAnsi="宋体"/>
                <w:sz w:val="24"/>
                <w:szCs w:val="24"/>
              </w:rPr>
            </w:pPr>
            <w:r>
              <w:rPr>
                <w:rFonts w:hint="eastAsia" w:ascii="宋体" w:hAnsi="宋体"/>
                <w:sz w:val="24"/>
                <w:szCs w:val="24"/>
              </w:rPr>
              <w:t xml:space="preserve">单位</w:t>
            </w:r>
            <w:r>
              <w:rPr>
                <w:rFonts w:ascii="宋体" w:hAnsi="宋体"/>
                <w:sz w:val="24"/>
                <w:szCs w:val="24"/>
              </w:rPr>
            </w:r>
            <w:r/>
          </w:p>
        </w:tc>
      </w:tr>
      <w:tr>
        <w:trPr>
          <w:trHeight w:val="90"/>
        </w:trPr>
        <w:tc>
          <w:tcPr>
            <w:tcW w:w="688" w:type="dxa"/>
            <w:vAlign w:val="center"/>
            <w:textDirection w:val="lrTb"/>
            <w:noWrap w:val="false"/>
          </w:tcPr>
          <w:p>
            <w:pPr>
              <w:pStyle w:val="907"/>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051" w:type="dxa"/>
            <w:vAlign w:val="center"/>
            <w:textDirection w:val="lrTb"/>
            <w:noWrap w:val="false"/>
          </w:tcPr>
          <w:p>
            <w:pPr>
              <w:pStyle w:val="907"/>
              <w:jc w:val="center"/>
              <w:rPr>
                <w:rFonts w:ascii="宋体" w:hAnsi="宋体"/>
                <w:sz w:val="24"/>
                <w:szCs w:val="24"/>
              </w:rPr>
            </w:pPr>
            <w:r>
              <w:rPr>
                <w:rFonts w:hint="eastAsia" w:ascii="宋体" w:hAnsi="宋体"/>
                <w:sz w:val="24"/>
                <w:szCs w:val="24"/>
              </w:rPr>
              <w:t xml:space="preserve">计算服务器</w:t>
            </w:r>
            <w:r>
              <w:rPr>
                <w:rFonts w:hint="eastAsia" w:ascii="宋体" w:hAnsi="宋体"/>
                <w:b/>
                <w:sz w:val="24"/>
                <w:szCs w:val="24"/>
              </w:rPr>
              <w:t xml:space="preserve">（</w:t>
            </w:r>
            <w:r>
              <w:rPr>
                <w:rFonts w:hint="eastAsia" w:ascii="宋体" w:hAnsi="宋体" w:cs="宋体"/>
                <w:b/>
                <w:sz w:val="24"/>
                <w:szCs w:val="24"/>
              </w:rPr>
              <w:t xml:space="preserve">核心产品</w:t>
            </w:r>
            <w:r>
              <w:rPr>
                <w:rFonts w:hint="eastAsia" w:ascii="宋体" w:hAnsi="宋体"/>
                <w:b/>
                <w:sz w:val="24"/>
                <w:szCs w:val="24"/>
              </w:rPr>
              <w:t xml:space="preserve">）</w:t>
            </w:r>
            <w:r>
              <w:rPr>
                <w:rFonts w:ascii="宋体" w:hAnsi="宋体"/>
                <w:sz w:val="24"/>
                <w:szCs w:val="24"/>
              </w:rPr>
            </w:r>
            <w:r/>
          </w:p>
        </w:tc>
        <w:tc>
          <w:tcPr>
            <w:tcW w:w="1323" w:type="dxa"/>
            <w:vAlign w:val="center"/>
            <w:textDirection w:val="lrTb"/>
            <w:noWrap w:val="false"/>
          </w:tcPr>
          <w:p>
            <w:pPr>
              <w:pStyle w:val="907"/>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W w:w="1815"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台</w:t>
            </w:r>
            <w:r/>
          </w:p>
        </w:tc>
      </w:tr>
      <w:tr>
        <w:trPr>
          <w:trHeight w:val="442"/>
        </w:trPr>
        <w:tc>
          <w:tcPr>
            <w:tcW w:w="688" w:type="dxa"/>
            <w:vAlign w:val="center"/>
            <w:textDirection w:val="lrTb"/>
            <w:noWrap w:val="false"/>
          </w:tcPr>
          <w:p>
            <w:pPr>
              <w:pStyle w:val="907"/>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051" w:type="dxa"/>
            <w:vAlign w:val="center"/>
            <w:textDirection w:val="lrTb"/>
            <w:noWrap w:val="false"/>
          </w:tcPr>
          <w:p>
            <w:pPr>
              <w:pStyle w:val="907"/>
              <w:jc w:val="center"/>
              <w:rPr>
                <w:rFonts w:ascii="宋体" w:hAnsi="宋体"/>
                <w:sz w:val="24"/>
                <w:szCs w:val="24"/>
              </w:rPr>
            </w:pPr>
            <w:r>
              <w:rPr>
                <w:rFonts w:hint="eastAsia" w:ascii="宋体" w:hAnsi="宋体"/>
                <w:sz w:val="24"/>
                <w:szCs w:val="24"/>
              </w:rPr>
              <w:t xml:space="preserve">存储服务器</w:t>
            </w:r>
            <w:r>
              <w:rPr>
                <w:rFonts w:ascii="宋体" w:hAnsi="宋体"/>
                <w:sz w:val="24"/>
                <w:szCs w:val="24"/>
              </w:rPr>
            </w:r>
            <w:r/>
          </w:p>
        </w:tc>
        <w:tc>
          <w:tcPr>
            <w:tcW w:w="1323" w:type="dxa"/>
            <w:vAlign w:val="center"/>
            <w:textDirection w:val="lrTb"/>
            <w:noWrap w:val="false"/>
          </w:tcPr>
          <w:p>
            <w:pPr>
              <w:pStyle w:val="907"/>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815"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台</w:t>
            </w:r>
            <w:r/>
          </w:p>
        </w:tc>
      </w:tr>
      <w:tr>
        <w:trPr>
          <w:trHeight w:val="442"/>
        </w:trPr>
        <w:tc>
          <w:tcPr>
            <w:tcW w:w="688"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3</w:t>
            </w:r>
            <w:r/>
          </w:p>
        </w:tc>
        <w:tc>
          <w:tcPr>
            <w:tcW w:w="3051"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GPU服务器</w:t>
            </w:r>
            <w:r/>
          </w:p>
        </w:tc>
        <w:tc>
          <w:tcPr>
            <w:tcW w:w="1323" w:type="dxa"/>
            <w:vAlign w:val="center"/>
            <w:textDirection w:val="lrTb"/>
            <w:noWrap w:val="false"/>
          </w:tcPr>
          <w:p>
            <w:pPr>
              <w:pStyle w:val="907"/>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815"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台</w:t>
            </w:r>
            <w:r/>
          </w:p>
        </w:tc>
      </w:tr>
      <w:tr>
        <w:trPr>
          <w:trHeight w:val="442"/>
        </w:trPr>
        <w:tc>
          <w:tcPr>
            <w:tcW w:w="688"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4</w:t>
            </w:r>
            <w:r/>
          </w:p>
        </w:tc>
        <w:tc>
          <w:tcPr>
            <w:tcW w:w="3051"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虚拟化软件</w:t>
            </w:r>
            <w:r/>
          </w:p>
        </w:tc>
        <w:tc>
          <w:tcPr>
            <w:tcW w:w="1323"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1</w:t>
            </w:r>
            <w:r/>
          </w:p>
        </w:tc>
        <w:tc>
          <w:tcPr>
            <w:tcW w:w="1815"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套</w:t>
            </w:r>
            <w:r/>
          </w:p>
        </w:tc>
      </w:tr>
      <w:tr>
        <w:trPr>
          <w:trHeight w:val="442"/>
        </w:trPr>
        <w:tc>
          <w:tcPr>
            <w:tcW w:w="688" w:type="dxa"/>
            <w:vAlign w:val="center"/>
            <w:textDirection w:val="lrTb"/>
            <w:noWrap w:val="false"/>
          </w:tcPr>
          <w:p>
            <w:pPr>
              <w:pStyle w:val="907"/>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3051" w:type="dxa"/>
            <w:vAlign w:val="center"/>
            <w:textDirection w:val="lrTb"/>
            <w:noWrap w:val="false"/>
          </w:tcPr>
          <w:p>
            <w:pPr>
              <w:pStyle w:val="907"/>
              <w:jc w:val="center"/>
              <w:rPr>
                <w:rFonts w:ascii="Times New Roman" w:hAnsi="Times New Roman"/>
              </w:rPr>
            </w:pPr>
            <w:r>
              <w:rPr>
                <w:rFonts w:hint="eastAsia" w:ascii="宋体" w:hAnsi="宋体"/>
                <w:sz w:val="24"/>
                <w:szCs w:val="24"/>
              </w:rPr>
              <w:t xml:space="preserve">内存条</w:t>
            </w:r>
            <w:r>
              <w:rPr>
                <w:rFonts w:ascii="Times New Roman" w:hAnsi="Times New Roman"/>
              </w:rPr>
            </w:r>
            <w:r/>
          </w:p>
        </w:tc>
        <w:tc>
          <w:tcPr>
            <w:tcW w:w="1323" w:type="dxa"/>
            <w:vAlign w:val="center"/>
            <w:textDirection w:val="lrTb"/>
            <w:noWrap w:val="false"/>
          </w:tcPr>
          <w:p>
            <w:pPr>
              <w:pStyle w:val="907"/>
              <w:jc w:val="center"/>
              <w:rPr>
                <w:rFonts w:ascii="宋体" w:hAnsi="宋体"/>
                <w:sz w:val="24"/>
                <w:szCs w:val="24"/>
              </w:rPr>
            </w:pPr>
            <w:r>
              <w:rPr>
                <w:rFonts w:hint="eastAsia" w:ascii="宋体" w:hAnsi="宋体"/>
                <w:sz w:val="24"/>
                <w:szCs w:val="24"/>
              </w:rPr>
              <w:t xml:space="preserve">30</w:t>
            </w:r>
            <w:r>
              <w:rPr>
                <w:rFonts w:ascii="宋体" w:hAnsi="宋体"/>
                <w:sz w:val="24"/>
                <w:szCs w:val="24"/>
              </w:rPr>
            </w:r>
            <w:r/>
          </w:p>
        </w:tc>
        <w:tc>
          <w:tcPr>
            <w:tcW w:w="1815"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根</w:t>
            </w:r>
            <w:r/>
          </w:p>
        </w:tc>
      </w:tr>
    </w:tbl>
    <w:p>
      <w:pPr>
        <w:pStyle w:val="907"/>
        <w:spacing w:line="0" w:lineRule="atLeast"/>
        <w:rPr>
          <w:rFonts w:hint="eastAsia" w:ascii="宋体" w:hAnsi="宋体"/>
          <w:b/>
          <w:bCs/>
          <w:sz w:val="24"/>
          <w:szCs w:val="21"/>
        </w:rPr>
      </w:pPr>
      <w:r>
        <w:rPr>
          <w:rFonts w:hint="eastAsia" w:ascii="宋体" w:hAnsi="宋体"/>
          <w:b/>
          <w:bCs/>
          <w:sz w:val="24"/>
          <w:szCs w:val="21"/>
        </w:rPr>
      </w:r>
      <w:r/>
    </w:p>
    <w:p>
      <w:pPr>
        <w:pStyle w:val="907"/>
        <w:ind w:left="420"/>
        <w:keepLines/>
        <w:keepNext/>
        <w:rPr>
          <w:rFonts w:ascii="Arial" w:hAnsi="Arial" w:eastAsia="黑体" w:cs="黑体"/>
          <w:bCs/>
          <w:sz w:val="24"/>
          <w:szCs w:val="44"/>
          <w:lang w:eastAsia="en-US"/>
        </w:rPr>
        <w:pBdr>
          <w:top w:val="none" w:color="004D6B" w:sz="0" w:space="1"/>
          <w:left w:val="none" w:color="004D6B" w:sz="0" w:space="4"/>
          <w:bottom w:val="none" w:color="004D6B" w:sz="0" w:space="1"/>
          <w:right w:val="none" w:color="004D6B" w:sz="0" w:space="4"/>
        </w:pBdr>
        <w:outlineLvl w:val="0"/>
      </w:pPr>
      <w:r>
        <w:rPr>
          <w:rFonts w:hint="eastAsia" w:ascii="Arial" w:hAnsi="Arial" w:eastAsia="黑体" w:cs="黑体"/>
          <w:bCs/>
          <w:sz w:val="24"/>
          <w:szCs w:val="44"/>
        </w:rPr>
        <w:t xml:space="preserve">（二）技术参数</w:t>
      </w:r>
      <w:r>
        <w:rPr>
          <w:rFonts w:ascii="Arial" w:hAnsi="Arial" w:eastAsia="黑体" w:cs="黑体"/>
          <w:bCs/>
          <w:sz w:val="24"/>
          <w:szCs w:val="44"/>
          <w:lang w:eastAsia="en-US"/>
        </w:rPr>
      </w:r>
      <w:r/>
    </w:p>
    <w:p>
      <w:pPr>
        <w:pStyle w:val="907"/>
        <w:keepLines/>
        <w:keepNext/>
        <w:spacing w:before="260" w:after="260" w:line="413" w:lineRule="auto"/>
        <w:rPr>
          <w:rFonts w:hint="eastAsia" w:ascii="Arial" w:hAnsi="Arial" w:eastAsia="黑体"/>
          <w:b/>
          <w:sz w:val="32"/>
        </w:rPr>
        <w:outlineLvl w:val="1"/>
      </w:pPr>
      <w:r>
        <w:rPr>
          <w:rFonts w:hint="eastAsia" w:ascii="Arial" w:hAnsi="Arial" w:eastAsia="黑体"/>
          <w:b/>
          <w:sz w:val="32"/>
        </w:rPr>
        <w:t xml:space="preserve">2.1计算服务器8台</w:t>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4"/>
        <w:gridCol w:w="7245"/>
      </w:tblGrid>
      <w:tr>
        <w:trPr>
          <w:trHeight w:val="20"/>
        </w:trPr>
        <w:tc>
          <w:tcPr>
            <w:tcW w:w="1924" w:type="dxa"/>
            <w:vAlign w:val="center"/>
            <w:textDirection w:val="lrTb"/>
            <w:noWrap w:val="false"/>
          </w:tcPr>
          <w:p>
            <w:pPr>
              <w:pStyle w:val="907"/>
              <w:jc w:val="center"/>
              <w:widowControl/>
              <w:rPr>
                <w:rFonts w:ascii="宋体" w:hAnsi="宋体" w:cs="宋体"/>
                <w:b/>
                <w:bCs/>
                <w:sz w:val="24"/>
                <w:szCs w:val="24"/>
              </w:rPr>
            </w:pPr>
            <w:r>
              <w:rPr>
                <w:rFonts w:hint="eastAsia" w:ascii="宋体" w:hAnsi="宋体"/>
                <w:sz w:val="24"/>
                <w:szCs w:val="24"/>
              </w:rPr>
              <w:t xml:space="preserve">技术指标</w:t>
            </w:r>
            <w:r>
              <w:rPr>
                <w:rFonts w:ascii="宋体" w:hAnsi="宋体" w:cs="宋体"/>
                <w:b/>
                <w:bCs/>
                <w:sz w:val="24"/>
                <w:szCs w:val="24"/>
              </w:rPr>
            </w:r>
            <w:r/>
          </w:p>
        </w:tc>
        <w:tc>
          <w:tcPr>
            <w:tcW w:w="7245" w:type="dxa"/>
            <w:vAlign w:val="center"/>
            <w:textDirection w:val="lrTb"/>
            <w:noWrap w:val="false"/>
          </w:tcPr>
          <w:p>
            <w:pPr>
              <w:pStyle w:val="907"/>
              <w:jc w:val="center"/>
              <w:widowControl/>
              <w:rPr>
                <w:rFonts w:ascii="宋体" w:hAnsi="宋体" w:cs="宋体"/>
                <w:b/>
                <w:bCs/>
                <w:sz w:val="24"/>
                <w:szCs w:val="24"/>
              </w:rPr>
            </w:pPr>
            <w:r>
              <w:rPr>
                <w:rFonts w:hint="eastAsia" w:ascii="宋体" w:hAnsi="宋体"/>
                <w:sz w:val="24"/>
                <w:szCs w:val="24"/>
              </w:rPr>
              <w:t xml:space="preserve">技术指标要求</w:t>
            </w:r>
            <w:r>
              <w:rPr>
                <w:rFonts w:ascii="宋体" w:hAnsi="宋体" w:cs="宋体"/>
                <w:b/>
                <w:bCs/>
                <w:sz w:val="24"/>
                <w:szCs w:val="24"/>
              </w:rPr>
            </w:r>
            <w:r/>
          </w:p>
        </w:tc>
      </w:tr>
      <w:tr>
        <w:trPr>
          <w:trHeight w:val="20"/>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CPU规格</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CPU信息：配置≥两颗处理器，单颗处理器主频≥2.9GHz且≥24核，处理器支持如下功能：</w:t>
            </w:r>
            <w:r>
              <w:rPr>
                <w:rFonts w:ascii="宋体" w:hAnsi="宋体" w:cs="宋体"/>
                <w:sz w:val="24"/>
                <w:szCs w:val="24"/>
              </w:rPr>
            </w:r>
            <w:r/>
          </w:p>
          <w:p>
            <w:pPr>
              <w:pStyle w:val="907"/>
              <w:widowControl/>
              <w:rPr>
                <w:rFonts w:ascii="宋体" w:hAnsi="宋体" w:cs="宋体"/>
                <w:sz w:val="24"/>
                <w:szCs w:val="24"/>
              </w:rPr>
            </w:pPr>
            <w:r>
              <w:rPr>
                <w:rFonts w:hint="eastAsia" w:ascii="宋体" w:hAnsi="宋体" w:cs="宋体"/>
                <w:sz w:val="24"/>
                <w:szCs w:val="24"/>
              </w:rPr>
              <w:t xml:space="preserve">1)支持VT-x、VT-d虚拟化技术；2)支持VT-x EPT；3)支持TXT，可信执行技术；4)支持超线程技术；5)支持SSE4.2、AVX、AVX2、AVX-512等指令集。</w:t>
            </w:r>
            <w:r>
              <w:rPr>
                <w:rFonts w:ascii="宋体" w:hAnsi="宋体" w:cs="宋体"/>
                <w:sz w:val="24"/>
                <w:szCs w:val="24"/>
              </w:rPr>
            </w:r>
            <w:r/>
          </w:p>
        </w:tc>
      </w:tr>
      <w:tr>
        <w:trPr>
          <w:cantSplit/>
          <w:trHeight w:val="20"/>
        </w:trPr>
        <w:tc>
          <w:tcPr>
            <w:tcW w:w="1924"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主板规格</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主板支持的CPU和内存情况：主板支持不少于2颗CPU，支持不低于DDR4内存</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主板内存槽数量:非板载内存的可扩展插槽数量应不少于32个</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主板存储接口：支持SATA、U.2存储接口</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PCle插槽接口：符合PCle3.0或以上的高速串行计算机扩展总线标准</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主板PCle插槽数量及规格：PCle插槽应不少于6个</w:t>
            </w:r>
            <w:r>
              <w:rPr>
                <w:rFonts w:ascii="宋体" w:hAnsi="宋体" w:cs="宋体"/>
                <w:sz w:val="24"/>
                <w:szCs w:val="24"/>
              </w:rPr>
            </w:r>
            <w:r/>
          </w:p>
        </w:tc>
      </w:tr>
      <w:tr>
        <w:trPr>
          <w:cantSplit/>
          <w:trHeight w:val="20"/>
        </w:trPr>
        <w:tc>
          <w:tcPr>
            <w:tcW w:w="1924"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内存规格</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内存数量：实配内存数量≥16</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内存规格：实配单根内存规格≥64GB ECC 5600MHz DDR5</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内存通道：支持多个内存接口通道，每个通道可支持1DPC或2DPC，当支持2DPC时，印制电路板上应具备插槽的序号标识，具体通道数应在随机文件中明确</w:t>
            </w:r>
            <w:r>
              <w:rPr>
                <w:rFonts w:ascii="宋体" w:hAnsi="宋体" w:cs="宋体"/>
                <w:sz w:val="24"/>
                <w:szCs w:val="24"/>
              </w:rPr>
            </w:r>
            <w:r/>
          </w:p>
        </w:tc>
      </w:tr>
      <w:tr>
        <w:trPr>
          <w:cantSplit/>
          <w:trHeight w:val="20"/>
        </w:trPr>
        <w:tc>
          <w:tcPr>
            <w:tcW w:w="1924"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存储规格</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硬磁盘实配容量：实配固态盘单盘可用容量不小于960GB</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硬盘实配数量：实配固态盘数不小于2块</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硬盘插槽数量及规格：实配2.5英寸硬盘，可支持的硬盘数量应不少于8块</w:t>
            </w:r>
            <w:r>
              <w:rPr>
                <w:rFonts w:ascii="宋体" w:hAnsi="宋体" w:cs="宋体"/>
                <w:sz w:val="24"/>
                <w:szCs w:val="24"/>
              </w:rPr>
            </w:r>
            <w:r/>
          </w:p>
        </w:tc>
      </w:tr>
      <w:tr>
        <w:trPr>
          <w:trHeight w:val="20"/>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网络规格</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网口速率和数量：配备万兆光口网口数量不少于4个，配置4个多模光模块；配备千兆电口网口数量不少于4个</w:t>
            </w:r>
            <w:r>
              <w:rPr>
                <w:rFonts w:ascii="宋体" w:hAnsi="宋体" w:cs="宋体"/>
                <w:sz w:val="24"/>
                <w:szCs w:val="24"/>
              </w:rPr>
            </w:r>
            <w:r/>
          </w:p>
        </w:tc>
      </w:tr>
      <w:tr>
        <w:trPr>
          <w:cantSplit/>
          <w:trHeight w:val="20"/>
        </w:trPr>
        <w:tc>
          <w:tcPr>
            <w:tcW w:w="1924"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外部接口规格</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显示接口：配备不少于1个VGA接口</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USB接口：配备不少于2个USB 3.0接口</w:t>
            </w:r>
            <w:r>
              <w:rPr>
                <w:rFonts w:ascii="宋体" w:hAnsi="宋体" w:cs="宋体"/>
                <w:sz w:val="24"/>
                <w:szCs w:val="24"/>
              </w:rPr>
            </w:r>
            <w:r/>
          </w:p>
        </w:tc>
      </w:tr>
      <w:tr>
        <w:trPr>
          <w:cantSplit/>
          <w:trHeight w:val="20"/>
        </w:trPr>
        <w:tc>
          <w:tcPr>
            <w:tcW w:w="1924"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电源规格</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电源模块数量：≥2</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电源功率：单个电源功率≥1300W</w:t>
            </w:r>
            <w:r>
              <w:rPr>
                <w:rFonts w:ascii="宋体" w:hAnsi="宋体" w:cs="宋体"/>
                <w:sz w:val="24"/>
                <w:szCs w:val="24"/>
              </w:rPr>
            </w:r>
            <w:r/>
          </w:p>
        </w:tc>
      </w:tr>
      <w:tr>
        <w:trPr>
          <w:cantSplit/>
          <w:trHeight w:val="20"/>
        </w:trPr>
        <w:tc>
          <w:tcPr>
            <w:tcW w:w="1924"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整机规格</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外观和结构：a)服务器的零部件应紧固无松动，可插拔部件应可靠连接，开关、按钮和其它控制部件应灵活可靠，布局应方便使用；b) 产品表</w:t>
            </w:r>
            <w:r>
              <w:rPr>
                <w:rFonts w:hint="eastAsia" w:ascii="宋体" w:hAnsi="宋体" w:cs="宋体"/>
                <w:sz w:val="24"/>
                <w:szCs w:val="24"/>
              </w:rPr>
              <w:t xml:space="preserve">面不应有明显的凹痕、划伤、裂缝、变形和污染等。表面涂层均匀，不应起泡、龟裂、脱落和磨损，金属零部件无锈蚀及其它机械损伤；c) 产品表面说明功能的文字、符号和标志应清晰、端正且牢固；d) 应在服务器的显著位置提供运行状态的指示功能，并在随机文件中明确具体含义；e)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机架、机箱的尺寸应符合通用机柜的安装要求，插入总线插座的电路板接口外形尺寸应符合有关总线标准的规定，将机箱固定在机柜上，机箱底面最大下垂变形不得干涉相邻机体；f) 高密度服务器应给出 CPU 个数与机柜高度；g) 服务器尺寸具体要求在随机文件中明确</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尺寸（高×宽×深）：产品高度≥2U，设计应遵循标准化、系列化的要求；机箱的内部结构符合通用部件的安装需要。投标时供应商提供产品详细规格尺寸</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环境适应性：气候环境适应性应符合GB/T9813.3 的有关规定，工作温度10～35℃，贮存运输温度-40～55℃；工作相对湿度35%～80%，贮存运输相对湿度20％～93%（40℃）；大气压86～106kPa</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机械环境适应性：机械环境适应性应符合 GB/T 9813.3的有关规定</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噪声：符合GB/T 9813.3的有关规定</w:t>
            </w:r>
            <w:r>
              <w:rPr>
                <w:rFonts w:ascii="宋体" w:hAnsi="宋体" w:cs="宋体"/>
                <w:sz w:val="24"/>
                <w:szCs w:val="24"/>
              </w:rPr>
            </w:r>
            <w:r/>
          </w:p>
        </w:tc>
      </w:tr>
      <w:tr>
        <w:trPr>
          <w:trHeight w:val="20"/>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主板功能</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主板外部接口种类：支持USB、显示、管理等接口，如：VGA、DP、HDMI、USB3.0、PS/2 接口、BMC管理端口</w:t>
            </w:r>
            <w:r>
              <w:rPr>
                <w:rFonts w:ascii="宋体" w:hAnsi="宋体" w:cs="宋体"/>
                <w:sz w:val="24"/>
                <w:szCs w:val="24"/>
              </w:rPr>
            </w:r>
            <w:r/>
          </w:p>
        </w:tc>
      </w:tr>
      <w:tr>
        <w:trPr>
          <w:trHeight w:val="20"/>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网络功能</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网络功能：支持网络连接、网络访问、数据交换和网络管控功能</w:t>
            </w:r>
            <w:r>
              <w:rPr>
                <w:rFonts w:ascii="宋体" w:hAnsi="宋体" w:cs="宋体"/>
                <w:sz w:val="24"/>
                <w:szCs w:val="24"/>
              </w:rPr>
            </w:r>
            <w:r/>
          </w:p>
        </w:tc>
      </w:tr>
      <w:tr>
        <w:trPr>
          <w:cantSplit/>
          <w:trHeight w:val="20"/>
        </w:trPr>
        <w:tc>
          <w:tcPr>
            <w:tcW w:w="1924"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CPU功能</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计算处理：支持通用计算及虚拟化功能。处理器需集成整型计算单元、浮点计算单元、内存控制器、I/O模块等，处理器与存储部件、网络部件、I/O部件等组成计算系统，提供数据处理、网络接入等计算相关功能</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密码算法实现：CPU芯片应符合GM/T 0008的相关规定，或芯片密码模块应符合GB/T 37092或GM/T 0028的相关规定</w:t>
            </w:r>
            <w:r>
              <w:rPr>
                <w:rFonts w:ascii="宋体" w:hAnsi="宋体" w:cs="宋体"/>
                <w:sz w:val="24"/>
                <w:szCs w:val="24"/>
              </w:rPr>
            </w:r>
            <w:r/>
          </w:p>
        </w:tc>
      </w:tr>
      <w:tr>
        <w:trPr>
          <w:cantSplit/>
          <w:trHeight w:val="20"/>
        </w:trPr>
        <w:tc>
          <w:tcPr>
            <w:tcW w:w="1924"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电源功能</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电源热插拔：整机电源模块应具备热插拔功能</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电源过流保护：支持过流及短路保护的功能</w:t>
            </w:r>
            <w:r>
              <w:rPr>
                <w:rFonts w:ascii="宋体" w:hAnsi="宋体" w:cs="宋体"/>
                <w:sz w:val="24"/>
                <w:szCs w:val="24"/>
              </w:rPr>
            </w:r>
            <w:r/>
          </w:p>
        </w:tc>
      </w:tr>
      <w:tr>
        <w:trPr>
          <w:trHeight w:val="20"/>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整机功能</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散热方式：支持风冷散热方式</w:t>
            </w:r>
            <w:r>
              <w:rPr>
                <w:rFonts w:ascii="宋体" w:hAnsi="宋体" w:cs="宋体"/>
                <w:sz w:val="24"/>
                <w:szCs w:val="24"/>
              </w:rPr>
            </w:r>
            <w:r/>
          </w:p>
        </w:tc>
      </w:tr>
      <w:tr>
        <w:trPr>
          <w:cantSplit/>
          <w:trHeight w:val="20"/>
        </w:trPr>
        <w:tc>
          <w:tcPr>
            <w:tcW w:w="1924"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管理系统功能</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BMC固件基础功能：1) 支持 DHCP 设置网络功能；2)支持静态 IP 设置网络功能；3)支持设备日志记录，包括但不限于登录日志、操作日志和报警日志等功能；4)支持日志信息导出和记录删除功能；5)支持通过管理接口向外输出准确的报警信息功能；6)设备的 BMC 管理软件应能够按报警的严重程度进行区分；7)支持 IPMI2.0、SNMP 或 Redfish等接口功能；8)支持键盘、鼠标和视</w:t>
            </w:r>
            <w:r>
              <w:rPr>
                <w:rFonts w:hint="eastAsia" w:ascii="宋体" w:hAnsi="宋体" w:cs="宋体"/>
                <w:sz w:val="24"/>
                <w:szCs w:val="24"/>
              </w:rPr>
              <w:t xml:space="preserve">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功能；15)支持设置口令策略功能；16)支持访问权限设置功能，</w:t>
            </w:r>
            <w:r>
              <w:rPr>
                <w:rFonts w:hint="eastAsia" w:ascii="宋体" w:hAnsi="宋体" w:cs="宋体"/>
                <w:sz w:val="24"/>
                <w:szCs w:val="24"/>
              </w:rPr>
              <w:t xml:space="preserve">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BMC参数设置的功能，并可基于网络通过外部管理工具对 BMC 进行管理；21)应支持固件版本查询、固件升级22)支持基于网络实现开关机和复位控制的功能；23)BMC 启动时间应不超过 180s，实现功能包括网络、IPMI、散热、传感器服务可用；24)支持 BMC 固件设置的恢复出厂功能</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BIOS固件基础功能：a）支持查看固件版本、内存信息、主板信息、处理器信息和系统时间信息功能；b）支持上电初始化界面显示 CPU 信息、内存信息、固件</w:t>
            </w:r>
            <w:r>
              <w:rPr>
                <w:rFonts w:hint="eastAsia" w:ascii="宋体" w:hAnsi="宋体" w:cs="宋体"/>
                <w:sz w:val="24"/>
                <w:szCs w:val="24"/>
              </w:rPr>
              <w:t xml:space="preserve">版本和部分快捷键信息功能；c）支持设置界面中英文显示切换功能；d）支持查看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远程控制：支持远程关机和重新启动功能</w:t>
            </w:r>
            <w:r>
              <w:rPr>
                <w:rFonts w:ascii="宋体" w:hAnsi="宋体" w:cs="宋体"/>
                <w:sz w:val="24"/>
                <w:szCs w:val="24"/>
              </w:rPr>
            </w:r>
            <w:r/>
          </w:p>
        </w:tc>
      </w:tr>
      <w:tr>
        <w:trPr>
          <w:cantSplit/>
          <w:trHeight w:val="20"/>
        </w:trPr>
        <w:tc>
          <w:tcPr>
            <w:tcW w:w="1924"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操作系统及驱动功能</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操作系统及驱动的升级：支持通过网络、闪存盘对操作系统、驱动进行升级</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操作系统功能：a) 支持访问控制、安全审计、网络接入鉴别等功能；b) 操作系统其他功能应满足操作系统政府采购需求标准中加*的指标要求</w:t>
            </w:r>
            <w:r>
              <w:rPr>
                <w:rFonts w:ascii="宋体" w:hAnsi="宋体" w:cs="宋体"/>
                <w:sz w:val="24"/>
                <w:szCs w:val="24"/>
              </w:rPr>
            </w:r>
            <w:r/>
          </w:p>
        </w:tc>
      </w:tr>
      <w:tr>
        <w:trPr>
          <w:trHeight w:val="20"/>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中文信息处理功能</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中文信息处理：符合GB18030的有关规定</w:t>
            </w:r>
            <w:r>
              <w:rPr>
                <w:rFonts w:ascii="宋体" w:hAnsi="宋体" w:cs="宋体"/>
                <w:sz w:val="24"/>
                <w:szCs w:val="24"/>
              </w:rPr>
            </w:r>
            <w:r/>
          </w:p>
        </w:tc>
      </w:tr>
      <w:tr>
        <w:trPr>
          <w:trHeight w:val="20"/>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固件安全要求</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故障检测：支持故障检测功能，可以检测到具体的 FRU（内存、硬盘等）的故障并发出告警</w:t>
            </w:r>
            <w:r>
              <w:rPr>
                <w:rFonts w:ascii="宋体" w:hAnsi="宋体" w:cs="宋体"/>
                <w:sz w:val="24"/>
                <w:szCs w:val="24"/>
              </w:rPr>
            </w:r>
            <w:r/>
          </w:p>
        </w:tc>
      </w:tr>
      <w:tr>
        <w:trPr>
          <w:cantSplit/>
          <w:trHeight w:val="20"/>
        </w:trPr>
        <w:tc>
          <w:tcPr>
            <w:tcW w:w="1924"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系统安全要求</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弱口令字典检查：支持弱口令字典检查功能，出现在弱口令字典中的字符串不能被设置为用户口令</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白名单访问控制：支持基于时间、IP 或 MAC 白名单访问控制</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二次鉴别：支持二次鉴别功能。对于用户配置、权限配置、公钥导入等重要的管理操作，已登录用户应通过二次鉴别后，才能执行操作</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密码证书安全加密存储：支持对带外管理系统中的用户口令和证书等敏感信息进行加密存储，禁止使用私有的和业界已知不安全的密码算法</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敏感信息安全加密传输：支持使用安全的传输加密协议（如SSH 或 HTTPS 等）传输用户的敏感信息</w:t>
            </w:r>
            <w:r>
              <w:rPr>
                <w:rFonts w:ascii="宋体" w:hAnsi="宋体" w:cs="宋体"/>
                <w:sz w:val="24"/>
                <w:szCs w:val="24"/>
              </w:rPr>
            </w:r>
            <w:r/>
          </w:p>
        </w:tc>
      </w:tr>
      <w:tr>
        <w:trPr>
          <w:trHeight w:val="20"/>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信息安全要求</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研发过程安全：供应商承诺，生产商已建立从需求、设计、开发、测试、维护端到端的开发流程管理机制，输出和保存开发流程中每个阶段的产品需求清单、设计文档、开发文档、测试记录等材料，保证各个流程可追溯</w:t>
            </w:r>
            <w:r>
              <w:rPr>
                <w:rFonts w:ascii="宋体" w:hAnsi="宋体" w:cs="宋体"/>
                <w:sz w:val="24"/>
                <w:szCs w:val="24"/>
              </w:rPr>
            </w:r>
            <w:r/>
          </w:p>
        </w:tc>
      </w:tr>
      <w:tr>
        <w:trPr>
          <w:trHeight w:val="20"/>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物理安全</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物理安全：安全要求应符合GB 4943.1的规定</w:t>
            </w:r>
            <w:r>
              <w:rPr>
                <w:rFonts w:ascii="宋体" w:hAnsi="宋体" w:cs="宋体"/>
                <w:sz w:val="24"/>
                <w:szCs w:val="24"/>
              </w:rPr>
            </w:r>
            <w:r/>
          </w:p>
        </w:tc>
      </w:tr>
      <w:tr>
        <w:trPr>
          <w:trHeight w:val="937"/>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限用物质的限量要求</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限用物质的限量要求：限用物质的限量应符合GB/T 26572的要求</w:t>
            </w:r>
            <w:r>
              <w:rPr>
                <w:rFonts w:ascii="宋体" w:hAnsi="宋体" w:cs="宋体"/>
                <w:sz w:val="24"/>
                <w:szCs w:val="24"/>
              </w:rPr>
            </w:r>
            <w:r/>
          </w:p>
        </w:tc>
      </w:tr>
      <w:tr>
        <w:trPr>
          <w:cantSplit/>
          <w:trHeight w:val="20"/>
        </w:trPr>
        <w:tc>
          <w:tcPr>
            <w:tcW w:w="1924"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CPU性能</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CPU主频：≥2.9GHz</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单CPU核数：≥24</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单CPU末级缓存容量：≥60MB</w:t>
            </w:r>
            <w:r>
              <w:rPr>
                <w:rFonts w:ascii="宋体" w:hAnsi="宋体" w:cs="宋体"/>
                <w:sz w:val="24"/>
                <w:szCs w:val="24"/>
              </w:rPr>
            </w:r>
            <w:r/>
          </w:p>
        </w:tc>
      </w:tr>
      <w:tr>
        <w:trPr>
          <w:trHeight w:val="20"/>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内存性能</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内存速率：≥5200MT/s</w:t>
            </w:r>
            <w:r>
              <w:rPr>
                <w:rFonts w:ascii="宋体" w:hAnsi="宋体" w:cs="宋体"/>
                <w:sz w:val="24"/>
                <w:szCs w:val="24"/>
              </w:rPr>
            </w:r>
            <w:r/>
          </w:p>
        </w:tc>
      </w:tr>
      <w:tr>
        <w:trPr>
          <w:trHeight w:val="20"/>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电源能耗</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电源能耗：符合GB/T 9813.3的有关规定</w:t>
            </w:r>
            <w:r>
              <w:rPr>
                <w:rFonts w:ascii="宋体" w:hAnsi="宋体" w:cs="宋体"/>
                <w:sz w:val="24"/>
                <w:szCs w:val="24"/>
              </w:rPr>
            </w:r>
            <w:r/>
          </w:p>
        </w:tc>
      </w:tr>
      <w:tr>
        <w:trPr>
          <w:cantSplit/>
          <w:trHeight w:val="20"/>
        </w:trPr>
        <w:tc>
          <w:tcPr>
            <w:tcW w:w="1924"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部件兼容性要求</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内存兼容性：适配3种及以上厂商的内存产品，且均不低于产品支持的内存规格</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固态存储兼容性：适配3种或以上厂商的固态存储产品，且均不低于产品支持的固态存储设备规格</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网卡兼容性：网卡应适配两种或以上厂商产品</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功能卡兼容性：内置或适配符合PCIe的功能卡，如：网络功能卡、存储功能卡及图形显示功能卡</w:t>
            </w:r>
            <w:r>
              <w:rPr>
                <w:rFonts w:ascii="宋体" w:hAnsi="宋体" w:cs="宋体"/>
                <w:sz w:val="24"/>
                <w:szCs w:val="24"/>
              </w:rPr>
            </w:r>
            <w:r/>
          </w:p>
        </w:tc>
      </w:tr>
      <w:tr>
        <w:trPr>
          <w:trHeight w:val="20"/>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外设兼容性</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外设兼容性：兼容多种主流生产商的外部设备，包括显示器、键盘、鼠标、闪存盘、移动硬盘、USB 光驱及 KVM 等，要求使用不同厂商的外部设备时，系统均能正常识别和安装驱动</w:t>
            </w:r>
            <w:r>
              <w:rPr>
                <w:rFonts w:ascii="宋体" w:hAnsi="宋体" w:cs="宋体"/>
                <w:sz w:val="24"/>
                <w:szCs w:val="24"/>
              </w:rPr>
            </w:r>
            <w:r/>
          </w:p>
        </w:tc>
      </w:tr>
      <w:tr>
        <w:trPr>
          <w:cantSplit/>
          <w:trHeight w:val="20"/>
        </w:trPr>
        <w:tc>
          <w:tcPr>
            <w:tcW w:w="1924"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软件兼容性</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数据库兼容：兼容3 个及以上厂商的数据库产品</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rPr>
                <w:rFonts w:ascii="宋体" w:hAnsi="宋体" w:cs="宋体"/>
                <w:sz w:val="18"/>
                <w:szCs w:val="18"/>
              </w:rPr>
            </w:pPr>
            <w:r>
              <w:rPr>
                <w:rFonts w:ascii="宋体" w:hAnsi="宋体" w:cs="宋体"/>
                <w:sz w:val="18"/>
                <w:szCs w:val="18"/>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中间件兼容：兼容3 个及以上厂商的中间件产品</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rPr>
                <w:rFonts w:ascii="宋体" w:hAnsi="宋体" w:cs="宋体"/>
                <w:sz w:val="18"/>
                <w:szCs w:val="18"/>
              </w:rPr>
            </w:pPr>
            <w:r>
              <w:rPr>
                <w:rFonts w:ascii="宋体" w:hAnsi="宋体" w:cs="宋体"/>
                <w:sz w:val="18"/>
                <w:szCs w:val="18"/>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平台软件兼容：兼容3 个及以上厂商的大数据平台</w:t>
            </w:r>
            <w:r>
              <w:rPr>
                <w:rFonts w:ascii="宋体" w:hAnsi="宋体" w:cs="宋体"/>
                <w:sz w:val="24"/>
                <w:szCs w:val="24"/>
              </w:rPr>
            </w:r>
            <w:r/>
          </w:p>
        </w:tc>
      </w:tr>
      <w:tr>
        <w:trPr>
          <w:cantSplit/>
          <w:trHeight w:val="20"/>
        </w:trPr>
        <w:tc>
          <w:tcPr>
            <w:tcW w:w="1924"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整机可靠性要求</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整机可靠性：m1 值（MTBF 的不可接受值）不得低于 30000h</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风扇可靠性：风扇寿命应不低于 40000h</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部件可靠性：支持硬盘、电源、风扇热插拔(内置风扇除外)</w:t>
            </w:r>
            <w:r>
              <w:rPr>
                <w:rFonts w:ascii="宋体" w:hAnsi="宋体" w:cs="宋体"/>
                <w:sz w:val="24"/>
                <w:szCs w:val="24"/>
              </w:rPr>
            </w:r>
            <w:r/>
          </w:p>
        </w:tc>
      </w:tr>
      <w:tr>
        <w:trPr>
          <w:trHeight w:val="20"/>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包装及运输要求</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标志、包装、运输和贮存：符合 GB/T 9813.3 和商品包装政府采购需求标准的相关规定</w:t>
            </w:r>
            <w:r>
              <w:rPr>
                <w:rFonts w:ascii="宋体" w:hAnsi="宋体" w:cs="宋体"/>
                <w:sz w:val="24"/>
                <w:szCs w:val="24"/>
              </w:rPr>
            </w:r>
            <w:r/>
          </w:p>
        </w:tc>
      </w:tr>
      <w:tr>
        <w:trPr>
          <w:cantSplit/>
          <w:trHeight w:val="20"/>
        </w:trPr>
        <w:tc>
          <w:tcPr>
            <w:tcW w:w="1924"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服务响应</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服务响应：a) 提供电话、电子邮件、远程连接等多种形式服务；b) 提供同城 4h、异地 12h 技术响应服务，2 个工作日解决问题，对于未能解决的问题和故障应提供可行的升级方案，并提供周转设备；c) 建立全国技术服务体系和服务团体，符合专业服务体系标准要求，提供原厂中文服务；d) 服务周期内提供产品的维修、换件和升级服务</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培训服务：供应商提供培训材料、产品手册、培训视频等培训相关内容</w:t>
            </w:r>
            <w:r>
              <w:rPr>
                <w:rFonts w:ascii="宋体" w:hAnsi="宋体" w:cs="宋体"/>
                <w:sz w:val="24"/>
                <w:szCs w:val="24"/>
              </w:rPr>
            </w:r>
            <w:r/>
          </w:p>
        </w:tc>
      </w:tr>
      <w:tr>
        <w:trPr>
          <w:trHeight w:val="20"/>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服务周期</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服务周期：a) 产品免费服务周期（含换件和维修）应不小于 5年，提供硬盘介质不返还服务；b) 设备停产后继续提供质量保障服务（含备品备件），服务终止时间与最后一批设备交付时间间隔不低于 6 年；c) 产品停止服务时间应提前 1 年告知客户；d) 产品发布日期需在随机文件中明确</w:t>
            </w:r>
            <w:r>
              <w:rPr>
                <w:rFonts w:ascii="宋体" w:hAnsi="宋体" w:cs="宋体"/>
                <w:sz w:val="24"/>
                <w:szCs w:val="24"/>
              </w:rPr>
            </w:r>
            <w:r/>
          </w:p>
        </w:tc>
      </w:tr>
      <w:tr>
        <w:trPr>
          <w:cantSplit/>
          <w:trHeight w:val="20"/>
        </w:trPr>
        <w:tc>
          <w:tcPr>
            <w:tcW w:w="1924"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服务工具要求</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工具要求：供应商提供设置服务器硬件、辅助操作系统安装等功能的辅助工具和管理软件。且随附软件应具有合法授权或版权</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驱动安装升级指引：供应商提供出厂安装的配件所需的驱动程序，形式包括但不限于驱动光盘、驱动下载链接等。其他配件应提供指引</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管理软件：具备资源管理、系统管理、性能监控、健康监控、基于网络控制、报警设置功能</w:t>
            </w:r>
            <w:r>
              <w:rPr>
                <w:rFonts w:ascii="宋体" w:hAnsi="宋体" w:cs="宋体"/>
                <w:sz w:val="24"/>
                <w:szCs w:val="24"/>
              </w:rPr>
            </w:r>
            <w:r/>
          </w:p>
        </w:tc>
      </w:tr>
      <w:tr>
        <w:trPr>
          <w:cantSplit/>
          <w:trHeight w:val="20"/>
        </w:trPr>
        <w:tc>
          <w:tcPr>
            <w:tcW w:w="1924"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增值服务</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厂家升级产品软件与扩容服务：供应商提供原厂级的部件/软件产品升级和扩容能力</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提供上门服务：供应商具备提供上门服务的能力</w:t>
            </w:r>
            <w:r>
              <w:rPr>
                <w:rFonts w:ascii="宋体" w:hAnsi="宋体" w:cs="宋体"/>
                <w:sz w:val="24"/>
                <w:szCs w:val="24"/>
              </w:rPr>
            </w:r>
            <w:r/>
          </w:p>
        </w:tc>
      </w:tr>
      <w:tr>
        <w:trPr>
          <w:cantSplit/>
          <w:trHeight w:val="20"/>
        </w:trPr>
        <w:tc>
          <w:tcPr>
            <w:tcW w:w="1924"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供应链质量</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抗干扰性：当产品部件出现供应风险时，应通知客户并提供风险应对方案确保产品的服务保障，必要时应停止相关受影响产品的销售</w:t>
            </w:r>
            <w:r>
              <w:rPr>
                <w:rFonts w:ascii="宋体" w:hAnsi="宋体" w:cs="宋体"/>
                <w:sz w:val="24"/>
                <w:szCs w:val="24"/>
              </w:rPr>
            </w:r>
            <w:r/>
          </w:p>
        </w:tc>
      </w:tr>
      <w:tr>
        <w:trPr>
          <w:cantSplit/>
          <w:trHeight w:val="20"/>
        </w:trPr>
        <w:tc>
          <w:tcPr>
            <w:tcW w:w="1924"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供应能力证明：供应商提供供应链稳定承诺书，确保产品的部件在产品服务周期内稳定供货</w:t>
            </w:r>
            <w:r>
              <w:rPr>
                <w:rFonts w:ascii="宋体" w:hAnsi="宋体" w:cs="宋体"/>
                <w:sz w:val="24"/>
                <w:szCs w:val="24"/>
              </w:rPr>
            </w:r>
            <w:r/>
          </w:p>
        </w:tc>
      </w:tr>
      <w:tr>
        <w:trPr>
          <w:trHeight w:val="20"/>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H</w:t>
            </w:r>
            <w:r>
              <w:rPr>
                <w:rFonts w:ascii="宋体" w:hAnsi="宋体" w:cs="宋体"/>
                <w:sz w:val="24"/>
                <w:szCs w:val="24"/>
              </w:rPr>
              <w:t xml:space="preserve">BA卡</w:t>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b/>
                <w:bCs/>
                <w:i/>
                <w:iCs/>
                <w:sz w:val="24"/>
                <w:szCs w:val="24"/>
                <w:u w:val="single"/>
              </w:rPr>
              <w:t xml:space="preserve">配置不少于2块单端口1</w:t>
            </w:r>
            <w:r>
              <w:rPr>
                <w:rFonts w:ascii="宋体" w:hAnsi="宋体" w:cs="宋体"/>
                <w:b/>
                <w:bCs/>
                <w:i/>
                <w:iCs/>
                <w:sz w:val="24"/>
                <w:szCs w:val="24"/>
                <w:u w:val="single"/>
              </w:rPr>
              <w:t xml:space="preserve">6Gb FC HBA卡（含光模块）</w:t>
            </w:r>
            <w:r>
              <w:rPr>
                <w:rFonts w:hint="eastAsia" w:ascii="宋体" w:hAnsi="宋体" w:cs="宋体"/>
                <w:b/>
                <w:bCs/>
                <w:i/>
                <w:iCs/>
                <w:sz w:val="24"/>
                <w:szCs w:val="24"/>
                <w:u w:val="single"/>
              </w:rPr>
              <w:t xml:space="preserve">,提供承诺函并加盖公章</w:t>
            </w:r>
            <w:r>
              <w:rPr>
                <w:rFonts w:ascii="宋体" w:hAnsi="宋体" w:cs="宋体"/>
                <w:sz w:val="24"/>
                <w:szCs w:val="24"/>
              </w:rPr>
            </w:r>
            <w:r/>
          </w:p>
        </w:tc>
      </w:tr>
      <w:tr>
        <w:trPr>
          <w:trHeight w:val="20"/>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阵列卡</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阵列卡规格：配置不少于1块1</w:t>
            </w:r>
            <w:r>
              <w:rPr>
                <w:rFonts w:ascii="宋体" w:hAnsi="宋体" w:cs="宋体"/>
                <w:sz w:val="24"/>
                <w:szCs w:val="24"/>
              </w:rPr>
              <w:t xml:space="preserve">2Gb RAID</w:t>
            </w:r>
            <w:r>
              <w:rPr>
                <w:rFonts w:hint="eastAsia" w:ascii="宋体" w:hAnsi="宋体" w:cs="宋体"/>
                <w:sz w:val="24"/>
                <w:szCs w:val="24"/>
              </w:rPr>
              <w:t xml:space="preserve">卡，不少于4</w:t>
            </w:r>
            <w:r>
              <w:rPr>
                <w:rFonts w:ascii="宋体" w:hAnsi="宋体" w:cs="宋体"/>
                <w:sz w:val="24"/>
                <w:szCs w:val="24"/>
              </w:rPr>
              <w:t xml:space="preserve">GB缓存，含掉电保护，支持</w:t>
            </w:r>
            <w:r>
              <w:rPr>
                <w:rFonts w:hint="eastAsia" w:ascii="宋体" w:hAnsi="宋体" w:cs="宋体"/>
                <w:sz w:val="24"/>
                <w:szCs w:val="24"/>
              </w:rPr>
              <w:t xml:space="preserve">R</w:t>
            </w:r>
            <w:r>
              <w:rPr>
                <w:rFonts w:ascii="宋体" w:hAnsi="宋体" w:cs="宋体"/>
                <w:sz w:val="24"/>
                <w:szCs w:val="24"/>
              </w:rPr>
              <w:t xml:space="preserve">AID 0、</w:t>
            </w:r>
            <w:r>
              <w:rPr>
                <w:rFonts w:hint="eastAsia" w:ascii="宋体" w:hAnsi="宋体" w:cs="宋体"/>
                <w:sz w:val="24"/>
                <w:szCs w:val="24"/>
              </w:rPr>
              <w:t xml:space="preserve">1、1</w:t>
            </w:r>
            <w:r>
              <w:rPr>
                <w:rFonts w:ascii="宋体" w:hAnsi="宋体" w:cs="宋体"/>
                <w:sz w:val="24"/>
                <w:szCs w:val="24"/>
              </w:rPr>
              <w:t xml:space="preserve">0、</w:t>
            </w:r>
            <w:r>
              <w:rPr>
                <w:rFonts w:hint="eastAsia" w:ascii="宋体" w:hAnsi="宋体" w:cs="宋体"/>
                <w:sz w:val="24"/>
                <w:szCs w:val="24"/>
              </w:rPr>
              <w:t xml:space="preserve">5、6等</w:t>
            </w:r>
            <w:r>
              <w:rPr>
                <w:rFonts w:ascii="宋体" w:hAnsi="宋体" w:cs="宋体"/>
                <w:sz w:val="24"/>
                <w:szCs w:val="24"/>
              </w:rPr>
            </w:r>
            <w:r/>
          </w:p>
        </w:tc>
      </w:tr>
      <w:tr>
        <w:trPr>
          <w:trHeight w:val="649"/>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安全擦除</w:t>
            </w:r>
            <w:r>
              <w:rPr>
                <w:rFonts w:ascii="宋体" w:hAnsi="宋体" w:cs="宋体"/>
                <w:sz w:val="24"/>
                <w:szCs w:val="24"/>
              </w:rPr>
            </w:r>
            <w:r/>
          </w:p>
        </w:tc>
        <w:tc>
          <w:tcPr>
            <w:tcW w:w="7245" w:type="dxa"/>
            <w:vAlign w:val="center"/>
            <w:textDirection w:val="lrTb"/>
            <w:noWrap w:val="false"/>
          </w:tcPr>
          <w:p>
            <w:pPr>
              <w:pStyle w:val="907"/>
              <w:widowControl/>
              <w:rPr>
                <w:rFonts w:ascii="宋体" w:hAnsi="宋体" w:cs="Calibri"/>
                <w:sz w:val="24"/>
                <w:szCs w:val="24"/>
              </w:rPr>
            </w:pPr>
            <w:r>
              <w:rPr>
                <w:rFonts w:ascii="宋体" w:hAnsi="宋体" w:cs="Calibri"/>
                <w:sz w:val="24"/>
                <w:szCs w:val="24"/>
              </w:rPr>
              <w:t xml:space="preserve">BMC</w:t>
            </w:r>
            <w:r>
              <w:rPr>
                <w:rFonts w:hint="eastAsia" w:ascii="宋体" w:hAnsi="宋体" w:cs="Calibri"/>
                <w:sz w:val="24"/>
                <w:szCs w:val="24"/>
              </w:rPr>
              <w:t xml:space="preserve">支持一键恢复服务器默认设置，擦除设备存储及</w:t>
            </w:r>
            <w:r>
              <w:rPr>
                <w:rFonts w:ascii="宋体" w:hAnsi="宋体" w:cs="Calibri"/>
                <w:sz w:val="24"/>
                <w:szCs w:val="24"/>
              </w:rPr>
              <w:t xml:space="preserve">BIOS</w:t>
            </w:r>
            <w:r>
              <w:rPr>
                <w:rFonts w:hint="eastAsia" w:ascii="宋体" w:hAnsi="宋体" w:cs="Calibri"/>
                <w:sz w:val="24"/>
                <w:szCs w:val="24"/>
              </w:rPr>
              <w:t xml:space="preserve">信息</w:t>
            </w:r>
            <w:r>
              <w:rPr>
                <w:rFonts w:ascii="宋体" w:hAnsi="宋体" w:cs="Calibri"/>
                <w:sz w:val="24"/>
                <w:szCs w:val="24"/>
              </w:rPr>
            </w:r>
            <w:r/>
          </w:p>
        </w:tc>
      </w:tr>
      <w:tr>
        <w:trPr>
          <w:trHeight w:val="20"/>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▲硬盘监测</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支持硬盘容量预测，使用率超过阈值时提供告警；支持</w:t>
            </w:r>
            <w:r>
              <w:rPr>
                <w:rFonts w:ascii="宋体" w:hAnsi="宋体" w:cs="Calibri"/>
                <w:sz w:val="24"/>
                <w:szCs w:val="24"/>
              </w:rPr>
              <w:t xml:space="preserve">SSD</w:t>
            </w:r>
            <w:r>
              <w:rPr>
                <w:rFonts w:hint="eastAsia" w:ascii="宋体" w:hAnsi="宋体" w:cs="宋体"/>
                <w:sz w:val="24"/>
                <w:szCs w:val="24"/>
              </w:rPr>
              <w:t xml:space="preserve">硬盘寿命预测功能，通过</w:t>
            </w:r>
            <w:r>
              <w:rPr>
                <w:rFonts w:ascii="宋体" w:hAnsi="宋体" w:cs="Calibri"/>
                <w:sz w:val="24"/>
                <w:szCs w:val="24"/>
              </w:rPr>
              <w:t xml:space="preserve">BMC</w:t>
            </w:r>
            <w:r>
              <w:rPr>
                <w:rFonts w:hint="eastAsia" w:ascii="宋体" w:hAnsi="宋体" w:cs="宋体"/>
                <w:sz w:val="24"/>
                <w:szCs w:val="24"/>
              </w:rPr>
              <w:t xml:space="preserve">管理界面可查询硬盘剩余寿命</w:t>
            </w:r>
            <w:r>
              <w:rPr>
                <w:rFonts w:hint="eastAsia" w:ascii="宋体" w:hAnsi="宋体" w:cs="Calibri"/>
                <w:sz w:val="24"/>
                <w:szCs w:val="24"/>
              </w:rPr>
              <w:t xml:space="preserve">（提供技术证明材料）</w:t>
            </w:r>
            <w:r>
              <w:rPr>
                <w:rFonts w:ascii="宋体" w:hAnsi="宋体" w:cs="宋体"/>
                <w:sz w:val="24"/>
                <w:szCs w:val="24"/>
              </w:rPr>
            </w:r>
            <w:r/>
          </w:p>
        </w:tc>
      </w:tr>
      <w:tr>
        <w:trPr>
          <w:trHeight w:val="20"/>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▲性能调优</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支持通过</w:t>
            </w:r>
            <w:r>
              <w:rPr>
                <w:rFonts w:ascii="宋体" w:hAnsi="宋体" w:cs="Calibri"/>
                <w:sz w:val="24"/>
                <w:szCs w:val="24"/>
              </w:rPr>
              <w:t xml:space="preserve">BMC</w:t>
            </w:r>
            <w:r>
              <w:rPr>
                <w:rFonts w:hint="eastAsia" w:ascii="宋体" w:hAnsi="宋体" w:cs="宋体"/>
                <w:sz w:val="24"/>
                <w:szCs w:val="24"/>
              </w:rPr>
              <w:t xml:space="preserve">配置</w:t>
            </w:r>
            <w:r>
              <w:rPr>
                <w:rFonts w:ascii="宋体" w:hAnsi="宋体" w:cs="Calibri"/>
                <w:sz w:val="24"/>
                <w:szCs w:val="24"/>
              </w:rPr>
              <w:t xml:space="preserve">BIOS</w:t>
            </w:r>
            <w:r>
              <w:rPr>
                <w:rFonts w:hint="eastAsia" w:ascii="宋体" w:hAnsi="宋体" w:cs="宋体"/>
                <w:sz w:val="24"/>
                <w:szCs w:val="24"/>
              </w:rPr>
              <w:t xml:space="preserve">性能模板，实现利用预配置的配置文件，自动调优内部服务器资源，系统内置</w:t>
            </w:r>
            <w:r>
              <w:rPr>
                <w:rFonts w:ascii="宋体" w:hAnsi="宋体" w:cs="Calibri"/>
                <w:sz w:val="24"/>
                <w:szCs w:val="24"/>
              </w:rPr>
              <w:t xml:space="preserve">10</w:t>
            </w:r>
            <w:r>
              <w:rPr>
                <w:rFonts w:hint="eastAsia" w:ascii="宋体" w:hAnsi="宋体" w:cs="宋体"/>
                <w:sz w:val="24"/>
                <w:szCs w:val="24"/>
              </w:rPr>
              <w:t xml:space="preserve">种以上场景模板</w:t>
            </w:r>
            <w:r>
              <w:rPr>
                <w:rFonts w:hint="eastAsia" w:ascii="宋体" w:hAnsi="宋体" w:cs="Calibri"/>
                <w:sz w:val="24"/>
                <w:szCs w:val="24"/>
              </w:rPr>
              <w:t xml:space="preserve">（提供技术证明材料）</w:t>
            </w:r>
            <w:r>
              <w:rPr>
                <w:rFonts w:ascii="宋体" w:hAnsi="宋体" w:cs="宋体"/>
                <w:sz w:val="24"/>
                <w:szCs w:val="24"/>
              </w:rPr>
            </w:r>
            <w:r/>
          </w:p>
        </w:tc>
      </w:tr>
      <w:tr>
        <w:trPr>
          <w:trHeight w:val="20"/>
        </w:trPr>
        <w:tc>
          <w:tcPr>
            <w:tcW w:w="1924"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▲双因素认证</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支持使用客户端证书和证书密码的双因素认证方式，支持基于一次性随机动态密码且使用国密算法的双因素认证</w:t>
            </w:r>
            <w:r>
              <w:rPr>
                <w:rFonts w:hint="eastAsia" w:ascii="宋体" w:hAnsi="宋体" w:cs="Calibri"/>
                <w:sz w:val="24"/>
                <w:szCs w:val="24"/>
              </w:rPr>
              <w:t xml:space="preserve">（提供技术证明材料）</w:t>
            </w:r>
            <w:r>
              <w:rPr>
                <w:rFonts w:ascii="宋体" w:hAnsi="宋体" w:cs="宋体"/>
                <w:sz w:val="24"/>
                <w:szCs w:val="24"/>
              </w:rPr>
            </w:r>
            <w:r/>
          </w:p>
        </w:tc>
      </w:tr>
      <w:tr>
        <w:trPr>
          <w:trHeight w:val="618"/>
        </w:trPr>
        <w:tc>
          <w:tcPr>
            <w:tcW w:w="1924" w:type="dxa"/>
            <w:vAlign w:val="center"/>
            <w:textDirection w:val="lrTb"/>
            <w:noWrap w:val="false"/>
          </w:tcPr>
          <w:p>
            <w:pPr>
              <w:pStyle w:val="907"/>
              <w:jc w:val="center"/>
              <w:widowControl/>
              <w:rPr>
                <w:rFonts w:ascii="宋体" w:hAnsi="宋体" w:cs="宋体"/>
                <w:sz w:val="24"/>
                <w:szCs w:val="24"/>
              </w:rPr>
            </w:pPr>
            <w:r>
              <w:rPr>
                <w:rFonts w:ascii="宋体" w:hAnsi="宋体" w:cs="Calibri"/>
                <w:sz w:val="24"/>
                <w:szCs w:val="24"/>
              </w:rPr>
              <w:t xml:space="preserve">Kerberos </w:t>
            </w:r>
            <w:r>
              <w:rPr>
                <w:rFonts w:hint="eastAsia" w:ascii="宋体" w:hAnsi="宋体" w:cs="宋体"/>
                <w:sz w:val="24"/>
                <w:szCs w:val="24"/>
              </w:rPr>
              <w:t xml:space="preserve">认证</w:t>
            </w:r>
            <w:r>
              <w:rPr>
                <w:rFonts w:ascii="宋体" w:hAnsi="宋体" w:cs="宋体"/>
                <w:sz w:val="24"/>
                <w:szCs w:val="24"/>
              </w:rPr>
            </w:r>
            <w:r/>
          </w:p>
        </w:tc>
        <w:tc>
          <w:tcPr>
            <w:tcW w:w="7245"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支持</w:t>
            </w:r>
            <w:r>
              <w:rPr>
                <w:rFonts w:ascii="宋体" w:hAnsi="宋体" w:cs="Calibri"/>
                <w:sz w:val="24"/>
                <w:szCs w:val="24"/>
              </w:rPr>
              <w:t xml:space="preserve">Kerberos</w:t>
            </w:r>
            <w:r>
              <w:rPr>
                <w:rFonts w:hint="eastAsia" w:ascii="宋体" w:hAnsi="宋体" w:cs="宋体"/>
                <w:sz w:val="24"/>
                <w:szCs w:val="24"/>
              </w:rPr>
              <w:t xml:space="preserve">协议的用户认证管理机制</w:t>
            </w:r>
            <w:r>
              <w:rPr>
                <w:rFonts w:ascii="宋体" w:hAnsi="宋体" w:cs="宋体"/>
                <w:sz w:val="24"/>
                <w:szCs w:val="24"/>
              </w:rPr>
            </w:r>
            <w:r/>
          </w:p>
        </w:tc>
      </w:tr>
    </w:tbl>
    <w:p>
      <w:pPr>
        <w:pStyle w:val="907"/>
        <w:rPr>
          <w:rFonts w:ascii="Times New Roman" w:hAnsi="Times New Roman"/>
        </w:rPr>
      </w:pPr>
      <w:r>
        <w:rPr>
          <w:rFonts w:ascii="Times New Roman" w:hAnsi="Times New Roman"/>
        </w:rPr>
      </w:r>
      <w:r/>
    </w:p>
    <w:p>
      <w:pPr>
        <w:pStyle w:val="907"/>
        <w:keepLines/>
        <w:keepNext/>
        <w:spacing w:before="260" w:after="260" w:line="413" w:lineRule="auto"/>
        <w:rPr>
          <w:rFonts w:hint="eastAsia" w:ascii="Arial" w:hAnsi="Arial" w:eastAsia="黑体"/>
          <w:b/>
          <w:sz w:val="32"/>
        </w:rPr>
        <w:outlineLvl w:val="1"/>
      </w:pPr>
      <w:r>
        <w:rPr>
          <w:rFonts w:hint="eastAsia" w:ascii="Arial" w:hAnsi="Arial" w:eastAsia="黑体"/>
          <w:b/>
          <w:sz w:val="32"/>
        </w:rPr>
        <w:t xml:space="preserve">2.2存储服务器2台</w:t>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7"/>
        <w:gridCol w:w="7392"/>
      </w:tblGrid>
      <w:tr>
        <w:trPr>
          <w:trHeight w:val="20"/>
        </w:trPr>
        <w:tc>
          <w:tcPr>
            <w:tcW w:w="1777" w:type="dxa"/>
            <w:vAlign w:val="center"/>
            <w:textDirection w:val="lrTb"/>
            <w:noWrap w:val="false"/>
          </w:tcPr>
          <w:p>
            <w:pPr>
              <w:pStyle w:val="907"/>
              <w:jc w:val="center"/>
              <w:widowControl/>
              <w:rPr>
                <w:rFonts w:ascii="宋体" w:hAnsi="宋体" w:cs="宋体"/>
                <w:b/>
                <w:bCs/>
                <w:sz w:val="24"/>
                <w:szCs w:val="24"/>
              </w:rPr>
            </w:pPr>
            <w:r>
              <w:rPr>
                <w:rFonts w:hint="eastAsia" w:ascii="宋体" w:hAnsi="宋体"/>
                <w:sz w:val="24"/>
                <w:szCs w:val="24"/>
              </w:rPr>
              <w:t xml:space="preserve">技术指标</w:t>
            </w:r>
            <w:r>
              <w:rPr>
                <w:rFonts w:ascii="宋体" w:hAnsi="宋体" w:cs="宋体"/>
                <w:b/>
                <w:bCs/>
                <w:sz w:val="24"/>
                <w:szCs w:val="24"/>
              </w:rPr>
            </w:r>
            <w:r/>
          </w:p>
        </w:tc>
        <w:tc>
          <w:tcPr>
            <w:tcW w:w="7392" w:type="dxa"/>
            <w:vAlign w:val="center"/>
            <w:textDirection w:val="lrTb"/>
            <w:noWrap w:val="false"/>
          </w:tcPr>
          <w:p>
            <w:pPr>
              <w:pStyle w:val="907"/>
              <w:jc w:val="center"/>
              <w:widowControl/>
              <w:rPr>
                <w:rFonts w:ascii="宋体" w:hAnsi="宋体" w:cs="宋体"/>
                <w:b/>
                <w:bCs/>
                <w:sz w:val="24"/>
                <w:szCs w:val="24"/>
              </w:rPr>
            </w:pPr>
            <w:r>
              <w:rPr>
                <w:rFonts w:hint="eastAsia" w:ascii="宋体" w:hAnsi="宋体"/>
                <w:sz w:val="24"/>
                <w:szCs w:val="24"/>
              </w:rPr>
              <w:t xml:space="preserve">技术指标要求</w:t>
            </w:r>
            <w:r>
              <w:rPr>
                <w:rFonts w:ascii="宋体" w:hAnsi="宋体" w:cs="宋体"/>
                <w:b/>
                <w:bCs/>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CPU规格</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CPU信息：配置≥两颗处理器，单颗处理器主频≥2.4GHz且≥12核，处理器支持如下功能：</w:t>
            </w:r>
            <w:r>
              <w:rPr>
                <w:rFonts w:ascii="宋体" w:hAnsi="宋体" w:cs="宋体"/>
                <w:sz w:val="24"/>
                <w:szCs w:val="24"/>
              </w:rPr>
            </w:r>
            <w:r/>
          </w:p>
          <w:p>
            <w:pPr>
              <w:pStyle w:val="907"/>
              <w:widowControl/>
              <w:rPr>
                <w:rFonts w:ascii="宋体" w:hAnsi="宋体" w:cs="宋体"/>
                <w:sz w:val="24"/>
                <w:szCs w:val="24"/>
              </w:rPr>
            </w:pPr>
            <w:r>
              <w:rPr>
                <w:rFonts w:hint="eastAsia" w:ascii="宋体" w:hAnsi="宋体" w:cs="宋体"/>
                <w:sz w:val="24"/>
                <w:szCs w:val="24"/>
              </w:rPr>
              <w:t xml:space="preserve">1)支持VT-x、VT-d虚拟化技术；2)支持VT-x EPT；3)支持TXT，可信执行技术；4)支持超线程技术；5)支持SSE4.2、AVX、AVX2、AVX-512等指令集。</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主板规格</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主板支持的CPU和内存情况：主板支持不少于2颗CPU，支持不低于DDR4内存</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主板内存槽数量:非板载内存的可扩展插槽数量应不少于32个</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主板存储接口：支持SATA、U.2存储接口</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PCle插槽接口：符合PCle3.0或以上的高速串行计算机扩展总线标准</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主板PCle插槽数量及规格：PCle插槽应不少于6个</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内存规格</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内存数量：实配内存数量≥4</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内存规格：实配单根内存规格≥32GB ECC 5600MHz DDR5</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内存通道：支持多个内存接口通道，每个通道可支持1DPC或2DPC，当支持2DPC时，印制电路板上应具备插槽的序号标识，具体通道数应在随机文件中明确</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存储规格</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硬磁盘实配容量：实配固态盘单盘可用容量不小于960GB,实配机械盘单盘可用容量不小于20TB</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hint="eastAsia" w:ascii="宋体" w:hAnsi="宋体" w:cs="宋体"/>
                <w:sz w:val="24"/>
                <w:szCs w:val="24"/>
              </w:rPr>
            </w:pPr>
            <w:r>
              <w:rPr>
                <w:rFonts w:hint="eastAsia" w:ascii="宋体" w:hAnsi="宋体" w:cs="宋体"/>
                <w:sz w:val="24"/>
                <w:szCs w:val="24"/>
              </w:rPr>
            </w:r>
            <w:r/>
          </w:p>
        </w:tc>
        <w:tc>
          <w:tcPr>
            <w:tcW w:w="7392" w:type="dxa"/>
            <w:vAlign w:val="center"/>
            <w:textDirection w:val="lrTb"/>
            <w:noWrap w:val="false"/>
          </w:tcPr>
          <w:p>
            <w:pPr>
              <w:pStyle w:val="907"/>
              <w:widowControl/>
              <w:rPr>
                <w:rFonts w:hint="eastAsia" w:ascii="宋体" w:hAnsi="宋体" w:cs="宋体"/>
                <w:sz w:val="24"/>
                <w:szCs w:val="24"/>
              </w:rPr>
            </w:pPr>
            <w:r>
              <w:rPr>
                <w:rFonts w:hint="eastAsia" w:ascii="宋体" w:hAnsi="宋体" w:cs="宋体"/>
                <w:sz w:val="24"/>
                <w:szCs w:val="24"/>
              </w:rPr>
              <w:t xml:space="preserve">硬盘实配数量：实配固态盘数不小于2块,实配机械盘数不小于22块</w:t>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硬盘插槽数量及规格：实配3.5英寸硬盘，可支持的硬盘数量应不少于24块</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网络规格</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网口速率和数量：配备万兆光口网口数量不少于2个，配置2个多模光模块；配备千兆电口网口数量不少于4个</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外部接口规格</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显示接口：配备不少于1个VGA接口</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USB接口：配备不少于2个USB 3.0接口</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电源规格</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电源模块数量：≥2</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电源功率：单个电源功率≥1300W</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整机规格</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外观和结构：a)服务器的零部件应紧固无松动，可插拔部件应可靠连接，开关、按钮和其它控制部件应灵活可靠，布局应方便使用；b) 产品表</w:t>
            </w:r>
            <w:r>
              <w:rPr>
                <w:rFonts w:hint="eastAsia" w:ascii="宋体" w:hAnsi="宋体" w:cs="宋体"/>
                <w:sz w:val="24"/>
                <w:szCs w:val="24"/>
              </w:rPr>
              <w:t xml:space="preserve">面不应有明显的凹痕、划伤、裂缝、变形和污染等。表面涂层均匀，不应起泡、龟裂、脱落和磨损，金属零部件无锈蚀及其它机械损伤；c) 产品表面说明功能的文字、符号和标志应清晰、端正且牢固；d) 应在服务器的显著位置提供运行状态的指示功能，并在随机文件中明确具体含义；e)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机架、机箱的尺寸应符合通用机柜的安装要求，插入总线插座的电路板接口外形尺寸应符合有关总线标准的规定，将机箱固定在机柜上，机箱底面最大下垂变形不得干涉相邻机体；f) 高密度服务器应给出 CPU 个数与机柜高度；g) 服务器尺寸具体要求在随机文件中明确</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尺寸（高×宽×深）：产品高度≥4U，设计应遵循标准化、系列化的要求；机箱的内部结构符合通用部件的安装需要。投标时供应商提供产品详细规格尺寸</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环境适应性：气候环境适应性应符合GB/T9813.3 的有关规定，工作温度10～35℃，贮存运输温度-40～55℃；工作相对湿度35%～80%，贮存运输相对湿度20％～93%（40℃）；大气压86～106kPa</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机械环境适应性：机械环境适应性应符合 GB/T 9813.3的有关规定</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噪声：符合GB/T 9813.3的有关规定</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主板功能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主板外部接口种类：支持USB、显示、管理等接口，如：VGA、DP、HDMI、USB3.0、PS/2 接口、BMC管理端口</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网络功能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网络功能：支持网络连接、网络访问、数据交换和网络管控功能</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CPU功能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计算处理：支持通用计算及虚拟化功能。处理器需集成整型计算单元、浮点计算单元、内存控制器、I/O模块等，处理器与存储部件、网络部件、I/O部件等组成计算系统，提供数据处理、网络接入等计算相关功能</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密码算法实现：CPU芯片应符合GM/T 0008的相关规定，或芯片密码模块应符合GB/T 37092或GM/T 0028的相关规定</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电源功能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电源热插拔：整机电源模块应具备热插拔功能</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电源过流保护：支持过流及短路保护的功能</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整机功能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散热方式：支持风冷散热方式</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管理系统功能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BMC固件基础功能：1) 支持 DHCP 设置网络功能；2)支持静态 IP 设置网络功能；3)支持设备日志记录，包括但不限于登录日志、操作日志和报警日志等功能；4)支持日志信息导出和记录删除功能；5)支持通过管理接口向外输出准确的报警信息功能；6)设备的 BMC 管理软件应能够按报警的严重程度进行区分；7)支持 IPMI2.0、SNMP 或 Redfish等接口功能；8)支持键盘、鼠标和视</w:t>
            </w:r>
            <w:r>
              <w:rPr>
                <w:rFonts w:hint="eastAsia" w:ascii="宋体" w:hAnsi="宋体" w:cs="宋体"/>
                <w:sz w:val="24"/>
                <w:szCs w:val="24"/>
              </w:rPr>
              <w:t xml:space="preserve">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功能；15)支持设置口令策略功能；16)支持访问权限设置功能，</w:t>
            </w:r>
            <w:r>
              <w:rPr>
                <w:rFonts w:hint="eastAsia" w:ascii="宋体" w:hAnsi="宋体" w:cs="宋体"/>
                <w:sz w:val="24"/>
                <w:szCs w:val="24"/>
              </w:rPr>
              <w:t xml:space="preserve">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BMC参数设置的功能，并可基于网络通过外部管理工具对 BMC 进行管理；21)应支持固件版本查询、固件升级22)支持基于网络实现开关机和复位控制的功能；23)BMC 启动时间应不超过 180s，实现功能包括网络、IPMI、散热、传感器服务可用；24)支持 BMC 固件设置的恢复出厂功能</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BIOS固件基础功能：a）支持查看固件版本、内存信息、主板信息、处理器信息和系统时间信息功能；b）支持上电初始化界面显示 CPU 信息、内存信息、固件</w:t>
            </w:r>
            <w:r>
              <w:rPr>
                <w:rFonts w:hint="eastAsia" w:ascii="宋体" w:hAnsi="宋体" w:cs="宋体"/>
                <w:sz w:val="24"/>
                <w:szCs w:val="24"/>
              </w:rPr>
              <w:t xml:space="preserve">版本和部分快捷键信息功能；c）支持设置界面中英文显示切换功能；d）支持查看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远程控制：支持远程关机和重新启动功能</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操作系统及驱动功能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操作系统及驱动的升级：支持通过网络、闪存盘对操作系统、驱动进行升级</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操作系统功能：a) 支持访问控制、安全审计、网络接入鉴别等功能；b) 操作系统其他功能应满足操作系统政府采购需求标准中加*的指标要求</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中文信息处理功能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中文信息处理：符合GB18030的有关规定</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固件安全要求</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故障检测：支持故障检测功能，可以检测到具体的 FRU（内存、硬盘等）的故障并发出告警</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系统安全要求</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弱口令字典检查：支持弱口令字典检查功能，出现在弱口令字典中的字符串不能被设置为用户口令</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白名单访问控制：支持基于时间、IP 或 MAC 白名单访问控制</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二次鉴别：支持二次鉴别功能。对于用户配置、权限配置、公钥导入等重要的管理操作，已登录用户应通过二次鉴别后，才能执行操作</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密码证书安全加密存储：支持对带外管理系统中的用户口令和证书等敏感信息进行加密存储，禁止使用私有的和业界已知不安全的密码算法</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敏感信息安全加密传输：支持使用安全的传输加密协议（如SSH 或 HTTPS 等）传输用户的敏感信息</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信息安全要求</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研发过程安全：供应商承诺，生产商已建立从需求、设计、开发、测试、维护端到端的开发流程管理机制，输出和保存开发流程中每个阶段的产品需求清单、设计文档、开发文档、测试记录等材料，保证各个流程可追溯</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物理安全</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物理安全：安全要求应符合GB 4943.1的规定</w:t>
            </w:r>
            <w:r>
              <w:rPr>
                <w:rFonts w:ascii="宋体" w:hAnsi="宋体" w:cs="宋体"/>
                <w:sz w:val="24"/>
                <w:szCs w:val="24"/>
              </w:rPr>
            </w:r>
            <w:r/>
          </w:p>
        </w:tc>
      </w:tr>
      <w:tr>
        <w:trPr>
          <w:trHeight w:val="937"/>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限用物质的限量要求</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限用物质的限量要求：限用物质的限量应符合GB/T 26572的要求</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CPU性能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CPU主频：≥2.4GHz</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单CPU核数：≥12</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单CPU末级缓存容量：≥30MB</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内存性能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内存速率：≥4400MT/s</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电源能耗</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电源能耗：符合GB/T 9813.3的有关规定</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部件兼容性要求</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内存兼容性：适配3种及以上厂商的内存产品，且均不低于产品支持的内存规格</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固态存储兼容性：适配3种或以上厂商的固态存储产品，且均不低于产品支持的固态存储设备规格</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网卡兼容性：网卡应适配两种或以上厂商产品</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功能卡兼容性：内置或适配符合PCIe的功能卡，如：网络功能卡、存储功能卡及图形显示功能卡</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外设兼容性</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外设兼容性：兼容多种主流生产商的外部设备，包括显示器、键盘、鼠标、闪存盘、移动硬盘、USB 光驱及 KVM 等，要求使用不同厂商的外部设备时，系统均能正常识别和安装驱动</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软件兼容性</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数据库兼容：兼容3 个及以上厂商的数据库产品</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rPr>
                <w:rFonts w:ascii="宋体" w:hAnsi="宋体" w:cs="宋体"/>
                <w:sz w:val="18"/>
                <w:szCs w:val="18"/>
              </w:rPr>
            </w:pPr>
            <w:r>
              <w:rPr>
                <w:rFonts w:ascii="宋体" w:hAnsi="宋体" w:cs="宋体"/>
                <w:sz w:val="18"/>
                <w:szCs w:val="18"/>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中间件兼容：兼容3 个及以上厂商的中间件产品</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rPr>
                <w:rFonts w:ascii="宋体" w:hAnsi="宋体" w:cs="宋体"/>
                <w:sz w:val="18"/>
                <w:szCs w:val="18"/>
              </w:rPr>
            </w:pPr>
            <w:r>
              <w:rPr>
                <w:rFonts w:ascii="宋体" w:hAnsi="宋体" w:cs="宋体"/>
                <w:sz w:val="18"/>
                <w:szCs w:val="18"/>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平台软件兼容：兼容3 个及以上厂商的大数据平台</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整机可靠性要求</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整机可靠性：m1 值（MTBF 的不可接受值）不得低于 30000h</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风扇可靠性：风扇寿命应不低于 40000h</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部件可靠性：支持硬盘、电源、风扇热插拔(内置风扇除外)</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包装及运输要求</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标志、包装、运输和贮存：符合 GB/T 9813.3 和商品包装政府采购需求标准的相关规定</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服务响应</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服务响应：a) 提供电话、电子邮件、远程连接等多种形式服务；b) 提供同城 4h、异地 12h 技术响应服务，2 个工作日解决问题，对于未能解决的问题和故障应提供可行的升级方案，并提供周转设备；c) 建立全国技术服务体系和服务团体，符合专业服务体系标准要求，提供原厂中文服务；d) 服务周期内提供产品的维修、换件和升级服务</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培训服务：供应商提供培训材料、产品手册、培训视频等培训相关内容</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服务周期</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服务周期：a) 产品免费服务周期（含换件和维修）应不小于 5年，提供硬盘介质不返还服务；b) 设备停产后继续提供质量保障服务（含备品备件），服务终止时间与最后一批设备交付时间间隔不低于 6 年；c) 产品停止服务时间应提前 1 年告知客户；d) 产品发布日期需在随机文件中明确</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服务工具要求</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工具要求：供应商提供设置服务器硬件、辅助操作系统安装等功能的辅助工具和管理软件。且随附软件应具有合法授权或版权</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驱动安装升级指引：供应商提供出厂安装的配件所需的驱动程序，形式包括但不限于驱动光盘、驱动下载链接等。其他配件应提供指引</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管理软件：具备资源管理、系统管理、性能监控、健康监控、基于网络控制、报警设置功能</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增值服务</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厂家升级产品软件与扩容服务：供应商提供原厂级的部件/软件产品升级和扩容能力</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提供上门服务：供应商具备提供上门服务的能力</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供应链质量</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抗干扰性：当产品部件出现供应风险时，应通知客户并提供风险应对方案确保产品的服务保障，必要时应停止相关受影响产品的销售</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供应能力证明：供应商提供供应链稳定承诺书，确保产品的部件在产品服务周期内稳定供货</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阵列卡</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阵列卡规格：配置不少于1块1</w:t>
            </w:r>
            <w:r>
              <w:rPr>
                <w:rFonts w:ascii="宋体" w:hAnsi="宋体" w:cs="宋体"/>
                <w:sz w:val="24"/>
                <w:szCs w:val="24"/>
              </w:rPr>
              <w:t xml:space="preserve">2Gb RAID</w:t>
            </w:r>
            <w:r>
              <w:rPr>
                <w:rFonts w:hint="eastAsia" w:ascii="宋体" w:hAnsi="宋体" w:cs="宋体"/>
                <w:sz w:val="24"/>
                <w:szCs w:val="24"/>
              </w:rPr>
              <w:t xml:space="preserve">卡，不少于4</w:t>
            </w:r>
            <w:r>
              <w:rPr>
                <w:rFonts w:ascii="宋体" w:hAnsi="宋体" w:cs="宋体"/>
                <w:sz w:val="24"/>
                <w:szCs w:val="24"/>
              </w:rPr>
              <w:t xml:space="preserve">GB缓存，含掉电保护，支持</w:t>
            </w:r>
            <w:r>
              <w:rPr>
                <w:rFonts w:hint="eastAsia" w:ascii="宋体" w:hAnsi="宋体" w:cs="宋体"/>
                <w:sz w:val="24"/>
                <w:szCs w:val="24"/>
              </w:rPr>
              <w:t xml:space="preserve">R</w:t>
            </w:r>
            <w:r>
              <w:rPr>
                <w:rFonts w:ascii="宋体" w:hAnsi="宋体" w:cs="宋体"/>
                <w:sz w:val="24"/>
                <w:szCs w:val="24"/>
              </w:rPr>
              <w:t xml:space="preserve">AID 0、</w:t>
            </w:r>
            <w:r>
              <w:rPr>
                <w:rFonts w:hint="eastAsia" w:ascii="宋体" w:hAnsi="宋体" w:cs="宋体"/>
                <w:sz w:val="24"/>
                <w:szCs w:val="24"/>
              </w:rPr>
              <w:t xml:space="preserve">1、1</w:t>
            </w:r>
            <w:r>
              <w:rPr>
                <w:rFonts w:ascii="宋体" w:hAnsi="宋体" w:cs="宋体"/>
                <w:sz w:val="24"/>
                <w:szCs w:val="24"/>
              </w:rPr>
              <w:t xml:space="preserve">0、</w:t>
            </w:r>
            <w:r>
              <w:rPr>
                <w:rFonts w:hint="eastAsia" w:ascii="宋体" w:hAnsi="宋体" w:cs="宋体"/>
                <w:sz w:val="24"/>
                <w:szCs w:val="24"/>
              </w:rPr>
              <w:t xml:space="preserve">5、6等</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安全擦除</w:t>
            </w:r>
            <w:r>
              <w:rPr>
                <w:rFonts w:ascii="宋体" w:hAnsi="宋体" w:cs="宋体"/>
                <w:sz w:val="24"/>
                <w:szCs w:val="24"/>
              </w:rPr>
            </w:r>
            <w:r/>
          </w:p>
        </w:tc>
        <w:tc>
          <w:tcPr>
            <w:tcW w:w="7392" w:type="dxa"/>
            <w:vAlign w:val="center"/>
            <w:textDirection w:val="lrTb"/>
            <w:noWrap w:val="false"/>
          </w:tcPr>
          <w:p>
            <w:pPr>
              <w:pStyle w:val="907"/>
              <w:widowControl/>
              <w:rPr>
                <w:rFonts w:ascii="宋体" w:hAnsi="宋体" w:cs="Calibri"/>
                <w:sz w:val="24"/>
                <w:szCs w:val="24"/>
              </w:rPr>
            </w:pPr>
            <w:r>
              <w:rPr>
                <w:rFonts w:ascii="宋体" w:hAnsi="宋体" w:cs="Calibri"/>
                <w:sz w:val="24"/>
                <w:szCs w:val="24"/>
              </w:rPr>
              <w:t xml:space="preserve">BMC</w:t>
            </w:r>
            <w:r>
              <w:rPr>
                <w:rFonts w:hint="eastAsia" w:ascii="宋体" w:hAnsi="宋体" w:cs="Calibri"/>
                <w:sz w:val="24"/>
                <w:szCs w:val="24"/>
              </w:rPr>
              <w:t xml:space="preserve">支持一键恢复服务器默认设置，擦除设备存储及</w:t>
            </w:r>
            <w:r>
              <w:rPr>
                <w:rFonts w:ascii="宋体" w:hAnsi="宋体" w:cs="Calibri"/>
                <w:sz w:val="24"/>
                <w:szCs w:val="24"/>
              </w:rPr>
              <w:t xml:space="preserve">BIOS</w:t>
            </w:r>
            <w:r>
              <w:rPr>
                <w:rFonts w:hint="eastAsia" w:ascii="宋体" w:hAnsi="宋体" w:cs="Calibri"/>
                <w:sz w:val="24"/>
                <w:szCs w:val="24"/>
              </w:rPr>
              <w:t xml:space="preserve">信息</w:t>
            </w:r>
            <w:r>
              <w:rPr>
                <w:rFonts w:ascii="宋体" w:hAnsi="宋体" w:cs="Calibri"/>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▲硬盘监测</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支持硬盘容量预测，使用率超过阈值时提供告警；支持</w:t>
            </w:r>
            <w:r>
              <w:rPr>
                <w:rFonts w:ascii="宋体" w:hAnsi="宋体" w:cs="Calibri"/>
                <w:sz w:val="24"/>
                <w:szCs w:val="24"/>
              </w:rPr>
              <w:t xml:space="preserve">SSD</w:t>
            </w:r>
            <w:r>
              <w:rPr>
                <w:rFonts w:hint="eastAsia" w:ascii="宋体" w:hAnsi="宋体" w:cs="宋体"/>
                <w:sz w:val="24"/>
                <w:szCs w:val="24"/>
              </w:rPr>
              <w:t xml:space="preserve">硬盘寿命预测功能，通过</w:t>
            </w:r>
            <w:r>
              <w:rPr>
                <w:rFonts w:ascii="宋体" w:hAnsi="宋体" w:cs="Calibri"/>
                <w:sz w:val="24"/>
                <w:szCs w:val="24"/>
              </w:rPr>
              <w:t xml:space="preserve">BMC</w:t>
            </w:r>
            <w:r>
              <w:rPr>
                <w:rFonts w:hint="eastAsia" w:ascii="宋体" w:hAnsi="宋体" w:cs="宋体"/>
                <w:sz w:val="24"/>
                <w:szCs w:val="24"/>
              </w:rPr>
              <w:t xml:space="preserve">管理界面可查询硬盘剩余寿命</w:t>
            </w:r>
            <w:r>
              <w:rPr>
                <w:rFonts w:hint="eastAsia" w:ascii="宋体" w:hAnsi="宋体" w:cs="Calibri"/>
                <w:sz w:val="24"/>
                <w:szCs w:val="24"/>
              </w:rPr>
              <w:t xml:space="preserve">（提供技术证明材料）</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▲性能调优</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支持通过</w:t>
            </w:r>
            <w:r>
              <w:rPr>
                <w:rFonts w:ascii="宋体" w:hAnsi="宋体" w:cs="Calibri"/>
                <w:sz w:val="24"/>
                <w:szCs w:val="24"/>
              </w:rPr>
              <w:t xml:space="preserve">BMC</w:t>
            </w:r>
            <w:r>
              <w:rPr>
                <w:rFonts w:hint="eastAsia" w:ascii="宋体" w:hAnsi="宋体" w:cs="宋体"/>
                <w:sz w:val="24"/>
                <w:szCs w:val="24"/>
              </w:rPr>
              <w:t xml:space="preserve">配置</w:t>
            </w:r>
            <w:r>
              <w:rPr>
                <w:rFonts w:ascii="宋体" w:hAnsi="宋体" w:cs="Calibri"/>
                <w:sz w:val="24"/>
                <w:szCs w:val="24"/>
              </w:rPr>
              <w:t xml:space="preserve">BIOS</w:t>
            </w:r>
            <w:r>
              <w:rPr>
                <w:rFonts w:hint="eastAsia" w:ascii="宋体" w:hAnsi="宋体" w:cs="宋体"/>
                <w:sz w:val="24"/>
                <w:szCs w:val="24"/>
              </w:rPr>
              <w:t xml:space="preserve">性能模板，实现利用预配置的配置文件，自动调优内部服务器资源，系统内置</w:t>
            </w:r>
            <w:r>
              <w:rPr>
                <w:rFonts w:ascii="宋体" w:hAnsi="宋体" w:cs="Calibri"/>
                <w:sz w:val="24"/>
                <w:szCs w:val="24"/>
              </w:rPr>
              <w:t xml:space="preserve">10</w:t>
            </w:r>
            <w:r>
              <w:rPr>
                <w:rFonts w:hint="eastAsia" w:ascii="宋体" w:hAnsi="宋体" w:cs="宋体"/>
                <w:sz w:val="24"/>
                <w:szCs w:val="24"/>
              </w:rPr>
              <w:t xml:space="preserve">种以上场景模板</w:t>
            </w:r>
            <w:r>
              <w:rPr>
                <w:rFonts w:hint="eastAsia" w:ascii="宋体" w:hAnsi="宋体" w:cs="Calibri"/>
                <w:sz w:val="24"/>
                <w:szCs w:val="24"/>
              </w:rPr>
              <w:t xml:space="preserve">（提供技术证明材料）</w:t>
            </w:r>
            <w:r>
              <w:rPr>
                <w:rFonts w:ascii="宋体" w:hAnsi="宋体" w:cs="宋体"/>
                <w:sz w:val="24"/>
                <w:szCs w:val="24"/>
              </w:rPr>
            </w:r>
            <w:r/>
          </w:p>
        </w:tc>
      </w:tr>
      <w:tr>
        <w:trPr>
          <w:trHeight w:val="747"/>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▲双因素认证</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支持使用客户端证书和证书密码的双因素认证方式，支持基于一次性随机动态密码且使用国密算法的双因素认证</w:t>
            </w:r>
            <w:r>
              <w:rPr>
                <w:rFonts w:hint="eastAsia" w:ascii="宋体" w:hAnsi="宋体" w:cs="Calibri"/>
                <w:sz w:val="24"/>
                <w:szCs w:val="24"/>
              </w:rPr>
              <w:t xml:space="preserve">（提供技术证明材料）</w:t>
            </w:r>
            <w:r>
              <w:rPr>
                <w:rFonts w:ascii="宋体" w:hAnsi="宋体" w:cs="宋体"/>
                <w:sz w:val="24"/>
                <w:szCs w:val="24"/>
              </w:rPr>
            </w:r>
            <w:r/>
          </w:p>
        </w:tc>
      </w:tr>
      <w:tr>
        <w:trPr>
          <w:trHeight w:val="499"/>
        </w:trPr>
        <w:tc>
          <w:tcPr>
            <w:tcW w:w="1777" w:type="dxa"/>
            <w:vAlign w:val="center"/>
            <w:textDirection w:val="lrTb"/>
            <w:noWrap w:val="false"/>
          </w:tcPr>
          <w:p>
            <w:pPr>
              <w:pStyle w:val="907"/>
              <w:jc w:val="center"/>
              <w:widowControl/>
              <w:rPr>
                <w:rFonts w:ascii="宋体" w:hAnsi="宋体" w:cs="宋体"/>
                <w:sz w:val="24"/>
                <w:szCs w:val="24"/>
              </w:rPr>
            </w:pPr>
            <w:r>
              <w:rPr>
                <w:rFonts w:ascii="宋体" w:hAnsi="宋体" w:cs="Calibri"/>
                <w:sz w:val="24"/>
                <w:szCs w:val="24"/>
              </w:rPr>
              <w:t xml:space="preserve">Kerberos </w:t>
            </w:r>
            <w:r>
              <w:rPr>
                <w:rFonts w:hint="eastAsia" w:ascii="宋体" w:hAnsi="宋体" w:cs="宋体"/>
                <w:sz w:val="24"/>
                <w:szCs w:val="24"/>
              </w:rPr>
              <w:t xml:space="preserve">认证</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支持</w:t>
            </w:r>
            <w:r>
              <w:rPr>
                <w:rFonts w:ascii="宋体" w:hAnsi="宋体" w:cs="Calibri"/>
                <w:sz w:val="24"/>
                <w:szCs w:val="24"/>
              </w:rPr>
              <w:t xml:space="preserve">Kerberos</w:t>
            </w:r>
            <w:r>
              <w:rPr>
                <w:rFonts w:hint="eastAsia" w:ascii="宋体" w:hAnsi="宋体" w:cs="宋体"/>
                <w:sz w:val="24"/>
                <w:szCs w:val="24"/>
              </w:rPr>
              <w:t xml:space="preserve">协议的用户认证管理机制</w:t>
            </w:r>
            <w:r>
              <w:rPr>
                <w:rFonts w:ascii="宋体" w:hAnsi="宋体" w:cs="宋体"/>
                <w:sz w:val="24"/>
                <w:szCs w:val="24"/>
              </w:rPr>
            </w:r>
            <w:r/>
          </w:p>
        </w:tc>
      </w:tr>
    </w:tbl>
    <w:p>
      <w:pPr>
        <w:pStyle w:val="907"/>
        <w:contextualSpacing/>
        <w:ind w:left="720"/>
        <w:jc w:val="left"/>
        <w:widowControl/>
        <w:rPr>
          <w:sz w:val="24"/>
          <w:szCs w:val="24"/>
          <w:lang w:bidi="en-US"/>
        </w:rPr>
      </w:pPr>
      <w:r>
        <w:rPr>
          <w:sz w:val="24"/>
          <w:szCs w:val="24"/>
          <w:lang w:bidi="en-US"/>
        </w:rPr>
      </w:r>
      <w:r/>
    </w:p>
    <w:p>
      <w:pPr>
        <w:pStyle w:val="907"/>
        <w:contextualSpacing/>
        <w:ind w:left="720"/>
        <w:jc w:val="left"/>
        <w:widowControl/>
        <w:rPr>
          <w:sz w:val="24"/>
          <w:szCs w:val="24"/>
          <w:lang w:bidi="en-US"/>
        </w:rPr>
      </w:pPr>
      <w:r>
        <w:rPr>
          <w:sz w:val="24"/>
          <w:szCs w:val="24"/>
          <w:lang w:bidi="en-US"/>
        </w:rPr>
      </w:r>
      <w:r/>
    </w:p>
    <w:p>
      <w:pPr>
        <w:pStyle w:val="907"/>
        <w:keepLines/>
        <w:keepNext/>
        <w:spacing w:before="260" w:after="260" w:line="413" w:lineRule="auto"/>
        <w:rPr>
          <w:rFonts w:hint="eastAsia" w:ascii="Arial" w:hAnsi="Arial" w:eastAsia="黑体"/>
          <w:b/>
          <w:sz w:val="32"/>
        </w:rPr>
        <w:outlineLvl w:val="1"/>
      </w:pPr>
      <w:r>
        <w:rPr>
          <w:rFonts w:hint="eastAsia" w:ascii="Arial" w:hAnsi="Arial" w:eastAsia="黑体"/>
          <w:b/>
          <w:sz w:val="32"/>
        </w:rPr>
        <w:t xml:space="preserve">2.3GPU服务器1台</w:t>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7"/>
        <w:gridCol w:w="7392"/>
      </w:tblGrid>
      <w:tr>
        <w:trPr>
          <w:trHeight w:val="542"/>
        </w:trPr>
        <w:tc>
          <w:tcPr>
            <w:tcW w:w="1777" w:type="dxa"/>
            <w:vAlign w:val="center"/>
            <w:textDirection w:val="lrTb"/>
            <w:noWrap w:val="false"/>
          </w:tcPr>
          <w:p>
            <w:pPr>
              <w:pStyle w:val="907"/>
              <w:jc w:val="center"/>
              <w:widowControl/>
              <w:rPr>
                <w:rFonts w:ascii="宋体" w:hAnsi="宋体" w:cs="宋体"/>
                <w:b/>
                <w:bCs/>
                <w:sz w:val="24"/>
                <w:szCs w:val="24"/>
              </w:rPr>
            </w:pPr>
            <w:r>
              <w:rPr>
                <w:rFonts w:hint="eastAsia" w:ascii="宋体" w:hAnsi="宋体"/>
                <w:b/>
                <w:bCs/>
                <w:sz w:val="24"/>
                <w:szCs w:val="24"/>
              </w:rPr>
              <w:t xml:space="preserve">技术指标</w:t>
            </w:r>
            <w:r>
              <w:rPr>
                <w:rFonts w:ascii="宋体" w:hAnsi="宋体" w:cs="宋体"/>
                <w:b/>
                <w:bCs/>
                <w:sz w:val="24"/>
                <w:szCs w:val="24"/>
              </w:rPr>
            </w:r>
            <w:r/>
          </w:p>
        </w:tc>
        <w:tc>
          <w:tcPr>
            <w:tcW w:w="7392" w:type="dxa"/>
            <w:vAlign w:val="center"/>
            <w:textDirection w:val="lrTb"/>
            <w:noWrap w:val="false"/>
          </w:tcPr>
          <w:p>
            <w:pPr>
              <w:pStyle w:val="907"/>
              <w:jc w:val="center"/>
              <w:widowControl/>
              <w:rPr>
                <w:rFonts w:ascii="宋体" w:hAnsi="宋体" w:cs="宋体"/>
                <w:b/>
                <w:bCs/>
                <w:sz w:val="24"/>
                <w:szCs w:val="24"/>
              </w:rPr>
            </w:pPr>
            <w:r>
              <w:rPr>
                <w:rFonts w:hint="eastAsia" w:ascii="宋体" w:hAnsi="宋体"/>
                <w:b/>
                <w:bCs/>
                <w:sz w:val="24"/>
                <w:szCs w:val="24"/>
              </w:rPr>
              <w:t xml:space="preserve">技术指标要求</w:t>
            </w:r>
            <w:r>
              <w:rPr>
                <w:rFonts w:ascii="宋体" w:hAnsi="宋体" w:cs="宋体"/>
                <w:b/>
                <w:bCs/>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CPU规格</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CPU信息：配置≥两颗处理器，单颗处理器主频≥2.1GHz且≥32核，处理器支持如下功能：</w:t>
            </w:r>
            <w:r>
              <w:rPr>
                <w:rFonts w:ascii="宋体" w:hAnsi="宋体" w:cs="宋体"/>
                <w:sz w:val="24"/>
                <w:szCs w:val="24"/>
              </w:rPr>
            </w:r>
            <w:r/>
          </w:p>
          <w:p>
            <w:pPr>
              <w:pStyle w:val="907"/>
              <w:widowControl/>
              <w:rPr>
                <w:rFonts w:ascii="宋体" w:hAnsi="宋体" w:cs="宋体"/>
                <w:sz w:val="24"/>
                <w:szCs w:val="24"/>
              </w:rPr>
            </w:pPr>
            <w:r>
              <w:rPr>
                <w:rFonts w:hint="eastAsia" w:ascii="宋体" w:hAnsi="宋体" w:cs="宋体"/>
                <w:sz w:val="24"/>
                <w:szCs w:val="24"/>
              </w:rPr>
              <w:t xml:space="preserve">1)支持VT-x、VT-d虚拟化技术；2)支持VT-x EPT；3)支持TXT，可信执行技术；4)支持超线程技术；5)支持SSE4.2、AVX、AVX2、AVX-512等指令集。</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主板规格</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主板支持的CPU和内存情况：主板支持不少于2颗CPU，支持不低于DDR4内存</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主板内存槽数量:非板载内存的可扩展插槽数量应不少于32个</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主板存储接口：支持SATA、U.2存储接口</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PCle插槽接口：符合PCle3.0或以上的高速串行计算机扩展总线标准</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主板PCle插槽数量及规格：PCle插槽应不少于6个</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内存规格</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内存数量：实配内存数量≥16</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内存规格：实配单根内存规格≥32GB ECC 5600MHz DDR5</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内存通道：支持多个内存接口通道，每个通道可支持1DPC或2DPC，当支持2DPC时，印制电路板上应具备插槽的序号标识，具体通道数应在随机文件中明确</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存储规格</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硬磁盘实配容量：实配固态盘单盘可用容量不小于1920GB,实配机械盘单盘可用容量不小于8TB</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hint="eastAsia" w:ascii="宋体" w:hAnsi="宋体" w:cs="宋体"/>
                <w:sz w:val="24"/>
                <w:szCs w:val="24"/>
              </w:rPr>
            </w:pPr>
            <w:r>
              <w:rPr>
                <w:rFonts w:hint="eastAsia" w:ascii="宋体" w:hAnsi="宋体" w:cs="宋体"/>
                <w:sz w:val="24"/>
                <w:szCs w:val="24"/>
              </w:rPr>
              <w:t xml:space="preserve">硬盘实配数量：实配固态盘数不小于2块,实配机械盘数不小于2块</w:t>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硬盘插槽数量及规格：实配3.5英寸硬盘，可支持的硬盘数量应不少于8块</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网络规格</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网口速率和数量：配备万兆光口网口数量不少于2个，配置2个多模光模块；配备千兆电口网口数量不少于4个</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hint="eastAsia" w:ascii="宋体" w:hAnsi="宋体" w:cs="宋体"/>
                <w:sz w:val="24"/>
                <w:szCs w:val="24"/>
              </w:rPr>
            </w:pPr>
            <w:r>
              <w:rPr>
                <w:rFonts w:hint="eastAsia" w:ascii="宋体" w:hAnsi="宋体" w:cs="宋体"/>
                <w:sz w:val="24"/>
                <w:szCs w:val="24"/>
                <w:lang w:eastAsia="en-US"/>
              </w:rPr>
              <w:t xml:space="preserve">AI计算单元</w:t>
            </w:r>
            <w:r>
              <w:rPr>
                <w:rFonts w:hint="eastAsia" w:ascii="宋体" w:hAnsi="宋体" w:cs="宋体"/>
                <w:sz w:val="24"/>
                <w:szCs w:val="24"/>
              </w:rPr>
            </w:r>
            <w:r/>
          </w:p>
        </w:tc>
        <w:tc>
          <w:tcPr>
            <w:tcW w:w="7392" w:type="dxa"/>
            <w:vAlign w:val="center"/>
            <w:textDirection w:val="lrTb"/>
            <w:noWrap w:val="false"/>
          </w:tcPr>
          <w:p>
            <w:pPr>
              <w:pStyle w:val="907"/>
              <w:widowControl/>
              <w:rPr>
                <w:rFonts w:hint="eastAsia" w:ascii="宋体" w:hAnsi="宋体" w:cs="宋体"/>
                <w:b/>
                <w:bCs/>
                <w:i/>
                <w:iCs/>
                <w:sz w:val="24"/>
                <w:szCs w:val="24"/>
                <w:u w:val="single"/>
              </w:rPr>
            </w:pPr>
            <w:r>
              <w:rPr>
                <w:rFonts w:hint="eastAsia" w:ascii="宋体" w:hAnsi="宋体" w:cs="宋体"/>
                <w:b/>
                <w:bCs/>
                <w:i/>
                <w:iCs/>
                <w:sz w:val="24"/>
                <w:szCs w:val="24"/>
                <w:u w:val="single"/>
              </w:rPr>
              <w:t xml:space="preserve">配置≥4块AI计算单元，每块AI计算单元需支持以下功能：</w:t>
            </w:r>
            <w:r/>
          </w:p>
          <w:p>
            <w:pPr>
              <w:pStyle w:val="907"/>
              <w:widowControl/>
              <w:rPr>
                <w:rFonts w:hint="eastAsia" w:ascii="宋体" w:hAnsi="宋体" w:cs="宋体"/>
                <w:sz w:val="24"/>
                <w:szCs w:val="24"/>
              </w:rPr>
            </w:pPr>
            <w:r>
              <w:rPr>
                <w:rFonts w:hint="eastAsia" w:ascii="宋体" w:hAnsi="宋体" w:cs="宋体"/>
                <w:b/>
                <w:bCs/>
                <w:i/>
                <w:iCs/>
                <w:sz w:val="24"/>
                <w:szCs w:val="24"/>
                <w:u w:val="single"/>
              </w:rPr>
              <w:t xml:space="preserve">单个AI计算单元核心数不低于16300，显存不低于24GB，FP32性能不低于82TFLOPS，提供承诺函并加盖公章</w:t>
            </w:r>
            <w:r>
              <w:rPr>
                <w:rFonts w:hint="eastAsia"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外部接口规格</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显示接口：配备不少于1个VGA接口</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USB接口：配备不少于2个USB 3.0接口</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电源规格</w:t>
            </w:r>
            <w:r>
              <w:rPr>
                <w:rFonts w:ascii="宋体" w:hAnsi="宋体" w:cs="宋体"/>
                <w:sz w:val="24"/>
                <w:szCs w:val="24"/>
              </w:rPr>
            </w:r>
            <w:r/>
          </w:p>
        </w:tc>
        <w:tc>
          <w:tcPr>
            <w:tcW w:w="7392" w:type="dxa"/>
            <w:vAlign w:val="center"/>
            <w:textDirection w:val="lrTb"/>
            <w:noWrap w:val="false"/>
          </w:tcPr>
          <w:p>
            <w:pPr>
              <w:pStyle w:val="907"/>
              <w:widowControl/>
              <w:rPr>
                <w:rFonts w:hint="eastAsia" w:ascii="宋体" w:hAnsi="宋体" w:cs="宋体"/>
                <w:sz w:val="24"/>
                <w:szCs w:val="24"/>
              </w:rPr>
            </w:pPr>
            <w:r>
              <w:rPr>
                <w:rFonts w:hint="eastAsia" w:ascii="宋体" w:hAnsi="宋体" w:cs="宋体"/>
                <w:sz w:val="24"/>
                <w:szCs w:val="24"/>
              </w:rPr>
              <w:t xml:space="preserve">电源模块数量：≥4</w:t>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电源功率：单个电源功率≥2700W</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整机规格</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外观和结构：a)服务器的零部件应紧固无松动，可插拔部件应可靠连接，开关、按钮和其它控制部件应灵活可靠，布局应方便使用；b) 产品表</w:t>
            </w:r>
            <w:r>
              <w:rPr>
                <w:rFonts w:hint="eastAsia" w:ascii="宋体" w:hAnsi="宋体" w:cs="宋体"/>
                <w:sz w:val="24"/>
                <w:szCs w:val="24"/>
              </w:rPr>
              <w:t xml:space="preserve">面不应有明显的凹痕、划伤、裂缝、变形和污染等。表面涂层均匀，不应起泡、龟裂、脱落和磨损，金属零部件无锈蚀及其它机械损伤；c) 产品表面说明功能的文字、符号和标志应清晰、端正且牢固；d) 应在服务器的显著位置提供运行状态的指示功能，并在随机文件中明确具体含义；e)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机架、机箱的尺寸应符合通用机柜的安装要求，插入总线插座的电路板接口外形尺寸应符合有关总线标准的规定，将机箱固定在机柜上，机箱底面最大下垂变形不得干涉相邻机体；f) 高密度服务器应给出 CPU 个数与机柜高度；g) 服务器尺寸具体要求在随机文件中明确</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尺寸（高×宽×深）：产品高度≥4U，设计应遵循标准化、系列化的要求；机箱的内部结构符合通用部件的安装需要。投标时供应商提供产品详细规格尺寸</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环境适应性：气候环境适应性应符合GB/T9813.3 的有关规定，工作温度10～35℃，贮存运输温度-40～55℃；工作相对湿度35%～80%，贮存运输相对湿度20％～93%（40℃）；大气压86～106kPa</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机械环境适应性：机械环境适应性应符合 GB/T 9813.3的有关规定</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噪声：符合GB/T 9813.3的有关规定</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主板功能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主板外部接口种类：支持USB、显示、管理等接口，如：VGA、DP、HDMI、USB3.0、PS/2 接口、BMC管理端口</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网络功能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网络功能：支持网络连接、网络访问、数据交换和网络管控功能</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CPU功能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计算处理：支持通用计算及虚拟化功能。处理器需集成整型计算单元、浮点计算单元、内存控制器、I/O模块等，处理器与存储部件、网络部件、I/O部件等组成计算系统，提供数据处理、网络接入等计算相关功能</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密码算法实现：CPU芯片应符合GM/T 0008的相关规定，或芯片密码模块应符合GB/T 37092或GM/T 0028的相关规定</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电源功能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电源热插拔：整机电源模块应具备热插拔功能</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电源过流保护：支持过流及短路保护的功能</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整机功能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散热方式：支持风冷散热方式</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管理系统功能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BMC固件基础功能：1) 支持 DHCP 设置网络功能；2)支持静态 IP 设置网络功能；3)支持设备日志记录，包括但不限于登录日志、操作日志和报警日志等功能；4)支持日志信息导出和记录删除功能；5)支持通过管理接口向外输出准确的报警信息功能；6)设备的 BMC 管理软件应能够按报警的严重程度进行区分；7)支持 IPMI2.0、SNMP 或 Redfish等接口功能；8)支持键盘、鼠标和视</w:t>
            </w:r>
            <w:r>
              <w:rPr>
                <w:rFonts w:hint="eastAsia" w:ascii="宋体" w:hAnsi="宋体" w:cs="宋体"/>
                <w:sz w:val="24"/>
                <w:szCs w:val="24"/>
              </w:rPr>
              <w:t xml:space="preserve">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功能；15)支持设置口令策略功能；16)支持访问权限设置功能，</w:t>
            </w:r>
            <w:r>
              <w:rPr>
                <w:rFonts w:hint="eastAsia" w:ascii="宋体" w:hAnsi="宋体" w:cs="宋体"/>
                <w:sz w:val="24"/>
                <w:szCs w:val="24"/>
              </w:rPr>
              <w:t xml:space="preserve">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BMC参数设置的功能，并可基于网络通过外部管理工具对 BMC 进行管理；21)应支持固件版本查询、固件升级22)支持基于网络实现开关机和复位控制的功能；23)BMC 启动时间应不超过 180s，实现功能包括网络、IPMI、散热、传感器服务可用；24)支持 BMC 固件设置的恢复出厂功能</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BIOS固件基础功能：a）支持查看固件版本、内存信息、主板信息、处理器信息和系统时间信息功能；b）支持上电初始化界面显示 CPU 信息、内存信息、固件</w:t>
            </w:r>
            <w:r>
              <w:rPr>
                <w:rFonts w:hint="eastAsia" w:ascii="宋体" w:hAnsi="宋体" w:cs="宋体"/>
                <w:sz w:val="24"/>
                <w:szCs w:val="24"/>
              </w:rPr>
              <w:t xml:space="preserve">版本和部分快捷键信息功能；c）支持设置界面中英文显示切换功能；d）支持查看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rFonts w:ascii="宋体" w:hAnsi="宋体" w:cs="宋体"/>
                <w:sz w:val="24"/>
                <w:szCs w:val="24"/>
              </w:rPr>
            </w:r>
            <w:r/>
          </w:p>
        </w:tc>
      </w:tr>
      <w:tr>
        <w:trPr>
          <w:cantSplit/>
          <w:trHeight w:val="595"/>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远程控制：支持远程关机和重新启动功能</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操作系统及驱动功能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操作系统及驱动的升级：支持通过网络、闪存盘对操作系统、驱动进行升级</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操作系统功能：a) 支持访问控制、安全审计、网络接入鉴别等功能；b) 操作系统其他功能应满足操作系统政府采购需求标准中加*的指标要求</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中文信息处理功能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中文信息处理：符合GB18030的有关规定</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固件安全要求</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故障检测：支持故障检测功能，可以检测到具体的 FRU（内存、硬盘等）的故障并发出告警</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系统安全要求</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弱口令字典检查：支持弱口令字典检查功能，出现在弱口令字典中的字符串不能被设置为用户口令</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白名单访问控制：支持基于时间、IP 或 MAC 白名单访问控制</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二次鉴别：支持二次鉴别功能。对于用户配置、权限配置、公钥导入等重要的管理操作，已登录用户应通过二次鉴别后，才能执行操作</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密码证书安全加密存储：支持对带外管理系统中的用户口令和证书等敏感信息进行加密存储，禁止使用私有的和业界已知不安全的密码算法</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敏感信息安全加密传输：支持使用安全的传输加密协议（如SSH 或 HTTPS 等）传输用户的敏感信息</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信息安全要求</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研发过程安全：供应商承诺，生产商已建立从需求、设计、开发、测试、维护端到端的开发流程管理机制，输出和保存开发流程中每个阶段的产品需求清单、设计文档、开发文档、测试记录等材料，保证各个流程可追溯</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物理安全</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物理安全：安全要求应符合GB 4943.1的规定</w:t>
            </w:r>
            <w:r>
              <w:rPr>
                <w:rFonts w:ascii="宋体" w:hAnsi="宋体" w:cs="宋体"/>
                <w:sz w:val="24"/>
                <w:szCs w:val="24"/>
              </w:rPr>
            </w:r>
            <w:r/>
          </w:p>
        </w:tc>
      </w:tr>
      <w:tr>
        <w:trPr>
          <w:trHeight w:val="937"/>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限用物质的限量要求</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限用物质的限量要求：限用物质的限量应符合GB/T 26572的要求</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CPU性能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CPU主频：≥2.1GHz</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单CPU核数：≥32</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单CPU末级缓存容量：≥160MB</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内存性能</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内存速率：≥4800MT/s</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电源能耗</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电源能耗：符合GB/T 9813.3的有关规定</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部件兼容性要求</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内存兼容性：适配3种及以上厂商的内存产品，且均不低于产品支持的内存规格</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固态存储兼容性：适配3种或以上厂商的固态存储产品，且均不低于产品支持的固态存储设备规格</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网卡兼容性：网卡应适配两种或以上厂商产品</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功能卡兼容性：内置或适配符合PCIe的功能卡，如：网络功能卡、存储功能卡及图形显示功能卡</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外设兼容性</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外设兼容性：兼容多种主流生产商的外部设备，包括显示器、键盘、鼠标、闪存盘、移动硬盘、USB 光驱及 KVM 等，要求使用不同厂商的外部设备时，系统均能正常识别和安装驱动</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软件兼容性</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数据库兼容：兼容3 个及以上厂商的数据库产品</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rPr>
                <w:rFonts w:ascii="宋体" w:hAnsi="宋体" w:cs="宋体"/>
                <w:sz w:val="18"/>
                <w:szCs w:val="18"/>
              </w:rPr>
            </w:pPr>
            <w:r>
              <w:rPr>
                <w:rFonts w:ascii="宋体" w:hAnsi="宋体" w:cs="宋体"/>
                <w:sz w:val="18"/>
                <w:szCs w:val="18"/>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中间件兼容：兼容3 个及以上厂商的中间件产品</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rPr>
                <w:rFonts w:ascii="宋体" w:hAnsi="宋体" w:cs="宋体"/>
                <w:sz w:val="18"/>
                <w:szCs w:val="18"/>
              </w:rPr>
            </w:pPr>
            <w:r>
              <w:rPr>
                <w:rFonts w:ascii="宋体" w:hAnsi="宋体" w:cs="宋体"/>
                <w:sz w:val="18"/>
                <w:szCs w:val="18"/>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平台软件兼容：兼容3 个及以上厂商的大数据平台</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整机可靠性要求</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整机可靠性：m1 值（MTBF 的不可接受值）不得低于 30000h</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风扇可靠性：风扇寿命应不低于 40000h</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部件可靠性：支持硬盘、电源、风扇热插拔(内置风扇除外)</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包装及运输要求</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标志、包装、运输和贮存：符合 GB/T 9813.3 和商品包装政府采购需求标准的相关规定</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服务响应</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服务响应：a) 提供电话、电子邮件、远程连接等多种形式服务；b) 提供同城 4h、异地 12h 技术响应服务，2 个工作日解决问题，对于未能解决的问题和故障应提供可行的升级方案，并提供周转设备；c) 建立全国技术服务体系和服务团体，符合专业服务体系标准要求，提供原厂中文服务；d) 服务周期内提供产品的维修、换件和升级服务</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培训服务：供应商提供培训材料、产品手册、培训视频等培训相关内容</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服务周期</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服务周期：a) 产品免费服务周期（含换件和维修）应不小于 5年，提供硬盘介质不返还服务；b) 设备停产后继续提供质量保障服务（含备品备件），服务终止时间与最后一批设备交付时间间隔不低于 6 年；c) 产品停止服务时间应提前 1 年告知客户；d) 产品发布日期需在随机文件中明确</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服务工具要求</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工具要求：供应商提供设置服务器硬件、辅助操作系统安装等功能的辅助工具和管理软件。且随附软件应具有合法授权或版权</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驱动安装升级指引：供应商提供出厂安装的配件所需的驱动程序，形式包括但不限于驱动光盘、驱动下载链接等。其他配件应提供指引</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管理软件：具备资源管理、系统管理、性能监控、健康监控、基于网络控制、报警设置功能</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增值服务</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厂家升级产品软件与扩容服务：供应商提供原厂级的部件/软件产品升级和扩容能力</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提供上门服务：供应商具备提供上门服务的能力</w:t>
            </w:r>
            <w:r>
              <w:rPr>
                <w:rFonts w:ascii="宋体" w:hAnsi="宋体" w:cs="宋体"/>
                <w:sz w:val="24"/>
                <w:szCs w:val="24"/>
              </w:rPr>
            </w:r>
            <w:r/>
          </w:p>
        </w:tc>
      </w:tr>
      <w:tr>
        <w:trPr>
          <w:cantSplit/>
          <w:trHeight w:val="20"/>
        </w:trPr>
        <w:tc>
          <w:tcPr>
            <w:tcW w:w="1777" w:type="dxa"/>
            <w:vAlign w:val="center"/>
            <w:vMerge w:val="restart"/>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供应链质量</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抗干扰性：当产品部件出现供应风险时，应通知客户并提供风险应对方案确保产品的服务保障，必要时应停止相关受影响产品的销售</w:t>
            </w:r>
            <w:r>
              <w:rPr>
                <w:rFonts w:ascii="宋体" w:hAnsi="宋体" w:cs="宋体"/>
                <w:sz w:val="24"/>
                <w:szCs w:val="24"/>
              </w:rPr>
            </w:r>
            <w:r/>
          </w:p>
        </w:tc>
      </w:tr>
      <w:tr>
        <w:trPr>
          <w:cantSplit/>
          <w:trHeight w:val="20"/>
        </w:trPr>
        <w:tc>
          <w:tcPr>
            <w:tcW w:w="1777" w:type="dxa"/>
            <w:vAlign w:val="center"/>
            <w:vMerge w:val="continue"/>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供应能力证明：供应商提供供应链稳定承诺书，确保产品的部件在产品服务周期内稳定供货</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阵列卡</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阵列卡规格：配置不少于1块1</w:t>
            </w:r>
            <w:r>
              <w:rPr>
                <w:rFonts w:ascii="宋体" w:hAnsi="宋体" w:cs="宋体"/>
                <w:sz w:val="24"/>
                <w:szCs w:val="24"/>
              </w:rPr>
              <w:t xml:space="preserve">2Gb RAID</w:t>
            </w:r>
            <w:r>
              <w:rPr>
                <w:rFonts w:hint="eastAsia" w:ascii="宋体" w:hAnsi="宋体" w:cs="宋体"/>
                <w:sz w:val="24"/>
                <w:szCs w:val="24"/>
              </w:rPr>
              <w:t xml:space="preserve">卡，不少于4</w:t>
            </w:r>
            <w:r>
              <w:rPr>
                <w:rFonts w:ascii="宋体" w:hAnsi="宋体" w:cs="宋体"/>
                <w:sz w:val="24"/>
                <w:szCs w:val="24"/>
              </w:rPr>
              <w:t xml:space="preserve">GB缓存，含掉电保护，支持</w:t>
            </w:r>
            <w:r>
              <w:rPr>
                <w:rFonts w:hint="eastAsia" w:ascii="宋体" w:hAnsi="宋体" w:cs="宋体"/>
                <w:sz w:val="24"/>
                <w:szCs w:val="24"/>
              </w:rPr>
              <w:t xml:space="preserve">R</w:t>
            </w:r>
            <w:r>
              <w:rPr>
                <w:rFonts w:ascii="宋体" w:hAnsi="宋体" w:cs="宋体"/>
                <w:sz w:val="24"/>
                <w:szCs w:val="24"/>
              </w:rPr>
              <w:t xml:space="preserve">AID 0、</w:t>
            </w:r>
            <w:r>
              <w:rPr>
                <w:rFonts w:hint="eastAsia" w:ascii="宋体" w:hAnsi="宋体" w:cs="宋体"/>
                <w:sz w:val="24"/>
                <w:szCs w:val="24"/>
              </w:rPr>
              <w:t xml:space="preserve">1、1</w:t>
            </w:r>
            <w:r>
              <w:rPr>
                <w:rFonts w:ascii="宋体" w:hAnsi="宋体" w:cs="宋体"/>
                <w:sz w:val="24"/>
                <w:szCs w:val="24"/>
              </w:rPr>
              <w:t xml:space="preserve">0、</w:t>
            </w:r>
            <w:r>
              <w:rPr>
                <w:rFonts w:hint="eastAsia" w:ascii="宋体" w:hAnsi="宋体" w:cs="宋体"/>
                <w:sz w:val="24"/>
                <w:szCs w:val="24"/>
              </w:rPr>
              <w:t xml:space="preserve">5、6等</w:t>
            </w:r>
            <w:r>
              <w:rPr>
                <w:rFonts w:ascii="宋体" w:hAnsi="宋体" w:cs="宋体"/>
                <w:sz w:val="24"/>
                <w:szCs w:val="24"/>
              </w:rPr>
            </w:r>
            <w:r/>
          </w:p>
        </w:tc>
      </w:tr>
      <w:tr>
        <w:trPr>
          <w:trHeight w:val="502"/>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安全擦除</w:t>
            </w:r>
            <w:r>
              <w:rPr>
                <w:rFonts w:ascii="宋体" w:hAnsi="宋体" w:cs="宋体"/>
                <w:sz w:val="24"/>
                <w:szCs w:val="24"/>
              </w:rPr>
            </w:r>
            <w:r/>
          </w:p>
        </w:tc>
        <w:tc>
          <w:tcPr>
            <w:tcW w:w="7392" w:type="dxa"/>
            <w:vAlign w:val="center"/>
            <w:textDirection w:val="lrTb"/>
            <w:noWrap w:val="false"/>
          </w:tcPr>
          <w:p>
            <w:pPr>
              <w:pStyle w:val="907"/>
              <w:widowControl/>
              <w:rPr>
                <w:rFonts w:ascii="宋体" w:hAnsi="宋体" w:cs="Calibri"/>
                <w:sz w:val="24"/>
                <w:szCs w:val="24"/>
              </w:rPr>
            </w:pPr>
            <w:r>
              <w:rPr>
                <w:rFonts w:ascii="宋体" w:hAnsi="宋体" w:cs="Calibri"/>
                <w:sz w:val="24"/>
                <w:szCs w:val="24"/>
              </w:rPr>
              <w:t xml:space="preserve">BMC</w:t>
            </w:r>
            <w:r>
              <w:rPr>
                <w:rFonts w:hint="eastAsia" w:ascii="宋体" w:hAnsi="宋体" w:cs="Calibri"/>
                <w:sz w:val="24"/>
                <w:szCs w:val="24"/>
              </w:rPr>
              <w:t xml:space="preserve">支持一键恢复服务器默认设置，擦除设备存储及</w:t>
            </w:r>
            <w:r>
              <w:rPr>
                <w:rFonts w:ascii="宋体" w:hAnsi="宋体" w:cs="Calibri"/>
                <w:sz w:val="24"/>
                <w:szCs w:val="24"/>
              </w:rPr>
              <w:t xml:space="preserve">BIOS</w:t>
            </w:r>
            <w:r>
              <w:rPr>
                <w:rFonts w:hint="eastAsia" w:ascii="宋体" w:hAnsi="宋体" w:cs="Calibri"/>
                <w:sz w:val="24"/>
                <w:szCs w:val="24"/>
              </w:rPr>
              <w:t xml:space="preserve">信息</w:t>
            </w:r>
            <w:r>
              <w:rPr>
                <w:rFonts w:ascii="宋体" w:hAnsi="宋体" w:cs="Calibri"/>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▲硬盘监测</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支持硬盘容量预测，使用率超过阈值时提供告警；支持</w:t>
            </w:r>
            <w:r>
              <w:rPr>
                <w:rFonts w:ascii="宋体" w:hAnsi="宋体" w:cs="Calibri"/>
                <w:sz w:val="24"/>
                <w:szCs w:val="24"/>
              </w:rPr>
              <w:t xml:space="preserve">SSD</w:t>
            </w:r>
            <w:r>
              <w:rPr>
                <w:rFonts w:hint="eastAsia" w:ascii="宋体" w:hAnsi="宋体" w:cs="宋体"/>
                <w:sz w:val="24"/>
                <w:szCs w:val="24"/>
              </w:rPr>
              <w:t xml:space="preserve">硬盘寿命预测功能，通过</w:t>
            </w:r>
            <w:r>
              <w:rPr>
                <w:rFonts w:ascii="宋体" w:hAnsi="宋体" w:cs="Calibri"/>
                <w:sz w:val="24"/>
                <w:szCs w:val="24"/>
              </w:rPr>
              <w:t xml:space="preserve">BMC</w:t>
            </w:r>
            <w:r>
              <w:rPr>
                <w:rFonts w:hint="eastAsia" w:ascii="宋体" w:hAnsi="宋体" w:cs="宋体"/>
                <w:sz w:val="24"/>
                <w:szCs w:val="24"/>
              </w:rPr>
              <w:t xml:space="preserve">管理界面可查询硬盘剩余寿命</w:t>
            </w:r>
            <w:r>
              <w:rPr>
                <w:rFonts w:hint="eastAsia" w:ascii="宋体" w:hAnsi="宋体" w:cs="Calibri"/>
                <w:sz w:val="24"/>
                <w:szCs w:val="24"/>
              </w:rPr>
              <w:t xml:space="preserve">（提供技术证明材料）</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▲性能调优</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支持通过</w:t>
            </w:r>
            <w:r>
              <w:rPr>
                <w:rFonts w:ascii="宋体" w:hAnsi="宋体" w:cs="Calibri"/>
                <w:sz w:val="24"/>
                <w:szCs w:val="24"/>
              </w:rPr>
              <w:t xml:space="preserve">BMC</w:t>
            </w:r>
            <w:r>
              <w:rPr>
                <w:rFonts w:hint="eastAsia" w:ascii="宋体" w:hAnsi="宋体" w:cs="宋体"/>
                <w:sz w:val="24"/>
                <w:szCs w:val="24"/>
              </w:rPr>
              <w:t xml:space="preserve">配置</w:t>
            </w:r>
            <w:r>
              <w:rPr>
                <w:rFonts w:ascii="宋体" w:hAnsi="宋体" w:cs="Calibri"/>
                <w:sz w:val="24"/>
                <w:szCs w:val="24"/>
              </w:rPr>
              <w:t xml:space="preserve">BIOS</w:t>
            </w:r>
            <w:r>
              <w:rPr>
                <w:rFonts w:hint="eastAsia" w:ascii="宋体" w:hAnsi="宋体" w:cs="宋体"/>
                <w:sz w:val="24"/>
                <w:szCs w:val="24"/>
              </w:rPr>
              <w:t xml:space="preserve">性能模板，实现利用预配置的配置文件，自动调优内部服务器资源，系统内置</w:t>
            </w:r>
            <w:r>
              <w:rPr>
                <w:rFonts w:ascii="宋体" w:hAnsi="宋体" w:cs="Calibri"/>
                <w:sz w:val="24"/>
                <w:szCs w:val="24"/>
              </w:rPr>
              <w:t xml:space="preserve">10</w:t>
            </w:r>
            <w:r>
              <w:rPr>
                <w:rFonts w:hint="eastAsia" w:ascii="宋体" w:hAnsi="宋体" w:cs="宋体"/>
                <w:sz w:val="24"/>
                <w:szCs w:val="24"/>
              </w:rPr>
              <w:t xml:space="preserve">种以上场景模板</w:t>
            </w:r>
            <w:r>
              <w:rPr>
                <w:rFonts w:hint="eastAsia" w:ascii="宋体" w:hAnsi="宋体" w:cs="Calibri"/>
                <w:sz w:val="24"/>
                <w:szCs w:val="24"/>
              </w:rPr>
              <w:t xml:space="preserve">（提供技术证明材料）</w:t>
            </w:r>
            <w:r>
              <w:rPr>
                <w:rFonts w:ascii="宋体" w:hAnsi="宋体" w:cs="宋体"/>
                <w:sz w:val="24"/>
                <w:szCs w:val="24"/>
              </w:rPr>
            </w:r>
            <w:r/>
          </w:p>
        </w:tc>
      </w:tr>
      <w:tr>
        <w:trPr>
          <w:trHeight w:val="20"/>
        </w:trPr>
        <w:tc>
          <w:tcPr>
            <w:tcW w:w="1777"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▲双因素认证</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支持使用客户端证书和证书密码的双因素认证方式，支持基于一次性随机动态密码且使用国密算法的双因素认证</w:t>
            </w:r>
            <w:r>
              <w:rPr>
                <w:rFonts w:hint="eastAsia" w:ascii="宋体" w:hAnsi="宋体" w:cs="Calibri"/>
                <w:sz w:val="24"/>
                <w:szCs w:val="24"/>
              </w:rPr>
              <w:t xml:space="preserve">（提供技术证明材料）</w:t>
            </w:r>
            <w:r>
              <w:rPr>
                <w:rFonts w:ascii="宋体" w:hAnsi="宋体" w:cs="宋体"/>
                <w:sz w:val="24"/>
                <w:szCs w:val="24"/>
              </w:rPr>
            </w:r>
            <w:r/>
          </w:p>
        </w:tc>
      </w:tr>
      <w:tr>
        <w:trPr>
          <w:trHeight w:val="579"/>
        </w:trPr>
        <w:tc>
          <w:tcPr>
            <w:tcW w:w="1777" w:type="dxa"/>
            <w:vAlign w:val="center"/>
            <w:textDirection w:val="lrTb"/>
            <w:noWrap w:val="false"/>
          </w:tcPr>
          <w:p>
            <w:pPr>
              <w:pStyle w:val="907"/>
              <w:jc w:val="center"/>
              <w:widowControl/>
              <w:rPr>
                <w:rFonts w:ascii="宋体" w:hAnsi="宋体" w:cs="宋体"/>
                <w:sz w:val="24"/>
                <w:szCs w:val="24"/>
              </w:rPr>
            </w:pPr>
            <w:r>
              <w:rPr>
                <w:rFonts w:ascii="宋体" w:hAnsi="宋体" w:cs="Calibri"/>
                <w:sz w:val="24"/>
                <w:szCs w:val="24"/>
              </w:rPr>
              <w:t xml:space="preserve">Kerberos </w:t>
            </w:r>
            <w:r>
              <w:rPr>
                <w:rFonts w:hint="eastAsia" w:ascii="宋体" w:hAnsi="宋体" w:cs="宋体"/>
                <w:sz w:val="24"/>
                <w:szCs w:val="24"/>
              </w:rPr>
              <w:t xml:space="preserve">认证</w:t>
            </w:r>
            <w:r>
              <w:rPr>
                <w:rFonts w:ascii="宋体" w:hAnsi="宋体" w:cs="宋体"/>
                <w:sz w:val="24"/>
                <w:szCs w:val="24"/>
              </w:rPr>
            </w:r>
            <w:r/>
          </w:p>
        </w:tc>
        <w:tc>
          <w:tcPr>
            <w:tcW w:w="7392" w:type="dxa"/>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支持</w:t>
            </w:r>
            <w:r>
              <w:rPr>
                <w:rFonts w:ascii="宋体" w:hAnsi="宋体" w:cs="Calibri"/>
                <w:sz w:val="24"/>
                <w:szCs w:val="24"/>
              </w:rPr>
              <w:t xml:space="preserve">Kerberos</w:t>
            </w:r>
            <w:r>
              <w:rPr>
                <w:rFonts w:hint="eastAsia" w:ascii="宋体" w:hAnsi="宋体" w:cs="宋体"/>
                <w:sz w:val="24"/>
                <w:szCs w:val="24"/>
              </w:rPr>
              <w:t xml:space="preserve">协议的用户认证管理机制</w:t>
            </w:r>
            <w:r>
              <w:rPr>
                <w:rFonts w:ascii="宋体" w:hAnsi="宋体" w:cs="宋体"/>
                <w:sz w:val="24"/>
                <w:szCs w:val="24"/>
              </w:rPr>
            </w:r>
            <w:r/>
          </w:p>
        </w:tc>
      </w:tr>
    </w:tbl>
    <w:p>
      <w:pPr>
        <w:pStyle w:val="907"/>
        <w:contextualSpacing/>
        <w:ind w:left="720"/>
        <w:jc w:val="left"/>
        <w:widowControl/>
        <w:rPr>
          <w:sz w:val="24"/>
          <w:szCs w:val="24"/>
          <w:lang w:bidi="en-US"/>
        </w:rPr>
      </w:pPr>
      <w:r>
        <w:rPr>
          <w:sz w:val="24"/>
          <w:szCs w:val="24"/>
          <w:lang w:bidi="en-US"/>
        </w:rPr>
      </w:r>
      <w:r/>
    </w:p>
    <w:p>
      <w:pPr>
        <w:pStyle w:val="907"/>
        <w:keepLines/>
        <w:keepNext/>
        <w:spacing w:before="260" w:after="260" w:line="413" w:lineRule="auto"/>
        <w:rPr>
          <w:rFonts w:hint="eastAsia" w:ascii="Arial" w:hAnsi="Arial" w:eastAsia="黑体"/>
          <w:b/>
          <w:sz w:val="32"/>
        </w:rPr>
        <w:outlineLvl w:val="1"/>
      </w:pPr>
      <w:r>
        <w:rPr>
          <w:rFonts w:hint="eastAsia" w:ascii="Arial" w:hAnsi="Arial" w:eastAsia="黑体"/>
          <w:b/>
          <w:sz w:val="32"/>
        </w:rPr>
        <w:t xml:space="preserve">2.4虚拟化软件 1套</w:t>
      </w:r>
      <w:r/>
    </w:p>
    <w:tbl>
      <w:tblPr>
        <w:tblW w:w="537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7"/>
        <w:gridCol w:w="1169"/>
        <w:gridCol w:w="6558"/>
      </w:tblGrid>
      <w:tr>
        <w:trPr/>
        <w:tc>
          <w:tcPr>
            <w:gridSpan w:val="2"/>
            <w:tcW w:w="1426" w:type="pct"/>
            <w:vAlign w:val="center"/>
            <w:textDirection w:val="lrTb"/>
            <w:noWrap w:val="false"/>
          </w:tcPr>
          <w:p>
            <w:pPr>
              <w:pStyle w:val="907"/>
              <w:jc w:val="center"/>
              <w:widowControl/>
              <w:rPr>
                <w:rFonts w:hint="eastAsia" w:ascii="宋体" w:hAnsi="宋体" w:cs="宋体"/>
                <w:sz w:val="24"/>
                <w:szCs w:val="24"/>
              </w:rPr>
            </w:pPr>
            <w:r>
              <w:rPr>
                <w:rFonts w:hint="eastAsia" w:ascii="宋体" w:hAnsi="宋体" w:cs="宋体"/>
                <w:sz w:val="24"/>
                <w:szCs w:val="24"/>
              </w:rPr>
              <w:t xml:space="preserve">技术指标</w:t>
            </w:r>
            <w:r/>
          </w:p>
        </w:tc>
        <w:tc>
          <w:tcPr>
            <w:tcW w:w="3573" w:type="pct"/>
            <w:vAlign w:val="center"/>
            <w:textDirection w:val="lrTb"/>
            <w:noWrap w:val="false"/>
          </w:tcPr>
          <w:p>
            <w:pPr>
              <w:pStyle w:val="907"/>
              <w:jc w:val="center"/>
              <w:widowControl/>
              <w:rPr>
                <w:rFonts w:hint="eastAsia" w:ascii="宋体" w:hAnsi="宋体" w:cs="宋体"/>
                <w:sz w:val="24"/>
                <w:szCs w:val="24"/>
              </w:rPr>
            </w:pPr>
            <w:r>
              <w:rPr>
                <w:rFonts w:hint="eastAsia" w:ascii="宋体" w:hAnsi="宋体" w:cs="宋体"/>
                <w:sz w:val="24"/>
                <w:szCs w:val="24"/>
              </w:rPr>
              <w:t xml:space="preserve">技术指标要求</w:t>
            </w:r>
            <w:r/>
          </w:p>
        </w:tc>
      </w:tr>
      <w:tr>
        <w:trPr>
          <w:cantSplit/>
        </w:trPr>
        <w:tc>
          <w:tcPr>
            <w:tcW w:w="789" w:type="pct"/>
            <w:vAlign w:val="center"/>
            <w:vMerge w:val="restart"/>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t xml:space="preserve">云平台基础</w:t>
            </w:r>
            <w:r/>
          </w:p>
        </w:tc>
        <w:tc>
          <w:tcPr>
            <w:tcW w:w="636" w:type="pct"/>
            <w:vAlign w:val="center"/>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t xml:space="preserve">知识产权要求</w:t>
            </w:r>
            <w:r/>
          </w:p>
        </w:tc>
        <w:tc>
          <w:tcPr>
            <w:tcW w:w="3573" w:type="pct"/>
            <w:vAlign w:val="top"/>
            <w:textDirection w:val="lrTb"/>
            <w:noWrap w:val="false"/>
          </w:tcPr>
          <w:p>
            <w:pPr>
              <w:pStyle w:val="907"/>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云平台为国内自主研发软件产品，禁止借用第三方合作伙伴软件整合，平台不基于任何开源项目二次开发，平台核心代码开源，厂商掌握软件自主知识产权。（提供证明材料）</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textDirection w:val="lrTb"/>
            <w:noWrap w:val="false"/>
          </w:tcPr>
          <w:p>
            <w:pPr>
              <w:pStyle w:val="907"/>
              <w:widowControl/>
              <w:rPr>
                <w:rFonts w:ascii="宋体" w:hAnsi="宋体" w:cs="宋体"/>
                <w:sz w:val="24"/>
                <w:szCs w:val="24"/>
              </w:rPr>
            </w:pPr>
            <w:r>
              <w:rPr>
                <w:rFonts w:hint="eastAsia" w:ascii="宋体" w:hAnsi="宋体" w:cs="宋体"/>
                <w:sz w:val="24"/>
                <w:szCs w:val="24"/>
              </w:rPr>
              <w:t xml:space="preserve">授权要求</w:t>
            </w:r>
            <w:r>
              <w:rPr>
                <w:rFonts w:ascii="宋体" w:hAnsi="宋体" w:cs="宋体"/>
                <w:sz w:val="24"/>
                <w:szCs w:val="24"/>
              </w:rPr>
            </w:r>
            <w:r/>
          </w:p>
        </w:tc>
        <w:tc>
          <w:tcPr>
            <w:tcW w:w="3573" w:type="pct"/>
            <w:vAlign w:val="top"/>
            <w:textDirection w:val="lrTb"/>
            <w:noWrap w:val="false"/>
          </w:tcPr>
          <w:p>
            <w:pPr>
              <w:pStyle w:val="907"/>
              <w:widowControl/>
              <w:rPr>
                <w:rFonts w:hint="eastAsia" w:ascii="宋体" w:hAnsi="宋体" w:cs="宋体"/>
                <w:sz w:val="24"/>
                <w:szCs w:val="24"/>
              </w:rPr>
            </w:pPr>
            <w:r>
              <w:rPr>
                <w:rFonts w:hint="eastAsia" w:ascii="宋体" w:hAnsi="宋体" w:cs="宋体"/>
                <w:b/>
                <w:bCs/>
                <w:i/>
                <w:iCs/>
                <w:sz w:val="24"/>
                <w:szCs w:val="24"/>
                <w:u w:val="single"/>
              </w:rPr>
              <w:t xml:space="preserve">本次实配16 CPU的计算虚拟化授权，可以对本次所投计算服务器进行统一管理，配置定时备份功能，有授权均为永久授权非订阅授权，提供承诺函并加盖公章</w:t>
            </w:r>
            <w:r>
              <w:rPr>
                <w:rFonts w:hint="eastAsia" w:ascii="宋体" w:hAnsi="宋体" w:cs="宋体"/>
                <w:sz w:val="24"/>
                <w:szCs w:val="24"/>
              </w:rPr>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restart"/>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t xml:space="preserve">成熟度要求</w:t>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厂商通过中国信通院一云多芯IAAS平台能力先进级检验，提供信通院颁发的证书。（提供证明材料）</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厂商具备国产化适配能力，云平台软件兼容国产服务器，至少适配过6家国产服务器，至少适配过6家国产芯片，支持同一管理平台下同时纳管2种以上芯片集群。（提供互认证证明和统一纳管截图）</w:t>
            </w:r>
            <w:r/>
          </w:p>
        </w:tc>
      </w:tr>
      <w:tr>
        <w:trPr>
          <w:cantSplit/>
        </w:trPr>
        <w:tc>
          <w:tcPr>
            <w:tcW w:w="789" w:type="pct"/>
            <w:vAlign w:val="center"/>
            <w:vMerge w:val="restart"/>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t xml:space="preserve">计算虚拟化</w:t>
            </w:r>
            <w:r/>
          </w:p>
        </w:tc>
        <w:tc>
          <w:tcPr>
            <w:tcW w:w="636" w:type="pct"/>
            <w:vAlign w:val="center"/>
            <w:vMerge w:val="restart"/>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t xml:space="preserve">计算虚拟化要求</w:t>
            </w:r>
            <w:r/>
          </w:p>
        </w:tc>
        <w:tc>
          <w:tcPr>
            <w:tcW w:w="3573" w:type="pct"/>
            <w:vAlign w:val="top"/>
            <w:textDirection w:val="lrTb"/>
            <w:noWrap w:val="false"/>
          </w:tcPr>
          <w:p>
            <w:pPr>
              <w:pStyle w:val="907"/>
              <w:rPr>
                <w:rFonts w:hint="eastAsia" w:ascii="宋体" w:hAnsi="宋体" w:cs="宋体"/>
                <w:sz w:val="24"/>
                <w:szCs w:val="24"/>
              </w:rPr>
            </w:pPr>
            <w:r>
              <w:rPr>
                <w:rFonts w:hint="eastAsia" w:ascii="宋体" w:hAnsi="宋体" w:cs="宋体"/>
                <w:sz w:val="24"/>
                <w:szCs w:val="24"/>
              </w:rPr>
              <w:t xml:space="preserve">支持完整的云主机生命周期管理，提供云主机的创建、删除、修改、启动、重启、暂停、停止、恢复、关闭电源、更换操作系统、重置云主机等功能。</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rPr>
                <w:rFonts w:hint="eastAsia" w:ascii="宋体" w:hAnsi="宋体" w:cs="宋体"/>
                <w:sz w:val="24"/>
                <w:szCs w:val="24"/>
              </w:rPr>
            </w:pPr>
            <w:r>
              <w:rPr>
                <w:rFonts w:hint="eastAsia" w:ascii="宋体" w:hAnsi="宋体" w:cs="宋体"/>
                <w:sz w:val="24"/>
                <w:szCs w:val="24"/>
              </w:rPr>
              <w:t xml:space="preserve">云平台需支持OVF模板管理，支持上传vmdk格式镜像，支持通过OVF模板（ovf/vmdk/mf格式）导入云主机，支持导出ova格式云主机。（</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云平台需支持云主机故障检测告警，用于检测windows蓝屏和linux死机，当云主机出现故障时及时发出告警，云平台可自动执行重启、关闭云主机或者不处理等操作。</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rPr>
                <w:rFonts w:hint="eastAsia" w:ascii="宋体" w:hAnsi="宋体" w:cs="宋体"/>
                <w:sz w:val="24"/>
                <w:szCs w:val="24"/>
              </w:rPr>
            </w:pPr>
            <w:r>
              <w:rPr>
                <w:rFonts w:hint="eastAsia" w:ascii="宋体" w:hAnsi="宋体" w:cs="宋体"/>
                <w:sz w:val="24"/>
                <w:szCs w:val="24"/>
              </w:rPr>
              <w:t xml:space="preserve">云主机需支持图形化修改启动顺序，启动顺序包括硬盘、光驱和网络。</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云主机需支持vNUMA功能，通过图形化将CPU 绑定透传关联的物理机 NUMA 节点 (pNUMA Node) 拓扑，为云主机生成 vNUMA 节点 (vNUMA Node) 拓扑，实现云主机 CPU 优先访问所在 vNUMA 节点本地内存，提高云主机性能。</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云主机需支持EmulatorPin，支持将云主机中除 vCPU 和 IO 线程外的其他线程与物理机 pCPU 进行绑定。（提供产品功能截图）</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rPr>
                <w:rFonts w:hint="eastAsia" w:ascii="宋体" w:hAnsi="宋体" w:cs="宋体"/>
                <w:sz w:val="24"/>
                <w:szCs w:val="24"/>
              </w:rPr>
            </w:pPr>
            <w:r>
              <w:rPr>
                <w:rFonts w:hint="eastAsia" w:ascii="宋体" w:hAnsi="宋体" w:cs="宋体"/>
                <w:sz w:val="24"/>
                <w:szCs w:val="24"/>
              </w:rPr>
              <w:t xml:space="preserve">云主机需支持USB设备映射，包括直连和转发两种模式，支持已挂载USB设备的云主机在线迁移到其他宿主机上，满足如加密狗等依赖USB KEY软件的业务要求。</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rPr>
                <w:rFonts w:hint="eastAsia" w:ascii="宋体" w:hAnsi="宋体" w:cs="宋体"/>
                <w:sz w:val="24"/>
                <w:szCs w:val="24"/>
              </w:rPr>
            </w:pPr>
            <w:r>
              <w:rPr>
                <w:rFonts w:hint="eastAsia" w:ascii="宋体" w:hAnsi="宋体" w:cs="宋体"/>
                <w:sz w:val="24"/>
                <w:szCs w:val="24"/>
              </w:rPr>
              <w:t xml:space="preserve">云主机需支持设置控制台密码，控制台支持VNC、SPICE和VNC+SPICE模式。（提供产品功能截图）</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需支持弹性伸缩功能，根据业务需求和策略自动调整计算能力。可根据服务器的资源使用情况，自动的新增和缩减服务器实例数。（提供产品功能截图）</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需支持主流存储类型，支持图形化对接本地存储、NFS、SAN存储、分布式存储等后端存储。</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需支持动态资源调度（DRS）功能，云平台实时监控物理机CPU和内存资源负载情况，根据配置的手动或自动调度策略，动态调整物理机上运行的云主机业务。</w:t>
            </w:r>
            <w:r/>
          </w:p>
        </w:tc>
      </w:tr>
      <w:tr>
        <w:trPr>
          <w:cantSplit/>
        </w:trPr>
        <w:tc>
          <w:tcPr>
            <w:tcW w:w="789" w:type="pct"/>
            <w:vAlign w:val="center"/>
            <w:vMerge w:val="restart"/>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t xml:space="preserve">网络虚拟化</w:t>
            </w:r>
            <w:r/>
          </w:p>
        </w:tc>
        <w:tc>
          <w:tcPr>
            <w:tcW w:w="636" w:type="pct"/>
            <w:vAlign w:val="center"/>
            <w:vMerge w:val="restart"/>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t xml:space="preserve">网络虚拟化要求</w:t>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需支持软件定义云平台内部网络，无需借助外部网络设备，云平台通过软件定义网络创建二三层网络，提供VLAN、VXLAN等二层隔离技术，支持PVLAN技术。（提供产品功能截图）</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需支持虚拟VPC路由器，VPC路由器支持高可用，提供端口转发、弹性IP、SNAT等网络服务，通过这些网络服务实现与外部网络互通，不限制数量和吞吐量。（提供产品功能截图）</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需支持通过静态路由、OSPF等路由协议实现租户内网和外部网络互通；需支持IPSecVPN功能部署点到点的VPN隧道链路；需支持组播路由功能。</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需支持安全组和虚拟防火墙，用户可自定义安全组和防火墙规则，提升云主机和租户网络安全。（提供产品功能截图）</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需支持L4/L7层负载均衡服务，负载均衡支持域名转发功能，支持设置负载均衡协议、算法、健康检查协议等选项，将虚拟IP的访问流量分发到后端服务器上，自动检测并隔离不可用的后端服务器，不限制负载均衡数量和吞吐量。</w:t>
            </w:r>
            <w:r/>
          </w:p>
        </w:tc>
      </w:tr>
      <w:tr>
        <w:trPr>
          <w:cantSplit/>
        </w:trPr>
        <w:tc>
          <w:tcPr>
            <w:tcW w:w="789" w:type="pct"/>
            <w:vAlign w:val="center"/>
            <w:vMerge w:val="restart"/>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t xml:space="preserve">云管理平台</w:t>
            </w:r>
            <w:r/>
          </w:p>
        </w:tc>
        <w:tc>
          <w:tcPr>
            <w:tcW w:w="636" w:type="pct"/>
            <w:vAlign w:val="center"/>
            <w:vMerge w:val="restart"/>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t xml:space="preserve">云平台架构要求</w:t>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采用裸金属架构，虚拟化内核基于KVM底层开发，无需绑定操作系统即可搭建虚拟化平台，支持Centos、Kylin V10和UOS等操作系统。</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云平台支持在线升级，升级步骤简单，升级过程不影响业务正常运行。（提供证明材料）</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restart"/>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t xml:space="preserve">运维管理要求</w:t>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需提供完善易用的RESTful API接口及文档，对云内所有资源（如：云主机、硬盘、网络、负载均衡、防火墙、弹性IP及监控等）提供API级别的支持，要求提供相关REST API开发手册。（提供API相关手册）</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云平台需支持API查询功能，用户可通过此功能查看控制台每一步操作关联的 API 调用情况，并自动生成API代码，提升开发运维效率。（提供产品功能截图）</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云平台需支持监控大屏功能，监控大屏支持自定义展示区域，实时展示云平台资源使用情况，包括云平台整体的CPU、内存、磁盘IO及网络资源使用情况，同时支持物理机和云主机的CPU及内存使用率top 5排行统计。</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云平台需支持自定义告警，实时监控云平台物理及虚拟资源，包括CPU、内存、磁盘和网络等，超过设定阈值持续一段时间后触发告警，自动通过短信、邮件、Microsoft Teams、钉钉和平台告警等方式通知管理员。</w:t>
            </w:r>
            <w:r/>
          </w:p>
        </w:tc>
      </w:tr>
      <w:tr>
        <w:trPr>
          <w:cantSplit/>
        </w:trPr>
        <w:tc>
          <w:tcPr>
            <w:tcW w:w="789"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636" w:type="pct"/>
            <w:vAlign w:val="center"/>
            <w:vMerge w:val="continue"/>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云平台需支持智能优化调优功能，通过一键全局设置，快速优化云平台能力，包括云平台性能调优、生产环境优化、高可用快速恢复和安全配置等。（提供产品功能截图）</w:t>
            </w:r>
            <w:r/>
          </w:p>
        </w:tc>
      </w:tr>
      <w:tr>
        <w:trPr>
          <w:cantSplit/>
        </w:trPr>
        <w:tc>
          <w:tcPr>
            <w:tcW w:w="789" w:type="pct"/>
            <w:vAlign w:val="center"/>
            <w:vMerge w:val="restart"/>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t xml:space="preserve">备份管理</w:t>
            </w:r>
            <w:r/>
          </w:p>
        </w:tc>
        <w:tc>
          <w:tcPr>
            <w:tcW w:w="636" w:type="pct"/>
            <w:vAlign w:val="center"/>
            <w:vMerge w:val="restart"/>
            <w:textDirection w:val="lrTb"/>
            <w:noWrap w:val="false"/>
          </w:tcPr>
          <w:p>
            <w:pPr>
              <w:pStyle w:val="907"/>
              <w:jc w:val="center"/>
              <w:rPr>
                <w:rFonts w:hint="eastAsia" w:ascii="宋体" w:hAnsi="宋体" w:cs="宋体"/>
                <w:sz w:val="24"/>
                <w:szCs w:val="24"/>
              </w:rPr>
            </w:pPr>
            <w:r>
              <w:rPr>
                <w:rFonts w:hint="eastAsia" w:ascii="宋体" w:hAnsi="宋体" w:cs="宋体"/>
                <w:sz w:val="24"/>
                <w:szCs w:val="24"/>
              </w:rPr>
              <w:t xml:space="preserve">备份技术要求</w:t>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支持对云主机及云盘进行定时的全量及增量备份，内置在云平台，和云平台同品牌；支持将云主机、云盘以及云平台数据库的本地备份、异地备份和公有云备份。</w:t>
            </w:r>
            <w:r/>
          </w:p>
        </w:tc>
      </w:tr>
      <w:tr>
        <w:trPr>
          <w:cantSplit/>
        </w:trPr>
        <w:tc>
          <w:tcPr>
            <w:tcW w:w="789" w:type="pct"/>
            <w:vAlign w:val="top"/>
            <w:vMerge w:val="continue"/>
            <w:textDirection w:val="lrTb"/>
            <w:noWrap w:val="false"/>
          </w:tcPr>
          <w:p>
            <w:pPr>
              <w:pStyle w:val="907"/>
              <w:rPr>
                <w:rFonts w:hint="eastAsia" w:ascii="宋体" w:hAnsi="宋体" w:cs="宋体"/>
                <w:sz w:val="24"/>
                <w:szCs w:val="24"/>
              </w:rPr>
            </w:pPr>
            <w:r>
              <w:rPr>
                <w:rFonts w:hint="eastAsia" w:ascii="宋体" w:hAnsi="宋体" w:cs="宋体"/>
                <w:sz w:val="24"/>
                <w:szCs w:val="24"/>
              </w:rPr>
            </w:r>
            <w:r/>
          </w:p>
        </w:tc>
        <w:tc>
          <w:tcPr>
            <w:tcW w:w="636" w:type="pct"/>
            <w:vAlign w:val="top"/>
            <w:vMerge w:val="continue"/>
            <w:textDirection w:val="lrTb"/>
            <w:noWrap w:val="false"/>
          </w:tcPr>
          <w:p>
            <w:pPr>
              <w:pStyle w:val="907"/>
              <w:rPr>
                <w:rFonts w:hint="eastAsia" w:ascii="宋体" w:hAnsi="宋体" w:cs="宋体"/>
                <w:sz w:val="24"/>
                <w:szCs w:val="24"/>
              </w:rPr>
            </w:pPr>
            <w:r>
              <w:rPr>
                <w:rFonts w:hint="eastAsia" w:ascii="宋体" w:hAnsi="宋体" w:cs="宋体"/>
                <w:sz w:val="24"/>
                <w:szCs w:val="24"/>
              </w:rPr>
            </w:r>
            <w:r/>
          </w:p>
        </w:tc>
        <w:tc>
          <w:tcPr>
            <w:tcW w:w="3573" w:type="pct"/>
            <w:vAlign w:val="top"/>
            <w:textDirection w:val="lrTb"/>
            <w:noWrap w:val="false"/>
          </w:tcPr>
          <w:p>
            <w:pPr>
              <w:pStyle w:val="907"/>
              <w:jc w:val="left"/>
              <w:widowControl/>
              <w:rPr>
                <w:rFonts w:hint="eastAsia" w:ascii="宋体" w:hAnsi="宋体" w:cs="宋体"/>
                <w:sz w:val="24"/>
                <w:szCs w:val="24"/>
              </w:rPr>
            </w:pPr>
            <w:r>
              <w:rPr>
                <w:rFonts w:hint="eastAsia" w:ascii="宋体" w:hAnsi="宋体" w:cs="宋体"/>
                <w:sz w:val="24"/>
                <w:szCs w:val="24"/>
              </w:rPr>
              <w:t xml:space="preserve">支持增量及定时全量备份，备份间隔可指定小时、天、周，最小备份间隔可达到15分钟，同时须支持配置保留备份天数。备份任务支持网络QoS和磁盘QoS，保证备份服务不影响正常业务服务质量。</w:t>
            </w:r>
            <w:r/>
          </w:p>
        </w:tc>
      </w:tr>
    </w:tbl>
    <w:p>
      <w:pPr>
        <w:pStyle w:val="907"/>
        <w:rPr>
          <w:rFonts w:hint="eastAsia" w:ascii="Times New Roman" w:hAnsi="Times New Roman"/>
        </w:rPr>
      </w:pPr>
      <w:r>
        <w:rPr>
          <w:rFonts w:hint="eastAsia" w:ascii="Times New Roman" w:hAnsi="Times New Roman"/>
        </w:rPr>
      </w:r>
      <w:r/>
    </w:p>
    <w:p>
      <w:pPr>
        <w:pStyle w:val="907"/>
        <w:keepLines/>
        <w:keepNext/>
        <w:spacing w:before="260" w:after="260" w:line="413" w:lineRule="auto"/>
        <w:rPr>
          <w:rFonts w:hint="eastAsia" w:ascii="Arial" w:hAnsi="Arial" w:eastAsia="黑体"/>
          <w:b/>
          <w:sz w:val="32"/>
        </w:rPr>
        <w:outlineLvl w:val="1"/>
      </w:pPr>
      <w:r>
        <w:rPr>
          <w:rFonts w:hint="eastAsia" w:ascii="Arial" w:hAnsi="Arial" w:eastAsia="黑体"/>
          <w:b/>
          <w:sz w:val="32"/>
        </w:rPr>
        <w:t xml:space="preserve">2.5内存条 30根</w:t>
      </w:r>
      <w:r/>
    </w:p>
    <w:tbl>
      <w:tblPr>
        <w:tblW w:w="85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9"/>
        <w:gridCol w:w="4858"/>
        <w:gridCol w:w="2316"/>
      </w:tblGrid>
      <w:tr>
        <w:trPr>
          <w:trHeight w:val="576"/>
        </w:trPr>
        <w:tc>
          <w:tcPr>
            <w:tcW w:w="1399" w:type="dxa"/>
            <w:vAlign w:val="center"/>
            <w:textDirection w:val="lrTb"/>
            <w:noWrap w:val="false"/>
          </w:tcPr>
          <w:p>
            <w:pPr>
              <w:pStyle w:val="907"/>
              <w:jc w:val="center"/>
              <w:rPr>
                <w:rFonts w:hint="eastAsia" w:ascii="Times New Roman" w:hAnsi="Times New Roman"/>
                <w:sz w:val="22"/>
              </w:rPr>
            </w:pPr>
            <w:r>
              <w:rPr>
                <w:rFonts w:hint="eastAsia" w:ascii="Times New Roman" w:hAnsi="Times New Roman"/>
                <w:sz w:val="22"/>
              </w:rPr>
              <w:t xml:space="preserve">1</w:t>
            </w:r>
            <w:r/>
          </w:p>
        </w:tc>
        <w:tc>
          <w:tcPr>
            <w:tcW w:w="4858" w:type="dxa"/>
            <w:vAlign w:val="center"/>
            <w:textDirection w:val="lrTb"/>
            <w:noWrap w:val="false"/>
          </w:tcPr>
          <w:p>
            <w:pPr>
              <w:pStyle w:val="907"/>
              <w:jc w:val="center"/>
              <w:rPr>
                <w:rFonts w:hint="eastAsia" w:ascii="Times New Roman" w:hAnsi="Times New Roman"/>
                <w:sz w:val="22"/>
              </w:rPr>
            </w:pPr>
            <w:r>
              <w:rPr>
                <w:rFonts w:hint="eastAsia" w:ascii="Times New Roman" w:hAnsi="Times New Roman"/>
                <w:sz w:val="22"/>
              </w:rPr>
              <w:t xml:space="preserve">64G DDR5 RECC 2R×4 5600频率</w:t>
            </w:r>
            <w:r/>
          </w:p>
        </w:tc>
        <w:tc>
          <w:tcPr>
            <w:tcW w:w="2316" w:type="dxa"/>
            <w:vAlign w:val="center"/>
            <w:textDirection w:val="lrTb"/>
            <w:noWrap w:val="false"/>
          </w:tcPr>
          <w:p>
            <w:pPr>
              <w:pStyle w:val="907"/>
              <w:jc w:val="center"/>
              <w:rPr>
                <w:rFonts w:ascii="Times New Roman" w:hAnsi="Times New Roman"/>
                <w:sz w:val="22"/>
              </w:rPr>
            </w:pPr>
            <w:r>
              <w:rPr>
                <w:rFonts w:hint="eastAsia" w:ascii="Times New Roman" w:hAnsi="Times New Roman"/>
                <w:sz w:val="22"/>
              </w:rPr>
              <w:t xml:space="preserve">30根</w:t>
            </w:r>
            <w:r>
              <w:rPr>
                <w:rFonts w:ascii="Times New Roman" w:hAnsi="Times New Roman"/>
                <w:sz w:val="22"/>
              </w:rPr>
            </w:r>
            <w:r/>
          </w:p>
        </w:tc>
      </w:tr>
    </w:tbl>
    <w:p>
      <w:pPr>
        <w:pStyle w:val="907"/>
        <w:spacing w:line="0" w:lineRule="atLeast"/>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pStyle w:val="907"/>
        <w:ind w:firstLine="420"/>
        <w:keepLines/>
        <w:keepNext/>
        <w:spacing w:after="156"/>
        <w:rPr>
          <w:rFonts w:ascii="Arial" w:hAnsi="Arial" w:eastAsia="黑体" w:cs="Arial"/>
          <w:sz w:val="28"/>
          <w:szCs w:val="28"/>
        </w:rPr>
        <w:outlineLvl w:val="3"/>
      </w:pPr>
      <w:r>
        <w:rPr>
          <w:rFonts w:hint="eastAsia" w:ascii="Arial" w:hAnsi="Arial" w:eastAsia="黑体" w:cs="Arial"/>
          <w:sz w:val="28"/>
          <w:szCs w:val="28"/>
        </w:rPr>
        <w:t xml:space="preserve">1、履行时限、履行方式及履行地点</w:t>
      </w:r>
      <w:r>
        <w:rPr>
          <w:rFonts w:ascii="Arial" w:hAnsi="Arial" w:eastAsia="黑体" w:cs="Arial"/>
          <w:sz w:val="28"/>
          <w:szCs w:val="28"/>
        </w:rPr>
      </w:r>
      <w:r/>
    </w:p>
    <w:p>
      <w:pPr>
        <w:pStyle w:val="907"/>
        <w:ind w:firstLine="480"/>
        <w:spacing w:line="360" w:lineRule="auto"/>
        <w:tabs>
          <w:tab w:val="left" w:pos="360"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 履行时限：签订合同后30日内完成整体项目验收。</w:t>
      </w:r>
      <w:r>
        <w:rPr>
          <w:rFonts w:ascii="宋体" w:hAnsi="宋体" w:cs="宋体"/>
          <w:sz w:val="24"/>
        </w:rPr>
      </w:r>
      <w:r/>
    </w:p>
    <w:p>
      <w:pPr>
        <w:pStyle w:val="907"/>
        <w:ind w:firstLine="480"/>
        <w:spacing w:line="360" w:lineRule="auto"/>
        <w:tabs>
          <w:tab w:val="left" w:pos="360"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 履行方式：中标人在买方指定地点交货，并完成安装、调试。</w:t>
      </w:r>
      <w:r>
        <w:rPr>
          <w:rFonts w:ascii="宋体" w:hAnsi="宋体" w:cs="宋体"/>
          <w:sz w:val="24"/>
        </w:rPr>
      </w:r>
      <w:r/>
    </w:p>
    <w:p>
      <w:pPr>
        <w:pStyle w:val="907"/>
        <w:ind w:firstLine="480"/>
        <w:spacing w:line="360" w:lineRule="auto"/>
        <w:tabs>
          <w:tab w:val="left" w:pos="360"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 履行地点：南京市内采购人指定地点。</w:t>
      </w:r>
      <w:r>
        <w:rPr>
          <w:rFonts w:ascii="宋体" w:hAnsi="宋体" w:cs="宋体"/>
          <w:sz w:val="24"/>
        </w:rPr>
      </w:r>
      <w:r/>
    </w:p>
    <w:p>
      <w:pPr>
        <w:pStyle w:val="907"/>
        <w:ind w:firstLine="420"/>
        <w:keepLines/>
        <w:keepNext/>
        <w:spacing w:after="156"/>
        <w:rPr>
          <w:rFonts w:ascii="Arial" w:hAnsi="Arial" w:eastAsia="黑体" w:cs="Arial"/>
          <w:sz w:val="28"/>
          <w:szCs w:val="28"/>
        </w:rPr>
        <w:outlineLvl w:val="3"/>
      </w:pPr>
      <w:r>
        <w:rPr>
          <w:rFonts w:hint="eastAsia" w:ascii="Arial" w:hAnsi="Arial" w:eastAsia="黑体" w:cs="Arial"/>
          <w:sz w:val="28"/>
          <w:szCs w:val="28"/>
        </w:rPr>
        <w:t xml:space="preserve">2、货款支付</w:t>
      </w:r>
      <w:r>
        <w:rPr>
          <w:rFonts w:ascii="Arial" w:hAnsi="Arial" w:eastAsia="黑体" w:cs="Arial"/>
          <w:sz w:val="28"/>
          <w:szCs w:val="28"/>
        </w:rPr>
      </w:r>
      <w:r/>
    </w:p>
    <w:p>
      <w:pPr>
        <w:pStyle w:val="907"/>
        <w:ind w:firstLine="480"/>
        <w:spacing w:line="400" w:lineRule="exact"/>
        <w:rPr>
          <w:rFonts w:hint="eastAsia" w:ascii="宋体" w:hAnsi="宋体"/>
          <w:sz w:val="24"/>
          <w:szCs w:val="24"/>
        </w:rPr>
      </w:pPr>
      <w:r>
        <w:rPr>
          <w:rFonts w:hint="eastAsia" w:ascii="宋体" w:hAnsi="宋体"/>
          <w:sz w:val="24"/>
          <w:szCs w:val="24"/>
        </w:rPr>
        <w:t xml:space="preserve">货到安装完毕并验收合格后，采购人支付合同总价的90％；使用1年无质量问题后无息支付合同总价的10％。</w:t>
      </w:r>
      <w:r/>
    </w:p>
    <w:p>
      <w:pPr>
        <w:pStyle w:val="907"/>
        <w:numPr>
          <w:ilvl w:val="0"/>
          <w:numId w:val="12"/>
        </w:numPr>
        <w:ind w:firstLine="420"/>
        <w:keepLines/>
        <w:keepNext/>
        <w:spacing w:after="156"/>
        <w:rPr>
          <w:rFonts w:hint="eastAsia" w:ascii="Arial" w:hAnsi="Arial" w:eastAsia="黑体" w:cs="Arial"/>
          <w:sz w:val="28"/>
          <w:szCs w:val="28"/>
        </w:rPr>
        <w:outlineLvl w:val="3"/>
      </w:pPr>
      <w:r>
        <w:rPr>
          <w:rFonts w:hint="eastAsia" w:ascii="Arial" w:hAnsi="Arial" w:eastAsia="黑体" w:cs="Arial"/>
          <w:sz w:val="28"/>
          <w:szCs w:val="28"/>
        </w:rPr>
        <w:t xml:space="preserve">质保要求</w:t>
      </w:r>
      <w:r/>
    </w:p>
    <w:p>
      <w:pPr>
        <w:pStyle w:val="907"/>
        <w:numPr>
          <w:ilvl w:val="0"/>
          <w:numId w:val="13"/>
        </w:numPr>
        <w:spacing w:line="360" w:lineRule="auto"/>
        <w:tabs>
          <w:tab w:val="left" w:pos="360"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宋体" w:hAnsi="宋体" w:cs="宋体"/>
          <w:sz w:val="24"/>
        </w:rPr>
        <w:t xml:space="preserve">整体包含五年原厂免费服务</w:t>
      </w:r>
      <w:r>
        <w:rPr>
          <w:rFonts w:hint="eastAsia" w:ascii="宋体" w:hAnsi="宋体" w:cs="宋体"/>
          <w:sz w:val="24"/>
        </w:rPr>
        <w:t xml:space="preserve">，</w:t>
      </w:r>
      <w:r>
        <w:rPr>
          <w:rFonts w:ascii="宋体" w:hAnsi="宋体" w:cs="宋体"/>
          <w:sz w:val="24"/>
        </w:rPr>
        <w:t xml:space="preserve">包含设备硬件质保、硬盘免回收、</w:t>
      </w:r>
      <w:r>
        <w:rPr>
          <w:rFonts w:hint="eastAsia" w:ascii="宋体" w:hAnsi="宋体" w:cs="宋体"/>
          <w:sz w:val="24"/>
        </w:rPr>
        <w:t xml:space="preserve">虚拟化</w:t>
      </w:r>
      <w:r>
        <w:rPr>
          <w:rFonts w:ascii="宋体" w:hAnsi="宋体" w:cs="宋体"/>
          <w:sz w:val="24"/>
        </w:rPr>
        <w:t xml:space="preserve">软件升级及维护、应急保障，服务形式包括且不限于电话咨询、邮件互动、上门技术支持、远程支持等</w:t>
      </w:r>
      <w:r/>
    </w:p>
    <w:p>
      <w:pPr>
        <w:pStyle w:val="907"/>
        <w:numPr>
          <w:ilvl w:val="0"/>
          <w:numId w:val="13"/>
        </w:numPr>
        <w:spacing w:line="360" w:lineRule="auto"/>
        <w:tabs>
          <w:tab w:val="left" w:pos="360"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针对服务器提供原厂5年故障硬盘免回收服务。</w:t>
      </w:r>
      <w:r>
        <w:rPr>
          <w:rFonts w:ascii="宋体" w:hAnsi="宋体" w:cs="宋体"/>
          <w:sz w:val="24"/>
        </w:rPr>
      </w:r>
      <w:r/>
    </w:p>
    <w:p>
      <w:pPr>
        <w:pStyle w:val="907"/>
        <w:contextualSpacing/>
        <w:ind w:left="720"/>
        <w:jc w:val="left"/>
        <w:widowControl/>
        <w:rPr>
          <w:sz w:val="24"/>
          <w:szCs w:val="24"/>
          <w:lang w:bidi="en-US"/>
        </w:rPr>
      </w:pPr>
      <w:r>
        <w:rPr>
          <w:sz w:val="24"/>
          <w:szCs w:val="24"/>
          <w:lang w:bidi="en-US"/>
        </w:rPr>
      </w:r>
      <w:r/>
    </w:p>
    <w:p>
      <w:pPr>
        <w:pStyle w:val="907"/>
        <w:numPr>
          <w:ilvl w:val="0"/>
          <w:numId w:val="12"/>
        </w:numPr>
        <w:ind w:firstLine="420"/>
        <w:keepLines/>
        <w:keepNext/>
        <w:spacing w:after="156"/>
        <w:rPr>
          <w:rFonts w:ascii="Arial" w:hAnsi="Arial" w:eastAsia="黑体" w:cs="Arial"/>
          <w:b/>
          <w:bCs/>
          <w:sz w:val="28"/>
          <w:szCs w:val="28"/>
        </w:rPr>
        <w:outlineLvl w:val="3"/>
      </w:pPr>
      <w:r>
        <w:rPr>
          <w:rFonts w:hint="eastAsia" w:ascii="Arial" w:hAnsi="Arial" w:eastAsia="黑体" w:cs="Arial"/>
          <w:sz w:val="28"/>
          <w:szCs w:val="28"/>
        </w:rPr>
        <w:t xml:space="preserve">其他服务要求</w:t>
      </w:r>
      <w:r>
        <w:rPr>
          <w:rFonts w:ascii="Arial" w:hAnsi="Arial" w:eastAsia="黑体" w:cs="Arial"/>
          <w:b/>
          <w:bCs/>
          <w:sz w:val="28"/>
          <w:szCs w:val="28"/>
        </w:rPr>
      </w:r>
      <w:r/>
    </w:p>
    <w:p>
      <w:pPr>
        <w:pStyle w:val="907"/>
        <w:numPr>
          <w:ilvl w:val="0"/>
          <w:numId w:val="14"/>
        </w:numPr>
        <w:ind w:firstLine="480"/>
        <w:spacing w:line="360" w:lineRule="auto"/>
        <w:rPr>
          <w:rFonts w:ascii="宋体" w:hAnsi="宋体" w:cs="宋体"/>
          <w:sz w:val="24"/>
          <w:szCs w:val="24"/>
        </w:rPr>
      </w:pPr>
      <w:r>
        <w:rPr>
          <w:rFonts w:ascii="宋体" w:hAnsi="宋体" w:cs="宋体"/>
          <w:sz w:val="24"/>
          <w:szCs w:val="24"/>
        </w:rPr>
        <w:t xml:space="preserve">供应商提供</w:t>
      </w:r>
      <w:r>
        <w:rPr>
          <w:rFonts w:hint="eastAsia" w:ascii="宋体" w:hAnsi="宋体" w:cs="宋体"/>
          <w:sz w:val="24"/>
          <w:szCs w:val="24"/>
        </w:rPr>
        <w:t xml:space="preserve">本项目中硬件</w:t>
      </w:r>
      <w:r>
        <w:rPr>
          <w:rFonts w:ascii="宋体" w:hAnsi="宋体" w:cs="宋体"/>
          <w:sz w:val="24"/>
          <w:szCs w:val="24"/>
        </w:rPr>
        <w:t xml:space="preserve">设备上架</w:t>
      </w:r>
      <w:r>
        <w:rPr>
          <w:rFonts w:hint="eastAsia" w:ascii="宋体" w:hAnsi="宋体" w:cs="宋体"/>
          <w:sz w:val="24"/>
          <w:szCs w:val="24"/>
        </w:rPr>
        <w:t xml:space="preserve">、</w:t>
      </w:r>
      <w:r>
        <w:rPr>
          <w:rFonts w:ascii="宋体" w:hAnsi="宋体" w:cs="宋体"/>
          <w:sz w:val="24"/>
          <w:szCs w:val="24"/>
        </w:rPr>
        <w:t xml:space="preserve">安装</w:t>
      </w:r>
      <w:r>
        <w:rPr>
          <w:rFonts w:hint="eastAsia" w:ascii="宋体" w:hAnsi="宋体" w:cs="宋体"/>
          <w:sz w:val="24"/>
          <w:szCs w:val="24"/>
        </w:rPr>
        <w:t xml:space="preserve">部署</w:t>
      </w:r>
      <w:r>
        <w:rPr>
          <w:rFonts w:ascii="宋体" w:hAnsi="宋体" w:cs="宋体"/>
          <w:sz w:val="24"/>
          <w:szCs w:val="24"/>
        </w:rPr>
        <w:t xml:space="preserve">与集成服务，</w:t>
      </w:r>
      <w:r>
        <w:rPr>
          <w:rFonts w:hint="eastAsia" w:ascii="宋体" w:hAnsi="宋体" w:cs="宋体"/>
          <w:sz w:val="24"/>
          <w:szCs w:val="24"/>
        </w:rPr>
        <w:t xml:space="preserve">提供项目中所用的模块、线缆等配件，</w:t>
      </w:r>
      <w:r>
        <w:rPr>
          <w:rFonts w:ascii="宋体" w:hAnsi="宋体" w:cs="宋体"/>
          <w:sz w:val="24"/>
          <w:szCs w:val="24"/>
        </w:rPr>
        <w:t xml:space="preserve">并支持用户完成相关数据的迁移工作</w:t>
      </w:r>
      <w:r/>
    </w:p>
    <w:p>
      <w:pPr>
        <w:pStyle w:val="907"/>
        <w:numPr>
          <w:ilvl w:val="0"/>
          <w:numId w:val="14"/>
        </w:numPr>
        <w:ind w:firstLine="480"/>
        <w:spacing w:line="360" w:lineRule="auto"/>
        <w:rPr>
          <w:rFonts w:ascii="宋体" w:hAnsi="宋体" w:cs="宋体"/>
          <w:sz w:val="24"/>
          <w:szCs w:val="24"/>
        </w:rPr>
      </w:pPr>
      <w:r>
        <w:rPr>
          <w:rFonts w:ascii="宋体" w:hAnsi="宋体" w:cs="宋体"/>
          <w:sz w:val="24"/>
          <w:szCs w:val="24"/>
        </w:rPr>
        <w:t xml:space="preserve">对用户提供相关设备的操作，管理以及日常维护的培训</w:t>
      </w:r>
      <w:r/>
    </w:p>
    <w:p>
      <w:pPr>
        <w:pStyle w:val="907"/>
        <w:numPr>
          <w:ilvl w:val="0"/>
          <w:numId w:val="14"/>
        </w:numPr>
        <w:ind w:firstLine="480"/>
        <w:spacing w:line="360" w:lineRule="auto"/>
        <w:rPr>
          <w:rFonts w:ascii="宋体" w:hAnsi="宋体" w:cs="宋体"/>
          <w:sz w:val="24"/>
          <w:szCs w:val="24"/>
        </w:rPr>
      </w:pPr>
      <w:r>
        <w:rPr>
          <w:rFonts w:ascii="宋体" w:hAnsi="宋体" w:cs="宋体"/>
          <w:sz w:val="24"/>
          <w:szCs w:val="24"/>
        </w:rPr>
        <w:t xml:space="preserve">每</w:t>
      </w:r>
      <w:r>
        <w:rPr>
          <w:rFonts w:hint="eastAsia" w:ascii="宋体" w:hAnsi="宋体" w:cs="宋体"/>
          <w:sz w:val="24"/>
          <w:szCs w:val="24"/>
        </w:rPr>
        <w:t xml:space="preserve">月</w:t>
      </w:r>
      <w:r>
        <w:rPr>
          <w:rFonts w:ascii="宋体" w:hAnsi="宋体" w:cs="宋体"/>
          <w:sz w:val="24"/>
          <w:szCs w:val="24"/>
        </w:rPr>
        <w:t xml:space="preserve">一次现场巡检，详细检查设备的健康状况、分析日志及版本信息，及时对需要升级的固件或服务进行升级、对有隐患的部件进行更换</w:t>
      </w:r>
      <w:r/>
    </w:p>
    <w:p>
      <w:pPr>
        <w:pStyle w:val="907"/>
        <w:numPr>
          <w:ilvl w:val="0"/>
          <w:numId w:val="14"/>
        </w:numPr>
        <w:ind w:firstLine="480"/>
        <w:spacing w:line="360" w:lineRule="auto"/>
        <w:rPr>
          <w:rFonts w:ascii="宋体" w:hAnsi="宋体" w:cs="宋体"/>
          <w:sz w:val="24"/>
          <w:szCs w:val="24"/>
        </w:rPr>
      </w:pPr>
      <w:r>
        <w:rPr>
          <w:rFonts w:ascii="宋体" w:hAnsi="宋体" w:cs="宋体"/>
          <w:sz w:val="24"/>
          <w:szCs w:val="24"/>
        </w:rPr>
        <w:t xml:space="preserve">对用户的报告的故障实时响应并及时处理，平均修复时间不超过48小时</w:t>
      </w:r>
      <w:r/>
    </w:p>
    <w:p>
      <w:pPr>
        <w:pStyle w:val="907"/>
        <w:numPr>
          <w:ilvl w:val="0"/>
          <w:numId w:val="14"/>
        </w:numPr>
        <w:ind w:firstLine="480"/>
        <w:spacing w:line="360" w:lineRule="auto"/>
        <w:rPr>
          <w:rFonts w:ascii="宋体" w:hAnsi="宋体" w:cs="宋体"/>
          <w:sz w:val="24"/>
          <w:szCs w:val="24"/>
        </w:rPr>
      </w:pPr>
      <w:r>
        <w:rPr>
          <w:rFonts w:ascii="宋体" w:hAnsi="宋体" w:cs="宋体"/>
          <w:sz w:val="24"/>
          <w:szCs w:val="24"/>
        </w:rPr>
        <w:t xml:space="preserve">对于重大故障需要在4小时内提供现场维修服务，如在8个小时内无法修复的，需提供替代方案或设备（注：重大故障是指严重影响业务运行性能或阻碍业务继续运行的情况）</w:t>
      </w:r>
      <w:r/>
    </w:p>
    <w:p>
      <w:pPr>
        <w:pStyle w:val="907"/>
        <w:numPr>
          <w:ilvl w:val="0"/>
          <w:numId w:val="14"/>
        </w:numPr>
        <w:ind w:firstLine="480"/>
        <w:spacing w:line="360" w:lineRule="auto"/>
        <w:rPr>
          <w:rFonts w:hint="eastAsia" w:ascii="Times New Roman" w:hAnsi="Times New Roman"/>
          <w:bCs/>
        </w:rPr>
      </w:pPr>
      <w:r>
        <w:rPr>
          <w:rFonts w:ascii="宋体" w:hAnsi="宋体" w:cs="宋体"/>
          <w:sz w:val="24"/>
          <w:szCs w:val="24"/>
        </w:rPr>
        <w:t xml:space="preserve">所有服务支持与更换的硬件设备不再收取任何费用。服务期内因乙方原因不再提供当前版本支持与维护，甲方不支付任何费用，且乙方必须提供平滑升级方案，保证服务的正常运行（最大修复时间不超过48小时）</w:t>
      </w:r>
      <w:r>
        <w:rPr>
          <w:rFonts w:hint="eastAsia" w:ascii="Times New Roman" w:hAnsi="Times New Roman"/>
          <w:bCs/>
        </w:rPr>
      </w:r>
      <w:r/>
    </w:p>
    <w:p>
      <w:pPr>
        <w:pStyle w:val="907"/>
        <w:numPr>
          <w:ilvl w:val="0"/>
          <w:numId w:val="14"/>
        </w:numPr>
        <w:ind w:firstLine="480"/>
        <w:spacing w:line="0" w:lineRule="atLeast"/>
        <w:rPr>
          <w:rFonts w:ascii="宋体" w:hAnsi="宋体"/>
          <w:sz w:val="24"/>
          <w:szCs w:val="24"/>
        </w:rPr>
      </w:pPr>
      <w:r>
        <w:rPr>
          <w:rFonts w:hint="eastAsia" w:ascii="宋体" w:hAnsi="宋体" w:cs="宋体"/>
          <w:sz w:val="24"/>
          <w:szCs w:val="24"/>
        </w:rPr>
        <w:t xml:space="preserve">保密性要求：项目实施与运维过程中，须提交给用户方所有设备的维护台账信息、平台底层操作系统账号信息等，信息包含不限于使用的IP地址、普通用户与密码、超级管理员用户(root)与密码等，使用平台相关信息须与学校签订相关数据安全保密协议，并纳入合同条款。</w:t>
      </w:r>
      <w:r>
        <w:rPr>
          <w:rFonts w:ascii="宋体" w:hAnsi="宋体"/>
          <w:sz w:val="24"/>
          <w:szCs w:val="24"/>
        </w:rPr>
      </w:r>
      <w:r/>
    </w:p>
    <w:p>
      <w:pPr>
        <w:pStyle w:val="907"/>
        <w:spacing w:line="0" w:lineRule="atLeast"/>
        <w:rPr>
          <w:rFonts w:hint="eastAsia" w:ascii="宋体" w:hAnsi="宋体"/>
          <w:b/>
          <w:sz w:val="24"/>
          <w:szCs w:val="24"/>
        </w:rPr>
      </w:pPr>
      <w:r>
        <w:rPr>
          <w:rFonts w:hint="eastAsia" w:ascii="宋体" w:hAnsi="宋体"/>
          <w:b/>
          <w:sz w:val="24"/>
          <w:szCs w:val="24"/>
        </w:rPr>
        <w:t xml:space="preserve">四</w:t>
      </w:r>
      <w:r>
        <w:rPr>
          <w:rFonts w:ascii="宋体" w:hAnsi="宋体"/>
          <w:b/>
          <w:sz w:val="24"/>
          <w:szCs w:val="24"/>
        </w:rPr>
        <w:t xml:space="preserve">、其他要求</w:t>
      </w:r>
      <w:r>
        <w:rPr>
          <w:rFonts w:hint="eastAsia" w:ascii="宋体" w:hAnsi="宋体"/>
          <w:b/>
          <w:sz w:val="24"/>
          <w:szCs w:val="24"/>
        </w:rPr>
      </w:r>
      <w:r/>
    </w:p>
    <w:p>
      <w:pPr>
        <w:pStyle w:val="907"/>
        <w:spacing w:line="0" w:lineRule="atLeast"/>
        <w:rPr>
          <w:rFonts w:hint="eastAsia" w:ascii="宋体" w:hAnsi="宋体"/>
          <w:sz w:val="24"/>
          <w:szCs w:val="24"/>
        </w:rPr>
      </w:pPr>
      <w:r>
        <w:rPr>
          <w:rFonts w:hint="eastAsia" w:ascii="宋体" w:hAnsi="宋体"/>
          <w:sz w:val="24"/>
          <w:szCs w:val="24"/>
        </w:rPr>
        <w:t xml:space="preserve">1. 项目属性:货物类项目。</w:t>
      </w:r>
      <w:r/>
    </w:p>
    <w:p>
      <w:pPr>
        <w:pStyle w:val="907"/>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7"/>
              <w:jc w:val="center"/>
              <w:rPr>
                <w:rFonts w:ascii="宋体" w:hAnsi="宋体"/>
                <w:szCs w:val="21"/>
              </w:rPr>
            </w:pPr>
            <w:r>
              <w:rPr>
                <w:rFonts w:hint="eastAsia" w:ascii="宋体" w:hAnsi="宋体"/>
                <w:szCs w:val="21"/>
              </w:rPr>
              <w:t xml:space="preserve">采购</w:t>
            </w:r>
            <w:r>
              <w:rPr>
                <w:rFonts w:ascii="宋体" w:hAnsi="宋体"/>
                <w:szCs w:val="21"/>
              </w:rPr>
            </w:r>
            <w:r/>
          </w:p>
          <w:p>
            <w:pPr>
              <w:pStyle w:val="907"/>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pStyle w:val="907"/>
              <w:jc w:val="center"/>
              <w:rPr>
                <w:rFonts w:hint="eastAsia" w:ascii="宋体" w:hAnsi="宋体"/>
                <w:szCs w:val="21"/>
              </w:rPr>
            </w:pPr>
            <w:r>
              <w:rPr>
                <w:rFonts w:hint="eastAsia" w:ascii="宋体" w:hAnsi="宋体"/>
                <w:szCs w:val="21"/>
              </w:rPr>
              <w:t xml:space="preserve">核心产品</w:t>
            </w:r>
            <w:r/>
          </w:p>
        </w:tc>
      </w:tr>
      <w:tr>
        <w:trPr/>
        <w:tc>
          <w:tcPr>
            <w:tcW w:w="896" w:type="dxa"/>
            <w:vAlign w:val="top"/>
            <w:textDirection w:val="lrTb"/>
            <w:noWrap w:val="false"/>
          </w:tcPr>
          <w:p>
            <w:pPr>
              <w:pStyle w:val="907"/>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7"/>
              <w:jc w:val="center"/>
              <w:rPr>
                <w:rFonts w:hint="eastAsia" w:ascii="宋体" w:hAnsi="宋体"/>
                <w:szCs w:val="21"/>
              </w:rPr>
            </w:pPr>
            <w:r>
              <w:rPr>
                <w:rFonts w:hint="eastAsia" w:ascii="宋体" w:hAnsi="宋体"/>
                <w:sz w:val="24"/>
                <w:szCs w:val="24"/>
              </w:rPr>
              <w:t xml:space="preserve">计算服务器</w:t>
            </w:r>
            <w:r>
              <w:rPr>
                <w:rFonts w:hint="eastAsia" w:ascii="宋体" w:hAnsi="宋体"/>
                <w:szCs w:val="21"/>
              </w:rPr>
            </w:r>
            <w:r/>
          </w:p>
        </w:tc>
      </w:tr>
      <w:tr>
        <w:trPr/>
        <w:tc>
          <w:tcPr>
            <w:tcW w:w="896" w:type="dxa"/>
            <w:vAlign w:val="top"/>
            <w:textDirection w:val="lrTb"/>
            <w:noWrap w:val="false"/>
          </w:tcPr>
          <w:p>
            <w:pPr>
              <w:pStyle w:val="907"/>
              <w:jc w:val="center"/>
              <w:rPr>
                <w:rFonts w:ascii="宋体" w:hAnsi="宋体"/>
                <w:szCs w:val="21"/>
              </w:rPr>
            </w:pPr>
            <w:r>
              <w:rPr>
                <w:rFonts w:ascii="宋体" w:hAnsi="宋体"/>
                <w:szCs w:val="21"/>
              </w:rPr>
            </w:r>
            <w:r/>
          </w:p>
        </w:tc>
        <w:tc>
          <w:tcPr>
            <w:tcW w:w="3052" w:type="dxa"/>
            <w:vAlign w:val="top"/>
            <w:textDirection w:val="lrTb"/>
            <w:noWrap w:val="false"/>
          </w:tcPr>
          <w:p>
            <w:pPr>
              <w:pStyle w:val="907"/>
              <w:jc w:val="center"/>
              <w:rPr>
                <w:rFonts w:hint="eastAsia" w:ascii="宋体" w:hAnsi="宋体"/>
                <w:szCs w:val="21"/>
              </w:rPr>
            </w:pPr>
            <w:r>
              <w:rPr>
                <w:rFonts w:hint="eastAsia" w:ascii="宋体" w:hAnsi="宋体"/>
                <w:szCs w:val="21"/>
              </w:rPr>
            </w:r>
            <w:r/>
          </w:p>
        </w:tc>
      </w:tr>
      <w:tr>
        <w:trPr/>
        <w:tc>
          <w:tcPr>
            <w:tcW w:w="896" w:type="dxa"/>
            <w:vAlign w:val="top"/>
            <w:textDirection w:val="lrTb"/>
            <w:noWrap w:val="false"/>
          </w:tcPr>
          <w:p>
            <w:pPr>
              <w:pStyle w:val="907"/>
              <w:jc w:val="center"/>
              <w:rPr>
                <w:rFonts w:hint="eastAsia" w:ascii="宋体" w:hAnsi="宋体"/>
                <w:szCs w:val="21"/>
              </w:rPr>
            </w:pPr>
            <w:r>
              <w:rPr>
                <w:rFonts w:ascii="宋体" w:hAnsi="宋体"/>
                <w:szCs w:val="21"/>
              </w:rPr>
              <w:t xml:space="preserve">……</w:t>
            </w:r>
            <w:r>
              <w:rPr>
                <w:rFonts w:hint="eastAsia" w:ascii="宋体" w:hAnsi="宋体"/>
                <w:szCs w:val="21"/>
              </w:rPr>
            </w:r>
            <w:r/>
          </w:p>
        </w:tc>
        <w:tc>
          <w:tcPr>
            <w:tcW w:w="3052" w:type="dxa"/>
            <w:vAlign w:val="top"/>
            <w:textDirection w:val="lrTb"/>
            <w:noWrap w:val="false"/>
          </w:tcPr>
          <w:p>
            <w:pPr>
              <w:pStyle w:val="907"/>
              <w:rPr>
                <w:rFonts w:ascii="宋体" w:hAnsi="宋体"/>
                <w:szCs w:val="21"/>
              </w:rPr>
            </w:pPr>
            <w:r>
              <w:rPr>
                <w:rFonts w:ascii="宋体" w:hAnsi="宋体"/>
                <w:szCs w:val="21"/>
              </w:rPr>
            </w:r>
            <w:r/>
          </w:p>
        </w:tc>
      </w:tr>
    </w:tbl>
    <w:p>
      <w:pPr>
        <w:pStyle w:val="907"/>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7"/>
              <w:jc w:val="center"/>
              <w:rPr>
                <w:rFonts w:ascii="宋体" w:hAnsi="宋体"/>
                <w:szCs w:val="21"/>
              </w:rPr>
            </w:pPr>
            <w:r>
              <w:rPr>
                <w:rFonts w:hint="eastAsia" w:ascii="宋体" w:hAnsi="宋体"/>
                <w:szCs w:val="21"/>
              </w:rPr>
              <w:t xml:space="preserve">采购</w:t>
            </w:r>
            <w:r>
              <w:rPr>
                <w:rFonts w:ascii="宋体" w:hAnsi="宋体"/>
                <w:szCs w:val="21"/>
              </w:rPr>
            </w:r>
            <w:r/>
          </w:p>
          <w:p>
            <w:pPr>
              <w:pStyle w:val="907"/>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pStyle w:val="907"/>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pStyle w:val="907"/>
              <w:jc w:val="center"/>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pStyle w:val="907"/>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7"/>
              <w:jc w:val="center"/>
              <w:rPr>
                <w:rFonts w:hint="eastAsia" w:ascii="宋体" w:hAnsi="宋体"/>
                <w:szCs w:val="21"/>
              </w:rPr>
            </w:pPr>
            <w:r>
              <w:rPr>
                <w:rFonts w:hint="eastAsia" w:ascii="宋体" w:hAnsi="宋体"/>
                <w:szCs w:val="21"/>
              </w:rPr>
              <w:t xml:space="preserve">否</w:t>
            </w:r>
            <w:r/>
          </w:p>
        </w:tc>
      </w:tr>
      <w:tr>
        <w:trPr/>
        <w:tc>
          <w:tcPr>
            <w:tcW w:w="896" w:type="dxa"/>
            <w:vAlign w:val="top"/>
            <w:textDirection w:val="lrTb"/>
            <w:noWrap w:val="false"/>
          </w:tcPr>
          <w:p>
            <w:pPr>
              <w:pStyle w:val="907"/>
              <w:jc w:val="center"/>
              <w:rPr>
                <w:rFonts w:ascii="宋体" w:hAnsi="宋体"/>
                <w:szCs w:val="21"/>
              </w:rPr>
            </w:pPr>
            <w:r>
              <w:rPr>
                <w:rFonts w:ascii="宋体" w:hAnsi="宋体"/>
                <w:szCs w:val="21"/>
              </w:rPr>
            </w:r>
            <w:r/>
          </w:p>
        </w:tc>
        <w:tc>
          <w:tcPr>
            <w:tcW w:w="3052" w:type="dxa"/>
            <w:vAlign w:val="top"/>
            <w:textDirection w:val="lrTb"/>
            <w:noWrap w:val="false"/>
          </w:tcPr>
          <w:p>
            <w:pPr>
              <w:pStyle w:val="907"/>
              <w:jc w:val="center"/>
              <w:rPr>
                <w:rFonts w:hint="eastAsia" w:ascii="宋体" w:hAnsi="宋体"/>
                <w:szCs w:val="21"/>
              </w:rPr>
            </w:pPr>
            <w:r>
              <w:rPr>
                <w:rFonts w:hint="eastAsia" w:ascii="宋体" w:hAnsi="宋体"/>
                <w:szCs w:val="21"/>
              </w:rPr>
            </w:r>
            <w:r/>
          </w:p>
        </w:tc>
      </w:tr>
      <w:tr>
        <w:trPr/>
        <w:tc>
          <w:tcPr>
            <w:tcW w:w="896" w:type="dxa"/>
            <w:vAlign w:val="top"/>
            <w:textDirection w:val="lrTb"/>
            <w:noWrap w:val="false"/>
          </w:tcPr>
          <w:p>
            <w:pPr>
              <w:pStyle w:val="907"/>
              <w:jc w:val="center"/>
              <w:rPr>
                <w:rFonts w:hint="eastAsia" w:ascii="宋体" w:hAnsi="宋体"/>
                <w:szCs w:val="21"/>
              </w:rPr>
            </w:pPr>
            <w:r>
              <w:rPr>
                <w:rFonts w:ascii="宋体" w:hAnsi="宋体"/>
                <w:szCs w:val="21"/>
              </w:rPr>
              <w:t xml:space="preserve">……</w:t>
            </w:r>
            <w:r>
              <w:rPr>
                <w:rFonts w:hint="eastAsia" w:ascii="宋体" w:hAnsi="宋体"/>
                <w:szCs w:val="21"/>
              </w:rPr>
            </w:r>
            <w:r/>
          </w:p>
        </w:tc>
        <w:tc>
          <w:tcPr>
            <w:tcW w:w="3052" w:type="dxa"/>
            <w:vAlign w:val="top"/>
            <w:textDirection w:val="lrTb"/>
            <w:noWrap w:val="false"/>
          </w:tcPr>
          <w:p>
            <w:pPr>
              <w:pStyle w:val="907"/>
              <w:rPr>
                <w:rFonts w:ascii="宋体" w:hAnsi="宋体"/>
                <w:szCs w:val="21"/>
              </w:rPr>
            </w:pPr>
            <w:r>
              <w:rPr>
                <w:rFonts w:ascii="宋体" w:hAnsi="宋体"/>
                <w:szCs w:val="21"/>
              </w:rPr>
            </w:r>
            <w:r/>
          </w:p>
        </w:tc>
      </w:tr>
    </w:tbl>
    <w:p>
      <w:pPr>
        <w:pStyle w:val="907"/>
        <w:rPr>
          <w:rFonts w:hint="eastAsia" w:ascii="黑体" w:hAnsi="Times New Roman" w:eastAsia="黑体"/>
          <w:bCs/>
          <w:sz w:val="44"/>
          <w:szCs w:val="28"/>
        </w:rPr>
        <w:outlineLvl w:val="0"/>
      </w:pPr>
      <w:r/>
      <w:bookmarkStart w:id="180" w:name="_Toc120614281"/>
      <w:r>
        <w:rPr>
          <w:rFonts w:hint="eastAsia" w:ascii="黑体" w:hAnsi="Times New Roman" w:eastAsia="黑体"/>
          <w:bCs/>
          <w:sz w:val="44"/>
          <w:szCs w:val="28"/>
        </w:rPr>
      </w:r>
      <w:r/>
    </w:p>
    <w:p>
      <w:pPr>
        <w:pStyle w:val="920"/>
        <w:rPr>
          <w:rFonts w:hint="eastAsia"/>
        </w:rPr>
      </w:pPr>
      <w:r>
        <w:rPr>
          <w:rFonts w:hint="eastAsia"/>
        </w:rPr>
      </w:r>
      <w:r/>
    </w:p>
    <w:p>
      <w:pPr>
        <w:pStyle w:val="907"/>
        <w:rPr>
          <w:rFonts w:hint="eastAsia"/>
        </w:rPr>
      </w:pPr>
      <w:r>
        <w:rPr>
          <w:rFonts w:hint="eastAsia"/>
        </w:rPr>
      </w:r>
      <w:r/>
    </w:p>
    <w:p>
      <w:pPr>
        <w:pStyle w:val="920"/>
        <w:rPr>
          <w:rFonts w:hint="eastAsia"/>
        </w:rPr>
      </w:pPr>
      <w:r>
        <w:rPr>
          <w:rFonts w:hint="eastAsia"/>
        </w:rPr>
      </w:r>
      <w:r/>
    </w:p>
    <w:p>
      <w:pPr>
        <w:pStyle w:val="907"/>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907"/>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907"/>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评标方法与评标标准</w:t>
      </w:r>
      <w:r>
        <w:rPr>
          <w:rFonts w:hint="eastAsia" w:ascii="黑体" w:hAnsi="Times New Roman" w:eastAsia="黑体"/>
          <w:bCs/>
          <w:sz w:val="44"/>
          <w:szCs w:val="28"/>
        </w:rPr>
      </w:r>
      <w:r/>
    </w:p>
    <w:p>
      <w:pPr>
        <w:pStyle w:val="907"/>
        <w:rPr>
          <w:rFonts w:hint="eastAsia" w:ascii="Times New Roman" w:hAnsi="Times New Roman"/>
          <w:szCs w:val="21"/>
        </w:rPr>
      </w:pPr>
      <w:r>
        <w:rPr>
          <w:rFonts w:hint="eastAsia" w:ascii="Times New Roman" w:hAnsi="Times New Roman"/>
          <w:szCs w:val="21"/>
        </w:rPr>
      </w:r>
      <w:r/>
    </w:p>
    <w:p>
      <w:pPr>
        <w:pStyle w:val="907"/>
        <w:ind w:firstLine="480"/>
        <w:spacing w:line="0" w:lineRule="atLeast"/>
        <w:rPr>
          <w:rFonts w:ascii="宋体" w:hAnsi="宋体"/>
          <w:sz w:val="24"/>
          <w:szCs w:val="24"/>
        </w:rPr>
      </w:pPr>
      <w:r>
        <w:rPr>
          <w:rFonts w:ascii="宋体" w:hAnsi="宋体"/>
          <w:sz w:val="24"/>
          <w:szCs w:val="24"/>
        </w:rPr>
        <w:t xml:space="preserve">采用综合评分法的，评标结果按评审后得分由高到低顺序排列。得分相同的，按投标报价由低到高顺序排列。得分且投标报价相同的并列。</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7"/>
              <w:jc w:val="center"/>
              <w:rPr>
                <w:rFonts w:hint="eastAsia" w:ascii="宋体" w:hAnsi="宋体"/>
                <w:szCs w:val="21"/>
              </w:rPr>
            </w:pPr>
            <w:r>
              <w:rPr>
                <w:rFonts w:hint="eastAsia" w:ascii="宋体" w:hAnsi="宋体"/>
                <w:szCs w:val="21"/>
              </w:rPr>
              <w:t xml:space="preserve">采购包号</w:t>
            </w:r>
            <w:r/>
          </w:p>
        </w:tc>
        <w:tc>
          <w:tcPr>
            <w:tcW w:w="1610" w:type="dxa"/>
            <w:vAlign w:val="top"/>
            <w:textDirection w:val="lrTb"/>
            <w:noWrap w:val="false"/>
          </w:tcPr>
          <w:p>
            <w:pPr>
              <w:pStyle w:val="907"/>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907"/>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907"/>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07"/>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07"/>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r>
        <w:trPr/>
        <w:tc>
          <w:tcPr>
            <w:tcW w:w="1148" w:type="dxa"/>
            <w:vAlign w:val="top"/>
            <w:textDirection w:val="lrTb"/>
            <w:noWrap w:val="false"/>
          </w:tcPr>
          <w:p>
            <w:pPr>
              <w:pStyle w:val="907"/>
              <w:jc w:val="center"/>
              <w:rPr>
                <w:rFonts w:hint="eastAsia" w:ascii="宋体" w:hAnsi="宋体"/>
                <w:szCs w:val="21"/>
              </w:rPr>
            </w:pPr>
            <w:r>
              <w:rPr>
                <w:rFonts w:ascii="宋体" w:hAnsi="宋体"/>
                <w:szCs w:val="21"/>
              </w:rPr>
              <w:t xml:space="preserve">……</w:t>
            </w:r>
            <w:r>
              <w:rPr>
                <w:rFonts w:hint="eastAsia" w:ascii="宋体" w:hAnsi="宋体"/>
                <w:szCs w:val="21"/>
              </w:rPr>
            </w:r>
            <w:r/>
          </w:p>
        </w:tc>
        <w:tc>
          <w:tcPr>
            <w:tcW w:w="1610" w:type="dxa"/>
            <w:vAlign w:val="top"/>
            <w:textDirection w:val="lrTb"/>
            <w:noWrap w:val="false"/>
          </w:tcPr>
          <w:p>
            <w:pPr>
              <w:pStyle w:val="907"/>
              <w:rPr>
                <w:rFonts w:ascii="宋体" w:hAnsi="宋体"/>
                <w:szCs w:val="21"/>
              </w:rPr>
            </w:pPr>
            <w:r>
              <w:rPr>
                <w:rFonts w:ascii="宋体" w:hAnsi="宋体"/>
                <w:szCs w:val="21"/>
              </w:rPr>
            </w:r>
            <w:r/>
          </w:p>
        </w:tc>
        <w:tc>
          <w:tcPr>
            <w:tcW w:w="4325" w:type="dxa"/>
            <w:vAlign w:val="top"/>
            <w:textDirection w:val="lrTb"/>
            <w:noWrap w:val="false"/>
          </w:tcPr>
          <w:p>
            <w:pPr>
              <w:pStyle w:val="907"/>
              <w:rPr>
                <w:rFonts w:ascii="宋体" w:hAnsi="宋体"/>
                <w:szCs w:val="21"/>
              </w:rPr>
            </w:pPr>
            <w:r>
              <w:rPr>
                <w:rFonts w:ascii="宋体" w:hAnsi="宋体"/>
                <w:szCs w:val="21"/>
              </w:rPr>
            </w:r>
            <w:r/>
          </w:p>
        </w:tc>
      </w:tr>
    </w:tbl>
    <w:p>
      <w:pPr>
        <w:pStyle w:val="907"/>
        <w:ind w:firstLine="441"/>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pStyle w:val="907"/>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p>
    <w:p>
      <w:pPr>
        <w:pStyle w:val="907"/>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p>
    <w:p>
      <w:pPr>
        <w:pStyle w:val="907"/>
        <w:ind w:firstLine="360"/>
        <w:jc w:val="left"/>
        <w:spacing w:before="120" w:after="120" w:line="0" w:lineRule="atLeast"/>
        <w:rPr>
          <w:rFonts w:hint="eastAsia" w:ascii="宋体" w:hAnsi="宋体"/>
          <w:sz w:val="24"/>
          <w:szCs w:val="24"/>
        </w:rPr>
      </w:pPr>
      <w:r>
        <w:rPr>
          <w:rFonts w:hint="eastAsia" w:ascii="宋体" w:hAnsi="宋体"/>
          <w:sz w:val="24"/>
          <w:szCs w:val="24"/>
        </w:rPr>
        <w:t xml:space="preserve">（2）供应商需按照采购文件的要求提供相应的《中小微企业声明函》。</w:t>
      </w:r>
      <w:r/>
    </w:p>
    <w:p>
      <w:pPr>
        <w:pStyle w:val="907"/>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p>
    <w:p>
      <w:pPr>
        <w:pStyle w:val="907"/>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pStyle w:val="907"/>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pStyle w:val="907"/>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pStyle w:val="907"/>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p>
    <w:p>
      <w:pPr>
        <w:pStyle w:val="907"/>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pStyle w:val="907"/>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p>
    <w:p>
      <w:pPr>
        <w:pStyle w:val="907"/>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w:t>
      </w:r>
      <w:r>
        <w:rPr>
          <w:rFonts w:hint="eastAsia" w:ascii="宋体" w:hAnsi="宋体"/>
          <w:sz w:val="24"/>
          <w:szCs w:val="24"/>
        </w:rPr>
        <w:t xml:space="preserve">〔</w:t>
      </w:r>
      <w:r>
        <w:rPr>
          <w:rFonts w:ascii="宋体" w:hAnsi="宋体"/>
          <w:sz w:val="24"/>
          <w:szCs w:val="24"/>
        </w:rPr>
        <w:t xml:space="preserve">2014</w:t>
      </w:r>
      <w:r>
        <w:rPr>
          <w:rFonts w:hint="eastAsia" w:ascii="宋体" w:hAnsi="宋体"/>
          <w:sz w:val="24"/>
          <w:szCs w:val="24"/>
        </w:rPr>
        <w:t xml:space="preserve">〕</w:t>
      </w:r>
      <w:r>
        <w:rPr>
          <w:rFonts w:ascii="宋体" w:hAnsi="宋体"/>
          <w:sz w:val="24"/>
          <w:szCs w:val="24"/>
        </w:rPr>
        <w:t xml:space="preserve">68号</w:t>
      </w:r>
      <w:r>
        <w:rPr>
          <w:rFonts w:hint="eastAsia" w:ascii="宋体" w:hAnsi="宋体"/>
          <w:sz w:val="24"/>
          <w:szCs w:val="24"/>
        </w:rPr>
        <w:t xml:space="preserve">）。</w:t>
      </w:r>
      <w:r/>
    </w:p>
    <w:p>
      <w:pPr>
        <w:pStyle w:val="907"/>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pStyle w:val="907"/>
        <w:ind w:firstLine="480"/>
        <w:jc w:val="left"/>
        <w:spacing w:before="120" w:after="120" w:line="400" w:lineRule="exact"/>
        <w:rPr>
          <w:rFonts w:hint="eastAsia" w:ascii="宋体" w:hAnsi="宋体"/>
          <w:sz w:val="24"/>
          <w:szCs w:val="24"/>
        </w:rPr>
      </w:pPr>
      <w:r>
        <w:rPr>
          <w:rFonts w:hint="eastAsia" w:ascii="宋体" w:hAnsi="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pStyle w:val="907"/>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tbl>
      <w:tblPr>
        <w:tblW w:w="97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96" w:type="dxa"/>
          <w:top w:w="45" w:type="dxa"/>
          <w:right w:w="96" w:type="dxa"/>
          <w:bottom w:w="45" w:type="dxa"/>
        </w:tblCellMar>
        <w:tblLook w:val="04A0" w:firstRow="1" w:lastRow="0" w:firstColumn="1" w:lastColumn="0" w:noHBand="0" w:noVBand="1"/>
      </w:tblPr>
      <w:tblGrid>
        <w:gridCol w:w="1251"/>
        <w:gridCol w:w="1515"/>
        <w:gridCol w:w="6973"/>
      </w:tblGrid>
      <w:tr>
        <w:trPr>
          <w:tblHeader/>
        </w:trPr>
        <w:tc>
          <w:tcPr>
            <w:tcW w:w="1251" w:type="dxa"/>
            <w:vAlign w:val="center"/>
            <w:textDirection w:val="lrTb"/>
            <w:noWrap w:val="false"/>
          </w:tcPr>
          <w:p>
            <w:pPr>
              <w:pStyle w:val="907"/>
              <w:jc w:val="center"/>
              <w:keepNext/>
              <w:spacing w:line="360" w:lineRule="auto"/>
              <w:rPr>
                <w:rFonts w:hint="eastAsia" w:ascii="宋体" w:hAnsi="宋体" w:cs="宋体"/>
                <w:b/>
                <w:sz w:val="24"/>
                <w:szCs w:val="24"/>
              </w:rPr>
            </w:pPr>
            <w:r>
              <w:rPr>
                <w:rFonts w:hint="eastAsia" w:ascii="宋体" w:hAnsi="宋体"/>
                <w:b/>
                <w:sz w:val="24"/>
                <w:szCs w:val="24"/>
              </w:rPr>
              <w:t xml:space="preserve">评标方法与评标标准</w:t>
            </w:r>
            <w:r>
              <w:rPr>
                <w:rFonts w:hint="eastAsia" w:ascii="宋体" w:hAnsi="宋体" w:cs="宋体"/>
                <w:b/>
                <w:sz w:val="24"/>
                <w:szCs w:val="24"/>
              </w:rPr>
              <w:t xml:space="preserve">评审因素</w:t>
            </w:r>
            <w:r/>
          </w:p>
        </w:tc>
        <w:tc>
          <w:tcPr>
            <w:tcW w:w="1515" w:type="dxa"/>
            <w:vAlign w:val="center"/>
            <w:textDirection w:val="lrTb"/>
            <w:noWrap w:val="false"/>
          </w:tcPr>
          <w:p>
            <w:pPr>
              <w:pStyle w:val="907"/>
              <w:jc w:val="center"/>
              <w:keepNext/>
              <w:spacing w:line="360" w:lineRule="auto"/>
              <w:rPr>
                <w:rFonts w:hint="eastAsia" w:ascii="宋体" w:hAnsi="宋体" w:cs="宋体"/>
                <w:b/>
                <w:sz w:val="24"/>
                <w:szCs w:val="24"/>
              </w:rPr>
            </w:pPr>
            <w:r>
              <w:rPr>
                <w:rFonts w:hint="eastAsia" w:ascii="宋体" w:hAnsi="宋体" w:cs="宋体"/>
                <w:b/>
                <w:sz w:val="24"/>
                <w:szCs w:val="24"/>
              </w:rPr>
              <w:t xml:space="preserve">分数（分）</w:t>
            </w:r>
            <w:r/>
          </w:p>
        </w:tc>
        <w:tc>
          <w:tcPr>
            <w:tcW w:w="6973" w:type="dxa"/>
            <w:vAlign w:val="center"/>
            <w:textDirection w:val="lrTb"/>
            <w:noWrap w:val="false"/>
          </w:tcPr>
          <w:p>
            <w:pPr>
              <w:pStyle w:val="907"/>
              <w:jc w:val="center"/>
              <w:keepNext/>
              <w:spacing w:line="360" w:lineRule="auto"/>
              <w:rPr>
                <w:rFonts w:hint="eastAsia" w:ascii="宋体" w:hAnsi="宋体" w:cs="宋体"/>
                <w:b/>
                <w:sz w:val="24"/>
                <w:szCs w:val="24"/>
              </w:rPr>
            </w:pPr>
            <w:r>
              <w:rPr>
                <w:rFonts w:hint="eastAsia" w:ascii="宋体" w:hAnsi="宋体" w:cs="宋体"/>
                <w:b/>
                <w:sz w:val="24"/>
                <w:szCs w:val="24"/>
              </w:rPr>
              <w:t xml:space="preserve">评审标准</w:t>
            </w:r>
            <w:r/>
          </w:p>
        </w:tc>
      </w:tr>
      <w:tr>
        <w:trPr/>
        <w:tc>
          <w:tcPr>
            <w:tcW w:w="1251" w:type="dxa"/>
            <w:vAlign w:val="center"/>
            <w:textDirection w:val="lrTb"/>
            <w:noWrap w:val="false"/>
          </w:tcPr>
          <w:p>
            <w:pPr>
              <w:pStyle w:val="907"/>
              <w:jc w:val="center"/>
              <w:keepNext/>
              <w:spacing w:line="360" w:lineRule="auto"/>
              <w:rPr>
                <w:rFonts w:hint="eastAsia" w:ascii="宋体" w:hAnsi="宋体" w:cs="宋体"/>
                <w:sz w:val="24"/>
                <w:szCs w:val="24"/>
              </w:rPr>
            </w:pPr>
            <w:r>
              <w:rPr>
                <w:rFonts w:hint="eastAsia" w:ascii="宋体" w:hAnsi="宋体" w:cs="宋体"/>
                <w:sz w:val="24"/>
                <w:szCs w:val="24"/>
              </w:rPr>
              <w:t xml:space="preserve">价格</w:t>
            </w:r>
            <w:r/>
          </w:p>
        </w:tc>
        <w:tc>
          <w:tcPr>
            <w:tcW w:w="1515" w:type="dxa"/>
            <w:vAlign w:val="center"/>
            <w:textDirection w:val="lrTb"/>
            <w:noWrap w:val="false"/>
          </w:tcPr>
          <w:p>
            <w:pPr>
              <w:pStyle w:val="907"/>
              <w:jc w:val="right"/>
              <w:keepNext/>
              <w:spacing w:line="360" w:lineRule="auto"/>
              <w:rPr>
                <w:rFonts w:hint="eastAsia" w:ascii="宋体" w:hAnsi="宋体" w:cs="宋体"/>
                <w:sz w:val="24"/>
                <w:szCs w:val="24"/>
              </w:rPr>
            </w:pPr>
            <w:r>
              <w:rPr>
                <w:rFonts w:hint="eastAsia" w:ascii="宋体" w:hAnsi="宋体" w:cs="宋体"/>
                <w:sz w:val="24"/>
                <w:szCs w:val="24"/>
              </w:rPr>
              <w:t xml:space="preserve">30</w:t>
            </w:r>
            <w:r/>
          </w:p>
        </w:tc>
        <w:tc>
          <w:tcPr>
            <w:tcW w:w="6973" w:type="dxa"/>
            <w:vAlign w:val="center"/>
            <w:textDirection w:val="lrTb"/>
            <w:noWrap w:val="false"/>
          </w:tcPr>
          <w:p>
            <w:pPr>
              <w:pStyle w:val="907"/>
              <w:jc w:val="left"/>
              <w:keepNext/>
              <w:spacing w:line="360" w:lineRule="auto"/>
              <w:rPr>
                <w:rFonts w:hint="eastAsia" w:ascii="宋体" w:hAnsi="宋体" w:cs="宋体"/>
                <w:sz w:val="24"/>
                <w:szCs w:val="24"/>
              </w:rPr>
            </w:pPr>
            <w:r>
              <w:rPr>
                <w:rFonts w:hint="eastAsia" w:ascii="宋体" w:hAnsi="宋体" w:cs="宋体"/>
                <w:bCs/>
                <w:sz w:val="24"/>
                <w:szCs w:val="24"/>
              </w:rPr>
              <w:t xml:space="preserve">价格分采用低价优先法计算，即满足采购文件要求且投标价格最低的投标人投标报价为评标基准价，其价格分为满分30分，其它投标人的价格分统一按照以下公式计算：投标报价得分=（评标基准价/该投标人的投标报价）×30分。分值保留小数点后2位。</w:t>
            </w:r>
            <w:r>
              <w:rPr>
                <w:rFonts w:hint="eastAsia" w:ascii="宋体" w:hAnsi="宋体" w:cs="宋体"/>
                <w:sz w:val="24"/>
                <w:szCs w:val="24"/>
              </w:rPr>
            </w:r>
            <w:r/>
          </w:p>
        </w:tc>
      </w:tr>
      <w:tr>
        <w:trPr/>
        <w:tc>
          <w:tcPr>
            <w:tcW w:w="1251" w:type="dxa"/>
            <w:vAlign w:val="center"/>
            <w:textDirection w:val="lrTb"/>
            <w:noWrap w:val="false"/>
          </w:tcPr>
          <w:p>
            <w:pPr>
              <w:pStyle w:val="907"/>
              <w:jc w:val="center"/>
              <w:keepNext/>
              <w:spacing w:line="360" w:lineRule="auto"/>
              <w:rPr>
                <w:rFonts w:hint="eastAsia" w:ascii="宋体" w:hAnsi="宋体" w:cs="宋体"/>
                <w:sz w:val="24"/>
                <w:szCs w:val="24"/>
              </w:rPr>
            </w:pPr>
            <w:r>
              <w:rPr>
                <w:rFonts w:hint="eastAsia" w:ascii="宋体" w:hAnsi="宋体" w:cs="宋体"/>
                <w:sz w:val="24"/>
                <w:szCs w:val="24"/>
              </w:rPr>
              <w:t xml:space="preserve">技术响应</w:t>
            </w:r>
            <w:r/>
          </w:p>
        </w:tc>
        <w:tc>
          <w:tcPr>
            <w:tcW w:w="1515" w:type="dxa"/>
            <w:vAlign w:val="center"/>
            <w:textDirection w:val="lrTb"/>
            <w:noWrap w:val="false"/>
          </w:tcPr>
          <w:p>
            <w:pPr>
              <w:pStyle w:val="907"/>
              <w:jc w:val="right"/>
              <w:keepNext/>
              <w:spacing w:line="360" w:lineRule="auto"/>
              <w:rPr>
                <w:rFonts w:ascii="宋体" w:hAnsi="宋体" w:cs="宋体"/>
                <w:sz w:val="24"/>
                <w:szCs w:val="24"/>
              </w:rPr>
            </w:pPr>
            <w:r>
              <w:rPr>
                <w:rFonts w:hint="eastAsia" w:ascii="宋体" w:hAnsi="宋体" w:cs="宋体"/>
                <w:sz w:val="24"/>
                <w:szCs w:val="24"/>
              </w:rPr>
              <w:t xml:space="preserve">32</w:t>
            </w:r>
            <w:r>
              <w:rPr>
                <w:rFonts w:ascii="宋体" w:hAnsi="宋体" w:cs="宋体"/>
                <w:sz w:val="24"/>
                <w:szCs w:val="24"/>
              </w:rPr>
            </w:r>
            <w:r/>
          </w:p>
        </w:tc>
        <w:tc>
          <w:tcPr>
            <w:tcW w:w="6973" w:type="dxa"/>
            <w:vAlign w:val="center"/>
            <w:textDirection w:val="lrTb"/>
            <w:noWrap w:val="false"/>
          </w:tcPr>
          <w:p>
            <w:pPr>
              <w:pStyle w:val="907"/>
              <w:jc w:val="left"/>
              <w:keepNext/>
              <w:spacing w:line="360" w:lineRule="auto"/>
              <w:rPr>
                <w:rFonts w:hint="eastAsia" w:ascii="宋体" w:hAnsi="宋体" w:cs="宋体"/>
                <w:bCs/>
                <w:sz w:val="24"/>
                <w:szCs w:val="24"/>
              </w:rPr>
            </w:pPr>
            <w:r>
              <w:rPr>
                <w:rFonts w:hint="eastAsia" w:ascii="宋体" w:hAnsi="宋体" w:cs="宋体"/>
                <w:bCs/>
                <w:sz w:val="24"/>
                <w:szCs w:val="24"/>
              </w:rPr>
              <w:t xml:space="preserve">由评标委员会根据投标人的投标文件中《技术要求响应及偏离表》等有关资料打分，完全满足招标文件技术参数要求的得32分。</w:t>
            </w:r>
            <w:r/>
          </w:p>
          <w:p>
            <w:pPr>
              <w:pStyle w:val="907"/>
              <w:jc w:val="left"/>
              <w:keepNext/>
              <w:spacing w:line="360" w:lineRule="auto"/>
              <w:rPr>
                <w:rFonts w:hint="eastAsia" w:ascii="宋体" w:hAnsi="宋体" w:cs="宋体"/>
                <w:bCs/>
                <w:sz w:val="24"/>
                <w:szCs w:val="24"/>
              </w:rPr>
            </w:pPr>
            <w:r>
              <w:rPr>
                <w:rFonts w:hint="eastAsia" w:ascii="宋体" w:hAnsi="宋体" w:cs="宋体"/>
                <w:bCs/>
                <w:sz w:val="24"/>
                <w:szCs w:val="24"/>
              </w:rPr>
              <w:t xml:space="preserve">标注“▲”指标为重要指标，每一条不满足或负偏离的扣2分，扣完为止。</w:t>
            </w:r>
            <w:r/>
          </w:p>
          <w:p>
            <w:pPr>
              <w:pStyle w:val="907"/>
              <w:jc w:val="left"/>
              <w:keepNext/>
              <w:spacing w:line="360" w:lineRule="auto"/>
              <w:rPr>
                <w:rFonts w:hint="eastAsia" w:ascii="宋体" w:hAnsi="宋体" w:cs="宋体"/>
                <w:bCs/>
                <w:sz w:val="24"/>
                <w:szCs w:val="24"/>
              </w:rPr>
            </w:pPr>
            <w:r>
              <w:rPr>
                <w:rFonts w:hint="eastAsia" w:ascii="宋体" w:hAnsi="宋体" w:cs="宋体"/>
                <w:bCs/>
                <w:sz w:val="24"/>
                <w:szCs w:val="24"/>
              </w:rPr>
              <w:t xml:space="preserve">投标人应在《技术要求响应及偏离表》中逐一响应，并按照技术参数要求提供支持资料（若有），若投标人未按照要求提供所投设备的技术支持资料，评标委员会有权不予认可，并在评分中扣除相应的分值。</w:t>
            </w:r>
            <w:r/>
          </w:p>
          <w:p>
            <w:pPr>
              <w:pStyle w:val="907"/>
              <w:jc w:val="left"/>
              <w:keepNext/>
              <w:spacing w:line="360" w:lineRule="auto"/>
              <w:rPr>
                <w:rFonts w:hint="eastAsia" w:ascii="宋体" w:hAnsi="宋体" w:cs="宋体"/>
                <w:sz w:val="24"/>
                <w:szCs w:val="24"/>
              </w:rPr>
            </w:pPr>
            <w:r>
              <w:rPr>
                <w:rFonts w:hint="eastAsia" w:ascii="宋体" w:hAnsi="宋体" w:cs="宋体"/>
                <w:bCs/>
                <w:sz w:val="24"/>
                <w:szCs w:val="24"/>
              </w:rPr>
              <w:t xml:space="preserve">（佐证材料以产品制造商出具的技术说明书或产品制造商公开发布的产品彩页或彩页复印件、产品官方网站、产品标准、技术白皮书、使用说明书、有资质的第三方出具的检验报告等材料为准。）</w:t>
            </w:r>
            <w:r>
              <w:rPr>
                <w:rFonts w:hint="eastAsia" w:ascii="宋体" w:hAnsi="宋体" w:cs="宋体"/>
                <w:sz w:val="24"/>
                <w:szCs w:val="24"/>
              </w:rPr>
            </w:r>
            <w:r/>
          </w:p>
        </w:tc>
      </w:tr>
      <w:tr>
        <w:trPr/>
        <w:tc>
          <w:tcPr>
            <w:tcW w:w="1251" w:type="dxa"/>
            <w:vAlign w:val="center"/>
            <w:textDirection w:val="lrTb"/>
            <w:noWrap w:val="false"/>
          </w:tcPr>
          <w:p>
            <w:pPr>
              <w:pStyle w:val="907"/>
              <w:jc w:val="center"/>
              <w:keepNext/>
              <w:spacing w:line="360" w:lineRule="auto"/>
              <w:rPr>
                <w:rFonts w:hint="eastAsia" w:ascii="宋体" w:hAnsi="宋体" w:cs="宋体"/>
                <w:sz w:val="24"/>
                <w:szCs w:val="24"/>
              </w:rPr>
            </w:pPr>
            <w:r>
              <w:rPr>
                <w:rFonts w:hint="eastAsia" w:ascii="宋体" w:hAnsi="宋体" w:cs="宋体"/>
                <w:sz w:val="24"/>
                <w:szCs w:val="24"/>
              </w:rPr>
              <w:t xml:space="preserve">方案评价</w:t>
            </w:r>
            <w:r/>
          </w:p>
        </w:tc>
        <w:tc>
          <w:tcPr>
            <w:tcW w:w="1515" w:type="dxa"/>
            <w:vAlign w:val="center"/>
            <w:textDirection w:val="lrTb"/>
            <w:noWrap w:val="false"/>
          </w:tcPr>
          <w:p>
            <w:pPr>
              <w:pStyle w:val="907"/>
              <w:jc w:val="right"/>
              <w:keepNext/>
              <w:spacing w:line="360" w:lineRule="auto"/>
              <w:rPr>
                <w:rFonts w:hint="eastAsia" w:ascii="宋体" w:hAnsi="宋体" w:cs="宋体"/>
                <w:sz w:val="24"/>
                <w:szCs w:val="24"/>
              </w:rPr>
            </w:pPr>
            <w:r>
              <w:rPr>
                <w:rFonts w:hint="eastAsia" w:ascii="宋体" w:hAnsi="宋体" w:cs="宋体"/>
                <w:sz w:val="24"/>
                <w:szCs w:val="24"/>
              </w:rPr>
              <w:t xml:space="preserve">15</w:t>
            </w:r>
            <w:r/>
          </w:p>
        </w:tc>
        <w:tc>
          <w:tcPr>
            <w:tcW w:w="6973" w:type="dxa"/>
            <w:vAlign w:val="center"/>
            <w:textDirection w:val="lrTb"/>
            <w:noWrap w:val="false"/>
          </w:tcPr>
          <w:p>
            <w:pPr>
              <w:pStyle w:val="907"/>
              <w:ind w:firstLine="480"/>
              <w:jc w:val="left"/>
              <w:keepNext/>
              <w:spacing w:line="360" w:lineRule="auto"/>
              <w:rPr>
                <w:rFonts w:hint="eastAsia" w:ascii="宋体" w:hAnsi="宋体" w:cs="宋体"/>
                <w:sz w:val="24"/>
                <w:szCs w:val="24"/>
              </w:rPr>
            </w:pPr>
            <w:r>
              <w:rPr>
                <w:rFonts w:hint="eastAsia" w:ascii="宋体" w:hAnsi="宋体" w:cs="宋体"/>
                <w:sz w:val="24"/>
                <w:szCs w:val="24"/>
              </w:rPr>
              <w:t xml:space="preserve">1、系统架构设计方案：根据投标人提供系统架构设计方案（包括</w:t>
            </w:r>
            <w:r>
              <w:rPr>
                <w:rFonts w:hint="eastAsia" w:ascii="宋体" w:hAnsi="宋体" w:cs="宋体"/>
                <w:bCs/>
                <w:sz w:val="24"/>
                <w:szCs w:val="24"/>
                <w:lang w:val="zh-CN"/>
              </w:rPr>
              <w:t xml:space="preserve">架构设计，拓扑结构、</w:t>
            </w:r>
            <w:r>
              <w:rPr>
                <w:rFonts w:hint="eastAsia" w:ascii="宋体" w:hAnsi="宋体" w:cs="宋体"/>
                <w:sz w:val="24"/>
                <w:szCs w:val="24"/>
              </w:rPr>
              <w:t xml:space="preserve">系统建设内容）等内容的的完整性、合理性、可行性等方面进行综合评审：</w:t>
            </w:r>
            <w:r/>
          </w:p>
          <w:p>
            <w:pPr>
              <w:pStyle w:val="907"/>
              <w:ind w:firstLine="480"/>
              <w:jc w:val="left"/>
              <w:keepNext/>
              <w:spacing w:line="360" w:lineRule="auto"/>
              <w:rPr>
                <w:rFonts w:hint="eastAsia" w:ascii="宋体" w:hAnsi="宋体" w:cs="宋体"/>
                <w:sz w:val="24"/>
                <w:szCs w:val="24"/>
              </w:rPr>
            </w:pPr>
            <w:r>
              <w:rPr>
                <w:rFonts w:hint="eastAsia" w:ascii="宋体" w:hAnsi="宋体" w:cs="宋体"/>
                <w:sz w:val="24"/>
                <w:szCs w:val="24"/>
              </w:rPr>
              <w:t xml:space="preserve">方案优于招标文件要求的得5分，方案符合招标文件要求的得3分，方案不符合招标文件要求或未提供的不得分。</w:t>
            </w:r>
            <w:r/>
          </w:p>
          <w:p>
            <w:pPr>
              <w:pStyle w:val="907"/>
              <w:ind w:firstLine="480"/>
              <w:jc w:val="left"/>
              <w:keepNext/>
              <w:spacing w:line="360" w:lineRule="auto"/>
              <w:rPr>
                <w:rFonts w:hint="eastAsia" w:ascii="宋体" w:hAnsi="宋体" w:cs="宋体"/>
                <w:sz w:val="24"/>
                <w:szCs w:val="24"/>
              </w:rPr>
            </w:pPr>
            <w:r>
              <w:rPr>
                <w:rFonts w:hint="eastAsia" w:ascii="宋体" w:hAnsi="宋体" w:cs="宋体"/>
                <w:sz w:val="24"/>
                <w:szCs w:val="24"/>
              </w:rPr>
              <w:t xml:space="preserve">2、系统集成方案：根据投标人提供的对于本项目的总体集成方案进行评分，至少应包含设备机柜布局、网络设计、备份设计、迁移方案等。</w:t>
            </w:r>
            <w:r/>
          </w:p>
          <w:p>
            <w:pPr>
              <w:pStyle w:val="907"/>
              <w:ind w:firstLine="480"/>
              <w:jc w:val="left"/>
              <w:keepNext/>
              <w:spacing w:line="360" w:lineRule="auto"/>
              <w:rPr>
                <w:rFonts w:hint="eastAsia" w:ascii="宋体" w:hAnsi="宋体" w:cs="宋体"/>
                <w:sz w:val="24"/>
                <w:szCs w:val="24"/>
              </w:rPr>
            </w:pPr>
            <w:r>
              <w:rPr>
                <w:rFonts w:hint="eastAsia" w:ascii="宋体" w:hAnsi="宋体" w:cs="宋体"/>
                <w:sz w:val="24"/>
                <w:szCs w:val="24"/>
              </w:rPr>
              <w:t xml:space="preserve">方案优于招标文件要求的得5分，方案符合招标文件要求的得3分，方案不符合招标文件要求或未提供的不得分。</w:t>
            </w:r>
            <w:r/>
          </w:p>
          <w:p>
            <w:pPr>
              <w:pStyle w:val="907"/>
              <w:ind w:firstLine="360"/>
              <w:jc w:val="left"/>
              <w:keepNext/>
              <w:spacing w:line="360" w:lineRule="auto"/>
              <w:rPr>
                <w:rFonts w:hint="eastAsia" w:ascii="宋体" w:hAnsi="宋体" w:cs="宋体"/>
                <w:sz w:val="24"/>
                <w:szCs w:val="24"/>
              </w:rPr>
            </w:pPr>
            <w:r>
              <w:rPr>
                <w:rFonts w:hint="eastAsia" w:ascii="宋体" w:hAnsi="宋体" w:cs="宋体"/>
                <w:sz w:val="24"/>
                <w:szCs w:val="24"/>
              </w:rPr>
              <w:t xml:space="preserve">3、服务方案：根据投标人针对本项目提供的详细服务方案进行评价，依据方案详细程度、与项目匹配程度等进行评分，需至少包括服务内容、服务方式、服务承诺、响应时间及能力、培训方案等内容。以上要素内容应详尽齐全、逻辑合理，完全满足项目需求。</w:t>
            </w:r>
            <w:r/>
          </w:p>
          <w:p>
            <w:pPr>
              <w:pStyle w:val="907"/>
              <w:ind w:firstLine="480"/>
              <w:jc w:val="left"/>
              <w:keepNext/>
              <w:spacing w:line="360" w:lineRule="auto"/>
              <w:rPr>
                <w:rFonts w:hint="eastAsia" w:ascii="宋体" w:hAnsi="宋体" w:cs="宋体"/>
                <w:sz w:val="24"/>
                <w:szCs w:val="24"/>
              </w:rPr>
            </w:pPr>
            <w:r>
              <w:rPr>
                <w:rFonts w:hint="eastAsia" w:ascii="宋体" w:hAnsi="宋体" w:cs="宋体"/>
                <w:sz w:val="24"/>
                <w:szCs w:val="24"/>
              </w:rPr>
              <w:t xml:space="preserve">方案优于招标文件要求的得5分，方案符合招标文件要求的得3分，方案不符合招标文件要求或未提供的不得分。</w:t>
            </w:r>
            <w:r/>
          </w:p>
        </w:tc>
      </w:tr>
      <w:tr>
        <w:trPr/>
        <w:tc>
          <w:tcPr>
            <w:tcW w:w="1251" w:type="dxa"/>
            <w:vAlign w:val="center"/>
            <w:textDirection w:val="lrTb"/>
            <w:noWrap w:val="false"/>
          </w:tcPr>
          <w:p>
            <w:pPr>
              <w:pStyle w:val="907"/>
              <w:jc w:val="center"/>
              <w:keepNext/>
              <w:spacing w:line="360" w:lineRule="auto"/>
              <w:rPr>
                <w:rFonts w:hint="eastAsia" w:ascii="宋体" w:hAnsi="宋体" w:cs="宋体"/>
                <w:sz w:val="24"/>
                <w:szCs w:val="24"/>
              </w:rPr>
            </w:pPr>
            <w:r>
              <w:rPr>
                <w:rFonts w:hint="eastAsia" w:ascii="宋体" w:hAnsi="宋体" w:cs="宋体"/>
                <w:sz w:val="24"/>
                <w:szCs w:val="24"/>
              </w:rPr>
              <w:t xml:space="preserve">证书</w:t>
            </w:r>
            <w:r/>
          </w:p>
        </w:tc>
        <w:tc>
          <w:tcPr>
            <w:tcW w:w="1515" w:type="dxa"/>
            <w:vAlign w:val="center"/>
            <w:textDirection w:val="lrTb"/>
            <w:noWrap w:val="false"/>
          </w:tcPr>
          <w:p>
            <w:pPr>
              <w:pStyle w:val="907"/>
              <w:jc w:val="right"/>
              <w:keepNext/>
              <w:spacing w:line="360" w:lineRule="auto"/>
              <w:rPr>
                <w:rFonts w:hint="eastAsia" w:ascii="宋体" w:hAnsi="宋体" w:cs="宋体"/>
                <w:sz w:val="24"/>
                <w:szCs w:val="24"/>
              </w:rPr>
            </w:pPr>
            <w:r>
              <w:rPr>
                <w:rFonts w:hint="eastAsia" w:ascii="宋体" w:hAnsi="宋体" w:cs="宋体"/>
                <w:sz w:val="24"/>
                <w:szCs w:val="24"/>
              </w:rPr>
              <w:t xml:space="preserve">10</w:t>
            </w:r>
            <w:r/>
          </w:p>
        </w:tc>
        <w:tc>
          <w:tcPr>
            <w:tcW w:w="6973" w:type="dxa"/>
            <w:vAlign w:val="center"/>
            <w:textDirection w:val="lrTb"/>
            <w:noWrap w:val="false"/>
          </w:tcPr>
          <w:p>
            <w:pPr>
              <w:pStyle w:val="907"/>
              <w:jc w:val="left"/>
              <w:keepNext/>
              <w:spacing w:line="360" w:lineRule="auto"/>
              <w:rPr>
                <w:rFonts w:hint="eastAsia" w:ascii="宋体" w:hAnsi="宋体" w:cs="宋体"/>
                <w:sz w:val="24"/>
                <w:szCs w:val="24"/>
              </w:rPr>
            </w:pPr>
            <w:r>
              <w:rPr>
                <w:rFonts w:hint="eastAsia" w:ascii="宋体" w:hAnsi="宋体" w:cs="宋体"/>
                <w:sz w:val="24"/>
                <w:szCs w:val="24"/>
              </w:rPr>
              <w:t xml:space="preserve">1、信息化工程与技术服务能力评价（CN-IETS）证书得2分，不提供不得分</w:t>
            </w:r>
            <w:r/>
          </w:p>
          <w:p>
            <w:pPr>
              <w:pStyle w:val="907"/>
              <w:jc w:val="left"/>
              <w:keepNext/>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投标人具有信息技术服务标准（ITSS）符合性证书云服务（IAAS私有云）证书的得2分，其余不得分。</w:t>
            </w:r>
            <w:r/>
          </w:p>
          <w:p>
            <w:pPr>
              <w:pStyle w:val="907"/>
              <w:jc w:val="left"/>
              <w:keepNext/>
              <w:spacing w:line="360" w:lineRule="auto"/>
              <w:rPr>
                <w:rFonts w:hint="eastAsia" w:ascii="宋体" w:hAnsi="宋体" w:cs="宋体"/>
                <w:sz w:val="24"/>
                <w:szCs w:val="24"/>
              </w:rPr>
            </w:pPr>
            <w:r>
              <w:rPr>
                <w:rFonts w:hint="eastAsia" w:ascii="宋体" w:hAnsi="宋体" w:cs="宋体"/>
                <w:sz w:val="24"/>
                <w:szCs w:val="24"/>
              </w:rPr>
              <w:t xml:space="preserve">3、投标人获得售后服务认证证书（GB/T 27922-2011）五星级</w:t>
            </w:r>
            <w:r>
              <w:rPr>
                <w:rFonts w:hint="eastAsia" w:ascii="宋体" w:hAnsi="宋体" w:cs="宋体"/>
                <w:sz w:val="24"/>
                <w:szCs w:val="24"/>
              </w:rPr>
              <w:t xml:space="preserve">及</w:t>
            </w:r>
            <w:r>
              <w:rPr>
                <w:rFonts w:hint="eastAsia" w:ascii="宋体" w:hAnsi="宋体" w:cs="宋体"/>
                <w:sz w:val="24"/>
                <w:szCs w:val="24"/>
              </w:rPr>
              <w:t xml:space="preserve">以上</w:t>
            </w:r>
            <w:r>
              <w:rPr>
                <w:rFonts w:hint="eastAsia" w:ascii="宋体" w:hAnsi="宋体" w:cs="宋体"/>
                <w:sz w:val="24"/>
                <w:szCs w:val="24"/>
              </w:rPr>
              <w:t xml:space="preserve">得2分，其余不得分</w:t>
            </w:r>
            <w:r/>
          </w:p>
          <w:p>
            <w:pPr>
              <w:pStyle w:val="907"/>
              <w:jc w:val="left"/>
              <w:keepNext/>
              <w:spacing w:line="360" w:lineRule="auto"/>
              <w:rPr>
                <w:rFonts w:hint="eastAsia" w:ascii="宋体" w:hAnsi="宋体" w:cs="宋体"/>
                <w:sz w:val="24"/>
                <w:szCs w:val="24"/>
              </w:rPr>
            </w:pPr>
            <w:r>
              <w:rPr>
                <w:rFonts w:hint="eastAsia" w:ascii="宋体" w:hAnsi="宋体" w:cs="宋体"/>
                <w:sz w:val="24"/>
                <w:szCs w:val="24"/>
              </w:rPr>
              <w:t xml:space="preserve">4、投标人具有中国网络安全审查技术与认证中心颁发的下列信息安全服务资质认证证书（CCRC）：（1)信息系统安全集成、（2）信息系统安全运维、（3）软件安全开发、（4）信息安全风险评估，每提供一项证书得 1分，不提供不得分。本项满分 4 分。</w:t>
            </w:r>
            <w:r/>
          </w:p>
          <w:p>
            <w:pPr>
              <w:pStyle w:val="907"/>
              <w:jc w:val="left"/>
              <w:keepNext/>
              <w:spacing w:line="360" w:lineRule="auto"/>
              <w:rPr>
                <w:rFonts w:hint="eastAsia" w:ascii="宋体" w:hAnsi="宋体" w:cs="宋体"/>
                <w:sz w:val="24"/>
                <w:szCs w:val="24"/>
              </w:rPr>
            </w:pPr>
            <w:r>
              <w:rPr>
                <w:rFonts w:hint="eastAsia" w:ascii="宋体" w:hAnsi="宋体" w:cs="宋体"/>
                <w:sz w:val="24"/>
                <w:szCs w:val="24"/>
              </w:rPr>
              <w:t xml:space="preserve">【提供相关证书复印件并加盖投标单位公章，未提供的不得分。】</w:t>
            </w:r>
            <w:r/>
          </w:p>
        </w:tc>
      </w:tr>
      <w:tr>
        <w:trPr/>
        <w:tc>
          <w:tcPr>
            <w:tcW w:w="1251" w:type="dxa"/>
            <w:vAlign w:val="center"/>
            <w:textDirection w:val="lrTb"/>
            <w:noWrap w:val="false"/>
          </w:tcPr>
          <w:p>
            <w:pPr>
              <w:pStyle w:val="907"/>
              <w:jc w:val="center"/>
              <w:keepNext/>
              <w:spacing w:line="360" w:lineRule="auto"/>
              <w:rPr>
                <w:rFonts w:hint="eastAsia" w:ascii="宋体" w:hAnsi="宋体" w:cs="宋体"/>
                <w:sz w:val="24"/>
                <w:szCs w:val="24"/>
              </w:rPr>
            </w:pPr>
            <w:r>
              <w:rPr>
                <w:rFonts w:hint="eastAsia" w:ascii="宋体" w:hAnsi="宋体" w:cs="宋体"/>
                <w:sz w:val="24"/>
                <w:szCs w:val="24"/>
              </w:rPr>
              <w:t xml:space="preserve">人员保障</w:t>
            </w:r>
            <w:r/>
          </w:p>
        </w:tc>
        <w:tc>
          <w:tcPr>
            <w:tcW w:w="1515" w:type="dxa"/>
            <w:vAlign w:val="center"/>
            <w:textDirection w:val="lrTb"/>
            <w:noWrap w:val="false"/>
          </w:tcPr>
          <w:p>
            <w:pPr>
              <w:pStyle w:val="907"/>
              <w:jc w:val="right"/>
              <w:keepNext/>
              <w:spacing w:line="360" w:lineRule="auto"/>
              <w:rPr>
                <w:rFonts w:hint="eastAsia" w:ascii="宋体" w:hAnsi="宋体" w:cs="宋体"/>
                <w:sz w:val="24"/>
                <w:szCs w:val="24"/>
              </w:rPr>
            </w:pPr>
            <w:r>
              <w:rPr>
                <w:rFonts w:hint="eastAsia" w:ascii="宋体" w:hAnsi="宋体" w:cs="宋体"/>
                <w:sz w:val="24"/>
                <w:szCs w:val="24"/>
              </w:rPr>
              <w:t xml:space="preserve">9</w:t>
            </w:r>
            <w:r/>
          </w:p>
        </w:tc>
        <w:tc>
          <w:tcPr>
            <w:tcW w:w="6973" w:type="dxa"/>
            <w:vAlign w:val="center"/>
            <w:textDirection w:val="lrTb"/>
            <w:noWrap w:val="false"/>
          </w:tcPr>
          <w:p>
            <w:pPr>
              <w:pStyle w:val="907"/>
              <w:jc w:val="left"/>
              <w:keepNext/>
              <w:spacing w:line="360" w:lineRule="auto"/>
              <w:rPr>
                <w:rFonts w:ascii="宋体" w:hAnsi="宋体" w:cs="宋体"/>
                <w:sz w:val="24"/>
              </w:rPr>
            </w:pPr>
            <w:r>
              <w:rPr>
                <w:rFonts w:ascii="宋体" w:hAnsi="宋体" w:cs="宋体"/>
                <w:sz w:val="24"/>
              </w:rPr>
              <w:t xml:space="preserve">1、项目经理</w:t>
            </w:r>
            <w:r/>
          </w:p>
          <w:p>
            <w:pPr>
              <w:pStyle w:val="907"/>
              <w:jc w:val="left"/>
              <w:keepNext/>
              <w:spacing w:line="360" w:lineRule="auto"/>
              <w:rPr>
                <w:rFonts w:ascii="宋体" w:hAnsi="宋体" w:cs="宋体"/>
                <w:sz w:val="24"/>
              </w:rPr>
            </w:pPr>
            <w:r>
              <w:rPr>
                <w:rFonts w:hint="eastAsia" w:ascii="宋体" w:hAnsi="宋体" w:cs="宋体"/>
                <w:sz w:val="24"/>
              </w:rPr>
              <w:t xml:space="preserve">拟投入的项目经理具有 ITSS-IT 服务项目经理、信息系统项目管理师证书且在有效期内，每提供一个证书得1分，最多得2分。</w:t>
            </w:r>
            <w:r>
              <w:rPr>
                <w:rFonts w:ascii="宋体" w:hAnsi="宋体" w:cs="宋体"/>
                <w:sz w:val="24"/>
              </w:rPr>
            </w:r>
            <w:r/>
          </w:p>
          <w:p>
            <w:pPr>
              <w:pStyle w:val="907"/>
              <w:jc w:val="left"/>
              <w:keepNext/>
              <w:spacing w:line="360" w:lineRule="auto"/>
              <w:rPr>
                <w:rFonts w:ascii="宋体" w:hAnsi="宋体" w:cs="宋体"/>
                <w:sz w:val="24"/>
              </w:rPr>
            </w:pPr>
            <w:r>
              <w:rPr>
                <w:rFonts w:ascii="宋体" w:hAnsi="宋体" w:cs="宋体"/>
                <w:sz w:val="24"/>
              </w:rPr>
              <w:t xml:space="preserve">2、技术负责人</w:t>
            </w:r>
            <w:r/>
          </w:p>
          <w:p>
            <w:pPr>
              <w:pStyle w:val="907"/>
              <w:jc w:val="left"/>
              <w:keepNext/>
              <w:spacing w:line="360" w:lineRule="auto"/>
              <w:rPr>
                <w:rFonts w:ascii="宋体" w:hAnsi="宋体" w:cs="宋体"/>
                <w:sz w:val="24"/>
              </w:rPr>
            </w:pPr>
            <w:r>
              <w:rPr>
                <w:rFonts w:ascii="宋体" w:hAnsi="宋体" w:cs="宋体"/>
                <w:sz w:val="24"/>
              </w:rPr>
              <w:t xml:space="preserve">拟投入的技术总负责人具有</w:t>
            </w:r>
            <w:r>
              <w:rPr>
                <w:rFonts w:hint="eastAsia" w:ascii="宋体"/>
                <w:sz w:val="24"/>
              </w:rPr>
              <w:t xml:space="preserve">系统架构师</w:t>
            </w:r>
            <w:r>
              <w:rPr>
                <w:rFonts w:ascii="宋体" w:hAnsi="宋体" w:cs="宋体"/>
                <w:sz w:val="24"/>
              </w:rPr>
              <w:t xml:space="preserve">、</w:t>
            </w:r>
            <w:r>
              <w:rPr>
                <w:rFonts w:hint="eastAsia" w:ascii="宋体" w:hAnsi="宋体" w:cs="宋体"/>
                <w:sz w:val="24"/>
              </w:rPr>
              <w:t xml:space="preserve">注册信息安全专业人员（注册信息安全工程师 </w:t>
            </w:r>
            <w:r>
              <w:rPr>
                <w:rFonts w:ascii="宋体" w:hAnsi="宋体" w:cs="宋体"/>
                <w:sz w:val="24"/>
              </w:rPr>
              <w:t xml:space="preserve">CISP-CISE</w:t>
            </w:r>
            <w:r>
              <w:rPr>
                <w:rFonts w:hint="eastAsia" w:ascii="宋体" w:hAnsi="宋体" w:cs="宋体"/>
                <w:sz w:val="24"/>
              </w:rPr>
              <w:t xml:space="preserve">）证书</w:t>
            </w:r>
            <w:r>
              <w:rPr>
                <w:rFonts w:ascii="宋体" w:hAnsi="宋体" w:cs="宋体"/>
                <w:sz w:val="24"/>
              </w:rPr>
              <w:t xml:space="preserve">，且在有效期内，</w:t>
            </w:r>
            <w:r>
              <w:rPr>
                <w:rFonts w:hint="eastAsia" w:ascii="宋体" w:hAnsi="宋体" w:cs="宋体"/>
                <w:sz w:val="24"/>
              </w:rPr>
              <w:t xml:space="preserve">每提供一个证书得1分，最多得2分</w:t>
            </w:r>
            <w:r>
              <w:rPr>
                <w:rFonts w:ascii="宋体" w:hAnsi="宋体" w:cs="宋体"/>
                <w:sz w:val="24"/>
              </w:rPr>
              <w:t xml:space="preserve">。</w:t>
            </w:r>
            <w:r/>
          </w:p>
          <w:p>
            <w:pPr>
              <w:pStyle w:val="907"/>
              <w:jc w:val="left"/>
              <w:keepNext/>
              <w:spacing w:line="360" w:lineRule="auto"/>
              <w:rPr>
                <w:rFonts w:ascii="宋体" w:hAnsi="宋体" w:cs="宋体"/>
                <w:sz w:val="24"/>
              </w:rPr>
            </w:pPr>
            <w:r>
              <w:rPr>
                <w:rFonts w:ascii="宋体" w:hAnsi="宋体" w:cs="宋体"/>
                <w:sz w:val="24"/>
              </w:rPr>
              <w:t xml:space="preserve">3、项目组其他人员</w:t>
            </w:r>
            <w:r/>
          </w:p>
          <w:p>
            <w:pPr>
              <w:pStyle w:val="907"/>
              <w:jc w:val="left"/>
              <w:keepNext/>
              <w:spacing w:line="360" w:lineRule="auto"/>
              <w:rPr>
                <w:rFonts w:ascii="宋体" w:hAnsi="宋体" w:cs="宋体"/>
                <w:sz w:val="24"/>
              </w:rPr>
            </w:pPr>
            <w:r>
              <w:rPr>
                <w:rFonts w:ascii="宋体" w:hAnsi="宋体" w:cs="宋体"/>
                <w:sz w:val="24"/>
              </w:rPr>
              <w:t xml:space="preserve">项目组其他人员数量满足招标要求，同时具有对应的职称资格或技术资质，</w:t>
            </w:r>
            <w:r>
              <w:rPr>
                <w:rFonts w:hint="eastAsia" w:ascii="宋体" w:hAnsi="宋体" w:cs="宋体"/>
                <w:sz w:val="24"/>
              </w:rPr>
              <w:t xml:space="preserve">具有CISAW信息安全保障人员（安全软件专业级）、CISAW信息安全保障人员（安全运维专业级）、CISAW信息安全保障人员（风险管理专业级）证书、系统分析师证书、系统架构设计师证书，一个证书得1分，最多得5分。</w:t>
            </w:r>
            <w:r>
              <w:rPr>
                <w:rFonts w:ascii="宋体" w:hAnsi="宋体" w:cs="宋体"/>
                <w:sz w:val="24"/>
              </w:rPr>
            </w:r>
            <w:r/>
          </w:p>
          <w:p>
            <w:pPr>
              <w:pStyle w:val="907"/>
              <w:jc w:val="left"/>
              <w:keepNext/>
              <w:spacing w:line="360" w:lineRule="auto"/>
              <w:rPr>
                <w:rFonts w:hint="eastAsia" w:ascii="宋体" w:hAnsi="宋体" w:cs="宋体"/>
                <w:sz w:val="24"/>
                <w:szCs w:val="24"/>
              </w:rPr>
            </w:pPr>
            <w:r>
              <w:rPr>
                <w:rFonts w:ascii="宋体" w:hAnsi="宋体" w:cs="宋体"/>
                <w:sz w:val="24"/>
              </w:rPr>
              <w:t xml:space="preserve">【注：上述证书每个人只计一证，</w:t>
            </w:r>
            <w:r>
              <w:rPr>
                <w:rFonts w:hint="eastAsia" w:ascii="宋体" w:hAnsi="宋体" w:cs="宋体"/>
                <w:sz w:val="24"/>
              </w:rPr>
              <w:t xml:space="preserve">一人多证不重复得分</w:t>
            </w:r>
            <w:r>
              <w:rPr>
                <w:rFonts w:ascii="宋体" w:hAnsi="宋体" w:cs="宋体"/>
                <w:sz w:val="24"/>
              </w:rPr>
              <w:t xml:space="preserve">。需提供证书及社保证明材料扫描件（社保证明材料需明细到个人，时间 为投标截止前近6个月</w:t>
            </w:r>
            <w:r>
              <w:rPr>
                <w:rFonts w:hint="eastAsia" w:ascii="宋体" w:hAnsi="宋体" w:cs="宋体"/>
                <w:sz w:val="24"/>
              </w:rPr>
              <w:t xml:space="preserve">内任意一个月</w:t>
            </w:r>
            <w:r>
              <w:rPr>
                <w:rFonts w:ascii="宋体" w:hAnsi="宋体" w:cs="宋体"/>
                <w:sz w:val="24"/>
              </w:rPr>
              <w:t xml:space="preserve">，并加盖投标单位公章，未提供该细项不得分】</w:t>
            </w:r>
            <w:r>
              <w:rPr>
                <w:rFonts w:hint="eastAsia" w:ascii="宋体" w:hAnsi="宋体" w:cs="宋体"/>
                <w:sz w:val="24"/>
                <w:szCs w:val="24"/>
              </w:rPr>
            </w:r>
            <w:r/>
          </w:p>
        </w:tc>
      </w:tr>
      <w:tr>
        <w:trPr/>
        <w:tc>
          <w:tcPr>
            <w:tcW w:w="1251" w:type="dxa"/>
            <w:vAlign w:val="center"/>
            <w:textDirection w:val="lrTb"/>
            <w:noWrap w:val="false"/>
          </w:tcPr>
          <w:p>
            <w:pPr>
              <w:pStyle w:val="907"/>
              <w:jc w:val="center"/>
              <w:keepNext/>
              <w:spacing w:line="360" w:lineRule="auto"/>
              <w:rPr>
                <w:rFonts w:hint="eastAsia" w:ascii="宋体" w:hAnsi="宋体" w:cs="宋体"/>
                <w:sz w:val="24"/>
                <w:szCs w:val="24"/>
              </w:rPr>
            </w:pPr>
            <w:r>
              <w:rPr>
                <w:rFonts w:hint="eastAsia" w:ascii="宋体" w:hAnsi="宋体" w:cs="宋体"/>
                <w:sz w:val="24"/>
                <w:szCs w:val="24"/>
                <w:lang w:eastAsia="en-US"/>
              </w:rPr>
              <w:t xml:space="preserve">业绩</w:t>
            </w:r>
            <w:r>
              <w:rPr>
                <w:rFonts w:hint="eastAsia" w:ascii="宋体" w:hAnsi="宋体" w:cs="宋体"/>
                <w:sz w:val="24"/>
                <w:szCs w:val="24"/>
              </w:rPr>
            </w:r>
            <w:r/>
          </w:p>
        </w:tc>
        <w:tc>
          <w:tcPr>
            <w:tcW w:w="1515" w:type="dxa"/>
            <w:vAlign w:val="center"/>
            <w:textDirection w:val="lrTb"/>
            <w:noWrap w:val="false"/>
          </w:tcPr>
          <w:p>
            <w:pPr>
              <w:pStyle w:val="907"/>
              <w:jc w:val="right"/>
              <w:keepNext/>
              <w:spacing w:line="360" w:lineRule="auto"/>
              <w:rPr>
                <w:rFonts w:hint="eastAsia" w:ascii="宋体" w:hAnsi="宋体" w:cs="宋体"/>
                <w:sz w:val="24"/>
                <w:szCs w:val="24"/>
              </w:rPr>
            </w:pPr>
            <w:r>
              <w:rPr>
                <w:rFonts w:hint="eastAsia" w:ascii="宋体" w:hAnsi="宋体" w:cs="宋体"/>
                <w:sz w:val="24"/>
                <w:szCs w:val="24"/>
              </w:rPr>
              <w:t xml:space="preserve">2</w:t>
            </w:r>
            <w:r/>
          </w:p>
        </w:tc>
        <w:tc>
          <w:tcPr>
            <w:tcW w:w="6973" w:type="dxa"/>
            <w:vAlign w:val="center"/>
            <w:textDirection w:val="lrTb"/>
            <w:noWrap w:val="false"/>
          </w:tcPr>
          <w:p>
            <w:pPr>
              <w:pStyle w:val="907"/>
              <w:jc w:val="left"/>
              <w:keepNext/>
              <w:spacing w:line="360" w:lineRule="auto"/>
              <w:rPr>
                <w:rFonts w:hint="eastAsia" w:ascii="宋体" w:hAnsi="宋体" w:cs="宋体"/>
                <w:sz w:val="24"/>
                <w:szCs w:val="24"/>
              </w:rPr>
            </w:pPr>
            <w:r>
              <w:rPr>
                <w:rFonts w:hint="eastAsia" w:ascii="宋体" w:hAnsi="宋体" w:cs="宋体"/>
                <w:spacing w:val="-2"/>
                <w:sz w:val="24"/>
                <w:szCs w:val="24"/>
              </w:rPr>
              <w:t xml:space="preserve">投标人具备自</w:t>
            </w:r>
            <w:r>
              <w:rPr>
                <w:rFonts w:hint="eastAsia" w:ascii="宋体" w:hAnsi="宋体" w:cs="宋体"/>
                <w:spacing w:val="-42"/>
                <w:sz w:val="24"/>
                <w:szCs w:val="24"/>
              </w:rPr>
              <w:t xml:space="preserve"> </w:t>
            </w:r>
            <w:r>
              <w:rPr>
                <w:rFonts w:hint="eastAsia" w:ascii="宋体" w:hAnsi="宋体" w:cs="宋体"/>
                <w:spacing w:val="-2"/>
                <w:sz w:val="24"/>
                <w:szCs w:val="24"/>
              </w:rPr>
              <w:t xml:space="preserve">2022</w:t>
            </w:r>
            <w:r>
              <w:rPr>
                <w:rFonts w:hint="eastAsia" w:ascii="宋体" w:hAnsi="宋体" w:cs="宋体"/>
                <w:spacing w:val="-45"/>
                <w:sz w:val="24"/>
                <w:szCs w:val="24"/>
              </w:rPr>
              <w:t xml:space="preserve"> </w:t>
            </w:r>
            <w:r>
              <w:rPr>
                <w:rFonts w:hint="eastAsia" w:ascii="宋体" w:hAnsi="宋体" w:cs="宋体"/>
                <w:spacing w:val="-2"/>
                <w:sz w:val="24"/>
                <w:szCs w:val="24"/>
              </w:rPr>
              <w:t xml:space="preserve">年</w:t>
            </w:r>
            <w:r>
              <w:rPr>
                <w:rFonts w:hint="eastAsia" w:ascii="宋体" w:hAnsi="宋体" w:cs="宋体"/>
                <w:spacing w:val="-45"/>
                <w:sz w:val="24"/>
                <w:szCs w:val="24"/>
              </w:rPr>
              <w:t xml:space="preserve"> </w:t>
            </w:r>
            <w:r>
              <w:rPr>
                <w:rFonts w:hint="eastAsia" w:ascii="宋体" w:hAnsi="宋体" w:cs="宋体"/>
                <w:spacing w:val="-2"/>
                <w:sz w:val="24"/>
                <w:szCs w:val="24"/>
              </w:rPr>
              <w:t xml:space="preserve">6</w:t>
            </w:r>
            <w:r>
              <w:rPr>
                <w:rFonts w:hint="eastAsia" w:ascii="宋体" w:hAnsi="宋体" w:cs="宋体"/>
                <w:spacing w:val="-39"/>
                <w:sz w:val="24"/>
                <w:szCs w:val="24"/>
              </w:rPr>
              <w:t xml:space="preserve"> </w:t>
            </w:r>
            <w:r>
              <w:rPr>
                <w:rFonts w:hint="eastAsia" w:ascii="宋体" w:hAnsi="宋体" w:cs="宋体"/>
                <w:spacing w:val="-2"/>
                <w:sz w:val="24"/>
                <w:szCs w:val="24"/>
              </w:rPr>
              <w:t xml:space="preserve">月至今已完成的类似项目业绩</w:t>
            </w:r>
            <w:r>
              <w:rPr>
                <w:rFonts w:hint="eastAsia" w:ascii="宋体" w:hAnsi="宋体" w:cs="宋体"/>
                <w:spacing w:val="-3"/>
                <w:sz w:val="24"/>
                <w:szCs w:val="24"/>
              </w:rPr>
              <w:t xml:space="preserve">，每提供一个符合要求的业绩得</w:t>
            </w:r>
            <w:r>
              <w:rPr>
                <w:rFonts w:hint="eastAsia" w:ascii="宋体" w:hAnsi="宋体" w:cs="宋体"/>
                <w:spacing w:val="-44"/>
                <w:sz w:val="24"/>
                <w:szCs w:val="24"/>
              </w:rPr>
              <w:t xml:space="preserve">1</w:t>
            </w:r>
            <w:r>
              <w:rPr>
                <w:rFonts w:hint="eastAsia" w:ascii="宋体" w:hAnsi="宋体" w:cs="宋体"/>
                <w:spacing w:val="-3"/>
                <w:sz w:val="24"/>
                <w:szCs w:val="24"/>
              </w:rPr>
              <w:t xml:space="preserve">分，此</w:t>
            </w:r>
            <w:r>
              <w:rPr>
                <w:rFonts w:hint="eastAsia" w:ascii="宋体" w:hAnsi="宋体"/>
                <w:bCs/>
                <w:sz w:val="24"/>
              </w:rPr>
              <w:t xml:space="preserve">项最高得2分；【注：投标人针对每项业绩需同时提供项目案例合同复印件，并加盖单位公章，时间、内容以合同签订为准，未提供或提供不全不得分。】</w:t>
            </w:r>
            <w:r>
              <w:rPr>
                <w:rFonts w:hint="eastAsia" w:ascii="宋体" w:hAnsi="宋体" w:cs="宋体"/>
                <w:sz w:val="24"/>
                <w:szCs w:val="24"/>
              </w:rPr>
            </w:r>
            <w:r/>
          </w:p>
        </w:tc>
      </w:tr>
      <w:tr>
        <w:trPr/>
        <w:tc>
          <w:tcPr>
            <w:tcW w:w="1251" w:type="dxa"/>
            <w:vAlign w:val="center"/>
            <w:textDirection w:val="lrTb"/>
            <w:noWrap w:val="false"/>
          </w:tcPr>
          <w:p>
            <w:pPr>
              <w:pStyle w:val="907"/>
              <w:jc w:val="center"/>
              <w:keepNext/>
              <w:spacing w:line="360" w:lineRule="auto"/>
              <w:rPr>
                <w:rFonts w:hint="eastAsia" w:ascii="宋体" w:hAnsi="宋体" w:cs="宋体"/>
                <w:sz w:val="24"/>
                <w:szCs w:val="24"/>
                <w:lang w:eastAsia="en-US"/>
              </w:rPr>
            </w:pPr>
            <w:r>
              <w:rPr>
                <w:rFonts w:hint="eastAsia" w:ascii="宋体" w:hAnsi="宋体"/>
                <w:bCs/>
                <w:sz w:val="24"/>
              </w:rPr>
              <w:t xml:space="preserve">节能环保</w:t>
            </w:r>
            <w:r>
              <w:rPr>
                <w:rFonts w:hint="eastAsia" w:ascii="宋体" w:hAnsi="宋体" w:cs="宋体"/>
                <w:sz w:val="24"/>
                <w:szCs w:val="24"/>
                <w:lang w:eastAsia="en-US"/>
              </w:rPr>
            </w:r>
            <w:r/>
          </w:p>
        </w:tc>
        <w:tc>
          <w:tcPr>
            <w:tcW w:w="1515" w:type="dxa"/>
            <w:vAlign w:val="center"/>
            <w:textDirection w:val="lrTb"/>
            <w:noWrap w:val="false"/>
          </w:tcPr>
          <w:p>
            <w:pPr>
              <w:pStyle w:val="907"/>
              <w:jc w:val="right"/>
              <w:keepNex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6973" w:type="dxa"/>
            <w:vAlign w:val="center"/>
            <w:textDirection w:val="lrTb"/>
            <w:noWrap w:val="false"/>
          </w:tcPr>
          <w:p>
            <w:pPr>
              <w:pStyle w:val="907"/>
              <w:ind w:firstLine="600"/>
              <w:jc w:val="left"/>
              <w:keepNext/>
              <w:rPr>
                <w:rFonts w:ascii="宋体" w:hAnsi="宋体"/>
                <w:bCs/>
                <w:sz w:val="24"/>
              </w:rPr>
            </w:pPr>
            <w:r>
              <w:rPr>
                <w:rFonts w:hint="eastAsia" w:ascii="宋体" w:hAnsi="宋体"/>
                <w:bCs/>
                <w:sz w:val="24"/>
              </w:rPr>
              <w:t xml:space="preserve">投标产品属于财政部、国家发改委公布的“节能产品品目清单”范围内的，投标人提供国家确定的认证机构出具的、处于有效期之内的该节能产品认证证书复印件的，得1分。如投标核心产品均属于政府强制采购节能产品品目清单范围内，本项不得分。</w:t>
            </w:r>
            <w:r>
              <w:rPr>
                <w:rFonts w:ascii="宋体" w:hAnsi="宋体"/>
                <w:bCs/>
                <w:sz w:val="24"/>
              </w:rPr>
            </w:r>
            <w:r/>
          </w:p>
          <w:p>
            <w:pPr>
              <w:pStyle w:val="907"/>
              <w:ind w:firstLine="480"/>
              <w:jc w:val="left"/>
              <w:keepNext/>
              <w:rPr>
                <w:rFonts w:hint="eastAsia" w:ascii="宋体" w:hAnsi="宋体" w:cs="宋体"/>
                <w:spacing w:val="-2"/>
                <w:sz w:val="24"/>
                <w:szCs w:val="24"/>
              </w:rPr>
            </w:pPr>
            <w:r>
              <w:rPr>
                <w:rFonts w:hint="eastAsia" w:ascii="宋体" w:hAnsi="宋体"/>
                <w:bCs/>
                <w:sz w:val="24"/>
              </w:rPr>
              <w:t xml:space="preserve">投标（响应）产品属于财政部、生态环境部公布的“环境标志产品品目清单</w:t>
            </w:r>
            <w:r>
              <w:rPr>
                <w:rFonts w:ascii="宋体" w:hAnsi="宋体"/>
                <w:bCs/>
                <w:sz w:val="24"/>
              </w:rPr>
              <w:t xml:space="preserve">”</w:t>
            </w:r>
            <w:r>
              <w:rPr>
                <w:rFonts w:hint="eastAsia" w:ascii="宋体" w:hAnsi="宋体"/>
                <w:bCs/>
                <w:sz w:val="24"/>
              </w:rPr>
              <w:t xml:space="preserve">范围内的，投标人（供应商）提供国家确定的认证机构出具的、处于有效期内的该投标（响应）产品环境标志产品认证证书复印件的，得1分。</w:t>
            </w:r>
            <w:r>
              <w:rPr>
                <w:rFonts w:hint="eastAsia" w:ascii="宋体" w:hAnsi="宋体" w:cs="宋体"/>
                <w:spacing w:val="-2"/>
                <w:sz w:val="24"/>
                <w:szCs w:val="24"/>
              </w:rPr>
            </w:r>
            <w:r/>
          </w:p>
        </w:tc>
      </w:tr>
    </w:tbl>
    <w:p>
      <w:pPr>
        <w:pStyle w:val="907"/>
        <w:jc w:val="center"/>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907"/>
        <w:jc w:val="center"/>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920"/>
        <w:rPr>
          <w:rFonts w:hint="eastAsia"/>
        </w:rPr>
      </w:pPr>
      <w:r>
        <w:rPr>
          <w:rFonts w:hint="eastAsia"/>
        </w:rPr>
      </w:r>
      <w:r/>
    </w:p>
    <w:p>
      <w:pPr>
        <w:pStyle w:val="907"/>
        <w:jc w:val="center"/>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907"/>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投标</w:t>
      </w:r>
      <w:bookmarkEnd w:id="178"/>
      <w:r/>
      <w:bookmarkEnd w:id="179"/>
      <w:r/>
      <w:bookmarkEnd w:id="180"/>
      <w:r>
        <w:rPr>
          <w:rFonts w:hint="eastAsia" w:ascii="黑体" w:hAnsi="Times New Roman" w:eastAsia="黑体"/>
          <w:bCs/>
          <w:sz w:val="44"/>
          <w:szCs w:val="28"/>
        </w:rPr>
        <w:t xml:space="preserve">文件格式 </w:t>
      </w:r>
      <w:r/>
    </w:p>
    <w:p>
      <w:pPr>
        <w:pStyle w:val="907"/>
        <w:jc w:val="center"/>
        <w:rPr>
          <w:rFonts w:hint="eastAsia" w:ascii="宋体" w:hAnsi="宋体"/>
          <w:b/>
          <w:sz w:val="72"/>
          <w:szCs w:val="21"/>
        </w:rPr>
      </w:pPr>
      <w:r/>
      <w:bookmarkStart w:id="181" w:name="_Hlt26671244"/>
      <w:r/>
      <w:bookmarkEnd w:id="181"/>
      <w:r/>
      <w:bookmarkStart w:id="182" w:name="_Hlt26955039"/>
      <w:r/>
      <w:bookmarkEnd w:id="182"/>
      <w:r/>
      <w:bookmarkStart w:id="183" w:name="_Toc26554094"/>
      <w:r/>
      <w:bookmarkStart w:id="184" w:name="_Toc120614282"/>
      <w:r/>
      <w:bookmarkStart w:id="185" w:name="_Toc49090576"/>
      <w:r>
        <w:rPr>
          <w:rFonts w:hint="eastAsia" w:ascii="宋体" w:hAnsi="宋体"/>
          <w:b/>
          <w:sz w:val="72"/>
          <w:szCs w:val="21"/>
        </w:rPr>
      </w:r>
      <w:r/>
    </w:p>
    <w:p>
      <w:pPr>
        <w:pStyle w:val="907"/>
        <w:jc w:val="center"/>
        <w:rPr>
          <w:rFonts w:hint="eastAsia" w:ascii="宋体" w:hAnsi="宋体"/>
          <w:b/>
          <w:sz w:val="72"/>
          <w:szCs w:val="21"/>
        </w:rPr>
      </w:pPr>
      <w:r>
        <w:rPr>
          <w:rFonts w:hint="eastAsia" w:ascii="宋体" w:hAnsi="宋体"/>
          <w:b/>
          <w:sz w:val="72"/>
          <w:szCs w:val="21"/>
        </w:rPr>
        <w:t xml:space="preserve">投  标  文  件</w:t>
      </w:r>
      <w:r/>
    </w:p>
    <w:p>
      <w:pPr>
        <w:pStyle w:val="907"/>
        <w:jc w:val="center"/>
        <w:rPr>
          <w:rFonts w:hint="eastAsia" w:ascii="宋体" w:hAnsi="宋体"/>
          <w:b/>
          <w:sz w:val="36"/>
          <w:szCs w:val="21"/>
        </w:rPr>
      </w:pPr>
      <w:r>
        <w:rPr>
          <w:rFonts w:hint="eastAsia" w:ascii="宋体" w:hAnsi="宋体"/>
          <w:b/>
          <w:sz w:val="36"/>
          <w:szCs w:val="21"/>
        </w:rPr>
      </w:r>
      <w:r/>
    </w:p>
    <w:p>
      <w:pPr>
        <w:pStyle w:val="907"/>
        <w:jc w:val="center"/>
        <w:rPr>
          <w:rFonts w:hint="eastAsia" w:ascii="宋体" w:hAnsi="宋体"/>
          <w:b/>
          <w:sz w:val="36"/>
          <w:szCs w:val="21"/>
        </w:rPr>
      </w:pPr>
      <w:r>
        <w:rPr>
          <w:rFonts w:hint="eastAsia" w:ascii="宋体" w:hAnsi="宋体"/>
          <w:b/>
          <w:sz w:val="36"/>
          <w:szCs w:val="21"/>
        </w:rPr>
      </w:r>
      <w:r/>
    </w:p>
    <w:p>
      <w:pPr>
        <w:pStyle w:val="907"/>
        <w:jc w:val="center"/>
        <w:rPr>
          <w:rFonts w:hint="eastAsia" w:ascii="宋体" w:hAnsi="宋体"/>
          <w:b/>
          <w:sz w:val="36"/>
          <w:szCs w:val="21"/>
        </w:rPr>
      </w:pPr>
      <w:r>
        <w:rPr>
          <w:rFonts w:hint="eastAsia" w:ascii="宋体" w:hAnsi="宋体"/>
          <w:b/>
          <w:sz w:val="36"/>
          <w:szCs w:val="21"/>
        </w:rPr>
      </w:r>
      <w:r/>
    </w:p>
    <w:p>
      <w:pPr>
        <w:pStyle w:val="907"/>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907"/>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907"/>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pStyle w:val="907"/>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907"/>
        <w:jc w:val="center"/>
        <w:spacing w:line="440" w:lineRule="exact"/>
        <w:rPr>
          <w:rFonts w:hint="eastAsia" w:ascii="宋体" w:hAnsi="宋体"/>
          <w:b/>
          <w:bCs/>
          <w:sz w:val="32"/>
          <w:szCs w:val="32"/>
        </w:rPr>
      </w:pPr>
      <w:r>
        <w:rPr>
          <w:rFonts w:hint="eastAsia" w:ascii="宋体" w:hAnsi="宋体"/>
          <w:b/>
          <w:bCs/>
          <w:sz w:val="32"/>
          <w:szCs w:val="32"/>
        </w:rPr>
      </w:r>
      <w:r/>
    </w:p>
    <w:p>
      <w:pPr>
        <w:pStyle w:val="907"/>
        <w:jc w:val="center"/>
        <w:rPr>
          <w:rFonts w:ascii="宋体" w:hAnsi="宋体"/>
          <w:b/>
          <w:bCs/>
          <w:sz w:val="32"/>
          <w:szCs w:val="32"/>
        </w:rPr>
      </w:pPr>
      <w:r>
        <w:rPr>
          <w:rFonts w:ascii="宋体" w:hAnsi="宋体"/>
          <w:b/>
          <w:bCs/>
          <w:sz w:val="32"/>
          <w:szCs w:val="32"/>
        </w:rPr>
      </w:r>
      <w:r/>
    </w:p>
    <w:p>
      <w:pPr>
        <w:pStyle w:val="907"/>
        <w:jc w:val="center"/>
        <w:rPr>
          <w:rFonts w:hint="eastAsia" w:ascii="宋体" w:hAnsi="宋体"/>
          <w:b/>
          <w:bCs/>
          <w:sz w:val="32"/>
          <w:szCs w:val="32"/>
        </w:rPr>
      </w:pPr>
      <w:r>
        <w:rPr>
          <w:rFonts w:hint="eastAsia" w:ascii="宋体" w:hAnsi="宋体"/>
          <w:b/>
          <w:bCs/>
          <w:sz w:val="32"/>
          <w:szCs w:val="32"/>
        </w:rPr>
      </w:r>
      <w:r/>
    </w:p>
    <w:p>
      <w:pPr>
        <w:pStyle w:val="907"/>
        <w:jc w:val="center"/>
        <w:rPr>
          <w:rFonts w:hint="eastAsia" w:ascii="宋体" w:hAnsi="宋体"/>
          <w:b/>
          <w:bCs/>
          <w:sz w:val="32"/>
          <w:szCs w:val="32"/>
        </w:rPr>
      </w:pPr>
      <w:r>
        <w:rPr>
          <w:rFonts w:hint="eastAsia" w:ascii="宋体" w:hAnsi="宋体"/>
          <w:b/>
          <w:bCs/>
          <w:sz w:val="32"/>
          <w:szCs w:val="32"/>
        </w:rPr>
      </w:r>
      <w:r/>
    </w:p>
    <w:p>
      <w:pPr>
        <w:pStyle w:val="907"/>
        <w:jc w:val="center"/>
        <w:rPr>
          <w:rFonts w:hint="eastAsia" w:ascii="宋体" w:hAnsi="宋体"/>
          <w:b/>
          <w:bCs/>
          <w:sz w:val="32"/>
          <w:szCs w:val="32"/>
        </w:rPr>
      </w:pPr>
      <w:r>
        <w:rPr>
          <w:rFonts w:hint="eastAsia" w:ascii="宋体" w:hAnsi="宋体"/>
          <w:b/>
          <w:bCs/>
          <w:sz w:val="32"/>
          <w:szCs w:val="32"/>
        </w:rPr>
      </w:r>
      <w:r/>
    </w:p>
    <w:p>
      <w:pPr>
        <w:pStyle w:val="907"/>
        <w:jc w:val="center"/>
        <w:rPr>
          <w:rFonts w:hint="eastAsia" w:ascii="宋体" w:hAnsi="宋体"/>
          <w:b/>
          <w:bCs/>
          <w:sz w:val="32"/>
          <w:szCs w:val="32"/>
        </w:rPr>
      </w:pPr>
      <w:r>
        <w:rPr>
          <w:rFonts w:hint="eastAsia" w:ascii="宋体" w:hAnsi="宋体"/>
          <w:b/>
          <w:bCs/>
          <w:sz w:val="32"/>
          <w:szCs w:val="32"/>
        </w:rPr>
      </w:r>
      <w:r/>
    </w:p>
    <w:p>
      <w:pPr>
        <w:pStyle w:val="907"/>
        <w:jc w:val="center"/>
        <w:rPr>
          <w:rFonts w:hint="eastAsia" w:ascii="宋体" w:hAnsi="宋体"/>
          <w:b/>
          <w:bCs/>
          <w:sz w:val="32"/>
          <w:szCs w:val="32"/>
        </w:rPr>
      </w:pPr>
      <w:r>
        <w:rPr>
          <w:rFonts w:hint="eastAsia" w:ascii="宋体" w:hAnsi="宋体"/>
          <w:b/>
          <w:bCs/>
          <w:sz w:val="32"/>
          <w:szCs w:val="32"/>
        </w:rPr>
      </w:r>
      <w:r/>
    </w:p>
    <w:p>
      <w:pPr>
        <w:pStyle w:val="907"/>
        <w:jc w:val="center"/>
        <w:rPr>
          <w:rFonts w:hint="eastAsia" w:ascii="宋体" w:hAnsi="宋体"/>
          <w:b/>
          <w:bCs/>
          <w:sz w:val="32"/>
          <w:szCs w:val="32"/>
        </w:rPr>
      </w:pPr>
      <w:r>
        <w:rPr>
          <w:rFonts w:hint="eastAsia" w:ascii="宋体" w:hAnsi="宋体"/>
          <w:b/>
          <w:bCs/>
          <w:sz w:val="32"/>
          <w:szCs w:val="32"/>
        </w:rPr>
      </w:r>
      <w:r/>
    </w:p>
    <w:p>
      <w:pPr>
        <w:pStyle w:val="907"/>
        <w:jc w:val="center"/>
        <w:rPr>
          <w:rFonts w:hint="eastAsia" w:ascii="宋体" w:hAnsi="宋体"/>
          <w:b/>
          <w:bCs/>
          <w:sz w:val="32"/>
          <w:szCs w:val="32"/>
        </w:rPr>
      </w:pPr>
      <w:r>
        <w:rPr>
          <w:rFonts w:hint="eastAsia" w:ascii="宋体" w:hAnsi="宋体"/>
          <w:b/>
          <w:bCs/>
          <w:sz w:val="32"/>
          <w:szCs w:val="32"/>
        </w:rPr>
      </w:r>
      <w:r/>
    </w:p>
    <w:p>
      <w:pPr>
        <w:pStyle w:val="907"/>
        <w:jc w:val="center"/>
        <w:rPr>
          <w:rFonts w:hint="eastAsia" w:ascii="宋体" w:hAnsi="宋体"/>
          <w:b/>
          <w:bCs/>
          <w:sz w:val="32"/>
          <w:szCs w:val="32"/>
        </w:rPr>
      </w:pPr>
      <w:r>
        <w:rPr>
          <w:rFonts w:hint="eastAsia" w:ascii="宋体" w:hAnsi="宋体"/>
          <w:b/>
          <w:bCs/>
          <w:sz w:val="32"/>
          <w:szCs w:val="32"/>
        </w:rPr>
      </w:r>
      <w:r/>
    </w:p>
    <w:p>
      <w:pPr>
        <w:pStyle w:val="907"/>
        <w:jc w:val="center"/>
        <w:rPr>
          <w:rFonts w:hint="eastAsia" w:ascii="宋体" w:hAnsi="宋体"/>
          <w:b/>
          <w:bCs/>
          <w:sz w:val="32"/>
          <w:szCs w:val="32"/>
        </w:rPr>
      </w:pPr>
      <w:r>
        <w:rPr>
          <w:rFonts w:hint="eastAsia" w:ascii="宋体" w:hAnsi="宋体"/>
          <w:b/>
          <w:bCs/>
          <w:sz w:val="32"/>
          <w:szCs w:val="32"/>
        </w:rPr>
      </w:r>
      <w:r/>
    </w:p>
    <w:p>
      <w:pPr>
        <w:pStyle w:val="907"/>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7"/>
        <w:jc w:val="center"/>
        <w:spacing w:line="440" w:lineRule="exact"/>
        <w:rPr>
          <w:rFonts w:hint="eastAsia" w:ascii="宋体" w:hAnsi="宋体"/>
          <w:b/>
          <w:bCs/>
          <w:sz w:val="32"/>
          <w:szCs w:val="32"/>
        </w:rPr>
      </w:pPr>
      <w:r>
        <w:rPr>
          <w:rFonts w:hint="eastAsia" w:ascii="宋体" w:hAnsi="宋体"/>
          <w:b/>
          <w:bCs/>
          <w:sz w:val="32"/>
          <w:szCs w:val="32"/>
        </w:rPr>
      </w:r>
      <w:r/>
    </w:p>
    <w:p>
      <w:pPr>
        <w:pStyle w:val="907"/>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7"/>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pStyle w:val="907"/>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07"/>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07"/>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07"/>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907"/>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7"/>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pStyle w:val="907"/>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pStyle w:val="907"/>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07"/>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pStyle w:val="907"/>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7"/>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07"/>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pStyle w:val="907"/>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7"/>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7"/>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pStyle w:val="907"/>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pStyle w:val="907"/>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pStyle w:val="907"/>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pStyle w:val="907"/>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rPr>
          <w:rFonts w:ascii="宋体" w:hAnsi="宋体"/>
          <w:sz w:val="24"/>
          <w:szCs w:val="21"/>
        </w:rPr>
      </w:r>
      <w:r/>
    </w:p>
    <w:p>
      <w:pPr>
        <w:pStyle w:val="907"/>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中提供相关材料，否则作无效投标处理；6条如招标文件要求必须提供相关材料而未提供的，作无效投标处理。</w:t>
      </w:r>
      <w:r>
        <w:rPr>
          <w:rFonts w:ascii="宋体" w:hAnsi="宋体"/>
          <w:sz w:val="24"/>
          <w:szCs w:val="24"/>
        </w:rPr>
      </w:r>
      <w:r/>
    </w:p>
    <w:p>
      <w:pPr>
        <w:pStyle w:val="907"/>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7"/>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p>
    <w:p>
      <w:pPr>
        <w:pStyle w:val="907"/>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pStyle w:val="907"/>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pStyle w:val="907"/>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pStyle w:val="907"/>
        <w:ind w:left="480"/>
        <w:rPr>
          <w:rFonts w:ascii="宋体" w:hAnsi="宋体"/>
          <w:b/>
          <w:sz w:val="24"/>
          <w:szCs w:val="21"/>
        </w:rPr>
      </w:pPr>
      <w:r>
        <w:rPr>
          <w:rFonts w:ascii="宋体" w:hAnsi="宋体"/>
          <w:b/>
          <w:sz w:val="24"/>
          <w:szCs w:val="21"/>
        </w:rPr>
      </w:r>
      <w:r/>
    </w:p>
    <w:p>
      <w:pPr>
        <w:pStyle w:val="907"/>
        <w:jc w:val="center"/>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ascii="Times New Roman" w:hAnsi="Times New Roman" w:eastAsia="仿宋_GB2312"/>
          <w:sz w:val="24"/>
          <w:szCs w:val="20"/>
        </w:rPr>
      </w:r>
      <w:r/>
    </w:p>
    <w:p>
      <w:pPr>
        <w:pStyle w:val="907"/>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pStyle w:val="907"/>
        <w:ind w:firstLine="482"/>
        <w:spacing w:line="400" w:lineRule="exact"/>
        <w:rPr>
          <w:rFonts w:ascii="Times New Roman" w:hAnsi="Times New Roman"/>
          <w:sz w:val="24"/>
          <w:szCs w:val="24"/>
        </w:rPr>
      </w:pPr>
      <w:r>
        <w:rPr>
          <w:rFonts w:hint="eastAsia" w:ascii="宋体" w:hAnsi="宋体"/>
          <w:sz w:val="24"/>
          <w:szCs w:val="24"/>
        </w:rPr>
        <w:t xml:space="preserve">项目名称：</w:t>
      </w:r>
      <w:r>
        <w:rPr>
          <w:rFonts w:ascii="Times New Roman" w:hAnsi="Times New Roman"/>
          <w:sz w:val="24"/>
          <w:szCs w:val="24"/>
        </w:rPr>
      </w:r>
      <w:r/>
    </w:p>
    <w:p>
      <w:pPr>
        <w:pStyle w:val="907"/>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pStyle w:val="907"/>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7"/>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pStyle w:val="907"/>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7"/>
        <w:rPr>
          <w:rFonts w:ascii="宋体" w:hAnsi="宋体"/>
          <w:sz w:val="24"/>
          <w:szCs w:val="24"/>
        </w:rPr>
      </w:pPr>
      <w:r>
        <w:rPr>
          <w:rFonts w:ascii="宋体" w:hAnsi="宋体"/>
          <w:sz w:val="24"/>
          <w:szCs w:val="24"/>
        </w:rPr>
      </w:r>
      <w:r/>
    </w:p>
    <w:p>
      <w:pPr>
        <w:pStyle w:val="907"/>
        <w:jc w:val="center"/>
        <w:rPr>
          <w:rFonts w:ascii="宋体" w:hAnsi="宋体"/>
          <w:b/>
          <w:sz w:val="24"/>
          <w:szCs w:val="24"/>
        </w:rPr>
      </w:pPr>
      <w:r>
        <w:rPr>
          <w:rFonts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pStyle w:val="907"/>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产品</w:t>
            </w:r>
            <w:r/>
          </w:p>
          <w:p>
            <w:pPr>
              <w:pStyle w:val="907"/>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规格</w:t>
            </w:r>
            <w:r/>
          </w:p>
          <w:p>
            <w:pPr>
              <w:pStyle w:val="907"/>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7"/>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7"/>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7"/>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966" w:type="dxa"/>
            <w:vAlign w:val="top"/>
            <w:textDirection w:val="lrTb"/>
            <w:noWrap w:val="false"/>
          </w:tcPr>
          <w:p>
            <w:pPr>
              <w:pStyle w:val="907"/>
              <w:rPr>
                <w:rFonts w:hint="eastAsia" w:ascii="宋体" w:hAnsi="宋体"/>
                <w:sz w:val="24"/>
                <w:szCs w:val="24"/>
              </w:rPr>
            </w:pPr>
            <w:r>
              <w:rPr>
                <w:rFonts w:hint="eastAsia" w:ascii="宋体" w:hAnsi="宋体"/>
                <w:sz w:val="24"/>
                <w:szCs w:val="24"/>
              </w:rPr>
            </w:r>
            <w:r/>
          </w:p>
        </w:tc>
      </w:tr>
    </w:tbl>
    <w:p>
      <w:pPr>
        <w:pStyle w:val="90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7"/>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ascii="宋体" w:hAnsi="宋体"/>
          <w:sz w:val="24"/>
          <w:szCs w:val="21"/>
        </w:rPr>
      </w:r>
      <w:r/>
    </w:p>
    <w:p>
      <w:pPr>
        <w:pStyle w:val="907"/>
        <w:spacing w:line="400" w:lineRule="exact"/>
        <w:rPr>
          <w:rFonts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rPr>
          <w:rFonts w:ascii="宋体" w:hAnsi="宋体"/>
          <w:sz w:val="24"/>
          <w:szCs w:val="21"/>
        </w:rPr>
      </w:r>
      <w:r/>
    </w:p>
    <w:p>
      <w:pPr>
        <w:pStyle w:val="907"/>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3.投标人需认真填写本报价表，尤其注意规格型号的准确填写。</w:t>
      </w:r>
      <w:r/>
    </w:p>
    <w:p>
      <w:pPr>
        <w:pStyle w:val="907"/>
        <w:spacing w:line="400" w:lineRule="exact"/>
        <w:rPr>
          <w:rFonts w:hint="eastAsia" w:ascii="宋体" w:hAnsi="宋体"/>
          <w:sz w:val="24"/>
          <w:szCs w:val="24"/>
        </w:rPr>
      </w:pPr>
      <w:r>
        <w:rPr>
          <w:rFonts w:hint="eastAsia" w:ascii="宋体" w:hAnsi="宋体"/>
          <w:sz w:val="24"/>
          <w:szCs w:val="21"/>
        </w:rPr>
        <w:t xml:space="preserve">4.项目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07"/>
        <w:jc w:val="center"/>
        <w:rPr>
          <w:rFonts w:ascii="宋体" w:hAnsi="宋体"/>
          <w:b/>
          <w:sz w:val="24"/>
          <w:szCs w:val="24"/>
        </w:rPr>
      </w:pPr>
      <w:r>
        <w:rPr>
          <w:rFonts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bl>
    <w:p>
      <w:pPr>
        <w:pStyle w:val="90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7"/>
        <w:spacing w:line="400" w:lineRule="exact"/>
        <w:rPr>
          <w:rFonts w:ascii="宋体" w:hAnsi="宋体"/>
          <w:sz w:val="24"/>
          <w:szCs w:val="24"/>
        </w:rPr>
      </w:pP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7"/>
        <w:spacing w:line="400" w:lineRule="exact"/>
        <w:rPr>
          <w:rFonts w:ascii="宋体" w:hAnsi="宋体"/>
          <w:sz w:val="24"/>
          <w:szCs w:val="24"/>
        </w:rPr>
      </w:pPr>
      <w:r>
        <w:rPr>
          <w:rFonts w:hint="eastAsia" w:ascii="宋体" w:hAnsi="宋体"/>
          <w:sz w:val="24"/>
          <w:szCs w:val="24"/>
        </w:rPr>
        <w:t xml:space="preserve">1.投标人需对招标文件技术要求中非实质性要求（未加斜体下划线部分或未加*号条款）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907"/>
        <w:spacing w:line="400" w:lineRule="exact"/>
        <w:rPr>
          <w:rFonts w:hint="eastAsia" w:ascii="宋体" w:hAnsi="宋体"/>
          <w:sz w:val="24"/>
          <w:szCs w:val="24"/>
        </w:rPr>
      </w:pPr>
      <w:r>
        <w:rPr>
          <w:rFonts w:hint="eastAsia" w:ascii="宋体" w:hAnsi="宋体"/>
          <w:sz w:val="24"/>
          <w:szCs w:val="24"/>
        </w:rPr>
      </w:r>
      <w:r/>
    </w:p>
    <w:p>
      <w:pPr>
        <w:pStyle w:val="90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bl>
    <w:p>
      <w:pPr>
        <w:pStyle w:val="90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7"/>
        <w:spacing w:line="400" w:lineRule="exact"/>
        <w:rPr>
          <w:rFonts w:ascii="宋体" w:hAnsi="宋体"/>
          <w:sz w:val="24"/>
          <w:szCs w:val="24"/>
        </w:rPr>
      </w:pP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7"/>
        <w:spacing w:line="400" w:lineRule="exact"/>
        <w:rPr>
          <w:rFonts w:ascii="宋体" w:hAnsi="宋体"/>
          <w:sz w:val="24"/>
          <w:szCs w:val="24"/>
        </w:rPr>
      </w:pPr>
      <w:r>
        <w:rPr>
          <w:rFonts w:hint="eastAsia" w:ascii="宋体" w:hAnsi="宋体"/>
          <w:sz w:val="24"/>
          <w:szCs w:val="24"/>
        </w:rPr>
        <w:t xml:space="preserve">1.投标人需对招标文件商务要求中非实质性要求（未加斜体下划线部分或未加*号条款）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7"/>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7"/>
        <w:rPr>
          <w:rFonts w:hint="eastAsia" w:ascii="宋体" w:hAnsi="宋体"/>
          <w:b/>
          <w:sz w:val="24"/>
          <w:szCs w:val="21"/>
        </w:rPr>
      </w:pPr>
      <w:r>
        <w:rPr>
          <w:rFonts w:hint="eastAsia" w:ascii="宋体" w:hAnsi="宋体"/>
          <w:b/>
          <w:sz w:val="24"/>
          <w:szCs w:val="21"/>
        </w:rPr>
      </w:r>
      <w:r/>
    </w:p>
    <w:p>
      <w:pPr>
        <w:pStyle w:val="907"/>
        <w:ind w:left="480"/>
        <w:rPr>
          <w:rFonts w:ascii="宋体" w:hAnsi="宋体"/>
          <w:b/>
          <w:sz w:val="24"/>
          <w:szCs w:val="21"/>
        </w:rPr>
      </w:pPr>
      <w:r>
        <w:rPr>
          <w:rFonts w:ascii="宋体" w:hAnsi="宋体"/>
          <w:b/>
          <w:sz w:val="24"/>
          <w:szCs w:val="21"/>
        </w:rPr>
      </w:r>
      <w:r/>
    </w:p>
    <w:p>
      <w:pPr>
        <w:pStyle w:val="907"/>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5</w:t>
      </w:r>
      <w:r>
        <w:rPr>
          <w:rFonts w:hint="eastAsia" w:ascii="宋体" w:hAnsi="宋体"/>
          <w:b/>
          <w:sz w:val="24"/>
          <w:szCs w:val="21"/>
        </w:rPr>
        <w:t xml:space="preserve"> 具备履行合同所必需的设备和专业技术能力的书面声明</w:t>
      </w:r>
      <w:r/>
    </w:p>
    <w:p>
      <w:pPr>
        <w:pStyle w:val="907"/>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pStyle w:val="907"/>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pStyle w:val="907"/>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pStyle w:val="907"/>
        <w:spacing w:line="460" w:lineRule="exact"/>
        <w:rPr>
          <w:rFonts w:hint="eastAsia" w:ascii="宋体" w:hAnsi="宋体"/>
          <w:bCs/>
          <w:sz w:val="24"/>
          <w:szCs w:val="21"/>
        </w:rPr>
      </w:pPr>
      <w:r>
        <w:rPr>
          <w:rFonts w:hint="eastAsia" w:ascii="宋体" w:hAnsi="宋体"/>
          <w:bCs/>
          <w:sz w:val="24"/>
          <w:szCs w:val="21"/>
        </w:rPr>
        <w:t xml:space="preserve">                                     </w:t>
      </w:r>
      <w:r/>
    </w:p>
    <w:p>
      <w:pPr>
        <w:pStyle w:val="907"/>
        <w:ind w:left="480"/>
        <w:rPr>
          <w:rFonts w:ascii="宋体" w:hAnsi="宋体"/>
          <w:b/>
          <w:sz w:val="24"/>
          <w:szCs w:val="21"/>
        </w:rPr>
      </w:pPr>
      <w:r>
        <w:rPr>
          <w:rFonts w:ascii="宋体" w:hAnsi="宋体"/>
          <w:b/>
          <w:sz w:val="24"/>
          <w:szCs w:val="21"/>
        </w:rPr>
      </w:r>
      <w:r/>
    </w:p>
    <w:p>
      <w:pPr>
        <w:pStyle w:val="907"/>
        <w:ind w:left="480"/>
        <w:rPr>
          <w:rFonts w:ascii="宋体" w:hAnsi="宋体"/>
          <w:b/>
          <w:sz w:val="24"/>
          <w:szCs w:val="21"/>
        </w:rPr>
      </w:pPr>
      <w:r>
        <w:rPr>
          <w:rFonts w:ascii="宋体" w:hAnsi="宋体"/>
          <w:b/>
          <w:sz w:val="24"/>
          <w:szCs w:val="21"/>
        </w:rPr>
      </w:r>
      <w:r/>
    </w:p>
    <w:p>
      <w:pPr>
        <w:pStyle w:val="907"/>
        <w:ind w:left="480"/>
        <w:rPr>
          <w:rFonts w:ascii="宋体" w:hAnsi="宋体"/>
          <w:b/>
          <w:sz w:val="24"/>
          <w:szCs w:val="21"/>
        </w:rPr>
      </w:pPr>
      <w:r>
        <w:rPr>
          <w:rFonts w:ascii="宋体" w:hAnsi="宋体"/>
          <w:b/>
          <w:sz w:val="24"/>
          <w:szCs w:val="21"/>
        </w:rPr>
      </w:r>
      <w:r/>
    </w:p>
    <w:p>
      <w:pPr>
        <w:pStyle w:val="907"/>
        <w:ind w:left="480"/>
        <w:rPr>
          <w:rFonts w:hint="eastAsia" w:ascii="宋体" w:hAnsi="宋体"/>
          <w:b/>
          <w:sz w:val="24"/>
          <w:szCs w:val="21"/>
        </w:rPr>
      </w:pPr>
      <w:r>
        <w:rPr>
          <w:rFonts w:hint="eastAsia" w:ascii="宋体" w:hAnsi="宋体"/>
          <w:b/>
          <w:sz w:val="24"/>
          <w:szCs w:val="21"/>
        </w:rPr>
      </w:r>
      <w:r/>
    </w:p>
    <w:p>
      <w:pPr>
        <w:pStyle w:val="907"/>
        <w:ind w:left="480"/>
        <w:rPr>
          <w:rFonts w:ascii="宋体" w:hAnsi="宋体"/>
          <w:b/>
          <w:sz w:val="24"/>
          <w:szCs w:val="21"/>
        </w:rPr>
      </w:pPr>
      <w:r>
        <w:rPr>
          <w:rFonts w:hint="eastAsia" w:ascii="宋体" w:hAnsi="宋体"/>
          <w:b/>
          <w:sz w:val="24"/>
          <w:szCs w:val="21"/>
        </w:rPr>
        <w:t xml:space="preserve">附件</w:t>
      </w:r>
      <w:r>
        <w:rPr>
          <w:rFonts w:ascii="宋体" w:hAnsi="宋体"/>
          <w:b/>
          <w:sz w:val="24"/>
          <w:szCs w:val="21"/>
        </w:rPr>
        <w:t xml:space="preserve">6 </w:t>
      </w:r>
      <w:r>
        <w:rPr>
          <w:rFonts w:hint="eastAsia" w:ascii="宋体" w:hAnsi="宋体"/>
          <w:b/>
          <w:sz w:val="24"/>
          <w:szCs w:val="21"/>
        </w:rPr>
        <w:t xml:space="preserve">参加政府采购活动前 3 年内在经营活动中没有重大违法记录的书</w:t>
      </w:r>
      <w:r>
        <w:rPr>
          <w:rFonts w:ascii="宋体" w:hAnsi="宋体"/>
          <w:b/>
          <w:sz w:val="24"/>
          <w:szCs w:val="21"/>
        </w:rPr>
      </w:r>
      <w:r/>
    </w:p>
    <w:p>
      <w:pPr>
        <w:pStyle w:val="907"/>
        <w:rPr>
          <w:rFonts w:hint="eastAsia" w:ascii="宋体" w:hAnsi="宋体"/>
          <w:b/>
          <w:sz w:val="24"/>
          <w:szCs w:val="21"/>
        </w:rPr>
      </w:pPr>
      <w:r>
        <w:rPr>
          <w:rFonts w:hint="eastAsia" w:ascii="宋体" w:hAnsi="宋体"/>
          <w:b/>
          <w:sz w:val="24"/>
          <w:szCs w:val="21"/>
        </w:rPr>
        <w:t xml:space="preserve">面声明</w:t>
      </w:r>
      <w:r/>
    </w:p>
    <w:p>
      <w:pPr>
        <w:pStyle w:val="907"/>
        <w:ind w:firstLine="480"/>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3"/>
      <w:r/>
      <w:bookmarkEnd w:id="184"/>
      <w:r/>
      <w:bookmarkEnd w:id="185"/>
      <w:r/>
      <w:bookmarkStart w:id="186" w:name="_Toc120614284"/>
      <w:r>
        <w:rPr>
          <w:rFonts w:hint="eastAsia" w:ascii="宋体" w:hAnsi="宋体"/>
          <w:bCs/>
          <w:sz w:val="24"/>
          <w:szCs w:val="21"/>
        </w:rPr>
      </w:r>
      <w:r/>
    </w:p>
    <w:p>
      <w:pPr>
        <w:pStyle w:val="907"/>
        <w:spacing w:line="460" w:lineRule="exact"/>
        <w:rPr>
          <w:rFonts w:hint="eastAsia" w:ascii="宋体" w:hAnsi="宋体"/>
          <w:b/>
          <w:sz w:val="24"/>
          <w:szCs w:val="21"/>
        </w:rPr>
      </w:pPr>
      <w:r>
        <w:rPr>
          <w:rFonts w:hint="eastAsia" w:ascii="宋体" w:hAnsi="宋体"/>
          <w:b/>
          <w:sz w:val="24"/>
          <w:szCs w:val="21"/>
        </w:rPr>
      </w:r>
      <w:r/>
    </w:p>
    <w:p>
      <w:pPr>
        <w:pStyle w:val="907"/>
        <w:ind w:firstLine="480"/>
        <w:spacing w:line="460" w:lineRule="exact"/>
        <w:rPr>
          <w:rFonts w:ascii="宋体" w:hAnsi="宋体"/>
          <w:b/>
          <w:sz w:val="24"/>
          <w:szCs w:val="21"/>
        </w:rPr>
      </w:pPr>
      <w:r>
        <w:rPr>
          <w:rFonts w:ascii="宋体" w:hAnsi="宋体"/>
          <w:b/>
          <w:sz w:val="24"/>
          <w:szCs w:val="21"/>
        </w:rPr>
      </w:r>
      <w:r/>
    </w:p>
    <w:p>
      <w:pPr>
        <w:pStyle w:val="907"/>
        <w:ind w:firstLine="480"/>
        <w:spacing w:line="460" w:lineRule="exact"/>
        <w:rPr>
          <w:rFonts w:hint="eastAsia" w:ascii="宋体" w:hAnsi="宋体"/>
          <w:bCs/>
          <w:sz w:val="24"/>
          <w:szCs w:val="21"/>
        </w:rPr>
      </w:pPr>
      <w:r>
        <w:rPr>
          <w:rFonts w:hint="eastAsia" w:ascii="宋体" w:hAnsi="宋体"/>
          <w:b/>
          <w:sz w:val="24"/>
          <w:szCs w:val="21"/>
        </w:rPr>
        <w:t xml:space="preserve">附件</w:t>
      </w:r>
      <w:r>
        <w:rPr>
          <w:rFonts w:ascii="宋体" w:hAnsi="宋体"/>
          <w:b/>
          <w:sz w:val="24"/>
          <w:szCs w:val="21"/>
        </w:rPr>
        <w:t xml:space="preserve">7</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法人授权书</w:t>
      </w:r>
      <w:r>
        <w:rPr>
          <w:rFonts w:hint="eastAsia" w:ascii="宋体" w:hAnsi="宋体"/>
          <w:bCs/>
          <w:sz w:val="24"/>
          <w:szCs w:val="21"/>
        </w:rPr>
      </w:r>
      <w:r/>
    </w:p>
    <w:p>
      <w:pPr>
        <w:pStyle w:val="907"/>
        <w:ind w:firstLine="480"/>
        <w:spacing w:line="40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本授权书声明：____________（投标人名称）授权________________（被授权人的姓名）为我方就JSZC-</w:t>
      </w:r>
      <w:r>
        <w:rPr>
          <w:rFonts w:ascii="Times New Roman" w:hAnsi="Times New Roman"/>
          <w:sz w:val="24"/>
          <w:szCs w:val="24"/>
        </w:rPr>
        <w:t xml:space="preserve">320000-</w:t>
      </w:r>
      <w:r>
        <w:rPr>
          <w:rFonts w:ascii="Times New Roman" w:hAnsi="Times New Roman"/>
          <w:sz w:val="24"/>
          <w:szCs w:val="24"/>
          <w:u w:val="single"/>
        </w:rPr>
        <w:t xml:space="preserve">***</w:t>
      </w:r>
      <w:r>
        <w:rPr>
          <w:rFonts w:hint="eastAsia" w:ascii="Times New Roman" w:hAnsi="Times New Roman"/>
          <w:sz w:val="24"/>
          <w:szCs w:val="24"/>
        </w:rPr>
        <w:t xml:space="preserve">号项目采购活动的合法代理人，以本单位名义全权处理一切与该项目采购有关的事务。</w:t>
      </w:r>
      <w:r/>
    </w:p>
    <w:p>
      <w:pPr>
        <w:pStyle w:val="907"/>
        <w:ind w:firstLine="480"/>
        <w:spacing w:line="40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pStyle w:val="907"/>
        <w:spacing w:line="400" w:lineRule="exac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pStyle w:val="907"/>
        <w:spacing w:line="400" w:lineRule="exac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pStyle w:val="907"/>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907"/>
        <w:ind w:firstLine="1200"/>
        <w:spacing w:line="40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rPr>
      </w:r>
      <w:r/>
    </w:p>
    <w:p>
      <w:pPr>
        <w:pStyle w:val="907"/>
        <w:ind w:firstLine="480"/>
        <w:spacing w:line="400" w:lineRule="exac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p>
    <w:p>
      <w:pPr>
        <w:pStyle w:val="907"/>
        <w:ind w:firstLine="480"/>
        <w:spacing w:line="40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      日期：</w:t>
      </w:r>
      <w:bookmarkStart w:id="187" w:name="_Hlt26671380"/>
      <w:r/>
      <w:bookmarkEnd w:id="187"/>
      <w:r/>
      <w:bookmarkStart w:id="188" w:name="_格式3__银行出具的资信证明"/>
      <w:r/>
      <w:bookmarkEnd w:id="188"/>
      <w:r/>
      <w:bookmarkStart w:id="189" w:name="_Hlt26955070"/>
      <w:r/>
      <w:bookmarkEnd w:id="189"/>
      <w:r>
        <w:rPr>
          <w:rFonts w:hint="eastAsia" w:ascii="Times New Roman" w:hAnsi="Times New Roman"/>
          <w:sz w:val="24"/>
          <w:szCs w:val="24"/>
          <w:u w:val="single"/>
        </w:rPr>
        <w:t xml:space="preserve">                                         </w:t>
      </w:r>
      <w:r>
        <w:rPr>
          <w:rFonts w:hint="eastAsia" w:ascii="Times New Roman" w:hAnsi="Times New Roman"/>
          <w:sz w:val="24"/>
          <w:szCs w:val="24"/>
        </w:rPr>
      </w:r>
      <w:r/>
    </w:p>
    <w:p>
      <w:pPr>
        <w:pStyle w:val="907"/>
        <w:keepLines/>
        <w:keepNext/>
        <w:spacing w:before="260" w:after="260" w:line="416" w:lineRule="auto"/>
        <w:rPr>
          <w:rFonts w:ascii="黑体" w:hAnsi="黑体" w:eastAsia="黑体"/>
          <w:b/>
          <w:i/>
          <w:sz w:val="32"/>
          <w:szCs w:val="32"/>
          <w:u w:val="single"/>
        </w:rPr>
        <w:outlineLvl w:val="1"/>
      </w:pPr>
      <w:r>
        <w:rPr>
          <w:rFonts w:hint="eastAsia" w:ascii="宋体" w:hAnsi="宋体"/>
          <w:b/>
          <w:sz w:val="24"/>
          <w:szCs w:val="21"/>
        </w:rPr>
        <w:t xml:space="preserve">附件</w:t>
      </w:r>
      <w:r>
        <w:rPr>
          <w:rFonts w:ascii="宋体" w:hAnsi="宋体"/>
          <w:b/>
          <w:sz w:val="24"/>
          <w:szCs w:val="21"/>
        </w:rPr>
        <w:t xml:space="preserve">8                            </w:t>
      </w:r>
      <w:r>
        <w:rPr>
          <w:rFonts w:hint="eastAsia" w:ascii="宋体" w:hAnsi="宋体"/>
          <w:b/>
          <w:sz w:val="24"/>
          <w:szCs w:val="21"/>
        </w:rPr>
        <w:t xml:space="preserve">投标函</w:t>
      </w:r>
      <w:r>
        <w:rPr>
          <w:rFonts w:ascii="黑体" w:hAnsi="黑体" w:eastAsia="黑体"/>
          <w:b/>
          <w:i/>
          <w:sz w:val="32"/>
          <w:szCs w:val="32"/>
          <w:u w:val="single"/>
        </w:rPr>
      </w:r>
      <w:r/>
    </w:p>
    <w:p>
      <w:pPr>
        <w:pStyle w:val="907"/>
        <w:jc w:val="left"/>
        <w:spacing w:line="420" w:lineRule="exact"/>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907"/>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号招标文件，正式授权下述签字人_____(姓名)代表我方_______（投标人的名称），全权处理本次项目投标的有关事宜。</w:t>
      </w:r>
      <w:r/>
    </w:p>
    <w:p>
      <w:pPr>
        <w:pStyle w:val="907"/>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907"/>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pStyle w:val="907"/>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pStyle w:val="907"/>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pStyle w:val="907"/>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pStyle w:val="907"/>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pStyle w:val="907"/>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pStyle w:val="907"/>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pStyle w:val="907"/>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907"/>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907"/>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907"/>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907"/>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pStyle w:val="907"/>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907"/>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907"/>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07"/>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07"/>
        <w:ind w:firstLine="241"/>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pStyle w:val="907"/>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pStyle w:val="907"/>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7"/>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7"/>
        <w:ind w:firstLine="360"/>
        <w:spacing w:line="400" w:lineRule="exact"/>
        <w:rPr>
          <w:rFonts w:hint="eastAsia" w:ascii="宋体" w:hAnsi="宋体"/>
          <w:sz w:val="24"/>
          <w:szCs w:val="24"/>
        </w:rPr>
      </w:pPr>
      <w:r>
        <w:rPr>
          <w:rFonts w:hint="eastAsia" w:ascii="宋体" w:hAnsi="宋体"/>
          <w:sz w:val="24"/>
          <w:szCs w:val="24"/>
        </w:rPr>
        <w:t xml:space="preserve">……</w:t>
      </w:r>
      <w:r/>
    </w:p>
    <w:p>
      <w:pPr>
        <w:pStyle w:val="907"/>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7"/>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7"/>
        <w:ind w:right="720"/>
        <w:spacing w:line="400" w:lineRule="exact"/>
        <w:rPr>
          <w:rFonts w:hint="eastAsia" w:ascii="宋体" w:hAnsi="宋体"/>
          <w:sz w:val="24"/>
          <w:szCs w:val="24"/>
        </w:rPr>
      </w:pPr>
      <w:r>
        <w:rPr>
          <w:rFonts w:hint="eastAsia" w:ascii="宋体" w:hAnsi="宋体"/>
          <w:sz w:val="24"/>
          <w:szCs w:val="24"/>
        </w:rPr>
      </w:r>
      <w:r/>
    </w:p>
    <w:p>
      <w:pPr>
        <w:pStyle w:val="907"/>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907"/>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pStyle w:val="907"/>
        <w:spacing w:line="400" w:lineRule="exact"/>
        <w:rPr>
          <w:rFonts w:hint="eastAsia" w:ascii="宋体" w:hAnsi="宋体"/>
          <w:sz w:val="24"/>
          <w:szCs w:val="24"/>
        </w:rPr>
      </w:pPr>
      <w:r>
        <w:rPr>
          <w:rFonts w:hint="eastAsia" w:ascii="宋体" w:hAnsi="宋体"/>
          <w:sz w:val="24"/>
          <w:szCs w:val="24"/>
        </w:rPr>
      </w:r>
      <w:r/>
    </w:p>
    <w:p>
      <w:pPr>
        <w:pStyle w:val="907"/>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7"/>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907"/>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7"/>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07"/>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sz w:val="24"/>
          <w:szCs w:val="24"/>
        </w:rPr>
      </w:r>
      <w:r/>
    </w:p>
    <w:p>
      <w:pPr>
        <w:pStyle w:val="907"/>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pStyle w:val="907"/>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907"/>
        <w:ind w:firstLine="480"/>
        <w:spacing w:line="400" w:lineRule="exact"/>
        <w:rPr>
          <w:rFonts w:ascii="宋体" w:hAnsi="宋体"/>
          <w:sz w:val="24"/>
          <w:szCs w:val="21"/>
        </w:rPr>
      </w:pPr>
      <w:r>
        <w:rPr>
          <w:rFonts w:ascii="宋体" w:hAnsi="宋体"/>
          <w:sz w:val="24"/>
          <w:szCs w:val="21"/>
        </w:rPr>
      </w:r>
      <w:r/>
    </w:p>
    <w:p>
      <w:pPr>
        <w:pStyle w:val="907"/>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7"/>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7"/>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7"/>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7"/>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907"/>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7"/>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0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bl>
    <w:p>
      <w:pPr>
        <w:pStyle w:val="907"/>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907"/>
        <w:spacing w:line="400" w:lineRule="exact"/>
        <w:rPr>
          <w:rFonts w:ascii="宋体" w:hAnsi="宋体"/>
          <w:sz w:val="24"/>
          <w:szCs w:val="24"/>
        </w:rPr>
      </w:pP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7"/>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907"/>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907"/>
        <w:spacing w:line="400" w:lineRule="exact"/>
        <w:rPr>
          <w:rFonts w:hint="eastAsia" w:ascii="宋体" w:hAnsi="宋体"/>
          <w:sz w:val="24"/>
          <w:szCs w:val="24"/>
        </w:rPr>
      </w:pPr>
      <w:r>
        <w:rPr>
          <w:rFonts w:hint="eastAsia" w:ascii="宋体" w:hAnsi="宋体"/>
          <w:sz w:val="24"/>
          <w:szCs w:val="24"/>
        </w:rPr>
      </w:r>
      <w:r/>
    </w:p>
    <w:p>
      <w:pPr>
        <w:pStyle w:val="907"/>
        <w:jc w:val="center"/>
        <w:rPr>
          <w:rFonts w:ascii="黑体" w:hAnsi="黑体" w:eastAsia="黑体"/>
          <w:b/>
          <w:sz w:val="32"/>
          <w:szCs w:val="32"/>
        </w:rPr>
      </w:pPr>
      <w:r>
        <w:rPr>
          <w:rFonts w:ascii="黑体" w:hAnsi="黑体" w:eastAsia="黑体"/>
          <w:b/>
          <w:sz w:val="32"/>
          <w:szCs w:val="32"/>
        </w:rPr>
      </w:r>
      <w:r/>
    </w:p>
    <w:p>
      <w:pPr>
        <w:pStyle w:val="907"/>
        <w:jc w:val="center"/>
        <w:rPr>
          <w:rFonts w:ascii="黑体" w:hAnsi="黑体" w:eastAsia="黑体"/>
          <w:b/>
          <w:sz w:val="32"/>
          <w:szCs w:val="32"/>
        </w:rPr>
      </w:pPr>
      <w:r>
        <w:rPr>
          <w:rFonts w:ascii="黑体" w:hAnsi="黑体" w:eastAsia="黑体"/>
          <w:b/>
          <w:sz w:val="32"/>
          <w:szCs w:val="32"/>
        </w:rPr>
      </w:r>
      <w:r/>
    </w:p>
    <w:p>
      <w:pPr>
        <w:pStyle w:val="907"/>
        <w:jc w:val="center"/>
        <w:rPr>
          <w:rFonts w:ascii="黑体" w:hAnsi="黑体" w:eastAsia="黑体"/>
          <w:b/>
          <w:sz w:val="32"/>
          <w:szCs w:val="32"/>
        </w:rPr>
      </w:pPr>
      <w:r>
        <w:rPr>
          <w:rFonts w:ascii="黑体" w:hAnsi="黑体" w:eastAsia="黑体"/>
          <w:b/>
          <w:sz w:val="32"/>
          <w:szCs w:val="32"/>
        </w:rPr>
      </w:r>
      <w:r/>
    </w:p>
    <w:p>
      <w:pPr>
        <w:pStyle w:val="907"/>
        <w:jc w:val="center"/>
        <w:rPr>
          <w:rFonts w:ascii="黑体" w:hAnsi="黑体" w:eastAsia="黑体"/>
          <w:b/>
          <w:sz w:val="32"/>
          <w:szCs w:val="32"/>
        </w:rPr>
      </w:pPr>
      <w:r>
        <w:rPr>
          <w:rFonts w:ascii="黑体" w:hAnsi="黑体" w:eastAsia="黑体"/>
          <w:b/>
          <w:sz w:val="32"/>
          <w:szCs w:val="32"/>
        </w:rPr>
      </w:r>
      <w:r/>
    </w:p>
    <w:p>
      <w:pPr>
        <w:pStyle w:val="907"/>
        <w:jc w:val="center"/>
        <w:rPr>
          <w:rFonts w:ascii="黑体" w:hAnsi="黑体" w:eastAsia="黑体"/>
          <w:b/>
          <w:sz w:val="32"/>
          <w:szCs w:val="32"/>
        </w:rPr>
      </w:pPr>
      <w:r>
        <w:rPr>
          <w:rFonts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rPr>
          <w:rFonts w:hint="eastAsia" w:ascii="宋体" w:hAnsi="宋体" w:cs="仿宋"/>
          <w:b/>
          <w:bCs/>
          <w:sz w:val="32"/>
          <w:szCs w:val="32"/>
        </w:rPr>
      </w:pPr>
      <w:r/>
      <w:bookmarkEnd w:id="176"/>
      <w:r/>
      <w:bookmarkEnd w:id="177"/>
      <w:r/>
      <w:bookmarkEnd w:id="186"/>
      <w:r>
        <w:rPr>
          <w:rFonts w:hint="eastAsia" w:ascii="宋体" w:hAnsi="宋体" w:cs="仿宋"/>
          <w:b/>
          <w:bCs/>
          <w:sz w:val="32"/>
          <w:szCs w:val="32"/>
        </w:rPr>
      </w:r>
      <w:r/>
    </w:p>
    <w:p>
      <w:pPr>
        <w:pStyle w:val="907"/>
        <w:rPr>
          <w:rFonts w:hint="eastAsia" w:ascii="宋体" w:hAnsi="宋体" w:cs="仿宋"/>
          <w:b/>
          <w:bCs/>
          <w:sz w:val="32"/>
          <w:szCs w:val="32"/>
        </w:rPr>
      </w:pPr>
      <w:r>
        <w:rPr>
          <w:rFonts w:hint="eastAsia" w:ascii="宋体" w:hAnsi="宋体" w:cs="仿宋"/>
          <w:b/>
          <w:bCs/>
          <w:sz w:val="32"/>
          <w:szCs w:val="32"/>
        </w:rPr>
      </w:r>
      <w:r/>
    </w:p>
    <w:p>
      <w:pPr>
        <w:pStyle w:val="907"/>
        <w:rPr>
          <w:rFonts w:hint="eastAsia" w:ascii="宋体" w:hAnsi="宋体" w:cs="仿宋"/>
          <w:b/>
          <w:bCs/>
          <w:sz w:val="32"/>
          <w:szCs w:val="32"/>
        </w:rPr>
      </w:pPr>
      <w:r>
        <w:rPr>
          <w:rFonts w:hint="eastAsia" w:ascii="宋体" w:hAnsi="宋体" w:cs="仿宋"/>
          <w:b/>
          <w:bCs/>
          <w:sz w:val="32"/>
          <w:szCs w:val="32"/>
        </w:rPr>
      </w:r>
      <w:r/>
    </w:p>
    <w:p>
      <w:pPr>
        <w:pStyle w:val="907"/>
        <w:rPr>
          <w:rFonts w:hint="eastAsia" w:ascii="宋体" w:hAnsi="宋体" w:cs="仿宋"/>
          <w:b/>
          <w:bCs/>
          <w:sz w:val="32"/>
          <w:szCs w:val="32"/>
        </w:rPr>
      </w:pPr>
      <w:r>
        <w:rPr>
          <w:rFonts w:hint="eastAsia" w:ascii="宋体" w:hAnsi="宋体" w:cs="仿宋"/>
          <w:b/>
          <w:bCs/>
          <w:sz w:val="32"/>
          <w:szCs w:val="32"/>
        </w:rPr>
      </w:r>
      <w:r/>
    </w:p>
    <w:p>
      <w:pPr>
        <w:pStyle w:val="907"/>
        <w:rPr>
          <w:rFonts w:hint="eastAsia" w:ascii="宋体" w:hAnsi="宋体" w:cs="仿宋"/>
          <w:b/>
          <w:bCs/>
          <w:sz w:val="32"/>
          <w:szCs w:val="32"/>
        </w:rPr>
      </w:pPr>
      <w:r>
        <w:rPr>
          <w:rFonts w:hint="eastAsia" w:ascii="宋体" w:hAnsi="宋体" w:cs="仿宋"/>
          <w:b/>
          <w:bCs/>
          <w:sz w:val="32"/>
          <w:szCs w:val="32"/>
        </w:rPr>
      </w:r>
      <w:r/>
    </w:p>
    <w:p>
      <w:pPr>
        <w:pStyle w:val="907"/>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7"/>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p>
      <w:pPr>
        <w:pStyle w:val="907"/>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仿宋">
    <w:panose1 w:val="02010609060101010101"/>
  </w:font>
  <w:font w:name="等线 Light">
    <w:panose1 w:val="0201060003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fldChar w:fldCharType="begin"/>
    </w:r>
    <w:r>
      <w:instrText xml:space="preserve">PAGE   \* MERGEFORMAT</w:instrText>
    </w:r>
    <w:r>
      <w:fldChar w:fldCharType="separate"/>
    </w:r>
    <w:r>
      <w:rPr>
        <w:lang w:val="zh-CN"/>
      </w:rPr>
      <w:t xml:space="preserve">18</w:t>
    </w:r>
    <w:r>
      <w:fldChar w:fldCharType="end"/>
    </w:r>
    <w:r/>
  </w:p>
  <w:p>
    <w:pPr>
      <w:pStyle w:val="9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1"/>
        <w:rFonts w:ascii="宋体" w:hAnsi="宋体"/>
      </w:rPr>
      <w:framePr w:wrap="around" w:vAnchor="text" w:hAnchor="margin" w:xAlign="center" w:y="1"/>
    </w:pPr>
    <w:r>
      <w:rPr>
        <w:rFonts w:ascii="宋体" w:hAnsi="宋体"/>
      </w:rPr>
      <w:fldChar w:fldCharType="begin"/>
    </w:r>
    <w:r>
      <w:rPr>
        <w:rStyle w:val="981"/>
        <w:rFonts w:ascii="宋体" w:hAnsi="宋体"/>
      </w:rPr>
      <w:instrText xml:space="preserve">PAGE  </w:instrText>
    </w:r>
    <w:r>
      <w:rPr>
        <w:rFonts w:ascii="宋体" w:hAnsi="宋体"/>
      </w:rPr>
      <w:fldChar w:fldCharType="separate"/>
    </w:r>
    <w:r>
      <w:rPr>
        <w:rStyle w:val="981"/>
        <w:rFonts w:ascii="宋体" w:hAnsi="宋体"/>
      </w:rPr>
      <w:t xml:space="preserve">56</w:t>
    </w:r>
    <w:r>
      <w:rPr>
        <w:rFonts w:ascii="宋体" w:hAnsi="宋体"/>
      </w:rPr>
      <w:fldChar w:fldCharType="end"/>
    </w:r>
    <w:r>
      <w:rPr>
        <w:rStyle w:val="981"/>
        <w:rFonts w:ascii="宋体" w:hAnsi="宋体"/>
      </w:rPr>
    </w:r>
    <w:r/>
  </w:p>
  <w:p>
    <w:pPr>
      <w:pStyle w:val="956"/>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rPr>
        <w:rStyle w:val="981"/>
      </w:rPr>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0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87"/>
      <w:isLgl w:val="false"/>
      <w:suff w:val="tab"/>
      <w:lvlText w:val="附录%1."/>
      <w:lvlJc w:val="left"/>
      <w:pPr>
        <w:pStyle w:val="90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04"/>
      <w:isLgl w:val="false"/>
      <w:suff w:val="tab"/>
      <w:lvlText w:val="%1."/>
      <w:lvlJc w:val="left"/>
      <w:pPr>
        <w:pStyle w:val="907"/>
        <w:ind w:left="709" w:hanging="709"/>
        <w:tabs>
          <w:tab w:val="num" w:pos="709" w:leader="none"/>
        </w:tabs>
      </w:pPr>
      <w:rPr>
        <w:rFonts w:hint="eastAsia"/>
      </w:rPr>
    </w:lvl>
    <w:lvl w:ilvl="1">
      <w:start w:val="1"/>
      <w:numFmt w:val="decimal"/>
      <w:isLgl w:val="false"/>
      <w:suff w:val="tab"/>
      <w:lvlText w:val="%1.%2"/>
      <w:lvlJc w:val="left"/>
      <w:pPr>
        <w:pStyle w:val="907"/>
        <w:ind w:left="709" w:hanging="709"/>
        <w:tabs>
          <w:tab w:val="num" w:pos="709" w:leader="none"/>
        </w:tabs>
      </w:pPr>
      <w:rPr>
        <w:rFonts w:hint="eastAsia"/>
      </w:rPr>
    </w:lvl>
    <w:lvl w:ilvl="2">
      <w:start w:val="1"/>
      <w:numFmt w:val="decimal"/>
      <w:isLgl w:val="false"/>
      <w:suff w:val="tab"/>
      <w:lvlText w:val="%1.%2.%3."/>
      <w:lvlJc w:val="left"/>
      <w:pPr>
        <w:pStyle w:val="907"/>
        <w:ind w:left="425" w:hanging="425"/>
        <w:tabs>
          <w:tab w:val="num" w:pos="425" w:leader="none"/>
        </w:tabs>
      </w:pPr>
      <w:rPr>
        <w:rFonts w:hint="eastAsia"/>
      </w:rPr>
    </w:lvl>
    <w:lvl w:ilvl="3">
      <w:start w:val="1"/>
      <w:numFmt w:val="decimal"/>
      <w:isLgl w:val="false"/>
      <w:suff w:val="tab"/>
      <w:lvlText w:val="%1.%2.%3.%4."/>
      <w:lvlJc w:val="left"/>
      <w:pPr>
        <w:pStyle w:val="907"/>
        <w:ind w:left="851" w:hanging="851"/>
        <w:tabs>
          <w:tab w:val="num" w:pos="851" w:leader="none"/>
        </w:tabs>
      </w:pPr>
      <w:rPr>
        <w:rFonts w:hint="eastAsia"/>
      </w:rPr>
    </w:lvl>
    <w:lvl w:ilvl="4">
      <w:start w:val="1"/>
      <w:numFmt w:val="decimal"/>
      <w:isLgl w:val="false"/>
      <w:suff w:val="tab"/>
      <w:lvlText w:val="%1.%2.%3.%4.%5."/>
      <w:lvlJc w:val="left"/>
      <w:pPr>
        <w:pStyle w:val="907"/>
        <w:ind w:left="992" w:hanging="992"/>
        <w:tabs>
          <w:tab w:val="num" w:pos="992" w:leader="none"/>
        </w:tabs>
      </w:pPr>
      <w:rPr>
        <w:rFonts w:hint="eastAsia"/>
      </w:rPr>
    </w:lvl>
    <w:lvl w:ilvl="5">
      <w:start w:val="1"/>
      <w:numFmt w:val="decimal"/>
      <w:isLgl w:val="false"/>
      <w:suff w:val="tab"/>
      <w:lvlText w:val="%1.%2.%3.%4.%5.%6."/>
      <w:lvlJc w:val="left"/>
      <w:pPr>
        <w:pStyle w:val="907"/>
        <w:ind w:left="1134" w:hanging="1134"/>
        <w:tabs>
          <w:tab w:val="num" w:pos="1134" w:leader="none"/>
        </w:tabs>
      </w:pPr>
      <w:rPr>
        <w:rFonts w:hint="eastAsia"/>
      </w:rPr>
    </w:lvl>
    <w:lvl w:ilvl="6">
      <w:start w:val="1"/>
      <w:numFmt w:val="decimal"/>
      <w:isLgl w:val="false"/>
      <w:suff w:val="tab"/>
      <w:lvlText w:val="%1.%2.%3.%4.%5.%6.%7."/>
      <w:lvlJc w:val="left"/>
      <w:pPr>
        <w:pStyle w:val="907"/>
        <w:ind w:left="1276" w:hanging="1276"/>
        <w:tabs>
          <w:tab w:val="num" w:pos="1276" w:leader="none"/>
        </w:tabs>
      </w:pPr>
      <w:rPr>
        <w:rFonts w:hint="eastAsia"/>
      </w:rPr>
    </w:lvl>
    <w:lvl w:ilvl="7">
      <w:start w:val="1"/>
      <w:numFmt w:val="decimal"/>
      <w:isLgl w:val="false"/>
      <w:suff w:val="tab"/>
      <w:lvlText w:val="%1.%2.%3.%4.%5.%6.%7.%8."/>
      <w:lvlJc w:val="left"/>
      <w:pPr>
        <w:pStyle w:val="907"/>
        <w:ind w:left="1418" w:hanging="1418"/>
        <w:tabs>
          <w:tab w:val="num" w:pos="1418" w:leader="none"/>
        </w:tabs>
      </w:pPr>
      <w:rPr>
        <w:rFonts w:hint="eastAsia"/>
      </w:rPr>
    </w:lvl>
    <w:lvl w:ilvl="8">
      <w:start w:val="1"/>
      <w:numFmt w:val="decimal"/>
      <w:isLgl w:val="false"/>
      <w:suff w:val="tab"/>
      <w:lvlText w:val="%1.%2.%3.%4.%5.%6.%7.%8.%9."/>
      <w:lvlJc w:val="left"/>
      <w:pPr>
        <w:pStyle w:val="907"/>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907"/>
        <w:ind w:left="0" w:firstLine="0"/>
      </w:pPr>
      <w:rPr>
        <w:rFonts w:hint="eastAsia"/>
      </w:rPr>
    </w:lvl>
    <w:lvl w:ilvl="1">
      <w:start w:val="1"/>
      <w:numFmt w:val="decimal"/>
      <w:isLgl w:val="false"/>
      <w:suff w:val="nothing"/>
      <w:lvlText w:val="%2、"/>
      <w:lvlJc w:val="left"/>
      <w:pPr>
        <w:pStyle w:val="907"/>
        <w:ind w:left="0" w:firstLine="0"/>
      </w:pPr>
      <w:rPr>
        <w:rFonts w:hint="eastAsia"/>
      </w:rPr>
    </w:lvl>
    <w:lvl w:ilvl="2">
      <w:start w:val="1"/>
      <w:numFmt w:val="decimal"/>
      <w:isLgl w:val="false"/>
      <w:suff w:val="nothing"/>
      <w:lvlText w:val="%2.%3 "/>
      <w:lvlJc w:val="left"/>
      <w:pPr>
        <w:pStyle w:val="907"/>
        <w:ind w:left="0" w:firstLine="0"/>
      </w:pPr>
      <w:rPr>
        <w:rFonts w:hint="eastAsia"/>
      </w:rPr>
    </w:lvl>
    <w:lvl w:ilvl="3">
      <w:start w:val="1"/>
      <w:numFmt w:val="decimal"/>
      <w:isLgl w:val="false"/>
      <w:suff w:val="nothing"/>
      <w:lvlText w:val="%2.%3.%4 "/>
      <w:lvlJc w:val="left"/>
      <w:pPr>
        <w:pStyle w:val="907"/>
        <w:ind w:left="0" w:firstLine="0"/>
      </w:pPr>
      <w:rPr>
        <w:rFonts w:hint="eastAsia"/>
      </w:rPr>
    </w:lvl>
    <w:lvl w:ilvl="4">
      <w:start w:val="1"/>
      <w:numFmt w:val="decimal"/>
      <w:isLgl w:val="false"/>
      <w:suff w:val="nothing"/>
      <w:lvlText w:val="%2.%3.%4.%5 "/>
      <w:lvlJc w:val="left"/>
      <w:pPr>
        <w:pStyle w:val="907"/>
        <w:ind w:left="0" w:firstLine="0"/>
      </w:pPr>
      <w:rPr>
        <w:rFonts w:hint="eastAsia"/>
      </w:rPr>
    </w:lvl>
    <w:lvl w:ilvl="5">
      <w:start w:val="1"/>
      <w:numFmt w:val="decimal"/>
      <w:pStyle w:val="913"/>
      <w:isLgl w:val="false"/>
      <w:suff w:val="nothing"/>
      <w:lvlText w:val=""/>
      <w:lvlJc w:val="left"/>
      <w:pPr>
        <w:pStyle w:val="907"/>
        <w:ind w:left="0" w:firstLine="0"/>
      </w:pPr>
      <w:rPr>
        <w:rFonts w:hint="eastAsia"/>
      </w:rPr>
    </w:lvl>
    <w:lvl w:ilvl="6">
      <w:start w:val="1"/>
      <w:numFmt w:val="decimal"/>
      <w:pStyle w:val="914"/>
      <w:isLgl w:val="false"/>
      <w:suff w:val="nothing"/>
      <w:lvlText w:val=""/>
      <w:lvlJc w:val="left"/>
      <w:pPr>
        <w:pStyle w:val="907"/>
        <w:ind w:left="0" w:firstLine="0"/>
      </w:pPr>
      <w:rPr>
        <w:rFonts w:hint="eastAsia"/>
      </w:rPr>
    </w:lvl>
    <w:lvl w:ilvl="7">
      <w:start w:val="1"/>
      <w:numFmt w:val="decimal"/>
      <w:pStyle w:val="915"/>
      <w:isLgl w:val="false"/>
      <w:suff w:val="nothing"/>
      <w:lvlText w:val=""/>
      <w:lvlJc w:val="left"/>
      <w:pPr>
        <w:pStyle w:val="907"/>
        <w:ind w:left="0" w:firstLine="0"/>
      </w:pPr>
      <w:rPr>
        <w:rFonts w:hint="eastAsia"/>
      </w:rPr>
    </w:lvl>
    <w:lvl w:ilvl="8">
      <w:start w:val="1"/>
      <w:numFmt w:val="decimal"/>
      <w:pStyle w:val="916"/>
      <w:isLgl w:val="false"/>
      <w:suff w:val="nothing"/>
      <w:lvlText w:val=""/>
      <w:lvlJc w:val="left"/>
      <w:pPr>
        <w:pStyle w:val="907"/>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90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10"/>
  </w:num>
  <w:num w:numId="4">
    <w:abstractNumId w:val="12"/>
  </w:num>
  <w:num w:numId="5">
    <w:abstractNumId w:val="13"/>
  </w:num>
  <w:num w:numId="6">
    <w:abstractNumId w:val="1"/>
  </w:num>
  <w:num w:numId="7">
    <w:abstractNumId w:val="7"/>
  </w:num>
  <w:num w:numId="8">
    <w:abstractNumId w:val="4"/>
  </w:num>
  <w:num w:numId="9">
    <w:abstractNumId w:val="3"/>
  </w:num>
  <w:num w:numId="10">
    <w:abstractNumId w:val="0"/>
  </w:num>
  <w:num w:numId="11">
    <w:abstractNumId w:val="5"/>
  </w:num>
  <w:num w:numId="12">
    <w:abstractNumId w:val="9"/>
  </w:num>
  <w:num w:numId="13">
    <w:abstractNumId w:val="6"/>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name w:val="Heading 1"/>
    <w:basedOn w:val="907"/>
    <w:next w:val="907"/>
    <w:link w:val="730"/>
    <w:uiPriority w:val="9"/>
    <w:qFormat/>
    <w:pPr>
      <w:keepLines/>
      <w:keepNext/>
      <w:spacing w:before="480" w:after="200"/>
      <w:outlineLvl w:val="0"/>
    </w:pPr>
    <w:rPr>
      <w:rFonts w:ascii="Arial" w:hAnsi="Arial" w:eastAsia="Arial" w:cs="Arial"/>
      <w:sz w:val="40"/>
      <w:szCs w:val="40"/>
    </w:rPr>
  </w:style>
  <w:style w:type="character" w:styleId="730">
    <w:name w:val="Heading 1 Char"/>
    <w:link w:val="729"/>
    <w:uiPriority w:val="9"/>
    <w:rPr>
      <w:rFonts w:ascii="Arial" w:hAnsi="Arial" w:eastAsia="Arial" w:cs="Arial"/>
      <w:sz w:val="40"/>
      <w:szCs w:val="40"/>
    </w:rPr>
  </w:style>
  <w:style w:type="paragraph" w:styleId="731">
    <w:name w:val="Heading 2"/>
    <w:basedOn w:val="907"/>
    <w:next w:val="907"/>
    <w:link w:val="732"/>
    <w:uiPriority w:val="9"/>
    <w:unhideWhenUsed/>
    <w:qFormat/>
    <w:pPr>
      <w:keepLines/>
      <w:keepNext/>
      <w:spacing w:before="360" w:after="200"/>
      <w:outlineLvl w:val="1"/>
    </w:pPr>
    <w:rPr>
      <w:rFonts w:ascii="Arial" w:hAnsi="Arial" w:eastAsia="Arial" w:cs="Arial"/>
      <w:sz w:val="34"/>
    </w:rPr>
  </w:style>
  <w:style w:type="character" w:styleId="732">
    <w:name w:val="Heading 2 Char"/>
    <w:link w:val="731"/>
    <w:uiPriority w:val="9"/>
    <w:rPr>
      <w:rFonts w:ascii="Arial" w:hAnsi="Arial" w:eastAsia="Arial" w:cs="Arial"/>
      <w:sz w:val="34"/>
    </w:rPr>
  </w:style>
  <w:style w:type="paragraph" w:styleId="733">
    <w:name w:val="Heading 3"/>
    <w:basedOn w:val="907"/>
    <w:next w:val="907"/>
    <w:link w:val="734"/>
    <w:uiPriority w:val="9"/>
    <w:unhideWhenUsed/>
    <w:qFormat/>
    <w:pPr>
      <w:keepLines/>
      <w:keepNext/>
      <w:spacing w:before="320" w:after="200"/>
      <w:outlineLvl w:val="2"/>
    </w:pPr>
    <w:rPr>
      <w:rFonts w:ascii="Arial" w:hAnsi="Arial" w:eastAsia="Arial" w:cs="Arial"/>
      <w:sz w:val="30"/>
      <w:szCs w:val="30"/>
    </w:rPr>
  </w:style>
  <w:style w:type="character" w:styleId="734">
    <w:name w:val="Heading 3 Char"/>
    <w:link w:val="733"/>
    <w:uiPriority w:val="9"/>
    <w:rPr>
      <w:rFonts w:ascii="Arial" w:hAnsi="Arial" w:eastAsia="Arial" w:cs="Arial"/>
      <w:sz w:val="30"/>
      <w:szCs w:val="30"/>
    </w:rPr>
  </w:style>
  <w:style w:type="paragraph" w:styleId="735">
    <w:name w:val="Heading 4"/>
    <w:basedOn w:val="907"/>
    <w:next w:val="907"/>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link w:val="735"/>
    <w:uiPriority w:val="9"/>
    <w:rPr>
      <w:rFonts w:ascii="Arial" w:hAnsi="Arial" w:eastAsia="Arial" w:cs="Arial"/>
      <w:b/>
      <w:bCs/>
      <w:sz w:val="26"/>
      <w:szCs w:val="26"/>
    </w:rPr>
  </w:style>
  <w:style w:type="paragraph" w:styleId="737">
    <w:name w:val="Heading 5"/>
    <w:basedOn w:val="907"/>
    <w:next w:val="907"/>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link w:val="737"/>
    <w:uiPriority w:val="9"/>
    <w:rPr>
      <w:rFonts w:ascii="Arial" w:hAnsi="Arial" w:eastAsia="Arial" w:cs="Arial"/>
      <w:b/>
      <w:bCs/>
      <w:sz w:val="24"/>
      <w:szCs w:val="24"/>
    </w:rPr>
  </w:style>
  <w:style w:type="paragraph" w:styleId="739">
    <w:name w:val="Heading 6"/>
    <w:basedOn w:val="907"/>
    <w:next w:val="907"/>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link w:val="739"/>
    <w:uiPriority w:val="9"/>
    <w:rPr>
      <w:rFonts w:ascii="Arial" w:hAnsi="Arial" w:eastAsia="Arial" w:cs="Arial"/>
      <w:b/>
      <w:bCs/>
      <w:sz w:val="22"/>
      <w:szCs w:val="22"/>
    </w:rPr>
  </w:style>
  <w:style w:type="paragraph" w:styleId="741">
    <w:name w:val="Heading 7"/>
    <w:basedOn w:val="907"/>
    <w:next w:val="907"/>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link w:val="741"/>
    <w:uiPriority w:val="9"/>
    <w:rPr>
      <w:rFonts w:ascii="Arial" w:hAnsi="Arial" w:eastAsia="Arial" w:cs="Arial"/>
      <w:b/>
      <w:bCs/>
      <w:i/>
      <w:iCs/>
      <w:sz w:val="22"/>
      <w:szCs w:val="22"/>
    </w:rPr>
  </w:style>
  <w:style w:type="paragraph" w:styleId="743">
    <w:name w:val="Heading 8"/>
    <w:basedOn w:val="907"/>
    <w:next w:val="907"/>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link w:val="743"/>
    <w:uiPriority w:val="9"/>
    <w:rPr>
      <w:rFonts w:ascii="Arial" w:hAnsi="Arial" w:eastAsia="Arial" w:cs="Arial"/>
      <w:i/>
      <w:iCs/>
      <w:sz w:val="22"/>
      <w:szCs w:val="22"/>
    </w:rPr>
  </w:style>
  <w:style w:type="paragraph" w:styleId="745">
    <w:name w:val="Heading 9"/>
    <w:basedOn w:val="907"/>
    <w:next w:val="907"/>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link w:val="745"/>
    <w:uiPriority w:val="9"/>
    <w:rPr>
      <w:rFonts w:ascii="Arial" w:hAnsi="Arial" w:eastAsia="Arial" w:cs="Arial"/>
      <w:i/>
      <w:iCs/>
      <w:sz w:val="21"/>
      <w:szCs w:val="21"/>
    </w:rPr>
  </w:style>
  <w:style w:type="paragraph" w:styleId="747">
    <w:name w:val="List Paragraph"/>
    <w:basedOn w:val="907"/>
    <w:uiPriority w:val="34"/>
    <w:qFormat/>
    <w:pPr>
      <w:contextualSpacing/>
      <w:ind w:left="720"/>
    </w:pPr>
  </w:style>
  <w:style w:type="paragraph" w:styleId="748">
    <w:name w:val="No Spacing"/>
    <w:uiPriority w:val="1"/>
    <w:qFormat/>
    <w:pPr>
      <w:spacing w:before="0" w:after="0" w:line="240" w:lineRule="auto"/>
    </w:pPr>
  </w:style>
  <w:style w:type="paragraph" w:styleId="749">
    <w:name w:val="Title"/>
    <w:basedOn w:val="907"/>
    <w:next w:val="907"/>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907"/>
    <w:next w:val="907"/>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907"/>
    <w:next w:val="907"/>
    <w:link w:val="754"/>
    <w:uiPriority w:val="29"/>
    <w:qFormat/>
    <w:pPr>
      <w:ind w:left="720" w:right="720"/>
    </w:pPr>
    <w:rPr>
      <w:i/>
    </w:rPr>
  </w:style>
  <w:style w:type="character" w:styleId="754">
    <w:name w:val="Quote Char"/>
    <w:link w:val="753"/>
    <w:uiPriority w:val="29"/>
    <w:rPr>
      <w:i/>
    </w:rPr>
  </w:style>
  <w:style w:type="paragraph" w:styleId="755">
    <w:name w:val="Intense Quote"/>
    <w:basedOn w:val="907"/>
    <w:next w:val="907"/>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907"/>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907"/>
    <w:link w:val="762"/>
    <w:uiPriority w:val="99"/>
    <w:unhideWhenUsed/>
    <w:pPr>
      <w:spacing w:after="0" w:line="240" w:lineRule="auto"/>
      <w:tabs>
        <w:tab w:val="center" w:pos="7143" w:leader="none"/>
        <w:tab w:val="right" w:pos="14287" w:leader="none"/>
      </w:tabs>
    </w:pPr>
  </w:style>
  <w:style w:type="character" w:styleId="760">
    <w:name w:val="Footer Char"/>
    <w:link w:val="759"/>
    <w:uiPriority w:val="99"/>
  </w:style>
  <w:style w:type="paragraph" w:styleId="761">
    <w:name w:val="Caption"/>
    <w:basedOn w:val="907"/>
    <w:next w:val="907"/>
    <w:uiPriority w:val="35"/>
    <w:semiHidden/>
    <w:unhideWhenUsed/>
    <w:qFormat/>
    <w:pPr>
      <w:spacing w:line="276" w:lineRule="auto"/>
    </w:pPr>
    <w:rPr>
      <w:b/>
      <w:bCs/>
      <w:color w:val="4f81bd" w:themeColor="accent1"/>
      <w:sz w:val="18"/>
      <w:szCs w:val="18"/>
    </w:rPr>
  </w:style>
  <w:style w:type="character" w:styleId="762">
    <w:name w:val="Caption Char"/>
    <w:basedOn w:val="761"/>
    <w:link w:val="759"/>
    <w:uiPriority w:val="99"/>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90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uiPriority w:val="99"/>
    <w:unhideWhenUsed/>
    <w:rPr>
      <w:vertAlign w:val="superscript"/>
    </w:rPr>
  </w:style>
  <w:style w:type="paragraph" w:styleId="893">
    <w:name w:val="endnote text"/>
    <w:basedOn w:val="90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uiPriority w:val="99"/>
    <w:semiHidden/>
    <w:unhideWhenUsed/>
    <w:rPr>
      <w:vertAlign w:val="superscript"/>
    </w:rPr>
  </w:style>
  <w:style w:type="paragraph" w:styleId="896">
    <w:name w:val="toc 1"/>
    <w:basedOn w:val="907"/>
    <w:next w:val="907"/>
    <w:uiPriority w:val="39"/>
    <w:unhideWhenUsed/>
    <w:pPr>
      <w:ind w:left="0" w:right="0" w:firstLine="0"/>
      <w:spacing w:after="57"/>
    </w:p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20"/>
    <w:link w:val="907"/>
    <w:qFormat/>
    <w:pPr>
      <w:jc w:val="both"/>
      <w:widowControl w:val="off"/>
    </w:pPr>
    <w:rPr>
      <w:sz w:val="21"/>
      <w:szCs w:val="22"/>
      <w:lang w:val="en-US" w:eastAsia="zh-CN" w:bidi="ar-SA"/>
    </w:rPr>
  </w:style>
  <w:style w:type="paragraph" w:styleId="908">
    <w:name w:val="标题 1"/>
    <w:basedOn w:val="907"/>
    <w:next w:val="907"/>
    <w:link w:val="921"/>
    <w:qFormat/>
    <w:pPr>
      <w:jc w:val="center"/>
      <w:keepNext/>
      <w:outlineLvl w:val="0"/>
    </w:pPr>
    <w:rPr>
      <w:rFonts w:ascii="楷体_GB2312" w:hAnsi="Times New Roman" w:eastAsia="楷体_GB2312" w:cs="Times New Roman"/>
      <w:sz w:val="28"/>
      <w:szCs w:val="28"/>
    </w:rPr>
  </w:style>
  <w:style w:type="paragraph" w:styleId="909">
    <w:name w:val="标题 2"/>
    <w:basedOn w:val="907"/>
    <w:next w:val="923"/>
    <w:link w:val="922"/>
    <w:qFormat/>
    <w:pPr>
      <w:jc w:val="center"/>
      <w:keepLines/>
      <w:keepNext/>
      <w:spacing w:before="260" w:after="260" w:line="416" w:lineRule="auto"/>
      <w:outlineLvl w:val="1"/>
    </w:pPr>
    <w:rPr>
      <w:rFonts w:ascii="Arial" w:hAnsi="Arial" w:eastAsia="幼圆" w:cs="Arial"/>
      <w:b/>
      <w:bCs/>
      <w:sz w:val="44"/>
      <w:szCs w:val="44"/>
    </w:rPr>
  </w:style>
  <w:style w:type="paragraph" w:styleId="910">
    <w:name w:val="标题 3"/>
    <w:basedOn w:val="907"/>
    <w:next w:val="923"/>
    <w:link w:val="925"/>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1">
    <w:name w:val="标题 4"/>
    <w:basedOn w:val="907"/>
    <w:next w:val="923"/>
    <w:link w:val="926"/>
    <w:qFormat/>
    <w:pPr>
      <w:keepLines/>
      <w:keepNext/>
      <w:spacing w:before="280" w:after="290" w:line="376" w:lineRule="auto"/>
      <w:outlineLvl w:val="3"/>
    </w:pPr>
    <w:rPr>
      <w:rFonts w:ascii="Arial" w:hAnsi="Arial" w:eastAsia="黑体" w:cs="Arial"/>
      <w:b/>
      <w:bCs/>
      <w:sz w:val="28"/>
      <w:szCs w:val="28"/>
    </w:rPr>
  </w:style>
  <w:style w:type="paragraph" w:styleId="912">
    <w:name w:val="标题 5"/>
    <w:basedOn w:val="907"/>
    <w:next w:val="923"/>
    <w:link w:val="927"/>
    <w:qFormat/>
    <w:pPr>
      <w:keepNext/>
      <w:outlineLvl w:val="4"/>
    </w:pPr>
    <w:rPr>
      <w:rFonts w:ascii="宋体" w:hAnsi="Times New Roman" w:eastAsia="宋体" w:cs="Times New Roman"/>
      <w:color w:val="000000"/>
      <w:sz w:val="28"/>
      <w:szCs w:val="28"/>
    </w:rPr>
  </w:style>
  <w:style w:type="paragraph" w:styleId="913">
    <w:name w:val="标题 6"/>
    <w:basedOn w:val="907"/>
    <w:next w:val="907"/>
    <w:link w:val="92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4">
    <w:name w:val="标题 7"/>
    <w:basedOn w:val="907"/>
    <w:next w:val="907"/>
    <w:link w:val="92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5">
    <w:name w:val="标题 8"/>
    <w:basedOn w:val="907"/>
    <w:next w:val="907"/>
    <w:link w:val="93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6">
    <w:name w:val="标题 9"/>
    <w:basedOn w:val="907"/>
    <w:next w:val="907"/>
    <w:link w:val="931"/>
    <w:qFormat/>
    <w:pPr>
      <w:numPr>
        <w:ilvl w:val="8"/>
        <w:numId w:val="1"/>
      </w:numPr>
      <w:keepLines/>
      <w:keepNext/>
      <w:spacing w:before="240" w:after="64" w:line="320" w:lineRule="auto"/>
      <w:outlineLvl w:val="8"/>
    </w:pPr>
    <w:rPr>
      <w:rFonts w:ascii="Arial" w:hAnsi="Arial" w:eastAsia="黑体" w:cs="Times New Roman"/>
      <w:szCs w:val="21"/>
    </w:rPr>
  </w:style>
  <w:style w:type="character" w:styleId="917">
    <w:name w:val="默认段落字体"/>
    <w:next w:val="917"/>
    <w:link w:val="907"/>
    <w:uiPriority w:val="1"/>
    <w:unhideWhenUsed/>
  </w:style>
  <w:style w:type="table" w:styleId="918">
    <w:name w:val="普通表格"/>
    <w:next w:val="918"/>
    <w:link w:val="907"/>
    <w:uiPriority w:val="99"/>
    <w:unhideWhenUsed/>
    <w:tblPr/>
  </w:style>
  <w:style w:type="numbering" w:styleId="919">
    <w:name w:val="无列表"/>
    <w:next w:val="919"/>
    <w:link w:val="907"/>
    <w:uiPriority w:val="99"/>
    <w:semiHidden/>
    <w:unhideWhenUsed/>
  </w:style>
  <w:style w:type="paragraph" w:styleId="920">
    <w:name w:val="标题 21"/>
    <w:basedOn w:val="907"/>
    <w:next w:val="907"/>
    <w:link w:val="907"/>
    <w:uiPriority w:val="9"/>
    <w:qFormat/>
    <w:pPr>
      <w:keepLines/>
      <w:keepNext/>
      <w:spacing w:before="260" w:after="260" w:line="416" w:lineRule="auto"/>
      <w:outlineLvl w:val="1"/>
    </w:pPr>
    <w:rPr>
      <w:rFonts w:ascii="等线 Light" w:hAnsi="等线 Light" w:eastAsia="等线 Light" w:cs="Times New Roman"/>
      <w:b/>
      <w:bCs/>
      <w:sz w:val="32"/>
      <w:szCs w:val="32"/>
    </w:rPr>
  </w:style>
  <w:style w:type="character" w:styleId="921">
    <w:name w:val="标题 1 Char"/>
    <w:next w:val="921"/>
    <w:link w:val="908"/>
    <w:rPr>
      <w:rFonts w:ascii="楷体_GB2312" w:hAnsi="Times New Roman" w:eastAsia="楷体_GB2312" w:cs="Times New Roman"/>
      <w:sz w:val="28"/>
      <w:szCs w:val="28"/>
    </w:rPr>
  </w:style>
  <w:style w:type="character" w:styleId="922">
    <w:name w:val="标题 2 Char"/>
    <w:next w:val="922"/>
    <w:link w:val="909"/>
    <w:rPr>
      <w:rFonts w:ascii="Arial" w:hAnsi="Arial" w:eastAsia="幼圆" w:cs="Arial"/>
      <w:b/>
      <w:bCs/>
      <w:sz w:val="44"/>
      <w:szCs w:val="44"/>
    </w:rPr>
  </w:style>
  <w:style w:type="paragraph" w:styleId="923">
    <w:name w:val="正文缩进"/>
    <w:basedOn w:val="907"/>
    <w:next w:val="923"/>
    <w:link w:val="924"/>
    <w:pPr>
      <w:ind w:firstLine="420"/>
    </w:pPr>
    <w:rPr>
      <w:szCs w:val="21"/>
    </w:rPr>
  </w:style>
  <w:style w:type="character" w:styleId="924">
    <w:name w:val="正文缩进 Char"/>
    <w:next w:val="924"/>
    <w:link w:val="923"/>
    <w:rPr>
      <w:szCs w:val="21"/>
    </w:rPr>
  </w:style>
  <w:style w:type="character" w:styleId="925">
    <w:name w:val="标题 3 Char"/>
    <w:next w:val="925"/>
    <w:link w:val="910"/>
    <w:rPr>
      <w:rFonts w:ascii="Times New Roman" w:hAnsi="Times New Roman" w:eastAsia="宋体" w:cs="Times New Roman"/>
      <w:b/>
      <w:bCs/>
      <w:sz w:val="32"/>
      <w:szCs w:val="32"/>
    </w:rPr>
  </w:style>
  <w:style w:type="character" w:styleId="926">
    <w:name w:val="标题 4 Char"/>
    <w:next w:val="926"/>
    <w:link w:val="911"/>
    <w:rPr>
      <w:rFonts w:ascii="Arial" w:hAnsi="Arial" w:eastAsia="黑体" w:cs="Arial"/>
      <w:b/>
      <w:bCs/>
      <w:sz w:val="28"/>
      <w:szCs w:val="28"/>
    </w:rPr>
  </w:style>
  <w:style w:type="character" w:styleId="927">
    <w:name w:val="标题 5 Char"/>
    <w:next w:val="927"/>
    <w:link w:val="912"/>
    <w:rPr>
      <w:rFonts w:ascii="宋体" w:hAnsi="Times New Roman" w:eastAsia="宋体" w:cs="Times New Roman"/>
      <w:color w:val="000000"/>
      <w:sz w:val="28"/>
      <w:szCs w:val="28"/>
    </w:rPr>
  </w:style>
  <w:style w:type="character" w:styleId="928">
    <w:name w:val="标题 6 Char"/>
    <w:next w:val="928"/>
    <w:link w:val="913"/>
    <w:rPr>
      <w:rFonts w:ascii="Arial" w:hAnsi="Arial" w:eastAsia="黑体" w:cs="Times New Roman"/>
      <w:b/>
      <w:bCs/>
      <w:sz w:val="24"/>
      <w:szCs w:val="24"/>
    </w:rPr>
  </w:style>
  <w:style w:type="character" w:styleId="929">
    <w:name w:val="标题 7 Char"/>
    <w:next w:val="929"/>
    <w:link w:val="914"/>
    <w:rPr>
      <w:rFonts w:ascii="Times New Roman" w:hAnsi="Times New Roman" w:eastAsia="宋体" w:cs="Times New Roman"/>
      <w:b/>
      <w:bCs/>
      <w:sz w:val="24"/>
      <w:szCs w:val="24"/>
    </w:rPr>
  </w:style>
  <w:style w:type="character" w:styleId="930">
    <w:name w:val="标题 8 Char"/>
    <w:next w:val="930"/>
    <w:link w:val="915"/>
    <w:rPr>
      <w:rFonts w:ascii="Arial" w:hAnsi="Arial" w:eastAsia="黑体" w:cs="Times New Roman"/>
      <w:sz w:val="24"/>
      <w:szCs w:val="24"/>
    </w:rPr>
  </w:style>
  <w:style w:type="character" w:styleId="931">
    <w:name w:val="标题 9 Char"/>
    <w:next w:val="931"/>
    <w:link w:val="916"/>
    <w:rPr>
      <w:rFonts w:ascii="Arial" w:hAnsi="Arial" w:eastAsia="黑体" w:cs="Times New Roman"/>
      <w:szCs w:val="21"/>
    </w:rPr>
  </w:style>
  <w:style w:type="paragraph" w:styleId="932">
    <w:name w:val="列表 3"/>
    <w:basedOn w:val="907"/>
    <w:next w:val="932"/>
    <w:link w:val="907"/>
    <w:pPr>
      <w:ind w:left="100" w:hanging="200"/>
    </w:pPr>
    <w:rPr>
      <w:rFonts w:ascii="Times New Roman" w:hAnsi="Times New Roman" w:eastAsia="宋体" w:cs="Times New Roman"/>
      <w:szCs w:val="21"/>
    </w:rPr>
  </w:style>
  <w:style w:type="paragraph" w:styleId="933">
    <w:name w:val="目录 7"/>
    <w:basedOn w:val="907"/>
    <w:next w:val="907"/>
    <w:link w:val="907"/>
    <w:semiHidden/>
    <w:pPr>
      <w:ind w:left="1260"/>
      <w:jc w:val="left"/>
    </w:pPr>
    <w:rPr>
      <w:rFonts w:ascii="Times New Roman" w:hAnsi="Times New Roman" w:eastAsia="宋体" w:cs="Times New Roman"/>
      <w:szCs w:val="21"/>
    </w:rPr>
  </w:style>
  <w:style w:type="paragraph" w:styleId="934">
    <w:name w:val="文档结构图"/>
    <w:basedOn w:val="907"/>
    <w:next w:val="934"/>
    <w:link w:val="935"/>
    <w:semiHidden/>
    <w:pPr>
      <w:shd w:val="clear" w:color="auto" w:fill="000080"/>
    </w:pPr>
    <w:rPr>
      <w:rFonts w:ascii="Times New Roman" w:hAnsi="Times New Roman" w:eastAsia="宋体" w:cs="Times New Roman"/>
      <w:szCs w:val="21"/>
    </w:rPr>
  </w:style>
  <w:style w:type="character" w:styleId="935">
    <w:name w:val="文档结构图 Char"/>
    <w:next w:val="935"/>
    <w:link w:val="934"/>
    <w:semiHidden/>
    <w:rPr>
      <w:rFonts w:ascii="Times New Roman" w:hAnsi="Times New Roman" w:eastAsia="宋体" w:cs="Times New Roman"/>
      <w:szCs w:val="21"/>
      <w:shd w:val="clear" w:color="auto" w:fill="000080"/>
    </w:rPr>
  </w:style>
  <w:style w:type="paragraph" w:styleId="936">
    <w:name w:val="批注文字"/>
    <w:basedOn w:val="907"/>
    <w:next w:val="936"/>
    <w:link w:val="937"/>
    <w:unhideWhenUsed/>
    <w:pPr>
      <w:jc w:val="left"/>
    </w:pPr>
  </w:style>
  <w:style w:type="character" w:styleId="937">
    <w:name w:val="批注文字 Char"/>
    <w:next w:val="937"/>
    <w:link w:val="936"/>
    <w:uiPriority w:val="99"/>
    <w:semiHidden/>
  </w:style>
  <w:style w:type="paragraph" w:styleId="938">
    <w:name w:val="正文文本 3"/>
    <w:basedOn w:val="907"/>
    <w:next w:val="938"/>
    <w:link w:val="939"/>
    <w:rPr>
      <w:rFonts w:ascii="仿宋_GB2312" w:hAnsi="Arial" w:eastAsia="仿宋_GB2312" w:cs="Times New Roman"/>
      <w:sz w:val="32"/>
      <w:szCs w:val="32"/>
    </w:rPr>
  </w:style>
  <w:style w:type="character" w:styleId="939">
    <w:name w:val="正文文本 3 Char"/>
    <w:next w:val="939"/>
    <w:link w:val="938"/>
    <w:rPr>
      <w:rFonts w:ascii="仿宋_GB2312" w:hAnsi="Arial" w:eastAsia="仿宋_GB2312" w:cs="Times New Roman"/>
      <w:sz w:val="32"/>
      <w:szCs w:val="32"/>
    </w:rPr>
  </w:style>
  <w:style w:type="paragraph" w:styleId="940">
    <w:name w:val="正文文本"/>
    <w:basedOn w:val="907"/>
    <w:next w:val="940"/>
    <w:link w:val="941"/>
    <w:rPr>
      <w:rFonts w:ascii="楷体_GB2312" w:hAnsi="Arial" w:eastAsia="楷体_GB2312" w:cs="Times New Roman"/>
      <w:sz w:val="28"/>
      <w:szCs w:val="28"/>
    </w:rPr>
  </w:style>
  <w:style w:type="character" w:styleId="941">
    <w:name w:val="正文文本 Char"/>
    <w:next w:val="941"/>
    <w:link w:val="940"/>
    <w:rPr>
      <w:rFonts w:ascii="楷体_GB2312" w:hAnsi="Arial" w:eastAsia="楷体_GB2312" w:cs="Times New Roman"/>
      <w:sz w:val="28"/>
      <w:szCs w:val="28"/>
    </w:rPr>
  </w:style>
  <w:style w:type="paragraph" w:styleId="942">
    <w:name w:val="正文文本缩进"/>
    <w:basedOn w:val="907"/>
    <w:next w:val="942"/>
    <w:link w:val="943"/>
    <w:unhideWhenUsed/>
    <w:pPr>
      <w:ind w:left="420"/>
      <w:spacing w:after="120"/>
    </w:pPr>
  </w:style>
  <w:style w:type="character" w:styleId="943">
    <w:name w:val="正文文本缩进 Char"/>
    <w:next w:val="943"/>
    <w:link w:val="942"/>
    <w:uiPriority w:val="99"/>
    <w:semiHidden/>
  </w:style>
  <w:style w:type="paragraph" w:styleId="944">
    <w:name w:val="列表 2"/>
    <w:basedOn w:val="907"/>
    <w:next w:val="944"/>
    <w:link w:val="907"/>
    <w:pPr>
      <w:ind w:left="100" w:hanging="200"/>
    </w:pPr>
    <w:rPr>
      <w:rFonts w:ascii="Times New Roman" w:hAnsi="Times New Roman" w:eastAsia="宋体" w:cs="Times New Roman"/>
      <w:szCs w:val="21"/>
    </w:rPr>
  </w:style>
  <w:style w:type="paragraph" w:styleId="945">
    <w:name w:val="目录 5"/>
    <w:basedOn w:val="907"/>
    <w:next w:val="907"/>
    <w:link w:val="907"/>
    <w:semiHidden/>
    <w:pPr>
      <w:ind w:left="840"/>
      <w:jc w:val="left"/>
    </w:pPr>
    <w:rPr>
      <w:rFonts w:ascii="Times New Roman" w:hAnsi="Times New Roman" w:eastAsia="宋体" w:cs="Times New Roman"/>
      <w:szCs w:val="21"/>
    </w:rPr>
  </w:style>
  <w:style w:type="paragraph" w:styleId="946">
    <w:name w:val="目录 3"/>
    <w:basedOn w:val="907"/>
    <w:next w:val="907"/>
    <w:link w:val="907"/>
    <w:semiHidden/>
    <w:pPr>
      <w:ind w:left="420"/>
      <w:jc w:val="left"/>
    </w:pPr>
    <w:rPr>
      <w:rFonts w:ascii="Times New Roman" w:hAnsi="Times New Roman" w:eastAsia="宋体" w:cs="Times New Roman"/>
      <w:i/>
      <w:iCs/>
      <w:szCs w:val="24"/>
    </w:rPr>
  </w:style>
  <w:style w:type="paragraph" w:styleId="947">
    <w:name w:val="纯文本"/>
    <w:basedOn w:val="907"/>
    <w:next w:val="947"/>
    <w:link w:val="948"/>
    <w:qFormat/>
    <w:rPr>
      <w:rFonts w:ascii="宋体" w:hAnsi="Courier New" w:eastAsia="宋体" w:cs="Courier New"/>
      <w:szCs w:val="21"/>
    </w:rPr>
  </w:style>
  <w:style w:type="character" w:styleId="948">
    <w:name w:val="纯文本 Char"/>
    <w:next w:val="948"/>
    <w:link w:val="947"/>
    <w:rPr>
      <w:rFonts w:ascii="宋体" w:hAnsi="Courier New" w:eastAsia="宋体" w:cs="Courier New"/>
      <w:szCs w:val="21"/>
    </w:rPr>
  </w:style>
  <w:style w:type="paragraph" w:styleId="949">
    <w:name w:val="目录 8"/>
    <w:basedOn w:val="907"/>
    <w:next w:val="907"/>
    <w:link w:val="907"/>
    <w:semiHidden/>
    <w:pPr>
      <w:ind w:left="1470"/>
      <w:jc w:val="left"/>
    </w:pPr>
    <w:rPr>
      <w:rFonts w:ascii="Times New Roman" w:hAnsi="Times New Roman" w:eastAsia="宋体" w:cs="Times New Roman"/>
      <w:szCs w:val="21"/>
    </w:rPr>
  </w:style>
  <w:style w:type="paragraph" w:styleId="950">
    <w:name w:val="日期"/>
    <w:basedOn w:val="907"/>
    <w:next w:val="907"/>
    <w:link w:val="951"/>
    <w:rPr>
      <w:rFonts w:ascii="Times New Roman" w:hAnsi="Times New Roman" w:eastAsia="宋体" w:cs="Times New Roman"/>
      <w:sz w:val="24"/>
      <w:szCs w:val="24"/>
    </w:rPr>
  </w:style>
  <w:style w:type="character" w:styleId="951">
    <w:name w:val="日期 Char"/>
    <w:next w:val="951"/>
    <w:link w:val="950"/>
    <w:rPr>
      <w:rFonts w:ascii="Times New Roman" w:hAnsi="Times New Roman" w:eastAsia="宋体" w:cs="Times New Roman"/>
      <w:sz w:val="24"/>
      <w:szCs w:val="24"/>
    </w:rPr>
  </w:style>
  <w:style w:type="paragraph" w:styleId="952">
    <w:name w:val="正文文本缩进 2"/>
    <w:basedOn w:val="907"/>
    <w:next w:val="952"/>
    <w:link w:val="953"/>
    <w:pPr>
      <w:ind w:left="630" w:firstLine="645"/>
    </w:pPr>
    <w:rPr>
      <w:rFonts w:ascii="Arial" w:hAnsi="Arial" w:eastAsia="仿宋_GB2312" w:cs="Arial"/>
      <w:sz w:val="32"/>
      <w:szCs w:val="32"/>
    </w:rPr>
  </w:style>
  <w:style w:type="character" w:styleId="953">
    <w:name w:val="正文文本缩进 2 Char"/>
    <w:next w:val="953"/>
    <w:link w:val="952"/>
    <w:rPr>
      <w:rFonts w:ascii="Arial" w:hAnsi="Arial" w:eastAsia="仿宋_GB2312" w:cs="Arial"/>
      <w:sz w:val="32"/>
      <w:szCs w:val="32"/>
    </w:rPr>
  </w:style>
  <w:style w:type="paragraph" w:styleId="954">
    <w:name w:val="批注框文本"/>
    <w:basedOn w:val="907"/>
    <w:next w:val="954"/>
    <w:link w:val="955"/>
    <w:semiHidden/>
    <w:rPr>
      <w:rFonts w:ascii="Times New Roman" w:hAnsi="Times New Roman" w:eastAsia="宋体" w:cs="Times New Roman"/>
      <w:sz w:val="18"/>
      <w:szCs w:val="18"/>
    </w:rPr>
  </w:style>
  <w:style w:type="character" w:styleId="955">
    <w:name w:val="批注框文本 Char"/>
    <w:next w:val="955"/>
    <w:link w:val="954"/>
    <w:semiHidden/>
    <w:rPr>
      <w:rFonts w:ascii="Times New Roman" w:hAnsi="Times New Roman" w:eastAsia="宋体" w:cs="Times New Roman"/>
      <w:sz w:val="18"/>
      <w:szCs w:val="18"/>
    </w:rPr>
  </w:style>
  <w:style w:type="paragraph" w:styleId="956">
    <w:name w:val="页脚"/>
    <w:basedOn w:val="907"/>
    <w:next w:val="956"/>
    <w:link w:val="95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7">
    <w:name w:val="页脚 Char"/>
    <w:next w:val="957"/>
    <w:link w:val="956"/>
    <w:uiPriority w:val="99"/>
    <w:rPr>
      <w:rFonts w:ascii="Times New Roman" w:hAnsi="Times New Roman" w:eastAsia="宋体" w:cs="Times New Roman"/>
      <w:sz w:val="18"/>
      <w:szCs w:val="18"/>
    </w:rPr>
  </w:style>
  <w:style w:type="paragraph" w:styleId="958">
    <w:name w:val="页眉"/>
    <w:basedOn w:val="907"/>
    <w:next w:val="958"/>
    <w:link w:val="95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9">
    <w:name w:val="页眉 Char"/>
    <w:next w:val="959"/>
    <w:link w:val="958"/>
    <w:rPr>
      <w:rFonts w:ascii="Times New Roman" w:hAnsi="Times New Roman" w:eastAsia="宋体" w:cs="Times New Roman"/>
      <w:sz w:val="18"/>
      <w:szCs w:val="18"/>
    </w:rPr>
  </w:style>
  <w:style w:type="paragraph" w:styleId="960">
    <w:name w:val="目录 1"/>
    <w:basedOn w:val="907"/>
    <w:next w:val="907"/>
    <w:link w:val="90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1">
    <w:name w:val="目录 4"/>
    <w:basedOn w:val="907"/>
    <w:next w:val="907"/>
    <w:link w:val="907"/>
    <w:semiHidden/>
    <w:pPr>
      <w:ind w:left="630"/>
      <w:jc w:val="left"/>
    </w:pPr>
    <w:rPr>
      <w:rFonts w:ascii="Times New Roman" w:hAnsi="Times New Roman" w:eastAsia="宋体" w:cs="Times New Roman"/>
      <w:szCs w:val="21"/>
    </w:rPr>
  </w:style>
  <w:style w:type="paragraph" w:styleId="962">
    <w:name w:val="列表"/>
    <w:basedOn w:val="907"/>
    <w:next w:val="962"/>
    <w:link w:val="907"/>
    <w:pPr>
      <w:ind w:left="200" w:hanging="200"/>
    </w:pPr>
    <w:rPr>
      <w:rFonts w:ascii="Times New Roman" w:hAnsi="Times New Roman" w:eastAsia="宋体" w:cs="Times New Roman"/>
      <w:szCs w:val="21"/>
    </w:rPr>
  </w:style>
  <w:style w:type="paragraph" w:styleId="963">
    <w:name w:val="目录 6"/>
    <w:basedOn w:val="907"/>
    <w:next w:val="907"/>
    <w:link w:val="907"/>
    <w:semiHidden/>
    <w:pPr>
      <w:ind w:left="1050"/>
      <w:jc w:val="left"/>
    </w:pPr>
    <w:rPr>
      <w:rFonts w:ascii="Times New Roman" w:hAnsi="Times New Roman" w:eastAsia="宋体" w:cs="Times New Roman"/>
      <w:szCs w:val="21"/>
    </w:rPr>
  </w:style>
  <w:style w:type="paragraph" w:styleId="964">
    <w:name w:val="正文文本缩进 3"/>
    <w:basedOn w:val="907"/>
    <w:next w:val="964"/>
    <w:link w:val="965"/>
    <w:pPr>
      <w:ind w:left="645" w:firstLine="645"/>
    </w:pPr>
    <w:rPr>
      <w:rFonts w:ascii="Arial" w:hAnsi="Arial" w:eastAsia="仿宋_GB2312" w:cs="Arial"/>
      <w:color w:val="ffff00"/>
      <w:sz w:val="32"/>
      <w:szCs w:val="32"/>
    </w:rPr>
  </w:style>
  <w:style w:type="character" w:styleId="965">
    <w:name w:val="正文文本缩进 3 Char"/>
    <w:next w:val="965"/>
    <w:link w:val="964"/>
    <w:rPr>
      <w:rFonts w:ascii="Arial" w:hAnsi="Arial" w:eastAsia="仿宋_GB2312" w:cs="Arial"/>
      <w:color w:val="ffff00"/>
      <w:sz w:val="32"/>
      <w:szCs w:val="32"/>
    </w:rPr>
  </w:style>
  <w:style w:type="paragraph" w:styleId="966">
    <w:name w:val="图表目录"/>
    <w:basedOn w:val="907"/>
    <w:next w:val="907"/>
    <w:link w:val="907"/>
    <w:semiHidden/>
    <w:pPr>
      <w:ind w:left="840" w:hanging="420"/>
    </w:pPr>
    <w:rPr>
      <w:rFonts w:ascii="Times New Roman" w:hAnsi="Times New Roman" w:eastAsia="宋体" w:cs="Times New Roman"/>
      <w:szCs w:val="21"/>
    </w:rPr>
  </w:style>
  <w:style w:type="paragraph" w:styleId="967">
    <w:name w:val="目录 2"/>
    <w:basedOn w:val="907"/>
    <w:next w:val="907"/>
    <w:link w:val="907"/>
    <w:semiHidden/>
    <w:pPr>
      <w:ind w:left="210"/>
      <w:jc w:val="left"/>
    </w:pPr>
    <w:rPr>
      <w:rFonts w:ascii="Times New Roman" w:hAnsi="Times New Roman" w:eastAsia="宋体" w:cs="Times New Roman"/>
      <w:smallCaps/>
      <w:szCs w:val="24"/>
    </w:rPr>
  </w:style>
  <w:style w:type="paragraph" w:styleId="968">
    <w:name w:val="目录 9"/>
    <w:basedOn w:val="907"/>
    <w:next w:val="907"/>
    <w:link w:val="907"/>
    <w:semiHidden/>
    <w:pPr>
      <w:ind w:left="1680"/>
      <w:jc w:val="left"/>
    </w:pPr>
    <w:rPr>
      <w:rFonts w:ascii="Times New Roman" w:hAnsi="Times New Roman" w:eastAsia="宋体" w:cs="Times New Roman"/>
      <w:szCs w:val="21"/>
    </w:rPr>
  </w:style>
  <w:style w:type="paragraph" w:styleId="969">
    <w:name w:val="正文文本 2"/>
    <w:basedOn w:val="907"/>
    <w:next w:val="969"/>
    <w:link w:val="970"/>
    <w:pPr>
      <w:jc w:val="center"/>
      <w:widowControl/>
    </w:pPr>
    <w:rPr>
      <w:rFonts w:ascii="楷体_GB2312" w:hAnsi="Times New Roman" w:eastAsia="楷体_GB2312" w:cs="Times New Roman"/>
      <w:sz w:val="28"/>
      <w:szCs w:val="28"/>
    </w:rPr>
  </w:style>
  <w:style w:type="character" w:styleId="970">
    <w:name w:val="正文文本 2 Char"/>
    <w:next w:val="970"/>
    <w:link w:val="969"/>
    <w:rPr>
      <w:rFonts w:ascii="楷体_GB2312" w:hAnsi="Times New Roman" w:eastAsia="楷体_GB2312" w:cs="Times New Roman"/>
      <w:sz w:val="28"/>
      <w:szCs w:val="28"/>
    </w:rPr>
  </w:style>
  <w:style w:type="paragraph" w:styleId="971">
    <w:name w:val="普通(网站)"/>
    <w:basedOn w:val="907"/>
    <w:next w:val="971"/>
    <w:link w:val="907"/>
    <w:uiPriority w:val="99"/>
    <w:pPr>
      <w:jc w:val="left"/>
      <w:spacing w:before="100" w:beforeAutospacing="1" w:after="100" w:afterAutospacing="1"/>
      <w:widowControl/>
    </w:pPr>
    <w:rPr>
      <w:rFonts w:ascii="宋体" w:hAnsi="宋体" w:eastAsia="宋体" w:cs="宋体"/>
      <w:sz w:val="24"/>
      <w:szCs w:val="24"/>
    </w:rPr>
  </w:style>
  <w:style w:type="paragraph" w:styleId="972">
    <w:name w:val="索引 1"/>
    <w:basedOn w:val="907"/>
    <w:next w:val="907"/>
    <w:link w:val="907"/>
    <w:semiHidden/>
    <w:pPr>
      <w:spacing w:line="240" w:lineRule="atLeast"/>
    </w:pPr>
    <w:rPr>
      <w:rFonts w:ascii="Times New Roman" w:hAnsi="Times New Roman" w:eastAsia="宋体" w:cs="Times New Roman"/>
      <w:b/>
      <w:bCs/>
      <w:szCs w:val="21"/>
    </w:rPr>
  </w:style>
  <w:style w:type="paragraph" w:styleId="973">
    <w:name w:val="批注主题"/>
    <w:basedOn w:val="936"/>
    <w:next w:val="936"/>
    <w:link w:val="974"/>
    <w:semiHidden/>
    <w:rPr>
      <w:rFonts w:ascii="Times New Roman" w:hAnsi="Times New Roman" w:eastAsia="宋体" w:cs="Times New Roman"/>
      <w:b/>
      <w:bCs/>
      <w:szCs w:val="21"/>
    </w:rPr>
  </w:style>
  <w:style w:type="character" w:styleId="974">
    <w:name w:val="批注主题 Char"/>
    <w:next w:val="974"/>
    <w:link w:val="973"/>
    <w:semiHidden/>
    <w:rPr>
      <w:rFonts w:ascii="Times New Roman" w:hAnsi="Times New Roman" w:eastAsia="宋体" w:cs="Times New Roman"/>
      <w:b/>
      <w:bCs/>
      <w:szCs w:val="21"/>
    </w:rPr>
  </w:style>
  <w:style w:type="paragraph" w:styleId="975">
    <w:name w:val="正文首行缩进"/>
    <w:basedOn w:val="907"/>
    <w:next w:val="975"/>
    <w:link w:val="976"/>
    <w:pPr>
      <w:ind w:firstLine="200"/>
      <w:spacing w:line="360" w:lineRule="auto"/>
    </w:pPr>
    <w:rPr>
      <w:rFonts w:ascii="仿宋_GB2312" w:hAnsi="Times New Roman" w:eastAsia="仿宋_GB2312" w:cs="Times New Roman"/>
      <w:sz w:val="30"/>
      <w:szCs w:val="30"/>
    </w:rPr>
  </w:style>
  <w:style w:type="character" w:styleId="976">
    <w:name w:val="正文首行缩进 Char"/>
    <w:next w:val="976"/>
    <w:link w:val="975"/>
    <w:rPr>
      <w:rFonts w:ascii="仿宋_GB2312" w:hAnsi="Times New Roman" w:eastAsia="仿宋_GB2312" w:cs="Times New Roman"/>
      <w:sz w:val="30"/>
      <w:szCs w:val="30"/>
    </w:rPr>
  </w:style>
  <w:style w:type="paragraph" w:styleId="977">
    <w:name w:val="正文首行缩进 2"/>
    <w:basedOn w:val="942"/>
    <w:next w:val="977"/>
    <w:link w:val="978"/>
    <w:pPr>
      <w:ind w:left="0" w:firstLine="420"/>
      <w:spacing w:after="0" w:line="360" w:lineRule="auto"/>
    </w:pPr>
    <w:rPr>
      <w:rFonts w:ascii="宋体" w:hAnsi="宋体" w:eastAsia="宋体" w:cs="Times New Roman"/>
      <w:szCs w:val="20"/>
    </w:rPr>
  </w:style>
  <w:style w:type="character" w:styleId="978">
    <w:name w:val="正文首行缩进 2 Char"/>
    <w:next w:val="978"/>
    <w:link w:val="977"/>
    <w:rPr>
      <w:rFonts w:ascii="宋体" w:hAnsi="宋体" w:eastAsia="宋体" w:cs="Times New Roman"/>
      <w:szCs w:val="20"/>
    </w:rPr>
  </w:style>
  <w:style w:type="table" w:styleId="979">
    <w:name w:val="网格型"/>
    <w:basedOn w:val="918"/>
    <w:next w:val="979"/>
    <w:link w:val="907"/>
    <w:pPr>
      <w:jc w:val="both"/>
      <w:widowControl w:val="off"/>
    </w:pPr>
    <w:rPr>
      <w:rFonts w:ascii="Times New Roman" w:hAnsi="Times New Roman" w:eastAsia="宋体" w:cs="Times New Roman"/>
      <w:sz w:val="20"/>
      <w:szCs w:val="20"/>
    </w:rPr>
    <w:tblPr/>
  </w:style>
  <w:style w:type="character" w:styleId="980">
    <w:name w:val="要点"/>
    <w:next w:val="980"/>
    <w:link w:val="907"/>
    <w:qFormat/>
    <w:rPr>
      <w:b/>
      <w:bCs/>
    </w:rPr>
  </w:style>
  <w:style w:type="character" w:styleId="981">
    <w:name w:val="页码"/>
    <w:next w:val="981"/>
    <w:link w:val="907"/>
  </w:style>
  <w:style w:type="character" w:styleId="982">
    <w:name w:val="访问过的超链接"/>
    <w:next w:val="982"/>
    <w:link w:val="907"/>
    <w:rPr>
      <w:color w:val="800080"/>
      <w:u w:val="single"/>
    </w:rPr>
  </w:style>
  <w:style w:type="character" w:styleId="983">
    <w:name w:val="超链接"/>
    <w:next w:val="983"/>
    <w:link w:val="907"/>
    <w:rPr>
      <w:color w:val="0000ff"/>
      <w:u w:val="single"/>
    </w:rPr>
  </w:style>
  <w:style w:type="character" w:styleId="984">
    <w:name w:val="批注引用"/>
    <w:next w:val="984"/>
    <w:link w:val="907"/>
    <w:semiHidden/>
    <w:rPr>
      <w:sz w:val="21"/>
      <w:szCs w:val="21"/>
    </w:rPr>
  </w:style>
  <w:style w:type="character" w:styleId="985">
    <w:name w:val="font5 Char"/>
    <w:next w:val="985"/>
    <w:link w:val="907"/>
    <w:rPr>
      <w:rFonts w:ascii="宋体" w:hAnsi="宋体" w:eastAsia="宋体"/>
      <w:sz w:val="28"/>
      <w:szCs w:val="28"/>
      <w:lang w:val="en-US" w:eastAsia="zh-CN" w:bidi="ar-SA"/>
    </w:rPr>
  </w:style>
  <w:style w:type="character" w:styleId="986">
    <w:name w:val="二级目录 Char"/>
    <w:next w:val="986"/>
    <w:link w:val="987"/>
    <w:rPr>
      <w:b/>
      <w:sz w:val="30"/>
      <w:szCs w:val="28"/>
    </w:rPr>
  </w:style>
  <w:style w:type="paragraph" w:styleId="987">
    <w:name w:val="二级目录"/>
    <w:next w:val="907"/>
    <w:link w:val="986"/>
    <w:pPr>
      <w:numPr>
        <w:ilvl w:val="0"/>
        <w:numId w:val="2"/>
      </w:numPr>
      <w:tabs>
        <w:tab w:val="left" w:pos="907" w:leader="none"/>
        <w:tab w:val="left" w:pos="1145" w:leader="none"/>
      </w:tabs>
      <w:outlineLvl w:val="1"/>
    </w:pPr>
    <w:rPr>
      <w:b/>
      <w:sz w:val="30"/>
      <w:szCs w:val="28"/>
      <w:lang w:val="en-US" w:eastAsia="zh-CN" w:bidi="ar-SA"/>
    </w:rPr>
  </w:style>
  <w:style w:type="character" w:styleId="988">
    <w:name w:val="列出段落 Char,Bullet List Char,numbered Char,FooterText Char,List Paragraph1 Char,Paragraphe de liste1 Char"/>
    <w:next w:val="988"/>
    <w:link w:val="989"/>
    <w:rPr>
      <w:rFonts w:ascii="Calibri" w:hAnsi="Calibri"/>
      <w:sz w:val="24"/>
      <w:szCs w:val="24"/>
      <w:lang w:eastAsia="en-US" w:bidi="en-US"/>
    </w:rPr>
  </w:style>
  <w:style w:type="paragraph" w:styleId="989">
    <w:name w:val="列出段落1"/>
    <w:basedOn w:val="907"/>
    <w:next w:val="989"/>
    <w:link w:val="988"/>
    <w:qFormat/>
    <w:pPr>
      <w:contextualSpacing/>
      <w:ind w:left="720"/>
      <w:jc w:val="left"/>
      <w:widowControl/>
    </w:pPr>
    <w:rPr>
      <w:rFonts w:ascii="Calibri" w:hAnsi="Calibri"/>
      <w:sz w:val="24"/>
      <w:szCs w:val="24"/>
      <w:lang w:eastAsia="en-US" w:bidi="en-US"/>
    </w:rPr>
  </w:style>
  <w:style w:type="paragraph" w:styleId="990">
    <w:name w:val="Body Text(ch)"/>
    <w:basedOn w:val="907"/>
    <w:next w:val="940"/>
    <w:link w:val="907"/>
    <w:pPr>
      <w:spacing w:after="120"/>
    </w:pPr>
    <w:rPr>
      <w:rFonts w:ascii="宋体" w:hAnsi="Arial" w:eastAsia="宋体" w:cs="Times New Roman"/>
      <w:bCs/>
      <w:iCs/>
      <w:szCs w:val="24"/>
    </w:rPr>
  </w:style>
  <w:style w:type="paragraph" w:styleId="991">
    <w:name w:val="xl27"/>
    <w:basedOn w:val="907"/>
    <w:next w:val="991"/>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2">
    <w:name w:val="xl26"/>
    <w:basedOn w:val="907"/>
    <w:next w:val="992"/>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3">
    <w:name w:val="Char"/>
    <w:basedOn w:val="907"/>
    <w:next w:val="993"/>
    <w:link w:val="907"/>
    <w:pPr>
      <w:ind w:firstLine="200"/>
      <w:tabs>
        <w:tab w:val="left" w:pos="360" w:leader="none"/>
      </w:tabs>
    </w:pPr>
    <w:rPr>
      <w:rFonts w:ascii="Times New Roman" w:hAnsi="Times New Roman" w:eastAsia="宋体" w:cs="Times New Roman"/>
      <w:sz w:val="28"/>
      <w:szCs w:val="30"/>
    </w:rPr>
  </w:style>
  <w:style w:type="paragraph" w:styleId="994">
    <w:name w:val=" Char"/>
    <w:basedOn w:val="934"/>
    <w:next w:val="994"/>
    <w:link w:val="907"/>
    <w:rPr>
      <w:rFonts w:ascii="Tahoma" w:hAnsi="Tahoma"/>
      <w:sz w:val="24"/>
      <w:szCs w:val="24"/>
    </w:rPr>
  </w:style>
  <w:style w:type="paragraph" w:styleId="995">
    <w:name w:val="普通正文"/>
    <w:basedOn w:val="907"/>
    <w:next w:val="995"/>
    <w:link w:val="907"/>
    <w:pPr>
      <w:ind w:firstLine="480"/>
      <w:jc w:val="left"/>
      <w:spacing w:before="120" w:after="120" w:line="360" w:lineRule="auto"/>
    </w:pPr>
    <w:rPr>
      <w:rFonts w:ascii="Arial" w:hAnsi="Arial" w:eastAsia="宋体" w:cs="Times New Roman"/>
      <w:sz w:val="24"/>
      <w:szCs w:val="24"/>
    </w:rPr>
  </w:style>
  <w:style w:type="paragraph" w:styleId="996">
    <w:name w:val="table_lines"/>
    <w:basedOn w:val="907"/>
    <w:next w:val="996"/>
    <w:link w:val="907"/>
    <w:pPr>
      <w:jc w:val="left"/>
      <w:widowControl/>
    </w:pPr>
    <w:rPr>
      <w:rFonts w:ascii="Times New Roman" w:hAnsi="Times New Roman" w:eastAsia="宋体" w:cs="Times New Roman"/>
      <w:sz w:val="20"/>
      <w:szCs w:val="20"/>
      <w:lang w:val="de-DE" w:eastAsia="de-DE"/>
    </w:rPr>
  </w:style>
  <w:style w:type="paragraph" w:styleId="997">
    <w:name w:val="附录1"/>
    <w:next w:val="997"/>
    <w:link w:val="90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8">
    <w:name w:val="font7"/>
    <w:basedOn w:val="907"/>
    <w:next w:val="998"/>
    <w:link w:val="907"/>
    <w:pPr>
      <w:jc w:val="left"/>
      <w:spacing w:before="100" w:beforeAutospacing="1" w:after="100" w:afterAutospacing="1"/>
      <w:widowControl/>
    </w:pPr>
    <w:rPr>
      <w:rFonts w:hint="eastAsia" w:ascii="宋体" w:hAnsi="宋体" w:eastAsia="宋体" w:cs="Times New Roman"/>
      <w:sz w:val="18"/>
      <w:szCs w:val="18"/>
    </w:rPr>
  </w:style>
  <w:style w:type="paragraph" w:styleId="999">
    <w:name w:val=" Char Char Char Char"/>
    <w:basedOn w:val="934"/>
    <w:next w:val="999"/>
    <w:link w:val="907"/>
    <w:pPr>
      <w:spacing w:line="360" w:lineRule="auto"/>
    </w:pPr>
    <w:rPr>
      <w:rFonts w:ascii="Tahoma" w:hAnsi="Tahoma"/>
      <w:sz w:val="24"/>
      <w:szCs w:val="24"/>
    </w:rPr>
  </w:style>
  <w:style w:type="paragraph" w:styleId="1000">
    <w:name w:val="列出段落"/>
    <w:basedOn w:val="907"/>
    <w:next w:val="1000"/>
    <w:link w:val="907"/>
    <w:qFormat/>
    <w:pPr>
      <w:contextualSpacing/>
      <w:ind w:left="720"/>
      <w:jc w:val="left"/>
      <w:widowControl/>
    </w:pPr>
    <w:rPr>
      <w:rFonts w:ascii="Calibri" w:hAnsi="Calibri" w:eastAsia="宋体" w:cs="Times New Roman"/>
      <w:sz w:val="24"/>
      <w:szCs w:val="24"/>
      <w:lang w:eastAsia="en-US" w:bidi="en-US"/>
    </w:rPr>
  </w:style>
  <w:style w:type="paragraph" w:styleId="1001">
    <w:name w:val="4"/>
    <w:basedOn w:val="907"/>
    <w:next w:val="964"/>
    <w:link w:val="907"/>
    <w:pPr>
      <w:ind w:firstLine="420"/>
      <w:spacing w:line="360" w:lineRule="auto"/>
    </w:pPr>
    <w:rPr>
      <w:rFonts w:ascii="Times New Roman" w:hAnsi="Times New Roman" w:eastAsia="宋体" w:cs="Times New Roman"/>
      <w:color w:val="ff0000"/>
      <w:sz w:val="24"/>
      <w:szCs w:val="24"/>
    </w:rPr>
  </w:style>
  <w:style w:type="paragraph" w:styleId="1002">
    <w:name w:val="普通 (Web)"/>
    <w:basedOn w:val="907"/>
    <w:next w:val="1002"/>
    <w:link w:val="907"/>
    <w:pPr>
      <w:jc w:val="left"/>
      <w:spacing w:before="100" w:beforeAutospacing="1" w:after="100" w:afterAutospacing="1"/>
      <w:widowControl/>
    </w:pPr>
    <w:rPr>
      <w:rFonts w:ascii="宋体" w:hAnsi="宋体" w:eastAsia="宋体" w:cs="Times New Roman"/>
      <w:sz w:val="24"/>
      <w:szCs w:val="24"/>
    </w:rPr>
  </w:style>
  <w:style w:type="paragraph" w:styleId="1003">
    <w:name w:val=" Char Char Char Char Char Char Char Char Char Char"/>
    <w:basedOn w:val="907"/>
    <w:next w:val="1003"/>
    <w:link w:val="907"/>
    <w:pPr>
      <w:spacing w:line="360" w:lineRule="auto"/>
    </w:pPr>
    <w:rPr>
      <w:rFonts w:ascii="Times New Roman" w:hAnsi="Times New Roman" w:eastAsia="宋体" w:cs="Times New Roman"/>
      <w:sz w:val="24"/>
      <w:szCs w:val="20"/>
    </w:rPr>
  </w:style>
  <w:style w:type="paragraph" w:styleId="1004">
    <w:name w:val="样式1"/>
    <w:basedOn w:val="907"/>
    <w:next w:val="1004"/>
    <w:link w:val="907"/>
    <w:pPr>
      <w:numPr>
        <w:ilvl w:val="0"/>
        <w:numId w:val="3"/>
      </w:numPr>
      <w:tabs>
        <w:tab w:val="left" w:pos="709" w:leader="none"/>
      </w:tabs>
    </w:pPr>
    <w:rPr>
      <w:rFonts w:ascii="宋体" w:hAnsi="宋体" w:eastAsia="宋体" w:cs="Times New Roman"/>
      <w:szCs w:val="21"/>
    </w:rPr>
  </w:style>
  <w:style w:type="paragraph" w:styleId="1005">
    <w:name w:val="font6"/>
    <w:basedOn w:val="907"/>
    <w:next w:val="1005"/>
    <w:link w:val="907"/>
    <w:pPr>
      <w:jc w:val="left"/>
      <w:spacing w:before="100" w:beforeAutospacing="1" w:after="100" w:afterAutospacing="1"/>
      <w:widowControl/>
    </w:pPr>
    <w:rPr>
      <w:rFonts w:hint="eastAsia" w:ascii="宋体" w:hAnsi="宋体" w:eastAsia="宋体" w:cs="Times New Roman"/>
      <w:sz w:val="28"/>
      <w:szCs w:val="28"/>
      <w:u w:val="single"/>
    </w:rPr>
  </w:style>
  <w:style w:type="paragraph" w:styleId="1006">
    <w:name w:val="xl25"/>
    <w:basedOn w:val="907"/>
    <w:next w:val="1006"/>
    <w:link w:val="90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name w:val="图标"/>
    <w:basedOn w:val="907"/>
    <w:next w:val="907"/>
    <w:link w:val="90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8">
    <w:name w:val="标题3"/>
    <w:basedOn w:val="907"/>
    <w:next w:val="907"/>
    <w:link w:val="907"/>
    <w:pPr>
      <w:ind w:firstLine="624"/>
      <w:spacing w:line="590" w:lineRule="atLeast"/>
    </w:pPr>
    <w:rPr>
      <w:rFonts w:ascii="方正黑体_GBK" w:hAnsi="Times New Roman" w:eastAsia="方正黑体_GBK" w:cs="Times New Roman"/>
      <w:sz w:val="32"/>
      <w:szCs w:val="32"/>
    </w:rPr>
  </w:style>
  <w:style w:type="paragraph" w:styleId="1009">
    <w:name w:val="xl24"/>
    <w:basedOn w:val="907"/>
    <w:next w:val="1009"/>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0">
    <w:name w:val="xl29"/>
    <w:basedOn w:val="907"/>
    <w:next w:val="1010"/>
    <w:link w:val="90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1">
    <w:name w:val="Char Char Char Char Char Char Char Char"/>
    <w:basedOn w:val="907"/>
    <w:next w:val="1011"/>
    <w:link w:val="907"/>
    <w:pPr>
      <w:jc w:val="left"/>
      <w:spacing w:after="160" w:line="240" w:lineRule="exact"/>
      <w:widowControl/>
    </w:pPr>
    <w:rPr>
      <w:rFonts w:ascii="Verdana" w:hAnsi="Verdana" w:eastAsia="宋体" w:cs="Times New Roman"/>
      <w:sz w:val="20"/>
      <w:szCs w:val="20"/>
      <w:lang w:eastAsia="en-US"/>
    </w:rPr>
  </w:style>
  <w:style w:type="paragraph" w:styleId="1012">
    <w:name w:val="xl28"/>
    <w:basedOn w:val="907"/>
    <w:next w:val="1012"/>
    <w:link w:val="90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3">
    <w:name w:val=" Char Char Char Char Char Char Char Char"/>
    <w:basedOn w:val="907"/>
    <w:next w:val="1013"/>
    <w:link w:val="907"/>
    <w:pPr>
      <w:jc w:val="left"/>
      <w:spacing w:after="160" w:line="240" w:lineRule="exact"/>
      <w:widowControl/>
    </w:pPr>
    <w:rPr>
      <w:rFonts w:ascii="Verdana" w:hAnsi="Verdana" w:eastAsia="宋体" w:cs="Times New Roman"/>
      <w:sz w:val="20"/>
      <w:szCs w:val="20"/>
      <w:lang w:eastAsia="en-US"/>
    </w:rPr>
  </w:style>
  <w:style w:type="paragraph" w:styleId="1014">
    <w:name w:val="xl30"/>
    <w:basedOn w:val="907"/>
    <w:next w:val="1014"/>
    <w:link w:val="907"/>
    <w:pPr>
      <w:jc w:val="center"/>
      <w:spacing w:before="100" w:beforeAutospacing="1" w:after="100" w:afterAutospacing="1"/>
      <w:widowControl/>
    </w:pPr>
    <w:rPr>
      <w:rFonts w:ascii="宋体" w:hAnsi="宋体" w:eastAsia="宋体" w:cs="Times New Roman"/>
      <w:b/>
      <w:bCs/>
      <w:sz w:val="36"/>
      <w:szCs w:val="36"/>
    </w:rPr>
  </w:style>
  <w:style w:type="paragraph" w:styleId="1015">
    <w:name w:val="Char Char Char Char"/>
    <w:basedOn w:val="934"/>
    <w:next w:val="1015"/>
    <w:link w:val="907"/>
    <w:pPr>
      <w:spacing w:line="360" w:lineRule="auto"/>
    </w:pPr>
    <w:rPr>
      <w:rFonts w:ascii="Tahoma" w:hAnsi="Tahoma"/>
      <w:sz w:val="24"/>
      <w:szCs w:val="24"/>
    </w:rPr>
  </w:style>
  <w:style w:type="paragraph" w:styleId="1016">
    <w:name w:val="table_1stline"/>
    <w:basedOn w:val="907"/>
    <w:next w:val="1016"/>
    <w:link w:val="907"/>
    <w:pPr>
      <w:jc w:val="left"/>
      <w:spacing w:before="120"/>
      <w:widowControl/>
    </w:pPr>
    <w:rPr>
      <w:rFonts w:ascii="Times New Roman" w:hAnsi="Times New Roman" w:eastAsia="宋体" w:cs="Times New Roman"/>
      <w:bCs/>
      <w:sz w:val="20"/>
      <w:szCs w:val="20"/>
      <w:lang w:val="de-DE" w:eastAsia="de-DE"/>
    </w:rPr>
  </w:style>
  <w:style w:type="paragraph" w:styleId="1017">
    <w:name w:val="font5"/>
    <w:basedOn w:val="907"/>
    <w:next w:val="1017"/>
    <w:link w:val="907"/>
    <w:pPr>
      <w:jc w:val="left"/>
      <w:spacing w:before="100" w:beforeAutospacing="1" w:after="100" w:afterAutospacing="1"/>
      <w:widowControl/>
    </w:pPr>
    <w:rPr>
      <w:rFonts w:hint="eastAsia" w:ascii="宋体" w:hAnsi="宋体" w:eastAsia="宋体" w:cs="Times New Roman"/>
      <w:sz w:val="28"/>
      <w:szCs w:val="28"/>
    </w:rPr>
  </w:style>
  <w:style w:type="paragraph" w:styleId="1018">
    <w:name w:val="标题1"/>
    <w:basedOn w:val="907"/>
    <w:next w:val="907"/>
    <w:link w:val="90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9">
    <w:name w:val="修订"/>
    <w:next w:val="1019"/>
    <w:link w:val="907"/>
    <w:uiPriority w:val="99"/>
    <w:semiHidden/>
    <w:rPr>
      <w:rFonts w:ascii="Times New Roman" w:hAnsi="Times New Roman"/>
      <w:sz w:val="21"/>
      <w:szCs w:val="21"/>
      <w:lang w:val="en-US" w:eastAsia="zh-CN" w:bidi="ar-SA"/>
    </w:rPr>
  </w:style>
  <w:style w:type="paragraph" w:styleId="1020">
    <w:name w:val="无间隔"/>
    <w:next w:val="1020"/>
    <w:link w:val="907"/>
    <w:uiPriority w:val="99"/>
    <w:qFormat/>
    <w:pPr>
      <w:jc w:val="both"/>
      <w:widowControl w:val="off"/>
    </w:pPr>
    <w:rPr>
      <w:rFonts w:ascii="Times New Roman" w:hAnsi="Times New Roman"/>
      <w:sz w:val="21"/>
      <w:szCs w:val="21"/>
      <w:lang w:val="en-US" w:eastAsia="zh-CN" w:bidi="ar-SA"/>
    </w:rPr>
  </w:style>
  <w:style w:type="paragraph" w:styleId="1021">
    <w:name w:val="AONormal"/>
    <w:next w:val="1021"/>
    <w:link w:val="907"/>
    <w:qFormat/>
    <w:pPr>
      <w:ind w:firstLine="440"/>
      <w:spacing w:line="400" w:lineRule="exact"/>
    </w:pPr>
    <w:rPr>
      <w:rFonts w:ascii="华文楷体" w:hAnsi="华文楷体" w:eastAsia="华文楷体" w:cs="华文楷体"/>
      <w:sz w:val="22"/>
      <w:szCs w:val="21"/>
      <w:lang w:val="en-US" w:eastAsia="zh-CN" w:bidi="ar-SA"/>
    </w:rPr>
  </w:style>
  <w:style w:type="character" w:styleId="1022" w:default="1">
    <w:name w:val="Default Paragraph Font"/>
    <w:uiPriority w:val="1"/>
    <w:semiHidden/>
    <w:unhideWhenUsed/>
  </w:style>
  <w:style w:type="numbering" w:styleId="1023" w:default="1">
    <w:name w:val="No List"/>
    <w:uiPriority w:val="99"/>
    <w:semiHidden/>
    <w:unhideWhenUsed/>
  </w:style>
  <w:style w:type="table" w:styleId="10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李枫</dc:creator>
  <cp:lastModifiedBy>乔秀善</cp:lastModifiedBy>
  <cp:revision>4</cp:revision>
  <dcterms:created xsi:type="dcterms:W3CDTF">2025-09-17T07:20:00Z</dcterms:created>
  <dcterms:modified xsi:type="dcterms:W3CDTF">2025-09-24T01:00:00Z</dcterms:modified>
  <cp:version>917504</cp:version>
</cp:coreProperties>
</file>