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spacing w:before="120" w:beforeAutospacing="0" w:after="120" w:afterAutospacing="0" w:line="360" w:lineRule="auto"/>
      </w:pPr>
      <w:r>
        <w:t xml:space="preserve"> </w:t>
      </w:r>
      <w:r/>
    </w:p>
    <w:p>
      <w:pPr>
        <w:pStyle w:val="822"/>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22"/>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22"/>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项目名称：</w:t>
      </w:r>
      <w:r>
        <w:rPr>
          <w:rFonts w:hint="eastAsia" w:ascii="Arial" w:hAnsi="Arial" w:cs="Arial"/>
          <w:b/>
          <w:color w:val="000000"/>
          <w:sz w:val="32"/>
          <w:szCs w:val="32"/>
        </w:rPr>
        <w:t xml:space="preserve">滨海县民政局居家养老服务场所运营采购项目</w:t>
      </w:r>
      <w:r/>
    </w:p>
    <w:p>
      <w:pPr>
        <w:pStyle w:val="822"/>
        <w:ind w:left="210" w:firstLine="161"/>
        <w:jc w:val="both"/>
        <w:spacing w:beforeAutospacing="0" w:afterAutospacing="0"/>
      </w:pP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JSZC-320922-HUAE-G2025-0001</w:t>
      </w:r>
      <w:r/>
    </w:p>
    <w:p>
      <w:pPr>
        <w:pStyle w:val="822"/>
        <w:spacing w:beforeAutospacing="0" w:afterAutospacing="0" w:line="360" w:lineRule="auto"/>
      </w:pPr>
      <w:r>
        <w:t xml:space="preserve"> </w:t>
      </w:r>
      <w:r/>
    </w:p>
    <w:p>
      <w:pPr>
        <w:pStyle w:val="822"/>
        <w:spacing w:beforeAutospacing="0" w:afterAutospacing="0" w:line="360" w:lineRule="auto"/>
      </w:pPr>
      <w:r>
        <w:t xml:space="preserve"> </w:t>
      </w:r>
      <w:r/>
    </w:p>
    <w:p>
      <w:pPr>
        <w:pStyle w:val="822"/>
        <w:spacing w:beforeAutospacing="0" w:afterAutospacing="0" w:line="360" w:lineRule="auto"/>
      </w:pPr>
      <w:r>
        <w:t xml:space="preserve"> </w:t>
      </w:r>
      <w:r/>
    </w:p>
    <w:p>
      <w:pPr>
        <w:pStyle w:val="822"/>
        <w:spacing w:beforeAutospacing="0" w:afterAutospacing="0" w:line="360" w:lineRule="auto"/>
      </w:pPr>
      <w:r>
        <w:t xml:space="preserve"> </w:t>
      </w:r>
      <w:r/>
    </w:p>
    <w:p>
      <w:pPr>
        <w:pStyle w:val="822"/>
        <w:spacing w:beforeAutospacing="0" w:afterAutospacing="0" w:line="360" w:lineRule="auto"/>
      </w:pPr>
      <w:r>
        <w:t xml:space="preserve"> </w:t>
      </w:r>
      <w:r/>
    </w:p>
    <w:p>
      <w:pPr>
        <w:pStyle w:val="822"/>
        <w:spacing w:beforeAutospacing="0" w:afterAutospacing="0" w:line="360" w:lineRule="auto"/>
      </w:pPr>
      <w:r>
        <w:t xml:space="preserve"> </w:t>
      </w:r>
      <w:r/>
    </w:p>
    <w:p>
      <w:pPr>
        <w:pStyle w:val="822"/>
        <w:spacing w:beforeAutospacing="0" w:afterAutospacing="0" w:line="360" w:lineRule="auto"/>
      </w:pPr>
      <w:r>
        <w:t xml:space="preserve"> </w:t>
      </w:r>
      <w:r/>
    </w:p>
    <w:p>
      <w:pPr>
        <w:pStyle w:val="822"/>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滨海县民政局</w:t>
      </w:r>
      <w:r/>
    </w:p>
    <w:p>
      <w:pPr>
        <w:pStyle w:val="822"/>
        <w:jc w:val="center"/>
        <w:spacing w:before="120" w:beforeAutospacing="0" w:after="120" w:afterAutospacing="0" w:line="360" w:lineRule="auto"/>
      </w:pPr>
      <w:r>
        <w:rPr>
          <w:rFonts w:hint="eastAsia" w:ascii="Arial" w:hAnsi="Arial" w:cs="Arial"/>
          <w:b/>
          <w:color w:val="000000"/>
          <w:sz w:val="32"/>
          <w:szCs w:val="32"/>
        </w:rPr>
        <w:t xml:space="preserve">2025</w:t>
      </w:r>
      <w:r>
        <w:rPr>
          <w:rFonts w:ascii="Arial" w:hAnsi="Arial" w:cs="Arial"/>
          <w:b/>
          <w:color w:val="000000"/>
          <w:sz w:val="32"/>
          <w:szCs w:val="32"/>
        </w:rPr>
        <w:t xml:space="preserve">年</w:t>
      </w:r>
      <w:r>
        <w:rPr>
          <w:rFonts w:hint="eastAsia" w:ascii="Arial" w:hAnsi="Arial" w:cs="Arial"/>
          <w:b/>
          <w:color w:val="000000"/>
          <w:sz w:val="32"/>
          <w:szCs w:val="32"/>
        </w:rPr>
        <w:t xml:space="preserve">4</w:t>
      </w:r>
      <w:r>
        <w:rPr>
          <w:rFonts w:ascii="Arial" w:hAnsi="Arial" w:cs="Arial"/>
          <w:b/>
          <w:color w:val="000000"/>
          <w:sz w:val="32"/>
          <w:szCs w:val="32"/>
        </w:rPr>
        <w:t xml:space="preserve">月</w:t>
      </w:r>
      <w:r/>
    </w:p>
    <w:p>
      <w:pPr>
        <w:pStyle w:val="822"/>
        <w:spacing w:before="120" w:beforeAutospacing="0" w:after="120" w:afterAutospacing="0" w:line="360" w:lineRule="auto"/>
      </w:pPr>
      <w:r>
        <w:rPr>
          <w:rFonts w:ascii="Arial" w:hAnsi="Arial" w:cs="Arial"/>
          <w:color w:val="000000"/>
        </w:rPr>
        <w:t xml:space="preserve">                        </w:t>
      </w:r>
      <w:r/>
    </w:p>
    <w:p>
      <w:pPr>
        <w:pStyle w:val="822"/>
        <w:jc w:val="center"/>
        <w:spacing w:before="120" w:beforeAutospacing="0" w:after="120" w:afterAutospacing="0" w:line="360" w:lineRule="auto"/>
      </w:pPr>
      <w:r>
        <w:t xml:space="preserve"> </w:t>
      </w:r>
      <w:r/>
    </w:p>
    <w:p>
      <w:pPr>
        <w:pStyle w:val="822"/>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523127445"/>
      <w:r/>
      <w:bookmarkStart w:id="2" w:name="_Toc16938516"/>
      <w:r/>
      <w:bookmarkStart w:id="3" w:name="_Toc120614210"/>
      <w:r/>
      <w:bookmarkStart w:id="4" w:name="_Toc513029200"/>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22"/>
        <w:jc w:val="both"/>
        <w:spacing w:beforeAutospacing="0" w:afterAutospacing="0" w:line="480" w:lineRule="auto"/>
      </w:pPr>
      <w:r>
        <w:t xml:space="preserve"> </w:t>
      </w:r>
      <w:r/>
    </w:p>
    <w:p>
      <w:pPr>
        <w:ind w:firstLine="900"/>
        <w:spacing w:line="700" w:lineRule="exact"/>
        <w:rPr>
          <w:rFonts w:ascii="Arial" w:hAnsi="Arial" w:eastAsia="黑体"/>
          <w:color w:val="000000"/>
          <w:sz w:val="36"/>
        </w:rPr>
        <w:outlineLvl w:val="0"/>
      </w:pPr>
      <w:r>
        <w:rPr>
          <w:rFonts w:hint="eastAsia" w:ascii="黑体" w:hAnsi="Arial" w:eastAsia="黑体"/>
          <w:color w:val="000000"/>
          <w:sz w:val="36"/>
        </w:rPr>
        <w:t xml:space="preserve">第一章招标公告</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第二章供应商须知</w:t>
      </w:r>
      <w:r/>
    </w:p>
    <w:p>
      <w:pPr>
        <w:spacing w:line="700" w:lineRule="exact"/>
        <w:rPr>
          <w:rFonts w:ascii="黑体" w:hAnsi="Showcard Gothic" w:eastAsia="黑体"/>
          <w:color w:val="000000"/>
          <w:sz w:val="36"/>
        </w:rPr>
        <w:outlineLvl w:val="0"/>
      </w:pPr>
      <w:r>
        <w:rPr>
          <w:rFonts w:hint="eastAsia" w:ascii="黑体" w:hAnsi="Arial" w:eastAsia="黑体"/>
          <w:color w:val="000000"/>
          <w:sz w:val="36"/>
        </w:rPr>
        <w:t xml:space="preserve">     第三章</w:t>
      </w:r>
      <w:r>
        <w:rPr>
          <w:rFonts w:hint="eastAsia" w:ascii="黑体" w:hAnsi="宋体" w:eastAsia="黑体"/>
          <w:color w:val="000000"/>
          <w:sz w:val="36"/>
        </w:rPr>
        <w:t xml:space="preserve">合同文本</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第四章</w:t>
      </w:r>
      <w:r>
        <w:rPr>
          <w:rFonts w:hint="eastAsia" w:ascii="黑体" w:hAnsi="宋体" w:eastAsia="黑体"/>
          <w:color w:val="000000"/>
          <w:sz w:val="36"/>
        </w:rPr>
        <w:t xml:space="preserve">采购需求</w:t>
      </w:r>
      <w:r/>
    </w:p>
    <w:p>
      <w:pPr>
        <w:spacing w:line="700" w:lineRule="exact"/>
        <w:rPr>
          <w:rFonts w:ascii="??_GB2312" w:hAnsi="Arial" w:eastAsia="黑体"/>
          <w:color w:val="000000"/>
          <w:sz w:val="36"/>
        </w:rPr>
        <w:outlineLvl w:val="0"/>
      </w:pPr>
      <w:r>
        <w:rPr>
          <w:rFonts w:hint="eastAsia" w:ascii="黑体" w:hAnsi="Arial" w:eastAsia="黑体"/>
          <w:color w:val="000000"/>
          <w:sz w:val="36"/>
        </w:rPr>
        <w:t xml:space="preserve">     第五章</w:t>
      </w:r>
      <w:r>
        <w:rPr>
          <w:rFonts w:hint="eastAsia" w:ascii="黑体" w:hAnsi="宋体" w:eastAsia="黑体"/>
          <w:bCs/>
          <w:color w:val="000000"/>
          <w:sz w:val="36"/>
          <w:szCs w:val="36"/>
        </w:rPr>
        <w:t xml:space="preserve">评标方法与评标标准</w:t>
      </w:r>
      <w:r/>
    </w:p>
    <w:p>
      <w:pPr>
        <w:ind w:firstLine="900"/>
        <w:jc w:val="left"/>
        <w:spacing w:line="700" w:lineRule="exact"/>
        <w:rPr>
          <w:color w:val="000000"/>
        </w:rPr>
        <w:outlineLvl w:val="0"/>
      </w:pPr>
      <w:r>
        <w:rPr>
          <w:rFonts w:hint="eastAsia" w:ascii="黑体" w:hAnsi="Arial" w:eastAsia="黑体"/>
          <w:color w:val="000000"/>
          <w:sz w:val="36"/>
        </w:rPr>
        <w:t xml:space="preserve">第六章</w:t>
      </w:r>
      <w:r>
        <w:rPr>
          <w:rFonts w:hint="eastAsia" w:ascii="黑体" w:hAnsi="宋体" w:eastAsia="黑体"/>
          <w:color w:val="000000"/>
          <w:sz w:val="36"/>
        </w:rPr>
        <w:t xml:space="preserve">  投标文件格式</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822"/>
        <w:ind w:firstLine="48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822"/>
        <w:ind w:firstLine="48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rPr>
        <w:t xml:space="preserve">滨海县民政局采购居家社区养老服务机构运营方项目</w:t>
      </w:r>
      <w:r>
        <w:rPr>
          <w:rFonts w:ascii="仿宋" w:hAnsi="仿宋" w:eastAsia="仿宋" w:cs="仿宋"/>
          <w:color w:val="000000"/>
          <w:sz w:val="28"/>
          <w:szCs w:val="28"/>
        </w:rPr>
        <w:t xml:space="preserve">招标项目的潜在</w:t>
      </w:r>
      <w:r>
        <w:rPr>
          <w:rFonts w:hint="eastAsia" w:ascii="仿宋" w:hAnsi="仿宋" w:eastAsia="仿宋" w:cs="仿宋"/>
          <w:color w:val="000000"/>
          <w:sz w:val="28"/>
          <w:szCs w:val="28"/>
        </w:rPr>
        <w:t xml:space="preserve">供应商可在中国政府采购网、江苏政府采购网、盐城市政府采购网</w:t>
      </w:r>
      <w:r>
        <w:rPr>
          <w:rFonts w:ascii="Times New Roman" w:hAnsi="Times New Roman"/>
          <w:color w:val="000000"/>
        </w:rPr>
        <w:t xml:space="preserve">获取招标文件</w:t>
      </w:r>
      <w:r>
        <w:rPr>
          <w:rFonts w:ascii="微软雅黑" w:hAnsi="微软雅黑" w:eastAsia="微软雅黑" w:cs="微软雅黑"/>
          <w:color w:val="333333"/>
          <w:sz w:val="27"/>
          <w:szCs w:val="27"/>
          <w:shd w:val="clear" w:color="auto" w:fill="ffffff"/>
        </w:rPr>
        <w:t xml:space="preserve"> </w:t>
      </w:r>
      <w:r>
        <w:rPr>
          <w:rFonts w:hint="eastAsia" w:ascii="仿宋" w:hAnsi="仿宋" w:eastAsia="仿宋" w:cs="仿宋"/>
          <w:color w:val="000000"/>
          <w:sz w:val="28"/>
          <w:szCs w:val="28"/>
        </w:rPr>
        <w:t xml:space="preserve">，并于</w:t>
      </w:r>
      <w:r>
        <w:rPr>
          <w:rFonts w:hint="eastAsia" w:ascii="仿宋" w:hAnsi="仿宋" w:eastAsia="仿宋" w:cs="仿宋"/>
          <w:color w:val="000000"/>
          <w:sz w:val="28"/>
          <w:szCs w:val="28"/>
          <w:u w:val="single"/>
        </w:rPr>
        <w:t xml:space="preserve">2025 年4月2</w:t>
      </w:r>
      <w:r>
        <w:rPr>
          <w:rFonts w:hint="eastAsia" w:ascii="仿宋" w:hAnsi="仿宋" w:eastAsia="仿宋" w:cs="仿宋"/>
          <w:color w:val="000000"/>
          <w:sz w:val="28"/>
          <w:szCs w:val="28"/>
          <w:u w:val="single"/>
        </w:rPr>
        <w:t xml:space="preserve">8</w:t>
      </w:r>
      <w:r>
        <w:rPr>
          <w:rFonts w:hint="eastAsia" w:ascii="仿宋" w:hAnsi="仿宋" w:eastAsia="仿宋" w:cs="仿宋"/>
          <w:color w:val="000000"/>
          <w:sz w:val="28"/>
          <w:szCs w:val="28"/>
          <w:u w:val="single"/>
        </w:rPr>
        <w:t xml:space="preserve">日15 点 00 分（</w:t>
      </w:r>
      <w:r>
        <w:rPr>
          <w:rFonts w:hint="eastAsia" w:ascii="仿宋" w:hAnsi="仿宋" w:eastAsia="仿宋" w:cs="仿宋"/>
          <w:color w:val="000000"/>
          <w:sz w:val="28"/>
          <w:szCs w:val="28"/>
        </w:rPr>
        <w:t xml:space="preserve">北京时间）前递交投标文件。</w:t>
      </w:r>
      <w:r/>
    </w:p>
    <w:p>
      <w:pPr>
        <w:pStyle w:val="822"/>
        <w:ind w:firstLine="498"/>
        <w:jc w:val="both"/>
        <w:keepLines/>
        <w:keepNext/>
        <w:spacing w:before="145" w:beforeAutospacing="0" w:after="145" w:afterAutospacing="0" w:line="360" w:lineRule="auto"/>
      </w:pPr>
      <w:r/>
      <w:bookmarkStart w:id="6" w:name="_Toc28359079"/>
      <w:r/>
      <w:bookmarkStart w:id="7" w:name="_Hlk24379207"/>
      <w:r/>
      <w:bookmarkStart w:id="8" w:name="_Toc38985263"/>
      <w:r/>
      <w:bookmarkStart w:id="9" w:name="_Toc35393621"/>
      <w:r/>
      <w:bookmarkStart w:id="10" w:name="_Toc28359002"/>
      <w:r/>
      <w:bookmarkStart w:id="11" w:name="_Toc35393790"/>
      <w:r>
        <w:rPr>
          <w:rFonts w:ascii="Times New Roman" w:hAnsi="Times New Roman"/>
          <w:b/>
          <w:color w:val="000000"/>
          <w:sz w:val="32"/>
          <w:szCs w:val="32"/>
        </w:rPr>
        <w:t xml:space="preserve">一、项目基本情况</w:t>
      </w:r>
      <w:bookmarkEnd w:id="6"/>
      <w:r/>
      <w:bookmarkEnd w:id="7"/>
      <w:r/>
      <w:bookmarkEnd w:id="8"/>
      <w:r/>
      <w:bookmarkEnd w:id="9"/>
      <w:r/>
      <w:bookmarkEnd w:id="10"/>
      <w:r/>
      <w:bookmarkEnd w:id="11"/>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1.项目编号：</w:t>
      </w:r>
      <w:r>
        <w:rPr>
          <w:rFonts w:ascii="Segoe UI" w:hAnsi="Segoe UI" w:cs="Segoe UI"/>
          <w:sz w:val="21"/>
          <w:szCs w:val="21"/>
          <w:shd w:val="clear" w:color="auto" w:fill="ffffff"/>
        </w:rPr>
        <w:t xml:space="preserve">JSZC-320922-HUAE-G2025-0001</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2.项目名称：滨海县民政局采购居家社区养老服务机构运营方项目</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3.采购方式：公开招标</w:t>
      </w:r>
      <w:r/>
    </w:p>
    <w:p>
      <w:pPr>
        <w:pStyle w:val="822"/>
        <w:ind w:firstLine="480"/>
        <w:jc w:val="both"/>
        <w:spacing w:beforeAutospacing="0" w:afterAutospacing="0"/>
        <w:rPr>
          <w:rFonts w:hint="eastAsia" w:ascii="仿宋" w:hAnsi="仿宋" w:eastAsia="仿宋" w:cs="仿宋"/>
          <w:color w:val="000000"/>
          <w:sz w:val="28"/>
          <w:szCs w:val="28"/>
          <w:shd w:val="clear" w:color="auto" w:fill="ffff00"/>
        </w:rPr>
      </w:pPr>
      <w:r>
        <w:rPr>
          <w:rFonts w:hint="eastAsia" w:ascii="仿宋" w:hAnsi="仿宋" w:eastAsia="仿宋" w:cs="仿宋"/>
          <w:color w:val="000000"/>
          <w:sz w:val="28"/>
          <w:szCs w:val="28"/>
        </w:rPr>
        <w:t xml:space="preserve">4.预算金额：120万元</w:t>
      </w:r>
      <w:r/>
    </w:p>
    <w:p>
      <w:pPr>
        <w:pStyle w:val="822"/>
        <w:ind w:firstLine="480"/>
        <w:jc w:val="both"/>
        <w:spacing w:beforeAutospacing="0" w:afterAutospacing="0"/>
        <w:rPr>
          <w:rFonts w:hint="eastAsia" w:ascii="仿宋" w:hAnsi="仿宋" w:eastAsia="仿宋" w:cs="仿宋"/>
          <w:color w:val="ff0000"/>
          <w:sz w:val="28"/>
          <w:szCs w:val="28"/>
          <w:shd w:val="clear" w:color="auto" w:fill="ffff00"/>
        </w:rPr>
      </w:pPr>
      <w:r>
        <w:rPr>
          <w:rFonts w:hint="eastAsia" w:ascii="仿宋" w:hAnsi="仿宋" w:eastAsia="仿宋" w:cs="仿宋"/>
          <w:color w:val="333333"/>
          <w:sz w:val="28"/>
          <w:szCs w:val="28"/>
          <w:shd w:val="clear" w:color="auto" w:fill="ffffff"/>
        </w:rPr>
        <w:t xml:space="preserve">5.最高限价：120 万元；（其中包件一最高限价：40万元；包件二最高限价：40万元；包件三最高限价：40万元）。供应商投标时不得浮动固定报价，如供应商投标时上浮或下浮固定报价，则投标文件作无效标处理。</w:t>
      </w:r>
      <w:r>
        <w:rPr>
          <w:rFonts w:hint="eastAsia" w:ascii="仿宋" w:hAnsi="仿宋" w:eastAsia="仿宋" w:cs="仿宋"/>
          <w:color w:val="ff0000"/>
          <w:sz w:val="28"/>
          <w:szCs w:val="28"/>
          <w:shd w:val="clear" w:color="auto" w:fill="ffffff"/>
        </w:rPr>
        <w:t xml:space="preserve">（投标时均按照固定价进行报价，结算时，按“滨海县居家社区养老服务机构建设和运营补助实施细则</w:t>
      </w:r>
      <w:r>
        <w:rPr>
          <w:rFonts w:hint="eastAsia" w:ascii="宋体" w:hAnsi="宋体" w:cs="楷体"/>
          <w:color w:val="ff0000"/>
        </w:rPr>
        <w:t xml:space="preserve">（试行）的通知</w:t>
      </w:r>
      <w:r>
        <w:rPr>
          <w:rFonts w:hint="eastAsia" w:ascii="仿宋" w:hAnsi="仿宋" w:eastAsia="仿宋" w:cs="仿宋"/>
          <w:color w:val="ff0000"/>
          <w:sz w:val="28"/>
          <w:szCs w:val="28"/>
          <w:shd w:val="clear" w:color="auto" w:fill="ffffff"/>
        </w:rPr>
        <w:t xml:space="preserve">”考评得分情况发放补助款项，具体考评内容详见附表）。</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6.采购需求：</w:t>
      </w:r>
      <w:bookmarkStart w:id="12" w:name="OLE_LINK2"/>
      <w:r>
        <w:rPr>
          <w:rFonts w:hint="eastAsia" w:ascii="仿宋" w:hAnsi="仿宋" w:eastAsia="仿宋" w:cs="仿宋"/>
          <w:color w:val="000000"/>
          <w:sz w:val="28"/>
          <w:szCs w:val="28"/>
        </w:rPr>
        <w:t xml:space="preserve">运营指定居家社区养老服务机构，为周边老年人提供日间照料、文体娱乐、精神慰藉等居家社区养老服务（具体内容详见招标文件项目需求）</w:t>
      </w:r>
      <w:bookmarkEnd w:id="12"/>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7.合同履行期限：二年（开始实施时间以居家社区养老服务机构交付时间为准）。</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8.服务标准：合格。</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9.项目地点：采购人指定地点。</w:t>
      </w:r>
      <w:r/>
    </w:p>
    <w:p>
      <w:pPr>
        <w:pStyle w:val="822"/>
        <w:ind w:firstLine="480"/>
        <w:jc w:val="both"/>
        <w:spacing w:beforeAutospacing="0" w:afterAutospacing="0"/>
        <w:rPr>
          <w:rFonts w:hint="eastAsia" w:ascii="仿宋" w:hAnsi="仿宋" w:eastAsia="仿宋" w:cs="仿宋"/>
          <w:color w:val="000000"/>
          <w:sz w:val="28"/>
          <w:szCs w:val="28"/>
        </w:rPr>
      </w:pPr>
      <w:r/>
      <w:bookmarkStart w:id="13" w:name="_Toc28359080"/>
      <w:r/>
      <w:bookmarkStart w:id="14" w:name="_Toc35393791"/>
      <w:r/>
      <w:bookmarkStart w:id="15" w:name="_Toc35393622"/>
      <w:r/>
      <w:bookmarkStart w:id="16" w:name="_Toc38985264"/>
      <w:r/>
      <w:bookmarkStart w:id="17" w:name="_Toc28359003"/>
      <w:r>
        <w:rPr>
          <w:rFonts w:hint="eastAsia" w:ascii="宋体" w:hAnsi="宋体" w:cs="宋体"/>
        </w:rPr>
        <w:t xml:space="preserve">10.</w:t>
      </w:r>
      <w:r>
        <w:rPr>
          <w:rFonts w:hint="eastAsia" w:ascii="仿宋" w:hAnsi="仿宋" w:eastAsia="仿宋" w:cs="仿宋"/>
          <w:color w:val="000000"/>
          <w:sz w:val="28"/>
          <w:szCs w:val="28"/>
        </w:rPr>
        <w:t xml:space="preserve"> 包件划分：本项目共分为3个包件。其中包件一：颐高唐柠府居家养老服务站；包件二：华芳颐景花园居家养老服务站；包件三：御景花园居家养老服务站。 </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11.本项目（是/否）接受联合体投标： 否  。</w:t>
      </w:r>
      <w:r/>
    </w:p>
    <w:p>
      <w:pPr>
        <w:pStyle w:val="822"/>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二、申请人的资格要求：</w:t>
      </w:r>
      <w:bookmarkEnd w:id="13"/>
      <w:r/>
      <w:bookmarkEnd w:id="14"/>
      <w:r/>
      <w:bookmarkEnd w:id="15"/>
      <w:r/>
      <w:bookmarkEnd w:id="16"/>
      <w:r/>
      <w:bookmarkEnd w:id="17"/>
      <w:r/>
      <w:r/>
    </w:p>
    <w:p>
      <w:pPr>
        <w:pStyle w:val="822"/>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822"/>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1.2上一年度的财务状况报表（至少提供资产负债表、利润表、现金流量表，供应商成立不满一年无需提供）；</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822"/>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2.落实政府采购政策需满足的资格要求：</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专门面向中小企业采购，不接受非中小型企业参与本项目投标。采购标的的所属行业为其他未列明行业，供应商需按照招标文件的要求提供相应的《企业声明函》。企业标准请参照《关于印发中小企业划型标准规定的通知》（工信部联企业〔2011〕300号）文件规定自行填写。 </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3.本项目的特定资格要求：</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3.1在信用中国网站查询，无被列入失信被执行人、重大税收违法案件当事人名单、政府采购严重失信行为记录名单及其他不符合《中华人民共和国政府采购法》第二十二条规定条件的信用记录。</w:t>
      </w:r>
      <w:r/>
    </w:p>
    <w:p>
      <w:pPr>
        <w:pStyle w:val="822"/>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3.2单位负责人为同一人或者存在直接控股、管理关系的不同供应商，不得参加同一合同项下的政府采购活动。</w:t>
      </w:r>
      <w:r/>
    </w:p>
    <w:p>
      <w:pPr>
        <w:pStyle w:val="822"/>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三、获取招标文件</w:t>
      </w:r>
      <w:r/>
    </w:p>
    <w:p>
      <w:pPr>
        <w:pStyle w:val="822"/>
        <w:ind w:firstLine="540"/>
        <w:jc w:val="both"/>
        <w:spacing w:beforeAutospacing="0" w:afterAutospacing="0" w:line="23" w:lineRule="atLeast"/>
        <w:shd w:val="clear" w:color="auto" w:fill="ffffff"/>
        <w:widowControl/>
        <w:rPr>
          <w:rFonts w:hint="eastAsia" w:ascii="仿宋" w:hAnsi="仿宋" w:eastAsia="仿宋" w:cs="仿宋"/>
          <w:color w:val="000000"/>
          <w:sz w:val="28"/>
          <w:szCs w:val="28"/>
        </w:rPr>
      </w:pPr>
      <w:r/>
      <w:bookmarkStart w:id="18" w:name="_Toc28359082"/>
      <w:r/>
      <w:bookmarkStart w:id="19" w:name="_Toc28359005"/>
      <w:r/>
      <w:bookmarkStart w:id="20" w:name="_Toc38985266"/>
      <w:r/>
      <w:bookmarkStart w:id="21" w:name="_Toc35393793"/>
      <w:r/>
      <w:bookmarkStart w:id="22" w:name="_Toc35393624"/>
      <w:r>
        <w:rPr>
          <w:rFonts w:hint="eastAsia" w:ascii="仿宋" w:hAnsi="仿宋" w:eastAsia="仿宋" w:cs="仿宋"/>
          <w:color w:val="000000"/>
          <w:sz w:val="28"/>
          <w:szCs w:val="28"/>
        </w:rPr>
        <w:t xml:space="preserve">1.时间：</w:t>
      </w:r>
      <w:bookmarkEnd w:id="18"/>
      <w:r/>
      <w:bookmarkEnd w:id="19"/>
      <w:r/>
      <w:bookmarkEnd w:id="20"/>
      <w:r/>
      <w:bookmarkEnd w:id="21"/>
      <w:r/>
      <w:bookmarkEnd w:id="22"/>
      <w:r>
        <w:rPr>
          <w:rFonts w:hint="eastAsia" w:ascii="仿宋" w:hAnsi="仿宋" w:eastAsia="仿宋" w:cs="仿宋"/>
          <w:color w:val="333333"/>
          <w:sz w:val="28"/>
          <w:szCs w:val="28"/>
          <w:u w:val="single"/>
          <w:shd w:val="clear" w:color="auto" w:fill="ffffff"/>
        </w:rPr>
        <w:t xml:space="preserve">　2025 年 4月 </w:t>
      </w:r>
      <w:r>
        <w:rPr>
          <w:rFonts w:hint="eastAsia" w:ascii="仿宋" w:hAnsi="仿宋" w:eastAsia="仿宋" w:cs="仿宋"/>
          <w:color w:val="333333"/>
          <w:sz w:val="28"/>
          <w:szCs w:val="28"/>
          <w:u w:val="single"/>
          <w:shd w:val="clear" w:color="auto" w:fill="ffffff"/>
        </w:rPr>
        <w:t xml:space="preserve">7</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single"/>
          <w:shd w:val="clear" w:color="auto" w:fill="ffffff"/>
        </w:rPr>
        <w:t xml:space="preserve"> 2025  年 4 月 </w:t>
      </w:r>
      <w:r>
        <w:rPr>
          <w:rFonts w:hint="eastAsia" w:ascii="仿宋" w:hAnsi="仿宋" w:eastAsia="仿宋" w:cs="仿宋"/>
          <w:color w:val="333333"/>
          <w:sz w:val="28"/>
          <w:szCs w:val="28"/>
          <w:u w:val="single"/>
          <w:shd w:val="clear" w:color="auto" w:fill="ffffff"/>
        </w:rPr>
        <w:t xml:space="preserve">14</w:t>
      </w:r>
      <w:r>
        <w:rPr>
          <w:rFonts w:hint="eastAsia" w:ascii="仿宋" w:hAnsi="仿宋" w:eastAsia="仿宋" w:cs="仿宋"/>
          <w:color w:val="333333"/>
          <w:sz w:val="28"/>
          <w:szCs w:val="28"/>
          <w:u w:val="single"/>
          <w:shd w:val="clear" w:color="auto" w:fill="ffffff"/>
        </w:rPr>
        <w:t xml:space="preserve"> 日（</w:t>
      </w:r>
      <w:r>
        <w:rPr>
          <w:rFonts w:hint="eastAsia" w:ascii="仿宋" w:hAnsi="仿宋" w:eastAsia="仿宋" w:cs="仿宋"/>
          <w:i/>
          <w:iCs/>
          <w:color w:val="333333"/>
          <w:sz w:val="28"/>
          <w:szCs w:val="28"/>
          <w:u w:val="single"/>
          <w:shd w:val="clear" w:color="auto" w:fill="ffffff"/>
        </w:rPr>
        <w:t xml:space="preserve">提供期限自本公告发布之日起不得少于5个工作日</w:t>
      </w:r>
      <w:r>
        <w:rPr>
          <w:rFonts w:hint="eastAsia" w:ascii="仿宋" w:hAnsi="仿宋" w:eastAsia="仿宋" w:cs="仿宋"/>
          <w:color w:val="333333"/>
          <w:sz w:val="28"/>
          <w:szCs w:val="28"/>
          <w:u w:val="single"/>
          <w:shd w:val="clear" w:color="auto" w:fill="ffffff"/>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每天上午00：00-12：00，下午12：00-23：59（</w:t>
      </w:r>
      <w:r>
        <w:rPr>
          <w:rFonts w:hint="eastAsia" w:ascii="仿宋" w:hAnsi="仿宋" w:eastAsia="仿宋" w:cs="仿宋"/>
          <w:color w:val="333333"/>
          <w:sz w:val="28"/>
          <w:szCs w:val="28"/>
          <w:shd w:val="clear" w:color="auto" w:fill="ffffff"/>
        </w:rPr>
        <w:t xml:space="preserve">北京时间，法定节假日除外 ）</w:t>
      </w:r>
      <w:r>
        <w:rPr>
          <w:rFonts w:hint="eastAsia" w:ascii="仿宋" w:hAnsi="仿宋" w:eastAsia="仿宋" w:cs="仿宋"/>
          <w:color w:val="000000"/>
          <w:sz w:val="28"/>
          <w:szCs w:val="28"/>
        </w:rPr>
        <w:t xml:space="preserve">。</w:t>
      </w:r>
      <w:r/>
    </w:p>
    <w:p>
      <w:pPr>
        <w:ind w:firstLine="480"/>
        <w:spacing w:line="500" w:lineRule="exact"/>
        <w:tabs>
          <w:tab w:val="left" w:pos="90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2.地点：供应商完成注册并办理CA证书后登录“苏采云”系统，自行免费下载本项目招标文件</w:t>
      </w:r>
      <w:r/>
    </w:p>
    <w:p>
      <w:pPr>
        <w:ind w:firstLine="480"/>
        <w:spacing w:line="500" w:lineRule="exact"/>
        <w:tabs>
          <w:tab w:val="left" w:pos="90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3.方式：登录“苏采云”系统</w:t>
      </w:r>
      <w:r/>
    </w:p>
    <w:p>
      <w:pPr>
        <w:ind w:firstLine="480"/>
        <w:jc w:val="left"/>
        <w:spacing w:line="560" w:lineRule="exact"/>
        <w:widowControl/>
      </w:pPr>
      <w:r>
        <w:rPr>
          <w:rFonts w:hint="eastAsia" w:ascii="仿宋" w:hAnsi="仿宋" w:eastAsia="仿宋" w:cs="仿宋"/>
          <w:color w:val="000000"/>
          <w:sz w:val="28"/>
          <w:szCs w:val="28"/>
        </w:rPr>
        <w:t xml:space="preserve">4.售价：0元</w:t>
      </w:r>
      <w:r/>
    </w:p>
    <w:p>
      <w:pPr>
        <w:pStyle w:val="822"/>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822"/>
        <w:ind w:firstLine="540"/>
        <w:jc w:val="both"/>
        <w:spacing w:beforeAutospacing="0" w:afterAutospacing="0" w:line="23" w:lineRule="atLeast"/>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rPr>
        <w:t xml:space="preserve">1.时间：</w:t>
      </w:r>
      <w:r>
        <w:rPr>
          <w:rFonts w:hint="eastAsia" w:ascii="仿宋" w:hAnsi="仿宋" w:eastAsia="仿宋" w:cs="仿宋"/>
          <w:color w:val="000000"/>
          <w:sz w:val="28"/>
          <w:szCs w:val="28"/>
          <w:u w:val="single"/>
        </w:rPr>
        <w:t xml:space="preserve">2025 年4月2</w:t>
      </w:r>
      <w:r>
        <w:rPr>
          <w:rFonts w:hint="eastAsia" w:ascii="仿宋" w:hAnsi="仿宋" w:eastAsia="仿宋" w:cs="仿宋"/>
          <w:color w:val="000000"/>
          <w:sz w:val="28"/>
          <w:szCs w:val="28"/>
          <w:u w:val="single"/>
        </w:rPr>
        <w:t xml:space="preserve">8</w:t>
      </w:r>
      <w:r>
        <w:rPr>
          <w:rFonts w:hint="eastAsia" w:ascii="仿宋" w:hAnsi="仿宋" w:eastAsia="仿宋" w:cs="仿宋"/>
          <w:color w:val="000000"/>
          <w:sz w:val="28"/>
          <w:szCs w:val="28"/>
          <w:u w:val="single"/>
        </w:rPr>
        <w:t xml:space="preserve">日15 点 00 分</w:t>
      </w:r>
      <w:r>
        <w:rPr>
          <w:rFonts w:hint="eastAsia" w:ascii="仿宋" w:hAnsi="仿宋" w:eastAsia="仿宋" w:cs="仿宋"/>
          <w:color w:val="000000"/>
          <w:sz w:val="28"/>
          <w:szCs w:val="28"/>
        </w:rPr>
        <w:t xml:space="preserve">（北京时间）</w:t>
      </w:r>
      <w:r/>
    </w:p>
    <w:p>
      <w:pPr>
        <w:pStyle w:val="822"/>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ff0000"/>
          <w:sz w:val="28"/>
          <w:szCs w:val="28"/>
        </w:rPr>
        <w:t xml:space="preserve">“苏采云”政府采购交易系统网上开标大厅。</w:t>
      </w:r>
      <w:r/>
    </w:p>
    <w:p>
      <w:pPr>
        <w:pStyle w:val="822"/>
        <w:ind w:firstLine="498"/>
        <w:jc w:val="both"/>
        <w:keepLines/>
        <w:keepNext/>
        <w:spacing w:before="145" w:beforeAutospacing="0" w:after="145" w:afterAutospacing="0" w:line="360" w:lineRule="auto"/>
      </w:pPr>
      <w:r/>
      <w:bookmarkStart w:id="23" w:name="_Toc35393625"/>
      <w:r/>
      <w:bookmarkStart w:id="24" w:name="_Toc28359084"/>
      <w:r/>
      <w:bookmarkStart w:id="25" w:name="_Toc28359007"/>
      <w:r/>
      <w:bookmarkStart w:id="26" w:name="_Toc35393794"/>
      <w:r/>
      <w:bookmarkStart w:id="27" w:name="_Toc38985267"/>
      <w:r>
        <w:rPr>
          <w:rFonts w:ascii="Times New Roman" w:hAnsi="Times New Roman"/>
          <w:b/>
          <w:color w:val="000000"/>
          <w:sz w:val="32"/>
          <w:szCs w:val="32"/>
        </w:rPr>
        <w:t xml:space="preserve">五、公告期限</w:t>
      </w:r>
      <w:bookmarkEnd w:id="23"/>
      <w:r/>
      <w:bookmarkEnd w:id="24"/>
      <w:r/>
      <w:bookmarkEnd w:id="25"/>
      <w:r/>
      <w:bookmarkEnd w:id="26"/>
      <w:r/>
      <w:bookmarkEnd w:id="27"/>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28" w:name="_Toc35393795"/>
      <w:r/>
      <w:bookmarkStart w:id="29" w:name="_Toc38985268"/>
      <w:r/>
      <w:bookmarkStart w:id="30" w:name="_Toc35393626"/>
      <w:r>
        <w:rPr>
          <w:rFonts w:hint="eastAsia" w:ascii="仿宋" w:hAnsi="仿宋" w:eastAsia="仿宋" w:cs="仿宋"/>
          <w:color w:val="333333"/>
          <w:sz w:val="28"/>
          <w:szCs w:val="28"/>
          <w:shd w:val="clear" w:color="auto" w:fill="ffffff"/>
        </w:rPr>
        <w:t xml:space="preserve">自本公告发布之日起5个工作日。</w:t>
      </w:r>
      <w:bookmarkEnd w:id="28"/>
      <w:r/>
      <w:bookmarkEnd w:id="29"/>
      <w:r/>
      <w:bookmarkEnd w:id="30"/>
      <w:r/>
      <w:r/>
    </w:p>
    <w:p>
      <w:pPr>
        <w:pStyle w:val="822"/>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highlight w:val="red"/>
          <w:shd w:val="clear" w:color="auto" w:fill="ffffff"/>
        </w:rPr>
      </w:pPr>
      <w:r/>
      <w:bookmarkStart w:id="31"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w:t>
      </w:r>
      <w:r>
        <w:rPr>
          <w:rFonts w:hint="eastAsia" w:ascii="仿宋" w:hAnsi="仿宋" w:eastAsia="仿宋" w:cs="仿宋"/>
          <w:color w:val="333333"/>
          <w:sz w:val="28"/>
          <w:szCs w:val="28"/>
          <w:highlight w:val="red"/>
          <w:shd w:val="clear" w:color="auto" w:fill="ffffff"/>
        </w:rPr>
        <w:t xml:space="preserve">在盐城市政府采购网点击【办事指南】-【供应商参与政府采购活动相关资料】。</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highlight w:val="red"/>
          <w:shd w:val="clear" w:color="auto" w:fill="ffffff"/>
        </w:rPr>
      </w:pPr>
      <w:r>
        <w:rPr>
          <w:rFonts w:hint="eastAsia" w:ascii="仿宋" w:hAnsi="仿宋" w:eastAsia="仿宋" w:cs="仿宋"/>
          <w:color w:val="333333"/>
          <w:sz w:val="28"/>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w:t>
      </w:r>
      <w:r>
        <w:rPr>
          <w:rFonts w:hint="eastAsia" w:ascii="仿宋" w:hAnsi="仿宋" w:eastAsia="仿宋" w:cs="仿宋"/>
          <w:color w:val="333333"/>
          <w:sz w:val="28"/>
          <w:szCs w:val="28"/>
          <w:highlight w:val="red"/>
          <w:shd w:val="clear" w:color="auto" w:fill="ffffff"/>
        </w:rPr>
        <w:t xml:space="preserve">在盐城市政府采购网点击【办事指南】-【供应商参与政府采购活动相关资料】。</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2.有关本次招标的事项若存在变动或修改，敬请及时关注盐城市政府采购代理机构在“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”、“江苏政府采购网”、“盐城市政府采购网”发布的更正公告。</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3.本次招标不收取投标保证金，不收取质量保证金。</w:t>
      </w:r>
      <w:r/>
    </w:p>
    <w:p>
      <w:pPr>
        <w:pStyle w:val="809"/>
        <w:ind w:firstLine="560"/>
        <w:jc w:val="both"/>
        <w:spacing w:beforeAutospacing="0" w:afterAutospacing="0" w:line="23" w:lineRule="atLeast"/>
        <w:shd w:val="clear" w:color="auto" w:fill="ffffff"/>
        <w:widowControl/>
        <w:rPr>
          <w:rFonts w:ascii="微软雅黑" w:hAnsi="微软雅黑" w:eastAsia="微软雅黑" w:cs="微软雅黑"/>
          <w:b w:val="0"/>
          <w:bCs w:val="0"/>
          <w:color w:val="333333"/>
          <w:sz w:val="27"/>
          <w:szCs w:val="27"/>
        </w:rPr>
      </w:pPr>
      <w:r>
        <w:rPr>
          <w:rFonts w:ascii="黑体" w:eastAsia="黑体" w:cs="黑体"/>
          <w:b w:val="0"/>
          <w:bCs w:val="0"/>
          <w:color w:val="333333"/>
          <w:sz w:val="28"/>
          <w:szCs w:val="28"/>
          <w:shd w:val="clear" w:color="auto" w:fill="ffffff"/>
        </w:rPr>
        <w:t xml:space="preserve">七、对本次招标提出询问，请按以下方式联系。</w:t>
      </w:r>
      <w:bookmarkEnd w:id="31"/>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ascii="仿宋" w:hAnsi="仿宋" w:eastAsia="仿宋" w:cs="仿宋"/>
          <w:color w:val="000000"/>
          <w:sz w:val="28"/>
          <w:szCs w:val="28"/>
        </w:rPr>
        <w:t xml:space="preserve">  </w:t>
      </w:r>
      <w:bookmarkStart w:id="32" w:name="_Toc28359009"/>
      <w:r>
        <w:rPr>
          <w:rFonts w:hint="eastAsia" w:ascii="仿宋" w:hAnsi="仿宋" w:eastAsia="仿宋" w:cs="仿宋"/>
          <w:color w:val="333333"/>
          <w:sz w:val="28"/>
          <w:szCs w:val="28"/>
          <w:shd w:val="clear" w:color="auto" w:fill="ffffff"/>
        </w:rPr>
        <w:t xml:space="preserve">1.采购人信息</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 滨海县民政局  </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地址： 滨海县港城路419号水务大厦901室  </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 吴女士             </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联系方式：15365753729            </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2.采购代理机构信息</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 华尔咨项目管理（江苏）有限公司</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 址： 盐城市滨海县海滨大道168号</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联系人：钱先生                     </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w:t>
      </w:r>
      <w:bookmarkStart w:id="33" w:name="OLE_LINK1"/>
      <w:r/>
      <w:bookmarkStart w:id="34" w:name="_Toc28359087"/>
      <w:r/>
      <w:bookmarkStart w:id="35" w:name="_Toc28359010"/>
      <w:r>
        <w:rPr>
          <w:rFonts w:hint="eastAsia" w:ascii="仿宋" w:hAnsi="仿宋" w:eastAsia="仿宋" w:cs="仿宋"/>
          <w:color w:val="333333"/>
          <w:sz w:val="28"/>
          <w:szCs w:val="28"/>
          <w:shd w:val="clear" w:color="auto" w:fill="ffffff"/>
        </w:rPr>
        <w:t xml:space="preserve">13914632977</w:t>
      </w:r>
      <w:bookmarkEnd w:id="33"/>
      <w:r>
        <w:rPr>
          <w:rFonts w:hint="eastAsia" w:ascii="仿宋" w:hAnsi="仿宋" w:eastAsia="仿宋" w:cs="仿宋"/>
          <w:color w:val="333333"/>
          <w:sz w:val="28"/>
          <w:szCs w:val="28"/>
          <w:shd w:val="clear" w:color="auto" w:fill="ffffff"/>
        </w:rPr>
        <w:t xml:space="preserve">       </w:t>
      </w:r>
      <w:bookmarkEnd w:id="34"/>
      <w:r/>
      <w:bookmarkEnd w:id="35"/>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36" w:name="_Toc28359021"/>
      <w:r>
        <w:rPr>
          <w:rFonts w:hint="eastAsia" w:ascii="仿宋" w:hAnsi="仿宋" w:eastAsia="仿宋" w:cs="仿宋"/>
          <w:color w:val="333333"/>
          <w:sz w:val="28"/>
          <w:szCs w:val="28"/>
          <w:shd w:val="clear" w:color="auto" w:fill="ffffff"/>
        </w:rPr>
        <w:t xml:space="preserve">3.</w:t>
      </w:r>
      <w:bookmarkEnd w:id="36"/>
      <w:r>
        <w:rPr>
          <w:rFonts w:hint="eastAsia" w:ascii="仿宋" w:hAnsi="仿宋" w:eastAsia="仿宋" w:cs="仿宋"/>
          <w:color w:val="333333"/>
          <w:sz w:val="28"/>
          <w:szCs w:val="28"/>
          <w:shd w:val="clear" w:color="auto" w:fill="ffffff"/>
        </w:rPr>
        <w:t xml:space="preserve">项目联系方式</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项目联系人：钱先生 王女士</w:t>
      </w:r>
      <w:r/>
    </w:p>
    <w:p>
      <w:pPr>
        <w:pStyle w:val="822"/>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电　　 话：13914632977 18036330606　　　　　　　　　　　　</w:t>
      </w:r>
      <w:r/>
    </w:p>
    <w:p>
      <w:r>
        <w:t xml:space="preserve"> </w:t>
      </w:r>
      <w:r/>
    </w:p>
    <w:p>
      <w:pPr>
        <w:pStyle w:val="822"/>
        <w:ind w:right="840"/>
        <w:jc w:val="both"/>
        <w:spacing w:beforeAutospacing="0" w:afterAutospacing="0"/>
      </w:pPr>
      <w:r>
        <w:rPr>
          <w:rFonts w:hint="eastAsia" w:ascii="宋体" w:hAnsi="宋体" w:eastAsia="宋体" w:cs="宋体"/>
          <w:color w:val="000000"/>
        </w:rPr>
        <w:br w:type="page" w:clear="all"/>
      </w:r>
      <w:r>
        <w:rPr>
          <w:rFonts w:hint="eastAsia" w:ascii="宋体" w:hAnsi="宋体" w:eastAsia="宋体" w:cs="宋体"/>
          <w:color w:val="000000"/>
        </w:rPr>
        <w:t xml:space="preserve"> </w:t>
      </w:r>
      <w:r/>
    </w:p>
    <w:p>
      <w:pPr>
        <w:pStyle w:val="822"/>
        <w:ind w:firstLine="2429"/>
        <w:jc w:val="both"/>
        <w:keepLines/>
        <w:keepNext/>
        <w:spacing w:before="260" w:beforeAutospacing="0" w:after="260" w:afterAutospacing="0" w:line="415" w:lineRule="auto"/>
      </w:pPr>
      <w:r/>
      <w:bookmarkStart w:id="37" w:name="_Toc120614211"/>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8" w:name="_Toc20823274"/>
      <w:r/>
      <w:bookmarkStart w:id="39" w:name="_Toc513029202"/>
      <w:r/>
      <w:bookmarkStart w:id="40" w:name="_Toc120614213"/>
      <w:r/>
      <w:bookmarkStart w:id="41" w:name="_Toc16938518"/>
      <w:r/>
      <w:bookmarkEnd w:id="37"/>
      <w:r>
        <w:rPr>
          <w:rFonts w:hint="eastAsia" w:ascii="黑体" w:hAnsi="宋体" w:eastAsia="黑体" w:cs="黑体"/>
          <w:b/>
          <w:color w:val="000000"/>
          <w:sz w:val="44"/>
          <w:szCs w:val="44"/>
        </w:rPr>
        <w:t xml:space="preserve">供应商须知</w:t>
      </w:r>
      <w:bookmarkEnd w:id="38"/>
      <w:r/>
      <w:bookmarkEnd w:id="39"/>
      <w:r/>
      <w:bookmarkEnd w:id="40"/>
      <w:r/>
      <w:bookmarkEnd w:id="41"/>
      <w:r/>
      <w:r/>
    </w:p>
    <w:p>
      <w:pPr>
        <w:pStyle w:val="822"/>
        <w:ind w:firstLine="498"/>
        <w:jc w:val="both"/>
        <w:keepLines/>
        <w:keepNext/>
        <w:spacing w:before="145" w:beforeAutospacing="0" w:after="145" w:afterAutospacing="0" w:line="360" w:lineRule="auto"/>
      </w:pPr>
      <w:r/>
      <w:bookmarkStart w:id="42" w:name="_Toc16938519"/>
      <w:r/>
      <w:bookmarkStart w:id="43" w:name="_Toc513029203"/>
      <w:r/>
      <w:bookmarkStart w:id="44" w:name="_Toc120614214"/>
      <w:r/>
      <w:bookmarkStart w:id="45" w:name="_Toc20823275"/>
      <w:r>
        <w:rPr>
          <w:rFonts w:ascii="Times New Roman" w:hAnsi="Times New Roman"/>
          <w:b/>
          <w:color w:val="000000"/>
          <w:sz w:val="32"/>
          <w:szCs w:val="32"/>
        </w:rPr>
        <w:t xml:space="preserve">一、总则</w:t>
      </w:r>
      <w:bookmarkEnd w:id="42"/>
      <w:r/>
      <w:bookmarkEnd w:id="43"/>
      <w:r/>
      <w:bookmarkEnd w:id="44"/>
      <w:r/>
      <w:bookmarkEnd w:id="45"/>
      <w:r/>
      <w:r/>
    </w:p>
    <w:p>
      <w:pPr>
        <w:pStyle w:val="822"/>
        <w:ind w:firstLine="420"/>
        <w:jc w:val="both"/>
        <w:keepLines/>
        <w:keepNext/>
        <w:spacing w:beforeAutospacing="0" w:afterAutospacing="0"/>
      </w:pPr>
      <w:r/>
      <w:bookmarkStart w:id="46" w:name="_Toc16938520"/>
      <w:r/>
      <w:bookmarkStart w:id="47" w:name="_Toc458694821"/>
      <w:r/>
      <w:bookmarkStart w:id="48" w:name="_Toc513029204"/>
      <w:r/>
      <w:bookmarkStart w:id="49" w:name="_Toc20823276"/>
      <w:r/>
      <w:bookmarkStart w:id="50" w:name="_Hlt16619475"/>
      <w:r>
        <w:rPr>
          <w:rFonts w:ascii="Arial" w:hAnsi="Arial" w:cs="Arial"/>
          <w:color w:val="000000"/>
          <w:sz w:val="28"/>
          <w:szCs w:val="28"/>
        </w:rPr>
        <w:t xml:space="preserve">1</w:t>
      </w:r>
      <w:bookmarkEnd w:id="46"/>
      <w:r>
        <w:rPr>
          <w:rFonts w:ascii="Arial" w:hAnsi="Arial" w:cs="Arial"/>
          <w:color w:val="000000"/>
          <w:sz w:val="28"/>
          <w:szCs w:val="28"/>
        </w:rPr>
        <w:t xml:space="preserve">、招标方式</w:t>
      </w:r>
      <w:bookmarkEnd w:id="47"/>
      <w:r/>
      <w:bookmarkEnd w:id="48"/>
      <w:r/>
      <w:bookmarkEnd w:id="49"/>
      <w:r/>
      <w:r/>
    </w:p>
    <w:p>
      <w:pPr>
        <w:pStyle w:val="822"/>
        <w:ind w:firstLine="480"/>
        <w:jc w:val="both"/>
        <w:spacing w:beforeAutospacing="0" w:afterAutospacing="0" w:line="0" w:lineRule="atLeast"/>
      </w:pPr>
      <w:r>
        <w:rPr>
          <w:rFonts w:hint="eastAsia" w:ascii="宋体" w:hAnsi="宋体" w:eastAsia="宋体" w:cs="宋体"/>
          <w:color w:val="000000"/>
        </w:rPr>
        <w:t xml:space="preserve">1.1本次招标采取公开招标方式，本招标文件仅适用于招标公告中所述项目。</w:t>
      </w:r>
      <w:r/>
    </w:p>
    <w:p>
      <w:pPr>
        <w:pStyle w:val="822"/>
        <w:ind w:firstLine="420"/>
        <w:jc w:val="both"/>
        <w:keepLines/>
        <w:keepNext/>
        <w:spacing w:beforeAutospacing="0" w:afterAutospacing="0"/>
      </w:pPr>
      <w:r/>
      <w:bookmarkStart w:id="51" w:name="_Toc20823277"/>
      <w:r/>
      <w:bookmarkStart w:id="52" w:name="_Toc513029205"/>
      <w:r/>
      <w:bookmarkStart w:id="53" w:name="_Toc16938521"/>
      <w:r>
        <w:rPr>
          <w:rFonts w:ascii="Arial" w:hAnsi="Arial" w:cs="Arial"/>
          <w:color w:val="000000"/>
          <w:sz w:val="28"/>
          <w:szCs w:val="28"/>
        </w:rPr>
        <w:t xml:space="preserve">2</w:t>
      </w:r>
      <w:r>
        <w:rPr>
          <w:rFonts w:ascii="Arial" w:hAnsi="Arial" w:cs="Arial"/>
          <w:color w:val="000000"/>
          <w:sz w:val="28"/>
          <w:szCs w:val="28"/>
        </w:rPr>
        <w:t xml:space="preserve">、合格的供应商</w:t>
      </w:r>
      <w:bookmarkEnd w:id="51"/>
      <w:r/>
      <w:bookmarkEnd w:id="52"/>
      <w:r/>
      <w:bookmarkEnd w:id="53"/>
      <w:r/>
      <w:r/>
    </w:p>
    <w:p>
      <w:pPr>
        <w:pStyle w:val="822"/>
        <w:ind w:firstLine="480"/>
        <w:jc w:val="both"/>
        <w:spacing w:beforeAutospacing="0" w:afterAutospacing="0" w:line="0" w:lineRule="atLeast"/>
      </w:pPr>
      <w:r>
        <w:rPr>
          <w:rFonts w:hint="eastAsia" w:ascii="宋体" w:hAnsi="宋体" w:eastAsia="宋体" w:cs="宋体"/>
          <w:color w:val="000000"/>
        </w:rPr>
        <w:t xml:space="preserve">2.1满足招标公告中供应商的资格要求的规定。</w:t>
      </w:r>
      <w:r/>
    </w:p>
    <w:p>
      <w:pPr>
        <w:pStyle w:val="822"/>
        <w:ind w:firstLine="480"/>
        <w:jc w:val="both"/>
        <w:spacing w:beforeAutospacing="0" w:afterAutospacing="0" w:line="0" w:lineRule="atLeast"/>
      </w:pPr>
      <w:r>
        <w:rPr>
          <w:rFonts w:hint="eastAsia" w:ascii="宋体" w:hAnsi="宋体" w:eastAsia="宋体" w:cs="宋体"/>
          <w:color w:val="000000"/>
        </w:rPr>
        <w:t xml:space="preserve">2.2满足本文件实质性要求和条件的规定。</w:t>
      </w:r>
      <w:r/>
    </w:p>
    <w:p>
      <w:pPr>
        <w:pStyle w:val="822"/>
        <w:ind w:firstLine="420"/>
        <w:jc w:val="both"/>
        <w:keepLines/>
        <w:keepNext/>
        <w:spacing w:beforeAutospacing="0" w:afterAutospacing="0"/>
      </w:pPr>
      <w:r/>
      <w:bookmarkStart w:id="54" w:name="_Toc20823278"/>
      <w:r/>
      <w:bookmarkStart w:id="55" w:name="_Toc513029206"/>
      <w:r/>
      <w:bookmarkStart w:id="56" w:name="_Toc16938522"/>
      <w:r>
        <w:rPr>
          <w:rFonts w:ascii="Arial" w:hAnsi="Arial" w:cs="Arial"/>
          <w:color w:val="000000"/>
          <w:sz w:val="28"/>
          <w:szCs w:val="28"/>
        </w:rPr>
        <w:t xml:space="preserve">3</w:t>
      </w:r>
      <w:r>
        <w:rPr>
          <w:rFonts w:ascii="Arial" w:hAnsi="Arial" w:cs="Arial"/>
          <w:color w:val="000000"/>
          <w:sz w:val="28"/>
          <w:szCs w:val="28"/>
        </w:rPr>
        <w:t xml:space="preserve">、适用法律</w:t>
      </w:r>
      <w:bookmarkEnd w:id="54"/>
      <w:r/>
      <w:bookmarkEnd w:id="55"/>
      <w:r/>
      <w:bookmarkEnd w:id="56"/>
      <w:r/>
      <w:r/>
    </w:p>
    <w:p>
      <w:pPr>
        <w:pStyle w:val="822"/>
        <w:ind w:firstLine="420"/>
        <w:jc w:val="both"/>
        <w:spacing w:beforeAutospacing="0" w:afterAutospacing="0" w:line="0" w:lineRule="atLeast"/>
      </w:pPr>
      <w:r>
        <w:rPr>
          <w:rFonts w:hint="eastAsia" w:ascii="宋体" w:hAnsi="宋体" w:eastAsia="宋体" w:cs="宋体"/>
          <w:color w:val="000000"/>
        </w:rPr>
        <w:t xml:space="preserve">3.1本次招标及由此产生的合同受中华人民共和国有关的法律法规制约和保护。</w:t>
      </w:r>
      <w:r/>
    </w:p>
    <w:p>
      <w:pPr>
        <w:pStyle w:val="822"/>
        <w:ind w:firstLine="420"/>
        <w:jc w:val="both"/>
        <w:keepLines/>
        <w:keepNext/>
        <w:spacing w:beforeAutospacing="0" w:afterAutospacing="0"/>
      </w:pPr>
      <w:r/>
      <w:bookmarkStart w:id="57" w:name="_Toc513029207"/>
      <w:r/>
      <w:bookmarkStart w:id="58" w:name="_Toc16938523"/>
      <w:r/>
      <w:bookmarkStart w:id="59" w:name="_Toc20823279"/>
      <w:r/>
      <w:bookmarkStart w:id="60" w:name="_Toc462564067"/>
      <w:r>
        <w:rPr>
          <w:rFonts w:ascii="Arial" w:hAnsi="Arial" w:cs="Arial"/>
          <w:color w:val="000000"/>
          <w:sz w:val="28"/>
          <w:szCs w:val="28"/>
        </w:rPr>
        <w:t xml:space="preserve">4</w:t>
      </w:r>
      <w:r>
        <w:rPr>
          <w:rFonts w:ascii="Arial" w:hAnsi="Arial" w:cs="Arial"/>
          <w:color w:val="000000"/>
          <w:sz w:val="28"/>
          <w:szCs w:val="28"/>
        </w:rPr>
        <w:t xml:space="preserve">、投标费用</w:t>
      </w:r>
      <w:bookmarkEnd w:id="57"/>
      <w:r/>
      <w:bookmarkEnd w:id="58"/>
      <w:r/>
      <w:bookmarkEnd w:id="59"/>
      <w:r/>
      <w:bookmarkEnd w:id="60"/>
      <w:r/>
      <w:r/>
    </w:p>
    <w:p>
      <w:pPr>
        <w:pStyle w:val="822"/>
        <w:ind w:firstLine="480"/>
        <w:jc w:val="both"/>
        <w:spacing w:beforeAutospacing="0" w:afterAutospacing="0" w:line="0" w:lineRule="atLeast"/>
      </w:pPr>
      <w:r>
        <w:rPr>
          <w:rFonts w:hint="eastAsia" w:ascii="宋体" w:hAnsi="宋体" w:eastAsia="宋体" w:cs="宋体"/>
          <w:color w:val="000000"/>
        </w:rPr>
        <w:t xml:space="preserve">4.1供应商应自行承担所有与参加投标有关的费用，无论投标过程中的做法和结果如何，盐城市政府采购代理机构（以下简称采购代理机构）在任何情况下均无义务和责任承担这些费用。</w:t>
      </w:r>
      <w:r/>
    </w:p>
    <w:p>
      <w:pPr>
        <w:pStyle w:val="822"/>
        <w:ind w:firstLine="480"/>
        <w:jc w:val="both"/>
        <w:spacing w:beforeAutospacing="0" w:afterAutospacing="0" w:line="0" w:lineRule="atLeast"/>
      </w:pPr>
      <w:r>
        <w:rPr>
          <w:rFonts w:hint="eastAsia" w:ascii="宋体" w:hAnsi="宋体" w:eastAsia="宋体" w:cs="宋体"/>
          <w:color w:val="000000"/>
        </w:rPr>
        <w:t xml:space="preserve">4.2本次招标采购代理机构和采购人不收取标书工本费与中标服务费。</w:t>
      </w:r>
      <w:r/>
    </w:p>
    <w:p>
      <w:pPr>
        <w:pStyle w:val="822"/>
        <w:ind w:firstLine="602"/>
        <w:jc w:val="both"/>
        <w:keepLines/>
        <w:keepNext/>
        <w:spacing w:beforeAutospacing="0" w:afterAutospacing="0" w:line="0" w:lineRule="atLeast"/>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822"/>
        <w:ind w:firstLine="480"/>
        <w:jc w:val="both"/>
        <w:spacing w:beforeAutospacing="0" w:afterAutospacing="0" w:line="0" w:lineRule="atLeast"/>
      </w:pPr>
      <w:r>
        <w:rPr>
          <w:rFonts w:hint="eastAsia" w:ascii="宋体" w:hAnsi="宋体" w:eastAsia="宋体" w:cs="宋体"/>
          <w:color w:val="000000"/>
        </w:rPr>
        <w:t xml:space="preserve">5.1供应商一旦参加本项目采购活动，即被认为接受了本招标文件的规定和约束。</w:t>
      </w:r>
      <w:r/>
    </w:p>
    <w:p>
      <w:pPr>
        <w:pStyle w:val="822"/>
        <w:ind w:firstLine="321"/>
        <w:jc w:val="both"/>
        <w:keepLines/>
        <w:keepNext/>
        <w:spacing w:before="145" w:beforeAutospacing="0" w:after="145" w:afterAutospacing="0" w:line="360" w:lineRule="auto"/>
      </w:pPr>
      <w:r/>
      <w:bookmarkStart w:id="61" w:name="_Toc513029209"/>
      <w:r/>
      <w:bookmarkStart w:id="62" w:name="_Toc120614215"/>
      <w:r/>
      <w:bookmarkStart w:id="63" w:name="_Toc20823281"/>
      <w:r/>
      <w:bookmarkStart w:id="64" w:name="_Toc16938525"/>
      <w:r>
        <w:rPr>
          <w:rFonts w:ascii="Times New Roman" w:hAnsi="Times New Roman"/>
          <w:b/>
          <w:color w:val="000000"/>
          <w:sz w:val="32"/>
          <w:szCs w:val="32"/>
        </w:rPr>
        <w:t xml:space="preserve">二、招标文件</w:t>
      </w:r>
      <w:bookmarkEnd w:id="61"/>
      <w:r/>
      <w:bookmarkEnd w:id="62"/>
      <w:r/>
      <w:bookmarkEnd w:id="63"/>
      <w:r/>
      <w:bookmarkEnd w:id="64"/>
      <w:r/>
      <w:r/>
    </w:p>
    <w:p>
      <w:pPr>
        <w:pStyle w:val="822"/>
        <w:ind w:firstLine="420"/>
        <w:jc w:val="both"/>
        <w:keepLines/>
        <w:keepNext/>
        <w:spacing w:beforeAutospacing="0" w:afterAutospacing="0"/>
      </w:pPr>
      <w:r/>
      <w:bookmarkStart w:id="65" w:name="_Toc16938526"/>
      <w:r/>
      <w:bookmarkStart w:id="66" w:name="_Toc20823282"/>
      <w:r/>
      <w:bookmarkStart w:id="67" w:name="_Toc513029210"/>
      <w:r>
        <w:rPr>
          <w:rFonts w:ascii="Arial" w:hAnsi="Arial" w:cs="Arial"/>
          <w:color w:val="000000"/>
          <w:sz w:val="28"/>
          <w:szCs w:val="28"/>
        </w:rPr>
        <w:t xml:space="preserve">6</w:t>
      </w:r>
      <w:r>
        <w:rPr>
          <w:rFonts w:ascii="Arial" w:hAnsi="Arial" w:cs="Arial"/>
          <w:color w:val="000000"/>
          <w:sz w:val="28"/>
          <w:szCs w:val="28"/>
        </w:rPr>
        <w:t xml:space="preserve">、招标文件构成</w:t>
      </w:r>
      <w:bookmarkEnd w:id="65"/>
      <w:r/>
      <w:bookmarkEnd w:id="66"/>
      <w:r/>
      <w:bookmarkEnd w:id="67"/>
      <w:r/>
      <w:r/>
    </w:p>
    <w:p>
      <w:pPr>
        <w:pStyle w:val="822"/>
        <w:ind w:firstLine="480"/>
        <w:jc w:val="both"/>
        <w:spacing w:beforeAutospacing="0" w:afterAutospacing="0" w:line="0" w:lineRule="atLeast"/>
      </w:pPr>
      <w:r>
        <w:rPr>
          <w:rFonts w:hint="eastAsia" w:ascii="宋体" w:hAnsi="宋体" w:eastAsia="宋体" w:cs="宋体"/>
          <w:color w:val="000000"/>
        </w:rPr>
        <w:t xml:space="preserve">6.1 招标文件由以下部分组成：</w:t>
      </w:r>
      <w:r/>
    </w:p>
    <w:p>
      <w:pPr>
        <w:pStyle w:val="822"/>
        <w:ind w:firstLine="360"/>
        <w:jc w:val="both"/>
        <w:spacing w:beforeAutospacing="0" w:afterAutospacing="0" w:line="0" w:lineRule="atLeast"/>
        <w:rPr>
          <w:rFonts w:eastAsia="宋体"/>
        </w:rPr>
      </w:pPr>
      <w:r>
        <w:rPr>
          <w:rFonts w:hint="eastAsia" w:ascii="宋体" w:hAnsi="宋体" w:eastAsia="宋体" w:cs="宋体"/>
          <w:color w:val="000000"/>
        </w:rPr>
        <w:t xml:space="preserve">（1）招标公告</w:t>
      </w:r>
      <w:r/>
    </w:p>
    <w:p>
      <w:pPr>
        <w:pStyle w:val="822"/>
        <w:ind w:firstLine="360"/>
        <w:jc w:val="both"/>
        <w:spacing w:beforeAutospacing="0" w:afterAutospacing="0" w:line="0" w:lineRule="atLeast"/>
      </w:pPr>
      <w:r>
        <w:rPr>
          <w:rFonts w:hint="eastAsia" w:ascii="宋体" w:hAnsi="宋体" w:eastAsia="宋体" w:cs="宋体"/>
          <w:color w:val="000000"/>
        </w:rPr>
        <w:t xml:space="preserve">（2）供应商须知</w:t>
      </w:r>
      <w:r/>
    </w:p>
    <w:p>
      <w:pPr>
        <w:pStyle w:val="822"/>
        <w:ind w:firstLine="360"/>
        <w:jc w:val="both"/>
        <w:spacing w:beforeAutospacing="0" w:afterAutospacing="0" w:line="0" w:lineRule="atLeast"/>
      </w:pPr>
      <w:r>
        <w:rPr>
          <w:rFonts w:hint="eastAsia" w:ascii="宋体" w:hAnsi="宋体" w:eastAsia="宋体" w:cs="宋体"/>
          <w:color w:val="000000"/>
        </w:rPr>
        <w:t xml:space="preserve">（3）合同文本</w:t>
      </w:r>
      <w:r/>
    </w:p>
    <w:p>
      <w:pPr>
        <w:pStyle w:val="822"/>
        <w:ind w:firstLine="360"/>
        <w:jc w:val="both"/>
        <w:spacing w:beforeAutospacing="0" w:afterAutospacing="0" w:line="0" w:lineRule="atLeast"/>
      </w:pPr>
      <w:r>
        <w:rPr>
          <w:rFonts w:hint="eastAsia" w:ascii="宋体" w:hAnsi="宋体" w:eastAsia="宋体" w:cs="宋体"/>
          <w:color w:val="000000"/>
        </w:rPr>
        <w:t xml:space="preserve">（4）采购需求</w:t>
      </w:r>
      <w:r/>
    </w:p>
    <w:p>
      <w:pPr>
        <w:pStyle w:val="822"/>
        <w:ind w:firstLine="360"/>
        <w:jc w:val="both"/>
        <w:spacing w:beforeAutospacing="0" w:afterAutospacing="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22"/>
        <w:ind w:firstLine="360"/>
        <w:jc w:val="both"/>
        <w:spacing w:beforeAutospacing="0" w:afterAutospacing="0" w:line="0" w:lineRule="atLeast"/>
      </w:pPr>
      <w:r>
        <w:rPr>
          <w:rFonts w:hint="eastAsia" w:ascii="宋体" w:hAnsi="宋体" w:eastAsia="宋体" w:cs="宋体"/>
          <w:color w:val="000000"/>
        </w:rPr>
        <w:t xml:space="preserve">（6）投标文件格式</w:t>
      </w:r>
      <w:r/>
    </w:p>
    <w:p>
      <w:pPr>
        <w:pStyle w:val="822"/>
        <w:ind w:firstLine="480"/>
        <w:jc w:val="both"/>
        <w:spacing w:beforeAutospacing="0" w:afterAutospacing="0" w:line="0" w:lineRule="atLeast"/>
      </w:pPr>
      <w:r>
        <w:rPr>
          <w:rFonts w:hint="eastAsia" w:ascii="宋体" w:hAnsi="宋体" w:eastAsia="宋体" w:cs="宋体"/>
          <w:color w:val="000000"/>
        </w:rPr>
        <w:t xml:space="preserve">请仔细检查招标文件是否齐全，如有缺漏请立即与采购代理机构联系解决。</w:t>
      </w:r>
      <w:r/>
    </w:p>
    <w:p>
      <w:pPr>
        <w:pStyle w:val="822"/>
        <w:ind w:firstLine="480"/>
        <w:jc w:val="both"/>
        <w:spacing w:beforeAutospacing="0" w:afterAutospacing="0" w:line="0" w:lineRule="atLeast"/>
      </w:pPr>
      <w:r>
        <w:rPr>
          <w:rFonts w:hint="eastAsia" w:ascii="宋体" w:hAnsi="宋体" w:eastAsia="宋体" w:cs="宋体"/>
          <w:color w:val="000000"/>
        </w:rPr>
        <w:t xml:space="preserve">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22"/>
        <w:ind w:firstLine="560"/>
        <w:jc w:val="both"/>
        <w:keepLines/>
        <w:keepNext/>
        <w:spacing w:beforeAutospacing="0" w:afterAutospacing="0"/>
      </w:pPr>
      <w:r/>
      <w:bookmarkStart w:id="68" w:name="_Toc16938527"/>
      <w:r/>
      <w:bookmarkStart w:id="69" w:name="_Toc513029211"/>
      <w:r/>
      <w:bookmarkStart w:id="70" w:name="_Toc462564070"/>
      <w:r/>
      <w:bookmarkStart w:id="71" w:name="_Toc20823283"/>
      <w:r>
        <w:rPr>
          <w:rFonts w:ascii="Arial" w:hAnsi="Arial" w:cs="Arial"/>
          <w:color w:val="000000"/>
          <w:sz w:val="28"/>
          <w:szCs w:val="28"/>
        </w:rPr>
        <w:t xml:space="preserve">7</w:t>
      </w:r>
      <w:r>
        <w:rPr>
          <w:rFonts w:ascii="Arial" w:hAnsi="Arial" w:cs="Arial"/>
          <w:color w:val="000000"/>
          <w:sz w:val="28"/>
          <w:szCs w:val="28"/>
        </w:rPr>
        <w:t xml:space="preserve">、招标文件的澄清</w:t>
      </w:r>
      <w:bookmarkEnd w:id="68"/>
      <w:r/>
      <w:bookmarkEnd w:id="69"/>
      <w:r/>
      <w:bookmarkEnd w:id="70"/>
      <w:r/>
      <w:bookmarkEnd w:id="71"/>
      <w:r/>
      <w:r/>
    </w:p>
    <w:p>
      <w:pPr>
        <w:pStyle w:val="822"/>
        <w:ind w:firstLine="480"/>
        <w:jc w:val="both"/>
        <w:spacing w:beforeAutospacing="0" w:afterAutospacing="0" w:line="0" w:lineRule="atLeast"/>
      </w:pPr>
      <w:r>
        <w:rPr>
          <w:rFonts w:hint="eastAsia" w:ascii="宋体" w:hAnsi="宋体" w:eastAsia="宋体" w:cs="宋体"/>
          <w:color w:val="000000"/>
        </w:rPr>
        <w:t xml:space="preserve">7.1任何要求对招标文件进行澄清的供应商，应在投标截止期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按招标公告中的通讯地址，以书面形式通知采购代理机构。</w:t>
      </w:r>
      <w:r/>
    </w:p>
    <w:p>
      <w:pPr>
        <w:pStyle w:val="822"/>
        <w:ind w:firstLine="560"/>
        <w:jc w:val="both"/>
        <w:keepLines/>
        <w:keepNext/>
        <w:spacing w:beforeAutospacing="0" w:afterAutospacing="0"/>
      </w:pPr>
      <w:r/>
      <w:bookmarkStart w:id="72" w:name="_Toc16938528"/>
      <w:r/>
      <w:bookmarkStart w:id="73" w:name="_Toc462564071"/>
      <w:r/>
      <w:bookmarkStart w:id="74" w:name="_Toc20823284"/>
      <w:r/>
      <w:bookmarkStart w:id="75" w:name="_Toc513029212"/>
      <w:r>
        <w:rPr>
          <w:rFonts w:ascii="Arial" w:hAnsi="Arial" w:cs="Arial"/>
          <w:color w:val="000000"/>
          <w:sz w:val="28"/>
          <w:szCs w:val="28"/>
        </w:rPr>
        <w:t xml:space="preserve">8</w:t>
      </w:r>
      <w:r>
        <w:rPr>
          <w:rFonts w:ascii="Arial" w:hAnsi="Arial" w:cs="Arial"/>
          <w:color w:val="000000"/>
          <w:sz w:val="28"/>
          <w:szCs w:val="28"/>
        </w:rPr>
        <w:t xml:space="preserve">、招标文件的修改</w:t>
      </w:r>
      <w:bookmarkEnd w:id="72"/>
      <w:r/>
      <w:bookmarkEnd w:id="73"/>
      <w:r/>
      <w:bookmarkEnd w:id="74"/>
      <w:r/>
      <w:bookmarkEnd w:id="75"/>
      <w:r/>
      <w:r/>
    </w:p>
    <w:p>
      <w:pPr>
        <w:pStyle w:val="822"/>
        <w:ind w:firstLine="480"/>
        <w:jc w:val="both"/>
        <w:spacing w:beforeAutospacing="0" w:afterAutospacing="0" w:line="0" w:lineRule="atLeast"/>
      </w:pPr>
      <w:r>
        <w:rPr>
          <w:rFonts w:hint="eastAsia" w:ascii="宋体" w:hAnsi="宋体" w:eastAsia="宋体" w:cs="宋体"/>
          <w:color w:val="000000"/>
        </w:rPr>
        <w:t xml:space="preserve">8.1在投标截止时间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，采购代理机构可以对招标文件进行修改。</w:t>
      </w:r>
      <w:r/>
    </w:p>
    <w:p>
      <w:pPr>
        <w:pStyle w:val="822"/>
        <w:ind w:firstLine="480"/>
        <w:jc w:val="both"/>
        <w:spacing w:beforeAutospacing="0" w:afterAutospacing="0" w:line="0" w:lineRule="atLeast"/>
      </w:pPr>
      <w:r>
        <w:rPr>
          <w:rFonts w:hint="eastAsia" w:ascii="宋体" w:hAnsi="宋体" w:eastAsia="宋体" w:cs="宋体"/>
          <w:color w:val="000000"/>
        </w:rPr>
        <w:t xml:space="preserve">8.2采购代理机构有权按照法定的要求推迟投标截止日期和开标日期。</w:t>
      </w:r>
      <w:r/>
    </w:p>
    <w:p>
      <w:pPr>
        <w:pStyle w:val="822"/>
        <w:ind w:firstLine="480"/>
        <w:jc w:val="both"/>
        <w:spacing w:beforeAutospacing="0" w:afterAutospacing="0" w:line="0" w:lineRule="atLeast"/>
      </w:pPr>
      <w:r>
        <w:rPr>
          <w:rFonts w:hint="eastAsia" w:ascii="宋体" w:hAnsi="宋体" w:eastAsia="宋体" w:cs="宋体"/>
          <w:color w:val="000000"/>
        </w:rPr>
        <w:t xml:space="preserve">8.3招标文件的修改将在“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江苏政府采购网”、“盐城市政府采购网”公布，补充文件将作为招标文件的组成部分，并对供应商具有约束力。</w:t>
      </w:r>
      <w:r/>
    </w:p>
    <w:p>
      <w:pPr>
        <w:pStyle w:val="822"/>
        <w:ind w:firstLine="482"/>
        <w:jc w:val="both"/>
        <w:keepLines/>
        <w:keepNext/>
        <w:spacing w:before="145" w:beforeAutospacing="0" w:after="145" w:afterAutospacing="0" w:line="360" w:lineRule="auto"/>
      </w:pPr>
      <w:r/>
      <w:bookmarkStart w:id="76" w:name="_Toc513029213"/>
      <w:r/>
      <w:bookmarkStart w:id="77" w:name="_Toc20823285"/>
      <w:r/>
      <w:bookmarkStart w:id="78" w:name="_Toc120614216"/>
      <w:r/>
      <w:bookmarkStart w:id="79" w:name="_Toc16938529"/>
      <w:r/>
      <w:bookmarkStart w:id="80" w:name="_Toc462564072"/>
      <w:r>
        <w:rPr>
          <w:rFonts w:ascii="Times New Roman" w:hAnsi="Times New Roman"/>
          <w:b/>
          <w:color w:val="000000"/>
          <w:sz w:val="32"/>
          <w:szCs w:val="32"/>
        </w:rPr>
        <w:t xml:space="preserve">三、投标文件的编制</w:t>
      </w:r>
      <w:bookmarkEnd w:id="76"/>
      <w:r/>
      <w:bookmarkEnd w:id="77"/>
      <w:r/>
      <w:bookmarkEnd w:id="78"/>
      <w:r/>
      <w:bookmarkEnd w:id="79"/>
      <w:r/>
      <w:bookmarkEnd w:id="80"/>
      <w:r/>
      <w:r/>
    </w:p>
    <w:p>
      <w:pPr>
        <w:pStyle w:val="822"/>
        <w:ind w:firstLine="560"/>
        <w:jc w:val="both"/>
        <w:keepLines/>
        <w:keepNext/>
        <w:spacing w:beforeAutospacing="0" w:afterAutospacing="0"/>
      </w:pPr>
      <w:r/>
      <w:bookmarkStart w:id="81" w:name="_Toc462564073"/>
      <w:r/>
      <w:bookmarkStart w:id="82" w:name="_Toc16938530"/>
      <w:r/>
      <w:bookmarkStart w:id="83" w:name="_Toc513029214"/>
      <w:r/>
      <w:bookmarkStart w:id="84" w:name="_Toc20823286"/>
      <w:r>
        <w:rPr>
          <w:rFonts w:ascii="Arial" w:hAnsi="Arial" w:cs="Arial"/>
          <w:color w:val="000000"/>
          <w:sz w:val="28"/>
          <w:szCs w:val="28"/>
        </w:rPr>
        <w:t xml:space="preserve">9</w:t>
      </w:r>
      <w:r>
        <w:rPr>
          <w:rFonts w:ascii="Arial" w:hAnsi="Arial" w:cs="Arial"/>
          <w:color w:val="000000"/>
          <w:sz w:val="28"/>
          <w:szCs w:val="28"/>
        </w:rPr>
        <w:t xml:space="preserve">、投标文件的语言及度量衡单位</w:t>
      </w:r>
      <w:bookmarkEnd w:id="81"/>
      <w:r/>
      <w:bookmarkEnd w:id="82"/>
      <w:r/>
      <w:bookmarkEnd w:id="83"/>
      <w:r/>
      <w:bookmarkEnd w:id="84"/>
      <w:r/>
      <w:r/>
    </w:p>
    <w:p>
      <w:pPr>
        <w:pStyle w:val="822"/>
        <w:ind w:firstLine="480"/>
        <w:jc w:val="both"/>
        <w:spacing w:beforeAutospacing="0" w:afterAutospacing="0" w:line="0" w:lineRule="atLeast"/>
      </w:pPr>
      <w:r>
        <w:rPr>
          <w:rFonts w:hint="eastAsia" w:ascii="宋体" w:hAnsi="宋体" w:eastAsia="宋体" w:cs="宋体"/>
          <w:color w:val="000000"/>
        </w:rPr>
        <w:t xml:space="preserve">9.1供应商提交的投标文件以及供应商与采购代理机构就有关投标的所有来往通知、函件和文件均应使用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22"/>
        <w:ind w:firstLine="480"/>
        <w:jc w:val="both"/>
        <w:spacing w:beforeAutospacing="0" w:afterAutospacing="0" w:line="0" w:lineRule="atLeast"/>
      </w:pPr>
      <w:r>
        <w:rPr>
          <w:rFonts w:hint="eastAsia" w:ascii="宋体" w:hAnsi="宋体" w:eastAsia="宋体" w:cs="宋体"/>
          <w:color w:val="000000"/>
        </w:rPr>
        <w:t xml:space="preserve">9.2除技术性能另有规定外，投标文件所使用的度量衡单位，均须采用国家法定计量单位。</w:t>
      </w:r>
      <w:r/>
    </w:p>
    <w:p>
      <w:pPr>
        <w:pStyle w:val="822"/>
        <w:ind w:firstLine="420"/>
        <w:jc w:val="both"/>
        <w:keepLines/>
        <w:keepNext/>
        <w:spacing w:beforeAutospacing="0" w:afterAutospacing="0"/>
      </w:pPr>
      <w:r/>
      <w:bookmarkStart w:id="85" w:name="_Toc20823287"/>
      <w:r/>
      <w:bookmarkStart w:id="86" w:name="_Toc462564074"/>
      <w:r/>
      <w:bookmarkStart w:id="87" w:name="_Toc513029215"/>
      <w:r/>
      <w:bookmarkStart w:id="88" w:name="_Toc16938531"/>
      <w:r>
        <w:rPr>
          <w:rFonts w:ascii="Arial" w:hAnsi="Arial" w:cs="Arial"/>
          <w:color w:val="000000"/>
          <w:sz w:val="28"/>
          <w:szCs w:val="28"/>
        </w:rPr>
        <w:t xml:space="preserve">10</w:t>
      </w:r>
      <w:r>
        <w:rPr>
          <w:rFonts w:ascii="Arial" w:hAnsi="Arial" w:cs="Arial"/>
          <w:color w:val="000000"/>
          <w:sz w:val="28"/>
          <w:szCs w:val="28"/>
        </w:rPr>
        <w:t xml:space="preserve">、投标文件构成</w:t>
      </w:r>
      <w:bookmarkEnd w:id="85"/>
      <w:r/>
      <w:bookmarkEnd w:id="86"/>
      <w:r/>
      <w:bookmarkEnd w:id="87"/>
      <w:r/>
      <w:bookmarkEnd w:id="88"/>
      <w:r/>
      <w:r/>
    </w:p>
    <w:p>
      <w:pPr>
        <w:pStyle w:val="822"/>
        <w:ind w:firstLine="480"/>
        <w:jc w:val="both"/>
        <w:spacing w:beforeAutospacing="0" w:afterAutospacing="0" w:line="0" w:lineRule="atLeast"/>
      </w:pPr>
      <w:r>
        <w:rPr>
          <w:rFonts w:hint="eastAsia" w:ascii="宋体" w:hAnsi="宋体" w:eastAsia="宋体" w:cs="宋体"/>
          <w:color w:val="000000"/>
        </w:rPr>
        <w:t xml:space="preserve">10.1供应商编写的投标文件应包括资格证明文件、符合性证明文件、投标分项报价表、技术要求响应及偏离表、商务要求响应及偏离表、其他证明文件</w:t>
      </w:r>
      <w:r>
        <w:rPr>
          <w:rFonts w:hint="eastAsia" w:ascii="宋体" w:hAnsi="宋体"/>
          <w:bCs/>
          <w:color w:val="000000"/>
        </w:rPr>
        <w:t xml:space="preserve">等部分</w:t>
      </w:r>
      <w:r>
        <w:rPr>
          <w:rFonts w:hint="eastAsia" w:ascii="宋体" w:hAnsi="宋体"/>
          <w:b/>
          <w:color w:val="000000"/>
          <w:lang w:val="zh-CN"/>
        </w:rPr>
        <w:t xml:space="preserve">（格式详见招标文件“第六章  投标文件格式”）</w:t>
      </w:r>
      <w:r>
        <w:rPr>
          <w:rFonts w:hint="eastAsia" w:ascii="宋体" w:hAnsi="宋体" w:eastAsia="宋体" w:cs="宋体"/>
          <w:color w:val="000000"/>
        </w:rPr>
        <w:t xml:space="preserve">。</w:t>
      </w:r>
      <w:r/>
    </w:p>
    <w:p>
      <w:pPr>
        <w:pStyle w:val="822"/>
        <w:ind w:firstLine="480"/>
        <w:jc w:val="both"/>
        <w:spacing w:beforeAutospacing="0" w:afterAutospacing="0" w:line="0" w:lineRule="atLeast"/>
      </w:pPr>
      <w:r>
        <w:rPr>
          <w:rFonts w:hint="eastAsia" w:ascii="宋体" w:hAnsi="宋体" w:eastAsia="宋体" w:cs="宋体"/>
          <w:color w:val="000000"/>
        </w:rPr>
        <w:t xml:space="preserve">10.2如标书制作工具中格式和内容与</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822"/>
        <w:ind w:firstLine="420"/>
        <w:jc w:val="both"/>
        <w:keepLines/>
        <w:keepNext/>
        <w:spacing w:beforeAutospacing="0" w:afterAutospacing="0"/>
      </w:pPr>
      <w:r/>
      <w:bookmarkStart w:id="89" w:name="_Toc14577357"/>
      <w:r/>
      <w:bookmarkStart w:id="90" w:name="_Toc14577354"/>
      <w:r/>
      <w:bookmarkStart w:id="91" w:name="_Toc49090509"/>
      <w:r/>
      <w:bookmarkStart w:id="92" w:name="_Toc513029219"/>
      <w:r/>
      <w:bookmarkStart w:id="93" w:name="_Toc513029216"/>
      <w:r/>
      <w:bookmarkStart w:id="94" w:name="_Toc49090507"/>
      <w:r/>
      <w:bookmarkStart w:id="95" w:name="_Hlt26954838"/>
      <w:r/>
      <w:bookmarkStart w:id="96" w:name="_Hlt26668975"/>
      <w:r/>
      <w:bookmarkStart w:id="97" w:name="_Hlt26670360"/>
      <w:r>
        <w:rPr>
          <w:rFonts w:ascii="Arial" w:hAnsi="Arial" w:cs="Arial"/>
          <w:color w:val="000000"/>
          <w:sz w:val="28"/>
          <w:szCs w:val="28"/>
        </w:rPr>
        <w:t xml:space="preserve">11</w:t>
      </w:r>
      <w:r>
        <w:rPr>
          <w:rFonts w:ascii="Arial" w:hAnsi="Arial" w:cs="Arial"/>
          <w:color w:val="000000"/>
          <w:sz w:val="28"/>
          <w:szCs w:val="28"/>
        </w:rPr>
        <w:t xml:space="preserve">、证明供应商及投标标的符合招标文件规定的文件</w:t>
      </w:r>
      <w:bookmarkEnd w:id="89"/>
      <w:r/>
      <w:bookmarkEnd w:id="90"/>
      <w:r/>
      <w:bookmarkEnd w:id="91"/>
      <w:r/>
      <w:bookmarkEnd w:id="92"/>
      <w:r/>
      <w:bookmarkEnd w:id="93"/>
      <w:r/>
      <w:bookmarkEnd w:id="94"/>
      <w:r/>
      <w:r/>
    </w:p>
    <w:p>
      <w:pPr>
        <w:pStyle w:val="822"/>
        <w:jc w:val="both"/>
        <w:spacing w:beforeAutospacing="0" w:afterAutospacing="0" w:line="0" w:lineRule="atLeast"/>
      </w:pPr>
      <w:r/>
      <w:bookmarkStart w:id="98" w:name="_Toc14577355"/>
      <w:r/>
      <w:bookmarkStart w:id="99" w:name="_Toc49090508"/>
      <w:r>
        <w:rPr>
          <w:rFonts w:hint="eastAsia" w:ascii="宋体" w:hAnsi="宋体" w:eastAsia="宋体" w:cs="宋体"/>
          <w:color w:val="000000"/>
        </w:rPr>
        <w:t xml:space="preserve">    11.1供应商应按照法律、法规、规章和规范性文件以及招标文件要求提交证明文件，证明其及投标标的符合招标文件规定。</w:t>
      </w:r>
      <w:bookmarkEnd w:id="98"/>
      <w:r/>
      <w:bookmarkEnd w:id="99"/>
      <w:r/>
      <w:r/>
    </w:p>
    <w:p>
      <w:pPr>
        <w:pStyle w:val="822"/>
        <w:ind w:firstLine="480"/>
        <w:jc w:val="both"/>
        <w:spacing w:beforeAutospacing="0" w:afterAutospacing="0" w:line="0" w:lineRule="atLeast"/>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22"/>
        <w:ind w:firstLine="420"/>
        <w:jc w:val="both"/>
        <w:keepLines/>
        <w:keepNext/>
        <w:spacing w:beforeAutospacing="0" w:afterAutospacing="0"/>
      </w:pPr>
      <w:r>
        <w:rPr>
          <w:rFonts w:ascii="Arial" w:hAnsi="Arial" w:cs="Arial"/>
          <w:color w:val="000000"/>
          <w:sz w:val="28"/>
          <w:szCs w:val="28"/>
        </w:rPr>
        <w:t xml:space="preserve">12</w:t>
      </w:r>
      <w:r>
        <w:rPr>
          <w:rFonts w:ascii="Arial" w:hAnsi="Arial" w:cs="Arial"/>
          <w:color w:val="000000"/>
          <w:sz w:val="28"/>
          <w:szCs w:val="28"/>
        </w:rPr>
        <w:t xml:space="preserve">、投标报价</w:t>
      </w:r>
      <w:bookmarkStart w:id="100" w:name="_Hlt26670373"/>
      <w:r/>
      <w:r/>
    </w:p>
    <w:p>
      <w:pPr>
        <w:ind w:firstLine="480"/>
        <w:spacing w:line="500" w:lineRule="exact"/>
        <w:rPr>
          <w:rFonts w:hint="eastAsia" w:ascii="宋体" w:hAnsi="宋体"/>
          <w:bCs/>
          <w:sz w:val="24"/>
        </w:rPr>
      </w:pPr>
      <w:r/>
      <w:bookmarkStart w:id="101" w:name="_Hlt26954848"/>
      <w:r/>
      <w:bookmarkStart w:id="102" w:name="_Hlt26954846"/>
      <w:r/>
      <w:bookmarkStart w:id="103" w:name="_Hlt26668983"/>
      <w:r/>
      <w:bookmarkStart w:id="104" w:name="_Hlt26670482"/>
      <w:r/>
      <w:bookmarkStart w:id="105" w:name="_Hlt26670425"/>
      <w:r/>
      <w:bookmarkStart w:id="106" w:name="_Hlt26954844"/>
      <w:r/>
      <w:bookmarkStart w:id="107" w:name="_Hlt26954731"/>
      <w:r/>
      <w:bookmarkStart w:id="108" w:name="_Hlt26954840"/>
      <w:r/>
      <w:bookmarkStart w:id="109" w:name="_Hlt26670399"/>
      <w:r/>
      <w:bookmarkStart w:id="110" w:name="_Hlt26954842"/>
      <w:r/>
      <w:bookmarkStart w:id="111" w:name="_Hlt26670486"/>
      <w:r/>
      <w:bookmarkStart w:id="112" w:name="_Hlt26670403"/>
      <w:r>
        <w:rPr>
          <w:rFonts w:hint="eastAsia" w:ascii="宋体" w:hAnsi="宋体"/>
          <w:bCs/>
          <w:sz w:val="24"/>
        </w:rPr>
        <w:t xml:space="preserve">12.1</w:t>
      </w:r>
      <w:r>
        <w:rPr>
          <w:rFonts w:hint="eastAsia" w:ascii="宋体" w:hAnsi="宋体"/>
          <w:b/>
          <w:bCs/>
          <w:sz w:val="24"/>
        </w:rPr>
        <w:t xml:space="preserve">居家社区养老服务机构委托运营二年总预算计 120 万元（其中包件一预算金额：40万元；包件二预算金额：40万元；包件三预算金额：40万元 ）。本项目采用固定价格，投标人投标时不得浮动固定报价，如投标人投标时上浮或下浮固定报价，则投标文件作无效标处理。</w:t>
      </w:r>
      <w:r/>
    </w:p>
    <w:p>
      <w:pPr>
        <w:ind w:firstLine="480"/>
        <w:spacing w:line="500" w:lineRule="exact"/>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p>
    <w:p>
      <w:pPr>
        <w:ind w:firstLine="480"/>
        <w:spacing w:line="500" w:lineRule="exact"/>
        <w:rPr>
          <w:rFonts w:hint="eastAsia" w:ascii="宋体" w:hAnsi="宋体"/>
          <w:bCs/>
          <w:sz w:val="24"/>
        </w:rPr>
      </w:pPr>
      <w:r>
        <w:rPr>
          <w:rFonts w:hint="eastAsia" w:ascii="宋体" w:hAnsi="宋体"/>
          <w:bCs/>
          <w:sz w:val="24"/>
        </w:rPr>
        <w:t xml:space="preserve">招标人将居家社区养老服务机构建设好（包括装修和设施设备），达到运营条件，交中标人运营，为周边老年人提供日间照料、文体娱乐、精神慰藉等居 家社区养老服务。本项目共分为3个包件。其中</w:t>
      </w:r>
      <w:r>
        <w:rPr>
          <w:rFonts w:hint="eastAsia" w:ascii="宋体" w:hAnsi="宋体"/>
          <w:bCs/>
          <w:sz w:val="24"/>
          <w:u w:val="single"/>
        </w:rPr>
        <w:t xml:space="preserve">包件一：</w:t>
      </w:r>
      <w:r>
        <w:rPr>
          <w:rFonts w:hint="eastAsia" w:ascii="宋体" w:hAnsi="宋体" w:cs="宋体"/>
          <w:sz w:val="24"/>
          <w:u w:val="single"/>
        </w:rPr>
        <w:t xml:space="preserve">颐高唐柠府居家养老服务站；包件二：华芳颐景花园居家养老服务站；包件三：御景花园居家养老服务站</w:t>
      </w:r>
      <w:r>
        <w:rPr>
          <w:rFonts w:hint="eastAsia" w:ascii="宋体" w:hAnsi="宋体"/>
          <w:bCs/>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p>
    <w:p>
      <w:pPr>
        <w:ind w:firstLine="480"/>
        <w:spacing w:line="500" w:lineRule="exact"/>
        <w:rPr>
          <w:rFonts w:hint="eastAsia" w:ascii="宋体" w:hAnsi="宋体"/>
          <w:sz w:val="24"/>
        </w:rPr>
      </w:pPr>
      <w:r>
        <w:rPr>
          <w:rFonts w:hint="eastAsia" w:ascii="宋体" w:hAnsi="宋体"/>
          <w:sz w:val="24"/>
        </w:rPr>
        <w:t xml:space="preserve">招标报价采用总承包方式，投标人的报价应包括所投产品</w:t>
      </w:r>
      <w:r>
        <w:rPr>
          <w:rFonts w:hint="eastAsia" w:ascii="宋体" w:hAnsi="宋体"/>
          <w:bCs/>
          <w:sz w:val="24"/>
        </w:rPr>
        <w:t xml:space="preserve">（含相关附配件、软件）</w:t>
      </w:r>
      <w:r>
        <w:rPr>
          <w:rFonts w:hint="eastAsia" w:ascii="宋体" w:hAnsi="宋体"/>
          <w:sz w:val="24"/>
        </w:rPr>
        <w:t xml:space="preserve">费用、包装费、运输费、装卸费、安装调试费、测试费、培训费、验收费、</w:t>
      </w:r>
      <w:r>
        <w:rPr>
          <w:rFonts w:hint="eastAsia" w:ascii="宋体" w:hAnsi="宋体"/>
          <w:bCs/>
          <w:sz w:val="24"/>
        </w:rPr>
        <w:t xml:space="preserve">XX年质量保修期</w:t>
      </w:r>
      <w:r>
        <w:rPr>
          <w:rFonts w:hint="eastAsia" w:ascii="宋体" w:hAnsi="宋体"/>
          <w:sz w:val="24"/>
          <w:lang w:val="zh-TW"/>
        </w:rPr>
        <w:t xml:space="preserve">内维保</w:t>
      </w:r>
      <w:r>
        <w:rPr>
          <w:rFonts w:hint="eastAsia" w:ascii="宋体" w:hAnsi="宋体"/>
          <w:sz w:val="24"/>
        </w:rPr>
        <w:t xml:space="preserve">费、售后服务费、投标费用、税金、各类风险费、管理费、利润、国际国内运输等保险费、报关清关、开证、办理全套免税手续费用及其他有关的为完成本项目发生的所有费用，招标文件中另有规定的除外。</w:t>
      </w:r>
      <w:r/>
    </w:p>
    <w:p>
      <w:pPr>
        <w:ind w:firstLine="480"/>
        <w:spacing w:line="500" w:lineRule="exact"/>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p>
    <w:p>
      <w:pPr>
        <w:ind w:firstLine="480"/>
        <w:spacing w:line="500" w:lineRule="exact"/>
        <w:rPr>
          <w:rFonts w:hint="eastAsia" w:ascii="宋体" w:hAnsi="宋体"/>
          <w:bCs/>
          <w:sz w:val="24"/>
        </w:rPr>
      </w:pPr>
      <w:r>
        <w:rPr>
          <w:rFonts w:hint="eastAsia" w:ascii="宋体" w:hAnsi="宋体"/>
          <w:bCs/>
          <w:sz w:val="24"/>
        </w:rPr>
        <w:t xml:space="preserve">招标文件未列明，而投标人认为必需的费用也需列入报价。</w:t>
      </w:r>
      <w:r/>
    </w:p>
    <w:p>
      <w:pPr>
        <w:ind w:firstLine="480"/>
        <w:spacing w:line="500" w:lineRule="exact"/>
        <w:rPr>
          <w:rFonts w:hint="eastAsia" w:ascii="宋体" w:hAnsi="宋体"/>
          <w:bCs/>
          <w:sz w:val="24"/>
        </w:rPr>
      </w:pPr>
      <w:r>
        <w:rPr>
          <w:rFonts w:hint="eastAsia" w:ascii="宋体" w:hAnsi="宋体"/>
          <w:sz w:val="24"/>
        </w:rPr>
        <w:t xml:space="preserve">12.5</w:t>
      </w:r>
      <w:r>
        <w:rPr>
          <w:rFonts w:hint="eastAsia" w:ascii="宋体" w:hAnsi="宋体"/>
          <w:bCs/>
          <w:sz w:val="24"/>
        </w:rPr>
        <w:t xml:space="preserve">投标货币</w:t>
      </w:r>
      <w:r/>
    </w:p>
    <w:p>
      <w:pPr>
        <w:ind w:firstLine="480"/>
        <w:spacing w:line="500" w:lineRule="exact"/>
        <w:rPr>
          <w:rFonts w:ascii="宋体" w:hAnsi="Arial" w:cs="宋体"/>
          <w:sz w:val="24"/>
          <w:lang w:val="zh-CN"/>
        </w:rPr>
      </w:pPr>
      <w:r>
        <w:rPr>
          <w:rFonts w:hint="eastAsia" w:ascii="宋体" w:hAnsi="宋体"/>
          <w:bCs/>
          <w:sz w:val="24"/>
        </w:rPr>
        <w:t xml:space="preserve">投标文件中的货物单价和总价无特殊规定的采用人民币报价，以元为单位标注。</w:t>
      </w:r>
      <w:r>
        <w:rPr>
          <w:rFonts w:hint="eastAsia" w:ascii="宋体" w:hAnsi="宋体"/>
          <w:sz w:val="24"/>
        </w:rPr>
        <w:t xml:space="preserve">招标文件中另有规定的按规定执行。</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12.6本项目招标代理服务费按苏招协【2002】002号标准</w:t>
      </w:r>
      <w:bookmarkStart w:id="113" w:name="OLE_LINK45"/>
      <w:r/>
      <w:bookmarkStart w:id="114" w:name="OLE_LINK44"/>
      <w:r>
        <w:rPr>
          <w:rFonts w:hint="eastAsia" w:ascii="宋体" w:hAnsi="宋体"/>
          <w:bCs/>
          <w:color w:val="000000"/>
          <w:sz w:val="24"/>
        </w:rPr>
        <w:t xml:space="preserve">一包件10000元</w:t>
      </w:r>
      <w:bookmarkEnd w:id="113"/>
      <w:r/>
      <w:bookmarkEnd w:id="114"/>
      <w:r>
        <w:rPr>
          <w:rFonts w:hint="eastAsia" w:ascii="宋体" w:hAnsi="宋体"/>
          <w:bCs/>
          <w:color w:val="000000"/>
          <w:sz w:val="24"/>
        </w:rPr>
        <w:t xml:space="preserve">、二包件10000元、三包件10000元收取，由中标单位代为支付给采购代理机构，中标人应在领取中标通知书前缴纳。</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12.7供应商根据招标内容的要求准确报价，一经报出，不得更改。</w:t>
      </w:r>
      <w:r/>
    </w:p>
    <w:p>
      <w:pPr>
        <w:ind w:firstLine="480"/>
        <w:jc w:val="left"/>
        <w:spacing w:line="360" w:lineRule="auto"/>
        <w:rPr>
          <w:rFonts w:hint="eastAsia" w:ascii="宋体" w:hAnsi="宋体"/>
          <w:bCs/>
          <w:color w:val="000000"/>
          <w:sz w:val="24"/>
          <w:lang w:val="zh-CN"/>
        </w:rPr>
      </w:pPr>
      <w:r>
        <w:rPr>
          <w:rFonts w:hint="eastAsia" w:ascii="宋体" w:hAnsi="宋体"/>
          <w:bCs/>
          <w:color w:val="000000"/>
          <w:sz w:val="24"/>
        </w:rPr>
        <w:t xml:space="preserve">12.8 中标人如果未能按合同、招标投标文件履约的，终止合同，履约保证金不予退还，并不支付服务期间的保洁服务费用。采购人有权终止合同的履行，中标人应承担相应的完全责任，包括赔偿因此而给采购人及第三人带来的相应损失。</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12.9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预调整中标价。只允许有一个报价，任何有选择的报价将被拒绝。</w:t>
      </w:r>
      <w:r/>
    </w:p>
    <w:p>
      <w:pPr>
        <w:ind w:firstLine="482"/>
        <w:spacing w:line="360" w:lineRule="auto"/>
        <w:rPr>
          <w:rFonts w:hint="eastAsia" w:ascii="宋体" w:hAnsi="宋体"/>
          <w:b/>
          <w:color w:val="000000"/>
          <w:sz w:val="24"/>
        </w:rPr>
      </w:pPr>
      <w:r>
        <w:rPr>
          <w:rFonts w:hint="eastAsia" w:ascii="宋体" w:hAnsi="宋体"/>
          <w:b/>
          <w:color w:val="000000"/>
          <w:sz w:val="24"/>
        </w:rPr>
        <w:t xml:space="preserve">12.10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20"/>
        <w:spacing w:line="500" w:lineRule="exact"/>
        <w:tabs>
          <w:tab w:val="left" w:pos="1035" w:leader="none"/>
        </w:tabs>
        <w:rPr>
          <w:rFonts w:ascii="宋体" w:hAnsi="Arial" w:eastAsia="黑体" w:cs="宋体"/>
          <w:sz w:val="24"/>
        </w:rPr>
      </w:pPr>
      <w:r>
        <w:rPr>
          <w:rFonts w:hint="eastAsia" w:ascii="黑体" w:hAnsi="宋体" w:eastAsia="黑体"/>
          <w:bCs/>
          <w:sz w:val="28"/>
          <w:szCs w:val="28"/>
        </w:rPr>
        <w:t xml:space="preserve">13、</w:t>
      </w:r>
      <w:r>
        <w:rPr>
          <w:rFonts w:hint="eastAsia" w:ascii="黑体" w:hAnsi="宋体" w:eastAsia="黑体"/>
          <w:b/>
          <w:bCs/>
          <w:sz w:val="28"/>
          <w:szCs w:val="28"/>
        </w:rPr>
        <w:t xml:space="preserve">售后服务要求</w:t>
      </w:r>
      <w:r/>
    </w:p>
    <w:p>
      <w:pPr>
        <w:pStyle w:val="810"/>
        <w:ind w:firstLine="360"/>
        <w:spacing w:before="0" w:after="0" w:line="240" w:lineRule="auto"/>
        <w:rPr>
          <w:rFonts w:hint="eastAsia" w:ascii="宋体" w:hAnsi="宋体" w:eastAsia="宋体" w:cs="Times New Roman"/>
          <w:b w:val="0"/>
          <w:sz w:val="24"/>
          <w:szCs w:val="24"/>
        </w:rPr>
      </w:pPr>
      <w:r>
        <w:rPr>
          <w:rFonts w:hint="eastAsia" w:ascii="宋体" w:hAnsi="宋体" w:eastAsia="宋体" w:cs="Times New Roman"/>
          <w:b w:val="0"/>
          <w:sz w:val="24"/>
          <w:szCs w:val="24"/>
        </w:rPr>
        <w:t xml:space="preserve">13.1 中标人运营达到行业规范要求，及达到滨海县民政局、财政局《关于印发&lt;滨海县居家社区养老服务机构建设和运营补助实施细则（试行）&gt;的通知》（滨民发〔2023〕51号）、《关于印发&lt;滨海县长者幸福食堂建设和运营补助实施细则（试行）》的通知》（滨民发〔2023〕69号）。</w:t>
      </w:r>
      <w:r/>
    </w:p>
    <w:p>
      <w:pPr>
        <w:pStyle w:val="825"/>
      </w:pPr>
      <w:r/>
      <w:r/>
    </w:p>
    <w:p>
      <w:pPr>
        <w:pStyle w:val="822"/>
        <w:ind w:firstLine="420"/>
        <w:jc w:val="both"/>
        <w:keepLines/>
        <w:keepNext/>
        <w:spacing w:beforeAutospacing="0" w:afterAutospacing="0"/>
      </w:pPr>
      <w:r/>
      <w:bookmarkStart w:id="115" w:name="_Toc14577359"/>
      <w:r/>
      <w:bookmarkStart w:id="116" w:name="_Toc49090510"/>
      <w:r>
        <w:rPr>
          <w:rFonts w:ascii="Arial" w:hAnsi="Arial" w:cs="Arial"/>
          <w:color w:val="000000"/>
          <w:sz w:val="28"/>
          <w:szCs w:val="28"/>
        </w:rPr>
        <w:t xml:space="preserve">14</w:t>
      </w:r>
      <w:r>
        <w:rPr>
          <w:rFonts w:ascii="Arial" w:hAnsi="Arial" w:cs="Arial"/>
          <w:color w:val="000000"/>
          <w:sz w:val="28"/>
          <w:szCs w:val="28"/>
        </w:rPr>
        <w:t xml:space="preserve">、投标函和开标一览表</w:t>
      </w:r>
      <w:bookmarkEnd w:id="115"/>
      <w:r/>
      <w:bookmarkEnd w:id="116"/>
      <w:r/>
      <w:r/>
    </w:p>
    <w:p>
      <w:pPr>
        <w:pStyle w:val="822"/>
        <w:ind w:firstLine="480"/>
        <w:jc w:val="both"/>
        <w:spacing w:beforeAutospacing="0" w:afterAutospacing="0" w:line="0" w:lineRule="atLeast"/>
      </w:pPr>
      <w:r>
        <w:rPr>
          <w:rFonts w:hint="eastAsia" w:ascii="宋体" w:hAnsi="宋体" w:eastAsia="宋体" w:cs="宋体"/>
          <w:color w:val="000000"/>
        </w:rPr>
        <w:t xml:space="preserve">14.1供应商应按照招标文件中提供的格式完整、正确填写投标函、开标一览表。</w:t>
      </w:r>
      <w:r/>
    </w:p>
    <w:p>
      <w:pPr>
        <w:pStyle w:val="822"/>
        <w:ind w:firstLine="480"/>
        <w:jc w:val="both"/>
        <w:spacing w:beforeAutospacing="0" w:afterAutospacing="0" w:line="0" w:lineRule="atLeast"/>
        <w:rPr>
          <w:rFonts w:hint="eastAsia" w:ascii="宋体" w:hAnsi="宋体" w:eastAsia="宋体" w:cs="宋体"/>
          <w:b/>
          <w:color w:val="000000"/>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ind w:firstLine="480"/>
        <w:spacing w:line="360" w:lineRule="auto"/>
        <w:rPr>
          <w:rFonts w:hint="eastAsia" w:ascii="宋体" w:hAnsi="宋体"/>
          <w:bCs/>
          <w:color w:val="000000"/>
          <w:sz w:val="24"/>
        </w:rPr>
      </w:pPr>
      <w:r>
        <w:rPr>
          <w:rFonts w:hint="eastAsia" w:ascii="宋体" w:hAnsi="宋体" w:cs="宋体"/>
          <w:color w:val="000000"/>
          <w:sz w:val="24"/>
        </w:rPr>
        <w:t xml:space="preserve">14.3投标文件的大写金额和小写金额不一致的，以大写金额为准；对不同文字文本投标的解释发生异议的，以中文文本为准。</w:t>
      </w:r>
      <w:r/>
    </w:p>
    <w:p>
      <w:pPr>
        <w:pStyle w:val="822"/>
        <w:ind w:firstLine="420"/>
        <w:jc w:val="both"/>
        <w:keepLines/>
        <w:keepNext/>
        <w:spacing w:beforeAutospacing="0" w:afterAutospacing="0"/>
      </w:pPr>
      <w:r/>
      <w:bookmarkStart w:id="117" w:name="_Toc14577360"/>
      <w:r/>
      <w:bookmarkStart w:id="118" w:name="_Toc49090511"/>
      <w:r/>
      <w:bookmarkStart w:id="119" w:name="_Hlt26670489"/>
      <w:r/>
      <w:bookmarkStart w:id="120" w:name="_Hlt26954850"/>
      <w:r/>
      <w:bookmarkStart w:id="121" w:name="_Hlt26954734"/>
      <w:r>
        <w:rPr>
          <w:rFonts w:ascii="Arial" w:hAnsi="Arial" w:cs="Arial"/>
          <w:color w:val="000000"/>
          <w:sz w:val="28"/>
          <w:szCs w:val="28"/>
        </w:rPr>
        <w:t xml:space="preserve">15</w:t>
      </w:r>
      <w:r>
        <w:rPr>
          <w:rFonts w:ascii="Arial" w:hAnsi="Arial" w:cs="Arial"/>
          <w:color w:val="000000"/>
          <w:sz w:val="28"/>
          <w:szCs w:val="28"/>
        </w:rPr>
        <w:t xml:space="preserve">、投标有效期</w:t>
      </w:r>
      <w:bookmarkEnd w:id="117"/>
      <w:r/>
      <w:bookmarkEnd w:id="118"/>
      <w:r/>
      <w:r/>
    </w:p>
    <w:p>
      <w:pPr>
        <w:pStyle w:val="822"/>
        <w:ind w:firstLine="480"/>
        <w:jc w:val="both"/>
        <w:spacing w:beforeAutospacing="0" w:afterAutospacing="0" w:line="0" w:lineRule="atLeast"/>
      </w:pPr>
      <w:r>
        <w:rPr>
          <w:rFonts w:hint="eastAsia" w:ascii="宋体" w:hAnsi="宋体" w:eastAsia="宋体" w:cs="宋体"/>
          <w:color w:val="000000"/>
        </w:rPr>
        <w:t xml:space="preserve">15.1投标有效期为采购代理机构规定的开标之日后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822"/>
        <w:ind w:firstLine="420"/>
        <w:jc w:val="both"/>
        <w:keepLines/>
        <w:keepNext/>
        <w:spacing w:beforeAutospacing="0" w:afterAutospacing="0"/>
      </w:pPr>
      <w:r>
        <w:rPr>
          <w:rFonts w:ascii="Arial" w:hAnsi="Arial" w:cs="Arial"/>
          <w:color w:val="000000"/>
          <w:sz w:val="28"/>
          <w:szCs w:val="28"/>
        </w:rPr>
        <w:t xml:space="preserve">16</w:t>
      </w:r>
      <w:r>
        <w:rPr>
          <w:rFonts w:ascii="Arial" w:hAnsi="Arial" w:cs="Arial"/>
          <w:color w:val="000000"/>
          <w:sz w:val="28"/>
          <w:szCs w:val="28"/>
        </w:rPr>
        <w:t xml:space="preserve">、投标有效期的延长</w:t>
      </w:r>
      <w:r/>
    </w:p>
    <w:p>
      <w:pPr>
        <w:pStyle w:val="822"/>
        <w:ind w:firstLine="480"/>
        <w:jc w:val="both"/>
        <w:spacing w:beforeAutospacing="0" w:afterAutospacing="0" w:line="0" w:lineRule="atLeast"/>
      </w:pPr>
      <w:r>
        <w:rPr>
          <w:rFonts w:hint="eastAsia" w:ascii="宋体" w:hAnsi="宋体" w:eastAsia="宋体" w:cs="宋体"/>
          <w:color w:val="000000"/>
        </w:rPr>
        <w:t xml:space="preserve">16.1在特殊情况下，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同时受投标有效期约束的所有权利与义务均延长至新的有效期。</w:t>
      </w:r>
      <w:r/>
    </w:p>
    <w:p>
      <w:pPr>
        <w:pStyle w:val="822"/>
        <w:ind w:firstLine="482"/>
        <w:jc w:val="both"/>
        <w:keepLines/>
        <w:keepNext/>
        <w:spacing w:before="145" w:beforeAutospacing="0" w:after="145" w:afterAutospacing="0" w:line="360" w:lineRule="auto"/>
      </w:pPr>
      <w:r/>
      <w:bookmarkStart w:id="122" w:name="_Toc16938540"/>
      <w:r/>
      <w:bookmarkStart w:id="123" w:name="_Toc20823296"/>
      <w:r/>
      <w:bookmarkStart w:id="124" w:name="_Toc513029224"/>
      <w:r/>
      <w:bookmarkStart w:id="125" w:name="_Toc120614217"/>
      <w:r/>
      <w:bookmarkStart w:id="126" w:name="_Hlt26954852"/>
      <w:r/>
      <w:bookmarkStart w:id="127" w:name="_Hlt26954739"/>
      <w:r>
        <w:rPr>
          <w:rFonts w:ascii="Times New Roman" w:hAnsi="Times New Roman"/>
          <w:b/>
          <w:color w:val="000000"/>
          <w:sz w:val="32"/>
          <w:szCs w:val="32"/>
        </w:rPr>
        <w:t xml:space="preserve">四、投标文件的递交</w:t>
      </w:r>
      <w:bookmarkEnd w:id="122"/>
      <w:r/>
      <w:bookmarkEnd w:id="123"/>
      <w:r/>
      <w:bookmarkEnd w:id="124"/>
      <w:r/>
      <w:bookmarkEnd w:id="125"/>
      <w:r/>
      <w:r/>
    </w:p>
    <w:p>
      <w:pPr>
        <w:pStyle w:val="822"/>
        <w:ind w:firstLine="560"/>
        <w:jc w:val="both"/>
        <w:keepLines/>
        <w:keepNext/>
        <w:spacing w:beforeAutospacing="0" w:afterAutospacing="0"/>
      </w:pPr>
      <w:r/>
      <w:bookmarkStart w:id="128" w:name="_Toc20823297"/>
      <w:r/>
      <w:bookmarkStart w:id="129" w:name="_Toc16938541"/>
      <w:r/>
      <w:bookmarkStart w:id="130" w:name="_Toc513029225"/>
      <w:r/>
      <w:bookmarkStart w:id="131" w:name="_Toc462564084"/>
      <w:r>
        <w:rPr>
          <w:rFonts w:ascii="Arial" w:hAnsi="Arial" w:cs="Arial"/>
          <w:color w:val="000000"/>
          <w:sz w:val="28"/>
          <w:szCs w:val="28"/>
        </w:rPr>
        <w:t xml:space="preserve">17</w:t>
      </w:r>
      <w:r>
        <w:rPr>
          <w:rFonts w:ascii="Arial" w:hAnsi="Arial" w:cs="Arial"/>
          <w:color w:val="000000"/>
          <w:sz w:val="28"/>
          <w:szCs w:val="28"/>
        </w:rPr>
        <w:t xml:space="preserve">、</w:t>
      </w:r>
      <w:r>
        <w:rPr>
          <w:rFonts w:hint="eastAsia" w:ascii="黑体" w:hAnsi="宋体" w:eastAsia="黑体" w:cs="黑体"/>
          <w:color w:val="000000"/>
          <w:sz w:val="28"/>
          <w:szCs w:val="28"/>
        </w:rPr>
        <w:t xml:space="preserve">投标文件</w:t>
      </w:r>
      <w:bookmarkEnd w:id="128"/>
      <w:r/>
      <w:bookmarkEnd w:id="129"/>
      <w:r/>
      <w:bookmarkEnd w:id="130"/>
      <w:r/>
      <w:bookmarkEnd w:id="131"/>
      <w:r>
        <w:rPr>
          <w:rFonts w:hint="eastAsia" w:ascii="黑体" w:hAnsi="宋体" w:eastAsia="黑体" w:cs="黑体"/>
          <w:color w:val="000000"/>
          <w:sz w:val="28"/>
          <w:szCs w:val="28"/>
        </w:rPr>
        <w:t xml:space="preserve">的递交</w:t>
      </w:r>
      <w:r/>
    </w:p>
    <w:p>
      <w:pPr>
        <w:pStyle w:val="822"/>
        <w:ind w:firstLine="480"/>
        <w:jc w:val="both"/>
        <w:spacing w:beforeAutospacing="0" w:afterAutospacing="0" w:line="0" w:lineRule="atLeast"/>
      </w:pPr>
      <w:r>
        <w:rPr>
          <w:rFonts w:hint="eastAsia" w:ascii="宋体" w:hAnsi="宋体" w:eastAsia="宋体" w:cs="宋体"/>
          <w:color w:val="000000"/>
        </w:rPr>
        <w:t xml:space="preserve">17.1 电子投标文件的递交</w:t>
      </w:r>
      <w:r/>
    </w:p>
    <w:p>
      <w:pPr>
        <w:pStyle w:val="822"/>
        <w:ind w:left="210"/>
        <w:jc w:val="both"/>
        <w:spacing w:beforeAutospacing="0" w:afterAutospacing="0"/>
      </w:pPr>
      <w:r>
        <w:rPr>
          <w:rFonts w:hint="eastAsia" w:ascii="宋体" w:hAnsi="宋体" w:eastAsia="宋体" w:cs="宋体"/>
          <w:color w:val="000000"/>
        </w:rPr>
        <w:t xml:space="preserve">供应商应当按照《操作手册》规定，在投标截止时间前制作并上传电子投标文件。</w:t>
      </w:r>
      <w:bookmarkStart w:id="132" w:name="_Toc16938542"/>
      <w:r/>
      <w:bookmarkStart w:id="133" w:name="_Toc20823298"/>
      <w:r/>
      <w:bookmarkStart w:id="134" w:name="_Toc513029226"/>
      <w:r/>
      <w:bookmarkEnd w:id="132"/>
      <w:r/>
      <w:bookmarkEnd w:id="133"/>
      <w:r/>
      <w:r/>
    </w:p>
    <w:p>
      <w:pPr>
        <w:pStyle w:val="822"/>
        <w:ind w:firstLine="420"/>
        <w:jc w:val="both"/>
        <w:keepLines/>
        <w:keepNext/>
        <w:spacing w:before="280" w:beforeAutospacing="0" w:after="290" w:afterAutospacing="0" w:line="374" w:lineRule="auto"/>
      </w:pPr>
      <w:r>
        <w:rPr>
          <w:rFonts w:ascii="Arial" w:hAnsi="Arial" w:cs="Arial"/>
          <w:color w:val="000000"/>
          <w:sz w:val="28"/>
          <w:szCs w:val="28"/>
        </w:rPr>
        <w:t xml:space="preserve">18</w:t>
      </w:r>
      <w:r>
        <w:rPr>
          <w:rFonts w:ascii="Arial" w:hAnsi="Arial" w:cs="Arial"/>
          <w:color w:val="000000"/>
          <w:sz w:val="28"/>
          <w:szCs w:val="28"/>
        </w:rPr>
        <w:t xml:space="preserve">、投标截止时间</w:t>
      </w:r>
      <w:r/>
    </w:p>
    <w:p>
      <w:pPr>
        <w:pStyle w:val="822"/>
        <w:ind w:firstLine="480"/>
        <w:jc w:val="both"/>
        <w:spacing w:beforeAutospacing="0" w:afterAutospacing="0" w:line="0" w:lineRule="atLeast"/>
      </w:pPr>
      <w:r>
        <w:rPr>
          <w:rFonts w:hint="eastAsia" w:ascii="宋体" w:hAnsi="宋体" w:eastAsia="宋体" w:cs="宋体"/>
          <w:i/>
          <w:color w:val="000000"/>
          <w:u w:val="single"/>
        </w:rPr>
        <w:t xml:space="preserve">18.1供应商上传电子投标文件的时间不得迟于招标公告中规定的投标截止时间。</w:t>
      </w:r>
      <w:r/>
    </w:p>
    <w:p>
      <w:pPr>
        <w:pStyle w:val="822"/>
        <w:ind w:firstLine="480"/>
        <w:jc w:val="both"/>
        <w:spacing w:beforeAutospacing="0" w:afterAutospacing="0" w:line="0" w:lineRule="atLeast"/>
      </w:pPr>
      <w:r>
        <w:rPr>
          <w:rFonts w:hint="eastAsia" w:ascii="宋体" w:hAnsi="宋体" w:eastAsia="宋体" w:cs="宋体"/>
          <w:color w:val="000000"/>
        </w:rPr>
        <w:t xml:space="preserve">供应商应充分考虑到网络环境、网络带宽等风险因素，如因供应商自身原因造成的电子投标文件上传不成功的按照本招标文件第二章第26.1.2条 规定做无效投标处理。</w:t>
      </w:r>
      <w:r/>
    </w:p>
    <w:p>
      <w:pPr>
        <w:pStyle w:val="822"/>
        <w:ind w:firstLine="480"/>
        <w:jc w:val="both"/>
        <w:spacing w:beforeAutospacing="0" w:afterAutospacing="0" w:line="0" w:lineRule="atLeast"/>
      </w:pPr>
      <w:r>
        <w:rPr>
          <w:rFonts w:hint="eastAsia" w:ascii="宋体" w:hAnsi="宋体" w:eastAsia="宋体" w:cs="宋体"/>
          <w:color w:val="000000"/>
        </w:rPr>
        <w:t xml:space="preserve">18.2采购代理机构可以按照规定，通过修改招标文件酌情延长投标截止时间，在此情况下，供应商的所有权利和义务以及供应商受制的截止时间均应以延长后新的截止时间为准。</w:t>
      </w:r>
      <w:r/>
    </w:p>
    <w:p>
      <w:pPr>
        <w:pStyle w:val="822"/>
        <w:ind w:firstLine="420"/>
        <w:jc w:val="both"/>
        <w:keepLines/>
        <w:keepNext/>
        <w:spacing w:beforeAutospacing="0" w:afterAutospacing="0"/>
      </w:pPr>
      <w:r/>
      <w:bookmarkStart w:id="135" w:name="_Toc513029227"/>
      <w:r/>
      <w:bookmarkStart w:id="136" w:name="_Toc16938543"/>
      <w:r/>
      <w:bookmarkStart w:id="137" w:name="_Toc20823299"/>
      <w:r>
        <w:rPr>
          <w:rFonts w:ascii="Arial" w:hAnsi="Arial" w:cs="Arial"/>
          <w:color w:val="000000"/>
          <w:sz w:val="28"/>
          <w:szCs w:val="28"/>
        </w:rPr>
        <w:t xml:space="preserve">19</w:t>
      </w:r>
      <w:r>
        <w:rPr>
          <w:rFonts w:ascii="Arial" w:hAnsi="Arial" w:cs="Arial"/>
          <w:color w:val="000000"/>
          <w:sz w:val="28"/>
          <w:szCs w:val="28"/>
        </w:rPr>
        <w:t xml:space="preserve">、投标文件</w:t>
      </w:r>
      <w:bookmarkEnd w:id="135"/>
      <w:r/>
      <w:bookmarkEnd w:id="136"/>
      <w:r/>
      <w:bookmarkEnd w:id="137"/>
      <w:r>
        <w:rPr>
          <w:rFonts w:ascii="Arial" w:hAnsi="Arial" w:cs="Arial"/>
          <w:color w:val="000000"/>
          <w:sz w:val="28"/>
          <w:szCs w:val="28"/>
        </w:rPr>
        <w:t xml:space="preserve">的拒收</w:t>
      </w:r>
      <w:r/>
    </w:p>
    <w:p>
      <w:pPr>
        <w:pStyle w:val="822"/>
        <w:ind w:firstLine="480"/>
        <w:jc w:val="both"/>
        <w:spacing w:beforeAutospacing="0" w:afterAutospacing="0" w:line="0" w:lineRule="atLeast"/>
      </w:pPr>
      <w:r>
        <w:rPr>
          <w:rFonts w:hint="eastAsia" w:ascii="宋体" w:hAnsi="宋体" w:eastAsia="宋体" w:cs="宋体"/>
          <w:color w:val="000000"/>
        </w:rPr>
        <w:t xml:space="preserve">19.1采购代理机构拒绝接收在其规定的投标截止时间后上传的任何投标文件。</w:t>
      </w:r>
      <w:r/>
    </w:p>
    <w:p>
      <w:pPr>
        <w:pStyle w:val="822"/>
        <w:ind w:firstLine="420"/>
        <w:jc w:val="both"/>
        <w:keepLines/>
        <w:keepNext/>
        <w:spacing w:beforeAutospacing="0" w:afterAutospacing="0"/>
      </w:pPr>
      <w:r/>
      <w:bookmarkStart w:id="138" w:name="_Toc513029228"/>
      <w:r/>
      <w:bookmarkStart w:id="139" w:name="_Toc20823300"/>
      <w:r/>
      <w:bookmarkStart w:id="140" w:name="_Toc16938544"/>
      <w:r>
        <w:rPr>
          <w:rFonts w:ascii="Arial" w:hAnsi="Arial" w:cs="Arial"/>
          <w:color w:val="000000"/>
          <w:sz w:val="28"/>
          <w:szCs w:val="28"/>
        </w:rPr>
        <w:t xml:space="preserve">20</w:t>
      </w:r>
      <w:r>
        <w:rPr>
          <w:rFonts w:ascii="Arial" w:hAnsi="Arial" w:cs="Arial"/>
          <w:color w:val="000000"/>
          <w:sz w:val="28"/>
          <w:szCs w:val="28"/>
        </w:rPr>
        <w:t xml:space="preserve">、投标文件的撤回和修改</w:t>
      </w:r>
      <w:bookmarkEnd w:id="138"/>
      <w:r/>
      <w:bookmarkEnd w:id="139"/>
      <w:r/>
      <w:bookmarkEnd w:id="140"/>
      <w:r/>
      <w:r/>
    </w:p>
    <w:p>
      <w:pPr>
        <w:pStyle w:val="822"/>
        <w:ind w:firstLine="480"/>
        <w:jc w:val="both"/>
        <w:spacing w:beforeAutospacing="0" w:afterAutospacing="0" w:line="0" w:lineRule="atLeast"/>
      </w:pPr>
      <w:r>
        <w:rPr>
          <w:rFonts w:hint="eastAsia" w:ascii="宋体" w:hAnsi="宋体" w:eastAsia="宋体" w:cs="宋体"/>
          <w:color w:val="000000"/>
        </w:rPr>
        <w:t xml:space="preserve">20.1投标文件的撤回</w:t>
      </w:r>
      <w:r/>
    </w:p>
    <w:p>
      <w:pPr>
        <w:pStyle w:val="822"/>
        <w:ind w:firstLine="480"/>
        <w:jc w:val="both"/>
        <w:spacing w:beforeAutospacing="0" w:afterAutospacing="0" w:line="0" w:lineRule="atLeast"/>
      </w:pPr>
      <w:r>
        <w:rPr>
          <w:rFonts w:hint="eastAsia" w:ascii="宋体" w:hAnsi="宋体" w:eastAsia="宋体" w:cs="宋体"/>
          <w:color w:val="000000"/>
        </w:rPr>
        <w:t xml:space="preserve">21.1.1电子投标文件的撤回</w:t>
      </w:r>
      <w:r/>
    </w:p>
    <w:p>
      <w:pPr>
        <w:pStyle w:val="822"/>
        <w:ind w:firstLine="480"/>
        <w:jc w:val="both"/>
        <w:spacing w:beforeAutospacing="0" w:afterAutospacing="0" w:line="0" w:lineRule="atLeast"/>
      </w:pPr>
      <w:r>
        <w:rPr>
          <w:rFonts w:hint="eastAsia" w:ascii="宋体" w:hAnsi="宋体" w:eastAsia="宋体" w:cs="宋体"/>
          <w:color w:val="000000"/>
        </w:rPr>
        <w:t xml:space="preserve">供应商可在投标截止时间前，撤回其电子投标文件，具体操作方法见《操作手册》。</w:t>
      </w:r>
      <w:r/>
    </w:p>
    <w:p>
      <w:pPr>
        <w:pStyle w:val="822"/>
        <w:ind w:firstLine="480"/>
        <w:jc w:val="both"/>
        <w:spacing w:beforeAutospacing="0" w:afterAutospacing="0" w:line="0" w:lineRule="atLeast"/>
      </w:pPr>
      <w:r>
        <w:rPr>
          <w:rFonts w:hint="eastAsia" w:ascii="宋体" w:hAnsi="宋体" w:eastAsia="宋体" w:cs="宋体"/>
          <w:color w:val="000000"/>
        </w:rPr>
        <w:t xml:space="preserve">21.1.2供应商撤回电子投标文件，则认为其不再参与本项目投标活动。</w:t>
      </w:r>
      <w:r/>
    </w:p>
    <w:p>
      <w:pPr>
        <w:pStyle w:val="822"/>
        <w:ind w:firstLine="480"/>
        <w:jc w:val="both"/>
        <w:spacing w:beforeAutospacing="0" w:afterAutospacing="0" w:line="0" w:lineRule="atLeast"/>
      </w:pPr>
      <w:r>
        <w:rPr>
          <w:rFonts w:hint="eastAsia" w:ascii="宋体" w:hAnsi="宋体" w:eastAsia="宋体" w:cs="宋体"/>
          <w:color w:val="000000"/>
        </w:rPr>
        <w:t xml:space="preserve">20.2 投标文件的修改</w:t>
      </w:r>
      <w:r/>
    </w:p>
    <w:p>
      <w:pPr>
        <w:pStyle w:val="822"/>
        <w:ind w:firstLine="480"/>
        <w:jc w:val="both"/>
        <w:spacing w:beforeAutospacing="0" w:afterAutospacing="0" w:line="0" w:lineRule="atLeast"/>
      </w:pPr>
      <w:r>
        <w:rPr>
          <w:rFonts w:hint="eastAsia" w:ascii="宋体" w:hAnsi="宋体" w:eastAsia="宋体" w:cs="宋体"/>
          <w:color w:val="000000"/>
        </w:rPr>
        <w:t xml:space="preserve">20.2.1供应商可在投标截止时间前，对其电子投标文件进行修改，具体操作方法见《操作手册》。</w:t>
      </w:r>
      <w:r/>
    </w:p>
    <w:p>
      <w:pPr>
        <w:pStyle w:val="822"/>
        <w:ind w:firstLine="480"/>
        <w:jc w:val="both"/>
        <w:spacing w:beforeAutospacing="0" w:afterAutospacing="0" w:line="0" w:lineRule="atLeast"/>
      </w:pPr>
      <w:r>
        <w:rPr>
          <w:rFonts w:hint="eastAsia" w:ascii="宋体" w:hAnsi="宋体" w:eastAsia="宋体" w:cs="宋体"/>
          <w:color w:val="000000"/>
        </w:rPr>
        <w:t xml:space="preserve">20.2.2在投标截止时间之后，供应商不得对其电子投标文件作任何修改。</w:t>
      </w:r>
      <w:r/>
    </w:p>
    <w:p>
      <w:pPr>
        <w:pStyle w:val="822"/>
        <w:ind w:firstLine="480"/>
        <w:jc w:val="both"/>
        <w:spacing w:beforeAutospacing="0" w:afterAutospacing="0" w:line="0" w:lineRule="atLeast"/>
      </w:pPr>
      <w:r>
        <w:rPr>
          <w:rFonts w:hint="eastAsia" w:ascii="宋体" w:hAnsi="宋体" w:eastAsia="宋体" w:cs="宋体"/>
          <w:color w:val="000000"/>
        </w:rPr>
        <w:t xml:space="preserve">20.3在投标截止时间至招标文件中规定的投标有效期满之间的这段时间内，供应商不得撤回其投标。</w:t>
      </w:r>
      <w:r/>
    </w:p>
    <w:p>
      <w:pPr>
        <w:pStyle w:val="822"/>
        <w:ind w:firstLine="482"/>
        <w:jc w:val="both"/>
        <w:keepLines/>
        <w:keepNext/>
        <w:spacing w:before="145" w:beforeAutospacing="0" w:after="145" w:afterAutospacing="0" w:line="360" w:lineRule="auto"/>
      </w:pPr>
      <w:r/>
      <w:bookmarkStart w:id="141" w:name="_Toc20823301"/>
      <w:r/>
      <w:bookmarkStart w:id="142" w:name="_Toc16938545"/>
      <w:r/>
      <w:bookmarkStart w:id="143" w:name="_Toc120614218"/>
      <w:r/>
      <w:bookmarkStart w:id="144" w:name="_Toc513029229"/>
      <w:r>
        <w:rPr>
          <w:rFonts w:ascii="Times New Roman" w:hAnsi="Times New Roman"/>
          <w:b/>
          <w:color w:val="000000"/>
          <w:sz w:val="32"/>
          <w:szCs w:val="32"/>
        </w:rPr>
        <w:t xml:space="preserve">五、开标与评标</w:t>
      </w:r>
      <w:bookmarkEnd w:id="141"/>
      <w:r/>
      <w:bookmarkEnd w:id="142"/>
      <w:r/>
      <w:bookmarkEnd w:id="143"/>
      <w:r/>
      <w:bookmarkEnd w:id="144"/>
      <w:r/>
      <w:r/>
    </w:p>
    <w:p>
      <w:pPr>
        <w:pStyle w:val="822"/>
        <w:ind w:firstLine="420"/>
        <w:jc w:val="both"/>
        <w:keepLines/>
        <w:keepNext/>
        <w:spacing w:beforeAutospacing="0" w:afterAutospacing="0"/>
      </w:pPr>
      <w:r/>
      <w:bookmarkStart w:id="145" w:name="_Toc20823302"/>
      <w:r/>
      <w:bookmarkStart w:id="146" w:name="_Toc513029230"/>
      <w:r/>
      <w:bookmarkStart w:id="147" w:name="_Toc16938546"/>
      <w:r>
        <w:rPr>
          <w:rFonts w:ascii="Arial" w:hAnsi="Arial" w:cs="Arial"/>
          <w:sz w:val="28"/>
          <w:szCs w:val="28"/>
        </w:rPr>
        <w:t xml:space="preserve">21</w:t>
      </w:r>
      <w:r>
        <w:rPr>
          <w:rFonts w:ascii="Arial" w:hAnsi="Arial" w:cs="Arial"/>
          <w:sz w:val="28"/>
          <w:szCs w:val="28"/>
        </w:rPr>
        <w:t xml:space="preserve">、开标</w:t>
      </w:r>
      <w:bookmarkEnd w:id="145"/>
      <w:r/>
      <w:bookmarkEnd w:id="146"/>
      <w:r/>
      <w:bookmarkEnd w:id="147"/>
      <w:r/>
      <w:r/>
    </w:p>
    <w:p>
      <w:pPr>
        <w:pStyle w:val="822"/>
        <w:ind w:firstLine="360"/>
        <w:jc w:val="both"/>
        <w:spacing w:beforeAutospacing="0" w:afterAutospacing="0"/>
      </w:pPr>
      <w:r>
        <w:rPr>
          <w:rFonts w:hint="eastAsia" w:ascii="宋体" w:hAnsi="宋体" w:eastAsia="宋体" w:cs="宋体"/>
        </w:rPr>
        <w:t xml:space="preserve">21.1采购代理机构将在招标公告中规定的时间和地点组织公开开标。供应商应当按照《操作手册》规定，参加开标活动和在苏采云系统规定的时间内对投标文件进行解密。</w:t>
      </w:r>
      <w:r/>
    </w:p>
    <w:p>
      <w:pPr>
        <w:pStyle w:val="822"/>
        <w:ind w:firstLine="480"/>
        <w:jc w:val="both"/>
        <w:spacing w:beforeAutospacing="0" w:afterAutospacing="0" w:line="0" w:lineRule="atLeast"/>
      </w:pPr>
      <w:r>
        <w:rPr>
          <w:rFonts w:hint="eastAsia" w:ascii="宋体" w:hAnsi="宋体" w:eastAsia="宋体" w:cs="宋体"/>
        </w:rPr>
        <w:t xml:space="preserve">21.2开标仪式由采购代理机构组织。苏采云系统将自动对项目进行开标，并宣布各供应商名称和投标价格。</w:t>
      </w:r>
      <w:r/>
    </w:p>
    <w:p>
      <w:pPr>
        <w:pStyle w:val="822"/>
        <w:ind w:firstLine="480"/>
        <w:jc w:val="both"/>
        <w:spacing w:beforeAutospacing="0" w:afterAutospacing="0" w:line="0" w:lineRule="atLeast"/>
      </w:pPr>
      <w:r>
        <w:rPr>
          <w:rFonts w:hint="eastAsia" w:ascii="宋体" w:hAnsi="宋体" w:eastAsia="宋体" w:cs="宋体"/>
        </w:rPr>
        <w:t xml:space="preserve">21.3供应商在开标过程中涉及到的投标文件解密、开标结果确认等工作，应按照《操作手册》规定执行。</w:t>
      </w:r>
      <w:r/>
    </w:p>
    <w:p>
      <w:pPr>
        <w:pStyle w:val="822"/>
        <w:ind w:firstLine="480"/>
        <w:jc w:val="both"/>
        <w:spacing w:beforeAutospacing="0" w:afterAutospacing="0" w:line="0" w:lineRule="atLeast"/>
      </w:pPr>
      <w:r>
        <w:rPr>
          <w:rFonts w:hint="eastAsia" w:ascii="宋体" w:hAnsi="宋体" w:eastAsia="宋体" w:cs="宋体"/>
        </w:rPr>
        <w:t xml:space="preserve">21.4供应商如果对开标过程和开标记录有疑义，应当根据《操作手册》规定提出，如苏采云系统中《开标记录表》宣布后5分钟内未提出的，视同认可开标结果。</w:t>
      </w:r>
      <w:r/>
    </w:p>
    <w:p>
      <w:pPr>
        <w:pStyle w:val="822"/>
        <w:ind w:firstLine="420"/>
        <w:jc w:val="both"/>
        <w:keepLines/>
        <w:keepNext/>
        <w:spacing w:beforeAutospacing="0" w:afterAutospacing="0"/>
      </w:pPr>
      <w:r/>
      <w:bookmarkStart w:id="148" w:name="_Toc16938547"/>
      <w:r/>
      <w:bookmarkStart w:id="149" w:name="_Toc513029231"/>
      <w:r/>
      <w:bookmarkStart w:id="150" w:name="_Toc20823303"/>
      <w:r>
        <w:rPr>
          <w:rFonts w:ascii="Arial" w:hAnsi="Arial" w:cs="Arial"/>
          <w:sz w:val="28"/>
          <w:szCs w:val="28"/>
        </w:rPr>
        <w:t xml:space="preserve">22</w:t>
      </w:r>
      <w:r>
        <w:rPr>
          <w:rFonts w:ascii="Arial" w:hAnsi="Arial" w:cs="Arial"/>
          <w:sz w:val="28"/>
          <w:szCs w:val="28"/>
        </w:rPr>
        <w:t xml:space="preserve">、评标委员会</w:t>
      </w:r>
      <w:bookmarkEnd w:id="148"/>
      <w:r/>
      <w:bookmarkEnd w:id="149"/>
      <w:r/>
      <w:bookmarkEnd w:id="150"/>
      <w:r/>
      <w:r/>
    </w:p>
    <w:p>
      <w:pPr>
        <w:pStyle w:val="82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22.1开标后，采购代理机构将立即组织评标委员会（以下简称评委会）进行评标。</w:t>
      </w:r>
      <w:r/>
    </w:p>
    <w:p>
      <w:pPr>
        <w:pStyle w:val="82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2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22.3评委会独立工作，负责评审所有投标文件并确定中标侯选人。</w:t>
      </w:r>
      <w:r/>
    </w:p>
    <w:p>
      <w:pPr>
        <w:pStyle w:val="822"/>
        <w:ind w:firstLine="420"/>
        <w:jc w:val="both"/>
        <w:keepLines/>
        <w:keepNext/>
        <w:spacing w:beforeAutospacing="0" w:afterAutospacing="0"/>
      </w:pPr>
      <w:r>
        <w:rPr>
          <w:rFonts w:hint="eastAsia" w:ascii="黑体" w:hAnsi="宋体" w:eastAsia="黑体" w:cs="黑体"/>
          <w:color w:val="000000"/>
          <w:sz w:val="28"/>
          <w:szCs w:val="28"/>
        </w:rPr>
        <w:t xml:space="preserve">23、评标过程的保密与公正</w:t>
      </w:r>
      <w:r/>
    </w:p>
    <w:p>
      <w:pPr>
        <w:pStyle w:val="822"/>
        <w:ind w:firstLine="480"/>
        <w:jc w:val="both"/>
        <w:spacing w:beforeAutospacing="0" w:afterAutospacing="0" w:line="0" w:lineRule="atLeast"/>
      </w:pPr>
      <w:r>
        <w:rPr>
          <w:rFonts w:hint="eastAsia" w:ascii="宋体" w:hAnsi="宋体" w:eastAsia="宋体" w:cs="宋体"/>
          <w:color w:val="000000"/>
        </w:rPr>
        <w:t xml:space="preserve">23.1凡是与审查、澄清、评价和比较投标的有关资料以及授标建议等，采购人、评委、采购代理机构均不得向供应商或与评标无关的其他人员透露。</w:t>
      </w:r>
      <w:r/>
    </w:p>
    <w:p>
      <w:pPr>
        <w:pStyle w:val="822"/>
        <w:ind w:firstLine="480"/>
        <w:jc w:val="both"/>
        <w:spacing w:beforeAutospacing="0" w:afterAutospacing="0" w:line="0" w:lineRule="atLeast"/>
      </w:pPr>
      <w:r>
        <w:rPr>
          <w:rFonts w:hint="eastAsia" w:ascii="宋体" w:hAnsi="宋体" w:eastAsia="宋体" w:cs="宋体"/>
          <w:color w:val="000000"/>
        </w:rPr>
        <w:t xml:space="preserve">23.2在评标过程中，供应商不得以任何行为影响评标过程，否则其投标文件将被作为无效投标文件。</w:t>
      </w:r>
      <w:r/>
    </w:p>
    <w:p>
      <w:pPr>
        <w:pStyle w:val="822"/>
        <w:ind w:firstLine="480"/>
        <w:jc w:val="both"/>
        <w:spacing w:beforeAutospacing="0" w:afterAutospacing="0" w:line="0" w:lineRule="atLeast"/>
      </w:pPr>
      <w:r>
        <w:rPr>
          <w:rFonts w:hint="eastAsia" w:ascii="宋体" w:hAnsi="宋体" w:eastAsia="宋体" w:cs="宋体"/>
          <w:color w:val="000000"/>
        </w:rPr>
        <w:t xml:space="preserve">23.</w:t>
      </w:r>
      <w:r>
        <w:rPr>
          <w:rFonts w:hint="eastAsia" w:ascii="宋体" w:hAnsi="宋体" w:eastAsia="宋体" w:cs="宋体"/>
        </w:rPr>
        <w:t xml:space="preserve">3采购代理机构和评标委员会不向未中标的供应商解释未中标原因，也不公布评标过程中的相关细节。</w:t>
      </w:r>
      <w:r/>
    </w:p>
    <w:p>
      <w:pPr>
        <w:pStyle w:val="822"/>
        <w:ind w:firstLine="420"/>
        <w:jc w:val="both"/>
        <w:keepLines/>
        <w:keepNext/>
        <w:spacing w:beforeAutospacing="0" w:afterAutospacing="0"/>
      </w:pPr>
      <w:r/>
      <w:bookmarkStart w:id="151" w:name="_Toc20823304"/>
      <w:r/>
      <w:bookmarkStart w:id="152" w:name="_Toc513029232"/>
      <w:r/>
      <w:bookmarkStart w:id="153" w:name="_Toc16938548"/>
      <w:r>
        <w:rPr>
          <w:rFonts w:ascii="Arial" w:hAnsi="Arial" w:cs="Arial"/>
          <w:color w:val="000000"/>
          <w:sz w:val="28"/>
          <w:szCs w:val="28"/>
        </w:rPr>
        <w:t xml:space="preserve">24</w:t>
      </w:r>
      <w:r>
        <w:rPr>
          <w:rFonts w:ascii="Arial" w:hAnsi="Arial" w:cs="Arial"/>
          <w:color w:val="000000"/>
          <w:sz w:val="28"/>
          <w:szCs w:val="28"/>
        </w:rPr>
        <w:t xml:space="preserve">、投标文件的澄清</w:t>
      </w:r>
      <w:bookmarkEnd w:id="151"/>
      <w:r/>
      <w:bookmarkEnd w:id="152"/>
      <w:r/>
      <w:bookmarkEnd w:id="153"/>
      <w:r/>
      <w:r/>
    </w:p>
    <w:p>
      <w:pPr>
        <w:pStyle w:val="822"/>
        <w:ind w:firstLine="480"/>
        <w:jc w:val="both"/>
        <w:spacing w:beforeAutospacing="0" w:afterAutospacing="0" w:line="0" w:lineRule="atLeast"/>
      </w:pPr>
      <w:r>
        <w:rPr>
          <w:rFonts w:hint="eastAsia" w:ascii="宋体" w:hAnsi="宋体" w:eastAsia="宋体" w:cs="宋体"/>
          <w:color w:val="000000"/>
        </w:rPr>
        <w:t xml:space="preserve">24.1评标期间，评委会对投标文件中含义不明确、同类问题表述不一致或者有明显文字和计算错误的内容 ，有权要求供应商作出必要的澄清、说明或者补正。</w:t>
      </w:r>
      <w:r/>
    </w:p>
    <w:p>
      <w:pPr>
        <w:pStyle w:val="822"/>
        <w:ind w:firstLine="480"/>
        <w:jc w:val="both"/>
        <w:spacing w:beforeAutospacing="0" w:afterAutospacing="0" w:line="0" w:lineRule="atLeast"/>
      </w:pPr>
      <w:r>
        <w:rPr>
          <w:rFonts w:hint="eastAsia" w:ascii="宋体" w:hAnsi="宋体" w:eastAsia="宋体" w:cs="宋体"/>
          <w:color w:val="000000"/>
        </w:rPr>
        <w:t xml:space="preserve">供应商的澄清、说明或者补正不得超出投标文件的范围或者改变投标文件的实质性内容。</w:t>
      </w:r>
      <w:r/>
    </w:p>
    <w:p>
      <w:pPr>
        <w:pStyle w:val="822"/>
        <w:ind w:firstLine="480"/>
        <w:jc w:val="both"/>
        <w:spacing w:beforeAutospacing="0" w:afterAutospacing="0" w:line="0" w:lineRule="atLeast"/>
      </w:pPr>
      <w:r>
        <w:rPr>
          <w:rFonts w:hint="eastAsia" w:ascii="宋体" w:hAnsi="宋体" w:eastAsia="宋体" w:cs="宋体"/>
        </w:rPr>
        <w:t xml:space="preserve">评标委员会并非对每个供应商都做澄清要求。</w:t>
      </w:r>
      <w:r/>
    </w:p>
    <w:p>
      <w:pPr>
        <w:pStyle w:val="822"/>
        <w:ind w:firstLine="480"/>
        <w:jc w:val="both"/>
        <w:spacing w:beforeAutospacing="0" w:afterAutospacing="0" w:line="0" w:lineRule="atLeast"/>
      </w:pPr>
      <w:r>
        <w:rPr>
          <w:rFonts w:hint="eastAsia" w:ascii="宋体" w:hAnsi="宋体" w:eastAsia="宋体" w:cs="宋体"/>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22"/>
        <w:jc w:val="both"/>
        <w:spacing w:beforeAutospacing="0" w:afterAutospacing="0" w:line="0" w:lineRule="atLeast"/>
      </w:pPr>
      <w:r>
        <w:rPr>
          <w:rFonts w:hint="eastAsia" w:ascii="宋体" w:hAnsi="宋体" w:eastAsia="宋体" w:cs="宋体"/>
          <w:color w:val="000000"/>
        </w:rPr>
        <w:t xml:space="preserve">    24.3接到评委会澄清、说明和补正要求的供应商如未按规定做出澄清、说明和补正，其风险由供应商自行承担。</w:t>
      </w:r>
      <w:r/>
    </w:p>
    <w:p>
      <w:pPr>
        <w:pStyle w:val="822"/>
        <w:ind w:firstLine="420"/>
        <w:jc w:val="both"/>
        <w:keepLines/>
        <w:keepNext/>
        <w:spacing w:beforeAutospacing="0" w:afterAutospacing="0"/>
      </w:pPr>
      <w:r/>
      <w:bookmarkStart w:id="154" w:name="_Toc513029233"/>
      <w:r/>
      <w:bookmarkStart w:id="155" w:name="_Toc16938549"/>
      <w:r/>
      <w:bookmarkStart w:id="156" w:name="_Toc20823305"/>
      <w:r>
        <w:rPr>
          <w:rFonts w:ascii="Arial" w:hAnsi="Arial" w:cs="Arial"/>
          <w:color w:val="000000"/>
          <w:sz w:val="28"/>
          <w:szCs w:val="28"/>
        </w:rPr>
        <w:t xml:space="preserve">25</w:t>
      </w:r>
      <w:r>
        <w:rPr>
          <w:rFonts w:ascii="Arial" w:hAnsi="Arial" w:cs="Arial"/>
          <w:color w:val="000000"/>
          <w:sz w:val="28"/>
          <w:szCs w:val="28"/>
        </w:rPr>
        <w:t xml:space="preserve">、对投标文件的初审</w:t>
      </w:r>
      <w:bookmarkEnd w:id="154"/>
      <w:r/>
      <w:bookmarkEnd w:id="155"/>
      <w:r/>
      <w:bookmarkEnd w:id="156"/>
      <w:r/>
      <w:r/>
    </w:p>
    <w:p>
      <w:pPr>
        <w:pStyle w:val="822"/>
        <w:ind w:firstLine="480"/>
        <w:jc w:val="both"/>
        <w:spacing w:beforeAutospacing="0" w:afterAutospacing="0" w:line="0" w:lineRule="atLeast"/>
      </w:pPr>
      <w:r>
        <w:rPr>
          <w:rFonts w:hint="eastAsia" w:ascii="宋体" w:hAnsi="宋体" w:eastAsia="宋体" w:cs="宋体"/>
          <w:color w:val="000000"/>
        </w:rPr>
        <w:t xml:space="preserve">25.1投标文件初审分为资格审查和符合性审查。</w:t>
      </w:r>
      <w:r/>
    </w:p>
    <w:p>
      <w:pPr>
        <w:pStyle w:val="822"/>
        <w:ind w:firstLine="480"/>
        <w:jc w:val="both"/>
        <w:spacing w:beforeAutospacing="0" w:afterAutospacing="0" w:line="0" w:lineRule="atLeast"/>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22"/>
        <w:ind w:firstLine="480"/>
        <w:jc w:val="both"/>
        <w:spacing w:beforeAutospacing="0" w:afterAutospacing="0" w:line="0" w:lineRule="atLeast"/>
      </w:pPr>
      <w:r>
        <w:rPr>
          <w:rFonts w:hint="eastAsia" w:ascii="宋体" w:hAnsi="宋体" w:eastAsia="宋体" w:cs="宋体"/>
          <w:color w:val="000000"/>
        </w:rPr>
        <w:t xml:space="preserve">采购人在进行资格性审查的同时，将在“信用中国”网站（www.creditchina.gov.cn）查询供应商的信用记录，以确定供应商是否具备投标资格,查询结果留存并归档。</w:t>
      </w:r>
      <w:r/>
    </w:p>
    <w:p>
      <w:pPr>
        <w:pStyle w:val="822"/>
        <w:ind w:firstLine="480"/>
        <w:jc w:val="both"/>
        <w:spacing w:beforeAutospacing="0" w:afterAutospacing="0" w:line="0" w:lineRule="atLeast"/>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22"/>
        <w:ind w:firstLine="480"/>
        <w:jc w:val="both"/>
        <w:spacing w:beforeAutospacing="0" w:afterAutospacing="0" w:line="0" w:lineRule="atLeast"/>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22"/>
        <w:ind w:firstLine="480"/>
        <w:jc w:val="both"/>
        <w:spacing w:beforeAutospacing="0" w:afterAutospacing="0" w:line="0" w:lineRule="atLeast"/>
      </w:pPr>
      <w:r>
        <w:rPr>
          <w:rFonts w:hint="eastAsia" w:ascii="宋体" w:hAnsi="宋体" w:eastAsia="宋体" w:cs="宋体"/>
        </w:rPr>
        <w:t xml:space="preserve">25.1.3未通过资格审查或符合性审查的供应商，采购代理机构将在苏采云系统中告知未通过资格审查或符合性审查的原因，评标结束后，采购代理机构将不再告知</w:t>
      </w:r>
      <w:r>
        <w:rPr>
          <w:rFonts w:hint="eastAsia" w:ascii="宋体" w:hAnsi="宋体" w:eastAsia="宋体" w:cs="宋体"/>
          <w:color w:val="000000"/>
        </w:rPr>
        <w:t xml:space="preserve">未通过资格审查和符合性审查的原因。</w:t>
      </w:r>
      <w:r/>
    </w:p>
    <w:p>
      <w:pPr>
        <w:pStyle w:val="822"/>
        <w:ind w:firstLine="480"/>
        <w:jc w:val="both"/>
        <w:spacing w:beforeAutospacing="0" w:afterAutospacing="0" w:line="0" w:lineRule="atLeast"/>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22"/>
        <w:ind w:firstLine="480"/>
        <w:jc w:val="both"/>
        <w:spacing w:beforeAutospacing="0" w:afterAutospacing="0" w:line="0" w:lineRule="atLeast"/>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822"/>
        <w:ind w:firstLine="480"/>
        <w:jc w:val="both"/>
        <w:spacing w:beforeAutospacing="0" w:afterAutospacing="0" w:line="0" w:lineRule="atLeast"/>
      </w:pPr>
      <w:r>
        <w:rPr>
          <w:rFonts w:hint="eastAsia" w:ascii="宋体" w:hAnsi="宋体" w:eastAsia="宋体" w:cs="宋体"/>
          <w:color w:val="000000"/>
        </w:rPr>
        <w:t xml:space="preserve">25.3如果投标文件实质上没有响应招标文件的要求，评委会将予以拒绝，供应商不得通过修改或撤销不合要求的偏离或保留而使其投标成为实质性响应的投标。</w:t>
      </w:r>
      <w:r/>
    </w:p>
    <w:p>
      <w:pPr>
        <w:pStyle w:val="822"/>
        <w:ind w:firstLine="480"/>
        <w:jc w:val="both"/>
        <w:spacing w:beforeAutospacing="0" w:afterAutospacing="0" w:line="0" w:lineRule="atLeast"/>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22"/>
        <w:ind w:firstLine="480"/>
        <w:jc w:val="both"/>
        <w:spacing w:beforeAutospacing="0" w:afterAutospacing="0" w:line="0" w:lineRule="atLeast"/>
      </w:pPr>
      <w:r>
        <w:rPr>
          <w:rFonts w:hint="eastAsia" w:ascii="宋体" w:hAnsi="宋体" w:eastAsia="宋体" w:cs="宋体"/>
          <w:color w:val="000000"/>
        </w:rPr>
        <w:t xml:space="preserve">（1）投标文件中开标一览表内容与投标文件中相应内容不一致的，以开标一览表为准。</w:t>
      </w:r>
      <w:r/>
    </w:p>
    <w:p>
      <w:pPr>
        <w:pStyle w:val="822"/>
        <w:ind w:firstLine="480"/>
        <w:jc w:val="both"/>
        <w:spacing w:beforeAutospacing="0" w:afterAutospacing="0" w:line="0" w:lineRule="atLeast"/>
      </w:pPr>
      <w:r>
        <w:rPr>
          <w:rFonts w:hint="eastAsia" w:ascii="宋体" w:hAnsi="宋体" w:eastAsia="宋体" w:cs="宋体"/>
          <w:color w:val="000000"/>
        </w:rPr>
        <w:t xml:space="preserve">（2）大写金额和小写金额不一致的，以大写金额为准。</w:t>
      </w:r>
      <w:r/>
    </w:p>
    <w:p>
      <w:pPr>
        <w:pStyle w:val="822"/>
        <w:ind w:firstLine="480"/>
        <w:jc w:val="both"/>
        <w:spacing w:beforeAutospacing="0" w:afterAutospacing="0" w:line="0" w:lineRule="atLeast"/>
      </w:pPr>
      <w:r>
        <w:rPr>
          <w:rFonts w:hint="eastAsia" w:ascii="宋体" w:hAnsi="宋体" w:eastAsia="宋体" w:cs="宋体"/>
          <w:color w:val="000000"/>
        </w:rPr>
        <w:t xml:space="preserve">（3）单价金额小数点或者百分比有明显错位的，以开标一览表的总价为准，并修改单价。</w:t>
      </w:r>
      <w:r/>
    </w:p>
    <w:p>
      <w:pPr>
        <w:pStyle w:val="822"/>
        <w:ind w:firstLine="480"/>
        <w:jc w:val="both"/>
        <w:spacing w:beforeAutospacing="0" w:afterAutospacing="0" w:line="0" w:lineRule="atLeast"/>
      </w:pPr>
      <w:r>
        <w:rPr>
          <w:rFonts w:hint="eastAsia" w:ascii="宋体" w:hAnsi="宋体" w:eastAsia="宋体" w:cs="宋体"/>
          <w:color w:val="000000"/>
        </w:rPr>
        <w:t xml:space="preserve">（4）总价金额与按单价汇总金额不一致的，以单价金额计算结果为准。</w:t>
      </w:r>
      <w:r/>
    </w:p>
    <w:p>
      <w:pPr>
        <w:pStyle w:val="822"/>
        <w:ind w:firstLine="480"/>
        <w:jc w:val="both"/>
        <w:spacing w:beforeAutospacing="0" w:afterAutospacing="0" w:line="0" w:lineRule="atLeast"/>
      </w:pPr>
      <w:r>
        <w:rPr>
          <w:rFonts w:hint="eastAsia" w:ascii="宋体" w:hAnsi="宋体" w:eastAsia="宋体" w:cs="宋体"/>
        </w:rPr>
        <w:t xml:space="preserve">同时出现两种以上错误的，按照前款规定的顺序修正。</w:t>
      </w:r>
      <w:r/>
    </w:p>
    <w:p>
      <w:pPr>
        <w:pStyle w:val="822"/>
        <w:ind w:firstLine="480"/>
        <w:jc w:val="both"/>
        <w:spacing w:beforeAutospacing="0" w:afterAutospacing="0" w:line="0" w:lineRule="atLeast"/>
      </w:pPr>
      <w:r>
        <w:rPr>
          <w:rFonts w:hint="eastAsia" w:ascii="宋体" w:hAnsi="宋体" w:eastAsia="宋体" w:cs="宋体"/>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pStyle w:val="822"/>
        <w:ind w:firstLine="420"/>
        <w:jc w:val="both"/>
        <w:spacing w:beforeAutospacing="0" w:afterAutospacing="0" w:line="0" w:lineRule="atLeast"/>
      </w:pPr>
      <w:r/>
      <w:bookmarkStart w:id="157" w:name="_Toc513029234"/>
      <w:r/>
      <w:bookmarkStart w:id="158" w:name="_Toc20823306"/>
      <w:r/>
      <w:bookmarkStart w:id="159" w:name="_Toc16938550"/>
      <w:r>
        <w:rPr>
          <w:rFonts w:hint="eastAsia" w:ascii="宋体" w:hAnsi="宋体" w:eastAsia="宋体" w:cs="宋体"/>
        </w:rPr>
        <w:t xml:space="preserve">25.6供应商在开、评标全过程中应保持通讯畅通，及时登录苏采云系统查阅、答复相关信息，并安排专人与采购代理机构及评标委员会联系。</w:t>
      </w:r>
      <w:bookmarkEnd w:id="157"/>
      <w:r/>
      <w:bookmarkEnd w:id="158"/>
      <w:r/>
      <w:bookmarkEnd w:id="159"/>
      <w:r/>
      <w:r/>
    </w:p>
    <w:p>
      <w:pPr>
        <w:pStyle w:val="822"/>
        <w:ind w:firstLine="420"/>
        <w:jc w:val="both"/>
        <w:keepLines/>
        <w:keepNext/>
        <w:spacing w:beforeAutospacing="0" w:afterAutospacing="0"/>
      </w:pPr>
      <w:r>
        <w:rPr>
          <w:rFonts w:ascii="Arial" w:hAnsi="Arial" w:cs="Arial"/>
          <w:sz w:val="28"/>
          <w:szCs w:val="28"/>
        </w:rPr>
        <w:t xml:space="preserve">26</w:t>
      </w:r>
      <w:r>
        <w:rPr>
          <w:rFonts w:ascii="Arial" w:hAnsi="Arial" w:cs="Arial"/>
          <w:sz w:val="28"/>
          <w:szCs w:val="28"/>
        </w:rPr>
        <w:t xml:space="preserve">、无效投标条款和废标条款</w:t>
      </w:r>
      <w:r/>
    </w:p>
    <w:p>
      <w:pPr>
        <w:pStyle w:val="822"/>
        <w:ind w:left="210"/>
        <w:jc w:val="both"/>
        <w:spacing w:beforeAutospacing="0" w:afterAutospacing="0" w:line="0" w:lineRule="atLeast"/>
      </w:pPr>
      <w:r/>
      <w:bookmarkStart w:id="160" w:name="_Toc20823307"/>
      <w:r/>
      <w:bookmarkStart w:id="161" w:name="_Toc513029235"/>
      <w:r/>
      <w:bookmarkStart w:id="162" w:name="_Toc16938551"/>
      <w:r>
        <w:rPr>
          <w:rFonts w:hint="eastAsia" w:ascii="宋体" w:hAnsi="宋体" w:eastAsia="宋体" w:cs="宋体"/>
        </w:rPr>
        <w:t xml:space="preserve">26.1无效投标条款</w:t>
      </w:r>
      <w:bookmarkEnd w:id="160"/>
      <w:r/>
      <w:bookmarkEnd w:id="161"/>
      <w:r/>
      <w:bookmarkEnd w:id="162"/>
      <w:r/>
      <w:r/>
    </w:p>
    <w:p>
      <w:pPr>
        <w:pStyle w:val="822"/>
        <w:ind w:firstLine="480"/>
        <w:jc w:val="both"/>
        <w:spacing w:beforeAutospacing="0" w:afterAutospacing="0" w:line="0" w:lineRule="atLeast"/>
      </w:pPr>
      <w:r>
        <w:rPr>
          <w:rFonts w:hint="eastAsia" w:ascii="宋体" w:hAnsi="宋体" w:eastAsia="宋体" w:cs="宋体"/>
        </w:rPr>
        <w:t xml:space="preserve">26.1.1供应商在苏采云系统规定的时间内未成功解密电子投标文件的。</w:t>
      </w:r>
      <w:r/>
    </w:p>
    <w:p>
      <w:pPr>
        <w:pStyle w:val="822"/>
        <w:ind w:firstLine="480"/>
        <w:jc w:val="both"/>
        <w:spacing w:beforeAutospacing="0" w:afterAutospacing="0" w:line="0" w:lineRule="atLeast"/>
      </w:pPr>
      <w:r>
        <w:rPr>
          <w:rFonts w:hint="eastAsia" w:ascii="宋体" w:hAnsi="宋体" w:eastAsia="宋体" w:cs="宋体"/>
        </w:rPr>
        <w:t xml:space="preserve">26.1.2供应商未按照招标文件要求上传电子投标文件的。</w:t>
      </w:r>
      <w:r/>
    </w:p>
    <w:p>
      <w:pPr>
        <w:pStyle w:val="822"/>
        <w:ind w:left="210"/>
        <w:jc w:val="both"/>
        <w:spacing w:beforeAutospacing="0" w:afterAutospacing="0" w:line="0" w:lineRule="atLeast"/>
      </w:pPr>
      <w:r>
        <w:rPr>
          <w:rFonts w:hint="eastAsia" w:ascii="宋体" w:hAnsi="宋体" w:eastAsia="宋体" w:cs="宋体"/>
        </w:rPr>
        <w:t xml:space="preserve">26.1.3同一供应商提交两个（含两个）以上不同的投标报价的。</w:t>
      </w:r>
      <w:r/>
    </w:p>
    <w:p>
      <w:pPr>
        <w:pStyle w:val="822"/>
        <w:ind w:left="210"/>
        <w:jc w:val="both"/>
        <w:spacing w:beforeAutospacing="0" w:afterAutospacing="0" w:line="0" w:lineRule="atLeast"/>
      </w:pPr>
      <w:r>
        <w:rPr>
          <w:rFonts w:hint="eastAsia" w:ascii="宋体" w:hAnsi="宋体" w:eastAsia="宋体" w:cs="宋体"/>
        </w:rPr>
        <w:t xml:space="preserve">26.1.4供应商不具备招标文件中规定资格要求的。</w:t>
      </w:r>
      <w:r/>
    </w:p>
    <w:p>
      <w:pPr>
        <w:pStyle w:val="822"/>
        <w:ind w:firstLine="480"/>
        <w:jc w:val="both"/>
        <w:spacing w:beforeAutospacing="0" w:afterAutospacing="0" w:line="0" w:lineRule="atLeast"/>
      </w:pPr>
      <w:r>
        <w:rPr>
          <w:rFonts w:hint="eastAsia" w:ascii="宋体" w:hAnsi="宋体" w:eastAsia="宋体" w:cs="宋体"/>
          <w:color w:val="000000"/>
        </w:rPr>
        <w:t xml:space="preserve">26.1.5</w:t>
      </w:r>
      <w:r>
        <w:rPr>
          <w:rFonts w:hint="eastAsia" w:ascii="宋体" w:hAnsi="宋体" w:eastAsia="宋体" w:cs="宋体"/>
          <w:color w:val="ff0000"/>
        </w:rPr>
        <w:t xml:space="preserve">供应商未按报价要求固定报价的</w:t>
      </w:r>
      <w:r>
        <w:rPr>
          <w:rFonts w:hint="eastAsia" w:ascii="宋体" w:hAnsi="宋体" w:eastAsia="宋体" w:cs="宋体"/>
          <w:color w:val="000000"/>
        </w:rPr>
        <w:t xml:space="preserve">。</w:t>
      </w:r>
      <w:r/>
    </w:p>
    <w:p>
      <w:pPr>
        <w:pStyle w:val="822"/>
        <w:ind w:firstLine="480"/>
        <w:jc w:val="both"/>
        <w:spacing w:beforeAutospacing="0" w:afterAutospacing="0" w:line="0" w:lineRule="atLeast"/>
      </w:pPr>
      <w:r>
        <w:rPr>
          <w:rFonts w:hint="eastAsia" w:ascii="宋体" w:hAnsi="宋体" w:eastAsia="宋体" w:cs="宋体"/>
          <w:color w:val="000000"/>
        </w:rPr>
        <w:t xml:space="preserve">26.1.6未通过符合性审查的。</w:t>
      </w:r>
      <w:r/>
    </w:p>
    <w:p>
      <w:pPr>
        <w:pStyle w:val="822"/>
        <w:ind w:firstLine="360"/>
        <w:jc w:val="both"/>
        <w:spacing w:beforeAutospacing="0" w:afterAutospacing="0" w:line="0" w:lineRule="atLeast"/>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22"/>
        <w:ind w:firstLine="480"/>
        <w:jc w:val="both"/>
        <w:spacing w:beforeAutospacing="0" w:afterAutospacing="0" w:line="0" w:lineRule="atLeast"/>
      </w:pPr>
      <w:r>
        <w:rPr>
          <w:rFonts w:hint="eastAsia" w:ascii="宋体" w:hAnsi="宋体" w:eastAsia="宋体" w:cs="宋体"/>
          <w:color w:val="000000"/>
        </w:rPr>
        <w:t xml:space="preserve">26.1.8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2"/>
        <w:ind w:firstLine="480"/>
        <w:jc w:val="both"/>
        <w:spacing w:beforeAutospacing="0" w:afterAutospacing="0" w:line="0" w:lineRule="atLeast"/>
      </w:pPr>
      <w:r>
        <w:rPr>
          <w:rFonts w:hint="eastAsia" w:ascii="宋体" w:hAnsi="宋体" w:eastAsia="宋体" w:cs="宋体"/>
          <w:color w:val="000000"/>
        </w:rPr>
        <w:t xml:space="preserve">26.1.9投标文件含有采购人不能接受的附加条件的。</w:t>
      </w:r>
      <w:r/>
    </w:p>
    <w:p>
      <w:pPr>
        <w:pStyle w:val="822"/>
        <w:ind w:firstLine="480"/>
        <w:jc w:val="both"/>
        <w:spacing w:beforeAutospacing="0" w:afterAutospacing="0" w:line="0" w:lineRule="atLeast"/>
      </w:pPr>
      <w:r>
        <w:rPr>
          <w:rFonts w:hint="eastAsia" w:ascii="宋体" w:hAnsi="宋体" w:eastAsia="宋体" w:cs="宋体"/>
          <w:color w:val="000000"/>
        </w:rPr>
        <w:t xml:space="preserve">26.1.10评标委员会认为供应商的报价明显低于其他通过符合性审查供应商的报价，有可能影响产品质量或者不能诚信履约</w:t>
      </w:r>
      <w:r>
        <w:rPr>
          <w:rFonts w:hint="eastAsia" w:ascii="宋体" w:hAnsi="宋体" w:eastAsia="宋体" w:cs="宋体"/>
        </w:rPr>
        <w:t xml:space="preserve">的，将通过苏采云系统要求其在合理的时间内提供说明，必要时提交相关证明材料；供应商不能证明其报价合理性的，评标委员会应当将其作为无效投标处理。</w:t>
      </w:r>
      <w:r/>
    </w:p>
    <w:p>
      <w:pPr>
        <w:pStyle w:val="822"/>
        <w:ind w:firstLine="480"/>
        <w:jc w:val="both"/>
        <w:spacing w:beforeAutospacing="0" w:afterAutospacing="0" w:line="0" w:lineRule="atLeast"/>
      </w:pPr>
      <w:r>
        <w:rPr>
          <w:rFonts w:hint="eastAsia" w:ascii="宋体" w:hAnsi="宋体" w:eastAsia="宋体" w:cs="宋体"/>
        </w:rPr>
        <w:t xml:space="preserve">26.1.11投标文件未按照招标文件要求加盖CA电子公章的。</w:t>
      </w:r>
      <w:r/>
    </w:p>
    <w:p>
      <w:pPr>
        <w:pStyle w:val="822"/>
        <w:ind w:firstLine="480"/>
        <w:jc w:val="both"/>
        <w:spacing w:beforeAutospacing="0" w:afterAutospacing="0" w:line="0" w:lineRule="atLeast"/>
      </w:pPr>
      <w:r>
        <w:rPr>
          <w:rFonts w:hint="eastAsia" w:ascii="宋体" w:hAnsi="宋体" w:eastAsia="宋体" w:cs="宋体"/>
        </w:rPr>
        <w:t xml:space="preserve">26.1.12其他法律、法规及本招标文件规定的属无效投标的情形。</w:t>
      </w:r>
      <w:r/>
    </w:p>
    <w:p>
      <w:pPr>
        <w:pStyle w:val="822"/>
        <w:ind w:left="210"/>
        <w:jc w:val="both"/>
        <w:spacing w:beforeAutospacing="0" w:afterAutospacing="0" w:line="0" w:lineRule="atLeast"/>
      </w:pPr>
      <w:r>
        <w:rPr>
          <w:rFonts w:hint="eastAsia" w:ascii="宋体" w:hAnsi="宋体" w:eastAsia="宋体" w:cs="宋体"/>
        </w:rPr>
        <w:t xml:space="preserve">26.2废标条款</w:t>
      </w:r>
      <w:r/>
    </w:p>
    <w:p>
      <w:pPr>
        <w:pStyle w:val="822"/>
        <w:ind w:left="21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22"/>
        <w:ind w:left="210"/>
        <w:jc w:val="both"/>
        <w:spacing w:beforeAutospacing="0" w:afterAutospacing="0" w:line="0" w:lineRule="atLeast"/>
      </w:pPr>
      <w:r>
        <w:rPr>
          <w:rFonts w:hint="eastAsia" w:ascii="宋体" w:hAnsi="宋体" w:eastAsia="宋体" w:cs="宋体"/>
        </w:rPr>
        <w:t xml:space="preserve">26.2.2出现影响采购公正的违法、违规行为的。</w:t>
      </w:r>
      <w:r/>
    </w:p>
    <w:p>
      <w:pPr>
        <w:pStyle w:val="822"/>
        <w:ind w:left="210"/>
        <w:jc w:val="both"/>
        <w:spacing w:beforeAutospacing="0" w:afterAutospacing="0" w:line="0" w:lineRule="atLeast"/>
      </w:pPr>
      <w:r>
        <w:rPr>
          <w:rFonts w:hint="eastAsia" w:ascii="宋体" w:hAnsi="宋体" w:eastAsia="宋体" w:cs="宋体"/>
        </w:rPr>
        <w:t xml:space="preserve">26.2.3因重大变故，采购任务取消的。</w:t>
      </w:r>
      <w:r/>
    </w:p>
    <w:p>
      <w:pPr>
        <w:pStyle w:val="822"/>
        <w:ind w:left="210"/>
        <w:jc w:val="both"/>
        <w:spacing w:beforeAutospacing="0" w:afterAutospacing="0" w:line="0" w:lineRule="atLeast"/>
      </w:pPr>
      <w:r>
        <w:rPr>
          <w:rFonts w:hint="eastAsia" w:ascii="宋体" w:hAnsi="宋体" w:eastAsia="宋体" w:cs="宋体"/>
        </w:rPr>
        <w:t xml:space="preserve">26.2.4评标委员会认定招标文件存在歧义、重大缺陷导致评审工作无法进行。</w:t>
      </w:r>
      <w:r/>
    </w:p>
    <w:p>
      <w:pPr>
        <w:pStyle w:val="822"/>
        <w:ind w:left="210"/>
        <w:jc w:val="both"/>
        <w:spacing w:beforeAutospacing="0" w:afterAutospacing="0" w:line="0" w:lineRule="atLeast"/>
      </w:pPr>
      <w:r>
        <w:rPr>
          <w:rFonts w:hint="eastAsia" w:ascii="宋体" w:hAnsi="宋体" w:eastAsia="宋体" w:cs="宋体"/>
        </w:rPr>
        <w:t xml:space="preserve">26.2.5因苏采云系统系统故障原因造成开标不成功的。</w:t>
      </w:r>
      <w:r/>
    </w:p>
    <w:p>
      <w:pPr>
        <w:pStyle w:val="822"/>
        <w:ind w:left="210"/>
        <w:jc w:val="both"/>
        <w:spacing w:beforeAutospacing="0" w:afterAutospacing="0" w:line="0" w:lineRule="atLeast"/>
      </w:pPr>
      <w:r>
        <w:rPr>
          <w:rFonts w:hint="eastAsia" w:ascii="宋体" w:hAnsi="宋体" w:eastAsia="宋体" w:cs="宋体"/>
        </w:rPr>
        <w:t xml:space="preserve">26.3 投标截止时间结束后参加投标的供应商不足三家的处理：</w:t>
      </w:r>
      <w:r/>
    </w:p>
    <w:p>
      <w:pPr>
        <w:pStyle w:val="822"/>
        <w:ind w:firstLine="480"/>
        <w:jc w:val="both"/>
        <w:spacing w:beforeAutospacing="0" w:afterAutospacing="0" w:line="0" w:lineRule="atLeast"/>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22"/>
        <w:ind w:firstLine="482"/>
        <w:jc w:val="both"/>
        <w:keepLines/>
        <w:keepNext/>
        <w:spacing w:before="145" w:beforeAutospacing="0" w:after="145" w:afterAutospacing="0" w:line="360" w:lineRule="auto"/>
      </w:pPr>
      <w:r/>
      <w:bookmarkStart w:id="163" w:name="_Toc120614219"/>
      <w:r>
        <w:rPr>
          <w:rFonts w:ascii="Times New Roman" w:hAnsi="Times New Roman"/>
          <w:b/>
          <w:color w:val="000000"/>
          <w:sz w:val="32"/>
          <w:szCs w:val="32"/>
        </w:rPr>
        <w:t xml:space="preserve">六、定标</w:t>
      </w:r>
      <w:bookmarkEnd w:id="163"/>
      <w:r/>
      <w:r/>
    </w:p>
    <w:p>
      <w:pPr>
        <w:pStyle w:val="822"/>
        <w:ind w:firstLine="600"/>
        <w:jc w:val="both"/>
        <w:keepLines/>
        <w:keepNext/>
        <w:spacing w:beforeAutospacing="0" w:afterAutospacing="0"/>
      </w:pPr>
      <w:r/>
      <w:bookmarkStart w:id="164" w:name="_Toc20823310"/>
      <w:r/>
      <w:bookmarkStart w:id="165" w:name="_Toc16938554"/>
      <w:r/>
      <w:bookmarkStart w:id="166" w:name="_Toc513029238"/>
      <w:r>
        <w:rPr>
          <w:rFonts w:hint="eastAsia" w:ascii="黑体" w:hAnsi="宋体" w:eastAsia="黑体" w:cs="黑体"/>
          <w:color w:val="000000"/>
          <w:sz w:val="30"/>
          <w:szCs w:val="30"/>
        </w:rPr>
        <w:t xml:space="preserve">27、</w:t>
      </w:r>
      <w:bookmarkEnd w:id="164"/>
      <w:r>
        <w:rPr>
          <w:rFonts w:hint="eastAsia" w:ascii="黑体" w:hAnsi="宋体" w:eastAsia="黑体" w:cs="黑体"/>
          <w:color w:val="000000"/>
          <w:sz w:val="30"/>
          <w:szCs w:val="30"/>
        </w:rPr>
        <w:t xml:space="preserve">确定</w:t>
      </w:r>
      <w:bookmarkEnd w:id="165"/>
      <w:r/>
      <w:bookmarkEnd w:id="166"/>
      <w:r>
        <w:rPr>
          <w:rFonts w:hint="eastAsia" w:ascii="黑体" w:hAnsi="宋体" w:eastAsia="黑体" w:cs="黑体"/>
          <w:color w:val="000000"/>
          <w:sz w:val="30"/>
          <w:szCs w:val="30"/>
        </w:rPr>
        <w:t xml:space="preserve">中标单位</w:t>
      </w:r>
      <w:r/>
    </w:p>
    <w:p>
      <w:pPr>
        <w:pStyle w:val="822"/>
        <w:ind w:firstLine="480"/>
        <w:jc w:val="both"/>
        <w:spacing w:beforeAutospacing="0" w:afterAutospacing="0" w:line="0" w:lineRule="atLeast"/>
      </w:pPr>
      <w:r>
        <w:rPr>
          <w:rFonts w:hint="eastAsia" w:ascii="宋体" w:hAnsi="宋体" w:eastAsia="宋体" w:cs="宋体"/>
          <w:color w:val="000000"/>
        </w:rPr>
        <w:t xml:space="preserve">27.1中标候选人的选取原则和数量见招标文件第五章规定。 </w:t>
      </w:r>
      <w:r/>
    </w:p>
    <w:p>
      <w:pPr>
        <w:pStyle w:val="822"/>
        <w:ind w:firstLine="480"/>
        <w:jc w:val="both"/>
        <w:spacing w:beforeAutospacing="0" w:afterAutospacing="0" w:line="0" w:lineRule="atLeast"/>
      </w:pPr>
      <w:r>
        <w:rPr>
          <w:rFonts w:hint="eastAsia" w:ascii="宋体" w:hAnsi="宋体" w:eastAsia="宋体" w:cs="宋体"/>
          <w:color w:val="000000"/>
        </w:rPr>
        <w:t xml:space="preserve">27.2采购人应根据评委会推荐的中标候选人确定中标人。</w:t>
      </w:r>
      <w:r/>
    </w:p>
    <w:p>
      <w:pPr>
        <w:pStyle w:val="822"/>
        <w:ind w:firstLine="480"/>
        <w:jc w:val="both"/>
        <w:spacing w:beforeAutospacing="0" w:afterAutospacing="0" w:line="0" w:lineRule="atLeast"/>
      </w:pPr>
      <w:r>
        <w:rPr>
          <w:rFonts w:hint="eastAsia" w:ascii="宋体" w:hAnsi="宋体" w:eastAsia="宋体" w:cs="宋体"/>
          <w:color w:val="000000"/>
        </w:rPr>
        <w:t xml:space="preserve">27.3采购代理机构将在“中国政府采购网”、“江苏政府采购网”、“盐城市政府采购网”发布中标公告，公告期限为1个工作日。</w:t>
      </w:r>
      <w:r/>
    </w:p>
    <w:p>
      <w:pPr>
        <w:pStyle w:val="822"/>
        <w:ind w:firstLine="480"/>
        <w:jc w:val="both"/>
        <w:spacing w:beforeAutospacing="0" w:afterAutospacing="0" w:line="0" w:lineRule="atLeast"/>
      </w:pPr>
      <w:r>
        <w:rPr>
          <w:rFonts w:hint="eastAsia" w:ascii="宋体" w:hAnsi="宋体" w:eastAsia="宋体" w:cs="宋体"/>
          <w:color w:val="000000"/>
        </w:rPr>
        <w:t xml:space="preserve">27.4若有充分证据证明，中标人出现下列情况之一的，一经查实，将被取消中标资格：</w:t>
      </w:r>
      <w:r/>
    </w:p>
    <w:p>
      <w:pPr>
        <w:pStyle w:val="822"/>
        <w:ind w:firstLine="480"/>
        <w:jc w:val="both"/>
        <w:spacing w:beforeAutospacing="0" w:afterAutospacing="0" w:line="0" w:lineRule="atLeast"/>
      </w:pPr>
      <w:r>
        <w:rPr>
          <w:rFonts w:hint="eastAsia" w:ascii="宋体" w:hAnsi="宋体" w:eastAsia="宋体" w:cs="宋体"/>
          <w:color w:val="000000"/>
        </w:rPr>
        <w:t xml:space="preserve">27.4.1提供虚假材料谋取中标的。</w:t>
      </w:r>
      <w:r/>
    </w:p>
    <w:p>
      <w:pPr>
        <w:pStyle w:val="822"/>
        <w:ind w:firstLine="480"/>
        <w:jc w:val="both"/>
        <w:spacing w:beforeAutospacing="0" w:afterAutospacing="0" w:line="0" w:lineRule="atLeast"/>
      </w:pPr>
      <w:r>
        <w:rPr>
          <w:rFonts w:hint="eastAsia" w:ascii="宋体" w:hAnsi="宋体" w:eastAsia="宋体" w:cs="宋体"/>
          <w:color w:val="000000"/>
        </w:rPr>
        <w:t xml:space="preserve">27.4.2向采购人、采购代理机构行贿或者提供其他不正当利益的。</w:t>
      </w:r>
      <w:r/>
    </w:p>
    <w:p>
      <w:pPr>
        <w:pStyle w:val="822"/>
        <w:ind w:firstLine="480"/>
        <w:jc w:val="both"/>
        <w:spacing w:beforeAutospacing="0" w:afterAutospacing="0" w:line="0" w:lineRule="atLeast"/>
      </w:pPr>
      <w:r>
        <w:rPr>
          <w:rFonts w:hint="eastAsia" w:ascii="宋体" w:hAnsi="宋体" w:eastAsia="宋体" w:cs="宋体"/>
          <w:color w:val="000000"/>
        </w:rPr>
        <w:t xml:space="preserve">27.4.3属于本文件规定的无效条件，但在评标过程中又未被评委会发现的。</w:t>
      </w:r>
      <w:r/>
    </w:p>
    <w:p>
      <w:pPr>
        <w:pStyle w:val="822"/>
        <w:ind w:firstLine="480"/>
        <w:jc w:val="both"/>
        <w:spacing w:beforeAutospacing="0" w:afterAutospacing="0" w:line="0" w:lineRule="atLeast"/>
      </w:pPr>
      <w:r>
        <w:rPr>
          <w:rFonts w:hint="eastAsia" w:ascii="宋体" w:hAnsi="宋体" w:eastAsia="宋体" w:cs="宋体"/>
          <w:color w:val="000000"/>
        </w:rPr>
        <w:t xml:space="preserve">27.4.4与采购人或者其他供应商恶意串通的。</w:t>
      </w:r>
      <w:r/>
    </w:p>
    <w:p>
      <w:pPr>
        <w:pStyle w:val="822"/>
        <w:ind w:firstLine="480"/>
        <w:jc w:val="both"/>
        <w:spacing w:beforeAutospacing="0" w:afterAutospacing="0" w:line="0" w:lineRule="atLeast"/>
      </w:pPr>
      <w:r>
        <w:rPr>
          <w:rFonts w:hint="eastAsia" w:ascii="宋体" w:hAnsi="宋体" w:eastAsia="宋体" w:cs="宋体"/>
          <w:color w:val="000000"/>
        </w:rPr>
        <w:t xml:space="preserve">27.4.5采取不正当手段诋毁、排挤其他供应商的。</w:t>
      </w:r>
      <w:r/>
    </w:p>
    <w:p>
      <w:pPr>
        <w:pStyle w:val="822"/>
        <w:ind w:firstLine="480"/>
        <w:jc w:val="both"/>
        <w:spacing w:beforeAutospacing="0" w:afterAutospacing="0" w:line="0" w:lineRule="atLeast"/>
      </w:pPr>
      <w:r/>
      <w:bookmarkStart w:id="167" w:name="_Toc200451960"/>
      <w:r>
        <w:rPr>
          <w:rFonts w:hint="eastAsia" w:ascii="宋体" w:hAnsi="宋体" w:eastAsia="宋体" w:cs="宋体"/>
          <w:color w:val="000000"/>
        </w:rPr>
        <w:t xml:space="preserve">27.5 </w:t>
      </w:r>
      <w:r>
        <w:rPr>
          <w:rFonts w:ascii="Times New Roman" w:hAnsi="Times New Roman"/>
          <w:color w:val="000000"/>
        </w:rPr>
        <w:t xml:space="preserve">有下列情形之一的，视为供应商串通投标，投标无效：</w:t>
      </w:r>
      <w:bookmarkEnd w:id="167"/>
      <w:r/>
      <w:r/>
    </w:p>
    <w:p>
      <w:pPr>
        <w:pStyle w:val="822"/>
        <w:ind w:firstLine="480"/>
        <w:jc w:val="both"/>
        <w:spacing w:beforeAutospacing="0" w:afterAutospacing="0" w:line="0" w:lineRule="atLeast"/>
      </w:pPr>
      <w:r>
        <w:rPr>
          <w:rFonts w:hint="eastAsia" w:ascii="宋体" w:hAnsi="宋体" w:eastAsia="宋体" w:cs="宋体"/>
          <w:color w:val="000000"/>
        </w:rPr>
        <w:t xml:space="preserve">27.5.1不同供应商的投标文件由同一单位或者个人编制。</w:t>
      </w:r>
      <w:r/>
    </w:p>
    <w:p>
      <w:pPr>
        <w:pStyle w:val="822"/>
        <w:ind w:firstLine="480"/>
        <w:jc w:val="both"/>
        <w:spacing w:beforeAutospacing="0" w:afterAutospacing="0" w:line="0" w:lineRule="atLeast"/>
      </w:pPr>
      <w:r>
        <w:rPr>
          <w:rFonts w:hint="eastAsia" w:ascii="宋体" w:hAnsi="宋体" w:eastAsia="宋体" w:cs="宋体"/>
          <w:color w:val="000000"/>
        </w:rPr>
        <w:t xml:space="preserve">27.5.2不同供应商委托同一单位或者个人办理投标事宜。</w:t>
      </w:r>
      <w:r/>
    </w:p>
    <w:p>
      <w:pPr>
        <w:pStyle w:val="822"/>
        <w:ind w:firstLine="480"/>
        <w:jc w:val="both"/>
        <w:spacing w:beforeAutospacing="0" w:afterAutospacing="0" w:line="0" w:lineRule="atLeast"/>
      </w:pPr>
      <w:r>
        <w:rPr>
          <w:rFonts w:hint="eastAsia" w:ascii="宋体" w:hAnsi="宋体" w:eastAsia="宋体" w:cs="宋体"/>
          <w:color w:val="000000"/>
        </w:rPr>
        <w:t xml:space="preserve">27.5.3不同供应商的投标文件载明的项目管理成员或者联系人员为同一人。</w:t>
      </w:r>
      <w:r/>
    </w:p>
    <w:p>
      <w:pPr>
        <w:pStyle w:val="822"/>
        <w:ind w:firstLine="480"/>
        <w:jc w:val="both"/>
        <w:spacing w:beforeAutospacing="0" w:afterAutospacing="0" w:line="0" w:lineRule="atLeast"/>
      </w:pPr>
      <w:r>
        <w:rPr>
          <w:rFonts w:hint="eastAsia" w:ascii="宋体" w:hAnsi="宋体" w:eastAsia="宋体" w:cs="宋体"/>
          <w:color w:val="000000"/>
        </w:rPr>
        <w:t xml:space="preserve">27.5.4不同供应商的投标文件异常一致或者投标报价呈规律性差异。</w:t>
      </w:r>
      <w:r/>
    </w:p>
    <w:p>
      <w:pPr>
        <w:pStyle w:val="822"/>
        <w:ind w:firstLine="600"/>
        <w:jc w:val="both"/>
        <w:keepLines/>
        <w:keepNext/>
        <w:spacing w:beforeAutospacing="0" w:afterAutospacing="0"/>
      </w:pPr>
      <w:r>
        <w:rPr>
          <w:rFonts w:hint="eastAsia" w:ascii="黑体" w:hAnsi="宋体" w:eastAsia="黑体" w:cs="黑体"/>
          <w:color w:val="000000"/>
          <w:sz w:val="30"/>
          <w:szCs w:val="30"/>
        </w:rPr>
        <w:t xml:space="preserve">28、质疑处理</w:t>
      </w:r>
      <w:r/>
    </w:p>
    <w:p>
      <w:pPr>
        <w:pStyle w:val="822"/>
        <w:ind w:firstLine="480"/>
        <w:jc w:val="both"/>
        <w:spacing w:beforeAutospacing="0" w:afterAutospacing="0" w:line="0" w:lineRule="atLeast"/>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22"/>
        <w:ind w:firstLine="480"/>
        <w:jc w:val="both"/>
        <w:spacing w:beforeAutospacing="0" w:afterAutospacing="0" w:line="0" w:lineRule="atLeast"/>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rPr>
        <w:t xml:space="preserve">28.4条款的规定向采购代理机构或采购人提出质疑。上述应知其权益受到损害之日，是指：</w:t>
      </w:r>
      <w:r/>
    </w:p>
    <w:p>
      <w:pPr>
        <w:pStyle w:val="822"/>
        <w:ind w:firstLine="480"/>
        <w:jc w:val="both"/>
        <w:spacing w:beforeAutospacing="0" w:afterAutospacing="0" w:line="0" w:lineRule="atLeast"/>
      </w:pPr>
      <w:r>
        <w:rPr>
          <w:rFonts w:hint="eastAsia" w:ascii="宋体" w:hAnsi="宋体" w:eastAsia="宋体" w:cs="宋体"/>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822"/>
        <w:ind w:firstLine="480"/>
        <w:jc w:val="both"/>
        <w:spacing w:beforeAutospacing="0" w:afterAutospacing="0" w:line="0" w:lineRule="atLeast"/>
      </w:pPr>
      <w:r>
        <w:rPr>
          <w:rFonts w:hint="eastAsia" w:ascii="宋体" w:hAnsi="宋体" w:eastAsia="宋体" w:cs="宋体"/>
          <w:color w:val="000000"/>
        </w:rPr>
        <w:t xml:space="preserve">28.2.2</w:t>
      </w:r>
      <w:r>
        <w:rPr>
          <w:rFonts w:ascii="Times New Roman" w:hAnsi="Times New Roman"/>
          <w:color w:val="000000"/>
        </w:rPr>
        <w:t xml:space="preserve">对采购过程提出质疑的，为各采购程序环节结束之日；</w:t>
      </w:r>
      <w:r/>
    </w:p>
    <w:p>
      <w:pPr>
        <w:pStyle w:val="822"/>
        <w:ind w:firstLine="480"/>
        <w:jc w:val="both"/>
        <w:spacing w:beforeAutospacing="0" w:afterAutospacing="0" w:line="0" w:lineRule="atLeast"/>
      </w:pPr>
      <w:r>
        <w:rPr>
          <w:rFonts w:hint="eastAsia" w:ascii="宋体" w:hAnsi="宋体" w:eastAsia="宋体" w:cs="宋体"/>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822"/>
        <w:ind w:firstLine="480"/>
        <w:jc w:val="both"/>
        <w:spacing w:beforeAutospacing="0" w:afterAutospacing="0" w:line="0" w:lineRule="atLeast"/>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22"/>
        <w:ind w:firstLine="480"/>
        <w:jc w:val="both"/>
        <w:spacing w:beforeAutospacing="0" w:afterAutospacing="0" w:line="0" w:lineRule="atLeast"/>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22"/>
        <w:ind w:firstLine="482"/>
        <w:jc w:val="both"/>
        <w:spacing w:beforeAutospacing="0" w:afterAutospacing="0" w:line="0" w:lineRule="atLeast"/>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供应商对除上述事项以外其他事项的询问、质疑请向采购代理机构提出，由采购代理机构负责答复。</w:t>
      </w:r>
      <w:r/>
    </w:p>
    <w:p>
      <w:pPr>
        <w:ind w:firstLine="480"/>
        <w:jc w:val="left"/>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采购代理机构及采购人只接收以纸质原件形式送达的质疑,采购人和采购代理机构不接受未填写快递运单的快件。质疑接收部门为公共资源交易中心业务受理处，联系地址：盐城市府西路1号市公共资源交易中心522，联系电话：0515-86665052。</w:t>
      </w:r>
      <w:r/>
    </w:p>
    <w:p>
      <w:pPr>
        <w:pStyle w:val="822"/>
        <w:ind w:firstLine="480"/>
        <w:jc w:val="both"/>
        <w:spacing w:beforeAutospacing="0" w:afterAutospacing="0" w:line="0" w:lineRule="atLeast"/>
      </w:pPr>
      <w:r>
        <w:rPr>
          <w:rFonts w:hint="eastAsia" w:ascii="宋体" w:hAnsi="宋体" w:eastAsia="宋体" w:cs="宋体"/>
          <w:color w:val="000000"/>
        </w:rPr>
        <w:t xml:space="preserve">28.5 以下情形的质疑不予受理</w:t>
      </w:r>
      <w:r/>
    </w:p>
    <w:p>
      <w:pPr>
        <w:pStyle w:val="822"/>
        <w:ind w:firstLine="480"/>
        <w:jc w:val="both"/>
        <w:spacing w:beforeAutospacing="0" w:afterAutospacing="0" w:line="0" w:lineRule="atLeast"/>
      </w:pPr>
      <w:r>
        <w:rPr>
          <w:rFonts w:hint="eastAsia" w:ascii="宋体" w:hAnsi="宋体" w:eastAsia="宋体" w:cs="宋体"/>
          <w:color w:val="000000"/>
        </w:rPr>
        <w:t xml:space="preserve">28.5.1内容不符合《政府采购质疑和投诉办法》第十二条规定的质疑。</w:t>
      </w:r>
      <w:r/>
    </w:p>
    <w:p>
      <w:pPr>
        <w:pStyle w:val="822"/>
        <w:ind w:firstLine="480"/>
        <w:jc w:val="both"/>
        <w:spacing w:beforeAutospacing="0" w:afterAutospacing="0" w:line="0" w:lineRule="atLeast"/>
      </w:pPr>
      <w:r>
        <w:rPr>
          <w:rFonts w:hint="eastAsia" w:ascii="宋体" w:hAnsi="宋体" w:eastAsia="宋体" w:cs="宋体"/>
          <w:color w:val="000000"/>
        </w:rPr>
        <w:t xml:space="preserve">28.5.2超出政府采购法定期限的质疑。</w:t>
      </w:r>
      <w:r/>
    </w:p>
    <w:p>
      <w:pPr>
        <w:pStyle w:val="822"/>
        <w:ind w:firstLine="480"/>
        <w:jc w:val="both"/>
        <w:spacing w:beforeAutospacing="0" w:afterAutospacing="0" w:line="0" w:lineRule="atLeast"/>
      </w:pPr>
      <w:r>
        <w:rPr>
          <w:rFonts w:hint="eastAsia" w:ascii="宋体" w:hAnsi="宋体" w:eastAsia="宋体" w:cs="宋体"/>
          <w:color w:val="000000"/>
        </w:rPr>
        <w:t xml:space="preserve">28.5.3以传真、电子邮件等方式递交的非原件形式的质疑。</w:t>
      </w:r>
      <w:r/>
    </w:p>
    <w:p>
      <w:pPr>
        <w:pStyle w:val="822"/>
        <w:ind w:firstLine="480"/>
        <w:jc w:val="both"/>
        <w:spacing w:beforeAutospacing="0" w:afterAutospacing="0" w:line="0" w:lineRule="atLeast"/>
      </w:pPr>
      <w:r>
        <w:rPr>
          <w:rFonts w:hint="eastAsia" w:ascii="宋体" w:hAnsi="宋体" w:eastAsia="宋体" w:cs="宋体"/>
          <w:color w:val="000000"/>
        </w:rPr>
        <w:t xml:space="preserve">28.5.4未参加投标活动的供应商或在投标活动中自身权益未受到损害的供应商所提出的质疑。</w:t>
      </w:r>
      <w:r/>
    </w:p>
    <w:p>
      <w:pPr>
        <w:pStyle w:val="822"/>
        <w:ind w:firstLine="480"/>
        <w:jc w:val="both"/>
        <w:spacing w:beforeAutospacing="0" w:afterAutospacing="0" w:line="0" w:lineRule="atLeast"/>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22"/>
        <w:ind w:firstLine="468"/>
        <w:jc w:val="both"/>
        <w:spacing w:beforeAutospacing="0" w:afterAutospacing="0" w:line="0" w:lineRule="atLeast"/>
      </w:pPr>
      <w:r>
        <w:rPr>
          <w:rFonts w:hint="eastAsia" w:ascii="宋体" w:hAnsi="宋体" w:eastAsia="宋体" w:cs="宋体"/>
          <w:color w:val="000000"/>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22"/>
        <w:ind w:firstLine="600"/>
        <w:jc w:val="both"/>
        <w:keepLines/>
        <w:keepNext/>
        <w:spacing w:beforeAutospacing="0" w:afterAutospacing="0"/>
      </w:pPr>
      <w:r>
        <w:rPr>
          <w:rFonts w:hint="eastAsia" w:ascii="黑体" w:hAnsi="宋体" w:eastAsia="黑体" w:cs="黑体"/>
          <w:color w:val="000000"/>
          <w:sz w:val="30"/>
          <w:szCs w:val="30"/>
        </w:rPr>
        <w:t xml:space="preserve">29、中标通知书</w:t>
      </w:r>
      <w:r/>
    </w:p>
    <w:p>
      <w:pPr>
        <w:pStyle w:val="822"/>
        <w:ind w:firstLine="600"/>
        <w:jc w:val="both"/>
        <w:spacing w:beforeAutospacing="0" w:afterAutospacing="0" w:line="0" w:lineRule="atLeast"/>
      </w:pPr>
      <w:r>
        <w:rPr>
          <w:rFonts w:hint="eastAsia" w:ascii="宋体" w:hAnsi="宋体" w:eastAsia="宋体" w:cs="宋体"/>
          <w:color w:val="000000"/>
        </w:rPr>
        <w:t xml:space="preserve">29.l中标结果确定后，采购代理机构将向中标人发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2"/>
        <w:ind w:firstLine="600"/>
        <w:jc w:val="both"/>
        <w:spacing w:beforeAutospacing="0" w:afterAutospacing="0" w:line="0" w:lineRule="atLeast"/>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22"/>
        <w:jc w:val="both"/>
        <w:keepLines/>
        <w:keepNext/>
        <w:spacing w:before="145" w:beforeAutospacing="0" w:after="145" w:afterAutospacing="0" w:line="360" w:lineRule="auto"/>
      </w:pPr>
      <w:r/>
      <w:bookmarkStart w:id="168" w:name="_Toc513029236"/>
      <w:r/>
      <w:bookmarkStart w:id="169" w:name="_Toc16938552"/>
      <w:r/>
      <w:bookmarkStart w:id="170" w:name="_Toc20823308"/>
      <w:r/>
      <w:bookmarkStart w:id="171" w:name="_Toc120614220"/>
      <w:r>
        <w:rPr>
          <w:rFonts w:ascii="Times New Roman" w:hAnsi="Times New Roman"/>
          <w:b/>
          <w:color w:val="000000"/>
          <w:sz w:val="32"/>
          <w:szCs w:val="32"/>
        </w:rPr>
        <w:t xml:space="preserve">七、授予合同</w:t>
      </w:r>
      <w:bookmarkEnd w:id="168"/>
      <w:r/>
      <w:bookmarkEnd w:id="169"/>
      <w:r/>
      <w:bookmarkEnd w:id="170"/>
      <w:r/>
      <w:bookmarkEnd w:id="171"/>
      <w:r/>
      <w:r/>
    </w:p>
    <w:p>
      <w:pPr>
        <w:pStyle w:val="822"/>
        <w:ind w:firstLine="600"/>
        <w:jc w:val="both"/>
        <w:keepLines/>
        <w:keepNext/>
        <w:spacing w:beforeAutospacing="0" w:afterAutospacing="0"/>
      </w:pPr>
      <w:r/>
      <w:bookmarkStart w:id="172" w:name="_Toc16938553"/>
      <w:r/>
      <w:bookmarkStart w:id="173" w:name="_Toc513029237"/>
      <w:r/>
      <w:bookmarkStart w:id="174" w:name="_Toc20823309"/>
      <w:r>
        <w:rPr>
          <w:rFonts w:hint="eastAsia" w:ascii="黑体" w:hAnsi="宋体" w:eastAsia="黑体" w:cs="黑体"/>
          <w:color w:val="000000"/>
          <w:sz w:val="30"/>
          <w:szCs w:val="30"/>
        </w:rPr>
        <w:t xml:space="preserve">30.签订合同</w:t>
      </w:r>
      <w:bookmarkEnd w:id="172"/>
      <w:r/>
      <w:bookmarkEnd w:id="173"/>
      <w:r/>
      <w:bookmarkEnd w:id="174"/>
      <w:r/>
      <w:r/>
    </w:p>
    <w:p>
      <w:pPr>
        <w:pStyle w:val="822"/>
        <w:ind w:firstLine="600"/>
        <w:jc w:val="both"/>
        <w:spacing w:beforeAutospacing="0" w:afterAutospacing="0" w:line="0" w:lineRule="atLeast"/>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22"/>
        <w:ind w:firstLine="600"/>
        <w:jc w:val="both"/>
        <w:spacing w:beforeAutospacing="0" w:afterAutospacing="0" w:line="0" w:lineRule="atLeast"/>
      </w:pPr>
      <w:r>
        <w:rPr>
          <w:rFonts w:hint="eastAsia" w:ascii="宋体" w:hAnsi="宋体" w:eastAsia="宋体" w:cs="宋体"/>
          <w:color w:val="000000"/>
        </w:rPr>
        <w:t xml:space="preserve">30.2招标文件、中标人的投标文件及招标过程中有关澄清、承诺文件均应作为合同附件。</w:t>
      </w:r>
      <w:r/>
    </w:p>
    <w:p>
      <w:pPr>
        <w:pStyle w:val="822"/>
        <w:ind w:firstLine="600"/>
        <w:jc w:val="both"/>
        <w:spacing w:beforeAutospacing="0" w:afterAutospacing="0" w:line="0" w:lineRule="atLeast"/>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22"/>
        <w:ind w:firstLine="600"/>
        <w:jc w:val="both"/>
        <w:keepLines/>
        <w:keepNext/>
        <w:spacing w:beforeAutospacing="0" w:afterAutospacing="0"/>
      </w:pPr>
      <w:r>
        <w:rPr>
          <w:rFonts w:hint="eastAsia" w:ascii="黑体" w:hAnsi="宋体" w:eastAsia="黑体" w:cs="黑体"/>
          <w:color w:val="000000"/>
          <w:sz w:val="30"/>
          <w:szCs w:val="30"/>
        </w:rPr>
        <w:t xml:space="preserve">31、服务（包含与服务相关的货物）的追加</w:t>
      </w:r>
      <w:r/>
    </w:p>
    <w:p>
      <w:pPr>
        <w:pStyle w:val="822"/>
        <w:ind w:firstLine="480"/>
        <w:jc w:val="both"/>
        <w:spacing w:beforeAutospacing="0" w:afterAutospacing="0" w:line="0" w:lineRule="atLeast"/>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2"/>
        <w:ind w:firstLine="600"/>
        <w:jc w:val="both"/>
        <w:keepLines/>
        <w:keepNext/>
        <w:spacing w:beforeAutospacing="0" w:afterAutospacing="0"/>
      </w:pPr>
      <w:r/>
      <w:bookmarkStart w:id="175" w:name="_Toc20823314"/>
      <w:r/>
      <w:bookmarkStart w:id="176" w:name="_Toc513029242"/>
      <w:r/>
      <w:bookmarkStart w:id="177" w:name="_Toc16938558"/>
      <w:r/>
      <w:bookmarkStart w:id="178" w:name="_Toc120614221"/>
      <w:r/>
      <w:bookmarkStart w:id="179" w:name="_Toc479757207"/>
      <w:r>
        <w:rPr>
          <w:rFonts w:hint="eastAsia" w:ascii="黑体" w:hAnsi="宋体" w:eastAsia="黑体" w:cs="黑体"/>
          <w:color w:val="000000"/>
          <w:sz w:val="30"/>
          <w:szCs w:val="30"/>
        </w:rPr>
        <w:t xml:space="preserve">32、</w:t>
      </w:r>
      <w:bookmarkEnd w:id="175"/>
      <w:r/>
      <w:bookmarkEnd w:id="176"/>
      <w:r/>
      <w:bookmarkEnd w:id="177"/>
      <w:r/>
      <w:bookmarkEnd w:id="178"/>
      <w:r/>
      <w:bookmarkEnd w:id="179"/>
      <w:r>
        <w:rPr>
          <w:rFonts w:hint="eastAsia" w:ascii="黑体" w:hAnsi="宋体" w:eastAsia="黑体" w:cs="黑体"/>
          <w:color w:val="000000"/>
          <w:sz w:val="30"/>
          <w:szCs w:val="30"/>
        </w:rPr>
        <w:t xml:space="preserve">政府采购线上合同信用融资政策</w:t>
      </w:r>
      <w:r/>
    </w:p>
    <w:p>
      <w:pPr>
        <w:pStyle w:val="822"/>
        <w:ind w:firstLine="480"/>
        <w:keepNext/>
        <w:spacing w:beforeAutospacing="0" w:afterAutospacing="0"/>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rPr>
        <w:t xml:space="preserve">具体操作流程请参考苏采云系统中供应商操作手册</w:t>
      </w:r>
      <w:r>
        <w:rPr>
          <w:rFonts w:ascii="宋体" w:hAnsi="宋体" w:eastAsia="宋体" w:cs="宋体"/>
        </w:rPr>
        <w:t xml:space="preserve">。</w:t>
      </w:r>
      <w:r>
        <w:t xml:space="preserve"> </w:t>
      </w:r>
      <w:r/>
    </w:p>
    <w:p>
      <w:pPr>
        <w:pStyle w:val="822"/>
        <w:ind w:firstLine="420"/>
        <w:jc w:val="both"/>
        <w:spacing w:beforeAutospacing="0" w:afterAutospacing="0"/>
        <w:rPr>
          <w:rFonts w:eastAsia="黑体"/>
        </w:rPr>
      </w:pPr>
      <w:r>
        <w:t xml:space="preserve"> </w:t>
      </w:r>
      <w:r>
        <w:rPr>
          <w:rFonts w:hint="eastAsia" w:ascii="黑体" w:hAnsi="宋体" w:eastAsia="黑体" w:cs="黑体"/>
          <w:color w:val="000000"/>
          <w:sz w:val="30"/>
          <w:szCs w:val="30"/>
        </w:rPr>
        <w:t xml:space="preserve">33、其他</w:t>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33.1供应商对于投标产品的商品包装、快递包装应按照《关于印发《商品包装政府采购需求标准（试行）》、《快递包装政府采购需求标准（试行）》的通知》（财办库〔2020〕123号）执行。</w:t>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33.2本文件中若涉及到数据中心采购，应按照《&lt;绿色数据中心政府采购需求标准（试行）&gt;的通知》（财库〔2023〕7号）执行。</w:t>
      </w:r>
      <w:r/>
    </w:p>
    <w:p>
      <w:pPr>
        <w:pStyle w:val="82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34.3 本项目落实预付款制度，预付款比例为_</w:t>
      </w:r>
      <w:r>
        <w:rPr>
          <w:rFonts w:hint="eastAsia" w:ascii="宋体" w:hAnsi="宋体" w:eastAsia="宋体" w:cs="宋体"/>
          <w:color w:val="000000"/>
          <w:u w:val="single"/>
        </w:rPr>
        <w:t xml:space="preserve">30_</w:t>
      </w:r>
      <w:r>
        <w:rPr>
          <w:rFonts w:hint="eastAsia" w:ascii="宋体" w:hAnsi="宋体" w:eastAsia="宋体" w:cs="宋体"/>
          <w:color w:val="000000"/>
        </w:rPr>
        <w:t xml:space="preserve">_%。在签订合同时，中标、成交供应商明确书面表示无需预付款或者主动要求降低预付款比例的，采购人可就预付款比例作相应调整。</w:t>
      </w:r>
      <w:r/>
    </w:p>
    <w:p>
      <w:pPr>
        <w:pStyle w:val="82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34.4 确需收取履约保证金的，履约保证金的缴纳形式：</w:t>
      </w:r>
      <w:r/>
    </w:p>
    <w:p>
      <w:pPr>
        <w:pStyle w:val="82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ind w:firstLine="420"/>
        <w:rPr>
          <w:rFonts w:hint="eastAsia" w:ascii="宋体" w:hAnsi="宋体" w:eastAsia="宋体" w:cs="宋体"/>
          <w:color w:val="000000" w:themeColor="text1"/>
          <w:sz w:val="24"/>
        </w:rPr>
      </w:pPr>
      <w:r>
        <w:rPr>
          <w:rFonts w:hint="eastAsia" w:ascii="宋体" w:hAnsi="宋体" w:eastAsia="宋体" w:cs="宋体"/>
          <w:color w:val="000000"/>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ind w:firstLine="602"/>
        <w:spacing w:line="360" w:lineRule="auto"/>
        <w:rPr>
          <w:rFonts w:hint="eastAsia" w:ascii="宋体" w:hAnsi="宋体" w:cs="宋体"/>
          <w:b/>
          <w:bCs/>
          <w:color w:val="000000"/>
          <w:sz w:val="24"/>
          <w:szCs w:val="20"/>
        </w:rPr>
      </w:pPr>
      <w:r>
        <w:rPr>
          <w:rFonts w:hint="eastAsia" w:ascii="宋体" w:hAnsi="宋体" w:eastAsia="宋体" w:cs="宋体"/>
          <w:color w:val="000000"/>
        </w:rPr>
        <w:t xml:space="preserve"> </w:t>
      </w:r>
      <w:r>
        <w:rPr>
          <w:rFonts w:hint="eastAsia" w:ascii="宋体" w:hAnsi="宋体" w:cs="宋体"/>
          <w:b/>
          <w:bCs/>
          <w:color w:val="000000"/>
          <w:sz w:val="24"/>
          <w:szCs w:val="20"/>
        </w:rPr>
        <w:t xml:space="preserve">33.5 本项目杜绝任何形式的挂靠,严禁分包。招标结束后,采购人将组织</w:t>
      </w:r>
      <w:r>
        <w:rPr>
          <w:rFonts w:hint="eastAsia" w:ascii="宋体" w:hAnsi="宋体" w:cs="宋体"/>
          <w:b/>
          <w:bCs/>
          <w:color w:val="000000"/>
          <w:sz w:val="24"/>
          <w:szCs w:val="20"/>
        </w:rPr>
        <w:t xml:space="preserve">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pStyle w:val="82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jc w:val="center"/>
      </w:pPr>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r/>
    </w:p>
    <w:p>
      <w:pPr>
        <w:ind w:firstLine="420"/>
        <w:spacing w:line="500" w:lineRule="exact"/>
        <w:rPr>
          <w:rFonts w:hint="eastAsia" w:ascii="宋体" w:hAnsi="宋体"/>
          <w:bCs/>
          <w:sz w:val="24"/>
        </w:rPr>
      </w:pPr>
      <w:r/>
      <w:bookmarkStart w:id="180" w:name="_Toc513029243"/>
      <w:r/>
      <w:bookmarkStart w:id="181" w:name="_Toc20823315"/>
      <w:r/>
      <w:bookmarkStart w:id="182" w:name="_Toc16938559"/>
      <w:r>
        <w:rPr>
          <w:rFonts w:hint="eastAsia" w:ascii="宋体" w:hAnsi="宋体" w:eastAsia="宋体" w:cs="宋体"/>
          <w:color w:val="000000"/>
        </w:rPr>
        <w:t xml:space="preserve">以下为中标后签定本项目合同的通用条款，中标人不得提出实质性的修改</w:t>
      </w:r>
      <w:bookmarkEnd w:id="180"/>
      <w:r/>
      <w:bookmarkEnd w:id="181"/>
      <w:r/>
      <w:bookmarkEnd w:id="182"/>
      <w:r>
        <w:rPr>
          <w:rFonts w:hint="eastAsia" w:ascii="宋体" w:hAnsi="宋体"/>
          <w:bCs/>
          <w:sz w:val="24"/>
        </w:rPr>
        <w:t xml:space="preserve">，关于专用条款将由采购人与中标供应商结合本项目具体情况协商后签订</w:t>
      </w:r>
      <w:r/>
    </w:p>
    <w:p>
      <w:pPr>
        <w:pStyle w:val="822"/>
        <w:ind w:firstLine="480"/>
        <w:jc w:val="both"/>
        <w:spacing w:beforeAutospacing="0" w:afterAutospacing="0" w:line="0" w:lineRule="atLeast"/>
      </w:pPr>
      <w:r/>
      <w:r/>
    </w:p>
    <w:p>
      <w:pPr>
        <w:pStyle w:val="822"/>
        <w:jc w:val="center"/>
        <w:spacing w:before="145" w:beforeAutospacing="0" w:after="145" w:afterAutospacing="0"/>
      </w:pPr>
      <w:r>
        <w:t xml:space="preserve"> </w:t>
      </w:r>
      <w:r/>
    </w:p>
    <w:p>
      <w:pPr>
        <w:pStyle w:val="822"/>
        <w:jc w:val="center"/>
        <w:spacing w:before="145" w:beforeAutospacing="0" w:after="145" w:afterAutospacing="0"/>
      </w:pPr>
      <w:r>
        <w:rPr>
          <w:rFonts w:hint="eastAsia" w:ascii="宋体" w:hAnsi="宋体" w:eastAsia="宋体" w:cs="宋体"/>
          <w:b/>
          <w:color w:val="000000"/>
          <w:sz w:val="30"/>
          <w:szCs w:val="30"/>
        </w:rPr>
        <w:t xml:space="preserve">盐城市政府采购合同（服务）</w:t>
      </w:r>
      <w:r/>
    </w:p>
    <w:p>
      <w:pPr>
        <w:spacing w:line="420" w:lineRule="exact"/>
        <w:rPr>
          <w:rFonts w:hint="eastAsia" w:ascii="宋体" w:hAnsi="宋体"/>
          <w:sz w:val="24"/>
        </w:rPr>
      </w:pPr>
      <w:r/>
      <w:bookmarkStart w:id="183" w:name="_Toc479757211"/>
      <w:r/>
      <w:bookmarkStart w:id="184" w:name="_Hlt16619350"/>
      <w:r/>
      <w:bookmarkStart w:id="185" w:name="_Toc120614244"/>
      <w:r/>
      <w:bookmarkStart w:id="186" w:name="_Toc462564139"/>
      <w:r/>
      <w:bookmarkStart w:id="187" w:name="_Toc16938590"/>
      <w:r/>
      <w:bookmarkStart w:id="188" w:name="_Toc20823346"/>
      <w:r/>
      <w:bookmarkStart w:id="189" w:name="_Hlt16619369"/>
      <w:r>
        <w:rPr>
          <w:rFonts w:hint="eastAsia" w:ascii="宋体" w:hAnsi="宋体" w:cs="楷体"/>
          <w:sz w:val="24"/>
        </w:rPr>
        <w:t xml:space="preserve">甲方：滨海县民政局 </w:t>
      </w:r>
      <w:r/>
    </w:p>
    <w:p>
      <w:pPr>
        <w:spacing w:line="420" w:lineRule="exact"/>
        <w:rPr>
          <w:rFonts w:hint="eastAsia" w:ascii="宋体" w:hAnsi="宋体" w:cs="楷体"/>
          <w:sz w:val="24"/>
        </w:rPr>
      </w:pPr>
      <w:r>
        <w:rPr>
          <w:rFonts w:hint="eastAsia" w:ascii="宋体" w:hAnsi="宋体" w:cs="楷体"/>
          <w:sz w:val="24"/>
        </w:rPr>
        <w:t xml:space="preserve">乙方：                           </w:t>
      </w:r>
      <w:r/>
    </w:p>
    <w:p>
      <w:pPr>
        <w:ind w:firstLine="480"/>
        <w:spacing w:line="420" w:lineRule="exact"/>
        <w:rPr>
          <w:rFonts w:hint="eastAsia" w:ascii="宋体" w:hAnsi="宋体" w:cs="楷体"/>
          <w:sz w:val="24"/>
        </w:rPr>
      </w:pPr>
      <w:r>
        <w:rPr>
          <w:rFonts w:hint="eastAsia" w:ascii="宋体" w:hAnsi="宋体" w:cs="楷体"/>
          <w:sz w:val="24"/>
        </w:rPr>
        <w:t xml:space="preserve">甲、乙双方按照滨海县民政局采购居家社区养老服务机构运营方项目（包件X）公开招标结果，为明确各自权利义务和有关事项，现根据相关法律法规和招投标文件内容，签订合同如下：</w:t>
      </w:r>
      <w:r/>
    </w:p>
    <w:p>
      <w:pPr>
        <w:ind w:firstLine="560"/>
        <w:spacing w:line="360" w:lineRule="auto"/>
        <w:rPr>
          <w:rFonts w:hint="eastAsia" w:ascii="宋体" w:hAnsi="宋体"/>
          <w:sz w:val="28"/>
          <w:szCs w:val="28"/>
        </w:rPr>
      </w:pPr>
      <w:r>
        <w:rPr>
          <w:rFonts w:ascii="宋体" w:hAnsi="宋体"/>
          <w:sz w:val="28"/>
          <w:szCs w:val="28"/>
        </w:rPr>
        <w:t xml:space="preserve">一、</w:t>
      </w:r>
      <w:r>
        <w:rPr>
          <w:rFonts w:hint="eastAsia" w:ascii="宋体" w:hAnsi="宋体"/>
          <w:sz w:val="28"/>
          <w:szCs w:val="28"/>
        </w:rPr>
        <w:t xml:space="preserve">项目概况</w:t>
      </w:r>
      <w:r/>
    </w:p>
    <w:p>
      <w:pPr>
        <w:ind w:firstLine="560"/>
        <w:spacing w:line="360" w:lineRule="auto"/>
        <w:rPr>
          <w:rFonts w:hint="eastAsia" w:ascii="宋体" w:hAnsi="宋体"/>
          <w:spacing w:val="-2"/>
          <w:sz w:val="24"/>
          <w:u w:val="single"/>
        </w:rPr>
      </w:pPr>
      <w:r>
        <w:rPr>
          <w:rFonts w:ascii="宋体" w:hAnsi="宋体"/>
          <w:sz w:val="24"/>
        </w:rPr>
        <w:t xml:space="preserve">1.1项目名称：</w:t>
      </w:r>
      <w:r>
        <w:rPr>
          <w:rFonts w:hint="eastAsia" w:ascii="宋体" w:hAnsi="宋体"/>
          <w:spacing w:val="-2"/>
          <w:sz w:val="24"/>
          <w:u w:val="single"/>
        </w:rPr>
        <w:t xml:space="preserve">滨海县民政局采购居家社区养老服务机构运营方项目（包件X）</w:t>
      </w:r>
      <w:r/>
    </w:p>
    <w:p>
      <w:pPr>
        <w:ind w:firstLine="560"/>
        <w:spacing w:line="360" w:lineRule="auto"/>
        <w:rPr>
          <w:rFonts w:hint="eastAsia" w:ascii="宋体" w:hAnsi="宋体"/>
          <w:spacing w:val="-2"/>
          <w:sz w:val="24"/>
          <w:u w:val="single"/>
        </w:rPr>
      </w:pPr>
      <w:r>
        <w:rPr>
          <w:rFonts w:ascii="宋体" w:hAnsi="宋体"/>
          <w:sz w:val="24"/>
        </w:rPr>
        <w:t xml:space="preserve">1.2</w:t>
      </w:r>
      <w:r>
        <w:rPr>
          <w:rFonts w:hint="eastAsia" w:ascii="宋体" w:hAnsi="宋体"/>
          <w:sz w:val="24"/>
        </w:rPr>
        <w:t xml:space="preserve">项目</w:t>
      </w:r>
      <w:r>
        <w:rPr>
          <w:rFonts w:ascii="宋体" w:hAnsi="宋体"/>
          <w:sz w:val="24"/>
        </w:rPr>
        <w:t xml:space="preserve">内容：</w:t>
      </w:r>
      <w:r>
        <w:rPr>
          <w:rFonts w:hint="eastAsia" w:ascii="宋体" w:hAnsi="宋体"/>
          <w:spacing w:val="-2"/>
          <w:sz w:val="24"/>
          <w:u w:val="single"/>
        </w:rPr>
        <w:t xml:space="preserve">乙方组建运营团队，按照行业规范，在甲方指定居家社区养老服务机构（XX机构、XX机构）运营，为老年人提供日间照料</w:t>
      </w:r>
      <w:r>
        <w:rPr>
          <w:rFonts w:hint="eastAsia" w:ascii="宋体" w:hAnsi="宋体"/>
          <w:color w:val="00b0f0"/>
          <w:spacing w:val="-2"/>
          <w:sz w:val="24"/>
          <w:u w:val="single"/>
        </w:rPr>
        <w:t xml:space="preserve">、助餐、</w:t>
      </w:r>
      <w:r>
        <w:rPr>
          <w:rFonts w:hint="eastAsia" w:ascii="宋体" w:hAnsi="宋体"/>
          <w:spacing w:val="-2"/>
          <w:sz w:val="24"/>
          <w:u w:val="single"/>
        </w:rPr>
        <w:t xml:space="preserve">文体娱乐、精神慰藉等养老服务。</w:t>
      </w:r>
      <w:r/>
    </w:p>
    <w:p>
      <w:pPr>
        <w:ind w:firstLine="560"/>
        <w:spacing w:line="360" w:lineRule="auto"/>
        <w:rPr>
          <w:rFonts w:hint="eastAsia" w:ascii="宋体" w:hAnsi="宋体"/>
          <w:sz w:val="24"/>
        </w:rPr>
      </w:pPr>
      <w:r>
        <w:rPr>
          <w:rFonts w:ascii="宋体" w:hAnsi="宋体"/>
          <w:sz w:val="24"/>
        </w:rPr>
        <w:t xml:space="preserve">1.3合同履行期限：</w:t>
      </w:r>
      <w:r>
        <w:rPr>
          <w:rFonts w:hint="eastAsia" w:ascii="宋体" w:hAnsi="宋体"/>
          <w:sz w:val="24"/>
          <w:u w:val="single"/>
        </w:rPr>
        <w:t xml:space="preserve">二</w:t>
      </w:r>
      <w:r>
        <w:rPr>
          <w:rFonts w:ascii="宋体" w:hAnsi="宋体"/>
          <w:sz w:val="24"/>
          <w:u w:val="single"/>
        </w:rPr>
        <w:t xml:space="preserve"> 年（</w:t>
      </w:r>
      <w:r>
        <w:rPr>
          <w:rFonts w:hint="eastAsia" w:ascii="宋体" w:hAnsi="宋体"/>
          <w:sz w:val="24"/>
          <w:u w:val="single"/>
        </w:rPr>
        <w:t xml:space="preserve">以甲方将居家社区养老服务机构交付乙方使用时间书面材料为准）</w:t>
      </w:r>
      <w:r>
        <w:rPr>
          <w:rFonts w:ascii="宋体" w:hAnsi="宋体"/>
          <w:sz w:val="24"/>
        </w:rPr>
        <w:t xml:space="preserve">。</w:t>
      </w:r>
      <w:r/>
    </w:p>
    <w:p>
      <w:pPr>
        <w:ind w:firstLine="560"/>
        <w:spacing w:line="360" w:lineRule="auto"/>
        <w:rPr>
          <w:rFonts w:hint="eastAsia" w:ascii="宋体" w:hAnsi="宋体"/>
          <w:sz w:val="28"/>
          <w:szCs w:val="28"/>
        </w:rPr>
      </w:pPr>
      <w:r>
        <w:rPr>
          <w:rFonts w:hint="eastAsia" w:ascii="宋体" w:hAnsi="宋体"/>
          <w:sz w:val="28"/>
          <w:szCs w:val="28"/>
        </w:rPr>
        <w:t xml:space="preserve">二、</w:t>
      </w:r>
      <w:r>
        <w:rPr>
          <w:rFonts w:ascii="宋体" w:hAnsi="宋体"/>
          <w:sz w:val="28"/>
          <w:szCs w:val="28"/>
        </w:rPr>
        <w:t xml:space="preserve">合同金额</w:t>
      </w:r>
      <w:r/>
    </w:p>
    <w:p>
      <w:pPr>
        <w:ind w:firstLine="480"/>
        <w:spacing w:line="420" w:lineRule="exact"/>
        <w:rPr>
          <w:rFonts w:hint="eastAsia" w:ascii="宋体" w:hAnsi="宋体" w:cs="楷体"/>
          <w:b/>
          <w:bCs/>
          <w:sz w:val="24"/>
        </w:rPr>
      </w:pPr>
      <w:r>
        <w:rPr>
          <w:rFonts w:hint="eastAsia" w:ascii="宋体" w:hAnsi="宋体"/>
          <w:sz w:val="24"/>
        </w:rPr>
        <w:t xml:space="preserve">2.1</w:t>
      </w:r>
      <w:r>
        <w:rPr>
          <w:rFonts w:hint="eastAsia" w:ascii="宋体" w:hAnsi="宋体" w:cs="楷体"/>
          <w:sz w:val="24"/>
        </w:rPr>
        <w:t xml:space="preserve">按照本项目招标文件和乙方投标文件,本合同总标的上限为人民币（下同）</w:t>
      </w:r>
      <w:r>
        <w:rPr>
          <w:rFonts w:hint="eastAsia" w:ascii="宋体" w:hAnsi="宋体" w:cs="楷体"/>
          <w:b/>
          <w:bCs/>
          <w:sz w:val="24"/>
        </w:rPr>
        <w:t xml:space="preserve">X万元（大写：X万元）。实际结算金额按乙方服务成效和甲方考评结果确定。</w:t>
      </w:r>
      <w:r/>
    </w:p>
    <w:p>
      <w:pPr>
        <w:ind w:firstLine="480"/>
        <w:spacing w:line="420" w:lineRule="exact"/>
        <w:rPr>
          <w:rFonts w:hint="eastAsia" w:ascii="宋体" w:hAnsi="宋体" w:cs="楷体"/>
          <w:sz w:val="24"/>
        </w:rPr>
      </w:pPr>
      <w:r>
        <w:rPr>
          <w:rFonts w:hint="eastAsia" w:ascii="宋体" w:hAnsi="宋体" w:cs="楷体"/>
          <w:sz w:val="24"/>
        </w:rPr>
        <w:t xml:space="preserve">2.2合同款包括运营服务的所需的一切费用，包括但不限于：人工费、交通费、办公费、水电费、房租费、物业费、维修费、网络通讯费、招标代理费、投标费用、管理费、税金、利润、各类风险费、不可预见费及其他一切相关费用，同时，报价也应包含合同履行过程中可能发生的一切意外风险赔偿金，招标文件中另有规定的除外。</w:t>
      </w:r>
      <w:r/>
    </w:p>
    <w:p>
      <w:pPr>
        <w:ind w:firstLine="560"/>
        <w:spacing w:line="420" w:lineRule="exact"/>
        <w:rPr>
          <w:rFonts w:hint="eastAsia" w:ascii="宋体" w:hAnsi="宋体" w:cs="黑体"/>
          <w:sz w:val="28"/>
          <w:szCs w:val="28"/>
        </w:rPr>
      </w:pPr>
      <w:r>
        <w:rPr>
          <w:rFonts w:hint="eastAsia" w:ascii="宋体" w:hAnsi="宋体" w:cs="黑体"/>
          <w:sz w:val="28"/>
          <w:szCs w:val="28"/>
        </w:rPr>
        <w:t xml:space="preserve">三、履约保证金</w:t>
      </w:r>
      <w:r/>
    </w:p>
    <w:p>
      <w:pPr>
        <w:ind w:firstLine="480"/>
        <w:spacing w:line="420" w:lineRule="exact"/>
        <w:rPr>
          <w:rFonts w:hint="eastAsia" w:ascii="宋体" w:hAnsi="宋体" w:cs="楷体"/>
          <w:sz w:val="24"/>
        </w:rPr>
      </w:pPr>
      <w:r>
        <w:rPr>
          <w:rFonts w:hint="eastAsia" w:ascii="宋体" w:hAnsi="宋体" w:cs="楷体"/>
          <w:sz w:val="24"/>
        </w:rPr>
        <w:t xml:space="preserve">3.1签订合同前，乙方须向甲方交纳履约保证金</w:t>
      </w:r>
      <w:r>
        <w:rPr>
          <w:rFonts w:hint="eastAsia" w:ascii="宋体" w:hAnsi="宋体" w:cs="楷体"/>
          <w:sz w:val="24"/>
          <w:u w:val="single"/>
        </w:rPr>
        <w:t xml:space="preserve">X万</w:t>
      </w:r>
      <w:r>
        <w:rPr>
          <w:rFonts w:hint="eastAsia" w:ascii="宋体" w:hAnsi="宋体" w:cs="楷体"/>
          <w:sz w:val="24"/>
        </w:rPr>
        <w:t xml:space="preserve">元（大写：X元整）以支票、汇票、本票或者金融机构、担保机构出具的保函等非现金形式提交）。</w:t>
      </w:r>
      <w:r/>
    </w:p>
    <w:p>
      <w:pPr>
        <w:ind w:firstLine="480"/>
        <w:spacing w:line="420" w:lineRule="exact"/>
        <w:rPr>
          <w:rFonts w:hint="eastAsia" w:ascii="宋体" w:hAnsi="宋体" w:cs="楷体"/>
          <w:sz w:val="24"/>
        </w:rPr>
      </w:pPr>
      <w:r>
        <w:rPr>
          <w:rFonts w:hint="eastAsia" w:ascii="宋体" w:hAnsi="宋体" w:cs="楷体"/>
          <w:sz w:val="24"/>
        </w:rPr>
        <w:t xml:space="preserve">3.2乙方若在签订采购合同前向甲方提交本单位有效期内的第三方信用报告，且信用评级在AA级及以上的，乙方可享受政府采购供应商履约保证金减免（即为全免）政策（具体减免政策请参见滨办通〔2021〕73号文件）。信用报告是指乙方委托经信用管理部门备案的第三方信用服务机构，按照相关标准出具的综合性信用评价报告。</w:t>
      </w:r>
      <w:r/>
    </w:p>
    <w:p>
      <w:pPr>
        <w:ind w:firstLine="480"/>
        <w:spacing w:line="420" w:lineRule="exact"/>
        <w:rPr>
          <w:rFonts w:hint="eastAsia" w:ascii="宋体" w:hAnsi="宋体" w:cs="楷体"/>
          <w:sz w:val="24"/>
        </w:rPr>
      </w:pPr>
      <w:r>
        <w:rPr>
          <w:rFonts w:hint="eastAsia" w:ascii="宋体" w:hAnsi="宋体" w:cs="楷体"/>
          <w:sz w:val="24"/>
        </w:rPr>
        <w:t xml:space="preserve">3.3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ind w:firstLine="480"/>
        <w:spacing w:line="420" w:lineRule="exact"/>
        <w:rPr>
          <w:rFonts w:hint="eastAsia" w:ascii="宋体" w:hAnsi="宋体" w:cs="楷体"/>
          <w:sz w:val="24"/>
        </w:rPr>
      </w:pPr>
      <w:r>
        <w:rPr>
          <w:rFonts w:hint="eastAsia" w:ascii="宋体" w:hAnsi="宋体" w:cs="楷体"/>
          <w:sz w:val="24"/>
        </w:rPr>
        <w:t xml:space="preserve">3.4履约保证金的退还</w:t>
      </w:r>
      <w:r/>
    </w:p>
    <w:p>
      <w:pPr>
        <w:ind w:firstLine="480"/>
        <w:spacing w:line="420" w:lineRule="exact"/>
        <w:rPr>
          <w:rFonts w:hint="eastAsia" w:ascii="宋体" w:hAnsi="宋体" w:cs="楷体"/>
          <w:sz w:val="24"/>
        </w:rPr>
      </w:pPr>
      <w:r>
        <w:rPr>
          <w:rFonts w:hint="eastAsia" w:ascii="宋体" w:hAnsi="宋体" w:cs="楷体"/>
          <w:sz w:val="24"/>
        </w:rPr>
        <w:t xml:space="preserve">1.方式：无息退还至乙方缴纳履约保证金的账户。如为保函，在到期时自行失效。</w:t>
      </w:r>
      <w:r/>
    </w:p>
    <w:p>
      <w:pPr>
        <w:ind w:firstLine="480"/>
        <w:spacing w:line="420" w:lineRule="exact"/>
        <w:rPr>
          <w:rFonts w:hint="eastAsia" w:ascii="宋体" w:hAnsi="宋体" w:cs="楷体"/>
          <w:sz w:val="24"/>
        </w:rPr>
      </w:pPr>
      <w:r>
        <w:rPr>
          <w:rFonts w:hint="eastAsia" w:ascii="宋体" w:hAnsi="宋体" w:cs="楷体"/>
          <w:sz w:val="24"/>
        </w:rPr>
        <w:t xml:space="preserve">2.时间：验收合格且甲方收到发票后30日内。</w:t>
      </w:r>
      <w:r/>
    </w:p>
    <w:p>
      <w:pPr>
        <w:ind w:firstLine="480"/>
        <w:spacing w:line="420" w:lineRule="exact"/>
        <w:rPr>
          <w:rFonts w:hint="eastAsia" w:ascii="宋体" w:hAnsi="宋体" w:cs="楷体"/>
          <w:sz w:val="24"/>
        </w:rPr>
      </w:pPr>
      <w:r>
        <w:rPr>
          <w:rFonts w:hint="eastAsia" w:ascii="宋体" w:hAnsi="宋体" w:cs="楷体"/>
          <w:sz w:val="24"/>
        </w:rPr>
        <w:t xml:space="preserve">3.条件：按合同要求全部履约完成并经甲方验收合格，且甲方收到乙方出具的发票。</w:t>
      </w:r>
      <w:r/>
    </w:p>
    <w:p>
      <w:pPr>
        <w:ind w:firstLine="480"/>
        <w:spacing w:line="420" w:lineRule="exact"/>
        <w:rPr>
          <w:rFonts w:hint="eastAsia" w:ascii="宋体" w:hAnsi="宋体" w:cs="楷体"/>
          <w:sz w:val="24"/>
        </w:rPr>
      </w:pPr>
      <w:r>
        <w:rPr>
          <w:rFonts w:hint="eastAsia" w:ascii="宋体" w:hAnsi="宋体" w:cs="楷体"/>
          <w:sz w:val="24"/>
        </w:rPr>
        <w:t xml:space="preserve">4.不予退还情形</w:t>
      </w:r>
      <w:r/>
    </w:p>
    <w:p>
      <w:pPr>
        <w:ind w:firstLine="480"/>
        <w:spacing w:line="420" w:lineRule="exact"/>
        <w:rPr>
          <w:rFonts w:hint="eastAsia" w:ascii="宋体" w:hAnsi="宋体" w:cs="楷体"/>
          <w:sz w:val="24"/>
        </w:rPr>
      </w:pPr>
      <w:r>
        <w:rPr>
          <w:rFonts w:hint="eastAsia" w:ascii="宋体" w:hAnsi="宋体" w:cs="楷体"/>
          <w:sz w:val="24"/>
        </w:rPr>
        <w:t xml:space="preserve">除不可抗力情况外，乙方出现下列情形之一的，其履约保证金，甲方将视情节决定不予退还或部分不予退还。</w:t>
      </w:r>
      <w:r/>
    </w:p>
    <w:p>
      <w:pPr>
        <w:ind w:firstLine="480"/>
        <w:spacing w:line="420" w:lineRule="exact"/>
        <w:rPr>
          <w:rFonts w:hint="eastAsia" w:ascii="宋体" w:hAnsi="宋体" w:cs="楷体"/>
          <w:sz w:val="24"/>
        </w:rPr>
      </w:pPr>
      <w:r>
        <w:rPr>
          <w:rFonts w:hint="eastAsia" w:ascii="宋体" w:hAnsi="宋体" w:cs="楷体"/>
          <w:sz w:val="24"/>
        </w:rPr>
        <w:t xml:space="preserve">（1）乙方无正当理由拒绝签订合同的，或者在签订合同时向甲方提出附加条件或者更改合同实质性内容要求的；</w:t>
      </w:r>
      <w:r/>
    </w:p>
    <w:p>
      <w:pPr>
        <w:ind w:firstLine="480"/>
        <w:spacing w:line="420" w:lineRule="exact"/>
        <w:rPr>
          <w:rFonts w:hint="eastAsia" w:ascii="宋体" w:hAnsi="宋体" w:cs="楷体"/>
          <w:sz w:val="24"/>
        </w:rPr>
      </w:pPr>
      <w:r>
        <w:rPr>
          <w:rFonts w:hint="eastAsia" w:ascii="宋体" w:hAnsi="宋体" w:cs="楷体"/>
          <w:sz w:val="24"/>
        </w:rPr>
        <w:t xml:space="preserve">（2）乙方不履行与甲方订立的合同的；</w:t>
      </w:r>
      <w:r/>
    </w:p>
    <w:p>
      <w:pPr>
        <w:ind w:firstLine="480"/>
        <w:spacing w:line="420" w:lineRule="exact"/>
        <w:rPr>
          <w:rFonts w:hint="eastAsia" w:ascii="宋体" w:hAnsi="宋体" w:cs="楷体"/>
          <w:sz w:val="24"/>
        </w:rPr>
      </w:pPr>
      <w:r>
        <w:rPr>
          <w:rFonts w:hint="eastAsia" w:ascii="宋体" w:hAnsi="宋体" w:cs="楷体"/>
          <w:sz w:val="24"/>
        </w:rPr>
        <w:t xml:space="preserve">（3）乙方的服务不符合招标文件规定要求的；</w:t>
      </w:r>
      <w:r/>
    </w:p>
    <w:p>
      <w:pPr>
        <w:ind w:firstLine="480"/>
        <w:spacing w:line="420" w:lineRule="exact"/>
        <w:rPr>
          <w:rFonts w:hint="eastAsia" w:ascii="宋体" w:hAnsi="宋体" w:cs="楷体"/>
          <w:sz w:val="24"/>
        </w:rPr>
      </w:pPr>
      <w:r>
        <w:rPr>
          <w:rFonts w:hint="eastAsia" w:ascii="宋体" w:hAnsi="宋体" w:cs="楷体"/>
          <w:sz w:val="24"/>
        </w:rPr>
        <w:t xml:space="preserve">（4）乙方采取欺骗、弄虚作假方式投标的或与其它乙方串通投标的；</w:t>
      </w:r>
      <w:r/>
    </w:p>
    <w:p>
      <w:pPr>
        <w:ind w:firstLine="480"/>
        <w:spacing w:line="420" w:lineRule="exact"/>
        <w:rPr>
          <w:rFonts w:hint="eastAsia" w:ascii="宋体" w:hAnsi="宋体" w:cs="楷体"/>
          <w:sz w:val="24"/>
        </w:rPr>
      </w:pPr>
      <w:r>
        <w:rPr>
          <w:rFonts w:hint="eastAsia" w:ascii="宋体" w:hAnsi="宋体" w:cs="楷体"/>
          <w:sz w:val="24"/>
        </w:rPr>
        <w:t xml:space="preserve">（5）乙方将合同内容违法转包、分包的；</w:t>
      </w:r>
      <w:r/>
    </w:p>
    <w:p>
      <w:pPr>
        <w:ind w:firstLine="480"/>
        <w:spacing w:line="420" w:lineRule="exact"/>
        <w:rPr>
          <w:rFonts w:hint="eastAsia" w:ascii="宋体" w:hAnsi="宋体" w:cs="楷体"/>
          <w:sz w:val="24"/>
        </w:rPr>
      </w:pPr>
      <w:r>
        <w:rPr>
          <w:rFonts w:hint="eastAsia" w:ascii="宋体" w:hAnsi="宋体" w:cs="楷体"/>
          <w:sz w:val="24"/>
        </w:rPr>
        <w:t xml:space="preserve">（6）乙方故意捏造事实或伪造证明材料，进行虚假恶意投诉或反映的。</w:t>
      </w:r>
      <w:r/>
    </w:p>
    <w:p>
      <w:pPr>
        <w:ind w:firstLine="480"/>
        <w:spacing w:line="420" w:lineRule="exact"/>
        <w:rPr>
          <w:rFonts w:hint="eastAsia" w:ascii="宋体" w:hAnsi="宋体" w:cs="楷体"/>
          <w:sz w:val="24"/>
        </w:rPr>
      </w:pPr>
      <w:r>
        <w:rPr>
          <w:rFonts w:hint="eastAsia" w:ascii="宋体" w:hAnsi="宋体" w:cs="楷体"/>
          <w:sz w:val="24"/>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560"/>
        <w:spacing w:line="420" w:lineRule="exact"/>
        <w:rPr>
          <w:rFonts w:hint="eastAsia" w:ascii="宋体" w:hAnsi="宋体" w:cs="黑体"/>
          <w:sz w:val="28"/>
          <w:szCs w:val="28"/>
        </w:rPr>
      </w:pPr>
      <w:r>
        <w:rPr>
          <w:rFonts w:hint="eastAsia" w:ascii="宋体" w:hAnsi="宋体" w:cs="黑体"/>
          <w:sz w:val="28"/>
          <w:szCs w:val="28"/>
        </w:rPr>
        <w:t xml:space="preserve">四、双方的权利和义务</w:t>
      </w:r>
      <w:r/>
    </w:p>
    <w:p>
      <w:pPr>
        <w:ind w:firstLine="480"/>
        <w:spacing w:line="420" w:lineRule="exact"/>
        <w:rPr>
          <w:rFonts w:hint="eastAsia" w:ascii="宋体" w:hAnsi="宋体" w:cs="楷体"/>
          <w:sz w:val="24"/>
        </w:rPr>
      </w:pPr>
      <w:r>
        <w:rPr>
          <w:rFonts w:hint="eastAsia" w:ascii="宋体" w:hAnsi="宋体" w:cs="楷体"/>
          <w:sz w:val="24"/>
        </w:rPr>
        <w:t xml:space="preserve">4.1甲方的权利和义务</w:t>
      </w:r>
      <w:r/>
    </w:p>
    <w:p>
      <w:pPr>
        <w:ind w:firstLine="480"/>
        <w:spacing w:line="420" w:lineRule="exact"/>
        <w:rPr>
          <w:rFonts w:hint="eastAsia" w:ascii="宋体" w:hAnsi="宋体" w:cs="楷体"/>
          <w:sz w:val="24"/>
        </w:rPr>
      </w:pPr>
      <w:r>
        <w:rPr>
          <w:rFonts w:hint="eastAsia" w:ascii="宋体" w:hAnsi="宋体" w:cs="楷体"/>
          <w:sz w:val="24"/>
        </w:rPr>
        <w:t xml:space="preserve">（1）指导和监督乙方规范开展居家社区养老服务工作，有效履行本协议的各项条款。</w:t>
      </w:r>
      <w:r/>
    </w:p>
    <w:p>
      <w:pPr>
        <w:ind w:firstLine="480"/>
        <w:spacing w:line="420" w:lineRule="exact"/>
        <w:rPr>
          <w:rFonts w:hint="eastAsia" w:ascii="宋体" w:hAnsi="宋体" w:cs="楷体"/>
          <w:sz w:val="24"/>
        </w:rPr>
      </w:pPr>
      <w:r>
        <w:rPr>
          <w:rFonts w:hint="eastAsia" w:ascii="宋体" w:hAnsi="宋体" w:cs="楷体"/>
          <w:sz w:val="24"/>
        </w:rPr>
        <w:t xml:space="preserve">（2）组织相关人员或第三方机构对乙方工作进行督查考评。</w:t>
      </w:r>
      <w:r/>
    </w:p>
    <w:p>
      <w:pPr>
        <w:ind w:firstLine="480"/>
        <w:spacing w:line="420" w:lineRule="exact"/>
        <w:rPr>
          <w:rFonts w:hint="eastAsia" w:ascii="宋体" w:hAnsi="宋体" w:cs="楷体"/>
          <w:sz w:val="24"/>
        </w:rPr>
      </w:pPr>
      <w:r>
        <w:rPr>
          <w:rFonts w:hint="eastAsia" w:ascii="宋体" w:hAnsi="宋体" w:cs="楷体"/>
          <w:sz w:val="24"/>
        </w:rPr>
        <w:t xml:space="preserve">（3）将居家社区养老服务机构建设好（包括装修和设施设备），达到运营条件，交乙方运营。</w:t>
      </w:r>
      <w:r/>
    </w:p>
    <w:p>
      <w:pPr>
        <w:ind w:firstLine="480"/>
        <w:spacing w:line="420" w:lineRule="exact"/>
        <w:rPr>
          <w:rFonts w:hint="eastAsia" w:ascii="宋体" w:hAnsi="宋体" w:cs="楷体"/>
          <w:sz w:val="24"/>
        </w:rPr>
      </w:pPr>
      <w:r>
        <w:rPr>
          <w:rFonts w:hint="eastAsia" w:ascii="宋体" w:hAnsi="宋体" w:cs="楷体"/>
          <w:sz w:val="24"/>
        </w:rPr>
        <w:t xml:space="preserve">（4）协调镇（区、街道）、村（社区）、物业公司等单位支持、配合乙方做好居家社区养老服务工作，确保乙方经营不受干扰。</w:t>
      </w:r>
      <w:r/>
    </w:p>
    <w:p>
      <w:pPr>
        <w:ind w:firstLine="480"/>
        <w:spacing w:line="420" w:lineRule="exact"/>
        <w:rPr>
          <w:rFonts w:hint="eastAsia" w:ascii="宋体" w:hAnsi="宋体" w:cs="楷体"/>
          <w:sz w:val="24"/>
        </w:rPr>
      </w:pPr>
      <w:r>
        <w:rPr>
          <w:rFonts w:hint="eastAsia" w:ascii="宋体" w:hAnsi="宋体" w:cs="楷体"/>
          <w:sz w:val="24"/>
        </w:rPr>
        <w:t xml:space="preserve">（5）提供智慧养老服务平台系统，督促软件服务商根据乙方合理建议更新完善。</w:t>
      </w:r>
      <w:r/>
    </w:p>
    <w:p>
      <w:pPr>
        <w:ind w:firstLine="480"/>
        <w:spacing w:line="420" w:lineRule="exact"/>
        <w:rPr>
          <w:rFonts w:hint="eastAsia" w:ascii="宋体" w:hAnsi="宋体" w:cs="楷体"/>
          <w:sz w:val="24"/>
        </w:rPr>
      </w:pPr>
      <w:r>
        <w:rPr>
          <w:rFonts w:hint="eastAsia" w:ascii="宋体" w:hAnsi="宋体" w:cs="楷体"/>
          <w:sz w:val="24"/>
        </w:rPr>
        <w:t xml:space="preserve">（6）协助乙方办理相关证照的审批手续。</w:t>
      </w:r>
      <w:r/>
    </w:p>
    <w:p>
      <w:pPr>
        <w:ind w:firstLine="480"/>
        <w:spacing w:line="420" w:lineRule="exact"/>
        <w:rPr>
          <w:rFonts w:hint="eastAsia" w:ascii="宋体" w:hAnsi="宋体" w:cs="楷体"/>
          <w:sz w:val="24"/>
        </w:rPr>
      </w:pPr>
      <w:r>
        <w:rPr>
          <w:rFonts w:hint="eastAsia" w:ascii="宋体" w:hAnsi="宋体" w:cs="楷体"/>
          <w:sz w:val="24"/>
        </w:rPr>
        <w:t xml:space="preserve">（7）按招标文件规定结算乙方服务费用。</w:t>
      </w:r>
      <w:r/>
    </w:p>
    <w:p>
      <w:pPr>
        <w:ind w:firstLine="480"/>
        <w:spacing w:line="420" w:lineRule="exact"/>
        <w:rPr>
          <w:rFonts w:hint="eastAsia" w:ascii="宋体" w:hAnsi="宋体" w:cs="楷体"/>
          <w:sz w:val="24"/>
        </w:rPr>
      </w:pPr>
      <w:r>
        <w:rPr>
          <w:rFonts w:hint="eastAsia" w:ascii="宋体" w:hAnsi="宋体" w:cs="楷体"/>
          <w:sz w:val="24"/>
        </w:rPr>
        <w:t xml:space="preserve">（9）甲方根据上级政策及居家社区养老服务开展情况，可以适时调整对中标人的考评内容。</w:t>
      </w:r>
      <w:r/>
    </w:p>
    <w:p>
      <w:pPr>
        <w:ind w:firstLine="480"/>
        <w:spacing w:line="420" w:lineRule="exact"/>
        <w:rPr>
          <w:rFonts w:hint="eastAsia" w:ascii="宋体" w:hAnsi="宋体" w:cs="楷体"/>
          <w:sz w:val="24"/>
        </w:rPr>
      </w:pPr>
      <w:r>
        <w:rPr>
          <w:rFonts w:hint="eastAsia" w:ascii="宋体" w:hAnsi="宋体" w:cs="楷体"/>
          <w:sz w:val="24"/>
        </w:rPr>
        <w:t xml:space="preserve">4.2乙方的权利和义务</w:t>
      </w:r>
      <w:r/>
    </w:p>
    <w:p>
      <w:pPr>
        <w:ind w:firstLine="480"/>
        <w:spacing w:line="420" w:lineRule="exact"/>
        <w:rPr>
          <w:rFonts w:hint="eastAsia" w:ascii="宋体" w:hAnsi="宋体" w:cs="楷体"/>
          <w:sz w:val="24"/>
        </w:rPr>
      </w:pPr>
      <w:r>
        <w:rPr>
          <w:rFonts w:hint="eastAsia" w:ascii="宋体" w:hAnsi="宋体" w:cs="楷体"/>
          <w:sz w:val="24"/>
        </w:rPr>
        <w:t xml:space="preserve">（1）自觉遵守和执行国家的法律法规和相关养老服务政策，按照行业规范、招标文件和甲方要求开展运营，为老年人提供日间照料、</w:t>
      </w:r>
      <w:r>
        <w:rPr>
          <w:rFonts w:hint="eastAsia" w:ascii="宋体" w:hAnsi="宋体" w:cs="楷体"/>
          <w:color w:val="00b0f0"/>
          <w:sz w:val="24"/>
        </w:rPr>
        <w:t xml:space="preserve">助餐、</w:t>
      </w:r>
      <w:r>
        <w:rPr>
          <w:rFonts w:hint="eastAsia" w:ascii="宋体" w:hAnsi="宋体" w:cs="楷体"/>
          <w:sz w:val="24"/>
        </w:rPr>
        <w:t xml:space="preserve">文体娱乐、精神慰藉等养老服务。</w:t>
      </w:r>
      <w:r/>
    </w:p>
    <w:p>
      <w:pPr>
        <w:ind w:firstLine="480"/>
        <w:spacing w:line="420" w:lineRule="exact"/>
        <w:rPr>
          <w:rFonts w:hint="eastAsia" w:ascii="宋体" w:hAnsi="宋体" w:cs="楷体"/>
          <w:sz w:val="24"/>
        </w:rPr>
      </w:pPr>
      <w:r>
        <w:rPr>
          <w:rFonts w:hint="eastAsia" w:ascii="宋体" w:hAnsi="宋体" w:cs="楷体"/>
          <w:sz w:val="24"/>
        </w:rPr>
        <w:t xml:space="preserve">（2）乙方自甲方交付居家社区养老服务机构起7日内开展运营服务。</w:t>
      </w:r>
      <w:r/>
    </w:p>
    <w:p>
      <w:pPr>
        <w:ind w:firstLine="480"/>
        <w:spacing w:line="420" w:lineRule="exact"/>
        <w:rPr>
          <w:rFonts w:hint="eastAsia" w:ascii="宋体" w:hAnsi="宋体" w:cs="楷体"/>
          <w:sz w:val="24"/>
        </w:rPr>
      </w:pPr>
      <w:r>
        <w:rPr>
          <w:rFonts w:hint="eastAsia" w:ascii="宋体" w:hAnsi="宋体" w:cs="楷体"/>
          <w:sz w:val="24"/>
        </w:rPr>
        <w:t xml:space="preserve">（3）乙方组建运营团队，与员工签订合规用工合同。为全日制员工规范缴纳社会保险，为退休返聘等无法缴纳社会保险员工每年投保不低于20万元的人身意外伤害保险。</w:t>
      </w:r>
      <w:r/>
    </w:p>
    <w:p>
      <w:pPr>
        <w:ind w:firstLine="480"/>
        <w:spacing w:line="420" w:lineRule="exact"/>
        <w:rPr>
          <w:rFonts w:hint="eastAsia" w:ascii="宋体" w:hAnsi="宋体" w:cs="楷体"/>
          <w:sz w:val="24"/>
        </w:rPr>
      </w:pPr>
      <w:r>
        <w:rPr>
          <w:rFonts w:hint="eastAsia" w:ascii="宋体" w:hAnsi="宋体" w:cs="楷体"/>
          <w:sz w:val="24"/>
        </w:rPr>
        <w:t xml:space="preserve">（4）助老员上岗须持有养老护理员证，或由培训机构开展不少于5天的岗前培训，考核合格后方可上岗。</w:t>
      </w:r>
      <w:r/>
    </w:p>
    <w:p>
      <w:pPr>
        <w:ind w:firstLine="480"/>
        <w:spacing w:line="420" w:lineRule="exact"/>
        <w:rPr>
          <w:rFonts w:hint="eastAsia" w:ascii="宋体" w:hAnsi="宋体" w:cs="楷体"/>
          <w:sz w:val="24"/>
        </w:rPr>
      </w:pPr>
      <w:r>
        <w:rPr>
          <w:rFonts w:hint="eastAsia" w:ascii="宋体" w:hAnsi="宋体" w:cs="楷体"/>
          <w:sz w:val="24"/>
        </w:rPr>
        <w:t xml:space="preserve">（5）运营过程中应按月给付工作人员工资，如未按月结付工作人员工资的，甲方有权责令乙方在30日内结付完毕，如乙方仍未结付的，甲方有权解除与乙方合同，从乙方缴纳的履约保证金中直接发放拖欠的工作人员工资。</w:t>
      </w:r>
      <w:r/>
    </w:p>
    <w:p>
      <w:pPr>
        <w:ind w:firstLine="480"/>
        <w:spacing w:line="420" w:lineRule="exact"/>
        <w:rPr>
          <w:rFonts w:hint="eastAsia" w:ascii="宋体" w:hAnsi="宋体" w:cs="楷体"/>
          <w:color w:val="00b0f0"/>
          <w:sz w:val="24"/>
        </w:rPr>
      </w:pPr>
      <w:r>
        <w:rPr>
          <w:rFonts w:hint="eastAsia" w:ascii="宋体" w:hAnsi="宋体" w:cs="楷体"/>
          <w:color w:val="00b0f0"/>
          <w:sz w:val="24"/>
        </w:rPr>
        <w:t xml:space="preserve">（6）运营中所产生的维修和与运营有关日常消耗品添置、水、电、燃气、物业费等与运营相关的费用由乙方承担。凡由不可抗力因素导致的损坏维修由甲方负责，其余均由乙方负责。</w:t>
      </w:r>
      <w:r/>
    </w:p>
    <w:p>
      <w:pPr>
        <w:ind w:firstLine="480"/>
        <w:spacing w:line="420" w:lineRule="exact"/>
        <w:rPr>
          <w:rFonts w:hint="eastAsia" w:ascii="宋体" w:hAnsi="宋体" w:cs="楷体"/>
          <w:sz w:val="24"/>
        </w:rPr>
      </w:pPr>
      <w:r>
        <w:rPr>
          <w:rFonts w:hint="eastAsia" w:ascii="宋体" w:hAnsi="宋体" w:cs="楷体"/>
          <w:sz w:val="24"/>
        </w:rPr>
        <w:t xml:space="preserve">（7）乙方运营中须妥善保管甲方的设备，如有丢失或人为损坏，照价赔偿或修复。</w:t>
      </w:r>
      <w:r/>
    </w:p>
    <w:p>
      <w:pPr>
        <w:ind w:firstLine="480"/>
        <w:spacing w:line="420" w:lineRule="exact"/>
        <w:rPr>
          <w:rFonts w:hint="eastAsia" w:ascii="宋体" w:hAnsi="宋体" w:cs="楷体"/>
          <w:sz w:val="24"/>
        </w:rPr>
      </w:pPr>
      <w:r>
        <w:rPr>
          <w:rFonts w:hint="eastAsia" w:ascii="宋体" w:hAnsi="宋体" w:cs="楷体"/>
          <w:sz w:val="24"/>
        </w:rPr>
        <w:t xml:space="preserve">（8）乙方承担运营服务项目开展中的各种风险、赔偿和安全责任。乙方在本项目实施及服务过程中，发生的一切安全责任（包含但不限于工作人员工作和</w:t>
      </w:r>
      <w:r>
        <w:rPr>
          <w:rFonts w:hint="eastAsia" w:ascii="宋体" w:hAnsi="宋体" w:cs="楷体"/>
          <w:sz w:val="24"/>
        </w:rPr>
        <w:t xml:space="preserve">上下班期间、送餐途中、上门服务、食品安全、设备安装、服务对象安全等），均由乙方自行承担并负责处理，甲方不承担任何责任。  </w:t>
      </w:r>
      <w:r/>
    </w:p>
    <w:p>
      <w:pPr>
        <w:ind w:firstLine="480"/>
        <w:spacing w:line="420" w:lineRule="exact"/>
        <w:rPr>
          <w:rFonts w:hint="eastAsia" w:ascii="宋体" w:hAnsi="宋体" w:cs="楷体"/>
          <w:sz w:val="24"/>
        </w:rPr>
      </w:pPr>
      <w:r>
        <w:rPr>
          <w:rFonts w:hint="eastAsia" w:ascii="宋体" w:hAnsi="宋体" w:cs="楷体"/>
          <w:sz w:val="24"/>
        </w:rPr>
        <w:t xml:space="preserve">（9）乙方要严格执行省、市、县养老服务相关政策，无条件参加民政部门组织的相关培训和工作会议、工作活动，配合镇、村工作。乙方无条件接受甲方业务指导和监督考核，承担各级组织的观摩和检查。</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五、费用结算</w:t>
      </w:r>
      <w:r/>
    </w:p>
    <w:p>
      <w:pPr>
        <w:ind w:firstLine="480"/>
        <w:spacing w:line="420" w:lineRule="exact"/>
        <w:rPr>
          <w:rFonts w:hint="eastAsia" w:ascii="宋体" w:hAnsi="宋体" w:cs="楷体"/>
          <w:sz w:val="24"/>
        </w:rPr>
      </w:pPr>
      <w:r>
        <w:rPr>
          <w:rFonts w:hint="eastAsia" w:ascii="宋体" w:hAnsi="宋体" w:cs="楷体"/>
          <w:sz w:val="24"/>
        </w:rPr>
        <w:t xml:space="preserve">5.1合同签定后7日内支付合同总价的10%作为预付款（乙方须提供合同总价10%的金融机构或担保机构出具的保函）。</w:t>
      </w:r>
      <w:r/>
    </w:p>
    <w:p>
      <w:pPr>
        <w:ind w:firstLine="480"/>
        <w:spacing w:line="420" w:lineRule="exact"/>
        <w:rPr>
          <w:rFonts w:hint="eastAsia" w:ascii="宋体" w:hAnsi="宋体" w:cs="楷体"/>
          <w:sz w:val="24"/>
        </w:rPr>
      </w:pPr>
      <w:r>
        <w:rPr>
          <w:rFonts w:hint="eastAsia" w:ascii="宋体" w:hAnsi="宋体" w:cs="楷体"/>
          <w:sz w:val="24"/>
        </w:rPr>
        <w:t xml:space="preserve">5.2运营综合性养老服务中心的运营补助</w:t>
      </w:r>
      <w:bookmarkStart w:id="190" w:name="OLE_LINK42"/>
      <w:r>
        <w:rPr>
          <w:rFonts w:hint="eastAsia" w:ascii="宋体" w:hAnsi="宋体" w:cs="楷体"/>
          <w:sz w:val="24"/>
        </w:rPr>
        <w:t xml:space="preserve">按照滨海县民政局、财政局《关于印发&lt;滨海县居家社区养老服务机构建设和运营补助实施细则（试行）&gt;的通知》（滨民发〔2023〕51号）</w:t>
      </w:r>
      <w:bookmarkEnd w:id="190"/>
      <w:r>
        <w:rPr>
          <w:rFonts w:hint="eastAsia" w:ascii="宋体" w:hAnsi="宋体" w:cs="楷体"/>
          <w:sz w:val="24"/>
        </w:rPr>
        <w:t xml:space="preserve">结算。</w:t>
      </w:r>
      <w:r/>
    </w:p>
    <w:p>
      <w:pPr>
        <w:ind w:firstLine="480"/>
        <w:spacing w:line="420" w:lineRule="exact"/>
        <w:rPr>
          <w:rFonts w:hint="eastAsia" w:ascii="宋体" w:hAnsi="宋体" w:eastAsia="宋体" w:cs="楷体"/>
          <w:color w:val="00b0f0"/>
          <w:sz w:val="24"/>
        </w:rPr>
      </w:pPr>
      <w:r>
        <w:rPr>
          <w:rFonts w:hint="eastAsia" w:ascii="宋体" w:hAnsi="宋体" w:cs="楷体"/>
          <w:sz w:val="24"/>
        </w:rPr>
        <w:t xml:space="preserve">运营老年人日间照料中心、互助养</w:t>
      </w:r>
      <w:r>
        <w:rPr>
          <w:rFonts w:hint="eastAsia" w:ascii="宋体" w:hAnsi="宋体" w:cs="楷体"/>
          <w:sz w:val="24"/>
        </w:rPr>
        <w:t xml:space="preserve">老睦邻点、居家养老服务中心（站）的，如只申请居家社区养老服务机构运营补助，按照滨海县民政局、财政局《关于印发&lt;滨海县居家社区养老服务机构建设和运营补助实施细则（试行）&gt;的通知》（滨民发〔2023〕51号）结算；如同时运营长者幸福食堂，并以长者幸福食堂申请运营补助时，季度基础补助按照《关于印发&lt;滨海县长者幸福食堂建设和运营补助实施细则（试行）》的通知》（滨民发〔2023〕69号）结算，年度补助结算方法如下：长者幸福食堂年度为老优质服务补助金额*考核分*70%+居家社区养老服务机构年度补助金额*考核分*30%。</w:t>
      </w:r>
      <w:r>
        <w:rPr>
          <w:rFonts w:hint="eastAsia" w:ascii="宋体" w:hAnsi="宋体" w:cs="楷体"/>
          <w:color w:val="00b0f0"/>
          <w:sz w:val="24"/>
        </w:rPr>
        <w:t xml:space="preserve">如符合多种营运补助条件，由运营单位根据相关文件规定自主选择申请，不重复补助。</w:t>
      </w:r>
      <w:r/>
    </w:p>
    <w:p>
      <w:pPr>
        <w:ind w:firstLine="480"/>
        <w:spacing w:line="420" w:lineRule="exact"/>
        <w:rPr>
          <w:rFonts w:hint="eastAsia" w:ascii="宋体" w:hAnsi="宋体" w:cs="楷体"/>
          <w:sz w:val="24"/>
        </w:rPr>
      </w:pPr>
      <w:r>
        <w:rPr>
          <w:rFonts w:hint="eastAsia" w:ascii="宋体" w:hAnsi="宋体" w:cs="楷体"/>
          <w:sz w:val="24"/>
        </w:rPr>
        <w:t xml:space="preserve">5.3乙方根据甲方确定的服务费金额提供税务发票给甲方，应纳税款由乙方承担。税务发票上的款额与经双方确认的款额不一致的，甲方按经双方确认的款额支付给乙方。</w:t>
      </w:r>
      <w:r/>
    </w:p>
    <w:p>
      <w:pPr>
        <w:ind w:firstLine="560"/>
        <w:spacing w:line="420" w:lineRule="exact"/>
        <w:rPr>
          <w:rFonts w:hint="eastAsia" w:ascii="宋体" w:hAnsi="宋体" w:cs="黑体"/>
          <w:sz w:val="28"/>
          <w:szCs w:val="28"/>
        </w:rPr>
      </w:pPr>
      <w:r>
        <w:rPr>
          <w:rFonts w:hint="eastAsia" w:ascii="宋体" w:hAnsi="宋体" w:cs="黑体"/>
          <w:sz w:val="28"/>
          <w:szCs w:val="28"/>
        </w:rPr>
        <w:t xml:space="preserve">六、其它约定</w:t>
      </w:r>
      <w:r/>
    </w:p>
    <w:p>
      <w:pPr>
        <w:ind w:firstLine="480"/>
        <w:spacing w:line="420" w:lineRule="exact"/>
        <w:rPr>
          <w:rFonts w:hint="eastAsia" w:ascii="宋体" w:hAnsi="宋体" w:cs="楷体"/>
          <w:sz w:val="24"/>
        </w:rPr>
      </w:pPr>
      <w:r>
        <w:rPr>
          <w:rFonts w:hint="eastAsia" w:ascii="宋体" w:hAnsi="宋体" w:cs="楷体"/>
          <w:sz w:val="24"/>
        </w:rPr>
        <w:t xml:space="preserve">6.1本项目招标文件和乙方投标文件系本合同组成部分，招投标文件没有规定或规定不明的，按本合同约定执行。</w:t>
      </w:r>
      <w:r/>
    </w:p>
    <w:p>
      <w:pPr>
        <w:ind w:firstLine="480"/>
        <w:spacing w:line="420" w:lineRule="exact"/>
        <w:rPr>
          <w:rFonts w:hint="eastAsia" w:ascii="宋体" w:hAnsi="宋体" w:cs="楷体"/>
          <w:sz w:val="24"/>
        </w:rPr>
      </w:pPr>
      <w:r>
        <w:rPr>
          <w:rFonts w:hint="eastAsia" w:ascii="宋体" w:hAnsi="宋体" w:cs="楷体"/>
          <w:sz w:val="24"/>
        </w:rPr>
        <w:t xml:space="preserve">6.2如因受疫情等特殊情况影响，服务延迟或中断的，在合同总金额不变的情况下，应顺延服务期限。</w:t>
      </w:r>
      <w:r/>
    </w:p>
    <w:p>
      <w:pPr>
        <w:ind w:firstLine="480"/>
        <w:spacing w:line="420" w:lineRule="exact"/>
        <w:rPr>
          <w:rFonts w:hint="eastAsia" w:ascii="宋体" w:hAnsi="宋体" w:cs="楷体"/>
          <w:sz w:val="24"/>
        </w:rPr>
      </w:pPr>
      <w:r>
        <w:rPr>
          <w:rFonts w:hint="eastAsia" w:ascii="宋体" w:hAnsi="宋体" w:cs="楷体"/>
          <w:sz w:val="24"/>
        </w:rPr>
        <w:t xml:space="preserve">6.3如因上级居家社区养老服务政策变化等原因，甲方有权调整考评内容，但应至少提前1个月通知乙方。</w:t>
      </w:r>
      <w:r/>
    </w:p>
    <w:p>
      <w:pPr>
        <w:ind w:firstLine="480"/>
        <w:spacing w:line="420" w:lineRule="exact"/>
        <w:rPr>
          <w:rFonts w:hint="eastAsia" w:ascii="宋体" w:hAnsi="宋体" w:cs="楷体"/>
          <w:sz w:val="24"/>
        </w:rPr>
      </w:pPr>
      <w:r>
        <w:rPr>
          <w:rFonts w:hint="eastAsia" w:ascii="宋体" w:hAnsi="宋体" w:cs="楷体"/>
          <w:sz w:val="24"/>
        </w:rPr>
        <w:t xml:space="preserve">6.4乙方不得将老人信息透露或公开给任何第三方，由此产生的一切责任由乙方承担。如确因工作需要透露或公开的,应先征得甲方书面同意。</w:t>
      </w:r>
      <w:r/>
    </w:p>
    <w:p>
      <w:pPr>
        <w:ind w:firstLine="480"/>
        <w:spacing w:line="420" w:lineRule="exact"/>
        <w:rPr>
          <w:rFonts w:hint="eastAsia" w:ascii="宋体" w:hAnsi="宋体" w:cs="楷体"/>
          <w:sz w:val="24"/>
        </w:rPr>
      </w:pPr>
      <w:r>
        <w:rPr>
          <w:rFonts w:hint="eastAsia" w:ascii="宋体" w:hAnsi="宋体" w:cs="楷体"/>
          <w:sz w:val="24"/>
        </w:rPr>
        <w:t xml:space="preserve">6.5 除非得到甲方的书面同意，乙方不得将全部或部分服务分包给他人。乙</w:t>
      </w:r>
      <w:r>
        <w:rPr>
          <w:rFonts w:hint="eastAsia" w:ascii="宋体" w:hAnsi="宋体" w:cs="楷体"/>
          <w:sz w:val="24"/>
        </w:rPr>
        <w:t xml:space="preserve">方擅自转包或分包的，甲方有权单方拒付服务费，并终止合同履行。</w:t>
      </w:r>
      <w:r/>
    </w:p>
    <w:p>
      <w:pPr>
        <w:ind w:firstLine="480"/>
        <w:spacing w:line="420" w:lineRule="exact"/>
        <w:rPr>
          <w:rFonts w:hint="eastAsia" w:ascii="宋体" w:hAnsi="宋体" w:eastAsia="宋体" w:cs="楷体"/>
          <w:sz w:val="24"/>
        </w:rPr>
      </w:pPr>
      <w:r>
        <w:rPr>
          <w:rFonts w:hint="eastAsia" w:ascii="宋体" w:hAnsi="宋体" w:cs="楷体"/>
          <w:sz w:val="24"/>
        </w:rPr>
        <w:t xml:space="preserve">6.6由于乙方提供的结算材料不及时、不准确等原因造成的甲方结算付款不及时的，责任由乙方自行承担。</w:t>
      </w:r>
      <w:r/>
    </w:p>
    <w:p>
      <w:pPr>
        <w:ind w:firstLine="560"/>
        <w:spacing w:line="420" w:lineRule="exact"/>
        <w:rPr>
          <w:rFonts w:hint="eastAsia" w:ascii="宋体" w:hAnsi="宋体" w:cs="黑体"/>
          <w:sz w:val="28"/>
          <w:szCs w:val="28"/>
        </w:rPr>
      </w:pPr>
      <w:r>
        <w:rPr>
          <w:rFonts w:hint="eastAsia" w:ascii="宋体" w:hAnsi="宋体" w:cs="黑体"/>
          <w:sz w:val="28"/>
          <w:szCs w:val="28"/>
        </w:rPr>
        <w:t xml:space="preserve">七、违约责任</w:t>
      </w:r>
      <w:r/>
    </w:p>
    <w:p>
      <w:pPr>
        <w:ind w:firstLine="480"/>
        <w:spacing w:line="420" w:lineRule="exact"/>
        <w:rPr>
          <w:rFonts w:hint="eastAsia" w:ascii="宋体" w:hAnsi="宋体" w:cs="楷体"/>
          <w:sz w:val="24"/>
        </w:rPr>
      </w:pPr>
      <w:r>
        <w:rPr>
          <w:rFonts w:hint="eastAsia" w:ascii="宋体" w:hAnsi="宋体" w:cs="楷体"/>
          <w:sz w:val="24"/>
        </w:rPr>
        <w:t xml:space="preserve">7.1甲方无正当理由终止乙方开展服务的，按未履行相应价款百分之五承担违约金；甲方无正当理由逾期付款的,按逾期付款总额每日万分之四承担违约金。</w:t>
      </w:r>
      <w:r/>
    </w:p>
    <w:p>
      <w:pPr>
        <w:ind w:firstLine="480"/>
        <w:spacing w:line="420" w:lineRule="exact"/>
        <w:rPr>
          <w:rFonts w:hint="eastAsia" w:ascii="宋体" w:hAnsi="宋体" w:cs="楷体"/>
          <w:sz w:val="24"/>
        </w:rPr>
      </w:pPr>
      <w:r>
        <w:rPr>
          <w:rFonts w:hint="eastAsia" w:ascii="宋体" w:hAnsi="宋体" w:cs="楷体"/>
          <w:sz w:val="24"/>
        </w:rPr>
        <w:t xml:space="preserve">7.2、由于乙方原因导致本合同未能履行或未能继续履行的（超过合同规定期限7日以上），乙方按未履行相应价款百分之五承担违约金，如违约金不能弥补甲方经济损失，对于不足部分乙方承担赔偿责任。</w:t>
      </w:r>
      <w:r/>
    </w:p>
    <w:p>
      <w:pPr>
        <w:ind w:firstLine="560"/>
        <w:spacing w:line="420" w:lineRule="exact"/>
        <w:rPr>
          <w:rFonts w:hint="eastAsia" w:ascii="宋体" w:hAnsi="宋体" w:cs="黑体"/>
          <w:sz w:val="28"/>
          <w:szCs w:val="28"/>
        </w:rPr>
      </w:pPr>
      <w:r>
        <w:rPr>
          <w:rFonts w:hint="eastAsia" w:ascii="宋体" w:hAnsi="宋体" w:cs="黑体"/>
          <w:sz w:val="28"/>
          <w:szCs w:val="28"/>
        </w:rPr>
        <w:t xml:space="preserve">八、争议处理</w:t>
      </w:r>
      <w:r/>
    </w:p>
    <w:p>
      <w:pPr>
        <w:ind w:firstLine="480"/>
        <w:spacing w:line="420" w:lineRule="exact"/>
        <w:rPr>
          <w:rFonts w:hint="eastAsia" w:ascii="宋体" w:hAnsi="宋体" w:cs="楷体"/>
          <w:sz w:val="24"/>
        </w:rPr>
      </w:pPr>
      <w:r>
        <w:rPr>
          <w:rFonts w:hint="eastAsia" w:ascii="宋体" w:hAnsi="宋体" w:cs="楷体"/>
          <w:sz w:val="24"/>
        </w:rPr>
        <w:t xml:space="preserve">8.1本合同在履行过程中如发生争议，双方协商解决，如协议不成，任何一方均可向滨海县人民法院提起诉讼。</w:t>
      </w:r>
      <w:r/>
    </w:p>
    <w:p>
      <w:pPr>
        <w:ind w:firstLine="480"/>
        <w:spacing w:line="420" w:lineRule="exact"/>
        <w:rPr>
          <w:rFonts w:hint="eastAsia" w:ascii="宋体" w:hAnsi="宋体" w:cs="楷体"/>
          <w:sz w:val="24"/>
        </w:rPr>
      </w:pPr>
      <w:r>
        <w:rPr>
          <w:rFonts w:hint="eastAsia" w:ascii="宋体" w:hAnsi="宋体" w:cs="楷体"/>
          <w:sz w:val="24"/>
        </w:rPr>
        <w:t xml:space="preserve">8.2如争议系一方违约造成的，另一方为主张权利所支出的包括律师代理费在内的一切经济损失均由违约一方承担。 </w:t>
      </w:r>
      <w:r/>
    </w:p>
    <w:p>
      <w:pPr>
        <w:ind w:firstLine="560"/>
        <w:spacing w:line="420" w:lineRule="exact"/>
        <w:rPr>
          <w:rFonts w:hint="eastAsia" w:ascii="宋体" w:hAnsi="宋体" w:cs="黑体"/>
          <w:sz w:val="28"/>
          <w:szCs w:val="28"/>
        </w:rPr>
      </w:pPr>
      <w:r>
        <w:rPr>
          <w:rFonts w:hint="eastAsia" w:ascii="宋体" w:hAnsi="宋体" w:cs="黑体"/>
          <w:sz w:val="28"/>
          <w:szCs w:val="28"/>
        </w:rPr>
        <w:t xml:space="preserve">九、合同生效及其它</w:t>
      </w:r>
      <w:r/>
    </w:p>
    <w:p>
      <w:pPr>
        <w:ind w:firstLine="480"/>
        <w:spacing w:line="420" w:lineRule="exact"/>
        <w:rPr>
          <w:rFonts w:hint="eastAsia" w:ascii="宋体" w:hAnsi="宋体" w:cs="楷体"/>
          <w:sz w:val="24"/>
        </w:rPr>
      </w:pPr>
      <w:r>
        <w:rPr>
          <w:rFonts w:hint="eastAsia" w:ascii="宋体" w:hAnsi="宋体" w:cs="楷体"/>
          <w:sz w:val="24"/>
        </w:rPr>
        <w:t xml:space="preserve">9.1 合同经双方法定代表人或授权委托代表人签字并加盖单位公章后生效。</w:t>
      </w:r>
      <w:r/>
    </w:p>
    <w:p>
      <w:pPr>
        <w:ind w:firstLine="480"/>
        <w:spacing w:line="420" w:lineRule="exact"/>
        <w:rPr>
          <w:rFonts w:hint="eastAsia" w:ascii="宋体" w:hAnsi="宋体" w:cs="楷体"/>
          <w:sz w:val="24"/>
        </w:rPr>
      </w:pPr>
      <w:r>
        <w:rPr>
          <w:rFonts w:hint="eastAsia" w:ascii="宋体" w:hAnsi="宋体" w:cs="楷体"/>
          <w:sz w:val="24"/>
        </w:rPr>
        <w:t xml:space="preserve">9.2本合同未尽事宜，遵照《民法典》有关条文执行。</w:t>
      </w:r>
      <w:r/>
    </w:p>
    <w:p>
      <w:pPr>
        <w:ind w:firstLine="480"/>
        <w:spacing w:line="420" w:lineRule="exact"/>
        <w:rPr>
          <w:rFonts w:hint="eastAsia" w:ascii="宋体" w:hAnsi="宋体" w:cs="楷体"/>
          <w:sz w:val="24"/>
        </w:rPr>
      </w:pPr>
      <w:r>
        <w:rPr>
          <w:rFonts w:hint="eastAsia" w:ascii="宋体" w:hAnsi="宋体" w:cs="楷体"/>
          <w:sz w:val="24"/>
        </w:rPr>
        <w:t xml:space="preserve">9.3 本合同正本一式五份，具有同等法律效力，甲方、乙方、财政监管部门、公共资源交易中心、采购代理机构各执一份。</w:t>
      </w:r>
      <w:r/>
    </w:p>
    <w:p>
      <w:pPr>
        <w:ind w:firstLine="480"/>
        <w:spacing w:line="420" w:lineRule="exact"/>
        <w:rPr>
          <w:rFonts w:hint="eastAsia" w:ascii="宋体" w:hAnsi="宋体" w:cs="楷体"/>
          <w:sz w:val="24"/>
        </w:rPr>
      </w:pPr>
      <w:r>
        <w:rPr>
          <w:rFonts w:hint="eastAsia" w:ascii="宋体" w:hAnsi="宋体" w:cs="楷体"/>
          <w:sz w:val="24"/>
        </w:rPr>
      </w:r>
      <w:r/>
    </w:p>
    <w:p>
      <w:pPr>
        <w:spacing w:line="420" w:lineRule="exact"/>
        <w:rPr>
          <w:rFonts w:hint="eastAsia" w:ascii="宋体" w:hAnsi="宋体" w:cs="楷体"/>
          <w:sz w:val="24"/>
        </w:rPr>
      </w:pPr>
      <w:r>
        <w:rPr>
          <w:rFonts w:hint="eastAsia" w:ascii="宋体" w:hAnsi="宋体" w:cs="楷体"/>
          <w:sz w:val="24"/>
        </w:rPr>
        <w:t xml:space="preserve">甲方：                            乙方： </w:t>
      </w:r>
      <w:r/>
    </w:p>
    <w:p>
      <w:pPr>
        <w:spacing w:line="420" w:lineRule="exact"/>
        <w:rPr>
          <w:rFonts w:hint="eastAsia" w:ascii="宋体" w:hAnsi="宋体" w:cs="楷体"/>
          <w:sz w:val="24"/>
        </w:rPr>
      </w:pPr>
      <w:r>
        <w:rPr>
          <w:rFonts w:hint="eastAsia" w:ascii="宋体" w:hAnsi="宋体" w:cs="楷体"/>
          <w:sz w:val="24"/>
        </w:rPr>
        <w:t xml:space="preserve">地址：                            地址： </w:t>
      </w:r>
      <w:r/>
    </w:p>
    <w:p>
      <w:pPr>
        <w:spacing w:line="420" w:lineRule="exact"/>
        <w:rPr>
          <w:rFonts w:hint="eastAsia" w:ascii="宋体" w:hAnsi="宋体" w:cs="楷体"/>
          <w:sz w:val="24"/>
        </w:rPr>
      </w:pPr>
      <w:r>
        <w:rPr>
          <w:rFonts w:hint="eastAsia" w:ascii="宋体" w:hAnsi="宋体" w:cs="楷体"/>
          <w:sz w:val="24"/>
        </w:rPr>
        <w:t xml:space="preserve">法定代表人或授权代表：            法定代表人或授权代表：</w:t>
      </w:r>
      <w:r/>
    </w:p>
    <w:p>
      <w:pPr>
        <w:spacing w:line="420" w:lineRule="exact"/>
        <w:rPr>
          <w:rFonts w:hint="eastAsia" w:ascii="宋体" w:hAnsi="宋体" w:cs="楷体"/>
          <w:sz w:val="24"/>
        </w:rPr>
      </w:pPr>
      <w:r>
        <w:rPr>
          <w:rFonts w:hint="eastAsia" w:ascii="宋体" w:hAnsi="宋体" w:cs="楷体"/>
          <w:sz w:val="24"/>
        </w:rPr>
        <w:t xml:space="preserve">联系电话：                        联系电话：</w:t>
      </w:r>
      <w:r/>
    </w:p>
    <w:p>
      <w:pPr>
        <w:pStyle w:val="818"/>
        <w:spacing w:before="120" w:after="120"/>
        <w:rPr>
          <w:rFonts w:hint="eastAsia" w:hAnsi="宋体"/>
          <w:sz w:val="24"/>
          <w:szCs w:val="24"/>
        </w:rPr>
      </w:pPr>
      <w:r>
        <w:rPr>
          <w:rFonts w:hint="eastAsia" w:hAnsi="宋体" w:cs="楷体"/>
          <w:sz w:val="24"/>
          <w:szCs w:val="24"/>
        </w:rPr>
        <w:t xml:space="preserve">签订日期：      年  月  日</w:t>
      </w:r>
      <w:r/>
    </w:p>
    <w:p>
      <w:pPr>
        <w:pStyle w:val="822"/>
        <w:jc w:val="center"/>
        <w:spacing w:before="120" w:beforeAutospacing="0" w:after="120" w:afterAutospacing="0" w:line="0" w:lineRule="atLeast"/>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83"/>
      <w:r>
        <w:rPr>
          <w:rFonts w:hint="eastAsia" w:ascii="黑体" w:hAnsi="宋体" w:eastAsia="黑体" w:cs="黑体"/>
          <w:color w:val="000000"/>
          <w:sz w:val="44"/>
          <w:szCs w:val="44"/>
        </w:rPr>
        <w:t xml:space="preserve">四章 采购需求</w:t>
      </w:r>
      <w:bookmarkEnd w:id="184"/>
      <w:r/>
      <w:bookmarkEnd w:id="185"/>
      <w:r/>
      <w:bookmarkEnd w:id="186"/>
      <w:r/>
      <w:bookmarkEnd w:id="187"/>
      <w:r/>
      <w:bookmarkEnd w:id="188"/>
      <w:r/>
      <w:r/>
    </w:p>
    <w:p>
      <w:pPr>
        <w:pStyle w:val="822"/>
        <w:jc w:val="both"/>
        <w:spacing w:beforeAutospacing="0" w:afterAutospacing="0" w:line="0" w:lineRule="atLeast"/>
      </w:pPr>
      <w:r/>
      <w:bookmarkStart w:id="191" w:name="_Toc49090575"/>
      <w:r/>
      <w:bookmarkStart w:id="192" w:name="_Toc26554093"/>
      <w:r>
        <w:rPr>
          <w:rFonts w:hint="eastAsia" w:ascii="宋体" w:hAnsi="宋体" w:eastAsia="宋体" w:cs="宋体"/>
          <w:color w:val="000000"/>
        </w:rPr>
        <w:t xml:space="preserve">项目属性:服务类项目。</w:t>
      </w:r>
      <w:bookmarkEnd w:id="191"/>
      <w:r/>
      <w:bookmarkEnd w:id="192"/>
      <w:r>
        <w:t xml:space="preserve"> </w:t>
      </w:r>
      <w:r/>
    </w:p>
    <w:p>
      <w:pPr>
        <w:pStyle w:val="808"/>
        <w:ind w:firstLine="562"/>
        <w:rPr>
          <w:rFonts w:hint="eastAsia" w:ascii="宋体" w:hAnsi="宋体" w:eastAsia="宋体" w:cs="楷体"/>
          <w:sz w:val="28"/>
          <w:szCs w:val="28"/>
        </w:rPr>
      </w:pPr>
      <w:r>
        <w:rPr>
          <w:rFonts w:hint="eastAsia" w:ascii="宋体" w:hAnsi="宋体" w:eastAsia="宋体" w:cs="楷体"/>
          <w:sz w:val="28"/>
          <w:szCs w:val="28"/>
        </w:rPr>
        <w:t xml:space="preserve">1、项目需求</w:t>
      </w:r>
      <w:r/>
    </w:p>
    <w:p>
      <w:pPr>
        <w:pStyle w:val="808"/>
        <w:ind w:firstLine="482"/>
        <w:spacing w:line="560" w:lineRule="exact"/>
        <w:rPr>
          <w:rFonts w:hint="eastAsia" w:ascii="宋体" w:hAnsi="宋体" w:eastAsia="宋体" w:cs="楷体"/>
          <w:sz w:val="24"/>
          <w:szCs w:val="24"/>
        </w:rPr>
      </w:pPr>
      <w:r>
        <w:rPr>
          <w:rFonts w:hint="eastAsia" w:ascii="宋体" w:hAnsi="宋体" w:eastAsia="宋体" w:cs="楷体"/>
          <w:sz w:val="24"/>
          <w:szCs w:val="24"/>
        </w:rPr>
        <w:t xml:space="preserve">为全面构建居家社区机构相协调、医养康养相结合的养老服务体系，巩固居家社区养老服务基础性地位，我县将以政府购买服务的方式，招标确定专业养老服务组织（企业）运营相关居家社区养老服务机构，为老年人提供日间照料、文体娱乐、精神慰藉等居家社区养老服务，服务质量符合省市县相关养老服务政策要求和行业规范。</w:t>
      </w:r>
      <w:r/>
    </w:p>
    <w:p>
      <w:pPr>
        <w:pStyle w:val="808"/>
        <w:ind w:firstLine="480"/>
        <w:spacing w:before="0" w:after="0" w:line="560" w:lineRule="exact"/>
        <w:rPr>
          <w:rFonts w:hint="eastAsia" w:asciiTheme="minorEastAsia" w:hAnsiTheme="minorEastAsia" w:cstheme="minorEastAsia"/>
          <w:b w:val="0"/>
          <w:bCs w:val="0"/>
          <w:color w:val="c00000"/>
          <w:sz w:val="24"/>
          <w:szCs w:val="24"/>
        </w:rPr>
      </w:pPr>
      <w:r>
        <w:rPr>
          <w:rFonts w:hint="eastAsia" w:asciiTheme="minorEastAsia" w:hAnsiTheme="minorEastAsia" w:cstheme="minorEastAsia"/>
          <w:b w:val="0"/>
          <w:bCs w:val="0"/>
          <w:color w:val="c00000"/>
          <w:sz w:val="24"/>
          <w:szCs w:val="24"/>
        </w:rPr>
        <w:t xml:space="preserve">（1）助餐服务：分定点用餐和上门送餐两类。站点最少提供两素两荤一汤供老人选择，根据按照《滨海县长者幸福食堂建设和运营补助实施细则》为老年人提供优惠补助。每周订制食谱并在助餐点公示。助餐工具保持清洁卫生，餐具做到每餐消毒。送餐上门及时，并有必要的保温，保鲜设备。洗、煮饭菜应卫生，无夹生、焦糊；尊重老年人的饮食习惯；注意营养均衡，合理配餐。 </w:t>
      </w:r>
      <w:r/>
    </w:p>
    <w:p>
      <w:pPr>
        <w:ind w:firstLine="480"/>
        <w:spacing w:line="560" w:lineRule="exact"/>
        <w:rPr>
          <w:rFonts w:hint="eastAsia" w:asciiTheme="minorEastAsia" w:hAnsiTheme="minorEastAsia" w:cstheme="minorEastAsia"/>
          <w:color w:val="c00000"/>
          <w:sz w:val="24"/>
        </w:rPr>
      </w:pPr>
      <w:r>
        <w:rPr>
          <w:rFonts w:hint="eastAsia" w:asciiTheme="minorEastAsia" w:hAnsiTheme="minorEastAsia" w:cstheme="minorEastAsia"/>
          <w:color w:val="c00000"/>
          <w:sz w:val="24"/>
        </w:rPr>
        <w:t xml:space="preserve">（2）开展活动：定期开展老年文体活动、书法绘画、养生讲座、法律咨询、手工制作、读书交流、棋牌切磋等活动，丰富老年文化生活，展示老年风采，营造文明和谐的养老、乐老氛围。要求：每周都有活动安排，每月一次小型主题活动，参与人数不少于30人。通过活动的开展，让老人在参与中获得快乐、健康。</w:t>
      </w:r>
      <w:r/>
    </w:p>
    <w:p>
      <w:pPr>
        <w:ind w:firstLine="480"/>
        <w:spacing w:line="560" w:lineRule="exact"/>
        <w:rPr>
          <w:rFonts w:hint="eastAsia" w:asciiTheme="minorEastAsia" w:hAnsiTheme="minorEastAsia" w:cstheme="minorEastAsia"/>
          <w:color w:val="c00000"/>
          <w:sz w:val="24"/>
        </w:rPr>
      </w:pPr>
      <w:r>
        <w:rPr>
          <w:rFonts w:hint="eastAsia" w:asciiTheme="minorEastAsia" w:hAnsiTheme="minorEastAsia" w:cstheme="minorEastAsia"/>
          <w:color w:val="c00000"/>
          <w:sz w:val="24"/>
        </w:rPr>
        <w:t xml:space="preserve">（3）精神慰藉：提供精神关爱服务，耐心倾听，能与老年人进行谈心交流。提供心理疏导服务，掌握老年人心理特点和基本沟通技巧，善于安抚老年人的情绪及变化，并通过心理干预手段调整老年人心理状态，尊重并保护老年人隐私。  </w:t>
      </w:r>
      <w:r/>
    </w:p>
    <w:p>
      <w:pPr>
        <w:ind w:firstLine="480"/>
        <w:spacing w:line="560" w:lineRule="exact"/>
        <w:rPr>
          <w:rFonts w:hint="eastAsia" w:asciiTheme="minorEastAsia" w:hAnsiTheme="minorEastAsia" w:cstheme="minorEastAsia"/>
          <w:color w:val="c00000"/>
          <w:sz w:val="24"/>
        </w:rPr>
      </w:pPr>
      <w:r>
        <w:rPr>
          <w:rFonts w:hint="eastAsia" w:asciiTheme="minorEastAsia" w:hAnsiTheme="minorEastAsia" w:cstheme="minorEastAsia"/>
          <w:color w:val="c00000"/>
          <w:sz w:val="24"/>
        </w:rPr>
        <w:t xml:space="preserve">（4）医疗保健：提供预防保健服务，根据老年人需求定制有针对性的预防方案，预防方案应简明扼要、通俗易懂，便于老年人掌握；协助开展医疗辅助性</w:t>
      </w:r>
      <w:r>
        <w:rPr>
          <w:rFonts w:hint="eastAsia" w:asciiTheme="minorEastAsia" w:hAnsiTheme="minorEastAsia" w:cstheme="minorEastAsia"/>
          <w:color w:val="c00000"/>
          <w:sz w:val="24"/>
        </w:rPr>
        <w:t xml:space="preserve">工作，能正确测量血压、体温等；指导老年人正确执行医嘱，协助老年人正确使用康复、保健器材；健康咨询服务：通过热线电话、网络平台、专题讲座等方式，为老年人普及预防保健、康复护理、心理健康等方面的知识。</w:t>
      </w:r>
      <w:r/>
    </w:p>
    <w:p>
      <w:pPr>
        <w:pStyle w:val="823"/>
        <w:ind w:right="1470" w:firstLine="200"/>
        <w:rPr>
          <w:rFonts w:hint="eastAsia" w:ascii="宋体" w:hAnsi="宋体" w:eastAsia="宋体" w:cs="楷体"/>
          <w:b/>
          <w:bCs/>
          <w:sz w:val="28"/>
          <w:szCs w:val="28"/>
        </w:rPr>
      </w:pPr>
      <w:r>
        <w:rPr>
          <w:rFonts w:hint="eastAsia" w:ascii="宋体" w:hAnsi="宋体" w:eastAsia="宋体" w:cs="楷体"/>
          <w:b/>
          <w:bCs/>
          <w:sz w:val="28"/>
          <w:szCs w:val="28"/>
        </w:rPr>
        <w:t xml:space="preserve">2、项目清单</w:t>
      </w:r>
      <w:r/>
    </w:p>
    <w:tbl>
      <w:tblPr>
        <w:tblW w:w="9417" w:type="dxa"/>
        <w:tblInd w:w="93" w:type="dxa"/>
        <w:tblLayout w:type="fixed"/>
        <w:tblLook w:val="04A0" w:firstRow="1" w:lastRow="0" w:firstColumn="1" w:lastColumn="0" w:noHBand="0" w:noVBand="1"/>
      </w:tblPr>
      <w:tblGrid>
        <w:gridCol w:w="525"/>
        <w:gridCol w:w="3601"/>
        <w:gridCol w:w="236"/>
        <w:gridCol w:w="898"/>
        <w:gridCol w:w="1937"/>
        <w:gridCol w:w="236"/>
        <w:gridCol w:w="1087"/>
        <w:gridCol w:w="142"/>
        <w:gridCol w:w="755"/>
      </w:tblGrid>
      <w:tr>
        <w:trPr>
          <w:gridAfter w:val="2"/>
          <w:trHeight w:val="640"/>
        </w:trPr>
        <w:tc>
          <w:tcPr>
            <w:gridSpan w:val="7"/>
            <w:tcBorders>
              <w:top w:val="none" w:color="000000" w:sz="4" w:space="0"/>
              <w:left w:val="none" w:color="000000" w:sz="4" w:space="0"/>
              <w:bottom w:val="none" w:color="000000" w:sz="4" w:space="0"/>
              <w:right w:val="none" w:color="000000" w:sz="4" w:space="0"/>
            </w:tcBorders>
            <w:tcW w:w="8520"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居家社区养老服务机构运营经费测算</w:t>
            </w:r>
            <w:r/>
          </w:p>
        </w:tc>
      </w:tr>
      <w:tr>
        <w:trPr>
          <w:trHeight w:val="270"/>
        </w:trPr>
        <w:tc>
          <w:tcPr>
            <w:tcBorders>
              <w:top w:val="none" w:color="000000" w:sz="4" w:space="0"/>
              <w:left w:val="none" w:color="000000" w:sz="4" w:space="0"/>
              <w:bottom w:val="none" w:color="000000" w:sz="4" w:space="0"/>
              <w:right w:val="none" w:color="000000" w:sz="4" w:space="0"/>
            </w:tcBorders>
            <w:tcW w:w="525"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r>
            <w:r/>
          </w:p>
        </w:tc>
        <w:tc>
          <w:tcPr>
            <w:tcBorders>
              <w:top w:val="none" w:color="000000" w:sz="4" w:space="0"/>
              <w:left w:val="none" w:color="000000" w:sz="4" w:space="0"/>
              <w:bottom w:val="none" w:color="000000" w:sz="4" w:space="0"/>
              <w:right w:val="none" w:color="000000" w:sz="4" w:space="0"/>
            </w:tcBorders>
            <w:tcW w:w="3601"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jc w:val="right"/>
              <w:widowControl/>
              <w:rPr>
                <w:rFonts w:hint="eastAsia" w:ascii="宋体" w:hAnsi="宋体" w:cs="宋体"/>
                <w:sz w:val="28"/>
                <w:szCs w:val="28"/>
              </w:rPr>
            </w:pPr>
            <w:r>
              <w:rPr>
                <w:rFonts w:hint="eastAsia" w:ascii="宋体" w:hAnsi="宋体" w:cs="宋体"/>
                <w:sz w:val="28"/>
                <w:szCs w:val="28"/>
              </w:rPr>
              <w:t xml:space="preserve">单位：万元</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rPr>
                <w:rFonts w:hint="eastAsia" w:ascii="宋体" w:hAnsi="宋体" w:cs="宋体"/>
                <w:sz w:val="28"/>
                <w:szCs w:val="28"/>
              </w:rPr>
            </w:pPr>
            <w:r>
              <w:rPr>
                <w:rFonts w:hint="eastAsia" w:ascii="宋体" w:hAnsi="宋体" w:cs="宋体"/>
                <w:sz w:val="28"/>
                <w:szCs w:val="28"/>
              </w:rPr>
            </w:r>
            <w:r/>
          </w:p>
        </w:tc>
        <w:tc>
          <w:tcPr>
            <w:gridSpan w:val="3"/>
            <w:tcBorders>
              <w:top w:val="none" w:color="000000" w:sz="4" w:space="0"/>
              <w:left w:val="none" w:color="000000" w:sz="4" w:space="0"/>
              <w:bottom w:val="none" w:color="000000" w:sz="4" w:space="0"/>
              <w:right w:val="none" w:color="000000" w:sz="4" w:space="0"/>
            </w:tcBorders>
            <w:tcW w:w="1984" w:type="dxa"/>
            <w:vAlign w:val="center"/>
            <w:textDirection w:val="lrTb"/>
            <w:noWrap w:val="false"/>
          </w:tcPr>
          <w:p>
            <w:pPr>
              <w:jc w:val="right"/>
              <w:widowControl/>
              <w:rPr>
                <w:rFonts w:hint="eastAsia" w:ascii="宋体" w:hAnsi="宋体" w:cs="宋体"/>
                <w:sz w:val="28"/>
                <w:szCs w:val="28"/>
              </w:rPr>
            </w:pPr>
            <w:r>
              <w:rPr>
                <w:rFonts w:hint="eastAsia" w:ascii="宋体" w:hAnsi="宋体" w:cs="宋体"/>
                <w:sz w:val="28"/>
                <w:szCs w:val="28"/>
              </w:rPr>
            </w:r>
            <w:r/>
          </w:p>
        </w:tc>
      </w:tr>
      <w:tr>
        <w:trPr>
          <w:gridAfter w:val="1"/>
          <w:trHeight w:val="8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名称</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年数</w:t>
            </w:r>
            <w:r/>
          </w:p>
        </w:tc>
        <w:tc>
          <w:tcPr>
            <w:gridSpan w:val="2"/>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最高补助基数小计</w:t>
            </w:r>
            <w:r/>
          </w:p>
        </w:tc>
        <w:tc>
          <w:tcPr>
            <w:gridSpan w:val="2"/>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备注</w:t>
            </w:r>
            <w:r/>
          </w:p>
        </w:tc>
      </w:tr>
      <w:tr>
        <w:trPr>
          <w:gridAfter w:val="1"/>
          <w:trHeight w:val="5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颐高唐柠府居家养老服务站</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40</w:t>
            </w:r>
            <w:r/>
          </w:p>
        </w:tc>
        <w:tc>
          <w:tcPr>
            <w:gridSpan w:val="2"/>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rPr>
                <w:rFonts w:hint="eastAsia" w:ascii="宋体" w:hAnsi="宋体" w:cs="宋体"/>
                <w:sz w:val="24"/>
              </w:rPr>
            </w:pPr>
            <w:r>
              <w:rPr>
                <w:rFonts w:ascii="宋体" w:hAnsi="宋体" w:cs="宋体"/>
                <w:sz w:val="24"/>
              </w:rPr>
              <w:t xml:space="preserve">包件一</w:t>
            </w:r>
            <w:r/>
          </w:p>
        </w:tc>
      </w:tr>
      <w:tr>
        <w:trPr>
          <w:gridAfter w:val="1"/>
          <w:trHeight w:val="5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华芳颐景花园居家养老服务站</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40</w:t>
            </w:r>
            <w:r/>
          </w:p>
        </w:tc>
        <w:tc>
          <w:tcPr>
            <w:gridSpan w:val="2"/>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rPr>
                <w:rFonts w:hint="eastAsia" w:ascii="宋体" w:hAnsi="宋体" w:cs="宋体"/>
                <w:sz w:val="24"/>
              </w:rPr>
            </w:pPr>
            <w:r>
              <w:rPr>
                <w:rFonts w:ascii="宋体" w:hAnsi="宋体" w:cs="宋体"/>
                <w:sz w:val="24"/>
              </w:rPr>
              <w:t xml:space="preserve">包件</w:t>
            </w:r>
            <w:r>
              <w:rPr>
                <w:rFonts w:hint="eastAsia" w:ascii="宋体" w:hAnsi="宋体" w:cs="宋体"/>
                <w:sz w:val="24"/>
              </w:rPr>
              <w:t xml:space="preserve">二</w:t>
            </w:r>
            <w:r/>
          </w:p>
        </w:tc>
      </w:tr>
      <w:tr>
        <w:trPr>
          <w:gridAfter w:val="1"/>
          <w:trHeight w:val="5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御景花园居家养老服务站</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40</w:t>
            </w:r>
            <w:r/>
          </w:p>
        </w:tc>
        <w:tc>
          <w:tcPr>
            <w:gridSpan w:val="2"/>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rPr>
                <w:rFonts w:hint="eastAsia" w:ascii="宋体" w:hAnsi="宋体" w:cs="宋体"/>
                <w:sz w:val="24"/>
              </w:rPr>
            </w:pPr>
            <w:r>
              <w:rPr>
                <w:rFonts w:ascii="宋体" w:hAnsi="宋体" w:cs="宋体"/>
                <w:sz w:val="24"/>
              </w:rPr>
              <w:t xml:space="preserve">包件</w:t>
            </w:r>
            <w:r>
              <w:rPr>
                <w:rFonts w:hint="eastAsia" w:ascii="宋体" w:hAnsi="宋体" w:cs="宋体"/>
                <w:sz w:val="24"/>
              </w:rPr>
              <w:t xml:space="preserve">三</w:t>
            </w:r>
            <w:r/>
          </w:p>
        </w:tc>
      </w:tr>
      <w:tr>
        <w:trPr>
          <w:gridAfter w:val="1"/>
          <w:trHeight w:val="580"/>
        </w:trPr>
        <w:tc>
          <w:tcPr>
            <w:gridSpan w:val="2"/>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合计</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widowControl/>
              <w:rPr>
                <w:rFonts w:hint="eastAsia" w:ascii="宋体" w:hAnsi="宋体" w:eastAsia="宋体" w:cs="宋体"/>
                <w:sz w:val="24"/>
              </w:rPr>
            </w:pPr>
            <w:r>
              <w:rPr>
                <w:rFonts w:hint="eastAsia" w:ascii="宋体" w:hAnsi="宋体" w:cs="宋体"/>
                <w:sz w:val="24"/>
              </w:rPr>
              <w:t xml:space="preserve">120</w:t>
            </w:r>
            <w:r/>
          </w:p>
        </w:tc>
        <w:tc>
          <w:tcPr>
            <w:gridSpan w:val="2"/>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ind w:firstLine="562"/>
        <w:rPr>
          <w:rFonts w:hint="eastAsia" w:ascii="宋体" w:hAnsi="宋体" w:cs="楷体"/>
          <w:b/>
          <w:bCs/>
          <w:sz w:val="28"/>
          <w:szCs w:val="28"/>
        </w:rPr>
      </w:pPr>
      <w:r>
        <w:rPr>
          <w:rFonts w:hint="eastAsia" w:ascii="宋体" w:hAnsi="宋体" w:cs="楷体"/>
          <w:b/>
          <w:bCs/>
          <w:sz w:val="28"/>
          <w:szCs w:val="28"/>
        </w:rPr>
        <w:t xml:space="preserve">3、相关说明</w:t>
      </w:r>
      <w:r/>
    </w:p>
    <w:p>
      <w:pPr>
        <w:ind w:firstLine="480"/>
        <w:rPr>
          <w:rFonts w:hint="eastAsia" w:ascii="宋体" w:hAnsi="宋体" w:cs="楷体"/>
          <w:sz w:val="24"/>
        </w:rPr>
      </w:pPr>
      <w:r>
        <w:rPr>
          <w:rFonts w:hint="eastAsia" w:ascii="宋体" w:hAnsi="宋体" w:cs="楷体"/>
          <w:sz w:val="24"/>
        </w:rPr>
        <w:t xml:space="preserve">（1）招标人将居家社区养老服务机构建设好（包括装修和设施设备），达到运营条件，交中标人运营。</w:t>
      </w:r>
      <w:r/>
    </w:p>
    <w:p>
      <w:pPr>
        <w:ind w:firstLine="480"/>
        <w:rPr>
          <w:rFonts w:hint="eastAsia" w:ascii="宋体" w:hAnsi="宋体" w:cs="楷体"/>
          <w:sz w:val="24"/>
        </w:rPr>
      </w:pPr>
      <w:r>
        <w:rPr>
          <w:rFonts w:hint="eastAsia" w:ascii="宋体" w:hAnsi="宋体" w:cs="楷体"/>
          <w:sz w:val="24"/>
        </w:rPr>
        <w:t xml:space="preserve">（2）由中标人组建运营团队，与员工签订合规用工合同。投标人投标时必须承诺为全日制员工缴纳社会保险，为退休返聘等无法缴纳社会保险员工每年投保不低于20万元的人身意外伤害保险的。未承诺的作无效标处理。</w:t>
      </w:r>
      <w:r/>
    </w:p>
    <w:p>
      <w:pPr>
        <w:ind w:firstLine="480"/>
        <w:rPr>
          <w:rFonts w:hint="eastAsia" w:ascii="宋体" w:hAnsi="宋体" w:cs="楷体"/>
          <w:sz w:val="24"/>
        </w:rPr>
      </w:pPr>
      <w:r>
        <w:rPr>
          <w:rFonts w:hint="eastAsia" w:ascii="宋体" w:hAnsi="宋体" w:cs="楷体"/>
          <w:sz w:val="24"/>
        </w:rPr>
        <w:t xml:space="preserve">（3）助老员上岗须持有养老护理员证，或由培训机构开展不少于5天的岗前培训，考核合格后方可上岗。</w:t>
      </w:r>
      <w:r/>
    </w:p>
    <w:p>
      <w:pPr>
        <w:ind w:firstLine="480"/>
        <w:rPr>
          <w:rFonts w:hint="eastAsia" w:ascii="宋体" w:hAnsi="宋体" w:cs="楷体"/>
          <w:sz w:val="24"/>
        </w:rPr>
      </w:pPr>
      <w:r>
        <w:rPr>
          <w:rFonts w:hint="eastAsia" w:ascii="宋体" w:hAnsi="宋体" w:cs="楷体"/>
          <w:sz w:val="24"/>
        </w:rPr>
        <w:t xml:space="preserve">（4）中标人运营过程中应按月给付工作人员工资，如中标人未按月结付工作人员工资的，采购人有权责令中标人在30日内结付完毕，如中标人仍未结付的，采购人有权解除与中标人合同，从中标人缴纳的履约保证金中直接发放拖欠的工作人员工资。</w:t>
      </w:r>
      <w:r/>
    </w:p>
    <w:p>
      <w:pPr>
        <w:ind w:firstLine="480"/>
        <w:spacing w:line="420" w:lineRule="exact"/>
        <w:rPr>
          <w:rFonts w:hint="eastAsia" w:ascii="宋体" w:hAnsi="宋体" w:cs="楷体"/>
          <w:color w:val="00b0f0"/>
          <w:sz w:val="24"/>
        </w:rPr>
      </w:pPr>
      <w:r>
        <w:rPr>
          <w:rFonts w:hint="eastAsia" w:ascii="宋体" w:hAnsi="宋体" w:cs="楷体"/>
          <w:sz w:val="24"/>
        </w:rPr>
        <w:t xml:space="preserve">（5）</w:t>
      </w:r>
      <w:r>
        <w:rPr>
          <w:rFonts w:hint="eastAsia" w:ascii="宋体" w:hAnsi="宋体" w:cs="楷体"/>
          <w:color w:val="00b0f0"/>
          <w:sz w:val="24"/>
        </w:rPr>
        <w:t xml:space="preserve">运营中所产生的维修和与运营有关日常消耗品添置、水、电、燃气、物业费等与运营相关的费用由乙方承担。凡由不可抗力因素导致的损坏维修由甲方负责，其余均由乙方负责。</w:t>
      </w:r>
      <w:r/>
    </w:p>
    <w:p>
      <w:pPr>
        <w:ind w:firstLine="480"/>
        <w:spacing w:line="420" w:lineRule="exact"/>
        <w:rPr>
          <w:rFonts w:hint="eastAsia" w:ascii="宋体" w:hAnsi="宋体" w:cs="楷体"/>
          <w:sz w:val="24"/>
        </w:rPr>
      </w:pPr>
      <w:r>
        <w:rPr>
          <w:rFonts w:hint="eastAsia" w:ascii="宋体" w:hAnsi="宋体" w:cs="楷体"/>
          <w:sz w:val="24"/>
        </w:rPr>
      </w:r>
      <w:r/>
    </w:p>
    <w:p>
      <w:pPr>
        <w:ind w:firstLine="480"/>
        <w:rPr>
          <w:rFonts w:hint="eastAsia" w:ascii="宋体" w:hAnsi="宋体"/>
          <w:sz w:val="24"/>
        </w:rPr>
      </w:pPr>
      <w:r>
        <w:rPr>
          <w:rFonts w:hint="eastAsia" w:ascii="宋体" w:hAnsi="宋体" w:cs="楷体"/>
          <w:sz w:val="24"/>
        </w:rPr>
        <w:t xml:space="preserve">（6）中标人运营中须妥善保管招标人的设备，如有丢失或人为损坏，照价赔偿或修复。</w:t>
      </w:r>
      <w:r/>
    </w:p>
    <w:p>
      <w:pPr>
        <w:ind w:firstLine="480"/>
        <w:rPr>
          <w:rFonts w:hint="eastAsia" w:ascii="宋体" w:hAnsi="宋体" w:cs="楷体"/>
          <w:sz w:val="24"/>
        </w:rPr>
      </w:pPr>
      <w:r>
        <w:rPr>
          <w:rFonts w:hint="eastAsia" w:ascii="宋体" w:hAnsi="宋体" w:cs="楷体"/>
          <w:sz w:val="24"/>
        </w:rPr>
        <w:t xml:space="preserve">（7）中标人承担养老服务项目开展中的各种风险、赔偿和安全责任。</w:t>
      </w:r>
      <w:r/>
    </w:p>
    <w:p>
      <w:pPr>
        <w:ind w:firstLine="480"/>
        <w:rPr>
          <w:rFonts w:hint="eastAsia" w:ascii="宋体" w:hAnsi="宋体" w:cs="楷体"/>
          <w:sz w:val="24"/>
        </w:rPr>
      </w:pPr>
      <w:r>
        <w:rPr>
          <w:rFonts w:hint="eastAsia" w:ascii="宋体" w:hAnsi="宋体" w:cs="楷体"/>
          <w:sz w:val="24"/>
        </w:rPr>
        <w:t xml:space="preserve">（8）中标人要严格执行省、市、县养老服务相关政策，无条件参加民政部</w:t>
      </w:r>
      <w:r>
        <w:rPr>
          <w:rFonts w:hint="eastAsia" w:ascii="宋体" w:hAnsi="宋体" w:cs="楷体"/>
          <w:sz w:val="24"/>
        </w:rPr>
        <w:t xml:space="preserve">门组织的相关培训和工作会议、工作活动，配合镇、村工作。中标人无条件接受招标人业务指导和监督考核，承担各级组织的观摩和检查。</w:t>
      </w:r>
      <w:r/>
    </w:p>
    <w:p>
      <w:pPr>
        <w:ind w:firstLine="480"/>
        <w:rPr>
          <w:rFonts w:hint="eastAsia" w:ascii="宋体" w:hAnsi="宋体" w:cs="楷体"/>
          <w:sz w:val="24"/>
        </w:rPr>
      </w:pPr>
      <w:r>
        <w:rPr>
          <w:rFonts w:hint="eastAsia" w:ascii="宋体" w:hAnsi="宋体" w:cs="楷体"/>
          <w:sz w:val="24"/>
        </w:rPr>
        <w:t xml:space="preserve">（9）采购人根据上级政策及居家社区养老服务开展情况，可以适时调整对中标人的考评内容。</w:t>
      </w:r>
      <w:r/>
    </w:p>
    <w:p>
      <w:pPr>
        <w:ind w:firstLine="480"/>
        <w:rPr>
          <w:rFonts w:hint="eastAsia" w:ascii="宋体" w:hAnsi="宋体" w:cs="楷体"/>
          <w:sz w:val="24"/>
        </w:rPr>
      </w:pPr>
      <w:r>
        <w:rPr>
          <w:rFonts w:hint="eastAsia" w:ascii="宋体" w:hAnsi="宋体" w:cs="楷体"/>
          <w:sz w:val="24"/>
        </w:rPr>
        <w:t xml:space="preserve">（10）如因受疫情等特殊情况影响，服务延迟或中断的，在合同总金额限度内，可顺延服务期限。</w:t>
      </w:r>
      <w:r/>
    </w:p>
    <w:p>
      <w:pPr>
        <w:pStyle w:val="817"/>
        <w:ind w:left="0" w:right="1470" w:firstLine="480"/>
        <w:rPr>
          <w:rFonts w:hint="default"/>
        </w:rPr>
      </w:pPr>
      <w:r>
        <w:rPr>
          <w:rFonts w:ascii="宋体" w:hAnsi="宋体" w:cs="楷体"/>
          <w:sz w:val="24"/>
          <w:szCs w:val="24"/>
        </w:rPr>
        <w:t xml:space="preserve">（11）根据招标人需要，中标方的运营服务无条件与县智慧养老服务平台对接。</w:t>
      </w:r>
      <w:r/>
    </w:p>
    <w:p>
      <w:pPr>
        <w:ind w:firstLine="280"/>
        <w:spacing w:line="500" w:lineRule="exact"/>
        <w:rPr>
          <w:rFonts w:ascii="Microsoft Tai Le" w:hAnsi="Microsoft Tai Le" w:eastAsia="黑体" w:cs="Microsoft Tai Le"/>
          <w:color w:val="c00000"/>
        </w:rPr>
      </w:pPr>
      <w:r>
        <w:rPr>
          <w:color w:val="c00000"/>
        </w:rPr>
        <w:t xml:space="preserve"> </w:t>
      </w:r>
      <w:r>
        <w:rPr>
          <w:rFonts w:ascii="Segoe UI Symbol" w:hAnsi="Segoe UI Symbol" w:eastAsia="黑体" w:cs="Segoe UI Symbol"/>
          <w:color w:val="c00000"/>
          <w:szCs w:val="28"/>
          <w:u w:val="single"/>
        </w:rPr>
        <w:t xml:space="preserve">★</w:t>
      </w:r>
      <w:r>
        <w:rPr>
          <w:rFonts w:ascii="Microsoft Tai Le" w:hAnsi="Microsoft Tai Le" w:eastAsia="黑体" w:cs="Microsoft Tai Le"/>
          <w:color w:val="c00000"/>
        </w:rPr>
        <w:t xml:space="preserve">管理团队及专职服务员条件、行为规范要求</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1</w:t>
      </w:r>
      <w:r>
        <w:rPr>
          <w:rFonts w:ascii="Microsoft Tai Le" w:hAnsi="Microsoft Tai Le" w:eastAsia="黑体" w:cs="Microsoft Tai Le"/>
          <w:color w:val="c00000"/>
          <w:szCs w:val="28"/>
        </w:rPr>
        <w:t xml:space="preserve">、管理团队要求：项目经理</w:t>
      </w:r>
      <w:r>
        <w:rPr>
          <w:rFonts w:ascii="Microsoft Tai Le" w:hAnsi="Microsoft Tai Le" w:eastAsia="黑体" w:cs="Microsoft Tai Le"/>
          <w:color w:val="c00000"/>
          <w:szCs w:val="28"/>
        </w:rPr>
        <w:t xml:space="preserve">1</w:t>
      </w:r>
      <w:r>
        <w:rPr>
          <w:rFonts w:ascii="Microsoft Tai Le" w:hAnsi="Microsoft Tai Le" w:eastAsia="黑体" w:cs="Microsoft Tai Le"/>
          <w:color w:val="c00000"/>
          <w:szCs w:val="28"/>
        </w:rPr>
        <w:t xml:space="preserve">人，全职，具有大专及以上文化水平，具备合法的劳动从业资格，资深养老服务管理从业人员，负责所有服务内容的管理工作。其余工作人员如专职服务人员、保洁员、帮厨人员等服务团队由</w:t>
      </w:r>
      <w:r>
        <w:rPr>
          <w:rFonts w:hint="eastAsia" w:ascii="Microsoft Tai Le" w:hAnsi="Microsoft Tai Le" w:eastAsia="黑体" w:cs="Microsoft Tai Le"/>
          <w:color w:val="c00000"/>
          <w:szCs w:val="28"/>
        </w:rPr>
        <w:t xml:space="preserve">中标</w:t>
      </w:r>
      <w:r>
        <w:rPr>
          <w:rFonts w:ascii="Microsoft Tai Le" w:hAnsi="Microsoft Tai Le" w:eastAsia="黑体" w:cs="Microsoft Tai Le"/>
          <w:color w:val="c00000"/>
          <w:szCs w:val="28"/>
        </w:rPr>
        <w:t xml:space="preserve">供应商根据实际情况安排，必须满足采购方的服务要求及管理考核细则。所有团队人员的待遇保障和个人安全等保障由</w:t>
      </w:r>
      <w:r>
        <w:rPr>
          <w:rFonts w:hint="eastAsia" w:ascii="Microsoft Tai Le" w:hAnsi="Microsoft Tai Le" w:eastAsia="黑体" w:cs="Microsoft Tai Le"/>
          <w:color w:val="c00000"/>
          <w:szCs w:val="28"/>
        </w:rPr>
        <w:t xml:space="preserve">中标</w:t>
      </w:r>
      <w:r>
        <w:rPr>
          <w:rFonts w:ascii="Microsoft Tai Le" w:hAnsi="Microsoft Tai Le" w:eastAsia="黑体" w:cs="Microsoft Tai Le"/>
          <w:color w:val="c00000"/>
          <w:szCs w:val="28"/>
        </w:rPr>
        <w:t xml:space="preserve">供应商负责。从业人员上岗前须持有健康证明。</w:t>
      </w:r>
      <w:r/>
    </w:p>
    <w:tbl>
      <w:tblPr>
        <w:tblStyle w:val="840"/>
        <w:tblW w:w="9776" w:type="dxa"/>
        <w:jc w:val="center"/>
        <w:tblLook w:val="04A0" w:firstRow="1" w:lastRow="0" w:firstColumn="1" w:lastColumn="0" w:noHBand="0" w:noVBand="1"/>
      </w:tblPr>
      <w:tblGrid>
        <w:gridCol w:w="2093"/>
        <w:gridCol w:w="3147"/>
        <w:gridCol w:w="1672"/>
        <w:gridCol w:w="2864"/>
      </w:tblGrid>
      <w:tr>
        <w:trPr>
          <w:jc w:val="center"/>
        </w:trPr>
        <w:tc>
          <w:tcPr>
            <w:tcW w:w="2093" w:type="dxa"/>
            <w:vAlign w:val="center"/>
            <w:textDirection w:val="lrTb"/>
            <w:noWrap/>
          </w:tcPr>
          <w:p>
            <w:pPr>
              <w:ind w:firstLine="480"/>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岗位</w:t>
            </w:r>
            <w:r/>
          </w:p>
        </w:tc>
        <w:tc>
          <w:tcPr>
            <w:tcW w:w="3147" w:type="dxa"/>
            <w:vAlign w:val="center"/>
            <w:textDirection w:val="lrTb"/>
            <w:noWrap/>
          </w:tcPr>
          <w:p>
            <w:pPr>
              <w:ind w:firstLine="480"/>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职责</w:t>
            </w:r>
            <w:r/>
          </w:p>
        </w:tc>
        <w:tc>
          <w:tcPr>
            <w:tcW w:w="1672" w:type="dxa"/>
            <w:vAlign w:val="center"/>
            <w:textDirection w:val="lrTb"/>
            <w:noWrap/>
          </w:tcPr>
          <w:p>
            <w:pPr>
              <w:ind w:firstLine="480"/>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人数</w:t>
            </w:r>
            <w:r/>
          </w:p>
        </w:tc>
        <w:tc>
          <w:tcPr>
            <w:tcW w:w="2864" w:type="dxa"/>
            <w:vAlign w:val="center"/>
            <w:textDirection w:val="lrTb"/>
            <w:noWrap/>
          </w:tcPr>
          <w:p>
            <w:pPr>
              <w:ind w:firstLine="480"/>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备注</w:t>
            </w:r>
            <w:r/>
          </w:p>
        </w:tc>
      </w:tr>
      <w:tr>
        <w:trPr>
          <w:jc w:val="center"/>
        </w:trPr>
        <w:tc>
          <w:tcPr>
            <w:tcW w:w="2093" w:type="dxa"/>
            <w:vAlign w:val="center"/>
            <w:textDirection w:val="lrTb"/>
            <w:noWrap/>
          </w:tcPr>
          <w:p>
            <w:pPr>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项目经理</w:t>
            </w:r>
            <w:r/>
          </w:p>
        </w:tc>
        <w:tc>
          <w:tcPr>
            <w:tcW w:w="3147" w:type="dxa"/>
            <w:vAlign w:val="center"/>
            <w:textDirection w:val="lrTb"/>
            <w:noWrap/>
          </w:tcPr>
          <w:p>
            <w:pPr>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负责整个项目的管理</w:t>
            </w:r>
            <w:r>
              <w:rPr>
                <w:rFonts w:hint="eastAsia" w:ascii="Microsoft Tai Le" w:hAnsi="Microsoft Tai Le" w:eastAsia="黑体" w:cs="Microsoft Tai Le"/>
                <w:color w:val="c00000"/>
                <w:sz w:val="24"/>
              </w:rPr>
              <w:t xml:space="preserve">，资深养老服务管理从业人员，负责统筹所有服务站点的运营管理和内部监督；重点抓好服务质量提升，促进服务多源化发展；每季度向采购人汇报运营服务情况。</w:t>
            </w:r>
            <w:r/>
          </w:p>
        </w:tc>
        <w:tc>
          <w:tcPr>
            <w:tcW w:w="1672" w:type="dxa"/>
            <w:vAlign w:val="center"/>
            <w:textDirection w:val="lrTb"/>
            <w:noWrap/>
          </w:tcPr>
          <w:p>
            <w:pPr>
              <w:ind w:firstLine="480"/>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1</w:t>
            </w:r>
            <w:r>
              <w:rPr>
                <w:rFonts w:ascii="Microsoft Tai Le" w:hAnsi="Microsoft Tai Le" w:eastAsia="黑体" w:cs="Microsoft Tai Le"/>
                <w:color w:val="c00000"/>
                <w:sz w:val="24"/>
              </w:rPr>
              <w:t xml:space="preserve">人</w:t>
            </w:r>
            <w:r/>
          </w:p>
        </w:tc>
        <w:tc>
          <w:tcPr>
            <w:tcW w:w="2864" w:type="dxa"/>
            <w:vAlign w:val="center"/>
            <w:textDirection w:val="lrTb"/>
            <w:noWrap/>
          </w:tcPr>
          <w:p>
            <w:pPr>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大专及以上</w:t>
            </w:r>
            <w:r>
              <w:rPr>
                <w:rFonts w:hint="eastAsia" w:ascii="Microsoft Tai Le" w:hAnsi="Microsoft Tai Le" w:eastAsia="黑体" w:cs="Microsoft Tai Le"/>
                <w:color w:val="c00000"/>
                <w:sz w:val="24"/>
              </w:rPr>
              <w:t xml:space="preserve">；</w:t>
            </w:r>
            <w:r/>
          </w:p>
          <w:p>
            <w:pPr>
              <w:jc w:val="left"/>
              <w:spacing w:line="420" w:lineRule="atLeast"/>
              <w:rPr>
                <w:color w:val="c00000"/>
              </w:rPr>
            </w:pPr>
            <w:r>
              <w:rPr>
                <w:color w:val="c00000"/>
              </w:rPr>
            </w:r>
            <w:r/>
          </w:p>
        </w:tc>
      </w:tr>
      <w:tr>
        <w:trPr>
          <w:jc w:val="center"/>
        </w:trPr>
        <w:tc>
          <w:tcPr>
            <w:tcW w:w="2093" w:type="dxa"/>
            <w:vAlign w:val="center"/>
            <w:textDirection w:val="lrTb"/>
            <w:noWrap/>
          </w:tcPr>
          <w:p>
            <w:pPr>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服务团队</w:t>
            </w:r>
            <w:r/>
          </w:p>
        </w:tc>
        <w:tc>
          <w:tcPr>
            <w:tcW w:w="3147" w:type="dxa"/>
            <w:vAlign w:val="center"/>
            <w:textDirection w:val="lrTb"/>
            <w:noWrap/>
          </w:tcPr>
          <w:p>
            <w:pPr>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负责居家服务和站点服务</w:t>
            </w:r>
            <w:r/>
          </w:p>
        </w:tc>
        <w:tc>
          <w:tcPr>
            <w:tcW w:w="1672" w:type="dxa"/>
            <w:vAlign w:val="center"/>
            <w:textDirection w:val="lrTb"/>
            <w:noWrap/>
          </w:tcPr>
          <w:p>
            <w:pPr>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不少于</w:t>
            </w:r>
            <w:r>
              <w:rPr>
                <w:rFonts w:hint="eastAsia" w:ascii="Microsoft Tai Le" w:hAnsi="Microsoft Tai Le" w:eastAsia="黑体" w:cs="Microsoft Tai Le"/>
                <w:color w:val="c00000"/>
                <w:sz w:val="24"/>
              </w:rPr>
              <w:t xml:space="preserve">3</w:t>
            </w:r>
            <w:r>
              <w:rPr>
                <w:rFonts w:ascii="Microsoft Tai Le" w:hAnsi="Microsoft Tai Le" w:eastAsia="黑体" w:cs="Microsoft Tai Le"/>
                <w:color w:val="c00000"/>
                <w:sz w:val="24"/>
              </w:rPr>
              <w:t xml:space="preserve">人</w:t>
            </w:r>
            <w:r/>
          </w:p>
        </w:tc>
        <w:tc>
          <w:tcPr>
            <w:tcW w:w="2864" w:type="dxa"/>
            <w:vAlign w:val="center"/>
            <w:textDirection w:val="lrTb"/>
            <w:noWrap/>
          </w:tcPr>
          <w:p>
            <w:pPr>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r>
            <w:r/>
          </w:p>
        </w:tc>
      </w:tr>
      <w:tr>
        <w:trPr>
          <w:jc w:val="center"/>
        </w:trPr>
        <w:tc>
          <w:tcPr>
            <w:tcW w:w="2093" w:type="dxa"/>
            <w:vAlign w:val="center"/>
            <w:textDirection w:val="lrTb"/>
            <w:noWrap/>
          </w:tcPr>
          <w:p>
            <w:pPr>
              <w:jc w:val="left"/>
              <w:spacing w:line="420" w:lineRule="atLeast"/>
              <w:rPr>
                <w:rFonts w:ascii="Microsoft Tai Le" w:hAnsi="Microsoft Tai Le" w:eastAsia="黑体" w:cs="Microsoft Tai Le"/>
                <w:color w:val="c00000"/>
                <w:sz w:val="24"/>
              </w:rPr>
            </w:pPr>
            <w:r>
              <w:rPr>
                <w:rFonts w:hint="eastAsia" w:ascii="Microsoft Tai Le" w:hAnsi="Microsoft Tai Le" w:eastAsia="黑体" w:cs="Microsoft Tai Le"/>
                <w:color w:val="c00000"/>
                <w:sz w:val="24"/>
              </w:rPr>
              <w:t xml:space="preserve">助餐点</w:t>
            </w:r>
            <w:r>
              <w:rPr>
                <w:rFonts w:ascii="Microsoft Tai Le" w:hAnsi="Microsoft Tai Le" w:eastAsia="黑体" w:cs="Microsoft Tai Le"/>
                <w:color w:val="c00000"/>
                <w:sz w:val="24"/>
              </w:rPr>
              <w:t xml:space="preserve">人员</w:t>
            </w:r>
            <w:r/>
          </w:p>
        </w:tc>
        <w:tc>
          <w:tcPr>
            <w:tcW w:w="3147" w:type="dxa"/>
            <w:vAlign w:val="center"/>
            <w:textDirection w:val="lrTb"/>
            <w:noWrap/>
          </w:tcPr>
          <w:p>
            <w:pPr>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负责</w:t>
            </w:r>
            <w:r>
              <w:rPr>
                <w:rFonts w:hint="eastAsia" w:ascii="Microsoft Tai Le" w:hAnsi="Microsoft Tai Le" w:eastAsia="黑体" w:cs="Microsoft Tai Le"/>
                <w:color w:val="c00000"/>
                <w:sz w:val="24"/>
              </w:rPr>
              <w:t xml:space="preserve">助餐点</w:t>
            </w:r>
            <w:r>
              <w:rPr>
                <w:rFonts w:ascii="Microsoft Tai Le" w:hAnsi="Microsoft Tai Le" w:eastAsia="黑体" w:cs="Microsoft Tai Le"/>
                <w:color w:val="c00000"/>
                <w:sz w:val="24"/>
              </w:rPr>
              <w:t xml:space="preserve">厨房的运营</w:t>
            </w:r>
            <w:r/>
          </w:p>
        </w:tc>
        <w:tc>
          <w:tcPr>
            <w:tcW w:w="1672" w:type="dxa"/>
            <w:vAlign w:val="center"/>
            <w:textDirection w:val="lrTb"/>
            <w:noWrap/>
          </w:tcPr>
          <w:p>
            <w:pPr>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符合举办要求</w:t>
            </w:r>
            <w:r/>
          </w:p>
        </w:tc>
        <w:tc>
          <w:tcPr>
            <w:tcW w:w="2864" w:type="dxa"/>
            <w:vAlign w:val="center"/>
            <w:textDirection w:val="lrTb"/>
            <w:noWrap/>
          </w:tcPr>
          <w:p>
            <w:pPr>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r>
            <w:r/>
          </w:p>
        </w:tc>
      </w:tr>
      <w:tr>
        <w:trPr>
          <w:jc w:val="center"/>
        </w:trPr>
        <w:tc>
          <w:tcPr>
            <w:tcW w:w="2093" w:type="dxa"/>
            <w:vAlign w:val="center"/>
            <w:textDirection w:val="lrTb"/>
            <w:noWrap/>
          </w:tcPr>
          <w:p>
            <w:pPr>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t xml:space="preserve">其他人员</w:t>
            </w:r>
            <w:r/>
          </w:p>
        </w:tc>
        <w:tc>
          <w:tcPr>
            <w:tcW w:w="3147" w:type="dxa"/>
            <w:vAlign w:val="center"/>
            <w:textDirection w:val="lrTb"/>
            <w:noWrap/>
          </w:tcPr>
          <w:p>
            <w:pPr>
              <w:ind w:firstLine="480"/>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r>
            <w:r/>
          </w:p>
        </w:tc>
        <w:tc>
          <w:tcPr>
            <w:tcW w:w="1672" w:type="dxa"/>
            <w:vAlign w:val="center"/>
            <w:textDirection w:val="lrTb"/>
            <w:noWrap/>
          </w:tcPr>
          <w:p>
            <w:pPr>
              <w:ind w:firstLine="480"/>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r>
            <w:r/>
          </w:p>
        </w:tc>
        <w:tc>
          <w:tcPr>
            <w:tcW w:w="2864" w:type="dxa"/>
            <w:vAlign w:val="center"/>
            <w:textDirection w:val="lrTb"/>
            <w:noWrap/>
          </w:tcPr>
          <w:p>
            <w:pPr>
              <w:ind w:firstLine="480"/>
              <w:jc w:val="left"/>
              <w:spacing w:line="420" w:lineRule="atLeast"/>
              <w:rPr>
                <w:rFonts w:ascii="Microsoft Tai Le" w:hAnsi="Microsoft Tai Le" w:eastAsia="黑体" w:cs="Microsoft Tai Le"/>
                <w:color w:val="c00000"/>
                <w:sz w:val="24"/>
              </w:rPr>
            </w:pPr>
            <w:r>
              <w:rPr>
                <w:rFonts w:ascii="Microsoft Tai Le" w:hAnsi="Microsoft Tai Le" w:eastAsia="黑体" w:cs="Microsoft Tai Le"/>
                <w:color w:val="c00000"/>
                <w:sz w:val="24"/>
              </w:rPr>
            </w:r>
            <w:r/>
          </w:p>
        </w:tc>
      </w:tr>
    </w:tbl>
    <w:p>
      <w:pPr>
        <w:ind w:firstLine="28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2</w:t>
      </w:r>
      <w:r>
        <w:rPr>
          <w:rFonts w:ascii="Microsoft Tai Le" w:hAnsi="Microsoft Tai Le" w:eastAsia="黑体" w:cs="Microsoft Tai Le"/>
          <w:color w:val="c00000"/>
          <w:szCs w:val="28"/>
        </w:rPr>
        <w:t xml:space="preserve">、人员素质基本要求：</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1</w:t>
      </w:r>
      <w:r>
        <w:rPr>
          <w:rFonts w:ascii="Microsoft Tai Le" w:hAnsi="Microsoft Tai Le" w:eastAsia="黑体" w:cs="Microsoft Tai Le"/>
          <w:color w:val="c00000"/>
          <w:szCs w:val="28"/>
        </w:rPr>
        <w:t xml:space="preserve">）具备合法的劳动从业资格。</w:t>
      </w:r>
      <w:r>
        <w:rPr>
          <w:rFonts w:ascii="Microsoft Tai Le" w:hAnsi="Microsoft Tai Le" w:eastAsia="黑体" w:cs="Microsoft Tai Le"/>
          <w:color w:val="c00000"/>
          <w:szCs w:val="28"/>
        </w:rPr>
        <w:t xml:space="preserve">                         </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2</w:t>
      </w:r>
      <w:r>
        <w:rPr>
          <w:rFonts w:ascii="Microsoft Tai Le" w:hAnsi="Microsoft Tai Le" w:eastAsia="黑体" w:cs="Microsoft Tai Le"/>
          <w:color w:val="c00000"/>
          <w:szCs w:val="28"/>
        </w:rPr>
        <w:t xml:space="preserve">）信守职业道德，遵纪守法，熟悉居家养老服务程序和规范要求。</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3</w:t>
      </w:r>
      <w:r>
        <w:rPr>
          <w:rFonts w:ascii="Microsoft Tai Le" w:hAnsi="Microsoft Tai Le" w:eastAsia="黑体" w:cs="Microsoft Tai Le"/>
          <w:color w:val="c00000"/>
          <w:szCs w:val="28"/>
        </w:rPr>
        <w:t xml:space="preserve">）具有符合工作岗位要求的文化程度、健康状况证明和基本服务技能。</w:t>
      </w:r>
      <w:r/>
    </w:p>
    <w:p>
      <w:pPr>
        <w:ind w:firstLine="21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3</w:t>
      </w:r>
      <w:r>
        <w:rPr>
          <w:rFonts w:ascii="Microsoft Tai Le" w:hAnsi="Microsoft Tai Le" w:eastAsia="黑体" w:cs="Microsoft Tai Le"/>
          <w:color w:val="c00000"/>
          <w:szCs w:val="28"/>
        </w:rPr>
        <w:t xml:space="preserve">、</w:t>
      </w:r>
      <w:r>
        <w:rPr>
          <w:rFonts w:hint="eastAsia" w:ascii="Microsoft Tai Le" w:hAnsi="Microsoft Tai Le" w:eastAsia="黑体" w:cs="Microsoft Tai Le"/>
          <w:color w:val="c00000"/>
          <w:szCs w:val="28"/>
        </w:rPr>
        <w:t xml:space="preserve">项目经理</w:t>
      </w:r>
      <w:r>
        <w:rPr>
          <w:rFonts w:ascii="Microsoft Tai Le" w:hAnsi="Microsoft Tai Le" w:eastAsia="黑体" w:cs="Microsoft Tai Le"/>
          <w:color w:val="c00000"/>
          <w:szCs w:val="28"/>
        </w:rPr>
        <w:t xml:space="preserve">要求</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1</w:t>
      </w:r>
      <w:r>
        <w:rPr>
          <w:rFonts w:ascii="Microsoft Tai Le" w:hAnsi="Microsoft Tai Le" w:eastAsia="黑体" w:cs="Microsoft Tai Le"/>
          <w:color w:val="c00000"/>
          <w:szCs w:val="28"/>
        </w:rPr>
        <w:t xml:space="preserve">）了解国家和行业主管部门有关居家养老服务的法律、法规和规定。</w:t>
      </w:r>
      <w:r>
        <w:rPr>
          <w:rFonts w:ascii="Microsoft Tai Le" w:hAnsi="Microsoft Tai Le" w:eastAsia="黑体" w:cs="Microsoft Tai Le"/>
          <w:color w:val="c00000"/>
          <w:szCs w:val="28"/>
        </w:rPr>
        <w:t xml:space="preserve">                         </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2</w:t>
      </w:r>
      <w:r>
        <w:rPr>
          <w:rFonts w:ascii="Microsoft Tai Le" w:hAnsi="Microsoft Tai Le" w:eastAsia="黑体" w:cs="Microsoft Tai Le"/>
          <w:color w:val="c00000"/>
          <w:szCs w:val="28"/>
        </w:rPr>
        <w:t xml:space="preserve">）掌握企业管理、经营项目有关专业知识及专业技能。</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3</w:t>
      </w:r>
      <w:r>
        <w:rPr>
          <w:rFonts w:ascii="Microsoft Tai Le" w:hAnsi="Microsoft Tai Le" w:eastAsia="黑体" w:cs="Microsoft Tai Le"/>
          <w:color w:val="c00000"/>
          <w:szCs w:val="28"/>
        </w:rPr>
        <w:t xml:space="preserve">）具有高中以上文化程度和管理工作经历。</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4</w:t>
      </w:r>
      <w:r>
        <w:rPr>
          <w:rFonts w:ascii="Microsoft Tai Le" w:hAnsi="Microsoft Tai Le" w:eastAsia="黑体" w:cs="Microsoft Tai Le"/>
          <w:color w:val="c00000"/>
          <w:szCs w:val="28"/>
        </w:rPr>
        <w:t xml:space="preserve">）每年至少参加</w:t>
      </w:r>
      <w:r>
        <w:rPr>
          <w:rFonts w:ascii="Microsoft Tai Le" w:hAnsi="Microsoft Tai Le" w:eastAsia="黑体" w:cs="Microsoft Tai Le"/>
          <w:color w:val="c00000"/>
          <w:szCs w:val="28"/>
        </w:rPr>
        <w:t xml:space="preserve">1</w:t>
      </w:r>
      <w:r>
        <w:rPr>
          <w:rFonts w:ascii="Microsoft Tai Le" w:hAnsi="Microsoft Tai Le" w:eastAsia="黑体" w:cs="Microsoft Tai Le"/>
          <w:color w:val="c00000"/>
          <w:szCs w:val="28"/>
        </w:rPr>
        <w:t xml:space="preserve">次以上相关培训活动。</w:t>
      </w:r>
      <w:r/>
    </w:p>
    <w:p>
      <w:pPr>
        <w:ind w:firstLine="42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4</w:t>
      </w:r>
      <w:r>
        <w:rPr>
          <w:rFonts w:ascii="Microsoft Tai Le" w:hAnsi="Microsoft Tai Le" w:eastAsia="黑体" w:cs="Microsoft Tai Le"/>
          <w:color w:val="c00000"/>
          <w:szCs w:val="28"/>
        </w:rPr>
        <w:t xml:space="preserve">、居家养老服务人员要求</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1</w:t>
      </w:r>
      <w:r>
        <w:rPr>
          <w:rFonts w:ascii="Microsoft Tai Le" w:hAnsi="Microsoft Tai Le" w:eastAsia="黑体" w:cs="Microsoft Tai Le"/>
          <w:color w:val="c00000"/>
          <w:szCs w:val="28"/>
        </w:rPr>
        <w:t xml:space="preserve">）具备与服务内容相适应的岗位技能。</w:t>
      </w:r>
      <w:r>
        <w:rPr>
          <w:rFonts w:ascii="Microsoft Tai Le" w:hAnsi="Microsoft Tai Le" w:eastAsia="黑体" w:cs="Microsoft Tai Le"/>
          <w:color w:val="c00000"/>
          <w:szCs w:val="28"/>
        </w:rPr>
        <w:t xml:space="preserve">                         </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2</w:t>
      </w:r>
      <w:r>
        <w:rPr>
          <w:rFonts w:ascii="Microsoft Tai Le" w:hAnsi="Microsoft Tai Le" w:eastAsia="黑体" w:cs="Microsoft Tai Le"/>
          <w:color w:val="c00000"/>
          <w:szCs w:val="28"/>
        </w:rPr>
        <w:t xml:space="preserve">）年龄在</w:t>
      </w:r>
      <w:r>
        <w:rPr>
          <w:rFonts w:ascii="Microsoft Tai Le" w:hAnsi="Microsoft Tai Le" w:eastAsia="黑体" w:cs="Microsoft Tai Le"/>
          <w:color w:val="c00000"/>
          <w:szCs w:val="28"/>
        </w:rPr>
        <w:t xml:space="preserve">18</w:t>
      </w:r>
      <w:r>
        <w:rPr>
          <w:rFonts w:ascii="Microsoft Tai Le" w:hAnsi="Microsoft Tai Le" w:eastAsia="黑体" w:cs="Microsoft Tai Le"/>
          <w:color w:val="c00000"/>
          <w:szCs w:val="28"/>
        </w:rPr>
        <w:t xml:space="preserve">周岁以上、</w:t>
      </w:r>
      <w:r>
        <w:rPr>
          <w:rFonts w:ascii="Microsoft Tai Le" w:hAnsi="Microsoft Tai Le" w:eastAsia="黑体" w:cs="Microsoft Tai Le"/>
          <w:color w:val="c00000"/>
          <w:szCs w:val="28"/>
        </w:rPr>
        <w:t xml:space="preserve">65</w:t>
      </w:r>
      <w:r>
        <w:rPr>
          <w:rFonts w:ascii="Microsoft Tai Le" w:hAnsi="Microsoft Tai Le" w:eastAsia="黑体" w:cs="Microsoft Tai Le"/>
          <w:color w:val="c00000"/>
          <w:szCs w:val="28"/>
        </w:rPr>
        <w:t xml:space="preserve">周岁以下，初中以上文化程度。</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3</w:t>
      </w:r>
      <w:r>
        <w:rPr>
          <w:rFonts w:ascii="Microsoft Tai Le" w:hAnsi="Microsoft Tai Le" w:eastAsia="黑体" w:cs="Microsoft Tai Le"/>
          <w:color w:val="c00000"/>
          <w:szCs w:val="28"/>
        </w:rPr>
        <w:t xml:space="preserve">）无精神病史和各类传染性疾病。</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4</w:t>
      </w:r>
      <w:r>
        <w:rPr>
          <w:rFonts w:ascii="Microsoft Tai Le" w:hAnsi="Microsoft Tai Le" w:eastAsia="黑体" w:cs="Microsoft Tai Le"/>
          <w:color w:val="c00000"/>
          <w:szCs w:val="28"/>
        </w:rPr>
        <w:t xml:space="preserve">）每年在岗培训不少于</w:t>
      </w:r>
      <w:r>
        <w:rPr>
          <w:rFonts w:ascii="Microsoft Tai Le" w:hAnsi="Microsoft Tai Le" w:eastAsia="黑体" w:cs="Microsoft Tai Le"/>
          <w:color w:val="c00000"/>
          <w:szCs w:val="28"/>
        </w:rPr>
        <w:t xml:space="preserve">10</w:t>
      </w:r>
      <w:r>
        <w:rPr>
          <w:rFonts w:ascii="Microsoft Tai Le" w:hAnsi="Microsoft Tai Le" w:eastAsia="黑体" w:cs="Microsoft Tai Le"/>
          <w:color w:val="c00000"/>
          <w:szCs w:val="28"/>
        </w:rPr>
        <w:t xml:space="preserve">学时。</w:t>
      </w:r>
      <w:r/>
    </w:p>
    <w:p>
      <w:pPr>
        <w:ind w:firstLine="42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5</w:t>
      </w:r>
      <w:r>
        <w:rPr>
          <w:rFonts w:ascii="Microsoft Tai Le" w:hAnsi="Microsoft Tai Le" w:eastAsia="黑体" w:cs="Microsoft Tai Le"/>
          <w:color w:val="c00000"/>
          <w:szCs w:val="28"/>
        </w:rPr>
        <w:t xml:space="preserve">、行为规范要求</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1</w:t>
      </w:r>
      <w:r>
        <w:rPr>
          <w:rFonts w:ascii="Microsoft Tai Le" w:hAnsi="Microsoft Tai Le" w:eastAsia="黑体" w:cs="Microsoft Tai Le"/>
          <w:color w:val="c00000"/>
          <w:szCs w:val="28"/>
        </w:rPr>
        <w:t xml:space="preserve">）仪表仪容端庄、大方、整洁。</w:t>
      </w:r>
      <w:r>
        <w:rPr>
          <w:rFonts w:ascii="Microsoft Tai Le" w:hAnsi="Microsoft Tai Le" w:eastAsia="黑体" w:cs="Microsoft Tai Le"/>
          <w:color w:val="c00000"/>
          <w:szCs w:val="28"/>
        </w:rPr>
        <w:t xml:space="preserve">                         </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2</w:t>
      </w:r>
      <w:r>
        <w:rPr>
          <w:rFonts w:ascii="Microsoft Tai Le" w:hAnsi="Microsoft Tai Le" w:eastAsia="黑体" w:cs="Microsoft Tai Le"/>
          <w:color w:val="c00000"/>
          <w:szCs w:val="28"/>
        </w:rPr>
        <w:t xml:space="preserve">）统一着装、佩戴工号牌。</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3</w:t>
      </w:r>
      <w:r>
        <w:rPr>
          <w:rFonts w:ascii="Microsoft Tai Le" w:hAnsi="Microsoft Tai Le" w:eastAsia="黑体" w:cs="Microsoft Tai Le"/>
          <w:color w:val="c00000"/>
          <w:szCs w:val="28"/>
        </w:rPr>
        <w:t xml:space="preserve">）语言文明、简洁、清晰。</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4</w:t>
      </w:r>
      <w:r>
        <w:rPr>
          <w:rFonts w:ascii="Microsoft Tai Le" w:hAnsi="Microsoft Tai Le" w:eastAsia="黑体" w:cs="Microsoft Tai Le"/>
          <w:color w:val="c00000"/>
          <w:szCs w:val="28"/>
        </w:rPr>
        <w:t xml:space="preserve">）服务主动热情，符合相应岗位的服务礼仪规范。</w:t>
      </w:r>
      <w:r/>
    </w:p>
    <w:p>
      <w:pPr>
        <w:ind w:firstLine="560"/>
        <w:spacing w:line="560" w:lineRule="atLeast"/>
        <w:rPr>
          <w:rFonts w:ascii="Microsoft Tai Le" w:hAnsi="Microsoft Tai Le" w:eastAsia="黑体" w:cs="Microsoft Tai Le"/>
          <w:color w:val="c00000"/>
          <w:szCs w:val="28"/>
        </w:rPr>
      </w:pPr>
      <w:r>
        <w:rPr>
          <w:rFonts w:ascii="Microsoft Tai Le" w:hAnsi="Microsoft Tai Le" w:eastAsia="黑体" w:cs="Microsoft Tai Le"/>
          <w:color w:val="c00000"/>
          <w:szCs w:val="28"/>
        </w:rPr>
        <w:t xml:space="preserve">（</w:t>
      </w:r>
      <w:r>
        <w:rPr>
          <w:rFonts w:ascii="Microsoft Tai Le" w:hAnsi="Microsoft Tai Le" w:eastAsia="黑体" w:cs="Microsoft Tai Le"/>
          <w:color w:val="c00000"/>
          <w:szCs w:val="28"/>
        </w:rPr>
        <w:t xml:space="preserve">5</w:t>
      </w:r>
      <w:r>
        <w:rPr>
          <w:rFonts w:ascii="Microsoft Tai Le" w:hAnsi="Microsoft Tai Le" w:eastAsia="黑体" w:cs="Microsoft Tai Le"/>
          <w:color w:val="c00000"/>
          <w:szCs w:val="28"/>
        </w:rPr>
        <w:t xml:space="preserve">）尊老敬老，对老年人富有爱心。</w:t>
      </w:r>
      <w:r/>
    </w:p>
    <w:p>
      <w:pPr>
        <w:ind w:left="420" w:firstLine="200"/>
        <w:spacing w:after="120"/>
        <w:rPr>
          <w:color w:val="c00000"/>
        </w:rPr>
      </w:pPr>
      <w:r>
        <w:rPr>
          <w:rFonts w:ascii="Segoe UI Symbol" w:hAnsi="Segoe UI Symbol" w:eastAsia="黑体" w:cs="Segoe UI Symbol"/>
          <w:color w:val="c00000"/>
          <w:szCs w:val="28"/>
          <w:u w:val="single"/>
        </w:rPr>
        <w:t xml:space="preserve">★</w:t>
      </w:r>
      <w:r>
        <w:rPr>
          <w:rFonts w:ascii="Microsoft Tai Le" w:hAnsi="Microsoft Tai Le" w:eastAsia="黑体" w:cs="Microsoft Tai Le"/>
          <w:b/>
          <w:bCs/>
          <w:color w:val="c00000"/>
          <w:u w:val="single"/>
        </w:rPr>
        <w:t xml:space="preserve">（五）管理团队及专职服务员条件、行为规范要求</w:t>
      </w:r>
      <w:r>
        <w:rPr>
          <w:rFonts w:hint="eastAsia" w:ascii="Microsoft Tai Le" w:hAnsi="Microsoft Tai Le" w:eastAsia="黑体" w:cs="Microsoft Tai Le"/>
          <w:b/>
          <w:bCs/>
          <w:color w:val="c00000"/>
          <w:u w:val="single"/>
        </w:rPr>
        <w:t xml:space="preserve">的所有内容，各响应</w:t>
      </w:r>
      <w:r>
        <w:rPr>
          <w:rFonts w:ascii="Microsoft Tai Le" w:hAnsi="Microsoft Tai Le" w:eastAsia="黑体" w:cs="Microsoft Tai Le"/>
          <w:b/>
          <w:bCs/>
          <w:color w:val="c00000"/>
          <w:szCs w:val="28"/>
          <w:u w:val="single"/>
        </w:rPr>
        <w:t xml:space="preserve">供应商须提供响应承诺</w:t>
      </w:r>
      <w:r>
        <w:rPr>
          <w:rFonts w:hint="eastAsia" w:ascii="Microsoft Tai Le" w:hAnsi="Microsoft Tai Le" w:eastAsia="黑体" w:cs="Microsoft Tai Le"/>
          <w:b/>
          <w:bCs/>
          <w:color w:val="c00000"/>
          <w:szCs w:val="28"/>
          <w:u w:val="single"/>
        </w:rPr>
        <w:t xml:space="preserve">（格式自拟）</w:t>
      </w:r>
      <w:r>
        <w:rPr>
          <w:rFonts w:ascii="Microsoft Tai Le" w:hAnsi="Microsoft Tai Le" w:eastAsia="黑体" w:cs="Microsoft Tai Le"/>
          <w:b/>
          <w:bCs/>
          <w:color w:val="c00000"/>
          <w:szCs w:val="28"/>
          <w:u w:val="single"/>
        </w:rPr>
        <w:t xml:space="preserve">，没有</w:t>
      </w:r>
      <w:r>
        <w:rPr>
          <w:rFonts w:hint="eastAsia" w:ascii="Microsoft Tai Le" w:hAnsi="Microsoft Tai Le" w:eastAsia="黑体" w:cs="Microsoft Tai Le"/>
          <w:b/>
          <w:bCs/>
          <w:color w:val="c00000"/>
          <w:szCs w:val="28"/>
          <w:u w:val="single"/>
        </w:rPr>
        <w:t xml:space="preserve">承诺或承诺有漏项或承诺不符合以上要求</w:t>
      </w:r>
      <w:r>
        <w:rPr>
          <w:rFonts w:ascii="Microsoft Tai Le" w:hAnsi="Microsoft Tai Le" w:eastAsia="黑体" w:cs="Microsoft Tai Le"/>
          <w:b/>
          <w:bCs/>
          <w:color w:val="c00000"/>
          <w:szCs w:val="28"/>
          <w:u w:val="single"/>
        </w:rPr>
        <w:t xml:space="preserve">的符合性审查不予通过。</w:t>
      </w:r>
      <w:r/>
    </w:p>
    <w:p>
      <w:pPr>
        <w:pStyle w:val="822"/>
        <w:jc w:val="both"/>
        <w:spacing w:beforeAutospacing="0" w:afterAutospacing="0"/>
      </w:pPr>
      <w:r/>
      <w:bookmarkStart w:id="193" w:name="_Toc120614281"/>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center"/>
        <w:keepNext/>
        <w:spacing w:beforeAutospacing="0" w:afterAutospacing="0"/>
      </w:pPr>
      <w:r>
        <w:t xml:space="preserve"> </w:t>
      </w:r>
      <w:r/>
    </w:p>
    <w:p>
      <w:pPr>
        <w:pStyle w:val="822"/>
        <w:jc w:val="center"/>
        <w:keepNext/>
        <w:spacing w:beforeAutospacing="0" w:afterAutospacing="0"/>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822"/>
        <w:jc w:val="both"/>
        <w:spacing w:beforeAutospacing="0" w:afterAutospacing="0"/>
      </w:pPr>
      <w:r>
        <w:t xml:space="preserve"> </w:t>
      </w:r>
      <w:r/>
    </w:p>
    <w:p>
      <w:pPr>
        <w:spacing w:line="360" w:lineRule="auto"/>
        <w:rPr>
          <w:rFonts w:hint="eastAsia" w:ascii="宋体" w:hAnsi="宋体" w:cs="Courier New"/>
          <w:b/>
          <w:bCs/>
          <w:color w:val="000000"/>
          <w:sz w:val="24"/>
        </w:rPr>
      </w:pPr>
      <w:r>
        <w:rPr>
          <w:rFonts w:hint="eastAsia" w:ascii="宋体" w:hAnsi="宋体" w:cs="Courier New"/>
          <w:b/>
          <w:bCs/>
          <w:color w:val="000000"/>
          <w:sz w:val="24"/>
        </w:rPr>
        <w:t xml:space="preserve">一、定标原则</w:t>
      </w:r>
      <w:r/>
    </w:p>
    <w:p>
      <w:pPr>
        <w:ind w:firstLine="480"/>
        <w:spacing w:line="360" w:lineRule="auto"/>
        <w:rPr>
          <w:rFonts w:hint="eastAsia" w:ascii="宋体" w:hAnsi="宋体" w:cs="Arial"/>
          <w:color w:val="000000"/>
          <w:sz w:val="24"/>
        </w:rPr>
      </w:pPr>
      <w:r>
        <w:rPr>
          <w:rFonts w:hint="eastAsia" w:ascii="宋体" w:hAnsi="宋体" w:cs="Courier New"/>
          <w:bCs/>
          <w:color w:val="000000"/>
          <w:sz w:val="24"/>
        </w:rPr>
        <w:t xml:space="preserve">本项目采用</w:t>
      </w:r>
      <w:r>
        <w:rPr>
          <w:rFonts w:hint="eastAsia" w:ascii="宋体" w:hAnsi="宋体" w:cs="Courier New"/>
          <w:bCs/>
          <w:color w:val="000000"/>
          <w:sz w:val="24"/>
          <w:u w:val="single"/>
        </w:rPr>
        <w:t xml:space="preserve"> 综合评分 </w:t>
      </w:r>
      <w:r>
        <w:rPr>
          <w:rFonts w:hint="eastAsia" w:ascii="宋体" w:hAnsi="宋体" w:cs="Courier New"/>
          <w:bCs/>
          <w:color w:val="000000"/>
          <w:sz w:val="24"/>
        </w:rPr>
        <w:t xml:space="preserve">法。</w:t>
      </w:r>
      <w:r>
        <w:rPr>
          <w:rFonts w:hint="eastAsia" w:ascii="宋体" w:hAnsi="宋体" w:cs="Arial"/>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供应商为排名第一的中标候选人，本项目选取1名中标候选人。</w:t>
      </w:r>
      <w:r/>
    </w:p>
    <w:p>
      <w:pPr>
        <w:pStyle w:val="828"/>
        <w:ind w:firstLine="0"/>
        <w:spacing w:line="400" w:lineRule="exact"/>
        <w:rPr>
          <w:rFonts w:hint="eastAsia" w:ascii="宋体" w:hAnsi="宋体"/>
          <w:sz w:val="28"/>
          <w:szCs w:val="28"/>
        </w:rPr>
      </w:pPr>
      <w:r>
        <w:rPr>
          <w:rFonts w:hint="eastAsia" w:ascii="宋体" w:hAnsi="宋体" w:cs="Courier New"/>
          <w:b/>
          <w:bCs/>
          <w:sz w:val="28"/>
          <w:szCs w:val="28"/>
        </w:rPr>
        <w:t xml:space="preserve">二、评标标</w:t>
      </w:r>
      <w:r>
        <w:rPr>
          <w:rFonts w:hint="eastAsia" w:ascii="宋体" w:hAnsi="宋体" w:cs="Courier New"/>
          <w:b/>
          <w:bCs/>
          <w:sz w:val="28"/>
          <w:szCs w:val="28"/>
        </w:rPr>
        <w:t xml:space="preserve">准</w:t>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7"/>
        <w:gridCol w:w="726"/>
        <w:gridCol w:w="7506"/>
      </w:tblGrid>
      <w:tr>
        <w:trPr/>
        <w:tc>
          <w:tcPr>
            <w:tcW w:w="807" w:type="dxa"/>
            <w:vAlign w:val="center"/>
            <w:textDirection w:val="lrTb"/>
            <w:noWrap w:val="false"/>
          </w:tcPr>
          <w:p>
            <w:pPr>
              <w:jc w:val="center"/>
              <w:rPr>
                <w:rFonts w:hint="eastAsia" w:ascii="宋体" w:hAnsi="宋体"/>
                <w:sz w:val="24"/>
              </w:rPr>
            </w:pPr>
            <w:r>
              <w:rPr>
                <w:rFonts w:hint="eastAsia" w:ascii="宋体" w:hAnsi="宋体"/>
                <w:sz w:val="24"/>
              </w:rPr>
              <w:t xml:space="preserve">评分项目</w:t>
            </w:r>
            <w:r/>
          </w:p>
        </w:tc>
        <w:tc>
          <w:tcPr>
            <w:tcW w:w="726" w:type="dxa"/>
            <w:vAlign w:val="center"/>
            <w:textDirection w:val="lrTb"/>
            <w:noWrap w:val="false"/>
          </w:tcPr>
          <w:p>
            <w:pPr>
              <w:jc w:val="center"/>
              <w:rPr>
                <w:rFonts w:hint="eastAsia" w:ascii="宋体" w:hAnsi="宋体"/>
                <w:sz w:val="24"/>
              </w:rPr>
            </w:pPr>
            <w:r>
              <w:rPr>
                <w:rFonts w:hint="eastAsia" w:ascii="宋体" w:hAnsi="宋体"/>
                <w:sz w:val="24"/>
              </w:rPr>
              <w:t xml:space="preserve">满分值</w:t>
            </w:r>
            <w:r/>
          </w:p>
        </w:tc>
        <w:tc>
          <w:tcPr>
            <w:tcW w:w="7506" w:type="dxa"/>
            <w:vAlign w:val="center"/>
            <w:textDirection w:val="lrTb"/>
            <w:noWrap w:val="false"/>
          </w:tcPr>
          <w:p>
            <w:pPr>
              <w:jc w:val="center"/>
              <w:rPr>
                <w:rFonts w:hint="eastAsia" w:ascii="宋体" w:hAnsi="宋体"/>
                <w:sz w:val="24"/>
              </w:rPr>
            </w:pPr>
            <w:r>
              <w:rPr>
                <w:rFonts w:hint="eastAsia" w:ascii="宋体" w:hAnsi="宋体"/>
                <w:sz w:val="24"/>
              </w:rPr>
              <w:t xml:space="preserve">评分标准</w:t>
            </w:r>
            <w:r/>
          </w:p>
        </w:tc>
      </w:tr>
      <w:tr>
        <w:trPr/>
        <w:tc>
          <w:tcPr>
            <w:tcW w:w="807" w:type="dxa"/>
            <w:vAlign w:val="center"/>
            <w:textDirection w:val="lrTb"/>
            <w:noWrap w:val="false"/>
          </w:tcPr>
          <w:p>
            <w:pPr>
              <w:jc w:val="center"/>
              <w:rPr>
                <w:sz w:val="24"/>
              </w:rPr>
            </w:pPr>
            <w:r>
              <w:rPr>
                <w:sz w:val="24"/>
              </w:rPr>
              <w:t xml:space="preserve">投标价格</w:t>
            </w:r>
            <w:r/>
          </w:p>
          <w:p>
            <w:pPr>
              <w:jc w:val="center"/>
              <w:rPr>
                <w:rFonts w:hint="eastAsia" w:ascii="宋体" w:hAnsi="宋体"/>
                <w:sz w:val="24"/>
              </w:rPr>
            </w:pPr>
            <w:r>
              <w:rPr>
                <w:rFonts w:hint="eastAsia" w:ascii="宋体" w:hAnsi="宋体"/>
                <w:sz w:val="24"/>
              </w:rPr>
            </w:r>
            <w:r/>
          </w:p>
        </w:tc>
        <w:tc>
          <w:tcPr>
            <w:tcW w:w="726" w:type="dxa"/>
            <w:vAlign w:val="center"/>
            <w:textDirection w:val="lrTb"/>
            <w:noWrap w:val="false"/>
          </w:tcPr>
          <w:p>
            <w:pPr>
              <w:jc w:val="center"/>
              <w:rPr>
                <w:rFonts w:hint="eastAsia" w:ascii="宋体" w:hAnsi="宋体"/>
                <w:sz w:val="24"/>
              </w:rPr>
            </w:pPr>
            <w:r>
              <w:rPr>
                <w:rFonts w:hint="eastAsia"/>
                <w:sz w:val="24"/>
              </w:rPr>
              <w:t xml:space="preserve">20</w:t>
            </w:r>
            <w:r>
              <w:rPr>
                <w:sz w:val="24"/>
              </w:rPr>
              <w:t xml:space="preserve">分</w:t>
            </w:r>
            <w:r/>
          </w:p>
        </w:tc>
        <w:tc>
          <w:tcPr>
            <w:tcW w:w="7506" w:type="dxa"/>
            <w:vAlign w:val="center"/>
            <w:textDirection w:val="lrTb"/>
            <w:noWrap w:val="false"/>
          </w:tcPr>
          <w:p>
            <w:pPr>
              <w:ind w:firstLine="480"/>
              <w:spacing w:line="400" w:lineRule="exact"/>
              <w:widowControl/>
              <w:rPr>
                <w:sz w:val="24"/>
              </w:rPr>
            </w:pPr>
            <w:r>
              <w:rPr>
                <w:sz w:val="24"/>
              </w:rPr>
              <w:t xml:space="preserve">1.</w:t>
            </w:r>
            <w:r>
              <w:rPr>
                <w:sz w:val="24"/>
              </w:rPr>
              <w:t xml:space="preserve">评标总价是指通过资格审查、符合性检查且实质性响应招标文件要求，经修正、落实政府采购政策功能扣除后的总价。</w:t>
            </w:r>
            <w:r/>
          </w:p>
          <w:p>
            <w:pPr>
              <w:ind w:firstLine="480"/>
              <w:spacing w:line="400" w:lineRule="exact"/>
              <w:widowControl/>
              <w:rPr>
                <w:sz w:val="24"/>
              </w:rPr>
            </w:pPr>
            <w:r>
              <w:rPr>
                <w:sz w:val="24"/>
              </w:rPr>
              <w:t xml:space="preserve">2.</w:t>
            </w:r>
            <w:r>
              <w:rPr>
                <w:sz w:val="24"/>
              </w:rPr>
              <w:t xml:space="preserve">评标基准价</w:t>
            </w:r>
            <w:r>
              <w:rPr>
                <w:sz w:val="24"/>
              </w:rPr>
              <w:t xml:space="preserve">=</w:t>
            </w:r>
            <w:r>
              <w:rPr>
                <w:sz w:val="24"/>
              </w:rPr>
              <w:t xml:space="preserve">评标总价中的最低总价。</w:t>
            </w:r>
            <w:r/>
          </w:p>
          <w:p>
            <w:pPr>
              <w:ind w:firstLine="480"/>
              <w:spacing w:line="400" w:lineRule="exact"/>
              <w:rPr>
                <w:rFonts w:hint="eastAsia" w:ascii="宋体" w:hAnsi="宋体"/>
                <w:sz w:val="24"/>
              </w:rPr>
            </w:pPr>
            <w:r>
              <w:rPr>
                <w:sz w:val="24"/>
              </w:rPr>
              <w:t xml:space="preserve">3.</w:t>
            </w:r>
            <w:r>
              <w:rPr>
                <w:sz w:val="24"/>
              </w:rPr>
              <w:t xml:space="preserve">当投标人的评标总价等于评标基准价的得</w:t>
            </w:r>
            <w:r>
              <w:rPr>
                <w:rFonts w:hint="eastAsia"/>
                <w:sz w:val="24"/>
              </w:rPr>
              <w:t xml:space="preserve">20</w:t>
            </w:r>
            <w:r>
              <w:rPr>
                <w:sz w:val="24"/>
              </w:rPr>
              <w:t xml:space="preserve">分，其他投标人的价格分按照下列公式计算：评标总价得分</w:t>
            </w:r>
            <w:r>
              <w:rPr>
                <w:sz w:val="24"/>
              </w:rPr>
              <w:t xml:space="preserve">=</w:t>
            </w:r>
            <w:r>
              <w:rPr>
                <w:sz w:val="24"/>
              </w:rPr>
              <w:t xml:space="preserve">（评标基准价</w:t>
            </w:r>
            <w:r>
              <w:rPr>
                <w:sz w:val="24"/>
              </w:rPr>
              <w:t xml:space="preserve">/</w:t>
            </w:r>
            <w:r>
              <w:rPr>
                <w:sz w:val="24"/>
              </w:rPr>
              <w:t xml:space="preserve">评标总价）</w:t>
            </w:r>
            <w:r>
              <w:rPr>
                <w:sz w:val="24"/>
              </w:rPr>
              <w:t xml:space="preserve">×</w:t>
            </w:r>
            <w:r>
              <w:rPr>
                <w:rFonts w:hint="eastAsia"/>
                <w:sz w:val="24"/>
              </w:rPr>
              <w:t xml:space="preserve">20</w:t>
            </w:r>
            <w:r>
              <w:rPr>
                <w:sz w:val="24"/>
              </w:rPr>
              <w:t xml:space="preserve">分（计算结果保留</w:t>
            </w:r>
            <w:r>
              <w:rPr>
                <w:sz w:val="24"/>
              </w:rPr>
              <w:t xml:space="preserve">2</w:t>
            </w:r>
            <w:r>
              <w:rPr>
                <w:sz w:val="24"/>
              </w:rPr>
              <w:t xml:space="preserve">位小数，第三位四舍五入）。</w:t>
            </w:r>
            <w:r/>
          </w:p>
        </w:tc>
      </w:tr>
      <w:tr>
        <w:trPr/>
        <w:tc>
          <w:tcPr>
            <w:tcW w:w="807" w:type="dxa"/>
            <w:vAlign w:val="center"/>
            <w:textDirection w:val="lrTb"/>
            <w:noWrap w:val="false"/>
          </w:tcPr>
          <w:p>
            <w:pPr>
              <w:jc w:val="center"/>
              <w:rPr>
                <w:rFonts w:hint="eastAsia" w:ascii="宋体" w:hAnsi="宋体"/>
                <w:sz w:val="24"/>
              </w:rPr>
            </w:pPr>
            <w:r>
              <w:rPr>
                <w:rFonts w:hint="eastAsia" w:ascii="宋体" w:hAnsi="宋体"/>
                <w:sz w:val="24"/>
              </w:rPr>
              <w:t xml:space="preserve">从业</w:t>
            </w:r>
            <w:r/>
          </w:p>
          <w:p>
            <w:pPr>
              <w:jc w:val="center"/>
              <w:rPr>
                <w:rFonts w:hint="eastAsia" w:ascii="宋体" w:hAnsi="宋体"/>
                <w:sz w:val="24"/>
              </w:rPr>
            </w:pPr>
            <w:r>
              <w:rPr>
                <w:rFonts w:hint="eastAsia" w:ascii="宋体" w:hAnsi="宋体"/>
                <w:sz w:val="24"/>
              </w:rPr>
              <w:t xml:space="preserve">经验</w:t>
            </w:r>
            <w:r/>
          </w:p>
        </w:tc>
        <w:tc>
          <w:tcPr>
            <w:tcW w:w="726" w:type="dxa"/>
            <w:vAlign w:val="center"/>
            <w:textDirection w:val="lrTb"/>
            <w:noWrap w:val="false"/>
          </w:tcPr>
          <w:p>
            <w:pPr>
              <w:jc w:val="center"/>
              <w:rPr>
                <w:rFonts w:hint="eastAsia" w:ascii="宋体" w:hAnsi="宋体"/>
                <w:sz w:val="24"/>
              </w:rPr>
            </w:pPr>
            <w:r>
              <w:rPr>
                <w:rFonts w:hint="eastAsia" w:ascii="宋体" w:hAnsi="宋体"/>
                <w:sz w:val="24"/>
              </w:rPr>
              <w:t xml:space="preserve">10分</w:t>
            </w:r>
            <w:r/>
          </w:p>
        </w:tc>
        <w:tc>
          <w:tcPr>
            <w:tcW w:w="7506" w:type="dxa"/>
            <w:textDirection w:val="lrTb"/>
            <w:noWrap w:val="false"/>
          </w:tcPr>
          <w:p>
            <w:pPr>
              <w:ind w:firstLine="480"/>
              <w:spacing w:line="400" w:lineRule="exact"/>
              <w:rPr>
                <w:rFonts w:hint="eastAsia" w:ascii="宋体" w:hAnsi="宋体"/>
                <w:sz w:val="24"/>
              </w:rPr>
            </w:pPr>
            <w:r>
              <w:rPr>
                <w:rFonts w:hint="eastAsia" w:ascii="宋体" w:hAnsi="宋体"/>
                <w:sz w:val="24"/>
              </w:rPr>
              <w:t xml:space="preserve">1.2020年1月1日（以签订合同时间为准，下同）以来，以镇（乡、街道等，下同）、县级民政局及以上政府机关为单位，运营或承接过养老机构、综合养老服务中心、老年人日间照料中心、居家养老服务中心（站）、互助养老睦邻点等养老服务机构运营项目的，每提供一项业绩项目得1分。本项最高得4分。（投标人投标时提供合同扫描件，不提供或提供内容不符合要求的不得分。）</w:t>
            </w:r>
            <w:r/>
          </w:p>
          <w:p>
            <w:pPr>
              <w:ind w:firstLine="480"/>
              <w:spacing w:line="400" w:lineRule="exact"/>
              <w:rPr>
                <w:rFonts w:hint="eastAsia" w:ascii="宋体" w:hAnsi="宋体"/>
                <w:sz w:val="24"/>
              </w:rPr>
            </w:pPr>
            <w:r>
              <w:rPr>
                <w:rFonts w:hint="eastAsia" w:ascii="宋体" w:hAnsi="宋体"/>
                <w:sz w:val="24"/>
              </w:rPr>
              <w:t xml:space="preserve">2.2020年1月1日以来，以镇（乡、街道等，下同）、县级民政局及以上政府机关为单位，运营或承接过老年人助餐点（长者幸福食堂等）运营项目的，每提供一项业绩项目得1分。本项最高得3分。（投标人投标时提供合同扫描件，不提供或提供内容不符合要求的不得分。）</w:t>
            </w:r>
            <w:r/>
          </w:p>
          <w:p>
            <w:pPr>
              <w:ind w:firstLine="480"/>
              <w:spacing w:line="400" w:lineRule="exact"/>
              <w:rPr>
                <w:rFonts w:hint="eastAsia" w:ascii="宋体" w:hAnsi="宋体"/>
                <w:sz w:val="24"/>
              </w:rPr>
            </w:pPr>
            <w:r>
              <w:rPr>
                <w:rFonts w:hint="eastAsia" w:ascii="宋体" w:hAnsi="宋体"/>
                <w:sz w:val="24"/>
              </w:rPr>
              <w:t xml:space="preserve">3.2020年1月1日以来，以镇（乡、街道等，下同）、县级民政局及以上政府机关为单位，承接政府购买居家养老上门服务项目，每提供一项业绩项目得1分。本项最高得3分。（投标人投标时提供合同扫描件，不提供或提供内容不符合要求的不得分。）</w:t>
            </w:r>
            <w:r/>
          </w:p>
        </w:tc>
      </w:tr>
      <w:tr>
        <w:trPr/>
        <w:tc>
          <w:tcPr>
            <w:tcW w:w="807" w:type="dxa"/>
            <w:vAlign w:val="center"/>
            <w:textDirection w:val="lrTb"/>
            <w:noWrap w:val="false"/>
          </w:tcPr>
          <w:p>
            <w:pPr>
              <w:jc w:val="center"/>
              <w:rPr>
                <w:rFonts w:hint="eastAsia" w:ascii="宋体" w:hAnsi="宋体"/>
                <w:sz w:val="24"/>
              </w:rPr>
            </w:pPr>
            <w:r>
              <w:rPr>
                <w:rFonts w:hint="eastAsia" w:ascii="宋体" w:hAnsi="宋体"/>
                <w:sz w:val="24"/>
              </w:rPr>
              <w:t xml:space="preserve">投标人综合实力及运营信誉</w:t>
            </w:r>
            <w:r/>
          </w:p>
        </w:tc>
        <w:tc>
          <w:tcPr>
            <w:tcW w:w="726" w:type="dxa"/>
            <w:vAlign w:val="center"/>
            <w:textDirection w:val="lrTb"/>
            <w:noWrap w:val="false"/>
          </w:tcPr>
          <w:p>
            <w:pPr>
              <w:jc w:val="center"/>
              <w:rPr>
                <w:rFonts w:hint="eastAsia" w:ascii="宋体" w:hAnsi="宋体"/>
                <w:sz w:val="24"/>
              </w:rPr>
            </w:pPr>
            <w:r>
              <w:rPr>
                <w:rFonts w:hint="eastAsia" w:ascii="宋体" w:hAnsi="宋体"/>
                <w:sz w:val="24"/>
              </w:rPr>
              <w:t xml:space="preserve">8分</w:t>
            </w:r>
            <w:r/>
          </w:p>
        </w:tc>
        <w:tc>
          <w:tcPr>
            <w:tcW w:w="7506" w:type="dxa"/>
            <w:textDirection w:val="lrTb"/>
            <w:noWrap w:val="false"/>
          </w:tcPr>
          <w:p>
            <w:pPr>
              <w:ind w:firstLine="480"/>
              <w:spacing w:line="400" w:lineRule="exact"/>
              <w:rPr>
                <w:rFonts w:hint="eastAsia" w:ascii="宋体" w:hAnsi="宋体"/>
                <w:sz w:val="24"/>
              </w:rPr>
            </w:pPr>
            <w:r>
              <w:rPr>
                <w:rFonts w:hint="eastAsia" w:ascii="宋体" w:hAnsi="宋体"/>
                <w:sz w:val="24"/>
              </w:rPr>
              <w:t xml:space="preserve">1.投标人具有有资质的第三方认证机构出具的质量管理体系认证证书、环境管理体系认证证书、职业健康安全管理体系认证证书，且认证证书在有效期内，认证范围须包括养老（托老）服务等内容，同时须在国家认证认可监督管理委员会官网（www.cnca.gov.cn）可查询，须为有效状态，每提供一种认证证书的得1分，最多得4分。（投标人投标时须提供认证证书扫描件及在国家认证认可监督管理委员会官网有效状态截图，不提供或提供的证明材料不符合要求的不得分。）</w:t>
            </w:r>
            <w:r/>
          </w:p>
          <w:p>
            <w:pPr>
              <w:ind w:firstLine="480"/>
              <w:spacing w:line="400" w:lineRule="exact"/>
              <w:rPr>
                <w:rFonts w:hint="eastAsia" w:ascii="宋体" w:hAnsi="宋体"/>
                <w:sz w:val="24"/>
              </w:rPr>
            </w:pPr>
            <w:r>
              <w:rPr>
                <w:rFonts w:hint="eastAsia" w:ascii="宋体" w:hAnsi="宋体"/>
                <w:sz w:val="24"/>
              </w:rPr>
              <w:t xml:space="preserve">2.投标人具有有资质的第三方认证机构出具的养老（托老）服务认证证书:5A级得2分；4A级得1.5分；3A级得1分；其余不得分。且认证证书在有效期内，认证范围须包括养老服务内容，同时须在国家认证认可监督管理委员会官方网站（www.cnca.gov.cn）可查询，本项最高得2分。（投标人投标时须提供认证证书扫描件及在国家认证认可监督管理委员会官网有效状态截图，不提供或提供的证明材料不符合要求的不得分。）</w:t>
            </w:r>
            <w:r/>
          </w:p>
          <w:p>
            <w:pPr>
              <w:ind w:firstLine="480"/>
              <w:spacing w:line="400" w:lineRule="exact"/>
              <w:rPr>
                <w:rFonts w:hint="eastAsia" w:ascii="宋体" w:hAnsi="宋体"/>
                <w:sz w:val="24"/>
              </w:rPr>
            </w:pPr>
            <w:r>
              <w:rPr>
                <w:rFonts w:hint="eastAsia" w:ascii="宋体" w:hAnsi="宋体"/>
                <w:sz w:val="24"/>
              </w:rPr>
              <w:t xml:space="preserve">3.投标人具有经第三方专业机构进行信用等级评定的信用报告，被评为AAA及以上等级的得2分，评为AA等级的得1分，其余不得分。本项最高得2分。（投标人须提供可在省级、地市级信用平台上查询的有效状态的截图和信用报告概述扫描件，不提供或提供的证明材料不符合要求的不得分。）</w:t>
            </w:r>
            <w:r/>
          </w:p>
        </w:tc>
      </w:tr>
      <w:tr>
        <w:trPr/>
        <w:tc>
          <w:tcPr>
            <w:tcW w:w="807" w:type="dxa"/>
            <w:vAlign w:val="center"/>
            <w:textDirection w:val="lrTb"/>
            <w:noWrap w:val="false"/>
          </w:tcPr>
          <w:p>
            <w:pPr>
              <w:jc w:val="center"/>
              <w:rPr>
                <w:rFonts w:hint="eastAsia" w:ascii="宋体" w:hAnsi="宋体"/>
                <w:sz w:val="24"/>
              </w:rPr>
            </w:pPr>
            <w:r>
              <w:rPr>
                <w:rFonts w:hint="eastAsia" w:ascii="宋体" w:hAnsi="宋体"/>
                <w:sz w:val="24"/>
              </w:rPr>
              <w:t xml:space="preserve">运营</w:t>
            </w:r>
            <w:r/>
          </w:p>
          <w:p>
            <w:pPr>
              <w:jc w:val="center"/>
              <w:rPr>
                <w:rFonts w:hint="eastAsia" w:ascii="宋体" w:hAnsi="宋体"/>
                <w:sz w:val="24"/>
              </w:rPr>
            </w:pPr>
            <w:r>
              <w:rPr>
                <w:rFonts w:hint="eastAsia" w:ascii="宋体" w:hAnsi="宋体"/>
                <w:sz w:val="24"/>
              </w:rPr>
              <w:t xml:space="preserve">团队</w:t>
            </w:r>
            <w:r/>
          </w:p>
        </w:tc>
        <w:tc>
          <w:tcPr>
            <w:tcW w:w="726" w:type="dxa"/>
            <w:vAlign w:val="center"/>
            <w:textDirection w:val="lrTb"/>
            <w:noWrap w:val="false"/>
          </w:tcPr>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t xml:space="preserve">20分</w:t>
            </w:r>
            <w:r/>
          </w:p>
        </w:tc>
        <w:tc>
          <w:tcPr>
            <w:tcW w:w="7506" w:type="dxa"/>
            <w:textDirection w:val="lrTb"/>
            <w:noWrap w:val="false"/>
          </w:tcPr>
          <w:p>
            <w:pPr>
              <w:ind w:firstLine="480"/>
              <w:spacing w:line="400" w:lineRule="exact"/>
              <w:rPr>
                <w:rFonts w:hint="eastAsia" w:ascii="宋体" w:hAnsi="宋体"/>
                <w:sz w:val="24"/>
              </w:rPr>
            </w:pPr>
            <w:r>
              <w:rPr>
                <w:rFonts w:hint="eastAsia" w:ascii="宋体" w:hAnsi="宋体"/>
                <w:sz w:val="24"/>
              </w:rPr>
              <w:t xml:space="preserve">1.拟投项目负责人持有高级社会工作师证的得4分，持有社会工作师得2分，持有助理社会工作师证的得1分。本项最高得4分。（投标人投标时提供人社部和民政部颁发的社工师证书扫描件，不提供或提供的证书不符合要求的不得分。）</w:t>
            </w:r>
            <w:r/>
          </w:p>
          <w:p>
            <w:pPr>
              <w:ind w:firstLine="480"/>
              <w:spacing w:line="400" w:lineRule="exact"/>
              <w:rPr>
                <w:rFonts w:hint="eastAsia" w:ascii="宋体" w:hAnsi="宋体"/>
                <w:sz w:val="24"/>
              </w:rPr>
            </w:pPr>
            <w:r>
              <w:rPr>
                <w:rFonts w:hint="eastAsia" w:ascii="宋体" w:hAnsi="宋体"/>
                <w:sz w:val="24"/>
              </w:rPr>
              <w:t xml:space="preserve">2.拟投项目负责人持有高级（三级）及以上等级养老护理员证书的得4分，持有中级（四级）得2分、持有初级（五级）养老护理员证书的得1分。本项最高得4分。（投标人投标时提供养老护理员证书扫描件，不提供或提供的证书不符合要求的不得分。）</w:t>
            </w:r>
            <w:r/>
          </w:p>
          <w:p>
            <w:pPr>
              <w:ind w:firstLine="480"/>
              <w:spacing w:line="400" w:lineRule="exact"/>
              <w:rPr>
                <w:rFonts w:hint="eastAsia" w:ascii="宋体" w:hAnsi="宋体"/>
                <w:sz w:val="24"/>
              </w:rPr>
            </w:pPr>
            <w:r>
              <w:rPr>
                <w:rFonts w:hint="eastAsia" w:ascii="宋体" w:hAnsi="宋体"/>
                <w:sz w:val="24"/>
              </w:rPr>
              <w:t xml:space="preserve">3.拟投项目负责人获得省级及以上党委政府及其部门表彰的得3分，获得地市级党委政府及其部门表彰的得2分，获得县级党委政府及其部门表彰的得1分。本项最高得3分。（投标人投标时提供表彰证书或文件扫描件，不提供或提供的材料不符合要求的不得分。）</w:t>
            </w:r>
            <w:r/>
          </w:p>
          <w:p>
            <w:pPr>
              <w:ind w:firstLine="480"/>
              <w:spacing w:line="400" w:lineRule="exact"/>
              <w:rPr>
                <w:rFonts w:hint="eastAsia" w:ascii="宋体" w:hAnsi="宋体"/>
                <w:sz w:val="24"/>
              </w:rPr>
            </w:pPr>
            <w:r>
              <w:rPr>
                <w:rFonts w:hint="eastAsia" w:ascii="宋体" w:hAnsi="宋体"/>
                <w:sz w:val="24"/>
              </w:rPr>
              <w:t xml:space="preserve">4.本项目团队中除项目负责人外，每增加1名高级社会工作师的得2分，每增加1名社会工作师或助理社会工作师的得1分。本项最高得4分。（投标人投标时提供人社部和民政部颁发的社工师证书扫</w:t>
            </w:r>
            <w:r>
              <w:rPr>
                <w:rFonts w:hint="eastAsia" w:ascii="宋体" w:hAnsi="宋体"/>
                <w:sz w:val="24"/>
              </w:rPr>
              <w:t xml:space="preserve">描件，不提供或提供的证书不符合要求的不得分。）</w:t>
            </w:r>
            <w:r/>
          </w:p>
          <w:p>
            <w:pPr>
              <w:ind w:firstLine="480"/>
              <w:spacing w:line="400" w:lineRule="exact"/>
              <w:rPr>
                <w:rFonts w:hint="eastAsia" w:ascii="宋体" w:hAnsi="宋体"/>
                <w:sz w:val="24"/>
              </w:rPr>
            </w:pPr>
            <w:r>
              <w:rPr>
                <w:rFonts w:hint="eastAsia" w:ascii="宋体" w:hAnsi="宋体"/>
                <w:sz w:val="24"/>
              </w:rPr>
              <w:t xml:space="preserve">5.本项目团队中除项目负责人外，每增加1名高级（三级）及以上等级养老护理员的得2分；每增加1名中级（四级）或初级（五级）养老护理员的，得1分。本项最高得5分。（投标人投标时提供养老护理员证书扫描件，不提供或提供的证书不符合要求的不得分。）</w:t>
            </w:r>
            <w:r/>
          </w:p>
          <w:p>
            <w:pPr>
              <w:spacing w:line="400" w:lineRule="exact"/>
              <w:rPr>
                <w:rFonts w:hint="eastAsia" w:ascii="宋体" w:hAnsi="宋体"/>
                <w:sz w:val="24"/>
              </w:rPr>
            </w:pPr>
            <w:r>
              <w:rPr>
                <w:rFonts w:hint="eastAsia" w:ascii="宋体" w:hAnsi="宋体"/>
                <w:sz w:val="24"/>
              </w:rPr>
              <w:t xml:space="preserve">注：（1）投标人投标时提供的养老护理员证须是人社部认定的，或人社部门授权第三方认定机构认定的职业资格证书或职业技能等级证书扫描件；（2）上述拟投本项目的项目负责人和团队成员均须为投标人正式职工。投标时须提供拟投本项目的项目负责人和其他团队成员在投标单位所在地社保部门出具的从投标截止之日当月向前连续3个月至少 1 个月在本单位缴纳养老保险缴费记录证明，如不提供社保证明或提供的社保证明不符合招标文件要求的，则上述相应的评分条款不得分。</w:t>
            </w:r>
            <w:r/>
          </w:p>
        </w:tc>
      </w:tr>
      <w:tr>
        <w:trPr/>
        <w:tc>
          <w:tcPr>
            <w:tcW w:w="807" w:type="dxa"/>
            <w:vAlign w:val="center"/>
            <w:textDirection w:val="lrTb"/>
            <w:noWrap w:val="false"/>
          </w:tcPr>
          <w:p>
            <w:pPr>
              <w:jc w:val="center"/>
              <w:rPr>
                <w:rFonts w:hint="eastAsia" w:ascii="宋体" w:hAnsi="宋体"/>
                <w:sz w:val="24"/>
              </w:rPr>
            </w:pPr>
            <w:r>
              <w:rPr>
                <w:rFonts w:hint="eastAsia" w:ascii="宋体" w:hAnsi="宋体"/>
                <w:sz w:val="24"/>
              </w:rPr>
              <w:t xml:space="preserve">服务</w:t>
            </w:r>
            <w:r/>
          </w:p>
          <w:p>
            <w:pPr>
              <w:jc w:val="center"/>
              <w:rPr>
                <w:rFonts w:hint="eastAsia" w:ascii="宋体" w:hAnsi="宋体"/>
                <w:sz w:val="24"/>
              </w:rPr>
            </w:pPr>
            <w:r>
              <w:rPr>
                <w:rFonts w:hint="eastAsia" w:ascii="宋体" w:hAnsi="宋体"/>
                <w:sz w:val="24"/>
              </w:rPr>
              <w:t xml:space="preserve">方案</w:t>
            </w:r>
            <w:r/>
          </w:p>
        </w:tc>
        <w:tc>
          <w:tcPr>
            <w:tcW w:w="726" w:type="dxa"/>
            <w:vAlign w:val="center"/>
            <w:textDirection w:val="lrTb"/>
            <w:noWrap w:val="false"/>
          </w:tcPr>
          <w:p>
            <w:pPr>
              <w:jc w:val="center"/>
              <w:rPr>
                <w:rFonts w:hint="eastAsia" w:ascii="宋体" w:hAnsi="宋体"/>
                <w:color w:val="ff0000"/>
                <w:sz w:val="24"/>
              </w:rPr>
            </w:pPr>
            <w:r>
              <w:rPr>
                <w:rFonts w:hint="eastAsia" w:ascii="宋体" w:hAnsi="宋体"/>
                <w:color w:val="0000ff"/>
                <w:sz w:val="24"/>
              </w:rPr>
              <w:t xml:space="preserve">42分</w:t>
            </w:r>
            <w:r/>
          </w:p>
        </w:tc>
        <w:tc>
          <w:tcPr>
            <w:tcW w:w="7506" w:type="dxa"/>
            <w:textDirection w:val="lrTb"/>
            <w:noWrap w:val="false"/>
          </w:tcPr>
          <w:p>
            <w:pPr>
              <w:spacing w:line="360" w:lineRule="auto"/>
              <w:rPr>
                <w:rFonts w:hint="eastAsia" w:ascii="宋体" w:hAnsi="宋体"/>
                <w:sz w:val="24"/>
              </w:rPr>
            </w:pPr>
            <w:r>
              <w:rPr>
                <w:rFonts w:hint="eastAsia" w:ascii="宋体" w:hAnsi="宋体"/>
                <w:sz w:val="24"/>
              </w:rPr>
              <w:t xml:space="preserve">1.投标人具有明确且合理的目标定位，能结合滨海县的实际情况制定居家社区养老服务机构运营总体方案，包括服务目标、整体设想及服务规划、制定方案的合理性、可行性、针对性，得6分；总体方案内容较全面，得4分；总体方案内容欠全面，得1分；无相关内容或以与本项目不相干的内容充数的得0分。</w:t>
            </w:r>
            <w:r/>
          </w:p>
          <w:p>
            <w:pPr>
              <w:spacing w:line="360" w:lineRule="auto"/>
              <w:rPr>
                <w:rFonts w:hint="eastAsia" w:ascii="宋体" w:hAnsi="宋体"/>
                <w:sz w:val="24"/>
              </w:rPr>
            </w:pPr>
            <w:r>
              <w:rPr>
                <w:rFonts w:hint="eastAsia" w:ascii="宋体" w:hAnsi="宋体"/>
                <w:sz w:val="24"/>
              </w:rPr>
              <w:t xml:space="preserve">2.投标人制订清晰、合理、科学的项目组织架构，岗位职责明确。制定的项目组织架构，岗位职责的清晰程度、合理性好、科学性好，得6分；项目组织架构，岗位职责的清晰程度、合理性、科学性较好，得4分；项目组织架构，岗位职责的清晰程度、合理性、科学性欠全面，得1分；无相关内容或以与本项目不相干的内容充数的得0分。</w:t>
            </w:r>
            <w:r/>
          </w:p>
          <w:p>
            <w:pPr>
              <w:spacing w:line="360" w:lineRule="auto"/>
              <w:rPr>
                <w:rFonts w:hint="eastAsia" w:ascii="宋体" w:hAnsi="宋体"/>
                <w:sz w:val="24"/>
              </w:rPr>
            </w:pPr>
            <w:r>
              <w:rPr>
                <w:rFonts w:hint="eastAsia" w:ascii="宋体" w:hAnsi="宋体"/>
                <w:sz w:val="24"/>
              </w:rPr>
              <w:t xml:space="preserve">3.投标人制订严谨、全面的规章制度，得6分；制订的规章制度较全面，得4分；制订的规章制度欠全面，得1分；无相关内容或以与本项目不相干的内容充数的得0分。</w:t>
            </w:r>
            <w:r/>
          </w:p>
          <w:p>
            <w:pPr>
              <w:spacing w:line="360" w:lineRule="auto"/>
              <w:rPr>
                <w:rFonts w:hint="eastAsia" w:ascii="宋体" w:hAnsi="宋体"/>
                <w:sz w:val="24"/>
              </w:rPr>
            </w:pPr>
            <w:r>
              <w:rPr>
                <w:rFonts w:hint="eastAsia" w:ascii="宋体" w:hAnsi="宋体"/>
                <w:sz w:val="24"/>
              </w:rPr>
              <w:t xml:space="preserve">4.制订切实可行的运营质量检查监督、投诉处理、服务改进方案。投标人制定方案的合理性好、可行性好、科学性好，得6分；制订的制定方案较好，得4分；制订的制定方案欠全面，得1分；无相关内容或以与本项目不相干的内容充数的得0分。</w:t>
            </w:r>
            <w:r/>
          </w:p>
          <w:p>
            <w:pPr>
              <w:spacing w:line="360" w:lineRule="auto"/>
              <w:rPr>
                <w:rFonts w:hint="eastAsia" w:ascii="宋体" w:hAnsi="宋体"/>
                <w:sz w:val="24"/>
              </w:rPr>
            </w:pPr>
            <w:r>
              <w:rPr>
                <w:rFonts w:hint="eastAsia" w:ascii="宋体" w:hAnsi="宋体"/>
                <w:sz w:val="24"/>
              </w:rPr>
              <w:t xml:space="preserve">5.制订切实可行的日常活动方案和节日活动方案，方案科学、切合实</w:t>
            </w:r>
            <w:r>
              <w:rPr>
                <w:rFonts w:hint="eastAsia" w:ascii="宋体" w:hAnsi="宋体"/>
                <w:sz w:val="24"/>
              </w:rPr>
              <w:t xml:space="preserve">际、具有可操作性。投标人制订的方案的科学性好、合理性好、可操作性好得6分；制订的制定方案较好，得4分；制订的制定方案欠全面，得1分；无相关内容或以与本项目不相干的内容充数的得0分。</w:t>
            </w:r>
            <w:r/>
          </w:p>
          <w:p>
            <w:pPr>
              <w:spacing w:line="360" w:lineRule="auto"/>
              <w:rPr>
                <w:rFonts w:hint="eastAsia" w:ascii="宋体" w:hAnsi="宋体"/>
                <w:sz w:val="24"/>
              </w:rPr>
            </w:pPr>
            <w:r>
              <w:rPr>
                <w:rFonts w:hint="eastAsia" w:ascii="宋体" w:hAnsi="宋体"/>
                <w:sz w:val="24"/>
              </w:rPr>
              <w:t xml:space="preserve">6.投标人制订突发事件及矛盾处理（包括突发公共卫生事件、安全事故、服务纠纷等）应急预案，投标人制订突发事件及矛盾处理的规范性好、全面性好、针对性好、可操作性好得6分；制订的制定方案较好，得4分；制订的制定方案欠全面，得1分；无相关内容或以与本项目不相干的内容充数的得0分。</w:t>
            </w:r>
            <w:r/>
          </w:p>
          <w:p>
            <w:pPr>
              <w:spacing w:line="400" w:lineRule="exact"/>
              <w:rPr>
                <w:rFonts w:hint="eastAsia" w:ascii="宋体" w:hAnsi="宋体"/>
                <w:color w:val="ff0000"/>
                <w:sz w:val="24"/>
              </w:rPr>
            </w:pPr>
            <w:r>
              <w:rPr>
                <w:rFonts w:hint="eastAsia" w:ascii="宋体" w:hAnsi="宋体"/>
                <w:sz w:val="24"/>
              </w:rPr>
              <w:t xml:space="preserve">7．投标人能结合滨海县的实际情况制订老年人助餐服务运营方案。投标人制定方案的合理性好、可行性好、针对性好得6分；制订的制定方案较好，得4分；制订的制定方案欠全面，得1分；无相关内容或以与本项目不相干的内容充数的得0分。</w:t>
            </w:r>
            <w:r/>
          </w:p>
        </w:tc>
      </w:tr>
    </w:tbl>
    <w:p>
      <w:pPr>
        <w:pStyle w:val="808"/>
        <w:jc w:val="left"/>
        <w:spacing w:line="400" w:lineRule="exact"/>
        <w:tabs>
          <w:tab w:val="left" w:pos="0" w:leader="none"/>
          <w:tab w:val="left" w:pos="3165" w:leader="none"/>
          <w:tab w:val="center" w:pos="4153" w:leader="none"/>
        </w:tabs>
        <w:rPr>
          <w:rFonts w:hint="eastAsia" w:ascii="宋体" w:hAnsi="宋体" w:eastAsia="宋体" w:cs="宋体"/>
          <w:b w:val="0"/>
          <w:bCs w:val="0"/>
          <w:sz w:val="18"/>
          <w:szCs w:val="18"/>
        </w:rPr>
      </w:pPr>
      <w:r>
        <w:rPr>
          <w:rFonts w:hint="eastAsia" w:ascii="宋体" w:hAnsi="宋体" w:eastAsia="宋体" w:cs="宋体"/>
          <w:b w:val="0"/>
          <w:bCs w:val="0"/>
          <w:sz w:val="18"/>
          <w:szCs w:val="18"/>
        </w:rPr>
        <w:t xml:space="preserve">注：1.评分标准中设区间得分项的，其得分均包括区间两端值，以0.1分为一个计分单元。2.投标人的总得分为所有评委评审该单位总得分的平均值。3.本项目分三个包件，同一投标人可同时参加一个或多个包件的投标，但只能中一个包件。本项目采取先评先中原则（从一至三包件的顺序进行评审），投标人若已在先评审包件中被推荐为第一中标候选人，将不再推荐为后评审包件中标候选人。</w:t>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822"/>
        <w:jc w:val="center"/>
        <w:spacing w:beforeAutospacing="0" w:afterAutospacing="0"/>
      </w:pPr>
      <w:r/>
      <w:bookmarkStart w:id="194" w:name="_Hlt26955039"/>
      <w:r/>
      <w:bookmarkStart w:id="195" w:name="_Toc26554094"/>
      <w:r/>
      <w:bookmarkStart w:id="196" w:name="_Hlt26671244"/>
      <w:r/>
      <w:bookmarkStart w:id="197" w:name="_Toc49090576"/>
      <w:r/>
      <w:bookmarkStart w:id="198" w:name="_Toc120614282"/>
      <w:r/>
      <w:bookmarkEnd w:id="194"/>
      <w:r/>
      <w:bookmarkEnd w:id="195"/>
      <w:r/>
      <w:bookmarkEnd w:id="196"/>
      <w:r>
        <w:rPr>
          <w:rFonts w:hint="eastAsia" w:ascii="宋体" w:hAnsi="宋体" w:eastAsia="宋体" w:cs="宋体"/>
          <w:b/>
          <w:color w:val="000000"/>
          <w:sz w:val="72"/>
          <w:szCs w:val="72"/>
        </w:rPr>
        <w:t xml:space="preserve">投  标  文  件</w:t>
      </w:r>
      <w:r/>
    </w:p>
    <w:p>
      <w:pPr>
        <w:pStyle w:val="822"/>
        <w:jc w:val="center"/>
        <w:spacing w:beforeAutospacing="0" w:afterAutospacing="0"/>
      </w:pPr>
      <w:r>
        <w:t xml:space="preserve"> </w:t>
      </w:r>
      <w:r/>
    </w:p>
    <w:p>
      <w:pPr>
        <w:pStyle w:val="822"/>
        <w:jc w:val="center"/>
        <w:spacing w:beforeAutospacing="0" w:afterAutospacing="0"/>
      </w:pPr>
      <w:r>
        <w:t xml:space="preserve"> </w:t>
      </w:r>
      <w:r/>
    </w:p>
    <w:p>
      <w:pPr>
        <w:pStyle w:val="822"/>
        <w:jc w:val="center"/>
        <w:spacing w:beforeAutospacing="0" w:afterAutospacing="0"/>
      </w:pPr>
      <w:r>
        <w:t xml:space="preserve"> </w:t>
      </w:r>
      <w:r/>
    </w:p>
    <w:p>
      <w:pPr>
        <w:pStyle w:val="822"/>
        <w:jc w:val="center"/>
        <w:spacing w:beforeAutospacing="0" w:afterAutospacing="0"/>
      </w:pPr>
      <w:r>
        <w:t xml:space="preserve"> </w:t>
      </w:r>
      <w:r/>
    </w:p>
    <w:p>
      <w:pPr>
        <w:pStyle w:val="822"/>
        <w:jc w:val="center"/>
        <w:spacing w:beforeAutospacing="0" w:afterAutospacing="0"/>
      </w:pPr>
      <w:r>
        <w:t xml:space="preserve"> </w:t>
      </w:r>
      <w:r/>
    </w:p>
    <w:p>
      <w:pPr>
        <w:pStyle w:val="822"/>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22"/>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22"/>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        </w:t>
      </w:r>
      <w:r/>
    </w:p>
    <w:p>
      <w:pPr>
        <w:pStyle w:val="822"/>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22"/>
        <w:jc w:val="center"/>
        <w:spacing w:beforeAutospacing="0" w:afterAutospacing="0" w:line="0" w:lineRule="atLeast"/>
      </w:pPr>
      <w:r>
        <w:t xml:space="preserve"> </w:t>
      </w:r>
      <w:r/>
    </w:p>
    <w:p>
      <w:pPr>
        <w:pStyle w:val="822"/>
        <w:jc w:val="both"/>
        <w:spacing w:beforeAutospacing="0" w:afterAutospacing="0" w:line="0" w:lineRule="atLeast"/>
      </w:pPr>
      <w:r>
        <w:t xml:space="preserve"> </w:t>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22"/>
        <w:jc w:val="center"/>
        <w:spacing w:beforeAutospacing="0" w:afterAutospacing="0" w:line="0" w:lineRule="atLeast"/>
      </w:pPr>
      <w:r>
        <w:rPr>
          <w:rFonts w:hint="eastAsia" w:ascii="宋体" w:hAnsi="宋体" w:eastAsia="宋体" w:cs="宋体"/>
          <w:b/>
          <w:color w:val="000000"/>
          <w:sz w:val="32"/>
          <w:szCs w:val="32"/>
        </w:rPr>
        <w:t xml:space="preserve">投标主要文件目录</w:t>
      </w:r>
      <w:r/>
    </w:p>
    <w:p>
      <w:pPr>
        <w:pStyle w:val="822"/>
        <w:jc w:val="center"/>
        <w:spacing w:beforeAutospacing="0" w:afterAutospacing="0" w:line="0" w:lineRule="atLeast"/>
      </w:pPr>
      <w:r>
        <w:t xml:space="preserve"> </w:t>
      </w:r>
      <w:r/>
    </w:p>
    <w:p>
      <w:pPr>
        <w:pStyle w:val="822"/>
        <w:ind w:left="21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一、法人或者其他组织的营业执照等证明文件，自然人的身份证明</w:t>
      </w:r>
      <w:r/>
    </w:p>
    <w:p>
      <w:pPr>
        <w:ind w:firstLine="240"/>
        <w:jc w:val="left"/>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二、上一年度的财务状况报表（至少提供资产负债表、利润表、现金流量表，</w:t>
      </w:r>
      <w:r/>
    </w:p>
    <w:p>
      <w:pPr>
        <w:pStyle w:val="822"/>
        <w:ind w:left="21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供应商成立不满一年无需提供）</w:t>
      </w:r>
      <w:r/>
    </w:p>
    <w:p>
      <w:pPr>
        <w:pStyle w:val="822"/>
        <w:ind w:left="21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三、具备履行合同所必需的设备和专业技术能力的书面声明</w:t>
      </w:r>
      <w:r/>
    </w:p>
    <w:p>
      <w:pPr>
        <w:pStyle w:val="822"/>
        <w:ind w:left="21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22"/>
        <w:ind w:left="21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五、参加政府采购活动前 3 年内在经营活动中没有重大违法记录的书面声明</w:t>
      </w:r>
      <w:r/>
    </w:p>
    <w:p>
      <w:pPr>
        <w:pStyle w:val="824"/>
        <w:ind w:firstLine="480"/>
        <w:rPr>
          <w:rFonts w:ascii="Times New Roman" w:eastAsia="宋体"/>
          <w:color w:val="000000"/>
          <w:sz w:val="24"/>
          <w:szCs w:val="22"/>
        </w:rPr>
      </w:pPr>
      <w:r>
        <w:rPr>
          <w:rFonts w:hint="eastAsia" w:ascii="Times New Roman" w:eastAsia="宋体"/>
          <w:color w:val="000000"/>
          <w:sz w:val="24"/>
          <w:szCs w:val="22"/>
        </w:rPr>
        <w:t xml:space="preserve">六、单位负责人为同一人或者存在直接控股、服务关系的不同供应商，不得参加同一合同项下的政府采购活动证明文件</w:t>
      </w:r>
      <w:r/>
    </w:p>
    <w:p>
      <w:pPr>
        <w:pStyle w:val="822"/>
        <w:ind w:left="21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七、特定资格要求的证明文件（如果本项目设置特定资格要求，则需要提供）</w:t>
      </w:r>
      <w:r/>
    </w:p>
    <w:p>
      <w:pPr>
        <w:pStyle w:val="822"/>
        <w:ind w:firstLine="24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八、中小微企业声明函</w:t>
      </w:r>
      <w:r/>
    </w:p>
    <w:p>
      <w:pPr>
        <w:pStyle w:val="822"/>
        <w:ind w:left="21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九、法人授权书</w:t>
      </w:r>
      <w:r/>
    </w:p>
    <w:p>
      <w:pPr>
        <w:pStyle w:val="822"/>
        <w:ind w:left="21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十、投标函</w:t>
      </w:r>
      <w:r/>
    </w:p>
    <w:p>
      <w:pPr>
        <w:pStyle w:val="82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十一、残疾人福利性单位声明函</w:t>
      </w:r>
      <w:r/>
    </w:p>
    <w:p>
      <w:pPr>
        <w:pStyle w:val="82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十二、投标报价及分项报价表</w:t>
      </w:r>
      <w:r/>
    </w:p>
    <w:p>
      <w:pPr>
        <w:pStyle w:val="82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十三、技术要求响应及偏离表</w:t>
      </w:r>
      <w:r/>
    </w:p>
    <w:p>
      <w:pPr>
        <w:pStyle w:val="822"/>
        <w:ind w:firstLine="480"/>
        <w:jc w:val="both"/>
        <w:spacing w:beforeAutospacing="0" w:afterAutospacing="0" w:line="0" w:lineRule="atLeast"/>
        <w:rPr>
          <w:color w:val="000000"/>
        </w:rPr>
      </w:pPr>
      <w:r>
        <w:rPr>
          <w:rFonts w:hint="eastAsia" w:ascii="宋体" w:hAnsi="宋体" w:eastAsia="宋体" w:cs="宋体"/>
          <w:color w:val="000000"/>
        </w:rPr>
        <w:t xml:space="preserve">十四、</w:t>
      </w:r>
      <w:r>
        <w:rPr>
          <w:rFonts w:hint="eastAsia"/>
          <w:color w:val="000000"/>
        </w:rPr>
        <w:t xml:space="preserve">资格性审查响应对照表</w:t>
      </w:r>
      <w:r/>
    </w:p>
    <w:p>
      <w:pPr>
        <w:ind w:firstLine="480"/>
        <w:spacing w:line="520" w:lineRule="exact"/>
        <w:rPr>
          <w:color w:val="000000"/>
          <w:sz w:val="24"/>
        </w:rPr>
      </w:pPr>
      <w:r>
        <w:rPr>
          <w:rFonts w:hint="eastAsia"/>
          <w:color w:val="000000"/>
          <w:sz w:val="24"/>
        </w:rPr>
        <w:t xml:space="preserve">十五、符合性检查响应对照表</w:t>
      </w:r>
      <w:r/>
    </w:p>
    <w:p>
      <w:pPr>
        <w:pStyle w:val="822"/>
        <w:ind w:left="210"/>
        <w:jc w:val="both"/>
        <w:spacing w:beforeAutospacing="0" w:afterAutospacing="0"/>
        <w:rPr>
          <w:rFonts w:hint="eastAsia" w:ascii="宋体" w:hAnsi="宋体" w:eastAsia="宋体" w:cs="宋体"/>
          <w:i/>
          <w:color w:val="000000"/>
        </w:rPr>
      </w:pPr>
      <w:r>
        <w:rPr>
          <w:rFonts w:hint="eastAsia" w:ascii="宋体" w:hAnsi="宋体" w:eastAsia="宋体" w:cs="宋体"/>
          <w:i/>
          <w:color w:val="000000"/>
        </w:rPr>
        <w:t xml:space="preserve">十六、开标一览表</w:t>
      </w:r>
      <w:r/>
    </w:p>
    <w:p>
      <w:pPr>
        <w:ind w:firstLine="480"/>
        <w:spacing w:before="50" w:after="50"/>
        <w:widowControl/>
        <w:rPr>
          <w:rFonts w:hint="eastAsia" w:ascii="宋体" w:hAnsi="宋体" w:eastAsia="宋体" w:cs="宋体"/>
          <w:color w:val="000000"/>
          <w:sz w:val="24"/>
        </w:rPr>
      </w:pPr>
      <w:r>
        <w:rPr>
          <w:rFonts w:hint="eastAsia" w:ascii="宋体" w:hAnsi="宋体" w:eastAsia="宋体" w:cs="宋体"/>
          <w:color w:val="000000"/>
          <w:sz w:val="24"/>
        </w:rPr>
        <w:t xml:space="preserve">十七、技术方案、服务承诺、培训承诺等</w:t>
      </w:r>
      <w:r/>
    </w:p>
    <w:p>
      <w:pPr>
        <w:pStyle w:val="82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十八、盐城市政府采购事前信用承诺书</w:t>
      </w:r>
      <w:r/>
    </w:p>
    <w:p>
      <w:pPr>
        <w:ind w:firstLine="480"/>
        <w:spacing w:line="520" w:lineRule="exact"/>
        <w:rPr>
          <w:color w:val="000000"/>
          <w:sz w:val="24"/>
        </w:rPr>
      </w:pPr>
      <w:r>
        <w:rPr>
          <w:rFonts w:hint="eastAsia"/>
          <w:color w:val="000000"/>
          <w:sz w:val="24"/>
        </w:rPr>
        <w:t xml:space="preserve">十九、其他材料（如有）</w:t>
      </w:r>
      <w:r/>
    </w:p>
    <w:p>
      <w:pPr>
        <w:pStyle w:val="82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line="0" w:lineRule="atLeast"/>
      </w:pPr>
      <w:r>
        <w:t xml:space="preserve"> </w:t>
      </w:r>
      <w:r/>
    </w:p>
    <w:p>
      <w:pPr>
        <w:pStyle w:val="822"/>
        <w:ind w:firstLine="480"/>
        <w:jc w:val="both"/>
        <w:spacing w:beforeAutospacing="0" w:afterAutospacing="0" w:line="0" w:lineRule="atLeast"/>
      </w:pPr>
      <w:r>
        <w:t xml:space="preserve"> </w:t>
      </w:r>
      <w:r/>
    </w:p>
    <w:p>
      <w:pPr>
        <w:pStyle w:val="822"/>
        <w:ind w:firstLine="480"/>
        <w:jc w:val="both"/>
        <w:spacing w:beforeAutospacing="0" w:afterAutospacing="0" w:line="0" w:lineRule="atLeast"/>
      </w:pPr>
      <w:r>
        <w:t xml:space="preserve"> </w:t>
      </w:r>
      <w:r/>
    </w:p>
    <w:p>
      <w:pPr>
        <w:pStyle w:val="822"/>
        <w:ind w:firstLine="480"/>
        <w:jc w:val="both"/>
        <w:spacing w:beforeAutospacing="0" w:afterAutospacing="0" w:line="0" w:lineRule="atLeast"/>
      </w:pPr>
      <w:r>
        <w:t xml:space="preserve"> </w:t>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22"/>
        <w:ind w:firstLine="480"/>
        <w:jc w:val="both"/>
        <w:spacing w:beforeAutospacing="0" w:afterAutospacing="0" w:line="0" w:lineRule="atLeast"/>
      </w:pPr>
      <w:r>
        <w:t xml:space="preserve"> </w:t>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ind w:firstLine="480"/>
        <w:jc w:val="both"/>
        <w:spacing w:beforeAutospacing="0" w:afterAutospacing="0" w:line="0" w:lineRule="atLeast"/>
      </w:pPr>
      <w:r/>
      <w:r/>
    </w:p>
    <w:p>
      <w:pPr>
        <w:pStyle w:val="822"/>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二、上一年度的财务状况报表</w:t>
      </w:r>
      <w:r/>
    </w:p>
    <w:p>
      <w:pPr>
        <w:pStyle w:val="836"/>
        <w:ind w:firstLine="480"/>
        <w:jc w:val="both"/>
        <w:spacing w:beforeAutospacing="0" w:afterAutospacing="0" w:line="360" w:lineRule="auto"/>
        <w:rPr>
          <w:color w:val="000000"/>
        </w:rPr>
      </w:pPr>
      <w:r>
        <w:rPr>
          <w:rFonts w:hint="eastAsia"/>
          <w:color w:val="000000"/>
        </w:rPr>
        <w:t xml:space="preserve">（</w:t>
      </w:r>
      <w:r>
        <w:rPr>
          <w:rFonts w:hint="eastAsia" w:ascii="宋体" w:hAnsi="宋体" w:cs="宋体"/>
          <w:color w:val="000000"/>
        </w:rPr>
        <w:t xml:space="preserve">至少提供资产负债表、利润表、现金流量表，供应商成立不满一年不需提供。</w:t>
      </w:r>
      <w:r>
        <w:rPr>
          <w:rFonts w:hint="eastAsia"/>
          <w:color w:val="000000"/>
        </w:rPr>
        <w:t xml:space="preserve">）</w:t>
      </w:r>
      <w:r/>
    </w:p>
    <w:p>
      <w:pPr>
        <w:pStyle w:val="822"/>
        <w:jc w:val="both"/>
        <w:spacing w:beforeAutospacing="0" w:afterAutospacing="0"/>
      </w:pPr>
      <w:r>
        <w:t xml:space="preserve"> </w:t>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t xml:space="preserve"> </w:t>
      </w:r>
      <w:r/>
    </w:p>
    <w:p>
      <w:pPr>
        <w:pStyle w:val="822"/>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22"/>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22"/>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22"/>
        <w:ind w:firstLine="480"/>
        <w:jc w:val="both"/>
        <w:spacing w:beforeAutospacing="0" w:afterAutospacing="0"/>
        <w:rPr>
          <w:rFonts w:hint="eastAsia" w:ascii="宋体" w:hAnsi="宋体" w:eastAsia="宋体" w:cs="宋体"/>
          <w:color w:val="000000"/>
        </w:rPr>
      </w:pPr>
      <w:r/>
      <w:bookmarkStart w:id="199" w:name="_Toc120614284"/>
      <w:r>
        <w:rPr>
          <w:rFonts w:hint="eastAsia" w:ascii="宋体" w:hAnsi="宋体" w:eastAsia="宋体" w:cs="宋体"/>
          <w:color w:val="000000"/>
        </w:rPr>
        <w:t xml:space="preserve">提供提交投标文件截止时间前一年内至少一个月依法缴纳税收及缴纳社会保障资金的证明材料。供应商依法享受缓缴、免缴税收、社会保障资金的提供证明材料。</w:t>
      </w:r>
      <w:bookmarkEnd w:id="199"/>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22"/>
        <w:ind w:firstLine="480"/>
        <w:jc w:val="both"/>
        <w:spacing w:beforeAutospacing="0" w:afterAutospacing="0"/>
      </w:pPr>
      <w:r/>
      <w:r/>
    </w:p>
    <w:p>
      <w:pPr>
        <w:pStyle w:val="822"/>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2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2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22"/>
        <w:jc w:val="both"/>
        <w:spacing w:beforeAutospacing="0" w:afterAutospacing="0"/>
      </w:pPr>
      <w:r>
        <w:t xml:space="preserve"> </w:t>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rPr>
          <w:rFonts w:hint="eastAsia" w:ascii="宋体" w:hAnsi="宋体" w:cs="宋体"/>
          <w:b/>
          <w:bCs/>
        </w:rPr>
      </w:pPr>
      <w:r>
        <w:rPr>
          <w:rFonts w:hint="eastAsia" w:ascii="宋体" w:hAnsi="宋体" w:cs="宋体"/>
          <w:b/>
          <w:bCs/>
          <w:color w:val="000000"/>
          <w:sz w:val="32"/>
          <w:szCs w:val="32"/>
          <w:u w:val="single"/>
        </w:rPr>
        <w:t xml:space="preserve">六、单位负责人为同一人或者存在直接控股、服务关系的不同供应商，不得参加同一合同项下的政府采购活动证明文件</w:t>
      </w:r>
      <w:r/>
    </w:p>
    <w:p>
      <w:pPr>
        <w:pStyle w:val="822"/>
        <w:ind w:firstLine="1680"/>
        <w:jc w:val="both"/>
        <w:spacing w:beforeAutospacing="0" w:afterAutospacing="0" w:line="0" w:lineRule="atLeast"/>
        <w:rPr>
          <w:rFonts w:hint="eastAsia" w:ascii="宋体" w:hAnsi="宋体" w:cs="宋体"/>
          <w:b/>
          <w:bCs/>
          <w:color w:val="000000"/>
          <w:sz w:val="44"/>
          <w:szCs w:val="44"/>
        </w:rPr>
      </w:pPr>
      <w:r>
        <w:rPr>
          <w:rFonts w:hint="eastAsia" w:ascii="宋体" w:hAnsi="宋体" w:cs="宋体"/>
          <w:color w:val="000000"/>
        </w:rPr>
        <w:t xml:space="preserve">       </w:t>
      </w:r>
      <w:r>
        <w:rPr>
          <w:rFonts w:hint="eastAsia" w:ascii="宋体" w:hAnsi="宋体" w:cs="宋体"/>
          <w:b/>
          <w:bCs/>
          <w:color w:val="000000"/>
          <w:sz w:val="44"/>
          <w:szCs w:val="44"/>
        </w:rPr>
        <w:t xml:space="preserve">   </w:t>
      </w:r>
      <w:r/>
    </w:p>
    <w:p>
      <w:pPr>
        <w:pStyle w:val="822"/>
        <w:jc w:val="center"/>
        <w:spacing w:beforeAutospacing="0" w:afterAutospacing="0" w:line="0" w:lineRule="atLeast"/>
      </w:pPr>
      <w:r>
        <w:rPr>
          <w:rFonts w:hint="eastAsia" w:ascii="宋体" w:hAnsi="宋体" w:cs="宋体"/>
          <w:b/>
          <w:bCs/>
          <w:color w:val="000000"/>
          <w:sz w:val="44"/>
          <w:szCs w:val="44"/>
        </w:rPr>
        <w:t xml:space="preserve">声  明</w:t>
      </w:r>
      <w:r/>
    </w:p>
    <w:p>
      <w:pPr>
        <w:pStyle w:val="822"/>
        <w:jc w:val="both"/>
        <w:spacing w:beforeAutospacing="0" w:afterAutospacing="0" w:line="0" w:lineRule="atLeast"/>
      </w:pPr>
      <w:r>
        <w:rPr>
          <w:rFonts w:hint="eastAsia" w:ascii="宋体" w:hAnsi="宋体" w:cs="宋体"/>
          <w:color w:val="000000"/>
        </w:rPr>
        <w:t xml:space="preserve">我单位不存在：单位负责人为同一人或者存在直接控股、管理关系的不同供应商，同时参加同一合同项下的政府采购活动。</w:t>
      </w:r>
      <w:r/>
    </w:p>
    <w:p>
      <w:pPr>
        <w:pStyle w:val="822"/>
        <w:jc w:val="center"/>
        <w:spacing w:beforeAutospacing="0" w:afterAutospacing="0"/>
      </w:pPr>
      <w:r>
        <w:t xml:space="preserve">  </w:t>
      </w:r>
      <w:r/>
    </w:p>
    <w:p>
      <w:pPr>
        <w:ind w:firstLine="3840"/>
        <w:spacing w:line="460" w:lineRule="exact"/>
        <w:rPr>
          <w:rFonts w:hint="eastAsia" w:ascii="宋体" w:hAnsi="宋体"/>
          <w:bCs/>
          <w:sz w:val="24"/>
        </w:rPr>
      </w:pPr>
      <w:r>
        <w:rPr>
          <w:rFonts w:hint="eastAsia" w:ascii="宋体" w:hAnsi="宋体"/>
          <w:bCs/>
          <w:sz w:val="24"/>
        </w:rPr>
        <w:t xml:space="preserve">供应商名称（公章）：</w:t>
      </w:r>
      <w:r/>
    </w:p>
    <w:p>
      <w:pPr>
        <w:spacing w:line="460" w:lineRule="exact"/>
        <w:rPr>
          <w:rFonts w:hint="eastAsia" w:ascii="宋体" w:hAnsi="宋体"/>
          <w:bCs/>
          <w:sz w:val="24"/>
        </w:rPr>
      </w:pPr>
      <w:r>
        <w:rPr>
          <w:rFonts w:hint="eastAsia" w:ascii="宋体" w:hAnsi="宋体"/>
          <w:bCs/>
          <w:sz w:val="24"/>
        </w:rPr>
        <w:t xml:space="preserve">                                      授权代表签字：______________________</w:t>
      </w:r>
      <w:r/>
    </w:p>
    <w:p>
      <w:pPr>
        <w:spacing w:line="460" w:lineRule="exact"/>
        <w:rPr>
          <w:rFonts w:hint="eastAsia" w:ascii="宋体" w:hAnsi="宋体"/>
          <w:bCs/>
          <w:sz w:val="24"/>
        </w:rPr>
      </w:pPr>
      <w:r>
        <w:rPr>
          <w:rFonts w:hint="eastAsia" w:ascii="宋体" w:hAnsi="宋体"/>
          <w:bCs/>
          <w:sz w:val="24"/>
        </w:rPr>
        <w:t xml:space="preserve">                                      日期：______年月日</w:t>
      </w:r>
      <w:r/>
    </w:p>
    <w:p>
      <w:pPr>
        <w:pStyle w:val="837"/>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37"/>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七、特定资格要求的证明文件</w:t>
      </w:r>
      <w:r/>
    </w:p>
    <w:p>
      <w:pPr>
        <w:pStyle w:val="837"/>
        <w:ind w:firstLine="480"/>
        <w:jc w:val="center"/>
        <w:spacing w:beforeAutospacing="0" w:afterAutospacing="0" w:line="500" w:lineRule="exact"/>
        <w:rPr>
          <w:rFonts w:hint="eastAsia"/>
          <w:color w:val="000000"/>
        </w:rPr>
      </w:pPr>
      <w:r>
        <w:rPr>
          <w:rFonts w:hint="eastAsia"/>
          <w:color w:val="000000"/>
        </w:rPr>
        <w:t xml:space="preserve">如果本项目申请人的特定资格要求中要求提供的，必须提供。</w:t>
      </w:r>
      <w:r/>
    </w:p>
    <w:p>
      <w:pPr>
        <w:pStyle w:val="822"/>
        <w:jc w:val="both"/>
        <w:spacing w:beforeAutospacing="0" w:afterAutospacing="0" w:line="0" w:lineRule="atLeast"/>
      </w:pPr>
      <w:r>
        <w:t xml:space="preserve"> </w:t>
      </w:r>
      <w:r/>
    </w:p>
    <w:p>
      <w:pPr>
        <w:pStyle w:val="82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2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2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2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2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2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2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2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2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2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2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22"/>
        <w:jc w:val="center"/>
        <w:spacing w:beforeAutospacing="0" w:afterAutospacing="0"/>
      </w:pPr>
      <w:r>
        <w:rPr>
          <w:rFonts w:hint="eastAsia" w:ascii="黑体" w:hAnsi="宋体" w:eastAsia="黑体" w:cs="黑体"/>
          <w:i/>
          <w:color w:val="000000"/>
          <w:sz w:val="32"/>
          <w:szCs w:val="32"/>
          <w:u w:val="single"/>
        </w:rPr>
        <w:t xml:space="preserve">八、法人授权书</w:t>
      </w:r>
      <w:r/>
    </w:p>
    <w:p>
      <w:pPr>
        <w:pStyle w:val="822"/>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（供应商名称）授权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22"/>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22"/>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22"/>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22"/>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22"/>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22"/>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00" w:name="_Hlt26955070"/>
      <w:r/>
      <w:bookmarkStart w:id="201" w:name="_格式3__银行出具的资信证明"/>
      <w:r/>
      <w:bookmarkStart w:id="202" w:name="_Hlt26671380"/>
      <w:r>
        <w:rPr>
          <w:rFonts w:ascii="Times New Roman" w:hAnsi="Times New Roman"/>
          <w:color w:val="000000"/>
          <w:u w:val="single"/>
        </w:rPr>
        <w:t xml:space="preserve">                                         </w:t>
      </w:r>
      <w:r/>
    </w:p>
    <w:p>
      <w:pPr>
        <w:pStyle w:val="822"/>
        <w:ind w:firstLine="420"/>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line="0" w:lineRule="atLeast"/>
      </w:pPr>
      <w:r>
        <w:t xml:space="preserve"> </w:t>
      </w:r>
      <w:r/>
    </w:p>
    <w:p>
      <w:pPr>
        <w:pStyle w:val="822"/>
        <w:jc w:val="both"/>
        <w:spacing w:beforeAutospacing="0" w:afterAutospacing="0" w:line="0" w:lineRule="atLeast"/>
      </w:pPr>
      <w:r>
        <w:t xml:space="preserve"> </w:t>
      </w:r>
      <w:r/>
    </w:p>
    <w:p>
      <w:pPr>
        <w:pStyle w:val="822"/>
        <w:ind w:firstLine="3390"/>
        <w:jc w:val="both"/>
        <w:keepLines/>
        <w:keepNext/>
        <w:spacing w:before="260" w:beforeAutospacing="0" w:after="260" w:afterAutospacing="0" w:line="415" w:lineRule="auto"/>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九、投标函</w:t>
      </w:r>
      <w:r/>
    </w:p>
    <w:p>
      <w:pPr>
        <w:pStyle w:val="822"/>
        <w:spacing w:beforeAutospacing="0" w:afterAutospacing="0" w:line="0" w:lineRule="atLeast"/>
      </w:pPr>
      <w:r>
        <w:rPr>
          <w:rFonts w:hint="eastAsia" w:ascii="宋体" w:hAnsi="宋体" w:eastAsia="宋体" w:cs="宋体"/>
          <w:color w:val="000000"/>
        </w:rPr>
        <w:t xml:space="preserve">致：</w:t>
      </w:r>
      <w:r/>
    </w:p>
    <w:p>
      <w:pPr>
        <w:pStyle w:val="822"/>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根据贵方的JSZC-320000-***号招标文件，正式授权下述签字人______(姓名)代表我方______________（供应商的名称），全权处理本次项目投标的有关事宜。</w:t>
      </w:r>
      <w:r/>
    </w:p>
    <w:p>
      <w:pPr>
        <w:pStyle w:val="822"/>
        <w:ind w:firstLine="480"/>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据此函，__________签字人兹宣布同意如下：</w:t>
      </w:r>
      <w:r/>
    </w:p>
    <w:p>
      <w:pPr>
        <w:ind w:firstLine="480"/>
        <w:rPr>
          <w:color w:val="000000"/>
          <w:sz w:val="24"/>
        </w:rPr>
      </w:pPr>
      <w:r>
        <w:rPr>
          <w:rFonts w:hint="eastAsia"/>
          <w:color w:val="000000"/>
          <w:sz w:val="24"/>
        </w:rPr>
        <w:t xml:space="preserve">1.</w:t>
      </w:r>
      <w:r>
        <w:rPr>
          <w:rFonts w:hint="eastAsia"/>
          <w:color w:val="000000"/>
          <w:sz w:val="24"/>
        </w:rPr>
        <w:t xml:space="preserve">我单位此次服务期限：年；服务标准：</w:t>
      </w:r>
      <w:r>
        <w:rPr>
          <w:rFonts w:hint="eastAsia"/>
          <w:color w:val="000000"/>
          <w:sz w:val="24"/>
          <w:u w:val="single"/>
        </w:rPr>
        <w:t xml:space="preserve">合格</w:t>
      </w:r>
      <w:r>
        <w:rPr>
          <w:rFonts w:hint="eastAsia"/>
          <w:color w:val="000000"/>
          <w:sz w:val="24"/>
          <w:u w:val="single"/>
        </w:rPr>
        <w:t xml:space="preserve"> </w:t>
      </w:r>
      <w:r>
        <w:rPr>
          <w:rFonts w:hint="eastAsia"/>
          <w:color w:val="000000"/>
          <w:sz w:val="24"/>
        </w:rPr>
        <w:t xml:space="preserve">。</w:t>
      </w:r>
      <w:r/>
    </w:p>
    <w:p>
      <w:pPr>
        <w:pStyle w:val="822"/>
        <w:ind w:firstLine="480"/>
        <w:spacing w:beforeAutospacing="0" w:afterAutospacing="0" w:line="0" w:lineRule="atLeast"/>
      </w:pPr>
      <w:r>
        <w:rPr>
          <w:rFonts w:hint="eastAsia" w:ascii="宋体" w:hAnsi="宋体" w:eastAsia="宋体" w:cs="宋体"/>
          <w:color w:val="000000"/>
        </w:rPr>
        <w:t xml:space="preserve">2.按招标文件规定的各项要求，向买方提供所需服务（包含与服务相关的货物）。</w:t>
      </w:r>
      <w:r/>
    </w:p>
    <w:p>
      <w:pPr>
        <w:pStyle w:val="822"/>
        <w:ind w:firstLine="480"/>
        <w:spacing w:beforeAutospacing="0" w:afterAutospacing="0" w:line="0" w:lineRule="atLeast"/>
      </w:pPr>
      <w:r>
        <w:rPr>
          <w:rFonts w:hint="eastAsia" w:ascii="宋体" w:hAnsi="宋体" w:eastAsia="宋体" w:cs="宋体"/>
          <w:color w:val="000000"/>
        </w:rPr>
        <w:t xml:space="preserve">3.我们完全理解贵方不一定将合同授予最低报价的供应商。</w:t>
      </w:r>
      <w:r/>
    </w:p>
    <w:p>
      <w:pPr>
        <w:pStyle w:val="822"/>
        <w:ind w:firstLine="480"/>
        <w:spacing w:beforeAutospacing="0" w:afterAutospacing="0" w:line="0" w:lineRule="atLeast"/>
      </w:pPr>
      <w:r>
        <w:rPr>
          <w:rFonts w:hint="eastAsia" w:ascii="宋体" w:hAnsi="宋体" w:eastAsia="宋体" w:cs="宋体"/>
          <w:color w:val="000000"/>
        </w:rPr>
        <w:t xml:space="preserve">4.我们已详细审核全部招标文件及其有效补充文件，我们知道必须放弃提出含糊不清或误解问题的权利。</w:t>
      </w:r>
      <w:r/>
    </w:p>
    <w:p>
      <w:pPr>
        <w:pStyle w:val="822"/>
        <w:ind w:firstLine="480"/>
        <w:spacing w:beforeAutospacing="0" w:afterAutospacing="0" w:line="0" w:lineRule="atLeast"/>
      </w:pPr>
      <w:r>
        <w:rPr>
          <w:rFonts w:hint="eastAsia" w:ascii="宋体" w:hAnsi="宋体" w:eastAsia="宋体" w:cs="宋体"/>
          <w:color w:val="000000"/>
        </w:rPr>
        <w:t xml:space="preserve">5.我们同意从规定的开标日期起遵循本投标文件，并在规定的投标有效期期满之前均具有约束力。</w:t>
      </w:r>
      <w:r/>
    </w:p>
    <w:p>
      <w:pPr>
        <w:pStyle w:val="822"/>
        <w:ind w:firstLine="480"/>
        <w:spacing w:beforeAutospacing="0" w:afterAutospacing="0" w:line="0" w:lineRule="atLeast"/>
      </w:pPr>
      <w:r>
        <w:rPr>
          <w:rFonts w:hint="eastAsia" w:ascii="宋体" w:hAnsi="宋体" w:eastAsia="宋体" w:cs="宋体"/>
          <w:color w:val="000000"/>
        </w:rPr>
        <w:t xml:space="preserve">6.同意向贵方提供贵方可能另外要求的与投标有关的任何证据或资料，并保证我方已提供和将要提供的文件是真实的、准确的。</w:t>
      </w:r>
      <w:r/>
    </w:p>
    <w:p>
      <w:pPr>
        <w:pStyle w:val="822"/>
        <w:ind w:firstLine="480"/>
        <w:spacing w:beforeAutospacing="0" w:afterAutospacing="0" w:line="0" w:lineRule="atLeast"/>
      </w:pPr>
      <w:r>
        <w:rPr>
          <w:rFonts w:hint="eastAsia" w:ascii="宋体" w:hAnsi="宋体" w:eastAsia="宋体" w:cs="宋体"/>
          <w:color w:val="000000"/>
        </w:rPr>
        <w:t xml:space="preserve">7.一旦我方中标,我方将根据招标文件的规定，严格履行合同的责任和义务,并保证在招标文件规定的时间完成项目，交付买方验收、使用。</w:t>
      </w:r>
      <w:r/>
    </w:p>
    <w:p>
      <w:pPr>
        <w:pStyle w:val="822"/>
        <w:ind w:firstLine="480"/>
        <w:spacing w:beforeAutospacing="0" w:afterAutospacing="0" w:line="0" w:lineRule="atLeast"/>
      </w:pPr>
      <w:r>
        <w:rPr>
          <w:rFonts w:hint="eastAsia" w:ascii="宋体" w:hAnsi="宋体" w:eastAsia="宋体" w:cs="宋体"/>
          <w:color w:val="000000"/>
        </w:rPr>
        <w:t xml:space="preserve">8.与本投标有关的正式通讯地址为：</w:t>
      </w:r>
      <w:r/>
    </w:p>
    <w:p>
      <w:pPr>
        <w:pStyle w:val="822"/>
        <w:ind w:left="210" w:firstLine="480"/>
        <w:spacing w:beforeAutospacing="0" w:afterAutospacing="0" w:line="0" w:lineRule="atLeast"/>
      </w:pPr>
      <w:r>
        <w:rPr>
          <w:rFonts w:hint="eastAsia" w:ascii="宋体" w:hAnsi="宋体" w:eastAsia="宋体" w:cs="宋体"/>
          <w:color w:val="000000"/>
        </w:rPr>
        <w:t xml:space="preserve">地          址：</w:t>
      </w:r>
      <w:r/>
    </w:p>
    <w:p>
      <w:pPr>
        <w:pStyle w:val="822"/>
        <w:ind w:left="210" w:firstLine="480"/>
        <w:spacing w:beforeAutospacing="0" w:afterAutospacing="0" w:line="0" w:lineRule="atLeast"/>
      </w:pPr>
      <w:r>
        <w:rPr>
          <w:rFonts w:hint="eastAsia" w:ascii="宋体" w:hAnsi="宋体" w:eastAsia="宋体" w:cs="宋体"/>
          <w:color w:val="000000"/>
        </w:rPr>
        <w:t xml:space="preserve">邮          编：</w:t>
      </w:r>
      <w:r/>
    </w:p>
    <w:p>
      <w:pPr>
        <w:pStyle w:val="822"/>
        <w:ind w:left="210" w:firstLine="480"/>
        <w:spacing w:beforeAutospacing="0" w:afterAutospacing="0" w:line="0" w:lineRule="atLeast"/>
      </w:pPr>
      <w:r>
        <w:rPr>
          <w:rFonts w:hint="eastAsia" w:ascii="宋体" w:hAnsi="宋体" w:eastAsia="宋体" w:cs="宋体"/>
          <w:color w:val="000000"/>
        </w:rPr>
        <w:t xml:space="preserve">电          话：</w:t>
      </w:r>
      <w:r/>
    </w:p>
    <w:p>
      <w:pPr>
        <w:pStyle w:val="822"/>
        <w:ind w:left="210" w:firstLine="480"/>
        <w:spacing w:beforeAutospacing="0" w:afterAutospacing="0" w:line="0" w:lineRule="atLeast"/>
      </w:pPr>
      <w:r>
        <w:rPr>
          <w:rFonts w:hint="eastAsia" w:ascii="宋体" w:hAnsi="宋体" w:eastAsia="宋体" w:cs="宋体"/>
          <w:color w:val="000000"/>
        </w:rPr>
        <w:t xml:space="preserve">传          真：</w:t>
      </w:r>
      <w:r/>
    </w:p>
    <w:p>
      <w:pPr>
        <w:pStyle w:val="822"/>
        <w:ind w:left="210" w:firstLine="480"/>
        <w:spacing w:beforeAutospacing="0" w:afterAutospacing="0" w:line="0" w:lineRule="atLeast"/>
      </w:pPr>
      <w:r>
        <w:rPr>
          <w:rFonts w:hint="eastAsia" w:ascii="宋体" w:hAnsi="宋体" w:eastAsia="宋体" w:cs="宋体"/>
          <w:color w:val="000000"/>
        </w:rPr>
        <w:t xml:space="preserve">供应商开户行：</w:t>
      </w:r>
      <w:r/>
    </w:p>
    <w:p>
      <w:pPr>
        <w:pStyle w:val="822"/>
        <w:ind w:left="210" w:firstLine="480"/>
        <w:spacing w:beforeAutospacing="0" w:afterAutospacing="0" w:line="0" w:lineRule="atLeast"/>
      </w:pPr>
      <w:r>
        <w:rPr>
          <w:rFonts w:hint="eastAsia" w:ascii="宋体" w:hAnsi="宋体" w:eastAsia="宋体" w:cs="宋体"/>
          <w:color w:val="000000"/>
        </w:rPr>
        <w:t xml:space="preserve">账          号： </w:t>
      </w:r>
      <w:r/>
    </w:p>
    <w:p>
      <w:pPr>
        <w:pStyle w:val="822"/>
        <w:ind w:left="21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22"/>
        <w:ind w:firstLine="240"/>
        <w:jc w:val="center"/>
        <w:spacing w:beforeAutospacing="0" w:afterAutospacing="0" w:line="0" w:lineRule="atLeast"/>
      </w:pPr>
      <w:r>
        <w:t xml:space="preserve"> </w:t>
      </w:r>
      <w:r/>
    </w:p>
    <w:p>
      <w:pPr>
        <w:pStyle w:val="822"/>
        <w:ind w:firstLine="240"/>
        <w:jc w:val="center"/>
        <w:spacing w:beforeAutospacing="0" w:afterAutospacing="0" w:line="0" w:lineRule="atLeast"/>
      </w:pPr>
      <w:r>
        <w:t xml:space="preserve"> </w:t>
      </w:r>
      <w:r/>
    </w:p>
    <w:p>
      <w:pPr>
        <w:pStyle w:val="822"/>
        <w:ind w:firstLine="240"/>
        <w:jc w:val="center"/>
        <w:spacing w:beforeAutospacing="0" w:afterAutospacing="0" w:line="0" w:lineRule="atLeast"/>
      </w:pPr>
      <w:r>
        <w:t xml:space="preserve"> </w:t>
      </w:r>
      <w:r/>
    </w:p>
    <w:p>
      <w:pPr>
        <w:pStyle w:val="822"/>
        <w:ind w:firstLine="240"/>
        <w:jc w:val="center"/>
        <w:spacing w:beforeAutospacing="0" w:afterAutospacing="0" w:line="0" w:lineRule="atLeast"/>
      </w:pPr>
      <w:r>
        <w:t xml:space="preserve"> </w:t>
      </w:r>
      <w:r/>
    </w:p>
    <w:p>
      <w:pPr>
        <w:pStyle w:val="822"/>
        <w:ind w:firstLine="240"/>
        <w:jc w:val="center"/>
        <w:spacing w:beforeAutospacing="0" w:afterAutospacing="0" w:line="0" w:lineRule="atLeast"/>
      </w:pPr>
      <w:r>
        <w:t xml:space="preserve"> </w:t>
      </w:r>
      <w:r/>
    </w:p>
    <w:p>
      <w:pPr>
        <w:pStyle w:val="822"/>
        <w:ind w:firstLine="240"/>
        <w:jc w:val="center"/>
        <w:spacing w:beforeAutospacing="0" w:afterAutospacing="0" w:line="0" w:lineRule="atLeast"/>
      </w:pPr>
      <w:r/>
      <w:r/>
    </w:p>
    <w:p>
      <w:pPr>
        <w:pStyle w:val="822"/>
        <w:ind w:firstLine="240"/>
        <w:jc w:val="center"/>
        <w:spacing w:beforeAutospacing="0" w:afterAutospacing="0" w:line="0" w:lineRule="atLeast"/>
      </w:pPr>
      <w:r/>
      <w:r/>
    </w:p>
    <w:p>
      <w:pPr>
        <w:pStyle w:val="822"/>
        <w:ind w:firstLine="240"/>
        <w:jc w:val="center"/>
        <w:spacing w:beforeAutospacing="0" w:afterAutospacing="0" w:line="0" w:lineRule="atLeast"/>
      </w:pPr>
      <w:r/>
      <w:r/>
    </w:p>
    <w:p>
      <w:pPr>
        <w:pStyle w:val="822"/>
        <w:ind w:firstLine="240"/>
        <w:jc w:val="center"/>
        <w:spacing w:beforeAutospacing="0" w:afterAutospacing="0" w:line="0" w:lineRule="atLeast"/>
      </w:pPr>
      <w:r/>
      <w:r/>
    </w:p>
    <w:p>
      <w:pPr>
        <w:pStyle w:val="822"/>
        <w:ind w:firstLine="240"/>
        <w:jc w:val="center"/>
        <w:spacing w:beforeAutospacing="0" w:afterAutospacing="0" w:line="0" w:lineRule="atLeast"/>
      </w:pPr>
      <w:r/>
      <w:r/>
    </w:p>
    <w:p>
      <w:pPr>
        <w:pStyle w:val="822"/>
        <w:ind w:firstLine="240"/>
        <w:jc w:val="center"/>
        <w:spacing w:beforeAutospacing="0" w:afterAutospacing="0" w:line="0" w:lineRule="atLeast"/>
      </w:pPr>
      <w:r/>
      <w:r/>
    </w:p>
    <w:p>
      <w:pPr>
        <w:pStyle w:val="822"/>
        <w:ind w:firstLine="240"/>
        <w:jc w:val="center"/>
        <w:spacing w:beforeAutospacing="0" w:afterAutospacing="0" w:line="0" w:lineRule="atLeast"/>
      </w:pPr>
      <w:r/>
      <w:r/>
    </w:p>
    <w:p>
      <w:pPr>
        <w:pStyle w:val="822"/>
        <w:ind w:firstLine="240"/>
        <w:jc w:val="center"/>
        <w:spacing w:beforeAutospacing="0" w:afterAutospacing="0" w:line="0" w:lineRule="atLeast"/>
      </w:pPr>
      <w:r/>
      <w:r/>
    </w:p>
    <w:p>
      <w:pPr>
        <w:pStyle w:val="822"/>
        <w:ind w:firstLine="240"/>
        <w:jc w:val="center"/>
        <w:spacing w:beforeAutospacing="0" w:afterAutospacing="0" w:line="0" w:lineRule="atLeast"/>
      </w:pPr>
      <w:r/>
      <w:r/>
    </w:p>
    <w:p>
      <w:pPr>
        <w:pStyle w:val="822"/>
        <w:ind w:firstLine="240"/>
        <w:jc w:val="center"/>
        <w:spacing w:beforeAutospacing="0" w:afterAutospacing="0" w:line="0" w:lineRule="atLeast"/>
      </w:pPr>
      <w:r/>
      <w:r/>
    </w:p>
    <w:p>
      <w:pPr>
        <w:pStyle w:val="822"/>
        <w:ind w:firstLine="240"/>
        <w:jc w:val="center"/>
        <w:spacing w:beforeAutospacing="0" w:afterAutospacing="0" w:line="0" w:lineRule="atLeast"/>
      </w:pPr>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rPr>
          <w:rFonts w:hint="eastAsia" w:ascii="黑体" w:hAnsi="宋体" w:eastAsia="黑体" w:cs="黑体"/>
          <w:b/>
          <w:color w:val="000000"/>
          <w:sz w:val="32"/>
          <w:szCs w:val="32"/>
        </w:rPr>
        <w:t xml:space="preserve">十、中小微企业声明函（服务）</w:t>
      </w:r>
      <w:r/>
    </w:p>
    <w:p>
      <w:pPr>
        <w:pStyle w:val="822"/>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本公司（联合体）郑重声明，根据《政府采购促进中小企业发展管理办法》(财库[2020]46号)的规定，本公司（联合体）参加盐城市政府采购代理机构组织的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22"/>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highlight w:val="green"/>
          <w:u w:val="single"/>
        </w:rPr>
        <w:t xml:space="preserve">中型企业</w:t>
      </w:r>
      <w:r>
        <w:rPr>
          <w:rFonts w:hint="eastAsia" w:ascii="宋体" w:hAnsi="宋体" w:eastAsia="宋体" w:cs="宋体"/>
          <w:color w:val="000000"/>
          <w:u w:val="single"/>
        </w:rPr>
        <w:t xml:space="preserve">小型企业、微型企业）；</w:t>
      </w:r>
      <w:r/>
    </w:p>
    <w:p>
      <w:pPr>
        <w:pStyle w:val="822"/>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highlight w:val="green"/>
          <w:u w:val="single"/>
        </w:rPr>
        <w:t xml:space="preserve">中型企业</w:t>
      </w:r>
      <w:r>
        <w:rPr>
          <w:rFonts w:hint="eastAsia" w:ascii="宋体" w:hAnsi="宋体" w:eastAsia="宋体" w:cs="宋体"/>
          <w:color w:val="000000"/>
          <w:u w:val="single"/>
        </w:rPr>
        <w:t xml:space="preserve">小型企业、微型企业）；</w:t>
      </w:r>
      <w:r/>
    </w:p>
    <w:p>
      <w:pPr>
        <w:pStyle w:val="822"/>
        <w:ind w:firstLine="360"/>
        <w:jc w:val="both"/>
        <w:spacing w:beforeAutospacing="0" w:afterAutospacing="0" w:line="0" w:lineRule="atLeast"/>
      </w:pPr>
      <w:r>
        <w:rPr>
          <w:rFonts w:hint="eastAsia" w:ascii="宋体" w:hAnsi="宋体" w:eastAsia="宋体" w:cs="宋体"/>
          <w:color w:val="000000"/>
        </w:rPr>
        <w:t xml:space="preserve">……</w:t>
      </w:r>
      <w:r/>
    </w:p>
    <w:p>
      <w:pPr>
        <w:pStyle w:val="822"/>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22"/>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22"/>
        <w:ind w:right="720"/>
        <w:jc w:val="both"/>
        <w:spacing w:beforeAutospacing="0" w:afterAutospacing="0" w:line="0" w:lineRule="atLeast"/>
      </w:pPr>
      <w:r>
        <w:t xml:space="preserve"> </w:t>
      </w:r>
      <w:r/>
    </w:p>
    <w:p>
      <w:pPr>
        <w:pStyle w:val="822"/>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22"/>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22"/>
        <w:ind w:firstLine="240"/>
        <w:jc w:val="both"/>
        <w:spacing w:beforeAutospacing="0" w:afterAutospacing="0" w:line="0" w:lineRule="atLeast"/>
      </w:pPr>
      <w:r>
        <w:t xml:space="preserve"> </w:t>
      </w:r>
      <w:r/>
    </w:p>
    <w:p>
      <w:pPr>
        <w:pStyle w:val="822"/>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22"/>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822"/>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十一、残疾人福利性单位声明函</w:t>
      </w:r>
      <w:r/>
    </w:p>
    <w:p>
      <w:pPr>
        <w:pStyle w:val="822"/>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22"/>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22"/>
        <w:ind w:firstLine="480"/>
        <w:jc w:val="both"/>
        <w:spacing w:beforeAutospacing="0" w:afterAutospacing="0" w:line="0" w:lineRule="atLeast"/>
      </w:pPr>
      <w:r>
        <w:t xml:space="preserve"> </w:t>
      </w:r>
      <w:r/>
    </w:p>
    <w:p>
      <w:pPr>
        <w:pStyle w:val="822"/>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22"/>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822"/>
        <w:ind w:firstLine="624"/>
        <w:jc w:val="both"/>
        <w:spacing w:beforeAutospacing="0" w:afterAutospacing="0" w:line="0" w:lineRule="atLeast"/>
      </w:pPr>
      <w:r>
        <w:t xml:space="preserve"> </w:t>
      </w:r>
      <w:r/>
    </w:p>
    <w:p>
      <w:pPr>
        <w:pStyle w:val="822"/>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22"/>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t xml:space="preserve"> </w:t>
      </w:r>
      <w:r/>
    </w:p>
    <w:p>
      <w:pPr>
        <w:pStyle w:val="822"/>
        <w:jc w:val="center"/>
        <w:spacing w:beforeAutospacing="0" w:afterAutospacing="0" w:line="0" w:lineRule="atLeast"/>
      </w:pPr>
      <w:r>
        <w:t xml:space="preserve"> </w:t>
      </w:r>
      <w:r/>
    </w:p>
    <w:p>
      <w:pPr>
        <w:pStyle w:val="822"/>
        <w:jc w:val="center"/>
        <w:spacing w:beforeAutospacing="0" w:afterAutospacing="0"/>
      </w:pPr>
      <w:r>
        <w:t xml:space="preserve"> </w:t>
      </w:r>
      <w:r/>
    </w:p>
    <w:p>
      <w:pPr>
        <w:jc w:val="center"/>
        <w:spacing w:before="50" w:after="50"/>
        <w:rPr>
          <w:rFonts w:ascii="黑体" w:eastAsia="黑体"/>
          <w:strike/>
          <w:sz w:val="32"/>
          <w:szCs w:val="32"/>
        </w:rPr>
      </w:pPr>
      <w:r>
        <w:rPr>
          <w:rFonts w:hint="eastAsia" w:ascii="黑体" w:eastAsia="黑体"/>
          <w:sz w:val="32"/>
          <w:szCs w:val="32"/>
        </w:rPr>
        <w:t xml:space="preserve">十二、投标分项报价表</w:t>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sz w:val="24"/>
          <w:u w:val="single"/>
        </w:rPr>
      </w:pPr>
      <w:r>
        <w:rPr>
          <w:rFonts w:hint="eastAsia" w:ascii="宋体" w:hAnsi="宋体"/>
          <w:b/>
          <w:bCs/>
          <w:sz w:val="24"/>
        </w:rPr>
        <w:t xml:space="preserve">包件一</w:t>
      </w:r>
      <w:r>
        <w:rPr>
          <w:rFonts w:hint="eastAsia" w:ascii="宋体" w:hAnsi="宋体"/>
          <w:sz w:val="24"/>
          <w:u w:val="single"/>
        </w:rPr>
        <w:t xml:space="preserve">：</w:t>
      </w:r>
      <w:r>
        <w:rPr>
          <w:rFonts w:hint="eastAsia" w:ascii="宋体" w:hAnsi="宋体"/>
          <w:b/>
          <w:bCs/>
          <w:sz w:val="24"/>
          <w:u w:val="single"/>
        </w:rPr>
        <w:t xml:space="preserve">颐高唐柠府居家养老服务站</w:t>
      </w:r>
      <w:r/>
    </w:p>
    <w:p>
      <w:pPr>
        <w:ind w:firstLine="480"/>
        <w:rPr>
          <w:rFonts w:hint="eastAsia" w:ascii="宋体" w:hAnsi="宋体"/>
          <w:sz w:val="24"/>
        </w:rPr>
      </w:pPr>
      <w:r>
        <w:rPr>
          <w:rFonts w:hint="eastAsia" w:ascii="宋体" w:hAnsi="宋体"/>
          <w:sz w:val="24"/>
        </w:rPr>
        <w:t xml:space="preserve">项目名称：滨海县民政局采购居家社区养老服务机构运营运营方项目</w:t>
      </w:r>
      <w:r/>
    </w:p>
    <w:tbl>
      <w:tblPr>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8"/>
        <w:gridCol w:w="166"/>
        <w:gridCol w:w="2811"/>
        <w:gridCol w:w="1134"/>
        <w:gridCol w:w="1134"/>
        <w:gridCol w:w="1843"/>
        <w:gridCol w:w="1414"/>
      </w:tblGrid>
      <w:tr>
        <w:trPr>
          <w:cantSplit/>
          <w:jc w:val="center"/>
          <w:trHeight w:val="720"/>
        </w:trPr>
        <w:tc>
          <w:tcPr>
            <w:tcW w:w="968"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gridSpan w:val="2"/>
            <w:tcW w:w="2977" w:type="dxa"/>
            <w:vAlign w:val="center"/>
            <w:textDirection w:val="lrTb"/>
            <w:noWrap w:val="false"/>
          </w:tcPr>
          <w:p>
            <w:pPr>
              <w:jc w:val="center"/>
              <w:rPr>
                <w:rFonts w:hint="eastAsia" w:ascii="宋体" w:hAnsi="宋体"/>
                <w:sz w:val="24"/>
              </w:rPr>
            </w:pPr>
            <w:r>
              <w:rPr>
                <w:rFonts w:hint="eastAsia" w:ascii="宋体" w:hAnsi="宋体"/>
                <w:sz w:val="24"/>
              </w:rPr>
              <w:t xml:space="preserve">服务站点</w:t>
            </w:r>
            <w:r/>
          </w:p>
        </w:tc>
        <w:tc>
          <w:tcPr>
            <w:tcW w:w="1134" w:type="dxa"/>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单价/万元</w:t>
            </w:r>
            <w:r/>
          </w:p>
        </w:tc>
        <w:tc>
          <w:tcPr>
            <w:tcW w:w="1843" w:type="dxa"/>
            <w:vAlign w:val="center"/>
            <w:textDirection w:val="lrTb"/>
            <w:noWrap w:val="false"/>
          </w:tcPr>
          <w:p>
            <w:pPr>
              <w:jc w:val="center"/>
              <w:rPr>
                <w:rFonts w:hint="eastAsia" w:ascii="宋体" w:hAnsi="宋体"/>
                <w:sz w:val="24"/>
              </w:rPr>
            </w:pPr>
            <w:r>
              <w:rPr>
                <w:rFonts w:hint="eastAsia" w:ascii="宋体" w:hAnsi="宋体"/>
                <w:sz w:val="24"/>
              </w:rPr>
              <w:t xml:space="preserve">合价/万元</w:t>
            </w:r>
            <w:r/>
          </w:p>
        </w:tc>
        <w:tc>
          <w:tcPr>
            <w:tcW w:w="1414" w:type="dxa"/>
            <w:vAlign w:val="center"/>
            <w:textDirection w:val="lrTb"/>
            <w:noWrap w:val="false"/>
          </w:tcPr>
          <w:p>
            <w:pPr>
              <w:jc w:val="center"/>
              <w:rPr>
                <w:rFonts w:hint="eastAsia" w:ascii="宋体" w:hAnsi="宋体"/>
                <w:sz w:val="24"/>
              </w:rPr>
            </w:pPr>
            <w:r>
              <w:rPr>
                <w:rFonts w:hint="eastAsia" w:ascii="宋体" w:hAnsi="宋体"/>
                <w:sz w:val="24"/>
              </w:rPr>
              <w:t xml:space="preserve">备注</w:t>
            </w:r>
            <w:r/>
          </w:p>
        </w:tc>
      </w:tr>
      <w:tr>
        <w:trPr>
          <w:cantSplit/>
          <w:jc w:val="center"/>
          <w:trHeight w:val="419"/>
        </w:trPr>
        <w:tc>
          <w:tcPr>
            <w:tcW w:w="968" w:type="dxa"/>
            <w:vAlign w:val="center"/>
            <w:textDirection w:val="lrTb"/>
            <w:noWrap w:val="false"/>
          </w:tcPr>
          <w:p>
            <w:pPr>
              <w:rPr>
                <w:rFonts w:hint="eastAsia" w:ascii="宋体" w:hAnsi="宋体"/>
                <w:sz w:val="24"/>
              </w:rPr>
            </w:pPr>
            <w:r>
              <w:rPr>
                <w:rFonts w:hint="eastAsia" w:ascii="宋体" w:hAnsi="宋体"/>
                <w:sz w:val="24"/>
              </w:rPr>
              <w:t xml:space="preserve">包件一</w:t>
            </w:r>
            <w:r/>
          </w:p>
        </w:tc>
        <w:tc>
          <w:tcPr>
            <w:gridSpan w:val="2"/>
            <w:tcW w:w="2977" w:type="dxa"/>
            <w:vAlign w:val="center"/>
            <w:textDirection w:val="lrTb"/>
            <w:noWrap w:val="false"/>
          </w:tcPr>
          <w:p>
            <w:pPr>
              <w:rPr>
                <w:rFonts w:hint="eastAsia" w:ascii="宋体" w:hAnsi="宋体"/>
                <w:sz w:val="24"/>
              </w:rPr>
            </w:pPr>
            <w:r>
              <w:rPr>
                <w:rFonts w:hint="eastAsia" w:ascii="宋体" w:hAnsi="宋体"/>
                <w:sz w:val="24"/>
              </w:rPr>
              <w:t xml:space="preserve">颐高唐柠府居家养老服务站</w:t>
            </w:r>
            <w:r/>
          </w:p>
        </w:tc>
        <w:tc>
          <w:tcPr>
            <w:tcW w:w="1134" w:type="dxa"/>
            <w:textDirection w:val="lrTb"/>
            <w:noWrap w:val="false"/>
          </w:tcPr>
          <w:p>
            <w:pPr>
              <w:rPr>
                <w:rFonts w:hint="eastAsia" w:ascii="宋体" w:hAnsi="宋体"/>
                <w:sz w:val="24"/>
              </w:rPr>
            </w:pPr>
            <w:r>
              <w:rPr>
                <w:rFonts w:hint="eastAsia" w:ascii="宋体" w:hAnsi="宋体"/>
                <w:sz w:val="24"/>
              </w:rPr>
            </w:r>
            <w:r/>
          </w:p>
        </w:tc>
        <w:tc>
          <w:tcPr>
            <w:tcW w:w="1134" w:type="dxa"/>
            <w:vAlign w:val="center"/>
            <w:textDirection w:val="lrTb"/>
            <w:noWrap w:val="false"/>
          </w:tcPr>
          <w:p>
            <w:pPr>
              <w:rPr>
                <w:rFonts w:hint="eastAsia" w:ascii="宋体" w:hAnsi="宋体"/>
                <w:sz w:val="24"/>
              </w:rPr>
            </w:pPr>
            <w:r>
              <w:rPr>
                <w:rFonts w:hint="eastAsia" w:ascii="宋体" w:hAnsi="宋体"/>
                <w:sz w:val="24"/>
              </w:rPr>
              <w:t xml:space="preserve">4</w:t>
            </w:r>
            <w:r>
              <w:rPr>
                <w:rFonts w:ascii="宋体" w:hAnsi="宋体"/>
                <w:sz w:val="24"/>
              </w:rPr>
              <w:t xml:space="preserve">0</w:t>
            </w:r>
            <w:r/>
          </w:p>
        </w:tc>
        <w:tc>
          <w:tcPr>
            <w:tcW w:w="1843" w:type="dxa"/>
            <w:vAlign w:val="center"/>
            <w:textDirection w:val="lrTb"/>
            <w:noWrap w:val="false"/>
          </w:tcPr>
          <w:p>
            <w:pPr>
              <w:ind w:firstLine="480"/>
              <w:rPr>
                <w:rFonts w:hint="eastAsia" w:ascii="宋体" w:hAnsi="宋体" w:eastAsia="宋体"/>
                <w:sz w:val="24"/>
              </w:rPr>
            </w:pPr>
            <w:r>
              <w:rPr>
                <w:rFonts w:hint="eastAsia" w:ascii="宋体" w:hAnsi="宋体"/>
                <w:sz w:val="24"/>
              </w:rPr>
              <w:t xml:space="preserve">40</w:t>
            </w:r>
            <w:r/>
          </w:p>
        </w:tc>
        <w:tc>
          <w:tcPr>
            <w:tcW w:w="1414"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615"/>
        </w:trPr>
        <w:tc>
          <w:tcPr>
            <w:gridSpan w:val="2"/>
            <w:tcW w:w="1134" w:type="dxa"/>
            <w:textDirection w:val="lrTb"/>
            <w:noWrap w:val="false"/>
          </w:tcPr>
          <w:p>
            <w:pPr>
              <w:jc w:val="left"/>
              <w:rPr>
                <w:rFonts w:hint="eastAsia" w:ascii="宋体" w:hAnsi="宋体"/>
                <w:sz w:val="24"/>
              </w:rPr>
            </w:pPr>
            <w:r>
              <w:rPr>
                <w:rFonts w:hint="eastAsia" w:ascii="宋体" w:hAnsi="宋体"/>
                <w:sz w:val="24"/>
              </w:rPr>
            </w:r>
            <w:r/>
          </w:p>
        </w:tc>
        <w:tc>
          <w:tcPr>
            <w:gridSpan w:val="5"/>
            <w:tcW w:w="8336" w:type="dxa"/>
            <w:vAlign w:val="center"/>
            <w:textDirection w:val="lrTb"/>
            <w:noWrap w:val="false"/>
          </w:tcPr>
          <w:p>
            <w:pPr>
              <w:jc w:val="left"/>
              <w:rPr>
                <w:rFonts w:hint="eastAsia" w:ascii="宋体" w:hAnsi="宋体"/>
                <w:sz w:val="24"/>
              </w:rPr>
            </w:pPr>
            <w:r>
              <w:rPr>
                <w:rFonts w:hint="eastAsia" w:ascii="宋体" w:hAnsi="宋体"/>
                <w:sz w:val="24"/>
              </w:rPr>
              <w:t xml:space="preserve">总价：肆拾万元</w:t>
            </w:r>
            <w:r/>
          </w:p>
        </w:tc>
      </w:tr>
    </w:tbl>
    <w:p>
      <w:pPr>
        <w:pStyle w:val="823"/>
        <w:ind w:left="210" w:right="1470" w:firstLine="158"/>
        <w:rPr>
          <w:sz w:val="24"/>
        </w:rPr>
      </w:pPr>
      <w:r>
        <w:rPr>
          <w:sz w:val="24"/>
        </w:rPr>
      </w:r>
      <w:r/>
    </w:p>
    <w:p>
      <w:pPr>
        <w:jc w:val="center"/>
        <w:rPr>
          <w:rFonts w:hint="eastAsia" w:ascii="宋体" w:hAnsi="宋体"/>
          <w:sz w:val="24"/>
        </w:rPr>
      </w:pPr>
      <w:r>
        <w:rPr>
          <w:rFonts w:hint="eastAsia" w:ascii="宋体" w:hAnsi="宋体"/>
          <w:sz w:val="24"/>
        </w:rPr>
        <w:t xml:space="preserve">投标人全称（加盖公章）：</w:t>
      </w:r>
      <w:r/>
    </w:p>
    <w:p>
      <w:pPr>
        <w:jc w:val="center"/>
        <w:rPr>
          <w:rFonts w:hint="eastAsia" w:ascii="宋体" w:hAnsi="宋体"/>
          <w:sz w:val="24"/>
        </w:rPr>
      </w:pPr>
      <w:r>
        <w:rPr>
          <w:rFonts w:hint="eastAsia" w:ascii="宋体" w:hAnsi="宋体"/>
          <w:sz w:val="24"/>
        </w:rPr>
        <w:t xml:space="preserve">法定代表人或授权代表签字：</w:t>
      </w:r>
      <w:r/>
    </w:p>
    <w:p>
      <w:pPr>
        <w:pStyle w:val="823"/>
        <w:ind w:left="210" w:right="1470" w:firstLine="158"/>
        <w:jc w:val="center"/>
        <w:rPr>
          <w:sz w:val="24"/>
        </w:rPr>
      </w:pPr>
      <w:r>
        <w:rPr>
          <w:rFonts w:hint="eastAsia"/>
          <w:sz w:val="24"/>
        </w:rPr>
        <w:t xml:space="preserve">日期：</w:t>
      </w:r>
      <w:r/>
    </w:p>
    <w:p>
      <w:pPr>
        <w:pStyle w:val="823"/>
        <w:ind w:left="210" w:right="1470" w:firstLine="158"/>
        <w:rPr>
          <w:sz w:val="24"/>
        </w:rPr>
      </w:pPr>
      <w:r>
        <w:rPr>
          <w:sz w:val="24"/>
        </w:rPr>
      </w:r>
      <w:r/>
    </w:p>
    <w:p>
      <w:pPr>
        <w:pStyle w:val="823"/>
        <w:ind w:left="210" w:right="1470" w:firstLine="139"/>
        <w:rPr>
          <w:rFonts w:hint="eastAsia" w:ascii="宋体" w:hAnsi="宋体" w:eastAsia="宋体"/>
          <w:b/>
          <w:bCs/>
        </w:rPr>
      </w:pPr>
      <w:r>
        <w:rPr>
          <w:rFonts w:hint="eastAsia" w:ascii="宋体" w:hAnsi="宋体" w:eastAsia="宋体"/>
          <w:b/>
          <w:bCs/>
        </w:rPr>
      </w:r>
      <w:r/>
    </w:p>
    <w:p>
      <w:pPr>
        <w:pStyle w:val="823"/>
        <w:ind w:left="210" w:right="1470" w:firstLine="139"/>
        <w:rPr>
          <w:rFonts w:hint="eastAsia" w:ascii="宋体" w:hAnsi="宋体" w:eastAsia="宋体"/>
          <w:b/>
          <w:bCs/>
        </w:rPr>
      </w:pPr>
      <w:r>
        <w:rPr>
          <w:rFonts w:hint="eastAsia" w:ascii="宋体" w:hAnsi="宋体" w:eastAsia="宋体"/>
          <w:b/>
          <w:bCs/>
        </w:rPr>
      </w:r>
      <w:r/>
    </w:p>
    <w:p>
      <w:pPr>
        <w:pStyle w:val="823"/>
        <w:ind w:left="210" w:right="1470" w:firstLine="139"/>
        <w:rPr>
          <w:rFonts w:hint="eastAsia" w:ascii="宋体" w:hAnsi="宋体" w:eastAsia="宋体"/>
          <w:b/>
          <w:bCs/>
        </w:rPr>
      </w:pPr>
      <w:r>
        <w:rPr>
          <w:rFonts w:hint="eastAsia" w:ascii="宋体" w:hAnsi="宋体" w:eastAsia="宋体"/>
          <w:b/>
          <w:bCs/>
        </w:rPr>
      </w:r>
      <w:r/>
    </w:p>
    <w:p>
      <w:pPr>
        <w:pStyle w:val="823"/>
        <w:ind w:left="210" w:right="1470" w:firstLine="139"/>
        <w:rPr>
          <w:rFonts w:hint="eastAsia" w:ascii="宋体" w:hAnsi="宋体" w:eastAsia="宋体"/>
          <w:b/>
          <w:bCs/>
        </w:rPr>
      </w:pPr>
      <w:r>
        <w:rPr>
          <w:rFonts w:hint="eastAsia" w:ascii="宋体" w:hAnsi="宋体" w:eastAsia="宋体"/>
          <w:b/>
          <w:bCs/>
        </w:rPr>
      </w:r>
      <w:r/>
    </w:p>
    <w:p>
      <w:pPr>
        <w:pStyle w:val="823"/>
        <w:ind w:left="210" w:right="1470" w:firstLine="139"/>
        <w:rPr>
          <w:rFonts w:hint="eastAsia" w:ascii="宋体" w:hAnsi="宋体" w:eastAsia="宋体"/>
          <w:b/>
          <w:bCs/>
        </w:rPr>
      </w:pPr>
      <w:r>
        <w:rPr>
          <w:rFonts w:hint="eastAsia" w:ascii="宋体" w:hAnsi="宋体" w:eastAsia="宋体"/>
          <w:b/>
          <w:bCs/>
        </w:rPr>
      </w:r>
      <w:r/>
    </w:p>
    <w:p>
      <w:pPr>
        <w:pStyle w:val="823"/>
        <w:ind w:left="210" w:right="1470" w:firstLine="139"/>
        <w:rPr>
          <w:rFonts w:hint="eastAsia" w:ascii="宋体" w:hAnsi="宋体" w:eastAsia="宋体"/>
          <w:b/>
          <w:bCs/>
        </w:rPr>
      </w:pPr>
      <w:r>
        <w:rPr>
          <w:rFonts w:hint="eastAsia" w:ascii="宋体" w:hAnsi="宋体" w:eastAsia="宋体"/>
          <w:b/>
          <w:bCs/>
        </w:rPr>
      </w:r>
      <w:r/>
    </w:p>
    <w:p>
      <w:pPr>
        <w:pStyle w:val="823"/>
        <w:ind w:left="210" w:right="1470" w:firstLine="139"/>
        <w:rPr>
          <w:rFonts w:hint="eastAsia" w:ascii="宋体" w:hAnsi="宋体" w:eastAsia="宋体"/>
          <w:b/>
          <w:bCs/>
        </w:rPr>
      </w:pPr>
      <w:r>
        <w:rPr>
          <w:rFonts w:hint="eastAsia" w:ascii="宋体" w:hAnsi="宋体" w:eastAsia="宋体"/>
          <w:b/>
          <w:bCs/>
        </w:rPr>
      </w:r>
      <w:r/>
    </w:p>
    <w:p>
      <w:pPr>
        <w:pStyle w:val="823"/>
        <w:ind w:left="210" w:right="1470" w:firstLine="139"/>
        <w:rPr>
          <w:rFonts w:hint="eastAsia" w:ascii="宋体" w:hAnsi="宋体" w:eastAsia="宋体"/>
          <w:b/>
          <w:bCs/>
        </w:rPr>
      </w:pPr>
      <w:r>
        <w:rPr>
          <w:rFonts w:ascii="宋体" w:hAnsi="宋体" w:eastAsia="宋体"/>
          <w:b/>
          <w:bCs/>
        </w:rPr>
        <w:br w:type="page" w:clear="all"/>
      </w:r>
      <w:r/>
    </w:p>
    <w:p>
      <w:pPr>
        <w:pStyle w:val="823"/>
        <w:ind w:left="210" w:right="1470" w:firstLine="139"/>
        <w:rPr>
          <w:rFonts w:hint="eastAsia" w:ascii="宋体" w:hAnsi="宋体" w:eastAsia="宋体"/>
          <w:b/>
          <w:bCs/>
        </w:rPr>
      </w:pPr>
      <w:r>
        <w:rPr>
          <w:rFonts w:hint="eastAsia" w:ascii="宋体" w:hAnsi="宋体" w:eastAsia="宋体"/>
          <w:b/>
          <w:bCs/>
        </w:rPr>
      </w:r>
      <w:r/>
    </w:p>
    <w:p>
      <w:pPr>
        <w:pStyle w:val="823"/>
        <w:ind w:right="1470"/>
        <w:rPr>
          <w:rFonts w:hint="eastAsia" w:ascii="宋体" w:hAnsi="宋体" w:eastAsia="宋体"/>
          <w:b/>
          <w:bCs/>
          <w:sz w:val="32"/>
          <w:szCs w:val="32"/>
          <w:u w:val="single"/>
        </w:rPr>
      </w:pPr>
      <w:r>
        <w:rPr>
          <w:rFonts w:hint="eastAsia" w:ascii="宋体" w:hAnsi="宋体" w:eastAsia="宋体"/>
          <w:b/>
          <w:bCs/>
          <w:sz w:val="32"/>
          <w:szCs w:val="32"/>
        </w:rPr>
        <w:t xml:space="preserve">包件二：</w:t>
      </w:r>
      <w:r>
        <w:rPr>
          <w:rFonts w:hint="eastAsia" w:ascii="宋体" w:hAnsi="宋体" w:eastAsia="宋体"/>
          <w:b/>
          <w:bCs/>
          <w:sz w:val="32"/>
          <w:szCs w:val="32"/>
          <w:u w:val="single"/>
        </w:rPr>
        <w:t xml:space="preserve">华芳颐景花园居家养老服务站</w:t>
      </w:r>
      <w:r/>
    </w:p>
    <w:p>
      <w:pPr>
        <w:ind w:firstLine="240"/>
        <w:rPr>
          <w:rFonts w:hint="eastAsia" w:ascii="宋体" w:hAnsi="宋体"/>
          <w:sz w:val="24"/>
        </w:rPr>
      </w:pPr>
      <w:r>
        <w:rPr>
          <w:rFonts w:hint="eastAsia" w:ascii="宋体" w:hAnsi="宋体"/>
          <w:sz w:val="24"/>
        </w:rPr>
        <w:t xml:space="preserve">项目名称：滨海县民政局采购居家社区养老服务机构运营运营方项目</w:t>
      </w:r>
      <w:r/>
    </w:p>
    <w:tbl>
      <w:tblPr>
        <w:tblW w:w="8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8"/>
        <w:gridCol w:w="2977"/>
        <w:gridCol w:w="1134"/>
        <w:gridCol w:w="1843"/>
        <w:gridCol w:w="1414"/>
      </w:tblGrid>
      <w:tr>
        <w:trPr>
          <w:cantSplit/>
          <w:jc w:val="center"/>
          <w:trHeight w:val="720"/>
        </w:trPr>
        <w:tc>
          <w:tcPr>
            <w:tcW w:w="968"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977" w:type="dxa"/>
            <w:vAlign w:val="center"/>
            <w:textDirection w:val="lrTb"/>
            <w:noWrap w:val="false"/>
          </w:tcPr>
          <w:p>
            <w:pPr>
              <w:jc w:val="center"/>
              <w:rPr>
                <w:rFonts w:hint="eastAsia" w:ascii="宋体" w:hAnsi="宋体"/>
                <w:sz w:val="24"/>
              </w:rPr>
            </w:pPr>
            <w:r>
              <w:rPr>
                <w:rFonts w:hint="eastAsia" w:ascii="宋体" w:hAnsi="宋体"/>
                <w:sz w:val="24"/>
              </w:rPr>
              <w:t xml:space="preserve">服务站点</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单价/万元</w:t>
            </w:r>
            <w:r/>
          </w:p>
        </w:tc>
        <w:tc>
          <w:tcPr>
            <w:tcW w:w="1843" w:type="dxa"/>
            <w:vAlign w:val="center"/>
            <w:textDirection w:val="lrTb"/>
            <w:noWrap w:val="false"/>
          </w:tcPr>
          <w:p>
            <w:pPr>
              <w:jc w:val="center"/>
              <w:rPr>
                <w:rFonts w:hint="eastAsia" w:ascii="宋体" w:hAnsi="宋体"/>
                <w:sz w:val="24"/>
              </w:rPr>
            </w:pPr>
            <w:r>
              <w:rPr>
                <w:rFonts w:hint="eastAsia" w:ascii="宋体" w:hAnsi="宋体"/>
                <w:sz w:val="24"/>
              </w:rPr>
              <w:t xml:space="preserve">合价/万元</w:t>
            </w:r>
            <w:r/>
          </w:p>
        </w:tc>
        <w:tc>
          <w:tcPr>
            <w:tcW w:w="1414" w:type="dxa"/>
            <w:vAlign w:val="center"/>
            <w:textDirection w:val="lrTb"/>
            <w:noWrap w:val="false"/>
          </w:tcPr>
          <w:p>
            <w:pPr>
              <w:jc w:val="center"/>
              <w:rPr>
                <w:rFonts w:hint="eastAsia" w:ascii="宋体" w:hAnsi="宋体"/>
                <w:sz w:val="24"/>
              </w:rPr>
            </w:pPr>
            <w:r>
              <w:rPr>
                <w:rFonts w:hint="eastAsia" w:ascii="宋体" w:hAnsi="宋体"/>
                <w:sz w:val="24"/>
              </w:rPr>
              <w:t xml:space="preserve">备注</w:t>
            </w:r>
            <w:r/>
          </w:p>
        </w:tc>
      </w:tr>
      <w:tr>
        <w:trPr>
          <w:cantSplit/>
          <w:jc w:val="center"/>
          <w:trHeight w:val="441"/>
        </w:trPr>
        <w:tc>
          <w:tcPr>
            <w:tcW w:w="968" w:type="dxa"/>
            <w:vAlign w:val="center"/>
            <w:textDirection w:val="lrTb"/>
            <w:noWrap w:val="false"/>
          </w:tcPr>
          <w:p>
            <w:pPr>
              <w:rPr>
                <w:rFonts w:hint="eastAsia" w:ascii="宋体" w:hAnsi="宋体"/>
                <w:sz w:val="24"/>
              </w:rPr>
            </w:pPr>
            <w:r>
              <w:rPr>
                <w:rFonts w:hint="eastAsia" w:ascii="宋体" w:hAnsi="宋体"/>
                <w:sz w:val="24"/>
              </w:rPr>
              <w:t xml:space="preserve">包件二</w:t>
            </w:r>
            <w:r/>
          </w:p>
        </w:tc>
        <w:tc>
          <w:tcPr>
            <w:tcW w:w="2977" w:type="dxa"/>
            <w:vAlign w:val="center"/>
            <w:textDirection w:val="lrTb"/>
            <w:noWrap w:val="false"/>
          </w:tcPr>
          <w:p>
            <w:pPr>
              <w:rPr>
                <w:rFonts w:hint="eastAsia" w:ascii="宋体" w:hAnsi="宋体" w:eastAsia="宋体" w:cs="楷体"/>
                <w:sz w:val="24"/>
              </w:rPr>
            </w:pPr>
            <w:r>
              <w:rPr>
                <w:rFonts w:hint="eastAsia" w:ascii="宋体" w:hAnsi="宋体" w:cs="楷体"/>
                <w:sz w:val="24"/>
              </w:rPr>
              <w:t xml:space="preserve">华芳颐景花园居家养老服务站</w:t>
            </w:r>
            <w:r/>
          </w:p>
        </w:tc>
        <w:tc>
          <w:tcPr>
            <w:tcW w:w="1134" w:type="dxa"/>
            <w:vAlign w:val="center"/>
            <w:textDirection w:val="lrTb"/>
            <w:noWrap w:val="false"/>
          </w:tcPr>
          <w:p>
            <w:pPr>
              <w:rPr>
                <w:rFonts w:hint="eastAsia" w:ascii="宋体" w:hAnsi="宋体"/>
                <w:sz w:val="24"/>
              </w:rPr>
            </w:pPr>
            <w:r>
              <w:rPr>
                <w:rFonts w:hint="eastAsia" w:ascii="宋体" w:hAnsi="宋体"/>
                <w:sz w:val="24"/>
              </w:rPr>
              <w:t xml:space="preserve">4</w:t>
            </w:r>
            <w:r>
              <w:rPr>
                <w:rFonts w:ascii="宋体" w:hAnsi="宋体"/>
                <w:sz w:val="24"/>
              </w:rPr>
              <w:t xml:space="preserve">0</w:t>
            </w:r>
            <w:r/>
          </w:p>
        </w:tc>
        <w:tc>
          <w:tcPr>
            <w:tcW w:w="1843" w:type="dxa"/>
            <w:vAlign w:val="center"/>
            <w:textDirection w:val="lrTb"/>
            <w:noWrap w:val="false"/>
          </w:tcPr>
          <w:p>
            <w:pPr>
              <w:jc w:val="center"/>
              <w:rPr>
                <w:rFonts w:hint="eastAsia" w:ascii="宋体" w:hAnsi="宋体" w:eastAsia="宋体"/>
                <w:sz w:val="24"/>
              </w:rPr>
            </w:pPr>
            <w:r>
              <w:rPr>
                <w:rFonts w:hint="eastAsia" w:ascii="宋体" w:hAnsi="宋体"/>
                <w:sz w:val="24"/>
              </w:rPr>
              <w:t xml:space="preserve">40</w:t>
            </w:r>
            <w:r/>
          </w:p>
        </w:tc>
        <w:tc>
          <w:tcPr>
            <w:tcW w:w="1414"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615"/>
        </w:trPr>
        <w:tc>
          <w:tcPr>
            <w:gridSpan w:val="5"/>
            <w:tcW w:w="8336" w:type="dxa"/>
            <w:vAlign w:val="center"/>
            <w:textDirection w:val="lrTb"/>
            <w:noWrap w:val="false"/>
          </w:tcPr>
          <w:p>
            <w:pPr>
              <w:jc w:val="left"/>
              <w:rPr>
                <w:rFonts w:hint="eastAsia" w:ascii="宋体" w:hAnsi="宋体"/>
                <w:sz w:val="24"/>
              </w:rPr>
            </w:pPr>
            <w:r>
              <w:rPr>
                <w:rFonts w:hint="eastAsia" w:ascii="宋体" w:hAnsi="宋体"/>
                <w:sz w:val="24"/>
              </w:rPr>
              <w:t xml:space="preserve">总价：肆拾万元</w:t>
            </w:r>
            <w:r/>
          </w:p>
        </w:tc>
      </w:tr>
    </w:tbl>
    <w:p>
      <w:pPr>
        <w:jc w:val="center"/>
        <w:rPr>
          <w:rFonts w:hint="eastAsia" w:ascii="宋体" w:hAnsi="宋体"/>
          <w:sz w:val="24"/>
        </w:rPr>
      </w:pPr>
      <w:r>
        <w:rPr>
          <w:rFonts w:hint="eastAsia" w:ascii="宋体" w:hAnsi="宋体"/>
          <w:sz w:val="24"/>
        </w:rPr>
        <w:t xml:space="preserve">投标人全称（加盖公章）：</w:t>
      </w:r>
      <w:r/>
    </w:p>
    <w:p>
      <w:pPr>
        <w:jc w:val="center"/>
        <w:rPr>
          <w:rFonts w:hint="eastAsia" w:ascii="宋体" w:hAnsi="宋体"/>
          <w:sz w:val="24"/>
        </w:rPr>
      </w:pPr>
      <w:r>
        <w:rPr>
          <w:rFonts w:hint="eastAsia" w:ascii="宋体" w:hAnsi="宋体"/>
          <w:sz w:val="24"/>
        </w:rPr>
        <w:t xml:space="preserve">法定代表人或授权代表签字：</w:t>
      </w:r>
      <w:r/>
    </w:p>
    <w:p>
      <w:pPr>
        <w:pStyle w:val="823"/>
        <w:ind w:left="210" w:right="1470" w:firstLine="158"/>
        <w:jc w:val="center"/>
        <w:rPr>
          <w:sz w:val="24"/>
        </w:rPr>
      </w:pPr>
      <w:r>
        <w:rPr>
          <w:rFonts w:hint="eastAsia"/>
          <w:sz w:val="24"/>
        </w:rPr>
        <w:t xml:space="preserve">日期：</w:t>
      </w:r>
      <w:r/>
    </w:p>
    <w:p>
      <w:pPr>
        <w:pStyle w:val="823"/>
        <w:ind w:left="210" w:right="1470" w:firstLine="0"/>
        <w:rPr>
          <w:b/>
          <w:bCs/>
        </w:rPr>
      </w:pPr>
      <w:r>
        <w:rPr>
          <w:b/>
          <w:bCs/>
        </w:rPr>
      </w:r>
      <w:r/>
    </w:p>
    <w:p>
      <w:pPr>
        <w:pStyle w:val="823"/>
        <w:ind w:left="210" w:right="1470" w:firstLine="0"/>
        <w:rPr>
          <w:b/>
          <w:bCs/>
        </w:rPr>
      </w:pPr>
      <w:r>
        <w:rPr>
          <w:b/>
          <w:bCs/>
        </w:rPr>
      </w:r>
      <w:r/>
    </w:p>
    <w:p>
      <w:pPr>
        <w:pStyle w:val="823"/>
        <w:ind w:left="210" w:right="1470" w:firstLine="0"/>
        <w:rPr>
          <w:b/>
          <w:bCs/>
        </w:rPr>
      </w:pPr>
      <w:r>
        <w:rPr>
          <w:b/>
          <w:bCs/>
        </w:rPr>
      </w:r>
      <w:r/>
    </w:p>
    <w:p>
      <w:pPr>
        <w:pStyle w:val="823"/>
        <w:ind w:left="210" w:right="1470" w:firstLine="0"/>
        <w:rPr>
          <w:b/>
          <w:bCs/>
        </w:rPr>
      </w:pPr>
      <w:r>
        <w:rPr>
          <w:b/>
          <w:bCs/>
        </w:rPr>
      </w:r>
      <w:r/>
    </w:p>
    <w:p>
      <w:pPr>
        <w:pStyle w:val="823"/>
        <w:ind w:left="210" w:right="1470" w:firstLine="0"/>
        <w:rPr>
          <w:b/>
          <w:bCs/>
        </w:rPr>
      </w:pPr>
      <w:r>
        <w:rPr>
          <w:b/>
          <w:bCs/>
        </w:rPr>
      </w:r>
      <w:r/>
    </w:p>
    <w:p>
      <w:pPr>
        <w:pStyle w:val="823"/>
        <w:ind w:left="210" w:right="1470" w:firstLine="0"/>
        <w:rPr>
          <w:b/>
          <w:bCs/>
        </w:rPr>
      </w:pPr>
      <w:r>
        <w:rPr>
          <w:b/>
          <w:bCs/>
        </w:rPr>
      </w:r>
      <w:r/>
    </w:p>
    <w:p>
      <w:pPr>
        <w:pStyle w:val="823"/>
        <w:ind w:left="210" w:right="1470" w:firstLine="0"/>
        <w:rPr>
          <w:b/>
          <w:bCs/>
        </w:rPr>
      </w:pPr>
      <w:r>
        <w:rPr>
          <w:b/>
          <w:bCs/>
        </w:rPr>
      </w:r>
      <w:r/>
    </w:p>
    <w:p>
      <w:pPr>
        <w:pStyle w:val="823"/>
        <w:ind w:left="210" w:right="1470" w:firstLine="0"/>
        <w:rPr>
          <w:b/>
          <w:bCs/>
        </w:rPr>
      </w:pPr>
      <w:r>
        <w:rPr>
          <w:b/>
          <w:bCs/>
        </w:rPr>
      </w:r>
      <w:r/>
    </w:p>
    <w:p>
      <w:pPr>
        <w:pStyle w:val="823"/>
        <w:ind w:left="210" w:right="1470" w:firstLine="0"/>
        <w:rPr>
          <w:b/>
          <w:bCs/>
        </w:rPr>
      </w:pPr>
      <w:r>
        <w:rPr>
          <w:b/>
          <w:bCs/>
        </w:rPr>
      </w:r>
      <w:r/>
    </w:p>
    <w:p>
      <w:pPr>
        <w:pStyle w:val="823"/>
        <w:ind w:left="210" w:right="1470" w:firstLine="0"/>
        <w:rPr>
          <w:b/>
          <w:bCs/>
        </w:rPr>
      </w:pPr>
      <w:r>
        <w:rPr>
          <w:b/>
          <w:bCs/>
        </w:rPr>
      </w:r>
      <w:r/>
    </w:p>
    <w:p>
      <w:pPr>
        <w:pStyle w:val="823"/>
        <w:ind w:left="210" w:right="1470" w:firstLine="0"/>
        <w:rPr>
          <w:b/>
          <w:bCs/>
        </w:rPr>
      </w:pPr>
      <w:r>
        <w:rPr>
          <w:b/>
          <w:bCs/>
        </w:rPr>
      </w:r>
      <w:r/>
    </w:p>
    <w:p>
      <w:pPr>
        <w:pStyle w:val="823"/>
        <w:ind w:left="210" w:right="1470" w:firstLine="0"/>
        <w:rPr>
          <w:b/>
          <w:bCs/>
        </w:rPr>
      </w:pPr>
      <w:r>
        <w:rPr>
          <w:b/>
          <w:bCs/>
        </w:rPr>
      </w:r>
      <w:r/>
    </w:p>
    <w:p>
      <w:pPr>
        <w:pStyle w:val="823"/>
        <w:ind w:left="210" w:right="1470" w:firstLine="0"/>
        <w:rPr>
          <w:b/>
          <w:bCs/>
        </w:rPr>
      </w:pPr>
      <w:r>
        <w:rPr>
          <w:b/>
          <w:bCs/>
        </w:rPr>
      </w:r>
      <w:r/>
    </w:p>
    <w:p>
      <w:pPr>
        <w:pStyle w:val="823"/>
        <w:ind w:right="1470" w:firstLine="0"/>
        <w:rPr>
          <w:b/>
          <w:bCs/>
        </w:rPr>
      </w:pPr>
      <w:r>
        <w:rPr>
          <w:b/>
          <w:bCs/>
        </w:rPr>
      </w:r>
      <w:r/>
    </w:p>
    <w:p>
      <w:pPr>
        <w:pStyle w:val="823"/>
        <w:ind w:left="210" w:right="1470" w:firstLine="321"/>
        <w:rPr>
          <w:b/>
          <w:bCs/>
          <w:sz w:val="32"/>
          <w:szCs w:val="32"/>
        </w:rPr>
      </w:pPr>
      <w:r>
        <w:rPr>
          <w:b/>
          <w:bCs/>
          <w:sz w:val="32"/>
          <w:szCs w:val="32"/>
        </w:rPr>
      </w:r>
      <w:r/>
    </w:p>
    <w:p>
      <w:pPr>
        <w:pStyle w:val="823"/>
        <w:ind w:left="210" w:right="1470" w:firstLine="321"/>
        <w:rPr>
          <w:b/>
          <w:bCs/>
          <w:sz w:val="32"/>
          <w:szCs w:val="32"/>
        </w:rPr>
      </w:pPr>
      <w:r>
        <w:rPr>
          <w:b/>
          <w:bCs/>
          <w:sz w:val="32"/>
          <w:szCs w:val="32"/>
        </w:rPr>
      </w:r>
      <w:r/>
    </w:p>
    <w:p>
      <w:pPr>
        <w:pStyle w:val="823"/>
        <w:ind w:left="210" w:right="1470" w:firstLine="321"/>
        <w:rPr>
          <w:b/>
          <w:bCs/>
          <w:sz w:val="32"/>
          <w:szCs w:val="32"/>
        </w:rPr>
      </w:pPr>
      <w:r>
        <w:rPr>
          <w:b/>
          <w:bCs/>
          <w:sz w:val="32"/>
          <w:szCs w:val="32"/>
        </w:rPr>
      </w:r>
      <w:r/>
    </w:p>
    <w:p>
      <w:pPr>
        <w:pStyle w:val="823"/>
        <w:ind w:left="210" w:right="1470" w:firstLine="321"/>
        <w:rPr>
          <w:b/>
          <w:bCs/>
          <w:sz w:val="32"/>
          <w:szCs w:val="32"/>
        </w:rPr>
      </w:pPr>
      <w:r>
        <w:rPr>
          <w:b/>
          <w:bCs/>
          <w:sz w:val="32"/>
          <w:szCs w:val="32"/>
        </w:rPr>
      </w:r>
      <w:r/>
    </w:p>
    <w:p>
      <w:pPr>
        <w:pStyle w:val="823"/>
        <w:ind w:right="1470" w:firstLine="0"/>
        <w:rPr>
          <w:b/>
          <w:bCs/>
          <w:sz w:val="32"/>
          <w:szCs w:val="32"/>
          <w:u w:val="single"/>
        </w:rPr>
      </w:pPr>
      <w:r>
        <w:rPr>
          <w:rFonts w:hint="eastAsia"/>
          <w:b/>
          <w:bCs/>
          <w:sz w:val="32"/>
          <w:szCs w:val="32"/>
        </w:rPr>
        <w:t xml:space="preserve">包件三：</w:t>
      </w:r>
      <w:r>
        <w:rPr>
          <w:rFonts w:hint="eastAsia"/>
          <w:b/>
          <w:bCs/>
          <w:sz w:val="32"/>
          <w:szCs w:val="32"/>
          <w:u w:val="single"/>
        </w:rPr>
        <w:t xml:space="preserve">御景花园居家养老服务站</w:t>
      </w:r>
      <w:r/>
    </w:p>
    <w:p>
      <w:pPr>
        <w:ind w:firstLine="480"/>
        <w:rPr>
          <w:rFonts w:hint="eastAsia" w:ascii="宋体" w:hAnsi="宋体"/>
          <w:sz w:val="24"/>
        </w:rPr>
      </w:pPr>
      <w:r>
        <w:rPr>
          <w:rFonts w:hint="eastAsia" w:ascii="宋体" w:hAnsi="宋体"/>
          <w:sz w:val="24"/>
        </w:rPr>
        <w:t xml:space="preserve">项目名称：滨海县民政局采购居家社区养老服务机构运营运营方项目</w:t>
      </w:r>
      <w:r/>
    </w:p>
    <w:tbl>
      <w:tblPr>
        <w:tblW w:w="8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8"/>
        <w:gridCol w:w="2977"/>
        <w:gridCol w:w="1134"/>
        <w:gridCol w:w="1843"/>
        <w:gridCol w:w="1414"/>
      </w:tblGrid>
      <w:tr>
        <w:trPr>
          <w:cantSplit/>
          <w:jc w:val="center"/>
          <w:trHeight w:val="720"/>
        </w:trPr>
        <w:tc>
          <w:tcPr>
            <w:tcW w:w="968"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977" w:type="dxa"/>
            <w:vAlign w:val="center"/>
            <w:textDirection w:val="lrTb"/>
            <w:noWrap w:val="false"/>
          </w:tcPr>
          <w:p>
            <w:pPr>
              <w:jc w:val="center"/>
              <w:rPr>
                <w:rFonts w:hint="eastAsia" w:ascii="宋体" w:hAnsi="宋体"/>
                <w:sz w:val="24"/>
              </w:rPr>
            </w:pPr>
            <w:r>
              <w:rPr>
                <w:rFonts w:hint="eastAsia" w:ascii="宋体" w:hAnsi="宋体"/>
                <w:sz w:val="24"/>
              </w:rPr>
              <w:t xml:space="preserve">服务站点</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单价/万元</w:t>
            </w:r>
            <w:r/>
          </w:p>
        </w:tc>
        <w:tc>
          <w:tcPr>
            <w:tcW w:w="1843" w:type="dxa"/>
            <w:vAlign w:val="center"/>
            <w:textDirection w:val="lrTb"/>
            <w:noWrap w:val="false"/>
          </w:tcPr>
          <w:p>
            <w:pPr>
              <w:jc w:val="center"/>
              <w:rPr>
                <w:rFonts w:hint="eastAsia" w:ascii="宋体" w:hAnsi="宋体"/>
                <w:sz w:val="24"/>
              </w:rPr>
            </w:pPr>
            <w:r>
              <w:rPr>
                <w:rFonts w:hint="eastAsia" w:ascii="宋体" w:hAnsi="宋体"/>
                <w:sz w:val="24"/>
              </w:rPr>
              <w:t xml:space="preserve">合价/万元</w:t>
            </w:r>
            <w:r/>
          </w:p>
        </w:tc>
        <w:tc>
          <w:tcPr>
            <w:tcW w:w="1414" w:type="dxa"/>
            <w:vAlign w:val="center"/>
            <w:textDirection w:val="lrTb"/>
            <w:noWrap w:val="false"/>
          </w:tcPr>
          <w:p>
            <w:pPr>
              <w:jc w:val="center"/>
              <w:rPr>
                <w:rFonts w:hint="eastAsia" w:ascii="宋体" w:hAnsi="宋体"/>
                <w:sz w:val="24"/>
              </w:rPr>
            </w:pPr>
            <w:r>
              <w:rPr>
                <w:rFonts w:hint="eastAsia" w:ascii="宋体" w:hAnsi="宋体"/>
                <w:sz w:val="24"/>
              </w:rPr>
              <w:t xml:space="preserve">备注</w:t>
            </w:r>
            <w:r/>
          </w:p>
        </w:tc>
      </w:tr>
      <w:tr>
        <w:trPr>
          <w:cantSplit/>
          <w:jc w:val="center"/>
          <w:trHeight w:val="701"/>
        </w:trPr>
        <w:tc>
          <w:tcPr>
            <w:tcW w:w="968" w:type="dxa"/>
            <w:vAlign w:val="center"/>
            <w:textDirection w:val="lrTb"/>
            <w:noWrap w:val="false"/>
          </w:tcPr>
          <w:p>
            <w:pPr>
              <w:rPr>
                <w:rFonts w:hint="eastAsia" w:ascii="宋体" w:hAnsi="宋体"/>
                <w:sz w:val="24"/>
              </w:rPr>
            </w:pPr>
            <w:r>
              <w:rPr>
                <w:rFonts w:hint="eastAsia" w:ascii="宋体" w:hAnsi="宋体"/>
                <w:sz w:val="24"/>
              </w:rPr>
              <w:t xml:space="preserve">包件四</w:t>
            </w:r>
            <w:r/>
          </w:p>
        </w:tc>
        <w:tc>
          <w:tcPr>
            <w:tcW w:w="2977" w:type="dxa"/>
            <w:vAlign w:val="center"/>
            <w:textDirection w:val="lrTb"/>
            <w:noWrap w:val="false"/>
          </w:tcPr>
          <w:p>
            <w:pPr>
              <w:rPr>
                <w:rFonts w:hint="eastAsia" w:ascii="宋体" w:hAnsi="宋体"/>
                <w:sz w:val="24"/>
              </w:rPr>
            </w:pPr>
            <w:r>
              <w:rPr>
                <w:rFonts w:hint="eastAsia" w:ascii="宋体" w:hAnsi="宋体" w:cs="楷体"/>
                <w:sz w:val="24"/>
              </w:rPr>
              <w:t xml:space="preserve">御景花园居家养老服务站</w:t>
            </w:r>
            <w:r/>
          </w:p>
        </w:tc>
        <w:tc>
          <w:tcPr>
            <w:tcW w:w="1134" w:type="dxa"/>
            <w:vAlign w:val="center"/>
            <w:textDirection w:val="lrTb"/>
            <w:noWrap w:val="false"/>
          </w:tcPr>
          <w:p>
            <w:pPr>
              <w:rPr>
                <w:rFonts w:hint="eastAsia" w:ascii="宋体" w:hAnsi="宋体"/>
                <w:sz w:val="24"/>
              </w:rPr>
            </w:pPr>
            <w:r>
              <w:rPr>
                <w:rFonts w:hint="eastAsia" w:ascii="宋体" w:hAnsi="宋体"/>
                <w:sz w:val="24"/>
              </w:rPr>
              <w:t xml:space="preserve">4</w:t>
            </w:r>
            <w:r>
              <w:rPr>
                <w:rFonts w:ascii="宋体" w:hAnsi="宋体"/>
                <w:sz w:val="24"/>
              </w:rPr>
              <w:t xml:space="preserve">0</w:t>
            </w:r>
            <w:r/>
          </w:p>
        </w:tc>
        <w:tc>
          <w:tcPr>
            <w:tcW w:w="1843" w:type="dxa"/>
            <w:vAlign w:val="center"/>
            <w:textDirection w:val="lrTb"/>
            <w:noWrap w:val="false"/>
          </w:tcPr>
          <w:p>
            <w:pPr>
              <w:ind w:firstLine="480"/>
              <w:rPr>
                <w:rFonts w:hint="eastAsia" w:ascii="宋体" w:hAnsi="宋体"/>
                <w:sz w:val="24"/>
              </w:rPr>
            </w:pPr>
            <w:r>
              <w:rPr>
                <w:rFonts w:hint="eastAsia" w:ascii="宋体" w:hAnsi="宋体"/>
                <w:sz w:val="24"/>
              </w:rPr>
              <w:t xml:space="preserve">4</w:t>
            </w:r>
            <w:r>
              <w:rPr>
                <w:rFonts w:ascii="宋体" w:hAnsi="宋体"/>
                <w:sz w:val="24"/>
              </w:rPr>
              <w:t xml:space="preserve">0</w:t>
            </w:r>
            <w:r/>
          </w:p>
        </w:tc>
        <w:tc>
          <w:tcPr>
            <w:tcW w:w="1414"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615"/>
        </w:trPr>
        <w:tc>
          <w:tcPr>
            <w:gridSpan w:val="5"/>
            <w:tcW w:w="8336" w:type="dxa"/>
            <w:vAlign w:val="center"/>
            <w:textDirection w:val="lrTb"/>
            <w:noWrap w:val="false"/>
          </w:tcPr>
          <w:p>
            <w:pPr>
              <w:jc w:val="left"/>
              <w:rPr>
                <w:rFonts w:hint="eastAsia" w:ascii="宋体" w:hAnsi="宋体"/>
                <w:sz w:val="24"/>
              </w:rPr>
            </w:pPr>
            <w:r>
              <w:rPr>
                <w:rFonts w:hint="eastAsia" w:ascii="宋体" w:hAnsi="宋体"/>
                <w:sz w:val="24"/>
              </w:rPr>
              <w:t xml:space="preserve">总价：肆拾万元</w:t>
            </w:r>
            <w:r/>
          </w:p>
        </w:tc>
      </w:tr>
    </w:tbl>
    <w:p>
      <w:pPr>
        <w:pStyle w:val="823"/>
        <w:ind w:left="210" w:right="1470" w:firstLine="240"/>
        <w:rPr>
          <w:sz w:val="24"/>
        </w:rPr>
      </w:pPr>
      <w:r>
        <w:rPr>
          <w:sz w:val="24"/>
        </w:rPr>
      </w:r>
      <w:r/>
    </w:p>
    <w:p>
      <w:pPr>
        <w:jc w:val="center"/>
        <w:rPr>
          <w:rFonts w:hint="eastAsia" w:ascii="宋体" w:hAnsi="宋体"/>
          <w:sz w:val="24"/>
        </w:rPr>
      </w:pPr>
      <w:r>
        <w:rPr>
          <w:rFonts w:hint="eastAsia" w:ascii="宋体" w:hAnsi="宋体"/>
          <w:sz w:val="24"/>
        </w:rPr>
        <w:t xml:space="preserve">投标人全称（加盖公章）：</w:t>
      </w:r>
      <w:r/>
    </w:p>
    <w:p>
      <w:pPr>
        <w:jc w:val="center"/>
        <w:rPr>
          <w:rFonts w:hint="eastAsia" w:ascii="宋体" w:hAnsi="宋体"/>
          <w:sz w:val="24"/>
        </w:rPr>
      </w:pPr>
      <w:r>
        <w:rPr>
          <w:rFonts w:hint="eastAsia" w:ascii="宋体" w:hAnsi="宋体"/>
          <w:sz w:val="24"/>
        </w:rPr>
        <w:t xml:space="preserve">法定代表人或授权代表签字：</w:t>
      </w:r>
      <w:r/>
    </w:p>
    <w:p>
      <w:pPr>
        <w:jc w:val="center"/>
        <w:spacing w:line="360" w:lineRule="auto"/>
        <w:rPr>
          <w:rFonts w:hint="eastAsia" w:ascii="宋体" w:hAnsi="宋体"/>
          <w:sz w:val="24"/>
        </w:rPr>
      </w:pPr>
      <w:r>
        <w:rPr>
          <w:rFonts w:hint="eastAsia" w:ascii="宋体" w:hAnsi="宋体"/>
          <w:sz w:val="24"/>
        </w:rPr>
        <w:t xml:space="preserve">日期：</w:t>
      </w:r>
      <w:r/>
    </w:p>
    <w:p>
      <w:pPr>
        <w:pStyle w:val="822"/>
        <w:spacing w:beforeAutospacing="0" w:afterAutospacing="0"/>
      </w:pPr>
      <w:r/>
      <w:r/>
    </w:p>
    <w:p>
      <w:pPr>
        <w:pStyle w:val="822"/>
        <w:jc w:val="center"/>
        <w:spacing w:beforeAutospacing="0" w:afterAutospacing="0"/>
      </w:pPr>
      <w:r>
        <w:t xml:space="preserve"> </w:t>
      </w:r>
      <w:r/>
    </w:p>
    <w:p>
      <w:pPr>
        <w:pStyle w:val="822"/>
        <w:jc w:val="center"/>
        <w:spacing w:beforeAutospacing="0" w:afterAutospacing="0"/>
      </w:pPr>
      <w:r>
        <w:t xml:space="preserve"> </w:t>
      </w:r>
      <w:r/>
    </w:p>
    <w:p>
      <w:pPr>
        <w:pStyle w:val="822"/>
        <w:jc w:val="center"/>
        <w:spacing w:beforeAutospacing="0" w:afterAutospacing="0"/>
      </w:pPr>
      <w:r>
        <w:t xml:space="preserve"> </w:t>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Pr>
          <w:rFonts w:hint="eastAsia" w:ascii="黑体" w:hAnsi="宋体" w:eastAsia="黑体" w:cs="黑体"/>
          <w:b/>
          <w:color w:val="000000"/>
          <w:sz w:val="32"/>
          <w:szCs w:val="32"/>
        </w:rPr>
        <w:t xml:space="preserve">十三、技术要求响应及偏离表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pPr>
            <w:r>
              <w:rPr>
                <w:rFonts w:hint="eastAsia" w:ascii="宋体" w:hAnsi="宋体" w:eastAsia="宋体" w:cs="宋体"/>
                <w:color w:val="000000"/>
              </w:rPr>
              <w:t xml:space="preserve">证明</w:t>
            </w:r>
            <w:r/>
          </w:p>
          <w:p>
            <w:pPr>
              <w:pStyle w:val="822"/>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pPr>
            <w:r>
              <w:t xml:space="preserve"> </w:t>
            </w:r>
            <w:r/>
          </w:p>
        </w:tc>
      </w:tr>
    </w:tbl>
    <w:p>
      <w:pPr>
        <w:pStyle w:val="822"/>
        <w:jc w:val="both"/>
        <w:spacing w:beforeAutospacing="0" w:afterAutospacing="0"/>
      </w:pPr>
      <w:r>
        <w:rPr>
          <w:rFonts w:hint="eastAsia" w:ascii="宋体" w:hAnsi="宋体" w:eastAsia="宋体" w:cs="宋体"/>
          <w:color w:val="000000"/>
        </w:rPr>
        <w:t xml:space="preserve">注： 行数不够，可自行添加。</w:t>
      </w:r>
      <w:r/>
    </w:p>
    <w:p>
      <w:pPr>
        <w:pStyle w:val="822"/>
        <w:jc w:val="center"/>
        <w:spacing w:beforeAutospacing="0" w:afterAutospacing="0"/>
      </w:pPr>
      <w:r>
        <w:t xml:space="preserve"> </w:t>
      </w:r>
      <w:r/>
    </w:p>
    <w:p>
      <w:pPr>
        <w:pStyle w:val="822"/>
        <w:jc w:val="center"/>
        <w:spacing w:beforeAutospacing="0" w:afterAutospacing="0"/>
      </w:pPr>
      <w:r>
        <w:t xml:space="preserve"> </w:t>
      </w:r>
      <w:r/>
    </w:p>
    <w:p>
      <w:pPr>
        <w:pStyle w:val="822"/>
        <w:jc w:val="center"/>
        <w:spacing w:beforeAutospacing="0" w:afterAutospacing="0"/>
      </w:pPr>
      <w:r>
        <w:t xml:space="preserve"> </w:t>
      </w:r>
      <w:r/>
    </w:p>
    <w:p>
      <w:pPr>
        <w:pStyle w:val="822"/>
        <w:jc w:val="center"/>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t xml:space="preserve"> </w:t>
      </w:r>
      <w:r/>
    </w:p>
    <w:p>
      <w:pPr>
        <w:pStyle w:val="822"/>
        <w:jc w:val="both"/>
        <w:spacing w:beforeAutospacing="0" w:afterAutospacing="0"/>
      </w:pPr>
      <w:r>
        <w:t xml:space="preserve"> </w:t>
      </w:r>
      <w:r/>
    </w:p>
    <w:p>
      <w:pPr>
        <w:jc w:val="center"/>
        <w:rPr>
          <w:rFonts w:hint="eastAsia" w:ascii="黑体" w:hAnsi="黑体" w:eastAsia="黑体" w:cs="黑体"/>
          <w:i/>
          <w:color w:val="000000"/>
          <w:sz w:val="32"/>
          <w:szCs w:val="32"/>
          <w:u w:val="single"/>
        </w:rPr>
      </w:pPr>
      <w:r>
        <w:t xml:space="preserve"> </w:t>
      </w:r>
      <w:bookmarkStart w:id="203" w:name="_Hlt26955054"/>
      <w:r>
        <w:rPr>
          <w:rFonts w:hint="eastAsia" w:ascii="黑体" w:hAnsi="黑体" w:eastAsia="黑体" w:cs="黑体"/>
          <w:i/>
          <w:color w:val="000000"/>
          <w:sz w:val="32"/>
          <w:szCs w:val="32"/>
          <w:u w:val="single"/>
        </w:rPr>
        <w:t xml:space="preserve">十四、资格性审查响应对照表</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707"/>
        <w:gridCol w:w="1559"/>
        <w:gridCol w:w="1560"/>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470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559"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560"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hAnsi="宋体"/>
                <w:b/>
              </w:rPr>
            </w:pPr>
            <w:r>
              <w:rPr>
                <w:rFonts w:hint="eastAsia" w:hAnsi="宋体"/>
                <w:b/>
              </w:rPr>
              <w:t xml:space="preserve">1</w:t>
            </w:r>
            <w:r/>
          </w:p>
        </w:tc>
        <w:tc>
          <w:tcPr>
            <w:tcW w:w="4707" w:type="dxa"/>
            <w:textDirection w:val="lrTb"/>
            <w:noWrap w:val="false"/>
          </w:tcPr>
          <w:p>
            <w:pPr>
              <w:spacing w:line="340" w:lineRule="exact"/>
              <w:rPr>
                <w:rFonts w:hint="eastAsia" w:hAnsi="宋体"/>
                <w:iCs/>
                <w:sz w:val="24"/>
              </w:rPr>
            </w:pPr>
            <w:r>
              <w:rPr>
                <w:rFonts w:hint="eastAsia" w:ascii="宋体" w:hAnsi="宋体"/>
                <w:szCs w:val="21"/>
              </w:rPr>
              <w:t xml:space="preserve">法人或者其他组织的营业执照等证明文件</w:t>
            </w:r>
            <w:r/>
          </w:p>
        </w:tc>
        <w:tc>
          <w:tcPr>
            <w:tcW w:w="1559" w:type="dxa"/>
            <w:vAlign w:val="center"/>
            <w:textDirection w:val="lrTb"/>
            <w:noWrap w:val="false"/>
          </w:tcPr>
          <w:p>
            <w:pPr>
              <w:rPr>
                <w:rFonts w:hint="eastAsia" w:hAnsi="宋体"/>
                <w:b/>
              </w:rPr>
            </w:pPr>
            <w:r>
              <w:rPr>
                <w:rFonts w:hint="eastAsia" w:hAnsi="宋体"/>
                <w:b/>
              </w:rPr>
            </w:r>
            <w:r/>
          </w:p>
        </w:tc>
        <w:tc>
          <w:tcPr>
            <w:tcW w:w="1560" w:type="dxa"/>
            <w:vAlign w:val="center"/>
            <w:textDirection w:val="lrTb"/>
            <w:noWrap w:val="false"/>
          </w:tcPr>
          <w:p>
            <w:pPr>
              <w:rPr>
                <w:rFonts w:hint="eastAsia" w:hAnsi="宋体"/>
                <w:b/>
              </w:rPr>
            </w:pPr>
            <w:r>
              <w:rPr>
                <w:rFonts w:hint="eastAsia" w:hAnsi="宋体"/>
                <w:b/>
              </w:rPr>
            </w:r>
            <w:r/>
          </w:p>
        </w:tc>
      </w:tr>
      <w:tr>
        <w:trPr>
          <w:trHeight w:val="585"/>
        </w:trPr>
        <w:tc>
          <w:tcPr>
            <w:tcW w:w="646" w:type="dxa"/>
            <w:vAlign w:val="center"/>
            <w:textDirection w:val="lrTb"/>
            <w:noWrap w:val="false"/>
          </w:tcPr>
          <w:p>
            <w:pPr>
              <w:rPr>
                <w:rFonts w:hint="eastAsia" w:hAnsi="宋体"/>
              </w:rPr>
            </w:pPr>
            <w:r>
              <w:rPr>
                <w:rFonts w:hint="eastAsia" w:hAnsi="宋体"/>
              </w:rPr>
              <w:t xml:space="preserve">2</w:t>
            </w:r>
            <w:r/>
          </w:p>
        </w:tc>
        <w:tc>
          <w:tcPr>
            <w:tcW w:w="470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财务状况报告（表）</w:t>
            </w:r>
            <w:r/>
          </w:p>
        </w:tc>
        <w:tc>
          <w:tcPr>
            <w:tcW w:w="1559" w:type="dxa"/>
            <w:vAlign w:val="center"/>
            <w:textDirection w:val="lrTb"/>
            <w:noWrap w:val="false"/>
          </w:tcPr>
          <w:p>
            <w:pPr>
              <w:rPr>
                <w:rFonts w:hint="eastAsia" w:hAnsi="宋体"/>
              </w:rPr>
            </w:pPr>
            <w:r>
              <w:rPr>
                <w:rFonts w:hint="eastAsia" w:hAnsi="宋体"/>
              </w:rPr>
            </w:r>
            <w:r/>
          </w:p>
        </w:tc>
        <w:tc>
          <w:tcPr>
            <w:tcW w:w="1560" w:type="dxa"/>
            <w:vAlign w:val="center"/>
            <w:textDirection w:val="lrTb"/>
            <w:noWrap w:val="false"/>
          </w:tcPr>
          <w:p>
            <w:pPr>
              <w:rPr>
                <w:rFonts w:hint="eastAsia" w:hAnsi="宋体"/>
              </w:rPr>
            </w:pPr>
            <w:r>
              <w:rPr>
                <w:rFonts w:hint="eastAsia" w:hAnsi="宋体"/>
              </w:rPr>
            </w:r>
            <w:r/>
          </w:p>
        </w:tc>
      </w:tr>
      <w:tr>
        <w:trPr>
          <w:trHeight w:val="585"/>
        </w:trPr>
        <w:tc>
          <w:tcPr>
            <w:tcW w:w="646" w:type="dxa"/>
            <w:vAlign w:val="center"/>
            <w:textDirection w:val="lrTb"/>
            <w:noWrap w:val="false"/>
          </w:tcPr>
          <w:p>
            <w:pPr>
              <w:rPr>
                <w:rFonts w:hint="eastAsia" w:hAnsi="宋体"/>
              </w:rPr>
            </w:pPr>
            <w:r>
              <w:rPr>
                <w:rFonts w:hint="eastAsia" w:hAnsi="宋体"/>
              </w:rPr>
              <w:t xml:space="preserve">3</w:t>
            </w:r>
            <w:r/>
          </w:p>
        </w:tc>
        <w:tc>
          <w:tcPr>
            <w:tcW w:w="470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依法缴纳税收的相关材料</w:t>
            </w:r>
            <w:r/>
          </w:p>
        </w:tc>
        <w:tc>
          <w:tcPr>
            <w:tcW w:w="1559" w:type="dxa"/>
            <w:vAlign w:val="center"/>
            <w:textDirection w:val="lrTb"/>
            <w:noWrap w:val="false"/>
          </w:tcPr>
          <w:p>
            <w:pPr>
              <w:rPr>
                <w:rFonts w:hint="eastAsia" w:hAnsi="宋体"/>
              </w:rPr>
            </w:pPr>
            <w:r>
              <w:rPr>
                <w:rFonts w:hint="eastAsia" w:hAnsi="宋体"/>
              </w:rPr>
            </w:r>
            <w:r/>
          </w:p>
        </w:tc>
        <w:tc>
          <w:tcPr>
            <w:tcW w:w="1560" w:type="dxa"/>
            <w:vAlign w:val="center"/>
            <w:textDirection w:val="lrTb"/>
            <w:noWrap w:val="false"/>
          </w:tcPr>
          <w:p>
            <w:pPr>
              <w:rPr>
                <w:rFonts w:hint="eastAsia" w:hAnsi="宋体"/>
              </w:rPr>
            </w:pPr>
            <w:r>
              <w:rPr>
                <w:rFonts w:hint="eastAsia" w:hAnsi="宋体"/>
              </w:rPr>
            </w:r>
            <w:r/>
          </w:p>
        </w:tc>
      </w:tr>
      <w:tr>
        <w:trPr>
          <w:trHeight w:val="722"/>
        </w:trPr>
        <w:tc>
          <w:tcPr>
            <w:tcW w:w="646" w:type="dxa"/>
            <w:vAlign w:val="center"/>
            <w:textDirection w:val="lrTb"/>
            <w:noWrap w:val="false"/>
          </w:tcPr>
          <w:p>
            <w:pPr>
              <w:rPr>
                <w:rFonts w:hint="eastAsia" w:hAnsi="宋体"/>
              </w:rPr>
            </w:pPr>
            <w:r>
              <w:rPr>
                <w:rFonts w:hint="eastAsia" w:hAnsi="宋体"/>
              </w:rPr>
              <w:t xml:space="preserve">4</w:t>
            </w:r>
            <w:r/>
          </w:p>
        </w:tc>
        <w:tc>
          <w:tcPr>
            <w:tcW w:w="470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社会保障资金的相关材料</w:t>
            </w:r>
            <w:r/>
          </w:p>
        </w:tc>
        <w:tc>
          <w:tcPr>
            <w:tcW w:w="1559" w:type="dxa"/>
            <w:vAlign w:val="center"/>
            <w:textDirection w:val="lrTb"/>
            <w:noWrap w:val="false"/>
          </w:tcPr>
          <w:p>
            <w:pPr>
              <w:rPr>
                <w:rFonts w:hint="eastAsia" w:hAnsi="宋体"/>
              </w:rPr>
            </w:pPr>
            <w:r>
              <w:rPr>
                <w:rFonts w:hint="eastAsia" w:hAnsi="宋体"/>
              </w:rPr>
            </w:r>
            <w:r/>
          </w:p>
        </w:tc>
        <w:tc>
          <w:tcPr>
            <w:tcW w:w="1560"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rPr>
              <w:t xml:space="preserve">5</w:t>
            </w:r>
            <w:r/>
          </w:p>
        </w:tc>
        <w:tc>
          <w:tcPr>
            <w:tcW w:w="470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具备履行合同所必需的设备和专业技术能力的书面声明</w:t>
            </w:r>
            <w:r/>
          </w:p>
        </w:tc>
        <w:tc>
          <w:tcPr>
            <w:tcW w:w="1559" w:type="dxa"/>
            <w:vAlign w:val="center"/>
            <w:textDirection w:val="lrTb"/>
            <w:noWrap w:val="false"/>
          </w:tcPr>
          <w:p>
            <w:pPr>
              <w:rPr>
                <w:rFonts w:hint="eastAsia" w:hAnsi="宋体"/>
              </w:rPr>
            </w:pPr>
            <w:r>
              <w:rPr>
                <w:rFonts w:hint="eastAsia" w:hAnsi="宋体"/>
              </w:rPr>
            </w:r>
            <w:r/>
          </w:p>
        </w:tc>
        <w:tc>
          <w:tcPr>
            <w:tcW w:w="1560"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rPr>
              <w:t xml:space="preserve">6</w:t>
            </w:r>
            <w:r/>
          </w:p>
        </w:tc>
        <w:tc>
          <w:tcPr>
            <w:tcW w:w="470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参加政府采购活动前3年内在经营活动中没有重大违法记录的书面声明</w:t>
            </w:r>
            <w:r/>
          </w:p>
        </w:tc>
        <w:tc>
          <w:tcPr>
            <w:tcW w:w="1559" w:type="dxa"/>
            <w:vAlign w:val="center"/>
            <w:textDirection w:val="lrTb"/>
            <w:noWrap w:val="false"/>
          </w:tcPr>
          <w:p>
            <w:pPr>
              <w:rPr>
                <w:rFonts w:hint="eastAsia" w:hAnsi="宋体"/>
              </w:rPr>
            </w:pPr>
            <w:r>
              <w:rPr>
                <w:rFonts w:hint="eastAsia" w:hAnsi="宋体"/>
              </w:rPr>
            </w:r>
            <w:r/>
          </w:p>
        </w:tc>
        <w:tc>
          <w:tcPr>
            <w:tcW w:w="1560" w:type="dxa"/>
            <w:vAlign w:val="center"/>
            <w:textDirection w:val="lrTb"/>
            <w:noWrap w:val="false"/>
          </w:tcPr>
          <w:p>
            <w:pPr>
              <w:rPr>
                <w:rFonts w:hint="eastAsia" w:hAnsi="宋体"/>
              </w:rPr>
            </w:pPr>
            <w:r>
              <w:rPr>
                <w:rFonts w:hint="eastAsia" w:hAnsi="宋体"/>
              </w:rPr>
            </w:r>
            <w:r/>
          </w:p>
        </w:tc>
      </w:tr>
      <w:tr>
        <w:trPr>
          <w:trHeight w:val="705"/>
        </w:trPr>
        <w:tc>
          <w:tcPr>
            <w:tcW w:w="646" w:type="dxa"/>
            <w:vAlign w:val="center"/>
            <w:textDirection w:val="lrTb"/>
            <w:noWrap w:val="false"/>
          </w:tcPr>
          <w:p>
            <w:pPr>
              <w:rPr>
                <w:rFonts w:hint="eastAsia" w:hAnsi="宋体"/>
              </w:rPr>
            </w:pPr>
            <w:r>
              <w:rPr>
                <w:rFonts w:hint="eastAsia" w:hAnsi="宋体"/>
              </w:rPr>
              <w:t xml:space="preserve">7</w:t>
            </w:r>
            <w:r/>
          </w:p>
        </w:tc>
        <w:tc>
          <w:tcPr>
            <w:tcW w:w="470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中小企业声明函</w:t>
            </w:r>
            <w:r/>
          </w:p>
        </w:tc>
        <w:tc>
          <w:tcPr>
            <w:tcW w:w="1559" w:type="dxa"/>
            <w:vAlign w:val="center"/>
            <w:textDirection w:val="lrTb"/>
            <w:noWrap w:val="false"/>
          </w:tcPr>
          <w:p>
            <w:pPr>
              <w:rPr>
                <w:rFonts w:hint="eastAsia" w:hAnsi="宋体"/>
              </w:rPr>
            </w:pPr>
            <w:r>
              <w:rPr>
                <w:rFonts w:hint="eastAsia" w:hAnsi="宋体"/>
              </w:rPr>
            </w:r>
            <w:r/>
          </w:p>
        </w:tc>
        <w:tc>
          <w:tcPr>
            <w:tcW w:w="1560"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rPr>
              <w:t xml:space="preserve">8</w:t>
            </w:r>
            <w:r/>
          </w:p>
        </w:tc>
        <w:tc>
          <w:tcPr>
            <w:tcW w:w="470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单位负责人为同一人或存在控股、管理关系的不同单位，不得同时参加本项目投标，否则相关投标均无效。</w:t>
            </w:r>
            <w:r/>
          </w:p>
        </w:tc>
        <w:tc>
          <w:tcPr>
            <w:tcW w:w="1559" w:type="dxa"/>
            <w:vAlign w:val="center"/>
            <w:textDirection w:val="lrTb"/>
            <w:noWrap w:val="false"/>
          </w:tcPr>
          <w:p>
            <w:pPr>
              <w:rPr>
                <w:rFonts w:hint="eastAsia" w:hAnsi="宋体"/>
              </w:rPr>
            </w:pPr>
            <w:r>
              <w:rPr>
                <w:rFonts w:hint="eastAsia" w:hAnsi="宋体"/>
              </w:rPr>
            </w:r>
            <w:r/>
          </w:p>
        </w:tc>
        <w:tc>
          <w:tcPr>
            <w:tcW w:w="1560"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rPr>
              <w:t xml:space="preserve">9</w:t>
            </w:r>
            <w:r/>
          </w:p>
        </w:tc>
        <w:tc>
          <w:tcPr>
            <w:tcW w:w="470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559" w:type="dxa"/>
            <w:vAlign w:val="center"/>
            <w:textDirection w:val="lrTb"/>
            <w:noWrap w:val="false"/>
          </w:tcPr>
          <w:p>
            <w:pPr>
              <w:rPr>
                <w:rFonts w:hint="eastAsia" w:hAnsi="宋体"/>
              </w:rPr>
            </w:pPr>
            <w:r>
              <w:rPr>
                <w:rFonts w:hint="eastAsia" w:hAnsi="宋体"/>
              </w:rPr>
            </w:r>
            <w:r/>
          </w:p>
        </w:tc>
        <w:tc>
          <w:tcPr>
            <w:tcW w:w="1560" w:type="dxa"/>
            <w:vAlign w:val="center"/>
            <w:textDirection w:val="lrTb"/>
            <w:noWrap w:val="false"/>
          </w:tcPr>
          <w:p>
            <w:pPr>
              <w:rPr>
                <w:rFonts w:hint="eastAsia" w:hAnsi="宋体"/>
              </w:rPr>
            </w:pPr>
            <w:r>
              <w:rPr>
                <w:rFonts w:hint="eastAsia" w:hAnsi="宋体"/>
              </w:rPr>
            </w:r>
            <w:r/>
          </w:p>
        </w:tc>
      </w:tr>
      <w:tr>
        <w:trPr>
          <w:trHeight w:val="400"/>
        </w:trPr>
        <w:tc>
          <w:tcPr>
            <w:tcW w:w="646" w:type="dxa"/>
            <w:vAlign w:val="center"/>
            <w:textDirection w:val="lrTb"/>
            <w:noWrap w:val="false"/>
          </w:tcPr>
          <w:p>
            <w:pPr>
              <w:rPr>
                <w:rFonts w:hint="eastAsia" w:hAnsi="宋体"/>
              </w:rPr>
            </w:pPr>
            <w:r>
              <w:rPr>
                <w:rFonts w:hint="eastAsia" w:hAnsi="宋体"/>
              </w:rPr>
            </w:r>
            <w:r/>
          </w:p>
        </w:tc>
        <w:tc>
          <w:tcPr>
            <w:tcW w:w="470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r>
            <w:r/>
          </w:p>
        </w:tc>
        <w:tc>
          <w:tcPr>
            <w:tcW w:w="1559" w:type="dxa"/>
            <w:vAlign w:val="center"/>
            <w:textDirection w:val="lrTb"/>
            <w:noWrap w:val="false"/>
          </w:tcPr>
          <w:p>
            <w:pPr>
              <w:rPr>
                <w:rFonts w:hint="eastAsia" w:hAnsi="宋体"/>
              </w:rPr>
            </w:pPr>
            <w:r>
              <w:rPr>
                <w:rFonts w:hint="eastAsia" w:hAnsi="宋体"/>
              </w:rPr>
            </w:r>
            <w:r/>
          </w:p>
        </w:tc>
        <w:tc>
          <w:tcPr>
            <w:tcW w:w="1560" w:type="dxa"/>
            <w:vAlign w:val="center"/>
            <w:textDirection w:val="lrTb"/>
            <w:noWrap w:val="false"/>
          </w:tcPr>
          <w:p>
            <w:pPr>
              <w:rPr>
                <w:rFonts w:hint="eastAsia" w:hAnsi="宋体"/>
              </w:rPr>
            </w:pPr>
            <w:r>
              <w:rPr>
                <w:rFonts w:hint="eastAsia" w:hAnsi="宋体"/>
              </w:rPr>
            </w:r>
            <w:r/>
          </w:p>
        </w:tc>
      </w:tr>
      <w:tr>
        <w:trPr>
          <w:trHeight w:val="524"/>
        </w:trPr>
        <w:tc>
          <w:tcPr>
            <w:tcW w:w="646" w:type="dxa"/>
            <w:vAlign w:val="center"/>
            <w:textDirection w:val="lrTb"/>
            <w:noWrap w:val="false"/>
          </w:tcPr>
          <w:p>
            <w:pPr>
              <w:rPr>
                <w:rFonts w:hint="eastAsia" w:hAnsi="宋体"/>
              </w:rPr>
            </w:pPr>
            <w:r>
              <w:rPr>
                <w:rFonts w:hint="eastAsia" w:hAnsi="宋体"/>
              </w:rPr>
            </w:r>
            <w:r/>
          </w:p>
        </w:tc>
        <w:tc>
          <w:tcPr>
            <w:tcW w:w="470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559" w:type="dxa"/>
            <w:vAlign w:val="center"/>
            <w:textDirection w:val="lrTb"/>
            <w:noWrap w:val="false"/>
          </w:tcPr>
          <w:p>
            <w:pPr>
              <w:rPr>
                <w:rFonts w:hint="eastAsia" w:hAnsi="宋体"/>
              </w:rPr>
            </w:pPr>
            <w:r>
              <w:rPr>
                <w:rFonts w:hint="eastAsia" w:hAnsi="宋体"/>
              </w:rPr>
            </w:r>
            <w:r/>
          </w:p>
        </w:tc>
        <w:tc>
          <w:tcPr>
            <w:tcW w:w="1560" w:type="dxa"/>
            <w:vAlign w:val="center"/>
            <w:textDirection w:val="lrTb"/>
            <w:noWrap w:val="false"/>
          </w:tcPr>
          <w:p>
            <w:pPr>
              <w:rPr>
                <w:rFonts w:hint="eastAsia" w:hAnsi="宋体"/>
              </w:rPr>
            </w:pPr>
            <w:r>
              <w:rPr>
                <w:rFonts w:hint="eastAsia" w:hAnsi="宋体"/>
              </w:rPr>
            </w:r>
            <w:r/>
          </w:p>
        </w:tc>
      </w:tr>
      <w:tr>
        <w:trPr>
          <w:trHeight w:val="524"/>
        </w:trPr>
        <w:tc>
          <w:tcPr>
            <w:tcW w:w="646" w:type="dxa"/>
            <w:vAlign w:val="center"/>
            <w:textDirection w:val="lrTb"/>
            <w:noWrap w:val="false"/>
          </w:tcPr>
          <w:p>
            <w:pPr>
              <w:rPr>
                <w:rFonts w:hint="eastAsia" w:hAnsi="宋体"/>
              </w:rPr>
            </w:pPr>
            <w:r>
              <w:rPr>
                <w:rFonts w:hint="eastAsia" w:hAnsi="宋体"/>
              </w:rPr>
            </w:r>
            <w:r/>
          </w:p>
        </w:tc>
        <w:tc>
          <w:tcPr>
            <w:tcW w:w="470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559" w:type="dxa"/>
            <w:vAlign w:val="center"/>
            <w:textDirection w:val="lrTb"/>
            <w:noWrap w:val="false"/>
          </w:tcPr>
          <w:p>
            <w:pPr>
              <w:rPr>
                <w:rFonts w:hint="eastAsia" w:hAnsi="宋体"/>
              </w:rPr>
            </w:pPr>
            <w:r>
              <w:rPr>
                <w:rFonts w:hint="eastAsia" w:hAnsi="宋体"/>
              </w:rPr>
            </w:r>
            <w:r/>
          </w:p>
        </w:tc>
        <w:tc>
          <w:tcPr>
            <w:tcW w:w="1560" w:type="dxa"/>
            <w:vAlign w:val="center"/>
            <w:textDirection w:val="lrTb"/>
            <w:noWrap w:val="false"/>
          </w:tcPr>
          <w:p>
            <w:pPr>
              <w:rPr>
                <w:rFonts w:hint="eastAsia" w:hAnsi="宋体"/>
              </w:rPr>
            </w:pPr>
            <w:r>
              <w:rPr>
                <w:rFonts w:hint="eastAsia"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3045"/>
        <w:spacing w:line="360" w:lineRule="auto"/>
        <w:rPr>
          <w:rFonts w:hint="eastAsia" w:hAnsi="宋体"/>
          <w:bCs/>
          <w:szCs w:val="28"/>
        </w:rPr>
      </w:pPr>
      <w:r>
        <w:rPr>
          <w:rFonts w:hint="eastAsia" w:hAnsi="宋体"/>
          <w:bCs/>
          <w:szCs w:val="28"/>
        </w:rPr>
      </w:r>
      <w:r/>
    </w:p>
    <w:p>
      <w:pPr>
        <w:ind w:firstLine="3045"/>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3045"/>
        <w:spacing w:line="360" w:lineRule="auto"/>
        <w:rPr>
          <w:rFonts w:hint="eastAsia" w:hAnsi="宋体"/>
          <w:bCs/>
          <w:szCs w:val="28"/>
        </w:rPr>
      </w:pPr>
      <w:r>
        <w:rPr>
          <w:rFonts w:hint="eastAsia" w:hAnsi="宋体"/>
          <w:bCs/>
          <w:szCs w:val="28"/>
        </w:rPr>
        <w:t xml:space="preserve">日期：</w:t>
      </w:r>
      <w:r>
        <w:rPr>
          <w:rFonts w:hint="eastAsia" w:hAnsi="宋体"/>
          <w:bCs/>
          <w:szCs w:val="28"/>
        </w:rPr>
        <w:t xml:space="preserve">   </w:t>
      </w:r>
      <w:r>
        <w:rPr>
          <w:rFonts w:hint="eastAsia" w:hAnsi="宋体"/>
          <w:bCs/>
          <w:szCs w:val="28"/>
        </w:rPr>
        <w:t xml:space="preserve">年</w:t>
      </w:r>
      <w:r>
        <w:rPr>
          <w:rFonts w:hint="eastAsia" w:hAnsi="宋体"/>
          <w:bCs/>
          <w:szCs w:val="28"/>
        </w:rPr>
        <w:t xml:space="preserve">  </w:t>
      </w:r>
      <w:r>
        <w:rPr>
          <w:rFonts w:hint="eastAsia" w:hAnsi="宋体"/>
          <w:bCs/>
          <w:szCs w:val="28"/>
        </w:rPr>
        <w:t xml:space="preserve">月</w:t>
      </w:r>
      <w:r>
        <w:rPr>
          <w:rFonts w:hint="eastAsia" w:hAnsi="宋体"/>
          <w:bCs/>
          <w:szCs w:val="28"/>
        </w:rPr>
        <w:t xml:space="preserve">   </w:t>
      </w:r>
      <w:r>
        <w:rPr>
          <w:rFonts w:hint="eastAsia" w:hAnsi="宋体"/>
          <w:bCs/>
          <w:szCs w:val="28"/>
        </w:rPr>
        <w:t xml:space="preserve">日</w:t>
      </w:r>
      <w:r/>
    </w:p>
    <w:p>
      <w:pPr>
        <w:spacing w:before="50" w:after="50"/>
        <w:rPr>
          <w:rFonts w:hint="eastAsia" w:hAnsi="宋体"/>
          <w:b/>
          <w:bCs/>
          <w:sz w:val="32"/>
          <w:szCs w:val="32"/>
        </w:rPr>
      </w:pPr>
      <w:r>
        <w:rPr>
          <w:rFonts w:hint="eastAsia" w:hAnsi="宋体"/>
          <w:b/>
          <w:bCs/>
          <w:sz w:val="32"/>
          <w:szCs w:val="32"/>
        </w:rPr>
      </w:r>
      <w:r/>
    </w:p>
    <w:p>
      <w:pPr>
        <w:spacing w:before="50" w:after="50"/>
        <w:rPr>
          <w:rFonts w:hint="eastAsia" w:hAnsi="宋体"/>
          <w:b/>
          <w:bCs/>
          <w:sz w:val="32"/>
          <w:szCs w:val="32"/>
        </w:rPr>
      </w:pPr>
      <w:r>
        <w:rPr>
          <w:rFonts w:hint="eastAsia" w:hAnsi="宋体"/>
          <w:b/>
          <w:bCs/>
          <w:sz w:val="32"/>
          <w:szCs w:val="32"/>
        </w:rPr>
      </w:r>
      <w:r/>
    </w:p>
    <w:p>
      <w:pPr>
        <w:jc w:val="center"/>
        <w:spacing w:before="50" w:after="50"/>
        <w:rPr>
          <w:rFonts w:hint="eastAsia" w:hAnsi="宋体"/>
          <w:b/>
          <w:bCs/>
          <w:sz w:val="32"/>
          <w:szCs w:val="32"/>
        </w:rPr>
      </w:pPr>
      <w:r>
        <w:rPr>
          <w:rFonts w:hint="eastAsia" w:hAnsi="宋体"/>
          <w:b/>
          <w:bCs/>
          <w:sz w:val="32"/>
          <w:szCs w:val="32"/>
        </w:rPr>
      </w:r>
      <w:r/>
    </w:p>
    <w:p>
      <w:pPr>
        <w:spacing w:before="50" w:after="50"/>
        <w:rPr>
          <w:rFonts w:hint="eastAsia" w:hAnsi="宋体"/>
          <w:b/>
          <w:bCs/>
          <w:sz w:val="32"/>
          <w:szCs w:val="32"/>
        </w:rPr>
      </w:pPr>
      <w:r>
        <w:rPr>
          <w:rFonts w:hint="eastAsia" w:hAnsi="宋体"/>
          <w:b/>
          <w:bCs/>
          <w:sz w:val="32"/>
          <w:szCs w:val="32"/>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十五、符合性检查响应对照表</w:t>
      </w:r>
      <w:r/>
    </w:p>
    <w:tbl>
      <w:tblPr>
        <w:tblW w:w="8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5"/>
        <w:gridCol w:w="3276"/>
        <w:gridCol w:w="2268"/>
        <w:gridCol w:w="1701"/>
      </w:tblGrid>
      <w:tr>
        <w:trPr>
          <w:trHeight w:val="882"/>
        </w:trPr>
        <w:tc>
          <w:tcPr>
            <w:tcW w:w="1085"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3276"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2268"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01"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1085" w:type="dxa"/>
            <w:vAlign w:val="center"/>
            <w:textDirection w:val="lrTb"/>
            <w:noWrap w:val="false"/>
          </w:tcPr>
          <w:p>
            <w:pPr>
              <w:ind w:firstLine="480"/>
              <w:rPr>
                <w:rFonts w:hint="eastAsia" w:hAnsi="宋体"/>
                <w:iCs/>
                <w:sz w:val="24"/>
              </w:rPr>
            </w:pPr>
            <w:r>
              <w:rPr>
                <w:rFonts w:hint="eastAsia" w:hAnsi="宋体"/>
                <w:iCs/>
                <w:sz w:val="24"/>
              </w:rPr>
              <w:t xml:space="preserve">1</w:t>
            </w:r>
            <w:r/>
          </w:p>
        </w:tc>
        <w:tc>
          <w:tcPr>
            <w:tcW w:w="3276" w:type="dxa"/>
            <w:vAlign w:val="center"/>
            <w:textDirection w:val="lrTb"/>
            <w:noWrap w:val="false"/>
          </w:tcPr>
          <w:p>
            <w:pPr>
              <w:rPr>
                <w:rFonts w:hint="eastAsia" w:hAnsi="宋体"/>
                <w:iCs/>
                <w:sz w:val="24"/>
              </w:rPr>
            </w:pPr>
            <w:r>
              <w:rPr>
                <w:rFonts w:hint="eastAsia" w:hAnsi="宋体"/>
                <w:iCs/>
                <w:sz w:val="24"/>
              </w:rPr>
              <w:t xml:space="preserve">服务期</w:t>
            </w:r>
            <w:r/>
          </w:p>
        </w:tc>
        <w:tc>
          <w:tcPr>
            <w:tcW w:w="2268" w:type="dxa"/>
            <w:vAlign w:val="center"/>
            <w:textDirection w:val="lrTb"/>
            <w:noWrap w:val="false"/>
          </w:tcPr>
          <w:p>
            <w:pPr>
              <w:rPr>
                <w:rFonts w:hint="eastAsia" w:hAnsi="宋体"/>
              </w:rPr>
            </w:pPr>
            <w:r>
              <w:rPr>
                <w:rFonts w:hint="eastAsia" w:hAnsi="宋体"/>
              </w:rPr>
            </w:r>
            <w:r/>
          </w:p>
        </w:tc>
        <w:tc>
          <w:tcPr>
            <w:tcW w:w="1701" w:type="dxa"/>
            <w:vAlign w:val="center"/>
            <w:textDirection w:val="lrTb"/>
            <w:noWrap w:val="false"/>
          </w:tcPr>
          <w:p>
            <w:pPr>
              <w:rPr>
                <w:rFonts w:hint="eastAsia" w:hAnsi="宋体"/>
              </w:rPr>
            </w:pPr>
            <w:r>
              <w:rPr>
                <w:rFonts w:hint="eastAsia" w:hAnsi="宋体"/>
              </w:rPr>
            </w:r>
            <w:r/>
          </w:p>
        </w:tc>
      </w:tr>
      <w:tr>
        <w:trPr>
          <w:trHeight w:val="585"/>
        </w:trPr>
        <w:tc>
          <w:tcPr>
            <w:tcW w:w="1085" w:type="dxa"/>
            <w:vAlign w:val="center"/>
            <w:textDirection w:val="lrTb"/>
            <w:noWrap w:val="false"/>
          </w:tcPr>
          <w:p>
            <w:pPr>
              <w:ind w:firstLine="480"/>
              <w:rPr>
                <w:rFonts w:hint="eastAsia" w:hAnsi="宋体"/>
                <w:iCs/>
                <w:sz w:val="24"/>
              </w:rPr>
            </w:pPr>
            <w:r>
              <w:rPr>
                <w:rFonts w:hint="eastAsia" w:hAnsi="宋体"/>
                <w:iCs/>
                <w:sz w:val="24"/>
              </w:rPr>
              <w:t xml:space="preserve">2</w:t>
            </w:r>
            <w:r/>
          </w:p>
        </w:tc>
        <w:tc>
          <w:tcPr>
            <w:tcW w:w="3276" w:type="dxa"/>
            <w:vAlign w:val="center"/>
            <w:textDirection w:val="lrTb"/>
            <w:noWrap w:val="false"/>
          </w:tcPr>
          <w:p>
            <w:pPr>
              <w:rPr>
                <w:rFonts w:hint="eastAsia" w:hAnsi="宋体"/>
                <w:iCs/>
                <w:sz w:val="24"/>
              </w:rPr>
            </w:pPr>
            <w:r>
              <w:rPr>
                <w:rFonts w:hint="eastAsia" w:hAnsi="宋体"/>
                <w:iCs/>
                <w:sz w:val="24"/>
              </w:rPr>
              <w:t xml:space="preserve">其他实质性响应内容</w:t>
            </w:r>
            <w:r/>
          </w:p>
        </w:tc>
        <w:tc>
          <w:tcPr>
            <w:tcW w:w="2268" w:type="dxa"/>
            <w:vAlign w:val="center"/>
            <w:textDirection w:val="lrTb"/>
            <w:noWrap w:val="false"/>
          </w:tcPr>
          <w:p>
            <w:pPr>
              <w:rPr>
                <w:rFonts w:hint="eastAsia" w:hAnsi="宋体"/>
                <w:iCs/>
                <w:sz w:val="24"/>
              </w:rPr>
            </w:pPr>
            <w:r>
              <w:rPr>
                <w:rFonts w:hint="eastAsia" w:hAnsi="宋体"/>
                <w:iCs/>
                <w:sz w:val="24"/>
              </w:rPr>
            </w:r>
            <w:r/>
          </w:p>
        </w:tc>
        <w:tc>
          <w:tcPr>
            <w:tcW w:w="1701" w:type="dxa"/>
            <w:vAlign w:val="center"/>
            <w:textDirection w:val="lrTb"/>
            <w:noWrap w:val="false"/>
          </w:tcPr>
          <w:p>
            <w:pPr>
              <w:rPr>
                <w:rFonts w:hint="eastAsia" w:hAnsi="宋体"/>
                <w:iCs/>
                <w:sz w:val="24"/>
              </w:rPr>
            </w:pPr>
            <w:r>
              <w:rPr>
                <w:rFonts w:hint="eastAsia" w:hAnsi="宋体"/>
                <w:iCs/>
                <w:sz w:val="24"/>
              </w:rPr>
            </w:r>
            <w:r/>
          </w:p>
        </w:tc>
      </w:tr>
      <w:tr>
        <w:trPr>
          <w:trHeight w:val="561"/>
        </w:trPr>
        <w:tc>
          <w:tcPr>
            <w:tcW w:w="1085" w:type="dxa"/>
            <w:vAlign w:val="center"/>
            <w:textDirection w:val="lrTb"/>
            <w:noWrap w:val="false"/>
          </w:tcPr>
          <w:p>
            <w:pPr>
              <w:rPr>
                <w:rFonts w:hint="eastAsia" w:hAnsi="宋体"/>
              </w:rPr>
            </w:pPr>
            <w:r>
              <w:rPr>
                <w:rFonts w:hint="eastAsia" w:hAnsi="宋体"/>
              </w:rPr>
            </w:r>
            <w:r/>
          </w:p>
        </w:tc>
        <w:tc>
          <w:tcPr>
            <w:tcW w:w="3276" w:type="dxa"/>
            <w:vAlign w:val="center"/>
            <w:textDirection w:val="lrTb"/>
            <w:noWrap w:val="false"/>
          </w:tcPr>
          <w:p>
            <w:pPr>
              <w:rPr>
                <w:rFonts w:hint="eastAsia" w:hAnsi="宋体"/>
                <w:iCs/>
                <w:sz w:val="24"/>
              </w:rPr>
            </w:pPr>
            <w:r>
              <w:rPr>
                <w:rFonts w:hint="eastAsia" w:hAnsi="宋体"/>
                <w:iCs/>
                <w:sz w:val="24"/>
              </w:rPr>
            </w:r>
            <w:r/>
          </w:p>
        </w:tc>
        <w:tc>
          <w:tcPr>
            <w:tcW w:w="2268" w:type="dxa"/>
            <w:vAlign w:val="center"/>
            <w:textDirection w:val="lrTb"/>
            <w:noWrap w:val="false"/>
          </w:tcPr>
          <w:p>
            <w:pPr>
              <w:rPr>
                <w:rFonts w:hint="eastAsia" w:hAnsi="宋体"/>
              </w:rPr>
            </w:pPr>
            <w:r>
              <w:rPr>
                <w:rFonts w:hint="eastAsia" w:hAnsi="宋体"/>
              </w:rPr>
            </w:r>
            <w:r/>
          </w:p>
        </w:tc>
        <w:tc>
          <w:tcPr>
            <w:tcW w:w="1701" w:type="dxa"/>
            <w:vAlign w:val="center"/>
            <w:textDirection w:val="lrTb"/>
            <w:noWrap w:val="false"/>
          </w:tcPr>
          <w:p>
            <w:pPr>
              <w:rPr>
                <w:rFonts w:hint="eastAsia" w:hAnsi="宋体"/>
              </w:rPr>
            </w:pPr>
            <w:r>
              <w:rPr>
                <w:rFonts w:hint="eastAsia" w:hAnsi="宋体"/>
              </w:rPr>
            </w:r>
            <w:r/>
          </w:p>
        </w:tc>
      </w:tr>
      <w:tr>
        <w:trPr>
          <w:trHeight w:val="571"/>
        </w:trPr>
        <w:tc>
          <w:tcPr>
            <w:tcW w:w="1085" w:type="dxa"/>
            <w:vAlign w:val="center"/>
            <w:textDirection w:val="lrTb"/>
            <w:noWrap w:val="false"/>
          </w:tcPr>
          <w:p>
            <w:pPr>
              <w:rPr>
                <w:rFonts w:hint="eastAsia" w:hAnsi="宋体"/>
              </w:rPr>
            </w:pPr>
            <w:r>
              <w:rPr>
                <w:rFonts w:hint="eastAsia" w:hAnsi="宋体"/>
              </w:rPr>
            </w:r>
            <w:r/>
          </w:p>
        </w:tc>
        <w:tc>
          <w:tcPr>
            <w:tcW w:w="3276"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2268" w:type="dxa"/>
            <w:vAlign w:val="center"/>
            <w:textDirection w:val="lrTb"/>
            <w:noWrap w:val="false"/>
          </w:tcPr>
          <w:p>
            <w:pPr>
              <w:rPr>
                <w:rFonts w:hint="eastAsia" w:hAnsi="宋体"/>
              </w:rPr>
            </w:pPr>
            <w:r>
              <w:rPr>
                <w:rFonts w:hint="eastAsia" w:hAnsi="宋体"/>
              </w:rPr>
            </w:r>
            <w:r/>
          </w:p>
        </w:tc>
        <w:tc>
          <w:tcPr>
            <w:tcW w:w="1701" w:type="dxa"/>
            <w:vAlign w:val="center"/>
            <w:textDirection w:val="lrTb"/>
            <w:noWrap w:val="false"/>
          </w:tcPr>
          <w:p>
            <w:pPr>
              <w:rPr>
                <w:rFonts w:hint="eastAsia" w:hAnsi="宋体"/>
              </w:rPr>
            </w:pPr>
            <w:r>
              <w:rPr>
                <w:rFonts w:hint="eastAsia" w:hAnsi="宋体"/>
              </w:rPr>
            </w:r>
            <w:r/>
          </w:p>
        </w:tc>
      </w:tr>
      <w:tr>
        <w:trPr>
          <w:trHeight w:val="541"/>
        </w:trPr>
        <w:tc>
          <w:tcPr>
            <w:tcW w:w="1085" w:type="dxa"/>
            <w:vAlign w:val="center"/>
            <w:textDirection w:val="lrTb"/>
            <w:noWrap w:val="false"/>
          </w:tcPr>
          <w:p>
            <w:pPr>
              <w:rPr>
                <w:rFonts w:hint="eastAsia" w:hAnsi="宋体"/>
              </w:rPr>
            </w:pPr>
            <w:r>
              <w:rPr>
                <w:rFonts w:hint="eastAsia" w:hAnsi="宋体"/>
              </w:rPr>
            </w:r>
            <w:r/>
          </w:p>
        </w:tc>
        <w:tc>
          <w:tcPr>
            <w:tcW w:w="3276"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2268" w:type="dxa"/>
            <w:vAlign w:val="center"/>
            <w:textDirection w:val="lrTb"/>
            <w:noWrap w:val="false"/>
          </w:tcPr>
          <w:p>
            <w:pPr>
              <w:rPr>
                <w:rFonts w:hint="eastAsia" w:hAnsi="宋体"/>
              </w:rPr>
            </w:pPr>
            <w:r>
              <w:rPr>
                <w:rFonts w:hint="eastAsia" w:hAnsi="宋体"/>
              </w:rPr>
            </w:r>
            <w:r/>
          </w:p>
        </w:tc>
        <w:tc>
          <w:tcPr>
            <w:tcW w:w="1701" w:type="dxa"/>
            <w:vAlign w:val="center"/>
            <w:textDirection w:val="lrTb"/>
            <w:noWrap w:val="false"/>
          </w:tcPr>
          <w:p>
            <w:pPr>
              <w:rPr>
                <w:rFonts w:hint="eastAsia" w:hAnsi="宋体"/>
              </w:rPr>
            </w:pPr>
            <w:r>
              <w:rPr>
                <w:rFonts w:hint="eastAsia" w:hAnsi="宋体"/>
              </w:rPr>
            </w:r>
            <w:r/>
          </w:p>
        </w:tc>
      </w:tr>
      <w:tr>
        <w:trPr>
          <w:trHeight w:val="400"/>
        </w:trPr>
        <w:tc>
          <w:tcPr>
            <w:tcW w:w="1085" w:type="dxa"/>
            <w:vAlign w:val="center"/>
            <w:textDirection w:val="lrTb"/>
            <w:noWrap w:val="false"/>
          </w:tcPr>
          <w:p>
            <w:pPr>
              <w:rPr>
                <w:rFonts w:hint="eastAsia" w:hAnsi="宋体"/>
              </w:rPr>
            </w:pPr>
            <w:r>
              <w:rPr>
                <w:rFonts w:hint="eastAsia" w:hAnsi="宋体"/>
              </w:rPr>
            </w:r>
            <w:r/>
          </w:p>
        </w:tc>
        <w:tc>
          <w:tcPr>
            <w:tcW w:w="3276"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2268" w:type="dxa"/>
            <w:vAlign w:val="center"/>
            <w:textDirection w:val="lrTb"/>
            <w:noWrap w:val="false"/>
          </w:tcPr>
          <w:p>
            <w:pPr>
              <w:rPr>
                <w:rFonts w:hint="eastAsia" w:hAnsi="宋体"/>
              </w:rPr>
            </w:pPr>
            <w:r>
              <w:rPr>
                <w:rFonts w:hint="eastAsia" w:hAnsi="宋体"/>
              </w:rPr>
            </w:r>
            <w:r/>
          </w:p>
        </w:tc>
        <w:tc>
          <w:tcPr>
            <w:tcW w:w="1701" w:type="dxa"/>
            <w:vAlign w:val="center"/>
            <w:textDirection w:val="lrTb"/>
            <w:noWrap w:val="false"/>
          </w:tcPr>
          <w:p>
            <w:pPr>
              <w:rPr>
                <w:rFonts w:hint="eastAsia" w:hAnsi="宋体"/>
              </w:rPr>
            </w:pPr>
            <w:r>
              <w:rPr>
                <w:rFonts w:hint="eastAsia"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ind w:firstLine="3045"/>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3045"/>
        <w:spacing w:line="360" w:lineRule="auto"/>
        <w:rPr>
          <w:rFonts w:hint="eastAsia" w:hAnsi="宋体"/>
          <w:bCs/>
          <w:szCs w:val="28"/>
        </w:rPr>
      </w:pPr>
      <w:r>
        <w:rPr>
          <w:rFonts w:hint="eastAsia" w:hAnsi="宋体"/>
          <w:bCs/>
          <w:szCs w:val="28"/>
        </w:rPr>
        <w:t xml:space="preserve">日期：</w:t>
      </w:r>
      <w:r>
        <w:rPr>
          <w:rFonts w:hint="eastAsia" w:hAnsi="宋体"/>
          <w:bCs/>
          <w:szCs w:val="28"/>
        </w:rPr>
        <w:t xml:space="preserve">   </w:t>
      </w:r>
      <w:r>
        <w:rPr>
          <w:rFonts w:hint="eastAsia" w:hAnsi="宋体"/>
          <w:bCs/>
          <w:szCs w:val="28"/>
        </w:rPr>
        <w:t xml:space="preserve">年</w:t>
      </w:r>
      <w:r>
        <w:rPr>
          <w:rFonts w:hint="eastAsia" w:hAnsi="宋体"/>
          <w:bCs/>
          <w:szCs w:val="28"/>
        </w:rPr>
        <w:t xml:space="preserve">  </w:t>
      </w:r>
      <w:r>
        <w:rPr>
          <w:rFonts w:hint="eastAsia" w:hAnsi="宋体"/>
          <w:bCs/>
          <w:szCs w:val="28"/>
        </w:rPr>
        <w:t xml:space="preserve">月</w:t>
      </w:r>
      <w:r>
        <w:rPr>
          <w:rFonts w:hint="eastAsia" w:hAnsi="宋体"/>
          <w:bCs/>
          <w:szCs w:val="28"/>
        </w:rPr>
        <w:t xml:space="preserve">   </w:t>
      </w:r>
      <w:r>
        <w:rPr>
          <w:rFonts w:hint="eastAsia" w:hAnsi="宋体"/>
          <w:bCs/>
          <w:szCs w:val="28"/>
        </w:rPr>
        <w:t xml:space="preserve">日</w:t>
      </w:r>
      <w:r/>
    </w:p>
    <w:p>
      <w:pPr>
        <w:ind w:left="420"/>
        <w:jc w:val="center"/>
        <w:rPr>
          <w:rFonts w:hint="eastAsia" w:ascii="宋体" w:hAnsi="宋体"/>
          <w:b/>
          <w:sz w:val="32"/>
          <w:szCs w:val="32"/>
        </w:rPr>
        <w:outlineLvl w:val="1"/>
      </w:pPr>
      <w:r>
        <w:rPr>
          <w:rFonts w:hint="eastAsia" w:ascii="宋体" w:hAnsi="宋体"/>
          <w:b/>
          <w:sz w:val="32"/>
          <w:szCs w:val="32"/>
        </w:rPr>
      </w:r>
      <w:r/>
    </w:p>
    <w:p>
      <w:pPr>
        <w:pStyle w:val="822"/>
        <w:jc w:val="both"/>
        <w:spacing w:beforeAutospacing="0" w:afterAutospacing="0"/>
      </w:pPr>
      <w:r>
        <w:t xml:space="preserve"> </w:t>
      </w:r>
      <w:r/>
    </w:p>
    <w:p>
      <w:pPr>
        <w:pStyle w:val="822"/>
        <w:jc w:val="center"/>
        <w:spacing w:beforeAutospacing="0" w:afterAutospacing="0"/>
      </w:pPr>
      <w:r/>
      <w:bookmarkStart w:id="204" w:name="_Hlt26609389"/>
      <w:r/>
      <w:bookmarkStart w:id="205" w:name="_格式2__法定代表人授权书"/>
      <w:r/>
      <w:bookmarkStart w:id="206" w:name="_Hlt26671374"/>
      <w:r/>
      <w:bookmarkStart w:id="207" w:name="_Toc462564146"/>
      <w:r/>
      <w:bookmarkStart w:id="208" w:name="_Hlt26955066"/>
      <w:r>
        <w:t xml:space="preserve"> </w:t>
      </w:r>
      <w:r/>
    </w:p>
    <w:p>
      <w:pPr>
        <w:pStyle w:val="822"/>
        <w:jc w:val="both"/>
        <w:spacing w:beforeAutospacing="0" w:afterAutospacing="0"/>
      </w:pPr>
      <w:r>
        <w:t xml:space="preserve"> </w:t>
      </w:r>
      <w:r/>
    </w:p>
    <w:p>
      <w:pPr>
        <w:pStyle w:val="822"/>
        <w:jc w:val="both"/>
        <w:spacing w:beforeAutospacing="0" w:afterAutospacing="0"/>
      </w:pPr>
      <w:r>
        <w:t xml:space="preserve"> </w:t>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
    </w:p>
    <w:p>
      <w:pPr>
        <w:pStyle w:val="822"/>
        <w:jc w:val="both"/>
        <w:spacing w:beforeAutospacing="0" w:afterAutospacing="0"/>
      </w:pPr>
      <w:r>
        <w:rPr>
          <w:rFonts w:hint="eastAsia" w:ascii="黑体" w:hAnsi="宋体" w:eastAsia="黑体" w:cs="黑体"/>
          <w:b/>
          <w:i/>
          <w:color w:val="000000"/>
          <w:sz w:val="32"/>
          <w:szCs w:val="32"/>
          <w:u w:val="single"/>
        </w:rPr>
        <w:t xml:space="preserve">十六、开标一览表</w:t>
      </w:r>
      <w:r/>
    </w:p>
    <w:p>
      <w:pPr>
        <w:pStyle w:val="822"/>
        <w:ind w:firstLine="480"/>
        <w:jc w:val="both"/>
        <w:spacing w:beforeAutospacing="0" w:afterAutospacing="0"/>
      </w:pPr>
      <w:r>
        <w:rPr>
          <w:rFonts w:hint="eastAsia" w:ascii="宋体" w:hAnsi="宋体" w:eastAsia="宋体" w:cs="宋体"/>
          <w:color w:val="000000"/>
        </w:rPr>
        <w:t xml:space="preserve">供应商全称（加盖CA电子签章）：</w:t>
      </w:r>
      <w:r/>
    </w:p>
    <w:p>
      <w:pPr>
        <w:pStyle w:val="822"/>
        <w:ind w:firstLine="480"/>
        <w:jc w:val="both"/>
        <w:spacing w:beforeAutospacing="0" w:afterAutospacing="0"/>
      </w:pPr>
      <w:r>
        <w:rPr>
          <w:rFonts w:hint="eastAsia" w:ascii="宋体" w:hAnsi="宋体" w:eastAsia="宋体" w:cs="宋体"/>
          <w:color w:val="000000"/>
        </w:rPr>
        <w:t xml:space="preserve">项目名称：</w:t>
      </w:r>
      <w:r/>
    </w:p>
    <w:p>
      <w:pPr>
        <w:pStyle w:val="822"/>
        <w:ind w:firstLine="480"/>
        <w:jc w:val="both"/>
        <w:spacing w:beforeAutospacing="0" w:afterAutospacing="0"/>
      </w:pPr>
      <w:r>
        <w:rPr>
          <w:rFonts w:hint="eastAsia" w:ascii="宋体" w:hAnsi="宋体" w:eastAsia="宋体" w:cs="宋体"/>
          <w:color w:val="000000"/>
        </w:rPr>
        <w:t xml:space="preserve">招标编号：                                   </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2"/>
              <w:jc w:val="both"/>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2"/>
              <w:spacing w:beforeAutospacing="0" w:afterAutospacing="0" w:line="0" w:lineRule="atLeast"/>
            </w:pPr>
            <w:r>
              <w:rPr>
                <w:rFonts w:hint="eastAsia" w:ascii="宋体" w:hAnsi="宋体" w:eastAsia="宋体" w:cs="宋体"/>
                <w:color w:val="000000"/>
              </w:rPr>
              <w:t xml:space="preserve">小写：                  （人民币：元）</w:t>
            </w:r>
            <w:r/>
          </w:p>
        </w:tc>
      </w:tr>
    </w:tbl>
    <w:p>
      <w:pPr>
        <w:pStyle w:val="822"/>
        <w:jc w:val="both"/>
        <w:spacing w:beforeAutospacing="0" w:afterAutospacing="0"/>
      </w:pPr>
      <w:r>
        <w:t xml:space="preserve"> </w:t>
      </w:r>
      <w:r/>
    </w:p>
    <w:p>
      <w:pPr>
        <w:pStyle w:val="822"/>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22"/>
        <w:ind w:firstLine="480"/>
        <w:jc w:val="both"/>
        <w:spacing w:beforeAutospacing="0" w:afterAutospacing="0"/>
      </w:pPr>
      <w:r>
        <w:t xml:space="preserve"> </w:t>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pStyle w:val="822"/>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sz w:val="24"/>
        </w:rPr>
      </w:pPr>
      <w:r>
        <w:rPr>
          <w:rFonts w:hint="eastAsia" w:ascii="宋体" w:hAnsi="宋体" w:eastAsia="宋体" w:cs="宋体"/>
          <w:color w:val="000000"/>
          <w:sz w:val="32"/>
          <w:szCs w:val="32"/>
        </w:rPr>
        <w:t xml:space="preserve">十七、技术方案、服务承诺、培训承诺等</w:t>
      </w:r>
      <w:r/>
    </w:p>
    <w:p>
      <w:pPr>
        <w:pStyle w:val="822"/>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十八、盐城市政府采购事前信用承诺书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为营造我市公开、公平、公正、诚实守信的政府采购交易环境，树立诚信守法的供应商形象，本人代表本单位作出以下承诺：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年月日</w:t>
      </w:r>
      <w:r/>
    </w:p>
    <w:p>
      <w:pPr>
        <w:pStyle w:val="822"/>
        <w:jc w:val="center"/>
        <w:spacing w:beforeAutospacing="0" w:afterAutospacing="0"/>
      </w:pPr>
      <w:r/>
      <w:bookmarkEnd w:id="32"/>
      <w:r/>
      <w:bookmarkEnd w:id="50"/>
      <w:r/>
      <w:bookmarkEnd w:id="95"/>
      <w:r/>
      <w:bookmarkEnd w:id="96"/>
      <w:r/>
      <w:bookmarkEnd w:id="97"/>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9"/>
      <w:r/>
      <w:bookmarkEnd w:id="120"/>
      <w:r/>
      <w:bookmarkEnd w:id="121"/>
      <w:r/>
      <w:bookmarkEnd w:id="126"/>
      <w:r/>
      <w:bookmarkEnd w:id="127"/>
      <w:r/>
      <w:bookmarkEnd w:id="134"/>
      <w:r/>
      <w:bookmarkEnd w:id="189"/>
      <w:r/>
      <w:bookmarkEnd w:id="193"/>
      <w:r/>
      <w:bookmarkEnd w:id="197"/>
      <w:r/>
      <w:bookmarkEnd w:id="198"/>
      <w:r/>
      <w:bookmarkEnd w:id="200"/>
      <w:r/>
      <w:bookmarkEnd w:id="201"/>
      <w:r/>
      <w:bookmarkEnd w:id="202"/>
      <w:r/>
      <w:bookmarkEnd w:id="203"/>
      <w:r/>
      <w:bookmarkEnd w:id="204"/>
      <w:r/>
      <w:bookmarkEnd w:id="205"/>
      <w:r/>
      <w:bookmarkEnd w:id="206"/>
      <w:r/>
      <w:bookmarkEnd w:id="207"/>
      <w:r/>
      <w:bookmarkEnd w:id="208"/>
      <w:r/>
      <w:r/>
    </w:p>
    <w:p>
      <w:r/>
      <w:r/>
    </w:p>
    <w:p>
      <w:pPr>
        <w:pStyle w:val="822"/>
        <w:ind w:firstLine="2072"/>
        <w:jc w:val="both"/>
        <w:spacing w:beforeAutospacing="0" w:afterAutospacing="0"/>
        <w:rPr>
          <w:b/>
          <w:bCs/>
          <w:color w:val="000000"/>
          <w:sz w:val="36"/>
          <w:szCs w:val="36"/>
        </w:rPr>
      </w:pPr>
      <w:r>
        <w:rPr>
          <w:rFonts w:hint="eastAsia" w:ascii="黑体" w:hAnsi="黑体" w:eastAsia="黑体" w:cs="黑体"/>
          <w:b/>
          <w:bCs/>
          <w:color w:val="000000"/>
          <w:sz w:val="32"/>
          <w:szCs w:val="32"/>
        </w:rPr>
        <w:t xml:space="preserve">十九、其他材料（如有）</w:t>
      </w:r>
      <w:r/>
    </w:p>
    <w:p>
      <w:pPr>
        <w:pStyle w:val="825"/>
      </w:p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22"/>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2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2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22"/>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82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22"/>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822"/>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822"/>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22"/>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2"/>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22"/>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22"/>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822"/>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22"/>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Pr>
          <w:rFonts w:hint="eastAsia"/>
        </w:rPr>
        <w:t xml:space="preserve">附表一：</w:t>
      </w:r>
      <w:r/>
    </w:p>
    <w:p>
      <w:pPr>
        <w:pStyle w:val="825"/>
      </w:pPr>
      <w:r>
        <mc:AlternateContent>
          <mc:Choice Requires="wpg">
            <w:drawing>
              <wp:inline xmlns:wp="http://schemas.openxmlformats.org/drawingml/2006/wordprocessingDrawing" distT="0" distB="0" distL="0" distR="0">
                <wp:extent cx="5335270" cy="6393180"/>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8"/>
                        <a:stretch/>
                      </pic:blipFill>
                      <pic:spPr bwMode="auto">
                        <a:xfrm>
                          <a:off x="0" y="0"/>
                          <a:ext cx="5335809" cy="63931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0.1pt;height:503.4pt;mso-wrap-distance-left:0.0pt;mso-wrap-distance-top:0.0pt;mso-wrap-distance-right:0.0pt;mso-wrap-distance-bottom:0.0pt;" stroked="f" strokeweight="0.75pt">
                <v:path textboxrect="0,0,0,0"/>
                <v:imagedata r:id="rId8" o:title=""/>
              </v:shape>
            </w:pict>
          </mc:Fallback>
        </mc:AlternateContent>
      </w:r>
      <w:r/>
    </w:p>
    <w:p>
      <w:pPr>
        <w:pStyle w:val="825"/>
        <w:rPr>
          <w:b/>
        </w:rPr>
      </w:pPr>
      <w:r>
        <w:rPr>
          <w:b/>
        </w:rPr>
        <mc:AlternateContent>
          <mc:Choice Requires="wpg">
            <w:drawing>
              <wp:inline xmlns:wp="http://schemas.openxmlformats.org/drawingml/2006/wordprocessingDrawing" distT="0" distB="0" distL="0" distR="0">
                <wp:extent cx="5274310" cy="6596380"/>
                <wp:effectExtent l="19050" t="0" r="2540" b="0"/>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9"/>
                        <a:stretch/>
                      </pic:blipFill>
                      <pic:spPr bwMode="auto">
                        <a:xfrm>
                          <a:off x="0" y="0"/>
                          <a:ext cx="5274310" cy="6596423"/>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519.4pt;mso-wrap-distance-left:0.0pt;mso-wrap-distance-top:0.0pt;mso-wrap-distance-right:0.0pt;mso-wrap-distance-bottom:0.0pt;" stroked="f" strokeweight="0.75pt">
                <v:path textboxrect="0,0,0,0"/>
                <v:imagedata r:id="rId9" o:title=""/>
              </v:shape>
            </w:pict>
          </mc:Fallback>
        </mc:AlternateConten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egoe UI">
    <w:panose1 w:val="020B0502040204020203"/>
  </w:font>
  <w:font w:name="Showcard Gothic">
    <w:panose1 w:val="04020904020102020604"/>
  </w:font>
  <w:font w:name="等线">
    <w:panose1 w:val="02010600030101010101"/>
  </w:font>
  <w:font w:name="仿宋">
    <w:panose1 w:val="02010609060101010101"/>
  </w:font>
  <w:font w:name="Calibri">
    <w:panose1 w:val="020F0502020204030204"/>
  </w:font>
  <w:font w:name="微软雅黑">
    <w:panose1 w:val="020B0503020204020204"/>
  </w:font>
  <w:font w:name="楷体_GB2312">
    <w:panose1 w:val="02010609060101010101"/>
  </w:font>
  <w:font w:name="Microsoft Tai Le">
    <w:panose1 w:val="020B0502040204020203"/>
  </w:font>
  <w:font w:name="Courier New">
    <w:panose1 w:val="020703090202050204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4">
    <w:name w:val="Heading 1 Char"/>
    <w:basedOn w:val="811"/>
    <w:link w:val="808"/>
    <w:uiPriority w:val="9"/>
    <w:rPr>
      <w:rFonts w:ascii="Arial" w:hAnsi="Arial" w:eastAsia="Arial" w:cs="Arial"/>
      <w:sz w:val="40"/>
      <w:szCs w:val="40"/>
    </w:rPr>
  </w:style>
  <w:style w:type="character" w:styleId="635">
    <w:name w:val="Heading 2 Char"/>
    <w:basedOn w:val="811"/>
    <w:link w:val="809"/>
    <w:uiPriority w:val="9"/>
    <w:rPr>
      <w:rFonts w:ascii="Arial" w:hAnsi="Arial" w:eastAsia="Arial" w:cs="Arial"/>
      <w:sz w:val="34"/>
    </w:rPr>
  </w:style>
  <w:style w:type="paragraph" w:styleId="636">
    <w:name w:val="Heading 3"/>
    <w:basedOn w:val="807"/>
    <w:next w:val="807"/>
    <w:link w:val="637"/>
    <w:uiPriority w:val="9"/>
    <w:unhideWhenUsed/>
    <w:qFormat/>
    <w:pPr>
      <w:keepLines/>
      <w:keepNext/>
      <w:spacing w:before="320" w:after="200"/>
      <w:outlineLvl w:val="2"/>
    </w:pPr>
    <w:rPr>
      <w:rFonts w:ascii="Arial" w:hAnsi="Arial" w:eastAsia="Arial" w:cs="Arial"/>
      <w:sz w:val="30"/>
      <w:szCs w:val="30"/>
    </w:rPr>
  </w:style>
  <w:style w:type="character" w:styleId="637">
    <w:name w:val="Heading 3 Char"/>
    <w:basedOn w:val="811"/>
    <w:link w:val="636"/>
    <w:uiPriority w:val="9"/>
    <w:rPr>
      <w:rFonts w:ascii="Arial" w:hAnsi="Arial" w:eastAsia="Arial" w:cs="Arial"/>
      <w:sz w:val="30"/>
      <w:szCs w:val="30"/>
    </w:rPr>
  </w:style>
  <w:style w:type="character" w:styleId="638">
    <w:name w:val="Heading 4 Char"/>
    <w:basedOn w:val="811"/>
    <w:link w:val="810"/>
    <w:uiPriority w:val="9"/>
    <w:rPr>
      <w:rFonts w:ascii="Arial" w:hAnsi="Arial" w:eastAsia="Arial" w:cs="Arial"/>
      <w:b/>
      <w:bCs/>
      <w:sz w:val="26"/>
      <w:szCs w:val="26"/>
    </w:rPr>
  </w:style>
  <w:style w:type="paragraph" w:styleId="639">
    <w:name w:val="Heading 5"/>
    <w:basedOn w:val="807"/>
    <w:next w:val="807"/>
    <w:link w:val="640"/>
    <w:uiPriority w:val="9"/>
    <w:unhideWhenUsed/>
    <w:qFormat/>
    <w:pPr>
      <w:keepLines/>
      <w:keepNext/>
      <w:spacing w:before="320" w:after="200"/>
      <w:outlineLvl w:val="4"/>
    </w:pPr>
    <w:rPr>
      <w:rFonts w:ascii="Arial" w:hAnsi="Arial" w:eastAsia="Arial" w:cs="Arial"/>
      <w:b/>
      <w:bCs/>
      <w:sz w:val="24"/>
      <w:szCs w:val="24"/>
    </w:rPr>
  </w:style>
  <w:style w:type="character" w:styleId="640">
    <w:name w:val="Heading 5 Char"/>
    <w:basedOn w:val="811"/>
    <w:link w:val="639"/>
    <w:uiPriority w:val="9"/>
    <w:rPr>
      <w:rFonts w:ascii="Arial" w:hAnsi="Arial" w:eastAsia="Arial" w:cs="Arial"/>
      <w:b/>
      <w:bCs/>
      <w:sz w:val="24"/>
      <w:szCs w:val="24"/>
    </w:rPr>
  </w:style>
  <w:style w:type="paragraph" w:styleId="641">
    <w:name w:val="Heading 6"/>
    <w:basedOn w:val="807"/>
    <w:next w:val="807"/>
    <w:link w:val="642"/>
    <w:uiPriority w:val="9"/>
    <w:unhideWhenUsed/>
    <w:qFormat/>
    <w:pPr>
      <w:keepLines/>
      <w:keepNext/>
      <w:spacing w:before="320" w:after="200"/>
      <w:outlineLvl w:val="5"/>
    </w:pPr>
    <w:rPr>
      <w:rFonts w:ascii="Arial" w:hAnsi="Arial" w:eastAsia="Arial" w:cs="Arial"/>
      <w:b/>
      <w:bCs/>
      <w:sz w:val="22"/>
      <w:szCs w:val="22"/>
    </w:rPr>
  </w:style>
  <w:style w:type="character" w:styleId="642">
    <w:name w:val="Heading 6 Char"/>
    <w:basedOn w:val="811"/>
    <w:link w:val="641"/>
    <w:uiPriority w:val="9"/>
    <w:rPr>
      <w:rFonts w:ascii="Arial" w:hAnsi="Arial" w:eastAsia="Arial" w:cs="Arial"/>
      <w:b/>
      <w:bCs/>
      <w:sz w:val="22"/>
      <w:szCs w:val="22"/>
    </w:rPr>
  </w:style>
  <w:style w:type="paragraph" w:styleId="643">
    <w:name w:val="Heading 7"/>
    <w:basedOn w:val="807"/>
    <w:next w:val="807"/>
    <w:link w:val="644"/>
    <w:uiPriority w:val="9"/>
    <w:unhideWhenUsed/>
    <w:qFormat/>
    <w:pPr>
      <w:keepLines/>
      <w:keepNext/>
      <w:spacing w:before="320" w:after="200"/>
      <w:outlineLvl w:val="6"/>
    </w:pPr>
    <w:rPr>
      <w:rFonts w:ascii="Arial" w:hAnsi="Arial" w:eastAsia="Arial" w:cs="Arial"/>
      <w:b/>
      <w:bCs/>
      <w:i/>
      <w:iCs/>
      <w:sz w:val="22"/>
      <w:szCs w:val="22"/>
    </w:rPr>
  </w:style>
  <w:style w:type="character" w:styleId="644">
    <w:name w:val="Heading 7 Char"/>
    <w:basedOn w:val="811"/>
    <w:link w:val="643"/>
    <w:uiPriority w:val="9"/>
    <w:rPr>
      <w:rFonts w:ascii="Arial" w:hAnsi="Arial" w:eastAsia="Arial" w:cs="Arial"/>
      <w:b/>
      <w:bCs/>
      <w:i/>
      <w:iCs/>
      <w:sz w:val="22"/>
      <w:szCs w:val="22"/>
    </w:rPr>
  </w:style>
  <w:style w:type="paragraph" w:styleId="645">
    <w:name w:val="Heading 8"/>
    <w:basedOn w:val="807"/>
    <w:next w:val="807"/>
    <w:link w:val="646"/>
    <w:uiPriority w:val="9"/>
    <w:unhideWhenUsed/>
    <w:qFormat/>
    <w:pPr>
      <w:keepLines/>
      <w:keepNext/>
      <w:spacing w:before="320" w:after="200"/>
      <w:outlineLvl w:val="7"/>
    </w:pPr>
    <w:rPr>
      <w:rFonts w:ascii="Arial" w:hAnsi="Arial" w:eastAsia="Arial" w:cs="Arial"/>
      <w:i/>
      <w:iCs/>
      <w:sz w:val="22"/>
      <w:szCs w:val="22"/>
    </w:rPr>
  </w:style>
  <w:style w:type="character" w:styleId="646">
    <w:name w:val="Heading 8 Char"/>
    <w:basedOn w:val="811"/>
    <w:link w:val="645"/>
    <w:uiPriority w:val="9"/>
    <w:rPr>
      <w:rFonts w:ascii="Arial" w:hAnsi="Arial" w:eastAsia="Arial" w:cs="Arial"/>
      <w:i/>
      <w:iCs/>
      <w:sz w:val="22"/>
      <w:szCs w:val="22"/>
    </w:rPr>
  </w:style>
  <w:style w:type="paragraph" w:styleId="647">
    <w:name w:val="Heading 9"/>
    <w:basedOn w:val="807"/>
    <w:next w:val="807"/>
    <w:link w:val="648"/>
    <w:uiPriority w:val="9"/>
    <w:unhideWhenUsed/>
    <w:qFormat/>
    <w:pPr>
      <w:keepLines/>
      <w:keepNext/>
      <w:spacing w:before="320" w:after="200"/>
      <w:outlineLvl w:val="8"/>
    </w:pPr>
    <w:rPr>
      <w:rFonts w:ascii="Arial" w:hAnsi="Arial" w:eastAsia="Arial" w:cs="Arial"/>
      <w:i/>
      <w:iCs/>
      <w:sz w:val="21"/>
      <w:szCs w:val="21"/>
    </w:rPr>
  </w:style>
  <w:style w:type="character" w:styleId="648">
    <w:name w:val="Heading 9 Char"/>
    <w:basedOn w:val="811"/>
    <w:link w:val="647"/>
    <w:uiPriority w:val="9"/>
    <w:rPr>
      <w:rFonts w:ascii="Arial" w:hAnsi="Arial" w:eastAsia="Arial" w:cs="Arial"/>
      <w:i/>
      <w:iCs/>
      <w:sz w:val="21"/>
      <w:szCs w:val="21"/>
    </w:rPr>
  </w:style>
  <w:style w:type="paragraph" w:styleId="649">
    <w:name w:val="List Paragraph"/>
    <w:basedOn w:val="807"/>
    <w:uiPriority w:val="34"/>
    <w:qFormat/>
    <w:pPr>
      <w:contextualSpacing/>
      <w:ind w:left="720"/>
    </w:pPr>
  </w:style>
  <w:style w:type="paragraph" w:styleId="650">
    <w:name w:val="No Spacing"/>
    <w:uiPriority w:val="1"/>
    <w:qFormat/>
    <w:pPr>
      <w:spacing w:before="0" w:after="0" w:line="240" w:lineRule="auto"/>
    </w:pPr>
  </w:style>
  <w:style w:type="paragraph" w:styleId="651">
    <w:name w:val="Title"/>
    <w:basedOn w:val="807"/>
    <w:next w:val="807"/>
    <w:link w:val="652"/>
    <w:uiPriority w:val="10"/>
    <w:qFormat/>
    <w:pPr>
      <w:contextualSpacing/>
      <w:spacing w:before="300" w:after="200"/>
    </w:pPr>
    <w:rPr>
      <w:sz w:val="48"/>
      <w:szCs w:val="48"/>
    </w:rPr>
  </w:style>
  <w:style w:type="character" w:styleId="652">
    <w:name w:val="Title Char"/>
    <w:basedOn w:val="811"/>
    <w:link w:val="651"/>
    <w:uiPriority w:val="10"/>
    <w:rPr>
      <w:sz w:val="48"/>
      <w:szCs w:val="48"/>
    </w:rPr>
  </w:style>
  <w:style w:type="paragraph" w:styleId="653">
    <w:name w:val="Subtitle"/>
    <w:basedOn w:val="807"/>
    <w:next w:val="807"/>
    <w:link w:val="654"/>
    <w:uiPriority w:val="11"/>
    <w:qFormat/>
    <w:pPr>
      <w:spacing w:before="200" w:after="200"/>
    </w:pPr>
    <w:rPr>
      <w:sz w:val="24"/>
      <w:szCs w:val="24"/>
    </w:rPr>
  </w:style>
  <w:style w:type="character" w:styleId="654">
    <w:name w:val="Subtitle Char"/>
    <w:basedOn w:val="811"/>
    <w:link w:val="653"/>
    <w:uiPriority w:val="11"/>
    <w:rPr>
      <w:sz w:val="24"/>
      <w:szCs w:val="24"/>
    </w:rPr>
  </w:style>
  <w:style w:type="paragraph" w:styleId="655">
    <w:name w:val="Quote"/>
    <w:basedOn w:val="807"/>
    <w:next w:val="807"/>
    <w:link w:val="656"/>
    <w:uiPriority w:val="29"/>
    <w:qFormat/>
    <w:pPr>
      <w:ind w:left="720" w:right="720"/>
    </w:pPr>
    <w:rPr>
      <w:i/>
    </w:rPr>
  </w:style>
  <w:style w:type="character" w:styleId="656">
    <w:name w:val="Quote Char"/>
    <w:link w:val="655"/>
    <w:uiPriority w:val="29"/>
    <w:rPr>
      <w:i/>
    </w:rPr>
  </w:style>
  <w:style w:type="paragraph" w:styleId="657">
    <w:name w:val="Intense Quote"/>
    <w:basedOn w:val="807"/>
    <w:next w:val="807"/>
    <w:link w:val="6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8">
    <w:name w:val="Intense Quote Char"/>
    <w:link w:val="657"/>
    <w:uiPriority w:val="30"/>
    <w:rPr>
      <w:i/>
    </w:rPr>
  </w:style>
  <w:style w:type="character" w:styleId="659">
    <w:name w:val="Header Char"/>
    <w:basedOn w:val="811"/>
    <w:link w:val="821"/>
    <w:uiPriority w:val="99"/>
  </w:style>
  <w:style w:type="character" w:styleId="660">
    <w:name w:val="Footer Char"/>
    <w:basedOn w:val="811"/>
    <w:link w:val="820"/>
    <w:uiPriority w:val="99"/>
  </w:style>
  <w:style w:type="paragraph" w:styleId="661">
    <w:name w:val="Caption"/>
    <w:basedOn w:val="807"/>
    <w:next w:val="807"/>
    <w:uiPriority w:val="35"/>
    <w:semiHidden/>
    <w:unhideWhenUsed/>
    <w:qFormat/>
    <w:pPr>
      <w:spacing w:line="276" w:lineRule="auto"/>
    </w:pPr>
    <w:rPr>
      <w:b/>
      <w:bCs/>
      <w:color w:val="4f81bd" w:themeColor="accent1"/>
      <w:sz w:val="18"/>
      <w:szCs w:val="18"/>
    </w:rPr>
  </w:style>
  <w:style w:type="character" w:styleId="662">
    <w:name w:val="Caption Char"/>
    <w:basedOn w:val="661"/>
    <w:link w:val="820"/>
    <w:uiPriority w:val="99"/>
  </w:style>
  <w:style w:type="table" w:styleId="663">
    <w:name w:val="Table Grid"/>
    <w:basedOn w:val="81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4">
    <w:name w:val="Table Grid Light"/>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5">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6">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7">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8">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9">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0">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1">
    <w:name w:val="Grid Table 1 Light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2">
    <w:name w:val="Grid Table 1 Light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3">
    <w:name w:val="Grid Table 1 Light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4">
    <w:name w:val="Grid Table 1 Light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5">
    <w:name w:val="Grid Table 1 Light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6">
    <w:name w:val="Grid Table 1 Light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7">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2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9">
    <w:name w:val="Grid Table 2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0">
    <w:name w:val="Grid Table 2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1">
    <w:name w:val="Grid Table 2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2">
    <w:name w:val="Grid Table 2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3">
    <w:name w:val="Grid Table 2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4">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3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4 - Accent 1"/>
    <w:basedOn w:val="8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3">
    <w:name w:val="Grid Table 4 - Accent 2"/>
    <w:basedOn w:val="8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4">
    <w:name w:val="Grid Table 4 - Accent 3"/>
    <w:basedOn w:val="8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5">
    <w:name w:val="Grid Table 4 - Accent 4"/>
    <w:basedOn w:val="8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6">
    <w:name w:val="Grid Table 4 - Accent 5"/>
    <w:basedOn w:val="8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7">
    <w:name w:val="Grid Table 4 - Accent 6"/>
    <w:basedOn w:val="8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8">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5 Dark- Accent 1"/>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0">
    <w:name w:val="Grid Table 5 Dark - Accent 2"/>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1">
    <w:name w:val="Grid Table 5 Dark - Accent 3"/>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2">
    <w:name w:val="Grid Table 5 Dark- Accent 4"/>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3">
    <w:name w:val="Grid Table 5 Dark - Accent 5"/>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4">
    <w:name w:val="Grid Table 5 Dark - Accent 6"/>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5">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6">
    <w:name w:val="Grid Table 6 Colorful - Accent 1"/>
    <w:basedOn w:val="8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07">
    <w:name w:val="Grid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08">
    <w:name w:val="Grid Table 6 Colorful - Accent 3"/>
    <w:basedOn w:val="8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09">
    <w:name w:val="Grid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0">
    <w:name w:val="Grid Table 6 Colorful - Accent 5"/>
    <w:basedOn w:val="8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1">
    <w:name w:val="Grid Table 6 Colorful - Accent 6"/>
    <w:basedOn w:val="8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2">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Grid Table 7 Colorful - Accent 1"/>
    <w:basedOn w:val="8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4">
    <w:name w:val="Grid Table 7 Colorful - Accent 2"/>
    <w:basedOn w:val="8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7 Colorful - Accent 3"/>
    <w:basedOn w:val="8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7 Colorful - Accent 4"/>
    <w:basedOn w:val="8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7 Colorful - Accent 5"/>
    <w:basedOn w:val="8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8">
    <w:name w:val="Grid Table 7 Colorful - Accent 6"/>
    <w:basedOn w:val="8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9">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1 Light - Accent 1"/>
    <w:basedOn w:val="81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1">
    <w:name w:val="List Table 1 Light - Accent 2"/>
    <w:basedOn w:val="81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2">
    <w:name w:val="List Table 1 Light - Accent 3"/>
    <w:basedOn w:val="81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3">
    <w:name w:val="List Table 1 Light - Accent 4"/>
    <w:basedOn w:val="81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4">
    <w:name w:val="List Table 1 Light - Accent 5"/>
    <w:basedOn w:val="81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5">
    <w:name w:val="List Table 1 Light - Accent 6"/>
    <w:basedOn w:val="81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6">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2 - Accent 1"/>
    <w:basedOn w:val="8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8">
    <w:name w:val="List Table 2 - Accent 2"/>
    <w:basedOn w:val="8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9">
    <w:name w:val="List Table 2 - Accent 3"/>
    <w:basedOn w:val="8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0">
    <w:name w:val="List Table 2 - Accent 4"/>
    <w:basedOn w:val="8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1">
    <w:name w:val="List Table 2 - Accent 5"/>
    <w:basedOn w:val="8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2">
    <w:name w:val="List Table 2 - Accent 6"/>
    <w:basedOn w:val="8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3">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3 - Accent 1"/>
    <w:basedOn w:val="8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5">
    <w:name w:val="List Table 3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36">
    <w:name w:val="List Table 3 - Accent 3"/>
    <w:basedOn w:val="8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37">
    <w:name w:val="List Table 3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38">
    <w:name w:val="List Table 3 - Accent 5"/>
    <w:basedOn w:val="8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39">
    <w:name w:val="List Table 3 - Accent 6"/>
    <w:basedOn w:val="8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0">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 Accent 1"/>
    <w:basedOn w:val="8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2">
    <w:name w:val="List Table 4 - Accent 2"/>
    <w:basedOn w:val="8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3">
    <w:name w:val="List Table 4 - Accent 3"/>
    <w:basedOn w:val="8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4">
    <w:name w:val="List Table 4 - Accent 4"/>
    <w:basedOn w:val="8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5">
    <w:name w:val="List Table 4 - Accent 5"/>
    <w:basedOn w:val="8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46">
    <w:name w:val="List Table 4 - Accent 6"/>
    <w:basedOn w:val="8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47">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1"/>
    <w:basedOn w:val="8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5 Dark - Accent 2"/>
    <w:basedOn w:val="8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3"/>
    <w:basedOn w:val="8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4"/>
    <w:basedOn w:val="8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5"/>
    <w:basedOn w:val="8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6"/>
    <w:basedOn w:val="8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6 Colorful - Accent 1"/>
    <w:basedOn w:val="8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56">
    <w:name w:val="List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57">
    <w:name w:val="List Table 6 Colorful - Accent 3"/>
    <w:basedOn w:val="8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58">
    <w:name w:val="List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59">
    <w:name w:val="List Table 6 Colorful - Accent 5"/>
    <w:basedOn w:val="8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0">
    <w:name w:val="List Table 6 Colorful - Accent 6"/>
    <w:basedOn w:val="8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1">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2">
    <w:name w:val="List Table 7 Colorful - Accent 1"/>
    <w:basedOn w:val="8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3">
    <w:name w:val="List Table 7 Colorful - Accent 2"/>
    <w:basedOn w:val="8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4">
    <w:name w:val="List Table 7 Colorful - Accent 3"/>
    <w:basedOn w:val="8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5">
    <w:name w:val="List Table 7 Colorful - Accent 4"/>
    <w:basedOn w:val="8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66">
    <w:name w:val="List Table 7 Colorful - Accent 5"/>
    <w:basedOn w:val="8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67">
    <w:name w:val="List Table 7 Colorful - Accent 6"/>
    <w:basedOn w:val="8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68">
    <w:name w:val="Lined - Accent"/>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9">
    <w:name w:val="Lined - Accent 1"/>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0">
    <w:name w:val="Lined - Accent 2"/>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1">
    <w:name w:val="Lined - Accent 3"/>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2">
    <w:name w:val="Lined - Accent 4"/>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3">
    <w:name w:val="Lined - Accent 5"/>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4">
    <w:name w:val="Lined - Accent 6"/>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5">
    <w:name w:val="Bordered &amp; Lined - Accent"/>
    <w:basedOn w:val="8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Bordered &amp; Lined - Accent 1"/>
    <w:basedOn w:val="8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7">
    <w:name w:val="Bordered &amp; Lined - Accent 2"/>
    <w:basedOn w:val="8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8">
    <w:name w:val="Bordered &amp; Lined - Accent 3"/>
    <w:basedOn w:val="8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9">
    <w:name w:val="Bordered &amp; Lined - Accent 4"/>
    <w:basedOn w:val="8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0">
    <w:name w:val="Bordered &amp; Lined - Accent 5"/>
    <w:basedOn w:val="8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1">
    <w:name w:val="Bordered &amp; Lined - Accent 6"/>
    <w:basedOn w:val="8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2">
    <w:name w:val="Bordered"/>
    <w:basedOn w:val="8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3">
    <w:name w:val="Bordered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4">
    <w:name w:val="Bordered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5">
    <w:name w:val="Bordered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6">
    <w:name w:val="Bordered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7">
    <w:name w:val="Bordered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8">
    <w:name w:val="Bordered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89">
    <w:name w:val="Hyperlink"/>
    <w:uiPriority w:val="99"/>
    <w:unhideWhenUsed/>
    <w:rPr>
      <w:color w:val="0000ff" w:themeColor="hyperlink"/>
      <w:u w:val="single"/>
    </w:rPr>
  </w:style>
  <w:style w:type="paragraph" w:styleId="790">
    <w:name w:val="footnote text"/>
    <w:basedOn w:val="807"/>
    <w:link w:val="791"/>
    <w:uiPriority w:val="99"/>
    <w:semiHidden/>
    <w:unhideWhenUsed/>
    <w:pPr>
      <w:spacing w:after="40" w:line="240" w:lineRule="auto"/>
    </w:pPr>
    <w:rPr>
      <w:sz w:val="18"/>
    </w:rPr>
  </w:style>
  <w:style w:type="character" w:styleId="791">
    <w:name w:val="Footnote Text Char"/>
    <w:link w:val="790"/>
    <w:uiPriority w:val="99"/>
    <w:rPr>
      <w:sz w:val="18"/>
    </w:rPr>
  </w:style>
  <w:style w:type="character" w:styleId="792">
    <w:name w:val="footnote reference"/>
    <w:basedOn w:val="811"/>
    <w:uiPriority w:val="99"/>
    <w:unhideWhenUsed/>
    <w:rPr>
      <w:vertAlign w:val="superscript"/>
    </w:rPr>
  </w:style>
  <w:style w:type="paragraph" w:styleId="793">
    <w:name w:val="endnote text"/>
    <w:basedOn w:val="807"/>
    <w:link w:val="794"/>
    <w:uiPriority w:val="99"/>
    <w:semiHidden/>
    <w:unhideWhenUsed/>
    <w:pPr>
      <w:spacing w:after="0" w:line="240" w:lineRule="auto"/>
    </w:pPr>
    <w:rPr>
      <w:sz w:val="20"/>
    </w:rPr>
  </w:style>
  <w:style w:type="character" w:styleId="794">
    <w:name w:val="Endnote Text Char"/>
    <w:link w:val="793"/>
    <w:uiPriority w:val="99"/>
    <w:rPr>
      <w:sz w:val="20"/>
    </w:rPr>
  </w:style>
  <w:style w:type="character" w:styleId="795">
    <w:name w:val="endnote reference"/>
    <w:basedOn w:val="811"/>
    <w:uiPriority w:val="99"/>
    <w:semiHidden/>
    <w:unhideWhenUsed/>
    <w:rPr>
      <w:vertAlign w:val="superscript"/>
    </w:rPr>
  </w:style>
  <w:style w:type="paragraph" w:styleId="796">
    <w:name w:val="toc 1"/>
    <w:basedOn w:val="807"/>
    <w:next w:val="807"/>
    <w:uiPriority w:val="39"/>
    <w:unhideWhenUsed/>
    <w:pPr>
      <w:ind w:left="0" w:right="0" w:firstLine="0"/>
      <w:spacing w:after="57"/>
    </w:pPr>
  </w:style>
  <w:style w:type="paragraph" w:styleId="797">
    <w:name w:val="toc 2"/>
    <w:basedOn w:val="807"/>
    <w:next w:val="807"/>
    <w:uiPriority w:val="39"/>
    <w:unhideWhenUsed/>
    <w:pPr>
      <w:ind w:left="283" w:right="0" w:firstLine="0"/>
      <w:spacing w:after="57"/>
    </w:pPr>
  </w:style>
  <w:style w:type="paragraph" w:styleId="798">
    <w:name w:val="toc 3"/>
    <w:basedOn w:val="807"/>
    <w:next w:val="807"/>
    <w:uiPriority w:val="39"/>
    <w:unhideWhenUsed/>
    <w:pPr>
      <w:ind w:left="567" w:right="0" w:firstLine="0"/>
      <w:spacing w:after="57"/>
    </w:pPr>
  </w:style>
  <w:style w:type="paragraph" w:styleId="799">
    <w:name w:val="toc 4"/>
    <w:basedOn w:val="807"/>
    <w:next w:val="807"/>
    <w:uiPriority w:val="39"/>
    <w:unhideWhenUsed/>
    <w:pPr>
      <w:ind w:left="850" w:right="0" w:firstLine="0"/>
      <w:spacing w:after="57"/>
    </w:pPr>
  </w:style>
  <w:style w:type="paragraph" w:styleId="800">
    <w:name w:val="toc 5"/>
    <w:basedOn w:val="807"/>
    <w:next w:val="807"/>
    <w:uiPriority w:val="39"/>
    <w:unhideWhenUsed/>
    <w:pPr>
      <w:ind w:left="1134" w:right="0" w:firstLine="0"/>
      <w:spacing w:after="57"/>
    </w:pPr>
  </w:style>
  <w:style w:type="paragraph" w:styleId="801">
    <w:name w:val="toc 6"/>
    <w:basedOn w:val="807"/>
    <w:next w:val="807"/>
    <w:uiPriority w:val="39"/>
    <w:unhideWhenUsed/>
    <w:pPr>
      <w:ind w:left="1417" w:right="0" w:firstLine="0"/>
      <w:spacing w:after="57"/>
    </w:pPr>
  </w:style>
  <w:style w:type="paragraph" w:styleId="802">
    <w:name w:val="toc 7"/>
    <w:basedOn w:val="807"/>
    <w:next w:val="807"/>
    <w:uiPriority w:val="39"/>
    <w:unhideWhenUsed/>
    <w:pPr>
      <w:ind w:left="1701" w:right="0" w:firstLine="0"/>
      <w:spacing w:after="57"/>
    </w:pPr>
  </w:style>
  <w:style w:type="paragraph" w:styleId="803">
    <w:name w:val="toc 8"/>
    <w:basedOn w:val="807"/>
    <w:next w:val="807"/>
    <w:uiPriority w:val="39"/>
    <w:unhideWhenUsed/>
    <w:pPr>
      <w:ind w:left="1984" w:right="0" w:firstLine="0"/>
      <w:spacing w:after="57"/>
    </w:pPr>
  </w:style>
  <w:style w:type="paragraph" w:styleId="804">
    <w:name w:val="toc 9"/>
    <w:basedOn w:val="807"/>
    <w:next w:val="807"/>
    <w:uiPriority w:val="39"/>
    <w:unhideWhenUsed/>
    <w:pPr>
      <w:ind w:left="2268" w:right="0" w:firstLine="0"/>
      <w:spacing w:after="57"/>
    </w:pPr>
  </w:style>
  <w:style w:type="paragraph" w:styleId="805">
    <w:name w:val="TOC Heading"/>
    <w:uiPriority w:val="39"/>
    <w:unhideWhenUsed/>
  </w:style>
  <w:style w:type="paragraph" w:styleId="806">
    <w:name w:val="table of figures"/>
    <w:basedOn w:val="807"/>
    <w:next w:val="807"/>
    <w:uiPriority w:val="99"/>
    <w:unhideWhenUsed/>
    <w:pPr>
      <w:spacing w:after="0" w:afterAutospacing="0"/>
    </w:pPr>
  </w:style>
  <w:style w:type="paragraph" w:styleId="807" w:default="1">
    <w:name w:val="Normal"/>
    <w:next w:val="814"/>
    <w:qFormat/>
    <w:pPr>
      <w:jc w:val="both"/>
      <w:widowControl w:val="off"/>
    </w:pPr>
    <w:rPr>
      <w:rFonts w:asciiTheme="minorHAnsi" w:hAnsiTheme="minorHAnsi" w:eastAsiaTheme="minorEastAsia" w:cstheme="minorBidi"/>
      <w:sz w:val="21"/>
      <w:szCs w:val="24"/>
    </w:rPr>
  </w:style>
  <w:style w:type="paragraph" w:styleId="808">
    <w:name w:val="Heading 1"/>
    <w:basedOn w:val="807"/>
    <w:next w:val="807"/>
    <w:link w:val="832"/>
    <w:qFormat/>
    <w:pPr>
      <w:keepLines/>
      <w:keepNext/>
      <w:spacing w:before="340" w:after="330" w:line="578" w:lineRule="auto"/>
      <w:outlineLvl w:val="0"/>
    </w:pPr>
    <w:rPr>
      <w:b/>
      <w:bCs/>
      <w:sz w:val="44"/>
      <w:szCs w:val="44"/>
    </w:rPr>
  </w:style>
  <w:style w:type="paragraph" w:styleId="809">
    <w:name w:val="Heading 2"/>
    <w:basedOn w:val="807"/>
    <w:next w:val="807"/>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10">
    <w:name w:val="Heading 4"/>
    <w:basedOn w:val="807"/>
    <w:next w:val="807"/>
    <w:link w:val="839"/>
    <w:qFormat/>
    <w:pPr>
      <w:keepLines/>
      <w:keepNext/>
      <w:spacing w:before="280" w:after="290" w:line="376" w:lineRule="auto"/>
      <w:outlineLvl w:val="3"/>
    </w:pPr>
    <w:rPr>
      <w:rFonts w:ascii="Arial" w:hAnsi="Arial" w:eastAsia="黑体" w:cs="Arial"/>
      <w:b/>
      <w:bCs/>
      <w:sz w:val="28"/>
      <w:szCs w:val="28"/>
    </w:rPr>
  </w:style>
  <w:style w:type="character" w:styleId="811" w:default="1">
    <w:name w:val="Default Paragraph Font"/>
    <w:uiPriority w:val="1"/>
    <w:semiHidden/>
    <w:unhideWhenUsed/>
  </w:style>
  <w:style w:type="table" w:styleId="812" w:default="1">
    <w:name w:val="Normal Table"/>
    <w:uiPriority w:val="99"/>
    <w:semiHidden/>
    <w:unhideWhenUsed/>
    <w:tblPr>
      <w:tblInd w:w="0" w:type="dxa"/>
      <w:tblCellMar>
        <w:left w:w="108" w:type="dxa"/>
        <w:top w:w="0" w:type="dxa"/>
        <w:right w:w="108" w:type="dxa"/>
        <w:bottom w:w="0" w:type="dxa"/>
      </w:tblCellMar>
    </w:tblPr>
  </w:style>
  <w:style w:type="numbering" w:styleId="813" w:default="1">
    <w:name w:val="No List"/>
    <w:uiPriority w:val="99"/>
    <w:semiHidden/>
    <w:unhideWhenUsed/>
  </w:style>
  <w:style w:type="paragraph" w:styleId="814">
    <w:name w:val="Body Text"/>
    <w:basedOn w:val="807"/>
    <w:link w:val="833"/>
    <w:qFormat/>
    <w:pPr>
      <w:spacing w:after="120"/>
    </w:pPr>
  </w:style>
  <w:style w:type="paragraph" w:styleId="815">
    <w:name w:val="annotation text"/>
    <w:basedOn w:val="807"/>
    <w:qFormat/>
    <w:pPr>
      <w:jc w:val="left"/>
    </w:pPr>
  </w:style>
  <w:style w:type="paragraph" w:styleId="816">
    <w:name w:val="Body Text Indent"/>
    <w:basedOn w:val="807"/>
    <w:link w:val="829"/>
    <w:qFormat/>
    <w:pPr>
      <w:ind w:left="420"/>
      <w:spacing w:after="120"/>
    </w:pPr>
  </w:style>
  <w:style w:type="paragraph" w:styleId="817">
    <w:name w:val="Block Text"/>
    <w:basedOn w:val="807"/>
    <w:unhideWhenUsed/>
    <w:qFormat/>
    <w:pPr>
      <w:ind w:left="1440" w:right="700"/>
      <w:spacing w:after="120"/>
    </w:pPr>
    <w:rPr>
      <w:rFonts w:hint="eastAsia" w:ascii="Times New Roman" w:hAnsi="Times New Roman" w:eastAsia="宋体" w:cs="Times New Roman"/>
      <w:szCs w:val="21"/>
    </w:rPr>
  </w:style>
  <w:style w:type="paragraph" w:styleId="818">
    <w:name w:val="Plain Text"/>
    <w:basedOn w:val="807"/>
    <w:link w:val="831"/>
    <w:qFormat/>
    <w:rPr>
      <w:rFonts w:ascii="宋体" w:hAnsi="Courier New" w:eastAsia="宋体" w:cs="Times New Roman"/>
      <w:szCs w:val="21"/>
    </w:rPr>
  </w:style>
  <w:style w:type="paragraph" w:styleId="819">
    <w:name w:val="Balloon Text"/>
    <w:basedOn w:val="807"/>
    <w:link w:val="838"/>
    <w:qFormat/>
    <w:rPr>
      <w:sz w:val="18"/>
      <w:szCs w:val="18"/>
    </w:rPr>
  </w:style>
  <w:style w:type="paragraph" w:styleId="820">
    <w:name w:val="Footer"/>
    <w:basedOn w:val="807"/>
    <w:link w:val="827"/>
    <w:qFormat/>
    <w:pPr>
      <w:jc w:val="left"/>
      <w:tabs>
        <w:tab w:val="center" w:pos="4153" w:leader="none"/>
        <w:tab w:val="right" w:pos="8306" w:leader="none"/>
      </w:tabs>
    </w:pPr>
    <w:rPr>
      <w:sz w:val="18"/>
      <w:szCs w:val="18"/>
    </w:rPr>
  </w:style>
  <w:style w:type="paragraph" w:styleId="821">
    <w:name w:val="Header"/>
    <w:basedOn w:val="807"/>
    <w:link w:val="826"/>
    <w:qFormat/>
    <w:pPr>
      <w:jc w:val="center"/>
      <w:tabs>
        <w:tab w:val="center" w:pos="4153" w:leader="none"/>
        <w:tab w:val="right" w:pos="8306" w:leader="none"/>
      </w:tabs>
      <w:pBdr>
        <w:bottom w:val="single" w:color="auto" w:sz="6" w:space="1"/>
      </w:pBdr>
    </w:pPr>
    <w:rPr>
      <w:sz w:val="18"/>
      <w:szCs w:val="18"/>
    </w:rPr>
  </w:style>
  <w:style w:type="paragraph" w:styleId="822">
    <w:name w:val="Normal (Web)"/>
    <w:basedOn w:val="807"/>
    <w:qFormat/>
    <w:pPr>
      <w:jc w:val="left"/>
      <w:spacing w:beforeAutospacing="1" w:afterAutospacing="1"/>
    </w:pPr>
    <w:rPr>
      <w:rFonts w:cs="Times New Roman"/>
      <w:sz w:val="24"/>
    </w:rPr>
  </w:style>
  <w:style w:type="paragraph" w:styleId="823">
    <w:name w:val="Body Text First Indent"/>
    <w:basedOn w:val="814"/>
    <w:link w:val="834"/>
    <w:qFormat/>
    <w:pPr>
      <w:ind w:firstLine="420"/>
    </w:pPr>
  </w:style>
  <w:style w:type="paragraph" w:styleId="824">
    <w:name w:val="Body Text First Indent 2"/>
    <w:basedOn w:val="816"/>
    <w:next w:val="807"/>
    <w:link w:val="830"/>
    <w:qFormat/>
    <w:pPr>
      <w:ind w:left="0" w:firstLine="420"/>
      <w:spacing w:after="0"/>
    </w:pPr>
    <w:rPr>
      <w:rFonts w:ascii="楷体_GB2312" w:hAnsi="Times New Roman" w:eastAsia="楷体_GB2312" w:cs="Times New Roman"/>
      <w:sz w:val="32"/>
      <w:szCs w:val="32"/>
    </w:rPr>
  </w:style>
  <w:style w:type="paragraph" w:styleId="825" w:customStyle="1">
    <w:name w:val="Default"/>
    <w:basedOn w:val="807"/>
    <w:semiHidden/>
    <w:qFormat/>
    <w:pPr>
      <w:jc w:val="left"/>
    </w:pPr>
    <w:rPr>
      <w:rFonts w:ascii="宋体" w:hAnsi="Calibri" w:cs="宋体"/>
      <w:color w:val="000000"/>
      <w:sz w:val="24"/>
    </w:rPr>
  </w:style>
  <w:style w:type="character" w:styleId="826" w:customStyle="1">
    <w:name w:val="页眉 字符"/>
    <w:basedOn w:val="811"/>
    <w:link w:val="821"/>
    <w:qFormat/>
    <w:rPr>
      <w:rFonts w:asciiTheme="minorHAnsi" w:hAnsiTheme="minorHAnsi" w:eastAsiaTheme="minorEastAsia" w:cstheme="minorBidi"/>
      <w:sz w:val="18"/>
      <w:szCs w:val="18"/>
    </w:rPr>
  </w:style>
  <w:style w:type="character" w:styleId="827" w:customStyle="1">
    <w:name w:val="页脚 字符"/>
    <w:basedOn w:val="811"/>
    <w:link w:val="820"/>
    <w:qFormat/>
    <w:rPr>
      <w:rFonts w:asciiTheme="minorHAnsi" w:hAnsiTheme="minorHAnsi" w:eastAsiaTheme="minorEastAsia" w:cstheme="minorBidi"/>
      <w:sz w:val="18"/>
      <w:szCs w:val="18"/>
    </w:rPr>
  </w:style>
  <w:style w:type="paragraph" w:styleId="828" w:customStyle="1">
    <w:name w:val="普通正文"/>
    <w:basedOn w:val="807"/>
    <w:link w:val="835"/>
    <w:qFormat/>
    <w:pPr>
      <w:ind w:firstLine="480"/>
      <w:jc w:val="left"/>
      <w:spacing w:before="120" w:after="120" w:line="360" w:lineRule="auto"/>
    </w:pPr>
    <w:rPr>
      <w:rFonts w:ascii="Arial" w:hAnsi="Arial" w:eastAsia="等线" w:cs="Arial"/>
      <w:sz w:val="24"/>
    </w:rPr>
  </w:style>
  <w:style w:type="character" w:styleId="829" w:customStyle="1">
    <w:name w:val="正文文本缩进 字符"/>
    <w:basedOn w:val="811"/>
    <w:link w:val="816"/>
    <w:qFormat/>
    <w:rPr>
      <w:rFonts w:asciiTheme="minorHAnsi" w:hAnsiTheme="minorHAnsi" w:eastAsiaTheme="minorEastAsia" w:cstheme="minorBidi"/>
      <w:sz w:val="21"/>
      <w:szCs w:val="24"/>
    </w:rPr>
  </w:style>
  <w:style w:type="character" w:styleId="830" w:customStyle="1">
    <w:name w:val="正文文本首行缩进 2 字符"/>
    <w:basedOn w:val="829"/>
    <w:link w:val="824"/>
    <w:qFormat/>
    <w:rPr>
      <w:rFonts w:ascii="楷体_GB2312" w:eastAsia="楷体_GB2312" w:hAnsiTheme="minorHAnsi" w:cstheme="minorBidi"/>
      <w:sz w:val="32"/>
      <w:szCs w:val="32"/>
    </w:rPr>
  </w:style>
  <w:style w:type="character" w:styleId="831" w:customStyle="1">
    <w:name w:val="纯文本 字符"/>
    <w:basedOn w:val="811"/>
    <w:link w:val="818"/>
    <w:qFormat/>
    <w:rPr>
      <w:rFonts w:ascii="宋体" w:hAnsi="Courier New"/>
      <w:sz w:val="21"/>
      <w:szCs w:val="21"/>
    </w:rPr>
  </w:style>
  <w:style w:type="character" w:styleId="832" w:customStyle="1">
    <w:name w:val="标题 1 字符"/>
    <w:basedOn w:val="811"/>
    <w:link w:val="808"/>
    <w:qFormat/>
    <w:rPr>
      <w:rFonts w:asciiTheme="minorHAnsi" w:hAnsiTheme="minorHAnsi" w:eastAsiaTheme="minorEastAsia" w:cstheme="minorBidi"/>
      <w:b/>
      <w:bCs/>
      <w:sz w:val="44"/>
      <w:szCs w:val="44"/>
    </w:rPr>
  </w:style>
  <w:style w:type="character" w:styleId="833" w:customStyle="1">
    <w:name w:val="正文文本 字符"/>
    <w:basedOn w:val="811"/>
    <w:link w:val="814"/>
    <w:qFormat/>
    <w:rPr>
      <w:rFonts w:asciiTheme="minorHAnsi" w:hAnsiTheme="minorHAnsi" w:eastAsiaTheme="minorEastAsia" w:cstheme="minorBidi"/>
      <w:sz w:val="21"/>
      <w:szCs w:val="24"/>
    </w:rPr>
  </w:style>
  <w:style w:type="character" w:styleId="834" w:customStyle="1">
    <w:name w:val="正文文本首行缩进 字符"/>
    <w:basedOn w:val="833"/>
    <w:link w:val="823"/>
    <w:qFormat/>
    <w:rPr>
      <w:rFonts w:asciiTheme="minorHAnsi" w:hAnsiTheme="minorHAnsi" w:eastAsiaTheme="minorEastAsia" w:cstheme="minorBidi"/>
      <w:sz w:val="21"/>
      <w:szCs w:val="24"/>
    </w:rPr>
  </w:style>
  <w:style w:type="character" w:styleId="835" w:customStyle="1">
    <w:name w:val="普通正文 Char"/>
    <w:link w:val="828"/>
    <w:qFormat/>
    <w:rPr>
      <w:rFonts w:ascii="Arial" w:hAnsi="Arial" w:eastAsia="等线" w:cs="Arial"/>
      <w:sz w:val="24"/>
      <w:szCs w:val="24"/>
    </w:rPr>
  </w:style>
  <w:style w:type="paragraph" w:styleId="836" w:customStyle="1">
    <w:name w:val="普通(网站)111"/>
    <w:basedOn w:val="807"/>
    <w:qFormat/>
    <w:pPr>
      <w:jc w:val="left"/>
      <w:spacing w:beforeAutospacing="1" w:afterAutospacing="1"/>
    </w:pPr>
    <w:rPr>
      <w:rFonts w:ascii="Times New Roman" w:hAnsi="Times New Roman" w:eastAsia="宋体" w:cs="Times New Roman"/>
      <w:sz w:val="24"/>
      <w:szCs w:val="22"/>
    </w:rPr>
  </w:style>
  <w:style w:type="paragraph" w:styleId="837" w:customStyle="1">
    <w:name w:val="普通(网站)1"/>
    <w:basedOn w:val="807"/>
    <w:uiPriority w:val="99"/>
    <w:unhideWhenUsed/>
    <w:qFormat/>
    <w:pPr>
      <w:jc w:val="left"/>
      <w:spacing w:before="100" w:beforeAutospacing="1" w:after="100" w:afterAutospacing="1"/>
      <w:widowControl/>
    </w:pPr>
    <w:rPr>
      <w:rFonts w:ascii="宋体" w:hAnsi="宋体" w:eastAsia="宋体" w:cs="宋体"/>
      <w:sz w:val="24"/>
      <w:szCs w:val="22"/>
    </w:rPr>
  </w:style>
  <w:style w:type="character" w:styleId="838" w:customStyle="1">
    <w:name w:val="批注框文本 字符"/>
    <w:basedOn w:val="811"/>
    <w:link w:val="819"/>
    <w:qFormat/>
    <w:rPr>
      <w:rFonts w:asciiTheme="minorHAnsi" w:hAnsiTheme="minorHAnsi" w:eastAsiaTheme="minorEastAsia" w:cstheme="minorBidi"/>
      <w:sz w:val="18"/>
      <w:szCs w:val="18"/>
    </w:rPr>
  </w:style>
  <w:style w:type="character" w:styleId="839" w:customStyle="1">
    <w:name w:val="标题 4 字符"/>
    <w:basedOn w:val="811"/>
    <w:link w:val="810"/>
    <w:qFormat/>
    <w:rPr>
      <w:rFonts w:ascii="Arial" w:hAnsi="Arial" w:eastAsia="黑体" w:cs="Arial"/>
      <w:b/>
      <w:bCs/>
      <w:sz w:val="28"/>
      <w:szCs w:val="28"/>
    </w:rPr>
  </w:style>
  <w:style w:type="table" w:styleId="840" w:customStyle="1">
    <w:name w:val="网格型62"/>
    <w:basedOn w:val="8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png"/><Relationship Id="rId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钱中东</cp:lastModifiedBy>
  <cp:revision>298</cp:revision>
  <dcterms:created xsi:type="dcterms:W3CDTF">2014-10-29T12:08:00Z</dcterms:created>
  <dcterms:modified xsi:type="dcterms:W3CDTF">2025-04-07T10:46:06Z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3F7EE4740E8A4884B2E594AF03643AEF_13</vt:lpwstr>
  </property>
  <property fmtid="{D5CDD505-2E9C-101B-9397-08002B2CF9AE}" pid="4" name="KSOTemplateDocerSaveRecord">
    <vt:lpwstr>eyJoZGlkIjoiNTIxZGNjY2ZkNDlmYjQzNDJhNWQ3OTBjNDk4NmM0N2EiLCJ1c2VySWQiOiI1NDQ2MzIxMDIifQ==</vt:lpwstr>
  </property>
</Properties>
</file>