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645"/>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招　标　文　件</w:t>
      </w:r>
      <w:r>
        <w:rPr>
          <w:rFonts w:hint="eastAsia" w:ascii="宋体" w:hAnsi="宋体" w:cs="宋体"/>
          <w:b/>
          <w:bCs/>
          <w:sz w:val="84"/>
          <w:szCs w:val="24"/>
        </w:rPr>
      </w:r>
      <w:r/>
    </w:p>
    <w:p>
      <w:pPr>
        <w:pStyle w:val="758"/>
        <w:spacing w:line="360" w:lineRule="auto"/>
        <w:rPr>
          <w:rFonts w:hint="eastAsia" w:ascii="宋体" w:hAnsi="宋体" w:eastAsia="宋体" w:cs="宋体"/>
        </w:rPr>
      </w:pPr>
      <w:r>
        <w:rPr>
          <w:rFonts w:hint="eastAsia" w:ascii="宋体" w:hAnsi="宋体" w:eastAsia="宋体" w:cs="宋体"/>
        </w:rPr>
      </w:r>
      <w:r/>
    </w:p>
    <w:p>
      <w:pPr>
        <w:pStyle w:val="645"/>
        <w:jc w:val="left"/>
        <w:spacing w:before="120" w:after="120" w:line="360" w:lineRule="auto"/>
        <w:rPr>
          <w:rFonts w:hint="eastAsia" w:ascii="宋体" w:hAnsi="宋体" w:cs="宋体"/>
          <w:b/>
          <w:bCs/>
          <w:sz w:val="32"/>
          <w:szCs w:val="24"/>
        </w:rPr>
      </w:pPr>
      <w:r>
        <w:rPr>
          <w:rFonts w:hint="eastAsia" w:ascii="宋体" w:hAnsi="宋体" w:cs="宋体"/>
          <w:b/>
          <w:bCs/>
          <w:sz w:val="32"/>
          <w:szCs w:val="24"/>
        </w:rPr>
        <w:t xml:space="preserve">项目名称：江苏省通州中等专业学校信息化升级建设采购项目</w:t>
      </w:r>
      <w:r>
        <w:rPr>
          <w:rFonts w:hint="eastAsia" w:ascii="宋体" w:hAnsi="宋体" w:cs="宋体"/>
          <w:b/>
          <w:bCs/>
          <w:sz w:val="32"/>
          <w:szCs w:val="24"/>
        </w:rPr>
      </w:r>
      <w:r/>
    </w:p>
    <w:p>
      <w:pPr>
        <w:pStyle w:val="645"/>
        <w:ind w:firstLine="2249"/>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645"/>
        <w:ind w:firstLine="2249"/>
        <w:spacing w:before="120" w:after="120" w:line="360" w:lineRule="auto"/>
        <w:rPr>
          <w:rFonts w:hint="eastAsia" w:ascii="宋体" w:hAnsi="宋体" w:cs="宋体"/>
          <w:b/>
          <w:bCs/>
          <w:sz w:val="32"/>
          <w:szCs w:val="24"/>
        </w:rPr>
      </w:pPr>
      <w:r>
        <w:rPr>
          <w:rFonts w:hint="eastAsia" w:ascii="宋体" w:hAnsi="宋体" w:cs="宋体"/>
          <w:b/>
          <w:bCs/>
          <w:sz w:val="32"/>
          <w:szCs w:val="24"/>
        </w:rPr>
        <w:t xml:space="preserve">项目编号：</w:t>
      </w:r>
      <w:r>
        <w:rPr>
          <w:rFonts w:ascii="Segoe UI" w:hAnsi="Segoe UI" w:eastAsia="Segoe UI" w:cs="Segoe UI"/>
          <w:i w:val="0"/>
          <w:iCs w:val="0"/>
          <w:caps w:val="0"/>
          <w:spacing w:val="0"/>
          <w:sz w:val="21"/>
          <w:szCs w:val="21"/>
          <w:shd w:val="clear" w:color="auto" w:fill="ffffff"/>
        </w:rPr>
        <w:t xml:space="preserve">JSZC-320612-JZCG-G2024-0064</w:t>
      </w:r>
      <w:r>
        <w:rPr>
          <w:rFonts w:hint="eastAsia" w:ascii="Segoe UI" w:hAnsi="Segoe UI" w:cs="Segoe UI"/>
          <w:szCs w:val="21"/>
          <w:shd w:val="clear" w:color="auto" w:fill="ffffff"/>
        </w:rPr>
        <w:t xml:space="preserve"> </w:t>
      </w:r>
      <w:r>
        <w:rPr>
          <w:rFonts w:hint="eastAsia" w:ascii="宋体" w:hAnsi="宋体" w:cs="宋体"/>
          <w:b/>
          <w:bCs/>
          <w:sz w:val="32"/>
          <w:szCs w:val="24"/>
        </w:rPr>
      </w:r>
      <w:r/>
    </w:p>
    <w:p>
      <w:pPr>
        <w:pStyle w:val="645"/>
        <w:spacing w:line="360" w:lineRule="auto"/>
        <w:rPr>
          <w:rFonts w:hint="eastAsia" w:ascii="宋体" w:hAnsi="宋体" w:cs="宋体"/>
        </w:rPr>
      </w:pPr>
      <w:r>
        <w:rPr>
          <w:rFonts w:hint="eastAsia" w:ascii="宋体" w:hAnsi="宋体" w:cs="宋体"/>
        </w:rPr>
      </w:r>
      <w:r/>
    </w:p>
    <w:p>
      <w:pPr>
        <w:pStyle w:val="645"/>
        <w:ind w:left="2100" w:hanging="2100"/>
        <w:spacing w:line="360" w:lineRule="auto"/>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r>
        <w:rPr>
          <w:rFonts w:hint="eastAsia" w:ascii="宋体" w:hAnsi="宋体" w:cs="宋体"/>
          <w:b/>
          <w:sz w:val="30"/>
          <w:szCs w:val="30"/>
        </w:rPr>
      </w:r>
      <w:r/>
    </w:p>
    <w:p>
      <w:pPr>
        <w:pStyle w:val="645"/>
        <w:ind w:left="3012" w:hanging="3012"/>
        <w:spacing w:line="360" w:lineRule="auto"/>
        <w:rPr>
          <w:rFonts w:hint="eastAsia" w:ascii="宋体" w:hAnsi="宋体" w:cs="宋体"/>
          <w:b/>
          <w:sz w:val="30"/>
          <w:szCs w:val="30"/>
        </w:rPr>
      </w:pPr>
      <w:r>
        <w:rPr>
          <w:rFonts w:hint="eastAsia" w:ascii="宋体" w:hAnsi="宋体" w:cs="宋体"/>
          <w:b/>
          <w:sz w:val="30"/>
          <w:szCs w:val="30"/>
        </w:rPr>
      </w:r>
      <w:r/>
    </w:p>
    <w:p>
      <w:pPr>
        <w:pStyle w:val="645"/>
        <w:ind w:left="3012" w:hanging="3012"/>
        <w:spacing w:line="360" w:lineRule="auto"/>
        <w:rPr>
          <w:rFonts w:hint="eastAsia" w:ascii="宋体" w:hAnsi="宋体" w:cs="宋体"/>
          <w:b/>
          <w:sz w:val="30"/>
          <w:szCs w:val="30"/>
        </w:rPr>
      </w:pPr>
      <w:r>
        <w:rPr>
          <w:rFonts w:hint="eastAsia" w:ascii="宋体" w:hAnsi="宋体" w:cs="宋体"/>
          <w:b/>
          <w:sz w:val="30"/>
          <w:szCs w:val="30"/>
        </w:rPr>
      </w:r>
      <w:r/>
    </w:p>
    <w:p>
      <w:pPr>
        <w:pStyle w:val="645"/>
        <w:jc w:val="center"/>
        <w:spacing w:line="360" w:lineRule="auto"/>
        <w:rPr>
          <w:rFonts w:hint="eastAsia" w:ascii="宋体" w:hAnsi="宋体" w:cs="宋体"/>
          <w:sz w:val="32"/>
        </w:rPr>
      </w:pPr>
      <w:r>
        <w:rPr>
          <w:rFonts w:hint="eastAsia" w:ascii="宋体" w:hAnsi="宋体" w:cs="宋体"/>
          <w:sz w:val="32"/>
        </w:rPr>
      </w:r>
      <w:r/>
    </w:p>
    <w:p>
      <w:pPr>
        <w:pStyle w:val="645"/>
        <w:jc w:val="center"/>
        <w:spacing w:line="360" w:lineRule="auto"/>
        <w:rPr>
          <w:rFonts w:hint="eastAsia" w:ascii="宋体" w:hAnsi="宋体" w:cs="宋体"/>
          <w:b/>
          <w:spacing w:val="20"/>
          <w:sz w:val="44"/>
        </w:rPr>
      </w:pPr>
      <w:r>
        <w:rPr>
          <w:rFonts w:hint="eastAsia" w:ascii="宋体" w:hAnsi="宋体" w:cs="宋体"/>
          <w:b/>
          <w:spacing w:val="20"/>
          <w:sz w:val="44"/>
        </w:rPr>
        <w:t xml:space="preserve">南通市通州区公共资源交易中心</w:t>
      </w:r>
      <w:r>
        <w:rPr>
          <w:rFonts w:hint="eastAsia" w:ascii="宋体" w:hAnsi="宋体" w:cs="宋体"/>
          <w:b/>
          <w:spacing w:val="20"/>
          <w:sz w:val="44"/>
        </w:rPr>
      </w:r>
      <w:r/>
    </w:p>
    <w:p>
      <w:pPr>
        <w:pStyle w:val="645"/>
        <w:jc w:val="center"/>
        <w:spacing w:line="360" w:lineRule="auto"/>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rPr>
          <w:rFonts w:hint="eastAsia" w:ascii="宋体" w:hAnsi="宋体" w:cs="宋体"/>
          <w:b/>
          <w:spacing w:val="20"/>
          <w:sz w:val="44"/>
        </w:rPr>
      </w:r>
      <w:r/>
    </w:p>
    <w:p>
      <w:pPr>
        <w:pStyle w:val="748"/>
        <w:ind w:firstLine="0"/>
        <w:jc w:val="center"/>
        <w:rPr>
          <w:rFonts w:hint="eastAsia" w:ascii="宋体" w:hAnsi="宋体" w:cs="宋体"/>
          <w:b/>
          <w:bCs/>
          <w:sz w:val="32"/>
        </w:rPr>
      </w:pPr>
      <w:r>
        <w:rPr>
          <w:rFonts w:hint="eastAsia" w:ascii="宋体" w:hAnsi="宋体" w:cs="宋体"/>
          <w:b/>
          <w:bCs/>
          <w:sz w:val="32"/>
        </w:rPr>
        <w:t xml:space="preserve">2024年8月14日</w:t>
      </w:r>
      <w:r>
        <w:rPr>
          <w:rFonts w:hint="eastAsia" w:ascii="宋体" w:hAnsi="宋体" w:cs="宋体"/>
          <w:b/>
          <w:bCs/>
          <w:sz w:val="32"/>
        </w:rPr>
      </w:r>
      <w:r/>
    </w:p>
    <w:p>
      <w:pPr>
        <w:pStyle w:val="645"/>
        <w:ind w:left="-158"/>
        <w:spacing w:line="360" w:lineRule="auto"/>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645"/>
        <w:ind w:left="-158" w:firstLine="321"/>
        <w:spacing w:line="360" w:lineRule="auto"/>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   </w:t>
      </w:r>
      <w:r>
        <w:rPr>
          <w:rFonts w:hint="eastAsia" w:ascii="宋体" w:hAnsi="宋体" w:cs="宋体"/>
          <w:sz w:val="32"/>
          <w:szCs w:val="32"/>
        </w:rPr>
      </w:r>
      <w:r/>
    </w:p>
    <w:p>
      <w:pPr>
        <w:pStyle w:val="645"/>
        <w:jc w:val="center"/>
        <w:spacing w:line="360" w:lineRule="auto"/>
        <w:rPr>
          <w:rFonts w:hint="eastAsia" w:ascii="宋体" w:hAnsi="宋体" w:cs="宋体"/>
          <w:b/>
          <w:sz w:val="36"/>
          <w:szCs w:val="36"/>
          <w:lang w:bidi="ar"/>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宋体" w:hAnsi="宋体" w:cs="宋体"/>
          <w:b/>
          <w:sz w:val="44"/>
          <w:szCs w:val="21"/>
        </w:rPr>
        <w:br w:type="page" w:clear="all"/>
      </w:r>
      <w:r>
        <w:rPr>
          <w:rFonts w:hint="eastAsia" w:ascii="宋体" w:hAnsi="宋体" w:cs="宋体"/>
          <w:b/>
          <w:sz w:val="36"/>
          <w:szCs w:val="36"/>
          <w:lang w:bidi="ar"/>
        </w:rPr>
        <w:t xml:space="preserve">招标文件备案表</w:t>
      </w:r>
      <w:r>
        <w:rPr>
          <w:rFonts w:hint="eastAsia" w:ascii="宋体" w:hAnsi="宋体" w:cs="宋体"/>
          <w:b/>
          <w:sz w:val="36"/>
          <w:szCs w:val="36"/>
          <w:lang w:bidi="ar"/>
        </w:rPr>
      </w:r>
      <w:r/>
    </w:p>
    <w:tbl>
      <w:tblPr>
        <w:tblpPr w:horzAnchor="page" w:tblpXSpec="center" w:vertAnchor="page" w:tblpY="261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8"/>
        <w:gridCol w:w="6040"/>
      </w:tblGrid>
      <w:tr>
        <w:trPr>
          <w:trHeight w:val="2051"/>
        </w:trPr>
        <w:tc>
          <w:tcPr>
            <w:tcW w:w="3018" w:type="dxa"/>
            <w:vAlign w:val="center"/>
            <w:textDirection w:val="lrTb"/>
            <w:noWrap w:val="false"/>
          </w:tcPr>
          <w:p>
            <w:pPr>
              <w:pStyle w:val="645"/>
              <w:jc w:val="center"/>
              <w:spacing w:line="360" w:lineRule="auto"/>
              <w:rPr>
                <w:rFonts w:hint="eastAsia" w:ascii="宋体" w:hAnsi="宋体" w:cs="宋体"/>
                <w:sz w:val="32"/>
                <w:szCs w:val="32"/>
              </w:rPr>
              <w:framePr w:vAnchor="text" w:hAnchor="margin" w:xAlign="center" w:y="2619"/>
            </w:pPr>
            <w:r>
              <w:rPr>
                <w:rFonts w:hint="eastAsia" w:ascii="宋体" w:hAnsi="宋体" w:cs="宋体"/>
                <w:sz w:val="32"/>
                <w:szCs w:val="32"/>
              </w:rPr>
              <w:t xml:space="preserve">采购代理</w:t>
            </w:r>
            <w:r>
              <w:rPr>
                <w:rFonts w:hint="eastAsia" w:ascii="宋体" w:hAnsi="宋体" w:cs="宋体"/>
                <w:sz w:val="32"/>
                <w:szCs w:val="32"/>
              </w:rPr>
            </w:r>
            <w:r/>
          </w:p>
        </w:tc>
        <w:tc>
          <w:tcPr>
            <w:tcW w:w="6040" w:type="dxa"/>
            <w:vAlign w:val="top"/>
            <w:textDirection w:val="lrTb"/>
            <w:noWrap w:val="false"/>
          </w:tcPr>
          <w:p>
            <w:pPr>
              <w:pStyle w:val="645"/>
              <w:spacing w:line="360" w:lineRule="auto"/>
              <w:rPr>
                <w:rFonts w:hint="eastAsia" w:ascii="宋体" w:hAnsi="宋体" w:cs="宋体"/>
                <w:sz w:val="32"/>
                <w:szCs w:val="32"/>
              </w:rPr>
              <w:framePr w:vAnchor="text" w:hAnchor="margin" w:xAlign="center" w:y="2619"/>
            </w:pPr>
            <w:r>
              <w:rPr>
                <w:rFonts w:hint="eastAsia" w:ascii="宋体" w:hAnsi="宋体" w:cs="宋体"/>
                <w:sz w:val="32"/>
                <w:szCs w:val="32"/>
              </w:rPr>
            </w:r>
            <w:r/>
          </w:p>
          <w:p>
            <w:pPr>
              <w:pStyle w:val="645"/>
              <w:spacing w:line="360" w:lineRule="auto"/>
              <w:rPr>
                <w:rFonts w:hint="eastAsia" w:ascii="宋体" w:hAnsi="宋体" w:cs="宋体"/>
                <w:sz w:val="32"/>
                <w:szCs w:val="32"/>
              </w:rPr>
              <w:framePr w:vAnchor="text" w:hAnchor="margin" w:xAlign="center" w:y="2619"/>
            </w:pPr>
            <w:r>
              <w:rPr>
                <w:rFonts w:hint="eastAsia" w:ascii="宋体" w:hAnsi="宋体" w:cs="宋体"/>
                <w:sz w:val="32"/>
                <w:szCs w:val="32"/>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t xml:space="preserve">编制人：</w:t>
            </w: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t xml:space="preserve">采购代理：（公章）</w:t>
            </w: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t xml:space="preserve">                      年  月  日</w:t>
            </w: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tc>
      </w:tr>
      <w:tr>
        <w:trPr>
          <w:trHeight w:val="7667"/>
        </w:trPr>
        <w:tc>
          <w:tcPr>
            <w:tcW w:w="3018" w:type="dxa"/>
            <w:vAlign w:val="center"/>
            <w:textDirection w:val="lrTb"/>
            <w:noWrap w:val="false"/>
          </w:tcPr>
          <w:p>
            <w:pPr>
              <w:pStyle w:val="645"/>
              <w:jc w:val="center"/>
              <w:spacing w:line="360" w:lineRule="auto"/>
              <w:rPr>
                <w:rFonts w:hint="eastAsia" w:ascii="宋体" w:hAnsi="宋体" w:cs="宋体"/>
                <w:sz w:val="32"/>
                <w:szCs w:val="32"/>
              </w:rPr>
              <w:framePr w:vAnchor="text" w:hAnchor="margin" w:xAlign="center" w:y="2619"/>
            </w:pPr>
            <w:r>
              <w:rPr>
                <w:rFonts w:hint="eastAsia" w:ascii="宋体" w:hAnsi="宋体" w:cs="宋体"/>
                <w:sz w:val="32"/>
                <w:szCs w:val="32"/>
              </w:rPr>
              <w:t xml:space="preserve">采购人</w:t>
            </w:r>
            <w:r>
              <w:rPr>
                <w:rFonts w:hint="eastAsia" w:ascii="宋体" w:hAnsi="宋体" w:cs="宋体"/>
                <w:sz w:val="32"/>
                <w:szCs w:val="32"/>
              </w:rPr>
            </w:r>
            <w:r/>
          </w:p>
          <w:p>
            <w:pPr>
              <w:pStyle w:val="645"/>
              <w:jc w:val="center"/>
              <w:spacing w:line="360" w:lineRule="auto"/>
              <w:rPr>
                <w:rFonts w:hint="eastAsia" w:ascii="宋体" w:hAnsi="宋体" w:cs="宋体"/>
              </w:rPr>
              <w:framePr w:vAnchor="text" w:hAnchor="margin" w:xAlign="center" w:y="2619"/>
            </w:pPr>
            <w:r>
              <w:rPr>
                <w:rFonts w:hint="eastAsia" w:ascii="宋体" w:hAnsi="宋体" w:cs="宋体"/>
              </w:rPr>
            </w:r>
            <w:r/>
          </w:p>
        </w:tc>
        <w:tc>
          <w:tcPr>
            <w:tcW w:w="6040" w:type="dxa"/>
            <w:vAlign w:val="top"/>
            <w:textDirection w:val="lrTb"/>
            <w:noWrap w:val="false"/>
          </w:tcPr>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t xml:space="preserve">负责人：</w:t>
            </w: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t xml:space="preserve">采购人：（公章）</w:t>
            </w: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spacing w:line="360" w:lineRule="auto"/>
              <w:rPr>
                <w:rFonts w:hint="eastAsia" w:ascii="宋体" w:hAnsi="宋体" w:cs="宋体"/>
                <w:sz w:val="30"/>
                <w:szCs w:val="30"/>
              </w:rPr>
              <w:framePr w:vAnchor="text" w:hAnchor="margin" w:xAlign="center" w:y="2619"/>
            </w:pPr>
            <w:r>
              <w:rPr>
                <w:rFonts w:hint="eastAsia" w:ascii="宋体" w:hAnsi="宋体" w:cs="宋体"/>
                <w:sz w:val="30"/>
                <w:szCs w:val="30"/>
              </w:rPr>
            </w:r>
            <w:r/>
          </w:p>
          <w:p>
            <w:pPr>
              <w:pStyle w:val="645"/>
              <w:ind w:firstLine="3300"/>
              <w:spacing w:line="360" w:lineRule="auto"/>
              <w:rPr>
                <w:rFonts w:hint="eastAsia" w:ascii="宋体" w:hAnsi="宋体" w:cs="宋体"/>
              </w:rPr>
              <w:framePr w:vAnchor="text" w:hAnchor="margin" w:xAlign="center" w:y="2619"/>
            </w:pPr>
            <w:r>
              <w:rPr>
                <w:rFonts w:hint="eastAsia" w:ascii="宋体" w:hAnsi="宋体" w:cs="宋体"/>
                <w:sz w:val="30"/>
                <w:szCs w:val="30"/>
              </w:rPr>
              <w:t xml:space="preserve">年  月  日</w:t>
            </w: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p>
            <w:pPr>
              <w:pStyle w:val="645"/>
              <w:spacing w:line="360" w:lineRule="auto"/>
              <w:rPr>
                <w:rFonts w:hint="eastAsia" w:ascii="宋体" w:hAnsi="宋体" w:cs="宋体"/>
              </w:rPr>
              <w:framePr w:vAnchor="text" w:hAnchor="margin" w:xAlign="center" w:y="2619"/>
            </w:pPr>
            <w:r>
              <w:rPr>
                <w:rFonts w:hint="eastAsia" w:ascii="宋体" w:hAnsi="宋体" w:cs="宋体"/>
              </w:rPr>
            </w:r>
            <w:r/>
          </w:p>
        </w:tc>
      </w:tr>
    </w:tbl>
    <w:p>
      <w:pPr>
        <w:pStyle w:val="645"/>
        <w:jc w:val="center"/>
        <w:spacing w:line="360" w:lineRule="auto"/>
        <w:rPr>
          <w:rFonts w:hint="eastAsia" w:ascii="宋体" w:hAnsi="宋体" w:cs="宋体"/>
          <w:b/>
          <w:sz w:val="44"/>
          <w:szCs w:val="21"/>
        </w:rPr>
        <w:outlineLvl w:val="0"/>
      </w:pPr>
      <w:r>
        <w:rPr>
          <w:rFonts w:hint="eastAsia" w:ascii="宋体" w:hAnsi="宋体" w:cs="宋体"/>
          <w:b/>
          <w:sz w:val="44"/>
          <w:szCs w:val="21"/>
        </w:rPr>
        <w:br w:type="page" w:clear="all"/>
      </w:r>
      <w:r>
        <w:rPr>
          <w:rFonts w:hint="eastAsia" w:ascii="宋体" w:hAnsi="宋体" w:cs="宋体"/>
          <w:b/>
          <w:sz w:val="44"/>
          <w:szCs w:val="21"/>
        </w:rPr>
        <w:t xml:space="preserve">总  目  录</w:t>
      </w:r>
      <w:r>
        <w:rPr>
          <w:rFonts w:hint="eastAsia" w:ascii="宋体" w:hAnsi="宋体" w:cs="宋体"/>
          <w:b/>
          <w:sz w:val="44"/>
          <w:szCs w:val="21"/>
        </w:rPr>
      </w:r>
      <w:r/>
    </w:p>
    <w:p>
      <w:pPr>
        <w:pStyle w:val="645"/>
        <w:spacing w:line="360" w:lineRule="auto"/>
        <w:rPr>
          <w:rFonts w:hint="eastAsia" w:ascii="宋体" w:hAnsi="宋体" w:cs="宋体"/>
          <w:b/>
          <w:sz w:val="28"/>
          <w:szCs w:val="21"/>
        </w:rPr>
      </w:pPr>
      <w:r>
        <w:rPr>
          <w:rFonts w:hint="eastAsia" w:ascii="宋体" w:hAnsi="宋体" w:cs="宋体"/>
          <w:b/>
          <w:sz w:val="28"/>
          <w:szCs w:val="21"/>
        </w:rPr>
      </w:r>
      <w:r/>
    </w:p>
    <w:p>
      <w:pPr>
        <w:pStyle w:val="645"/>
        <w:numPr>
          <w:ilvl w:val="0"/>
          <w:numId w:val="4"/>
        </w:numPr>
        <w:spacing w:line="360" w:lineRule="auto"/>
        <w:tabs>
          <w:tab w:val="left" w:pos="1440" w:leader="none"/>
        </w:tabs>
        <w:rPr>
          <w:rFonts w:hint="eastAsia" w:ascii="宋体" w:hAnsi="宋体" w:cs="宋体"/>
          <w:sz w:val="32"/>
          <w:szCs w:val="21"/>
        </w:rPr>
        <w:outlineLvl w:val="0"/>
      </w:pPr>
      <w:r>
        <w:rPr>
          <w:rFonts w:hint="eastAsia" w:ascii="宋体" w:hAnsi="宋体" w:cs="宋体"/>
          <w:sz w:val="36"/>
          <w:szCs w:val="21"/>
        </w:rPr>
        <w:t xml:space="preserve">投标邀请 </w:t>
      </w:r>
      <w:r>
        <w:rPr>
          <w:rFonts w:hint="eastAsia" w:ascii="宋体" w:hAnsi="宋体" w:cs="宋体"/>
          <w:sz w:val="32"/>
          <w:szCs w:val="21"/>
        </w:rPr>
      </w:r>
      <w:r/>
    </w:p>
    <w:p>
      <w:pPr>
        <w:pStyle w:val="645"/>
        <w:numPr>
          <w:ilvl w:val="0"/>
          <w:numId w:val="4"/>
        </w:numPr>
        <w:spacing w:line="36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投标人须知</w:t>
      </w:r>
      <w:r>
        <w:rPr>
          <w:rFonts w:hint="eastAsia" w:ascii="宋体" w:hAnsi="宋体" w:cs="宋体"/>
          <w:sz w:val="36"/>
          <w:szCs w:val="21"/>
        </w:rPr>
        <w:t xml:space="preserve">  </w:t>
      </w:r>
      <w:r>
        <w:rPr>
          <w:rFonts w:hint="eastAsia" w:ascii="宋体" w:hAnsi="宋体" w:cs="宋体"/>
          <w:sz w:val="36"/>
          <w:szCs w:val="21"/>
        </w:rPr>
      </w:r>
      <w:r/>
    </w:p>
    <w:p>
      <w:pPr>
        <w:pStyle w:val="645"/>
        <w:numPr>
          <w:ilvl w:val="0"/>
          <w:numId w:val="4"/>
        </w:numPr>
        <w:spacing w:line="36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合同文本</w:t>
      </w:r>
      <w:r>
        <w:rPr>
          <w:rFonts w:hint="eastAsia" w:ascii="宋体" w:hAnsi="宋体" w:cs="宋体"/>
          <w:sz w:val="36"/>
          <w:szCs w:val="21"/>
        </w:rPr>
      </w:r>
      <w:r/>
    </w:p>
    <w:p>
      <w:pPr>
        <w:pStyle w:val="645"/>
        <w:numPr>
          <w:ilvl w:val="0"/>
          <w:numId w:val="4"/>
        </w:numPr>
        <w:spacing w:line="36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采购需求</w:t>
      </w:r>
      <w:r>
        <w:rPr>
          <w:rFonts w:hint="eastAsia" w:ascii="宋体" w:hAnsi="宋体" w:cs="宋体"/>
          <w:sz w:val="36"/>
          <w:szCs w:val="21"/>
        </w:rPr>
      </w:r>
      <w:r/>
    </w:p>
    <w:p>
      <w:pPr>
        <w:pStyle w:val="645"/>
        <w:numPr>
          <w:ilvl w:val="0"/>
          <w:numId w:val="4"/>
        </w:numPr>
        <w:spacing w:line="36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评标方法与评标标准</w:t>
      </w:r>
      <w:r>
        <w:rPr>
          <w:rFonts w:hint="eastAsia" w:ascii="宋体" w:hAnsi="宋体" w:cs="宋体"/>
          <w:sz w:val="36"/>
          <w:szCs w:val="21"/>
        </w:rPr>
      </w:r>
      <w:r/>
    </w:p>
    <w:p>
      <w:pPr>
        <w:pStyle w:val="645"/>
        <w:numPr>
          <w:ilvl w:val="0"/>
          <w:numId w:val="4"/>
        </w:numPr>
        <w:spacing w:line="36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投标文件格式</w:t>
      </w:r>
      <w:r>
        <w:rPr>
          <w:rFonts w:hint="eastAsia" w:ascii="宋体" w:hAnsi="宋体" w:cs="宋体"/>
          <w:sz w:val="36"/>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jc w:val="center"/>
        <w:keepNext/>
        <w:spacing w:line="360" w:lineRule="auto"/>
        <w:rPr>
          <w:rFonts w:hint="eastAsia" w:ascii="宋体" w:hAnsi="宋体" w:cs="宋体"/>
          <w:bCs/>
          <w:sz w:val="44"/>
          <w:szCs w:val="44"/>
        </w:rPr>
        <w:outlineLvl w:val="0"/>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rPr>
          <w:rFonts w:hint="eastAsia" w:ascii="宋体" w:hAnsi="宋体" w:cs="宋体"/>
          <w:bCs/>
          <w:sz w:val="44"/>
          <w:szCs w:val="4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受[江苏省通州中等专业学校]的委托，南通市通州区公共资源交易中心就[江苏省通州中等专业学校信息化升级建设采购项目]([</w:t>
      </w:r>
      <w:r>
        <w:rPr>
          <w:rFonts w:ascii="Segoe UI" w:hAnsi="Segoe UI" w:eastAsia="Segoe UI" w:cs="Segoe UI"/>
          <w:i w:val="0"/>
          <w:iCs w:val="0"/>
          <w:caps w:val="0"/>
          <w:spacing w:val="0"/>
          <w:sz w:val="21"/>
          <w:szCs w:val="21"/>
          <w:shd w:val="clear" w:color="auto" w:fill="ffffff"/>
        </w:rPr>
        <w:t xml:space="preserve">JSZC-320612-JZCG-G2024-0064</w:t>
      </w:r>
      <w:r>
        <w:rPr>
          <w:rFonts w:hint="eastAsia" w:ascii="宋体" w:hAnsi="宋体" w:cs="宋体"/>
          <w:sz w:val="24"/>
          <w:szCs w:val="24"/>
        </w:rPr>
        <w:t xml:space="preserve">])项目进行公开招标采购，欢迎符合条件的供应商投标。</w:t>
      </w:r>
      <w:r>
        <w:rPr>
          <w:rFonts w:hint="eastAsia" w:ascii="宋体" w:hAnsi="宋体" w:cs="宋体"/>
          <w:sz w:val="24"/>
          <w:szCs w:val="24"/>
        </w:rPr>
      </w:r>
      <w:r/>
    </w:p>
    <w:p>
      <w:pPr>
        <w:pStyle w:val="645"/>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645"/>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 (江苏省通州中等专业学校信息化升级建设采购项目)</w:t>
      </w:r>
      <w:r>
        <w:rPr>
          <w:rFonts w:hint="eastAsia" w:ascii="宋体" w:hAnsi="宋体" w:cs="宋体"/>
          <w:sz w:val="24"/>
          <w:szCs w:val="24"/>
        </w:rPr>
        <w:t xml:space="preserve"> 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  2024  </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2</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lang w:val="en-US" w:eastAsia="zh-CN"/>
        </w:rPr>
        <w:t xml:space="preserve">3</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hint="eastAsia" w:ascii="宋体" w:hAnsi="宋体" w:cs="宋体"/>
          <w:sz w:val="24"/>
          <w:szCs w:val="24"/>
        </w:rPr>
      </w:r>
      <w:r/>
    </w:p>
    <w:p>
      <w:pPr>
        <w:pStyle w:val="645"/>
        <w:ind w:firstLine="373"/>
        <w:keepLines/>
        <w:keepNext/>
        <w:spacing w:line="360" w:lineRule="auto"/>
        <w:rPr>
          <w:rFonts w:hint="eastAsia" w:ascii="宋体" w:hAnsi="宋体" w:cs="宋体"/>
          <w:b/>
          <w:bCs/>
          <w:sz w:val="24"/>
          <w:szCs w:val="24"/>
        </w:rPr>
        <w:outlineLvl w:val="2"/>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Pr>
          <w:rFonts w:hint="eastAsia" w:ascii="宋体" w:hAnsi="宋体" w:cs="宋体"/>
          <w:b/>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JSZC-320612-JZCG-G2024-0064</w:t>
      </w:r>
      <w:r>
        <w:rPr>
          <w:rFonts w:hint="eastAsia" w:ascii="Segoe UI" w:hAnsi="Segoe UI" w:cs="Segoe UI"/>
          <w:szCs w:val="21"/>
          <w:shd w:val="clear" w:color="auto" w:fill="ffffff"/>
        </w:rPr>
        <w:t xml:space="preserve"> </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2.项目名称：江苏省通州中等专业学校信息化升级建设采购项目</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bookmarkEnd w:id="11"/>
      <w:r>
        <w:rPr>
          <w:rFonts w:hint="eastAsia" w:ascii="宋体" w:hAnsi="宋体" w:cs="宋体"/>
          <w:sz w:val="24"/>
          <w:szCs w:val="24"/>
        </w:rPr>
        <w:t xml:space="preserve">3.预算金额：60万元</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4.本项目设定最高限价，最高限价为</w:t>
      </w:r>
      <w:r>
        <w:rPr>
          <w:rFonts w:hint="eastAsia" w:ascii="宋体" w:hAnsi="宋体" w:cs="宋体"/>
          <w:sz w:val="24"/>
          <w:szCs w:val="24"/>
          <w:u w:val="single"/>
        </w:rPr>
        <w:t xml:space="preserve">60</w:t>
      </w:r>
      <w:r>
        <w:rPr>
          <w:rFonts w:hint="eastAsia" w:ascii="宋体" w:hAnsi="宋体" w:cs="宋体"/>
          <w:sz w:val="24"/>
          <w:szCs w:val="24"/>
        </w:rPr>
        <w:t xml:space="preserve">万元。</w:t>
      </w:r>
      <w:r>
        <w:rPr>
          <w:rFonts w:hint="eastAsia" w:ascii="宋体" w:hAnsi="宋体" w:cs="宋体"/>
          <w:sz w:val="24"/>
          <w:szCs w:val="24"/>
        </w:rPr>
      </w:r>
      <w:r/>
    </w:p>
    <w:p>
      <w:pPr>
        <w:pStyle w:val="645"/>
        <w:ind w:firstLine="480"/>
        <w:spacing w:line="360" w:lineRule="auto"/>
        <w:rPr>
          <w:rFonts w:hint="eastAsia" w:ascii="宋体" w:hAnsi="宋体" w:cs="宋体"/>
          <w:sz w:val="24"/>
          <w:szCs w:val="24"/>
          <w:u w:val="single"/>
        </w:rPr>
      </w:pPr>
      <w:r>
        <w:rPr>
          <w:rFonts w:hint="eastAsia" w:ascii="宋体" w:hAnsi="宋体" w:cs="宋体"/>
          <w:sz w:val="24"/>
          <w:szCs w:val="24"/>
        </w:rPr>
        <w:t xml:space="preserve">5.采购需求(简介)：江苏省通州中等专业学校信息化升级建设，主要包含智慧校园顶层设计（数据规范）、支撑平台层（微服务架构）、学生综合素质评价模块、教学常规及评教评学系统（含移动听评课模块）、教师教科研系统、学校整体数据分析整改模块（含教诊改系统门户及数据展示）、智能办公模块（OA平台部分功能升级）、固定资产管理模块等，具体详见</w:t>
      </w:r>
      <w:r>
        <w:rPr>
          <w:rFonts w:hint="eastAsia" w:ascii="宋体" w:hAnsi="宋体" w:cs="宋体"/>
          <w:sz w:val="24"/>
          <w:szCs w:val="24"/>
        </w:rPr>
        <w:t xml:space="preserve">招标文件第四章</w:t>
      </w:r>
      <w:r>
        <w:rPr>
          <w:rFonts w:hint="eastAsia" w:ascii="宋体" w:hAnsi="宋体" w:cs="宋体"/>
          <w:sz w:val="24"/>
          <w:szCs w:val="24"/>
        </w:rPr>
        <w:t xml:space="preserve">项目需求。</w:t>
      </w:r>
      <w:r>
        <w:rPr>
          <w:rFonts w:hint="eastAsia" w:ascii="宋体" w:hAnsi="宋体" w:cs="宋体"/>
          <w:sz w:val="24"/>
          <w:szCs w:val="24"/>
          <w:u w:val="single"/>
        </w:rPr>
      </w:r>
      <w:r/>
    </w:p>
    <w:p>
      <w:pPr>
        <w:pStyle w:val="765"/>
        <w:ind w:left="0" w:firstLine="480"/>
        <w:spacing w:line="360" w:lineRule="auto"/>
        <w:rPr>
          <w:rFonts w:hint="eastAsia" w:ascii="宋体" w:hAnsi="宋体" w:cs="宋体"/>
          <w:lang w:eastAsia="zh-CN"/>
        </w:rPr>
      </w:pPr>
      <w:r>
        <w:rPr>
          <w:rFonts w:hint="eastAsia" w:ascii="宋体" w:hAnsi="宋体" w:cs="宋体"/>
          <w:lang w:eastAsia="zh-CN"/>
        </w:rPr>
        <w:t xml:space="preserve">6.合同履行期限：安装期限</w:t>
      </w:r>
      <w:r>
        <w:rPr>
          <w:rFonts w:hint="eastAsia" w:ascii="宋体" w:hAnsi="宋体" w:cs="宋体"/>
          <w:u w:val="single"/>
          <w:lang w:eastAsia="zh-CN"/>
        </w:rPr>
        <w:t xml:space="preserve">60</w:t>
      </w:r>
      <w:r>
        <w:rPr>
          <w:rFonts w:hint="eastAsia" w:ascii="宋体" w:hAnsi="宋体" w:cs="宋体"/>
          <w:lang w:eastAsia="zh-CN"/>
        </w:rPr>
        <w:t xml:space="preserve">日历天，质保三年。</w:t>
      </w:r>
      <w:r>
        <w:rPr>
          <w:rFonts w:hint="eastAsia" w:ascii="宋体" w:hAnsi="宋体" w:cs="宋体"/>
          <w:lang w:eastAsia="zh-CN"/>
        </w:rPr>
      </w:r>
      <w:r/>
    </w:p>
    <w:p>
      <w:pPr>
        <w:pStyle w:val="645"/>
        <w:ind w:firstLine="373"/>
        <w:keepLines/>
        <w:keepNext/>
        <w:spacing w:line="360" w:lineRule="auto"/>
        <w:rPr>
          <w:rFonts w:hint="eastAsia" w:ascii="宋体" w:hAnsi="宋体" w:cs="宋体"/>
          <w:b/>
          <w:bCs/>
          <w:sz w:val="24"/>
          <w:szCs w:val="24"/>
        </w:rPr>
        <w:outlineLvl w:val="2"/>
      </w:pPr>
      <w:r/>
      <w:bookmarkStart w:id="12" w:name="_Toc38985264"/>
      <w:r/>
      <w:bookmarkStart w:id="13" w:name="_Toc28359003"/>
      <w:r/>
      <w:bookmarkStart w:id="14" w:name="_Toc35393622"/>
      <w:r/>
      <w:bookmarkStart w:id="15" w:name="_Toc28359080"/>
      <w:r/>
      <w:bookmarkStart w:id="16" w:name="_Toc35393791"/>
      <w:r>
        <w:rPr>
          <w:rFonts w:hint="eastAsia" w:ascii="宋体" w:hAnsi="宋体" w:cs="宋体"/>
          <w:b/>
          <w:bCs/>
          <w:sz w:val="24"/>
          <w:szCs w:val="24"/>
        </w:rPr>
        <w:t xml:space="preserve">二、申请人的资格要求：</w:t>
      </w:r>
      <w:bookmarkEnd w:id="12"/>
      <w:r/>
      <w:bookmarkEnd w:id="13"/>
      <w:r/>
      <w:bookmarkEnd w:id="14"/>
      <w:r/>
      <w:bookmarkEnd w:id="15"/>
      <w:r/>
      <w:bookmarkEnd w:id="16"/>
      <w:r>
        <w:rPr>
          <w:rFonts w:hint="eastAsia" w:ascii="宋体" w:hAnsi="宋体" w:cs="宋体"/>
          <w:b/>
          <w:bCs/>
          <w:sz w:val="24"/>
          <w:szCs w:val="24"/>
        </w:rPr>
      </w:r>
      <w:r/>
    </w:p>
    <w:p>
      <w:pPr>
        <w:pStyle w:val="645"/>
        <w:ind w:firstLine="480"/>
        <w:spacing w:line="360" w:lineRule="auto"/>
        <w:rPr>
          <w:rFonts w:hint="eastAsia" w:ascii="宋体" w:hAnsi="宋体" w:cs="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cs="宋体"/>
          <w:sz w:val="24"/>
          <w:szCs w:val="24"/>
        </w:rPr>
        <w:t xml:space="preserve">（一）通用资格要求</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1.1 法人或者其他组织的营业执照等证明文件；</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1.2上一年度的财务状况报告（成立不满一年无需提供）；</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3.落实政府采购政策需满足的资格要求：</w:t>
      </w:r>
      <w:r>
        <w:rPr>
          <w:rFonts w:hint="eastAsia" w:ascii="宋体" w:hAnsi="宋体" w:cs="宋体"/>
          <w:bCs/>
          <w:sz w:val="24"/>
          <w:szCs w:val="24"/>
        </w:rPr>
        <w:t xml:space="preserve">本项目专门面向中小企业采购。</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根据《政府采购促进中小企业发展管理办法》的通知（财库〔2020〕46号）、《财政部、司法部关于政府采购支持监狱企业发展有关问题的通知》（财库〔2014〕68号）、《三部门联合发布关于促进残疾人就业政府采购政策的通知》（财库〔2017〕141号）的要求。</w:t>
      </w:r>
      <w:r>
        <w:rPr>
          <w:rFonts w:hint="eastAsia" w:ascii="宋体" w:hAnsi="宋体" w:cs="宋体"/>
          <w:sz w:val="24"/>
          <w:szCs w:val="24"/>
        </w:rPr>
      </w:r>
      <w:r/>
    </w:p>
    <w:p>
      <w:pPr>
        <w:pStyle w:val="645"/>
        <w:ind w:firstLine="372"/>
        <w:keepLines/>
        <w:keepNext/>
        <w:spacing w:line="360" w:lineRule="auto"/>
        <w:rPr>
          <w:rFonts w:hint="eastAsia" w:ascii="宋体" w:hAnsi="宋体" w:cs="宋体"/>
          <w:sz w:val="24"/>
          <w:szCs w:val="24"/>
        </w:rPr>
        <w:outlineLvl w:val="2"/>
      </w:pPr>
      <w:r>
        <w:rPr>
          <w:rFonts w:hint="eastAsia" w:ascii="宋体" w:hAnsi="宋体" w:cs="宋体"/>
          <w:sz w:val="24"/>
          <w:szCs w:val="24"/>
        </w:rPr>
        <w:t xml:space="preserve">4.本项目</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645"/>
        <w:ind w:firstLine="373"/>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三、获取招标文件</w:t>
      </w:r>
      <w:bookmarkEnd w:id="17"/>
      <w:r/>
      <w:bookmarkEnd w:id="18"/>
      <w:r/>
      <w:bookmarkEnd w:id="19"/>
      <w:r/>
      <w:bookmarkEnd w:id="20"/>
      <w:r/>
      <w:bookmarkEnd w:id="21"/>
      <w:r>
        <w:rPr>
          <w:rFonts w:hint="eastAsia" w:ascii="宋体" w:hAnsi="宋体" w:cs="宋体"/>
          <w:b/>
          <w:bCs/>
          <w:sz w:val="24"/>
          <w:szCs w:val="24"/>
        </w:rPr>
      </w:r>
      <w:r/>
    </w:p>
    <w:p>
      <w:pPr>
        <w:pStyle w:val="645"/>
        <w:ind w:firstLine="540"/>
        <w:spacing w:line="360" w:lineRule="auto"/>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645"/>
        <w:ind w:firstLine="540"/>
        <w:spacing w:line="360" w:lineRule="auto"/>
        <w:rPr>
          <w:rFonts w:hint="eastAsia" w:ascii="宋体" w:hAnsi="宋体" w:cs="宋体"/>
          <w:sz w:val="24"/>
          <w:szCs w:val="24"/>
        </w:rPr>
      </w:pPr>
      <w:r>
        <w:rPr>
          <w:rFonts w:hint="eastAsia" w:ascii="宋体" w:hAnsi="宋体" w:cs="宋体"/>
          <w:sz w:val="24"/>
          <w:szCs w:val="24"/>
        </w:rPr>
        <w:t xml:space="preserve">2.获取方式：</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供应商需办理CA锁，“苏采云”系统目前仅支持CA，省内各地区办理的用于“苏采云”平台的CA全省通用。南通地区“CA数字证书”的办理：南通市政务中心四楼，电话：18951314963。</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645"/>
        <w:ind w:firstLine="373"/>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四、提交投标文件</w:t>
      </w:r>
      <w:bookmarkEnd w:id="22"/>
      <w:r/>
      <w:bookmarkEnd w:id="23"/>
      <w:r>
        <w:rPr>
          <w:rFonts w:hint="eastAsia" w:ascii="宋体" w:hAnsi="宋体" w:cs="宋体"/>
          <w:b/>
          <w:bCs/>
          <w:sz w:val="24"/>
          <w:szCs w:val="24"/>
        </w:rPr>
        <w:t xml:space="preserve">截止时间、开标时间和地点</w:t>
      </w:r>
      <w:bookmarkEnd w:id="24"/>
      <w:r/>
      <w:bookmarkEnd w:id="25"/>
      <w:r/>
      <w:bookmarkEnd w:id="26"/>
      <w:r>
        <w:rPr>
          <w:rFonts w:hint="eastAsia" w:ascii="宋体" w:hAnsi="宋体" w:cs="宋体"/>
          <w:b/>
          <w:bCs/>
          <w:sz w:val="24"/>
          <w:szCs w:val="24"/>
        </w:rPr>
      </w:r>
      <w:r/>
    </w:p>
    <w:p>
      <w:pPr>
        <w:pStyle w:val="645"/>
        <w:ind w:firstLine="480"/>
        <w:spacing w:line="360" w:lineRule="auto"/>
        <w:rPr>
          <w:rFonts w:hint="eastAsia" w:ascii="宋体" w:hAnsi="宋体" w:cs="宋体"/>
          <w:bCs/>
          <w:sz w:val="24"/>
          <w:szCs w:val="24"/>
          <w:u w:val="single"/>
        </w:rPr>
      </w:pPr>
      <w:r>
        <w:rPr>
          <w:rFonts w:hint="eastAsia" w:ascii="宋体" w:hAnsi="宋体" w:cs="宋体"/>
          <w:bCs/>
          <w:sz w:val="24"/>
          <w:szCs w:val="24"/>
          <w:u w:val="single"/>
        </w:rPr>
        <w:t xml:space="preserve">1.2024年</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2</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lang w:val="en-US" w:eastAsia="zh-CN"/>
        </w:rPr>
        <w:t xml:space="preserve">3</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w:t>
      </w:r>
      <w:r>
        <w:rPr>
          <w:rFonts w:hint="eastAsia" w:ascii="宋体" w:hAnsi="宋体" w:cs="宋体"/>
          <w:bCs/>
          <w:sz w:val="24"/>
          <w:szCs w:val="24"/>
          <w:u w:val="single"/>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rPr>
          <w:rFonts w:hint="eastAsia" w:ascii="宋体" w:hAnsi="宋体" w:cs="宋体"/>
          <w:sz w:val="24"/>
          <w:szCs w:val="24"/>
        </w:rPr>
      </w:r>
      <w:r/>
    </w:p>
    <w:p>
      <w:pPr>
        <w:pStyle w:val="645"/>
        <w:ind w:firstLine="373"/>
        <w:keepLines/>
        <w:keepNext/>
        <w:spacing w:line="360" w:lineRule="auto"/>
        <w:rPr>
          <w:rFonts w:hint="eastAsia" w:ascii="宋体" w:hAnsi="宋体" w:cs="宋体"/>
          <w:b/>
          <w:bCs/>
          <w:sz w:val="24"/>
          <w:szCs w:val="24"/>
        </w:rPr>
        <w:outlineLvl w:val="2"/>
      </w:pPr>
      <w:r/>
      <w:bookmarkStart w:id="27" w:name="_Toc28359007"/>
      <w:r/>
      <w:bookmarkStart w:id="28" w:name="_Toc28359084"/>
      <w:r/>
      <w:bookmarkStart w:id="29" w:name="_Toc35393794"/>
      <w:r/>
      <w:bookmarkStart w:id="30" w:name="_Toc38985267"/>
      <w:r/>
      <w:bookmarkStart w:id="31" w:name="_Toc35393625"/>
      <w:r>
        <w:rPr>
          <w:rFonts w:hint="eastAsia" w:ascii="宋体" w:hAnsi="宋体" w:cs="宋体"/>
          <w:b/>
          <w:bCs/>
          <w:sz w:val="24"/>
          <w:szCs w:val="24"/>
        </w:rPr>
        <w:t xml:space="preserve">五、公告期限</w:t>
      </w:r>
      <w:bookmarkEnd w:id="27"/>
      <w:r/>
      <w:bookmarkEnd w:id="28"/>
      <w:r/>
      <w:bookmarkEnd w:id="29"/>
      <w:r/>
      <w:bookmarkEnd w:id="30"/>
      <w:r/>
      <w:bookmarkEnd w:id="31"/>
      <w:r>
        <w:rPr>
          <w:rFonts w:hint="eastAsia" w:ascii="宋体" w:hAnsi="宋体" w:cs="宋体"/>
          <w:b/>
          <w:bCs/>
          <w:sz w:val="24"/>
          <w:szCs w:val="24"/>
        </w:rPr>
      </w:r>
      <w:r/>
    </w:p>
    <w:p>
      <w:pPr>
        <w:pStyle w:val="645"/>
        <w:ind w:firstLine="480"/>
        <w:spacing w:line="360"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645"/>
        <w:ind w:firstLine="373"/>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六、其他补充事宜</w:t>
      </w:r>
      <w:bookmarkEnd w:id="32"/>
      <w:r/>
      <w:bookmarkEnd w:id="33"/>
      <w:r/>
      <w:bookmarkEnd w:id="34"/>
      <w:r>
        <w:rPr>
          <w:rFonts w:hint="eastAsia" w:ascii="宋体" w:hAnsi="宋体" w:cs="宋体"/>
          <w:b/>
          <w:bCs/>
          <w:sz w:val="24"/>
          <w:szCs w:val="24"/>
        </w:rPr>
      </w:r>
      <w:r/>
    </w:p>
    <w:p>
      <w:pPr>
        <w:pStyle w:val="645"/>
        <w:ind w:firstLine="480"/>
        <w:spacing w:line="360" w:lineRule="auto"/>
        <w:tabs>
          <w:tab w:val="left" w:pos="900" w:leader="none"/>
        </w:tabs>
        <w:rPr>
          <w:rFonts w:hint="eastAsia" w:ascii="宋体" w:hAnsi="宋体" w:cs="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cs="宋体"/>
          <w:bCs/>
          <w:sz w:val="24"/>
          <w:szCs w:val="24"/>
        </w:rPr>
        <w:t xml:space="preserve">本次招标不收取投标保证金。</w:t>
      </w:r>
      <w:r>
        <w:rPr>
          <w:rFonts w:hint="eastAsia" w:ascii="宋体" w:hAnsi="宋体" w:cs="宋体"/>
          <w:bCs/>
          <w:sz w:val="24"/>
          <w:szCs w:val="24"/>
        </w:rPr>
      </w:r>
      <w:r/>
    </w:p>
    <w:p>
      <w:pPr>
        <w:pStyle w:val="645"/>
        <w:ind w:firstLine="373"/>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七、本次招标联系方式</w:t>
      </w:r>
      <w:bookmarkEnd w:id="35"/>
      <w:r/>
      <w:bookmarkEnd w:id="36"/>
      <w:r/>
      <w:bookmarkEnd w:id="37"/>
      <w:r/>
      <w:bookmarkEnd w:id="38"/>
      <w:r/>
      <w:bookmarkEnd w:id="39"/>
      <w:r>
        <w:rPr>
          <w:rFonts w:hint="eastAsia" w:ascii="宋体" w:hAnsi="宋体" w:cs="宋体"/>
          <w:b/>
          <w:bCs/>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1.采购人名 称：江苏省通州中等专业学校</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地址：南通市通州区金沙街道</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联系人：陈先生、盛先生                       </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联系方式：15190986257、1</w:t>
      </w:r>
      <w:r>
        <w:rPr>
          <w:rFonts w:ascii="宋体" w:hAnsi="宋体" w:cs="宋体"/>
          <w:sz w:val="24"/>
          <w:szCs w:val="24"/>
        </w:rPr>
        <w:t xml:space="preserve">3951321009</w:t>
      </w:r>
      <w:r>
        <w:rPr>
          <w:rFonts w:hint="eastAsia" w:ascii="宋体" w:hAnsi="宋体" w:cs="宋体"/>
          <w:sz w:val="24"/>
          <w:szCs w:val="24"/>
        </w:rPr>
        <w:t xml:space="preserve">　　</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2.南通市通州区公共资源交易中心</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地址：南通市通州区碧华路197号</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联系方式：潘先生　0513-86519938　</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交易系统软件维护人员：0519-86722801、0519-86722806</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645"/>
        <w:ind w:firstLine="480"/>
        <w:jc w:val="center"/>
        <w:spacing w:line="360" w:lineRule="auto"/>
        <w:widowControl/>
        <w:rPr>
          <w:rFonts w:hint="eastAsia" w:ascii="宋体" w:hAnsi="宋体" w:cs="宋体"/>
          <w:sz w:val="44"/>
          <w:szCs w:val="44"/>
        </w:rPr>
      </w:pPr>
      <w:r>
        <w:rPr>
          <w:rFonts w:hint="eastAsia" w:ascii="宋体" w:hAnsi="宋体" w:cs="宋体"/>
          <w:sz w:val="24"/>
          <w:szCs w:val="24"/>
        </w:rPr>
        <w:br w:type="page" w:clear="all"/>
      </w:r>
      <w:bookmarkStart w:id="40" w:name="_Toc120614211"/>
      <w:r>
        <w:rPr>
          <w:rFonts w:hint="eastAsia" w:ascii="宋体" w:hAnsi="宋体" w:cs="宋体"/>
          <w:b/>
          <w:bCs/>
          <w:sz w:val="44"/>
          <w:szCs w:val="44"/>
        </w:rPr>
        <w:t xml:space="preserve">第二章  </w:t>
      </w:r>
      <w:bookmarkEnd w:id="1"/>
      <w:r/>
      <w:bookmarkEnd w:id="2"/>
      <w:r/>
      <w:bookmarkEnd w:id="3"/>
      <w:r/>
      <w:bookmarkEnd w:id="4"/>
      <w:r/>
      <w:bookmarkEnd w:id="5"/>
      <w:r/>
      <w:bookmarkEnd w:id="40"/>
      <w:r/>
      <w:bookmarkStart w:id="41" w:name="_Toc16938518"/>
      <w:r/>
      <w:bookmarkStart w:id="42" w:name="_Toc513029202"/>
      <w:r/>
      <w:bookmarkStart w:id="43" w:name="_Toc20823274"/>
      <w:r/>
      <w:bookmarkStart w:id="44" w:name="_Toc120614213"/>
      <w:r>
        <w:rPr>
          <w:rFonts w:hint="eastAsia" w:ascii="宋体" w:hAnsi="宋体" w:cs="宋体"/>
          <w:b/>
          <w:bCs/>
          <w:sz w:val="44"/>
          <w:szCs w:val="44"/>
        </w:rPr>
        <w:t xml:space="preserve">投标人须知</w:t>
      </w:r>
      <w:bookmarkEnd w:id="41"/>
      <w:r/>
      <w:bookmarkEnd w:id="42"/>
      <w:r/>
      <w:bookmarkEnd w:id="43"/>
      <w:r/>
      <w:bookmarkEnd w:id="44"/>
      <w:r>
        <w:rPr>
          <w:rFonts w:hint="eastAsia" w:ascii="宋体" w:hAnsi="宋体" w:cs="宋体"/>
          <w:sz w:val="44"/>
          <w:szCs w:val="44"/>
        </w:rPr>
      </w:r>
      <w:r/>
    </w:p>
    <w:p>
      <w:pPr>
        <w:pStyle w:val="645"/>
        <w:ind w:firstLine="373"/>
        <w:keepLines/>
        <w:keepNext/>
        <w:spacing w:line="360" w:lineRule="auto"/>
        <w:rPr>
          <w:rFonts w:hint="eastAsia" w:ascii="宋体" w:hAnsi="宋体" w:cs="宋体"/>
          <w:b/>
          <w:bCs/>
          <w:sz w:val="24"/>
          <w:szCs w:val="24"/>
        </w:rPr>
        <w:outlineLvl w:val="2"/>
      </w:pPr>
      <w:r/>
      <w:bookmarkStart w:id="45" w:name="_Toc16938519"/>
      <w:r/>
      <w:bookmarkStart w:id="46" w:name="_Toc120614214"/>
      <w:r/>
      <w:bookmarkStart w:id="47" w:name="_Toc20823275"/>
      <w:r/>
      <w:bookmarkStart w:id="48" w:name="_Toc513029203"/>
      <w:r>
        <w:rPr>
          <w:rFonts w:hint="eastAsia" w:ascii="宋体" w:hAnsi="宋体" w:cs="宋体"/>
          <w:b/>
          <w:bCs/>
          <w:sz w:val="24"/>
          <w:szCs w:val="24"/>
        </w:rPr>
        <w:t xml:space="preserve">一、总则</w:t>
      </w:r>
      <w:bookmarkEnd w:id="45"/>
      <w:r/>
      <w:bookmarkEnd w:id="46"/>
      <w:r/>
      <w:bookmarkEnd w:id="47"/>
      <w:r/>
      <w:bookmarkEnd w:id="48"/>
      <w:r>
        <w:rPr>
          <w:rFonts w:hint="eastAsia" w:ascii="宋体" w:hAnsi="宋体" w:cs="宋体"/>
          <w:b/>
          <w:bCs/>
          <w:sz w:val="24"/>
          <w:szCs w:val="24"/>
        </w:rPr>
      </w:r>
      <w:r/>
    </w:p>
    <w:p>
      <w:pPr>
        <w:pStyle w:val="645"/>
        <w:ind w:firstLine="480"/>
        <w:keepLines/>
        <w:keepNext/>
        <w:spacing w:line="360" w:lineRule="auto"/>
        <w:rPr>
          <w:rFonts w:hint="eastAsia" w:ascii="宋体" w:hAnsi="宋体" w:cs="宋体"/>
          <w:sz w:val="24"/>
          <w:szCs w:val="24"/>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cs="宋体"/>
          <w:sz w:val="24"/>
          <w:szCs w:val="24"/>
        </w:rPr>
        <w:t xml:space="preserve">1</w:t>
      </w:r>
      <w:bookmarkEnd w:id="50"/>
      <w:r>
        <w:rPr>
          <w:rFonts w:hint="eastAsia" w:ascii="宋体" w:hAnsi="宋体" w:cs="宋体"/>
          <w:sz w:val="24"/>
          <w:szCs w:val="24"/>
        </w:rPr>
        <w:t xml:space="preserve">、招标方式</w:t>
      </w:r>
      <w:bookmarkEnd w:id="51"/>
      <w:r/>
      <w:bookmarkEnd w:id="52"/>
      <w:r/>
      <w:bookmarkEnd w:id="53"/>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54" w:name="_Toc513029205"/>
      <w:r/>
      <w:bookmarkStart w:id="55" w:name="_Toc20823277"/>
      <w:r/>
      <w:bookmarkStart w:id="56" w:name="_Toc16938521"/>
      <w:r>
        <w:rPr>
          <w:rFonts w:hint="eastAsia" w:ascii="宋体" w:hAnsi="宋体" w:cs="宋体"/>
          <w:sz w:val="24"/>
          <w:szCs w:val="24"/>
        </w:rPr>
        <w:t xml:space="preserve">2、合格的投标人</w:t>
      </w:r>
      <w:bookmarkEnd w:id="54"/>
      <w:r/>
      <w:bookmarkEnd w:id="55"/>
      <w:r/>
      <w:bookmarkEnd w:id="56"/>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满足本文件实质性要求和条件的规定。</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57" w:name="_Toc16938522"/>
      <w:r/>
      <w:bookmarkStart w:id="58" w:name="_Toc513029206"/>
      <w:r/>
      <w:bookmarkStart w:id="59" w:name="_Toc20823278"/>
      <w:r>
        <w:rPr>
          <w:rFonts w:hint="eastAsia" w:ascii="宋体" w:hAnsi="宋体" w:cs="宋体"/>
          <w:sz w:val="24"/>
          <w:szCs w:val="24"/>
        </w:rPr>
        <w:t xml:space="preserve">3、适用法律</w:t>
      </w:r>
      <w:bookmarkEnd w:id="57"/>
      <w:r/>
      <w:bookmarkEnd w:id="58"/>
      <w:r/>
      <w:bookmarkEnd w:id="59"/>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60" w:name="_Toc513029207"/>
      <w:r/>
      <w:bookmarkStart w:id="61" w:name="_Toc462564067"/>
      <w:r/>
      <w:bookmarkStart w:id="62" w:name="_Toc20823279"/>
      <w:r/>
      <w:bookmarkStart w:id="63" w:name="_Toc16938523"/>
      <w:r>
        <w:rPr>
          <w:rFonts w:hint="eastAsia" w:ascii="宋体" w:hAnsi="宋体" w:cs="宋体"/>
          <w:sz w:val="24"/>
          <w:szCs w:val="24"/>
        </w:rPr>
        <w:t xml:space="preserve">4、投标费用</w:t>
      </w:r>
      <w:bookmarkEnd w:id="60"/>
      <w:r/>
      <w:bookmarkEnd w:id="61"/>
      <w:r/>
      <w:bookmarkEnd w:id="62"/>
      <w:r/>
      <w:bookmarkEnd w:id="63"/>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投标人应自行承担所有与参加投标有关的费用，无论投标过程中的做法和结果如何，南通市通州区公共资源交易中心（以下简称交易中心）在任何情况下均无义务和责任承担这些费用。</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645"/>
        <w:ind w:firstLine="482"/>
        <w:keepLines/>
        <w:keepNext/>
        <w:spacing w:line="360" w:lineRule="auto"/>
        <w:rPr>
          <w:rFonts w:hint="eastAsia" w:ascii="宋体" w:hAnsi="宋体" w:cs="宋体"/>
          <w:sz w:val="24"/>
          <w:szCs w:val="24"/>
        </w:rPr>
        <w:outlineLvl w:val="3"/>
      </w:pPr>
      <w:r>
        <w:rPr>
          <w:rFonts w:hint="eastAsia" w:ascii="宋体" w:hAnsi="宋体" w:cs="宋体"/>
          <w:b/>
          <w:bCs/>
          <w:sz w:val="24"/>
          <w:szCs w:val="24"/>
        </w:rPr>
        <w:t xml:space="preserve">5、</w:t>
      </w:r>
      <w:r>
        <w:rPr>
          <w:rFonts w:hint="eastAsia" w:ascii="宋体" w:hAnsi="宋体" w:cs="宋体"/>
          <w:sz w:val="24"/>
          <w:szCs w:val="24"/>
        </w:rPr>
        <w:t xml:space="preserve">招标文件的约束力</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hint="eastAsia" w:ascii="宋体" w:hAnsi="宋体" w:cs="宋体"/>
          <w:sz w:val="24"/>
          <w:szCs w:val="24"/>
        </w:rPr>
      </w:r>
      <w:r/>
    </w:p>
    <w:p>
      <w:pPr>
        <w:pStyle w:val="645"/>
        <w:ind w:firstLine="482"/>
        <w:keepLines/>
        <w:keepNext/>
        <w:spacing w:line="360" w:lineRule="auto"/>
        <w:rPr>
          <w:rFonts w:hint="eastAsia" w:ascii="宋体" w:hAnsi="宋体" w:cs="宋体"/>
          <w:b/>
          <w:bCs/>
          <w:sz w:val="24"/>
          <w:szCs w:val="24"/>
        </w:rPr>
        <w:outlineLvl w:val="2"/>
      </w:pPr>
      <w:r/>
      <w:bookmarkStart w:id="64" w:name="_Toc513029209"/>
      <w:r/>
      <w:bookmarkStart w:id="65" w:name="_Toc120614215"/>
      <w:r/>
      <w:bookmarkStart w:id="66" w:name="_Toc20823281"/>
      <w:r/>
      <w:bookmarkStart w:id="67" w:name="_Toc16938525"/>
      <w:r>
        <w:rPr>
          <w:rFonts w:hint="eastAsia" w:ascii="宋体" w:hAnsi="宋体" w:cs="宋体"/>
          <w:b/>
          <w:bCs/>
          <w:sz w:val="24"/>
          <w:szCs w:val="24"/>
        </w:rPr>
        <w:t xml:space="preserve">二、招标文件</w:t>
      </w:r>
      <w:bookmarkEnd w:id="64"/>
      <w:r/>
      <w:bookmarkEnd w:id="65"/>
      <w:r/>
      <w:bookmarkEnd w:id="66"/>
      <w:r/>
      <w:bookmarkEnd w:id="67"/>
      <w:r>
        <w:rPr>
          <w:rFonts w:hint="eastAsia" w:ascii="宋体" w:hAnsi="宋体" w:cs="宋体"/>
          <w:b/>
          <w:bCs/>
          <w:sz w:val="24"/>
          <w:szCs w:val="24"/>
        </w:rPr>
      </w:r>
      <w:r/>
    </w:p>
    <w:p>
      <w:pPr>
        <w:pStyle w:val="645"/>
        <w:ind w:firstLine="480"/>
        <w:keepLines/>
        <w:keepNext/>
        <w:spacing w:line="360" w:lineRule="auto"/>
        <w:rPr>
          <w:rFonts w:hint="eastAsia" w:ascii="宋体" w:hAnsi="宋体" w:cs="宋体"/>
          <w:sz w:val="24"/>
          <w:szCs w:val="24"/>
        </w:rPr>
        <w:outlineLvl w:val="3"/>
      </w:pPr>
      <w:r/>
      <w:bookmarkStart w:id="68" w:name="_Toc16938526"/>
      <w:r/>
      <w:bookmarkStart w:id="69" w:name="_Toc20823282"/>
      <w:r/>
      <w:bookmarkStart w:id="70" w:name="_Toc513029210"/>
      <w:r>
        <w:rPr>
          <w:rFonts w:hint="eastAsia" w:ascii="宋体" w:hAnsi="宋体" w:cs="宋体"/>
          <w:sz w:val="24"/>
          <w:szCs w:val="24"/>
        </w:rPr>
        <w:t xml:space="preserve">6、招标文件构成</w:t>
      </w:r>
      <w:bookmarkEnd w:id="68"/>
      <w:r/>
      <w:bookmarkEnd w:id="69"/>
      <w:r/>
      <w:bookmarkEnd w:id="70"/>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（1）投标邀请</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（2）投标人须知</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请仔细检查招标文件是否齐全，如有缺漏请立即与交易中心联系解决。</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71" w:name="_Toc16938527"/>
      <w:r/>
      <w:bookmarkStart w:id="72" w:name="_Toc513029211"/>
      <w:r/>
      <w:bookmarkStart w:id="73" w:name="_Toc20823283"/>
      <w:r/>
      <w:bookmarkStart w:id="74" w:name="_Toc462564070"/>
      <w:r>
        <w:rPr>
          <w:rFonts w:hint="eastAsia" w:ascii="宋体" w:hAnsi="宋体" w:cs="宋体"/>
          <w:sz w:val="24"/>
          <w:szCs w:val="24"/>
        </w:rPr>
        <w:t xml:space="preserve">7、招标文件的澄清</w:t>
      </w:r>
      <w:bookmarkEnd w:id="71"/>
      <w:r/>
      <w:bookmarkEnd w:id="72"/>
      <w:r/>
      <w:bookmarkEnd w:id="73"/>
      <w:r/>
      <w:bookmarkEnd w:id="74"/>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前按招标公告中的通讯地址，以书面形式通知交易中心。</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75" w:name="_Toc513029212"/>
      <w:r/>
      <w:bookmarkStart w:id="76" w:name="_Toc20823284"/>
      <w:r/>
      <w:bookmarkStart w:id="77" w:name="_Toc462564071"/>
      <w:r/>
      <w:bookmarkStart w:id="78" w:name="_Toc16938528"/>
      <w:r>
        <w:rPr>
          <w:rFonts w:hint="eastAsia" w:ascii="宋体" w:hAnsi="宋体" w:cs="宋体"/>
          <w:sz w:val="24"/>
          <w:szCs w:val="24"/>
        </w:rPr>
        <w:t xml:space="preserve">8、招标文件的修改</w:t>
      </w:r>
      <w:bookmarkEnd w:id="75"/>
      <w:r/>
      <w:bookmarkEnd w:id="76"/>
      <w:r/>
      <w:bookmarkEnd w:id="77"/>
      <w:r/>
      <w:bookmarkEnd w:id="78"/>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在投标截止时间前，交易中心可以对招标文件进行修改。</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交易中心有权按照法定的要求推迟投标截止日期和开标日期。</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rPr>
          <w:rFonts w:hint="eastAsia" w:ascii="宋体" w:hAnsi="宋体" w:cs="宋体"/>
          <w:sz w:val="24"/>
          <w:szCs w:val="24"/>
        </w:rPr>
      </w:r>
      <w:r/>
    </w:p>
    <w:p>
      <w:pPr>
        <w:pStyle w:val="645"/>
        <w:ind w:firstLine="482"/>
        <w:keepLines/>
        <w:keepNext/>
        <w:spacing w:line="360" w:lineRule="auto"/>
        <w:rPr>
          <w:rFonts w:hint="eastAsia" w:ascii="宋体" w:hAnsi="宋体" w:cs="宋体"/>
          <w:b/>
          <w:bCs/>
          <w:sz w:val="24"/>
          <w:szCs w:val="24"/>
        </w:rPr>
        <w:outlineLvl w:val="2"/>
      </w:pPr>
      <w:r/>
      <w:bookmarkStart w:id="79" w:name="_Toc462564072"/>
      <w:r/>
      <w:bookmarkStart w:id="80" w:name="_Toc120614216"/>
      <w:r/>
      <w:bookmarkStart w:id="81" w:name="_Toc20823285"/>
      <w:r/>
      <w:bookmarkStart w:id="82" w:name="_Toc513029213"/>
      <w:r/>
      <w:bookmarkStart w:id="83" w:name="_Toc16938529"/>
      <w:r>
        <w:rPr>
          <w:rFonts w:hint="eastAsia" w:ascii="宋体" w:hAnsi="宋体" w:cs="宋体"/>
          <w:b/>
          <w:bCs/>
          <w:sz w:val="24"/>
          <w:szCs w:val="24"/>
        </w:rPr>
        <w:t xml:space="preserve">三、投标文件的编制</w:t>
      </w:r>
      <w:bookmarkEnd w:id="79"/>
      <w:r/>
      <w:bookmarkEnd w:id="80"/>
      <w:r/>
      <w:bookmarkEnd w:id="81"/>
      <w:r/>
      <w:bookmarkEnd w:id="82"/>
      <w:r/>
      <w:bookmarkEnd w:id="83"/>
      <w:r>
        <w:rPr>
          <w:rFonts w:hint="eastAsia" w:ascii="宋体" w:hAnsi="宋体" w:cs="宋体"/>
          <w:b/>
          <w:bCs/>
          <w:sz w:val="24"/>
          <w:szCs w:val="24"/>
        </w:rPr>
      </w:r>
      <w:r/>
    </w:p>
    <w:p>
      <w:pPr>
        <w:pStyle w:val="645"/>
        <w:ind w:firstLine="480"/>
        <w:keepLines/>
        <w:keepNext/>
        <w:spacing w:line="360" w:lineRule="auto"/>
        <w:rPr>
          <w:rFonts w:hint="eastAsia" w:ascii="宋体" w:hAnsi="宋体" w:cs="宋体"/>
          <w:b/>
          <w:sz w:val="24"/>
          <w:szCs w:val="24"/>
        </w:rPr>
        <w:outlineLvl w:val="3"/>
      </w:pPr>
      <w:r/>
      <w:bookmarkStart w:id="84" w:name="_Toc513029214"/>
      <w:r/>
      <w:bookmarkStart w:id="85" w:name="_Toc462564073"/>
      <w:r/>
      <w:bookmarkStart w:id="86" w:name="_Toc16938530"/>
      <w:r/>
      <w:bookmarkStart w:id="87" w:name="_Toc20823286"/>
      <w:r>
        <w:rPr>
          <w:rFonts w:hint="eastAsia" w:ascii="宋体" w:hAnsi="宋体" w:cs="宋体"/>
          <w:sz w:val="24"/>
          <w:szCs w:val="24"/>
        </w:rPr>
        <w:t xml:space="preserve">9、投标文件的语言及度量衡单位</w:t>
      </w:r>
      <w:bookmarkEnd w:id="84"/>
      <w:r/>
      <w:bookmarkEnd w:id="85"/>
      <w:r/>
      <w:bookmarkEnd w:id="86"/>
      <w:r/>
      <w:bookmarkEnd w:id="87"/>
      <w:r>
        <w:rPr>
          <w:rFonts w:hint="eastAsia" w:ascii="宋体" w:hAnsi="宋体" w:cs="宋体"/>
          <w:b/>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投标人提交的投标文件以及投标人与交易中心就有关投标的所有来往通知、函件和文件均应使用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88" w:name="_Toc462564074"/>
      <w:r/>
      <w:bookmarkStart w:id="89" w:name="_Toc16938531"/>
      <w:r/>
      <w:bookmarkStart w:id="90" w:name="_Toc20823287"/>
      <w:r/>
      <w:bookmarkStart w:id="91" w:name="_Toc513029215"/>
      <w:r>
        <w:rPr>
          <w:rFonts w:hint="eastAsia" w:ascii="宋体" w:hAnsi="宋体" w:cs="宋体"/>
          <w:sz w:val="24"/>
          <w:szCs w:val="24"/>
        </w:rPr>
        <w:t xml:space="preserve">10、投标文件构成</w:t>
      </w:r>
      <w:bookmarkEnd w:id="88"/>
      <w:r/>
      <w:bookmarkEnd w:id="89"/>
      <w:r/>
      <w:bookmarkEnd w:id="90"/>
      <w:r/>
      <w:bookmarkEnd w:id="91"/>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 投标人编写的投标文件应包括资格证明文件、符合性证明文件、投标分项报价表、技术要求响应及偏离表、商务要求响应及偏离表、其他证明文件、投标响应函、开标一览表等部分。</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bookmarkStart w:id="101" w:name="_Toc49090508"/>
      <w:r/>
      <w:bookmarkStart w:id="102" w:name="_Toc14577355"/>
      <w:r>
        <w:rPr>
          <w:rFonts w:hint="eastAsia" w:ascii="宋体" w:hAnsi="宋体" w:cs="宋体"/>
          <w:sz w:val="24"/>
          <w:szCs w:val="24"/>
        </w:rPr>
        <w:t xml:space="preserve">11、证明投标人及投标标的符合招标文件规定的文件</w:t>
      </w:r>
      <w:bookmarkEnd w:id="95"/>
      <w:r/>
      <w:bookmarkEnd w:id="96"/>
      <w:r/>
      <w:bookmarkEnd w:id="97"/>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bookmarkEnd w:id="98"/>
      <w:r/>
      <w:bookmarkEnd w:id="99"/>
      <w:r/>
      <w:bookmarkEnd w:id="100"/>
      <w:r>
        <w:rPr>
          <w:rFonts w:hint="eastAsia" w:ascii="宋体" w:hAnsi="宋体" w:cs="宋体"/>
          <w:sz w:val="24"/>
          <w:szCs w:val="24"/>
        </w:rPr>
        <w:t xml:space="preserve">11.1 投标人应按照招标文件要求提交证明文件，证明其及投标标的符合招标文件规定。</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End w:id="101"/>
      <w:r/>
      <w:bookmarkEnd w:id="102"/>
      <w:r>
        <w:rPr>
          <w:rFonts w:hint="eastAsia" w:ascii="宋体" w:hAnsi="宋体" w:cs="宋体"/>
          <w:sz w:val="24"/>
          <w:szCs w:val="24"/>
        </w:rPr>
        <w:t xml:space="preserve">12、投标分项报价表</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投标人应按照招标文件规定格式填报投标分项报价表。</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645"/>
        <w:ind w:firstLine="480"/>
        <w:keepLines/>
        <w:keepNext/>
        <w:spacing w:line="360" w:lineRule="auto"/>
        <w:rPr>
          <w:rFonts w:hint="eastAsia" w:ascii="宋体" w:hAnsi="宋体" w:cs="宋体"/>
          <w:sz w:val="24"/>
          <w:szCs w:val="24"/>
        </w:rPr>
        <w:outlineLvl w:val="3"/>
      </w:pPr>
      <w:r/>
      <w:bookmarkStart w:id="103" w:name="_Hlt26954731"/>
      <w:r/>
      <w:bookmarkEnd w:id="103"/>
      <w:r/>
      <w:bookmarkStart w:id="104" w:name="_Hlt26670482"/>
      <w:r/>
      <w:bookmarkEnd w:id="104"/>
      <w:r/>
      <w:bookmarkStart w:id="105" w:name="_Hlt26670486"/>
      <w:r/>
      <w:bookmarkEnd w:id="105"/>
      <w:r/>
      <w:bookmarkStart w:id="106" w:name="_Hlt26954848"/>
      <w:r/>
      <w:bookmarkEnd w:id="106"/>
      <w:r/>
      <w:bookmarkStart w:id="107" w:name="_Hlt26954846"/>
      <w:r/>
      <w:bookmarkEnd w:id="107"/>
      <w:r>
        <w:rPr>
          <w:rFonts w:hint="eastAsia" w:ascii="宋体" w:hAnsi="宋体" w:cs="宋体"/>
          <w:sz w:val="24"/>
          <w:szCs w:val="24"/>
        </w:rPr>
        <w:t xml:space="preserve">13、技术要求响应及偏离表、商务要求响应及偏离表</w:t>
      </w:r>
      <w:r>
        <w:rPr>
          <w:rFonts w:hint="eastAsia" w:ascii="宋体" w:hAnsi="宋体" w:cs="宋体"/>
          <w:sz w:val="24"/>
          <w:szCs w:val="24"/>
        </w:rPr>
      </w:r>
      <w:r/>
    </w:p>
    <w:p>
      <w:pPr>
        <w:pStyle w:val="645"/>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13.1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64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rPr>
          <w:rFonts w:hint="eastAsia" w:ascii="宋体" w:hAnsi="宋体" w:cs="宋体"/>
          <w:sz w:val="24"/>
          <w:szCs w:val="24"/>
          <w:lang w:val="zh-CN"/>
        </w:rPr>
      </w:r>
      <w:r/>
    </w:p>
    <w:p>
      <w:pPr>
        <w:pStyle w:val="645"/>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14、服务承诺、培训计划、人员安排及其他</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14.1 </w:t>
      </w:r>
      <w:r>
        <w:rPr>
          <w:rFonts w:hint="eastAsia" w:ascii="宋体" w:hAnsi="宋体" w:cs="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108" w:name="_Toc14577359"/>
      <w:r/>
      <w:bookmarkStart w:id="109" w:name="_Toc49090510"/>
      <w:r>
        <w:rPr>
          <w:rFonts w:hint="eastAsia" w:ascii="宋体" w:hAnsi="宋体" w:cs="宋体"/>
          <w:sz w:val="24"/>
          <w:szCs w:val="24"/>
        </w:rPr>
        <w:t xml:space="preserve">15、投标响应函和开标一览表</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15.1</w:t>
      </w:r>
      <w:r>
        <w:rPr>
          <w:rFonts w:hint="eastAsia" w:ascii="宋体" w:hAnsi="宋体" w:cs="宋体"/>
          <w:sz w:val="24"/>
          <w:szCs w:val="24"/>
        </w:rPr>
        <w:t xml:space="preserve"> 投标人应按照招标文件中提供的格式完整、正确填写投标响应函、开标一览表。</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End w:id="108"/>
      <w:r/>
      <w:bookmarkEnd w:id="109"/>
      <w:r/>
      <w:bookmarkStart w:id="110" w:name="_Toc14577360"/>
      <w:r/>
      <w:bookmarkStart w:id="111" w:name="_Toc49090511"/>
      <w:r>
        <w:rPr>
          <w:rFonts w:hint="eastAsia" w:ascii="宋体" w:hAnsi="宋体" w:cs="宋体"/>
          <w:sz w:val="24"/>
          <w:szCs w:val="24"/>
        </w:rPr>
        <w:t xml:space="preserve">16、投标有效期</w:t>
      </w:r>
      <w:bookmarkEnd w:id="110"/>
      <w:r/>
      <w:bookmarkEnd w:id="111"/>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16.1投标有效期为交易中心规定的开标之日后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645"/>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17、投标有效期的延长</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645"/>
        <w:ind w:firstLine="482"/>
        <w:keepLines/>
        <w:keepNext/>
        <w:spacing w:line="360" w:lineRule="auto"/>
        <w:rPr>
          <w:rFonts w:hint="eastAsia" w:ascii="宋体" w:hAnsi="宋体" w:cs="宋体"/>
          <w:b/>
          <w:bCs/>
          <w:sz w:val="24"/>
          <w:szCs w:val="24"/>
        </w:rPr>
        <w:outlineLvl w:val="2"/>
      </w:pPr>
      <w:r/>
      <w:bookmarkStart w:id="112" w:name="_Hlt26954852"/>
      <w:r/>
      <w:bookmarkEnd w:id="112"/>
      <w:r/>
      <w:bookmarkStart w:id="113" w:name="_Hlt26954739"/>
      <w:r/>
      <w:bookmarkEnd w:id="113"/>
      <w:r/>
      <w:bookmarkStart w:id="114" w:name="_Toc513029224"/>
      <w:r/>
      <w:bookmarkStart w:id="115" w:name="_Toc20823296"/>
      <w:r/>
      <w:bookmarkStart w:id="116" w:name="_Toc16938540"/>
      <w:r/>
      <w:bookmarkStart w:id="117" w:name="_Toc120614217"/>
      <w:r>
        <w:rPr>
          <w:rFonts w:hint="eastAsia" w:ascii="宋体" w:hAnsi="宋体" w:cs="宋体"/>
          <w:b/>
          <w:bCs/>
          <w:sz w:val="24"/>
          <w:szCs w:val="24"/>
        </w:rPr>
        <w:t xml:space="preserve">四、投标文件的递交</w:t>
      </w:r>
      <w:bookmarkEnd w:id="114"/>
      <w:r/>
      <w:bookmarkEnd w:id="115"/>
      <w:r/>
      <w:bookmarkEnd w:id="116"/>
      <w:r/>
      <w:bookmarkEnd w:id="117"/>
      <w:r>
        <w:rPr>
          <w:rFonts w:hint="eastAsia" w:ascii="宋体" w:hAnsi="宋体" w:cs="宋体"/>
          <w:b/>
          <w:bCs/>
          <w:sz w:val="24"/>
          <w:szCs w:val="24"/>
        </w:rPr>
      </w:r>
      <w:r/>
    </w:p>
    <w:p>
      <w:pPr>
        <w:pStyle w:val="645"/>
        <w:ind w:firstLine="480"/>
        <w:keepLines/>
        <w:keepNext/>
        <w:spacing w:line="360" w:lineRule="auto"/>
        <w:rPr>
          <w:rFonts w:hint="eastAsia" w:ascii="宋体" w:hAnsi="宋体" w:cs="宋体"/>
          <w:sz w:val="24"/>
          <w:szCs w:val="24"/>
        </w:rPr>
        <w:outlineLvl w:val="3"/>
      </w:pPr>
      <w:r/>
      <w:bookmarkStart w:id="118" w:name="_Toc513029225"/>
      <w:r/>
      <w:bookmarkStart w:id="119" w:name="_Toc462564084"/>
      <w:r/>
      <w:bookmarkStart w:id="120" w:name="_Toc20823297"/>
      <w:r/>
      <w:bookmarkStart w:id="121" w:name="_Toc16938541"/>
      <w:r>
        <w:rPr>
          <w:rFonts w:hint="eastAsia" w:ascii="宋体" w:hAnsi="宋体" w:cs="宋体"/>
          <w:sz w:val="24"/>
          <w:szCs w:val="24"/>
        </w:rPr>
        <w:t xml:space="preserve">18、电子投标文件</w:t>
      </w:r>
      <w:bookmarkEnd w:id="118"/>
      <w:r/>
      <w:bookmarkEnd w:id="119"/>
      <w:r/>
      <w:bookmarkEnd w:id="120"/>
      <w:r/>
      <w:bookmarkEnd w:id="121"/>
      <w:r>
        <w:rPr>
          <w:rFonts w:hint="eastAsia" w:ascii="宋体" w:hAnsi="宋体" w:cs="宋体"/>
          <w:sz w:val="24"/>
          <w:szCs w:val="24"/>
        </w:rPr>
        <w:t xml:space="preserve">的递交</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18.1投标人应当按照《操作手册》规定，在投标截止时间前制作并上传电子投标</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文件。</w:t>
      </w:r>
      <w:bookmarkStart w:id="122" w:name="_Toc16938542"/>
      <w:r/>
      <w:bookmarkStart w:id="123" w:name="_Toc513029226"/>
      <w:r/>
      <w:bookmarkStart w:id="124" w:name="_Toc20823298"/>
      <w:r>
        <w:rPr>
          <w:rFonts w:hint="eastAsia" w:ascii="宋体" w:hAnsi="宋体" w:cs="宋体"/>
          <w:bCs/>
          <w:sz w:val="24"/>
          <w:szCs w:val="24"/>
        </w:rPr>
      </w:r>
      <w:r/>
    </w:p>
    <w:p>
      <w:pPr>
        <w:pStyle w:val="645"/>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19、投标截止日期</w:t>
      </w:r>
      <w:bookmarkEnd w:id="122"/>
      <w:r/>
      <w:bookmarkEnd w:id="123"/>
      <w:r/>
      <w:bookmarkEnd w:id="124"/>
      <w:r>
        <w:rPr>
          <w:rFonts w:hint="eastAsia" w:ascii="宋体" w:hAnsi="宋体" w:cs="宋体"/>
          <w:bCs/>
          <w:sz w:val="24"/>
          <w:szCs w:val="24"/>
        </w:rPr>
      </w:r>
      <w:r/>
    </w:p>
    <w:p>
      <w:pPr>
        <w:pStyle w:val="645"/>
        <w:ind w:firstLine="480"/>
        <w:spacing w:line="360" w:lineRule="auto"/>
        <w:rPr>
          <w:rFonts w:hint="eastAsia" w:ascii="宋体" w:hAnsi="宋体" w:cs="宋体"/>
          <w:bCs/>
          <w:sz w:val="24"/>
          <w:szCs w:val="24"/>
          <w:u w:val="single"/>
        </w:rPr>
      </w:pPr>
      <w:r>
        <w:rPr>
          <w:rFonts w:hint="eastAsia" w:ascii="宋体" w:hAnsi="宋体" w:cs="宋体"/>
          <w:sz w:val="24"/>
          <w:szCs w:val="24"/>
          <w:u w:val="single"/>
        </w:rPr>
        <w:t xml:space="preserve">19.1</w:t>
      </w:r>
      <w:r>
        <w:rPr>
          <w:rFonts w:hint="eastAsia" w:ascii="宋体" w:hAnsi="宋体" w:cs="宋体"/>
          <w:bCs/>
          <w:sz w:val="24"/>
          <w:szCs w:val="24"/>
          <w:u w:val="single"/>
        </w:rPr>
        <w:t xml:space="preserve"> 投标人上传电子投标文件的时间不得迟于招标公告中规定的投标截止时间。</w:t>
      </w:r>
      <w:r>
        <w:rPr>
          <w:rFonts w:hint="eastAsia" w:ascii="宋体" w:hAnsi="宋体" w:cs="宋体"/>
          <w:bCs/>
          <w:sz w:val="24"/>
          <w:szCs w:val="24"/>
          <w:u w:val="single"/>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19.2</w:t>
      </w:r>
      <w:r>
        <w:rPr>
          <w:rFonts w:hint="eastAsia" w:ascii="宋体" w:hAnsi="宋体" w:cs="宋体"/>
          <w:bCs/>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sz w:val="24"/>
          <w:szCs w:val="24"/>
        </w:rPr>
      </w:r>
      <w:r/>
    </w:p>
    <w:p>
      <w:pPr>
        <w:pStyle w:val="645"/>
        <w:ind w:firstLine="480"/>
        <w:keepLines/>
        <w:keepNext/>
        <w:spacing w:line="360" w:lineRule="auto"/>
        <w:rPr>
          <w:rFonts w:hint="eastAsia" w:ascii="宋体" w:hAnsi="宋体" w:cs="宋体"/>
          <w:sz w:val="24"/>
          <w:szCs w:val="24"/>
        </w:rPr>
        <w:outlineLvl w:val="3"/>
      </w:pPr>
      <w:r/>
      <w:bookmarkStart w:id="125" w:name="_Toc513029227"/>
      <w:r/>
      <w:bookmarkStart w:id="126" w:name="_Toc16938543"/>
      <w:r/>
      <w:bookmarkStart w:id="127" w:name="_Toc20823299"/>
      <w:r>
        <w:rPr>
          <w:rFonts w:hint="eastAsia" w:ascii="宋体" w:hAnsi="宋体" w:cs="宋体"/>
          <w:sz w:val="24"/>
          <w:szCs w:val="24"/>
        </w:rPr>
        <w:t xml:space="preserve">20、投标文件</w:t>
      </w:r>
      <w:bookmarkEnd w:id="125"/>
      <w:r/>
      <w:bookmarkEnd w:id="126"/>
      <w:r/>
      <w:bookmarkEnd w:id="127"/>
      <w:r>
        <w:rPr>
          <w:rFonts w:hint="eastAsia" w:ascii="宋体" w:hAnsi="宋体" w:cs="宋体"/>
          <w:sz w:val="24"/>
          <w:szCs w:val="24"/>
        </w:rPr>
        <w:t xml:space="preserve">的拒收</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20.1 交易中心拒绝接收在其规定的投标截止时间后上传的任何投标文件。</w:t>
      </w:r>
      <w:r>
        <w:rPr>
          <w:rFonts w:hint="eastAsia" w:ascii="宋体" w:hAnsi="宋体" w:cs="宋体"/>
          <w:bCs/>
          <w:sz w:val="24"/>
          <w:szCs w:val="24"/>
        </w:rPr>
      </w:r>
      <w:r/>
    </w:p>
    <w:p>
      <w:pPr>
        <w:pStyle w:val="645"/>
        <w:ind w:firstLine="480"/>
        <w:keepLines/>
        <w:keepNext/>
        <w:spacing w:line="360" w:lineRule="auto"/>
        <w:rPr>
          <w:rFonts w:hint="eastAsia" w:ascii="宋体" w:hAnsi="宋体" w:cs="宋体"/>
          <w:sz w:val="24"/>
          <w:szCs w:val="24"/>
        </w:rPr>
        <w:outlineLvl w:val="3"/>
      </w:pPr>
      <w:r/>
      <w:bookmarkStart w:id="128" w:name="_Toc513029228"/>
      <w:r/>
      <w:bookmarkStart w:id="129" w:name="_Toc20823300"/>
      <w:r/>
      <w:bookmarkStart w:id="130" w:name="_Toc16938544"/>
      <w:r>
        <w:rPr>
          <w:rFonts w:hint="eastAsia" w:ascii="宋体" w:hAnsi="宋体" w:cs="宋体"/>
          <w:sz w:val="24"/>
          <w:szCs w:val="24"/>
        </w:rPr>
        <w:t xml:space="preserve">21、投标文件的撤回和修改</w:t>
      </w:r>
      <w:bookmarkEnd w:id="128"/>
      <w:r/>
      <w:bookmarkEnd w:id="129"/>
      <w:r/>
      <w:bookmarkEnd w:id="130"/>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21.1 投标文件的撤回</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21.1.1 电子投标文件的撤回</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21.2 投标文件的修改</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21.2.2</w:t>
      </w:r>
      <w:r>
        <w:rPr>
          <w:rFonts w:hint="eastAsia" w:ascii="宋体" w:hAnsi="宋体" w:cs="宋体"/>
          <w:bCs/>
          <w:sz w:val="24"/>
          <w:szCs w:val="24"/>
        </w:rPr>
        <w:t xml:space="preserve"> 在投标截止时间之后，投标人不得对其电子投标文件作任何修改。</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21.3</w:t>
      </w:r>
      <w:r>
        <w:rPr>
          <w:rFonts w:hint="eastAsia" w:ascii="宋体" w:hAnsi="宋体" w:cs="宋体"/>
          <w:bCs/>
          <w:sz w:val="24"/>
          <w:szCs w:val="24"/>
        </w:rPr>
        <w:t xml:space="preserve"> 在投标截止时间至招标文件中规定的投标有效期满之间的这段时间内，投标人不得撤回其投标。</w:t>
      </w:r>
      <w:r>
        <w:rPr>
          <w:rFonts w:hint="eastAsia" w:ascii="宋体" w:hAnsi="宋体" w:cs="宋体"/>
          <w:bCs/>
          <w:sz w:val="24"/>
          <w:szCs w:val="24"/>
        </w:rPr>
      </w:r>
      <w:r/>
    </w:p>
    <w:p>
      <w:pPr>
        <w:pStyle w:val="645"/>
        <w:ind w:firstLine="482"/>
        <w:keepLines/>
        <w:keepNext/>
        <w:spacing w:line="360" w:lineRule="auto"/>
        <w:rPr>
          <w:rFonts w:hint="eastAsia" w:ascii="宋体" w:hAnsi="宋体" w:cs="宋体"/>
          <w:b/>
          <w:bCs/>
          <w:sz w:val="24"/>
          <w:szCs w:val="24"/>
        </w:rPr>
        <w:outlineLvl w:val="2"/>
      </w:pPr>
      <w:r/>
      <w:bookmarkStart w:id="131" w:name="_Toc513029229"/>
      <w:r/>
      <w:bookmarkStart w:id="132" w:name="_Toc120614218"/>
      <w:r/>
      <w:bookmarkStart w:id="133" w:name="_Toc16938545"/>
      <w:r/>
      <w:bookmarkStart w:id="134" w:name="_Toc20823301"/>
      <w:r>
        <w:rPr>
          <w:rFonts w:hint="eastAsia" w:ascii="宋体" w:hAnsi="宋体" w:cs="宋体"/>
          <w:b/>
          <w:bCs/>
          <w:sz w:val="24"/>
          <w:szCs w:val="24"/>
        </w:rPr>
        <w:t xml:space="preserve">五、开标与评标</w:t>
      </w:r>
      <w:bookmarkEnd w:id="131"/>
      <w:r/>
      <w:bookmarkEnd w:id="132"/>
      <w:r/>
      <w:bookmarkEnd w:id="133"/>
      <w:r/>
      <w:bookmarkEnd w:id="134"/>
      <w:r>
        <w:rPr>
          <w:rFonts w:hint="eastAsia" w:ascii="宋体" w:hAnsi="宋体" w:cs="宋体"/>
          <w:b/>
          <w:bCs/>
          <w:sz w:val="24"/>
          <w:szCs w:val="24"/>
        </w:rPr>
      </w:r>
      <w:r/>
    </w:p>
    <w:p>
      <w:pPr>
        <w:pStyle w:val="645"/>
        <w:ind w:firstLine="480"/>
        <w:keepLines/>
        <w:keepNext/>
        <w:spacing w:line="360" w:lineRule="auto"/>
        <w:rPr>
          <w:rFonts w:hint="eastAsia" w:ascii="宋体" w:hAnsi="宋体" w:cs="宋体"/>
          <w:sz w:val="24"/>
          <w:szCs w:val="24"/>
        </w:rPr>
        <w:outlineLvl w:val="3"/>
      </w:pPr>
      <w:r/>
      <w:bookmarkStart w:id="135" w:name="_Toc20823302"/>
      <w:r/>
      <w:bookmarkStart w:id="136" w:name="_Toc16938546"/>
      <w:r/>
      <w:bookmarkStart w:id="137" w:name="_Toc513029230"/>
      <w:r>
        <w:rPr>
          <w:rFonts w:hint="eastAsia" w:ascii="宋体" w:hAnsi="宋体" w:cs="宋体"/>
          <w:sz w:val="24"/>
          <w:szCs w:val="24"/>
        </w:rPr>
        <w:t xml:space="preserve">22、开标</w:t>
      </w:r>
      <w:bookmarkEnd w:id="135"/>
      <w:r/>
      <w:bookmarkEnd w:id="136"/>
      <w:r/>
      <w:bookmarkEnd w:id="137"/>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22.1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22.3投标人在开标过程中涉及到的投标文件解密、开标结果确认等工作，应按照《操作手册》规定执行。</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138" w:name="_Toc20823303"/>
      <w:r/>
      <w:bookmarkStart w:id="139" w:name="_Toc513029231"/>
      <w:r/>
      <w:bookmarkStart w:id="140" w:name="_Toc16938547"/>
      <w:r>
        <w:rPr>
          <w:rFonts w:hint="eastAsia" w:ascii="宋体" w:hAnsi="宋体" w:cs="宋体"/>
          <w:sz w:val="24"/>
          <w:szCs w:val="24"/>
        </w:rPr>
        <w:t xml:space="preserve">23、评标委员会</w:t>
      </w:r>
      <w:r>
        <w:rPr>
          <w:rFonts w:hint="eastAsia" w:ascii="宋体" w:hAnsi="宋体" w:cs="宋体"/>
          <w:sz w:val="24"/>
          <w:szCs w:val="24"/>
        </w:rPr>
      </w:r>
      <w:r/>
    </w:p>
    <w:p>
      <w:pPr>
        <w:pStyle w:val="645"/>
        <w:ind w:firstLine="482"/>
        <w:spacing w:line="360" w:lineRule="auto"/>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23.1</w:t>
      </w:r>
      <w:r>
        <w:rPr>
          <w:rFonts w:hint="eastAsia" w:ascii="宋体" w:hAnsi="宋体" w:cs="宋体"/>
          <w:b/>
          <w:sz w:val="24"/>
          <w:szCs w:val="24"/>
        </w:rPr>
        <w:t xml:space="preserve"> </w:t>
      </w:r>
      <w:r>
        <w:rPr>
          <w:rFonts w:hint="eastAsia" w:ascii="宋体" w:hAnsi="宋体" w:cs="宋体"/>
          <w:sz w:val="24"/>
          <w:szCs w:val="24"/>
        </w:rPr>
        <w:t xml:space="preserve">开标后，交易中心将立即组织评标委员会（以下简称评委会）进行评标。</w:t>
      </w:r>
      <w:r>
        <w:rPr>
          <w:rFonts w:hint="eastAsia" w:ascii="宋体" w:hAnsi="宋体" w:cs="宋体"/>
          <w:b/>
          <w:sz w:val="24"/>
          <w:szCs w:val="24"/>
        </w:rPr>
      </w:r>
      <w:r/>
    </w:p>
    <w:p>
      <w:pPr>
        <w:pStyle w:val="645"/>
        <w:ind w:firstLine="482"/>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23.2 评委会由采购人代表和有关技术、经济等方面的专家组成，且人员构成符合政府采购有关规定。</w:t>
      </w:r>
      <w:r>
        <w:rPr>
          <w:rFonts w:hint="eastAsia" w:ascii="宋体" w:hAnsi="宋体" w:cs="宋体"/>
          <w:sz w:val="24"/>
          <w:szCs w:val="24"/>
        </w:rPr>
      </w:r>
      <w:r/>
    </w:p>
    <w:p>
      <w:pPr>
        <w:pStyle w:val="645"/>
        <w:ind w:firstLine="482"/>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23.3评委会独立工作，负责评审所有投标文件并确定中标侯选人。</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24．评标过程的保密与公正</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bookmarkEnd w:id="138"/>
      <w:r/>
      <w:bookmarkEnd w:id="139"/>
      <w:r/>
      <w:bookmarkEnd w:id="140"/>
      <w:r>
        <w:rPr>
          <w:rFonts w:hint="eastAsia" w:ascii="宋体" w:hAnsi="宋体" w:cs="宋体"/>
          <w:sz w:val="24"/>
          <w:szCs w:val="24"/>
        </w:rPr>
        <w:t xml:space="preserve">24.1</w:t>
      </w:r>
      <w:r>
        <w:rPr>
          <w:rFonts w:hint="eastAsia" w:ascii="宋体" w:hAnsi="宋体" w:cs="宋体"/>
          <w:bCs/>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24.3 交易中心和评标委员会不向未中标的投标人解释未中标原因，也不公布评标过程中的相关细节。</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bookmarkStart w:id="141" w:name="_Toc20823304"/>
      <w:r/>
      <w:bookmarkStart w:id="142" w:name="_Toc513029232"/>
      <w:r/>
      <w:bookmarkStart w:id="143" w:name="_Toc16938548"/>
      <w:r>
        <w:rPr>
          <w:rFonts w:hint="eastAsia" w:ascii="宋体" w:hAnsi="宋体" w:cs="宋体"/>
          <w:sz w:val="24"/>
          <w:szCs w:val="24"/>
        </w:rPr>
        <w:t xml:space="preserve">25．投标文件的澄清</w:t>
      </w:r>
      <w:bookmarkEnd w:id="141"/>
      <w:r/>
      <w:bookmarkEnd w:id="142"/>
      <w:r/>
      <w:bookmarkEnd w:id="143"/>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bookmarkStart w:id="144" w:name="_Toc20823305"/>
      <w:r/>
      <w:bookmarkStart w:id="145" w:name="_Toc16938549"/>
      <w:r/>
      <w:bookmarkStart w:id="146" w:name="_Toc513029233"/>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26、对投标文件的初审</w:t>
      </w:r>
      <w:bookmarkEnd w:id="144"/>
      <w:r/>
      <w:bookmarkEnd w:id="145"/>
      <w:r/>
      <w:bookmarkEnd w:id="146"/>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26.1.3 未通过资格审查或符合性审查的投标人，交易中心将在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rPr>
        <w:t xml:space="preserve">评委决定投标文件的响应性只根据投标文件本身的内容，而不寻求外部的证据。</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26.4</w:t>
      </w:r>
      <w:r>
        <w:rPr>
          <w:rFonts w:hint="eastAsia" w:ascii="宋体" w:hAnsi="宋体" w:cs="宋体"/>
          <w:bCs/>
          <w:sz w:val="24"/>
          <w:szCs w:val="24"/>
        </w:rPr>
        <w:t xml:space="preserve">评委会将对确定为实质性响应的投标进行进一步审核，看其是否有计算上或累加上的算术错误，修正错误的原则如下：</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sz w:val="24"/>
          <w:szCs w:val="24"/>
        </w:rPr>
        <w:t xml:space="preserve">26.5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bookmarkStart w:id="147" w:name="_Toc513029234"/>
      <w:r/>
      <w:bookmarkStart w:id="148" w:name="_Toc16938550"/>
      <w:r/>
      <w:bookmarkStart w:id="149" w:name="_Toc20823306"/>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26.7投标人在开、评标全过程中应保持通讯畅通，及时登录苏采云系统查阅、答复相关信息，并安排专人与交易中心及评标委员会联系。</w:t>
      </w:r>
      <w:r>
        <w:rPr>
          <w:rFonts w:hint="eastAsia" w:ascii="宋体" w:hAnsi="宋体" w:cs="宋体"/>
          <w:sz w:val="24"/>
          <w:szCs w:val="24"/>
        </w:rPr>
      </w:r>
      <w:r/>
    </w:p>
    <w:p>
      <w:pPr>
        <w:pStyle w:val="645"/>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27、</w:t>
      </w:r>
      <w:bookmarkEnd w:id="147"/>
      <w:r/>
      <w:bookmarkEnd w:id="148"/>
      <w:r/>
      <w:bookmarkEnd w:id="149"/>
      <w:r>
        <w:rPr>
          <w:rFonts w:hint="eastAsia" w:ascii="宋体" w:hAnsi="宋体" w:cs="宋体"/>
          <w:sz w:val="24"/>
          <w:szCs w:val="24"/>
        </w:rPr>
        <w:t xml:space="preserve">无效投标条款和废标条款</w:t>
      </w:r>
      <w:r>
        <w:rPr>
          <w:rFonts w:hint="eastAsia" w:ascii="宋体" w:hAnsi="宋体" w:cs="宋体"/>
          <w:sz w:val="24"/>
          <w:szCs w:val="24"/>
        </w:rPr>
      </w:r>
      <w:r/>
    </w:p>
    <w:p>
      <w:pPr>
        <w:pStyle w:val="645"/>
        <w:ind w:firstLine="480"/>
        <w:spacing w:line="360" w:lineRule="auto"/>
        <w:rPr>
          <w:rFonts w:hint="eastAsia" w:ascii="宋体" w:hAnsi="宋体" w:cs="宋体"/>
          <w:bCs/>
          <w:sz w:val="24"/>
          <w:szCs w:val="24"/>
        </w:rPr>
      </w:pPr>
      <w:r/>
      <w:bookmarkStart w:id="150" w:name="_Toc16938551"/>
      <w:r/>
      <w:bookmarkStart w:id="151" w:name="_Toc20823307"/>
      <w:r/>
      <w:bookmarkStart w:id="152" w:name="_Toc513029235"/>
      <w:r>
        <w:rPr>
          <w:rFonts w:hint="eastAsia" w:ascii="宋体" w:hAnsi="宋体" w:cs="宋体"/>
          <w:bCs/>
          <w:sz w:val="24"/>
          <w:szCs w:val="24"/>
        </w:rPr>
        <w:t xml:space="preserve">27.1无效投标条款</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27.1.2 投标人未按照招标文件要求上传电子投标文件的。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27.1.3同一投标人提交两个（含两个）以上不同的投标报价的。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27.1.4投标人不具备招标文件中规定资格要求的。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27.1.5投标人的报价超过了采购预算或最高限价的。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u w:val="single"/>
        </w:rPr>
      </w:pPr>
      <w:r>
        <w:rPr>
          <w:rFonts w:hint="eastAsia" w:ascii="宋体" w:hAnsi="宋体" w:cs="宋体"/>
          <w:bCs/>
          <w:sz w:val="24"/>
          <w:szCs w:val="24"/>
        </w:rPr>
        <w:t xml:space="preserve">27.1.6未通过符合性审查的。</w:t>
      </w:r>
      <w:r>
        <w:rPr>
          <w:rFonts w:hint="eastAsia" w:ascii="宋体" w:hAnsi="宋体" w:cs="宋体"/>
          <w:bCs/>
          <w:sz w:val="24"/>
          <w:szCs w:val="24"/>
          <w:u w:val="single"/>
        </w:rPr>
      </w:r>
      <w:r/>
    </w:p>
    <w:p>
      <w:pPr>
        <w:pStyle w:val="645"/>
        <w:ind w:firstLine="480"/>
        <w:spacing w:line="360" w:lineRule="auto"/>
        <w:rPr>
          <w:rFonts w:hint="eastAsia" w:ascii="宋体" w:hAnsi="宋体" w:cs="宋体"/>
          <w:bCs/>
          <w:sz w:val="24"/>
          <w:szCs w:val="24"/>
          <w:u w:val="single"/>
        </w:rPr>
      </w:pPr>
      <w:r>
        <w:rPr>
          <w:rFonts w:hint="eastAsia" w:ascii="宋体" w:hAnsi="宋体" w:cs="宋体"/>
          <w:bCs/>
          <w:sz w:val="24"/>
          <w:szCs w:val="24"/>
        </w:rPr>
        <w:t xml:space="preserve"> 27.1.7不符合招标文件中规定的实质性要求和条件。</w:t>
      </w:r>
      <w:r>
        <w:rPr>
          <w:rFonts w:hint="eastAsia" w:ascii="宋体" w:hAnsi="宋体" w:cs="宋体"/>
          <w:bCs/>
          <w:sz w:val="24"/>
          <w:szCs w:val="24"/>
          <w:u w:val="single"/>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27.1.9  投标文件含有采购人不能接受的附加条件的。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27.1.12 投标文件未按照招标文件要求加盖CA电子公章的。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27.1.13其他法律、法规及本招标文件规定的属无效投标的情形。</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27.2废标条款</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27.2.1符合专业条件的供应商或者对招标文件作实质响应的供应商不足三家的。27.2.2出现影响采购公正的违法、违规行为的。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27.2.3因重大变故，采购任务取消的。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27.2.4评标委员会认定招标文件存在歧义、重大缺陷导致评审工作无法进行。</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27.3 投标截止时间结束后参加投标的供应商不足三家的处理：</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sz w:val="24"/>
          <w:szCs w:val="24"/>
        </w:rPr>
      </w:r>
      <w:r/>
    </w:p>
    <w:p>
      <w:pPr>
        <w:pStyle w:val="645"/>
        <w:ind w:firstLine="482"/>
        <w:keepLines/>
        <w:keepNext/>
        <w:spacing w:line="360" w:lineRule="auto"/>
        <w:rPr>
          <w:rFonts w:hint="eastAsia" w:ascii="宋体" w:hAnsi="宋体" w:cs="宋体"/>
          <w:b/>
          <w:bCs/>
          <w:sz w:val="24"/>
          <w:szCs w:val="24"/>
        </w:rPr>
        <w:outlineLvl w:val="2"/>
      </w:pPr>
      <w:r/>
      <w:bookmarkStart w:id="153" w:name="_Toc120614219"/>
      <w:r>
        <w:rPr>
          <w:rFonts w:hint="eastAsia" w:ascii="宋体" w:hAnsi="宋体" w:cs="宋体"/>
          <w:b/>
          <w:bCs/>
          <w:sz w:val="24"/>
          <w:szCs w:val="24"/>
        </w:rPr>
        <w:t xml:space="preserve">六、</w:t>
      </w:r>
      <w:bookmarkEnd w:id="150"/>
      <w:r/>
      <w:bookmarkEnd w:id="151"/>
      <w:r/>
      <w:bookmarkEnd w:id="152"/>
      <w:r>
        <w:rPr>
          <w:rFonts w:hint="eastAsia" w:ascii="宋体" w:hAnsi="宋体" w:cs="宋体"/>
          <w:b/>
          <w:bCs/>
          <w:sz w:val="24"/>
          <w:szCs w:val="24"/>
        </w:rPr>
        <w:t xml:space="preserve">定标</w:t>
      </w:r>
      <w:bookmarkEnd w:id="153"/>
      <w:r>
        <w:rPr>
          <w:rFonts w:hint="eastAsia" w:ascii="宋体" w:hAnsi="宋体" w:cs="宋体"/>
          <w:b/>
          <w:bCs/>
          <w:sz w:val="24"/>
          <w:szCs w:val="24"/>
        </w:rPr>
      </w:r>
      <w:r/>
    </w:p>
    <w:p>
      <w:pPr>
        <w:pStyle w:val="645"/>
        <w:ind w:firstLine="480"/>
        <w:keepLines/>
        <w:keepNext/>
        <w:spacing w:line="360" w:lineRule="auto"/>
        <w:rPr>
          <w:rFonts w:hint="eastAsia" w:ascii="宋体" w:hAnsi="宋体" w:cs="宋体"/>
          <w:bCs/>
          <w:sz w:val="24"/>
          <w:szCs w:val="24"/>
        </w:rPr>
        <w:outlineLvl w:val="3"/>
      </w:pPr>
      <w:r/>
      <w:bookmarkStart w:id="154" w:name="_Toc513029238"/>
      <w:r/>
      <w:bookmarkStart w:id="155" w:name="_Toc16938554"/>
      <w:r/>
      <w:bookmarkStart w:id="156" w:name="_Toc20823310"/>
      <w:r>
        <w:rPr>
          <w:rFonts w:hint="eastAsia" w:ascii="宋体" w:hAnsi="宋体" w:cs="宋体"/>
          <w:bCs/>
          <w:sz w:val="24"/>
          <w:szCs w:val="24"/>
        </w:rPr>
        <w:t xml:space="preserve">28、</w:t>
      </w:r>
      <w:bookmarkEnd w:id="154"/>
      <w:r>
        <w:rPr>
          <w:rFonts w:hint="eastAsia" w:ascii="宋体" w:hAnsi="宋体" w:cs="宋体"/>
          <w:bCs/>
          <w:sz w:val="24"/>
          <w:szCs w:val="24"/>
        </w:rPr>
        <w:t xml:space="preserve">确定</w:t>
      </w:r>
      <w:bookmarkEnd w:id="155"/>
      <w:r/>
      <w:bookmarkEnd w:id="156"/>
      <w:r>
        <w:rPr>
          <w:rFonts w:hint="eastAsia" w:ascii="宋体" w:hAnsi="宋体" w:cs="宋体"/>
          <w:bCs/>
          <w:sz w:val="24"/>
          <w:szCs w:val="24"/>
        </w:rPr>
        <w:t xml:space="preserve">中标单位</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28.1中标候选人的选取原则和数量见招标文件第五章规定。 </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28.2 采购人应根据评委会推荐的中标候选人确定中标人。</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28.3 </w:t>
      </w:r>
      <w:r>
        <w:rPr>
          <w:rFonts w:hint="eastAsia" w:ascii="宋体" w:hAnsi="宋体" w:cs="宋体"/>
          <w:sz w:val="24"/>
          <w:szCs w:val="24"/>
        </w:rPr>
        <w:t xml:space="preserve">交易中心将在“江苏政府采购网”发布中标公告，公告期限为1个工作日。</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28.4.1提供虚假材料谋取中标的。</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28.4.2向采购人、交易中心行贿或者提供其他不正当利益的。</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28.4.4与采购人或者其他供应商恶意串通的。</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28.4.5采取不正当手段诋毁、排挤其他供应商的。</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bookmarkStart w:id="157" w:name="_Toc200451960"/>
      <w:r>
        <w:rPr>
          <w:rFonts w:hint="eastAsia" w:ascii="宋体" w:hAnsi="宋体" w:cs="宋体"/>
          <w:sz w:val="24"/>
          <w:szCs w:val="24"/>
        </w:rPr>
        <w:t xml:space="preserve">28.5. </w:t>
      </w:r>
      <w:r>
        <w:rPr>
          <w:rFonts w:hint="eastAsia" w:ascii="宋体" w:hAnsi="宋体" w:cs="宋体"/>
          <w:sz w:val="24"/>
          <w:szCs w:val="24"/>
        </w:rPr>
        <w:t xml:space="preserve">有下列情形之一的，视为投标人串通投标，投标无效：</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rPr>
          <w:rFonts w:hint="eastAsia" w:ascii="宋体" w:hAnsi="宋体" w:cs="宋体"/>
          <w:sz w:val="24"/>
          <w:szCs w:val="24"/>
        </w:rPr>
      </w:r>
      <w:r/>
    </w:p>
    <w:p>
      <w:pPr>
        <w:pStyle w:val="645"/>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29、质疑处理</w:t>
      </w:r>
      <w:bookmarkEnd w:id="157"/>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29.2.3</w:t>
      </w:r>
      <w:r>
        <w:rPr>
          <w:rFonts w:hint="eastAsia" w:ascii="宋体" w:hAnsi="宋体" w:cs="宋体"/>
          <w:sz w:val="24"/>
          <w:szCs w:val="24"/>
        </w:rPr>
        <w:t xml:space="preserve">对中标或者成交结果提出质疑的，为中标或者成交结果公告期限届满之日。</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采购人只接收以纸质原件形式送达的质疑,建议供应商尽量通过邮寄方式提交质疑（采购人不接受未填写快递运单的快件）。</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 以下情形的质疑不予受理</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29.5.2 超出政府采购法定期限的质疑。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sz w:val="24"/>
          <w:szCs w:val="24"/>
        </w:rPr>
      </w:r>
      <w:r/>
    </w:p>
    <w:p>
      <w:pPr>
        <w:pStyle w:val="645"/>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30、中标通知书</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30.l</w:t>
      </w:r>
      <w:r>
        <w:rPr>
          <w:rFonts w:hint="eastAsia" w:ascii="宋体" w:hAnsi="宋体" w:cs="宋体"/>
          <w:b/>
          <w:sz w:val="24"/>
          <w:szCs w:val="24"/>
        </w:rPr>
        <w:t xml:space="preserve"> </w:t>
      </w:r>
      <w:r>
        <w:rPr>
          <w:rFonts w:hint="eastAsia" w:ascii="宋体" w:hAnsi="宋体" w:cs="宋体"/>
          <w:sz w:val="24"/>
          <w:szCs w:val="24"/>
        </w:rPr>
        <w:t xml:space="preserve">中标结果确定后，交易中心将向中标人发出中标通知书。</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645"/>
        <w:ind w:firstLine="482"/>
        <w:keepLines/>
        <w:keepNext/>
        <w:spacing w:line="360" w:lineRule="auto"/>
        <w:rPr>
          <w:rFonts w:hint="eastAsia" w:ascii="宋体" w:hAnsi="宋体" w:cs="宋体"/>
          <w:b/>
          <w:bCs/>
          <w:sz w:val="24"/>
          <w:szCs w:val="24"/>
        </w:rPr>
        <w:outlineLvl w:val="2"/>
      </w:pPr>
      <w:r/>
      <w:bookmarkStart w:id="158" w:name="_Toc120614220"/>
      <w:r/>
      <w:bookmarkStart w:id="159" w:name="_Toc16938552"/>
      <w:r/>
      <w:bookmarkStart w:id="160" w:name="_Toc513029236"/>
      <w:r/>
      <w:bookmarkStart w:id="161" w:name="_Toc20823308"/>
      <w:r>
        <w:rPr>
          <w:rFonts w:hint="eastAsia" w:ascii="宋体" w:hAnsi="宋体" w:cs="宋体"/>
          <w:b/>
          <w:bCs/>
          <w:sz w:val="24"/>
          <w:szCs w:val="24"/>
        </w:rPr>
        <w:t xml:space="preserve">七、授予合同</w:t>
      </w:r>
      <w:bookmarkEnd w:id="158"/>
      <w:r>
        <w:rPr>
          <w:rFonts w:hint="eastAsia" w:ascii="宋体" w:hAnsi="宋体" w:cs="宋体"/>
          <w:b/>
          <w:bCs/>
          <w:sz w:val="24"/>
          <w:szCs w:val="24"/>
        </w:rPr>
      </w:r>
      <w:r/>
    </w:p>
    <w:p>
      <w:pPr>
        <w:pStyle w:val="645"/>
        <w:ind w:firstLine="480"/>
        <w:keepLines/>
        <w:keepNext/>
        <w:spacing w:line="360" w:lineRule="auto"/>
        <w:rPr>
          <w:rFonts w:hint="eastAsia" w:ascii="宋体" w:hAnsi="宋体" w:cs="宋体"/>
          <w:bCs/>
          <w:sz w:val="24"/>
          <w:szCs w:val="24"/>
        </w:rPr>
        <w:outlineLvl w:val="3"/>
      </w:pPr>
      <w:r/>
      <w:bookmarkEnd w:id="159"/>
      <w:r/>
      <w:bookmarkEnd w:id="160"/>
      <w:r/>
      <w:bookmarkEnd w:id="161"/>
      <w:r/>
      <w:bookmarkStart w:id="162" w:name="_Toc20823309"/>
      <w:r/>
      <w:bookmarkStart w:id="163" w:name="_Toc16938553"/>
      <w:r/>
      <w:bookmarkStart w:id="164" w:name="_Toc513029237"/>
      <w:r>
        <w:rPr>
          <w:rFonts w:hint="eastAsia" w:ascii="宋体" w:hAnsi="宋体" w:cs="宋体"/>
          <w:bCs/>
          <w:sz w:val="24"/>
          <w:szCs w:val="24"/>
        </w:rPr>
        <w:t xml:space="preserve">31. 签订合同</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31</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31.2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31.3 签订合同后，</w:t>
      </w:r>
      <w:r>
        <w:rPr>
          <w:rFonts w:hint="eastAsia" w:ascii="宋体" w:hAnsi="宋体" w:cs="宋体"/>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645"/>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32、货物（包含与货物相关的服务）的追加</w:t>
      </w:r>
      <w:r>
        <w:rPr>
          <w:rFonts w:hint="eastAsia" w:ascii="宋体" w:hAnsi="宋体" w:cs="宋体"/>
          <w:bCs/>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sz w:val="24"/>
          <w:szCs w:val="24"/>
        </w:rPr>
      </w:r>
      <w:r/>
    </w:p>
    <w:p>
      <w:pPr>
        <w:pStyle w:val="645"/>
        <w:ind w:firstLine="480"/>
        <w:keepLines/>
        <w:keepNext/>
        <w:spacing w:line="360" w:lineRule="auto"/>
        <w:rPr>
          <w:rFonts w:hint="eastAsia" w:ascii="宋体" w:hAnsi="宋体" w:cs="宋体"/>
          <w:bCs/>
          <w:sz w:val="24"/>
          <w:szCs w:val="24"/>
        </w:rPr>
        <w:outlineLvl w:val="3"/>
      </w:pPr>
      <w:r/>
      <w:bookmarkEnd w:id="162"/>
      <w:r/>
      <w:bookmarkEnd w:id="163"/>
      <w:r/>
      <w:bookmarkEnd w:id="164"/>
      <w:r/>
      <w:bookmarkStart w:id="165" w:name="_Toc120614221"/>
      <w:r/>
      <w:bookmarkStart w:id="166" w:name="_Toc20823314"/>
      <w:r/>
      <w:bookmarkStart w:id="167" w:name="_Toc513029242"/>
      <w:r/>
      <w:bookmarkStart w:id="168" w:name="_Toc479757207"/>
      <w:r/>
      <w:bookmarkStart w:id="169" w:name="_Toc16938558"/>
      <w:r>
        <w:rPr>
          <w:rFonts w:hint="eastAsia" w:ascii="宋体" w:hAnsi="宋体" w:cs="宋体"/>
          <w:bCs/>
          <w:sz w:val="24"/>
          <w:szCs w:val="24"/>
        </w:rPr>
        <w:t xml:space="preserve">33、政府采购履约资金扶持政策</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中标供应商可凭政府采购合同办理融资贷款，详情请见江苏政府采购网“政采贷”专栏。</w:t>
      </w:r>
      <w:r>
        <w:rPr>
          <w:rFonts w:hint="eastAsia" w:ascii="宋体" w:hAnsi="宋体" w:cs="宋体"/>
          <w:bCs/>
          <w:sz w:val="24"/>
          <w:szCs w:val="24"/>
        </w:rPr>
      </w:r>
      <w:r/>
    </w:p>
    <w:p>
      <w:pPr>
        <w:pStyle w:val="645"/>
        <w:ind w:firstLine="480"/>
        <w:spacing w:line="360" w:lineRule="auto"/>
        <w:rPr>
          <w:rFonts w:hint="eastAsia" w:ascii="宋体" w:hAnsi="宋体" w:cs="宋体"/>
          <w:b/>
          <w:sz w:val="24"/>
          <w:szCs w:val="24"/>
        </w:rPr>
      </w:pPr>
      <w:r>
        <w:rPr>
          <w:rFonts w:hint="eastAsia" w:ascii="宋体" w:hAnsi="宋体" w:cs="宋体"/>
          <w:bCs/>
          <w:sz w:val="24"/>
          <w:szCs w:val="24"/>
        </w:rPr>
        <w:t xml:space="preserve">34、</w:t>
      </w:r>
      <w:r>
        <w:rPr>
          <w:rFonts w:hint="eastAsia" w:ascii="宋体" w:hAnsi="宋体" w:cs="宋体"/>
          <w:b/>
          <w:sz w:val="24"/>
          <w:szCs w:val="24"/>
        </w:rPr>
        <w:t xml:space="preserve">履约保证金</w:t>
      </w:r>
      <w:r>
        <w:rPr>
          <w:rFonts w:hint="eastAsia" w:ascii="宋体" w:hAnsi="宋体" w:cs="宋体"/>
          <w:b/>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34.1.1 </w:t>
      </w:r>
      <w:r>
        <w:rPr>
          <w:rFonts w:hint="eastAsia" w:ascii="宋体" w:hAnsi="宋体" w:cs="宋体"/>
          <w:bCs/>
          <w:sz w:val="24"/>
          <w:szCs w:val="24"/>
        </w:rPr>
        <w:t xml:space="preserve">中标供应商</w:t>
      </w:r>
      <w:r>
        <w:rPr>
          <w:rFonts w:hint="eastAsia" w:ascii="宋体" w:hAnsi="宋体" w:cs="宋体"/>
          <w:sz w:val="24"/>
          <w:szCs w:val="24"/>
        </w:rPr>
        <w:t xml:space="preserve">交纳合同价的10%作为本合同的履约保证金。经采购单位验收合格无质量、进度等问题的，采购人在验收合格后，七个工作日内一次性退还履约保证金，采购人若逾期退还履约保证金的，按照逾期部分的每日0.05%支付违约金。供应商不履行合同义务的，采购单位有权全额扣除履约保证金，全额不予退还，同时采购单位亦有权终止合同，中标供应商还须承担相应的法律赔偿责任。</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34.2履约保证金不予退还的情形：</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 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sz w:val="24"/>
          <w:szCs w:val="24"/>
        </w:rPr>
      </w:r>
      <w:r/>
    </w:p>
    <w:p>
      <w:pPr>
        <w:pStyle w:val="645"/>
        <w:ind w:firstLine="480"/>
        <w:spacing w:line="360" w:lineRule="auto"/>
        <w:rPr>
          <w:rFonts w:hint="eastAsia" w:ascii="宋体" w:hAnsi="宋体" w:cs="宋体"/>
          <w:bCs/>
          <w:sz w:val="44"/>
          <w:szCs w:val="28"/>
        </w:rPr>
      </w:pPr>
      <w:r>
        <w:rPr>
          <w:rFonts w:hint="eastAsia" w:ascii="宋体" w:hAnsi="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bCs/>
          <w:sz w:val="24"/>
          <w:szCs w:val="24"/>
        </w:rPr>
        <w:br w:type="page" w:clear="all"/>
      </w:r>
      <w:r>
        <w:rPr>
          <w:rFonts w:hint="eastAsia" w:ascii="宋体" w:hAnsi="宋体" w:cs="宋体"/>
          <w:bCs/>
          <w:sz w:val="44"/>
          <w:szCs w:val="28"/>
        </w:rPr>
      </w:r>
      <w:r/>
    </w:p>
    <w:p>
      <w:pPr>
        <w:pStyle w:val="645"/>
        <w:ind w:firstLine="1760"/>
        <w:jc w:val="center"/>
        <w:keepNext/>
        <w:spacing w:line="360" w:lineRule="auto"/>
        <w:rPr>
          <w:rFonts w:hint="eastAsia" w:ascii="宋体" w:hAnsi="宋体" w:cs="宋体"/>
          <w:bCs/>
          <w:sz w:val="44"/>
          <w:szCs w:val="28"/>
        </w:rPr>
        <w:outlineLvl w:val="0"/>
      </w:pPr>
      <w:r>
        <w:rPr>
          <w:rFonts w:hint="eastAsia" w:ascii="宋体" w:hAnsi="宋体" w:cs="宋体"/>
          <w:bCs/>
          <w:sz w:val="44"/>
          <w:szCs w:val="28"/>
        </w:rPr>
      </w:r>
      <w:r/>
    </w:p>
    <w:p>
      <w:pPr>
        <w:pStyle w:val="645"/>
        <w:ind w:firstLine="1760"/>
        <w:jc w:val="center"/>
        <w:keepNext/>
        <w:spacing w:line="360" w:lineRule="auto"/>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5"/>
      <w:r/>
      <w:bookmarkEnd w:id="166"/>
      <w:r/>
      <w:bookmarkEnd w:id="167"/>
      <w:r/>
      <w:bookmarkEnd w:id="168"/>
      <w:r/>
      <w:bookmarkEnd w:id="169"/>
      <w:r>
        <w:rPr>
          <w:rFonts w:hint="eastAsia" w:ascii="宋体" w:hAnsi="宋体" w:cs="宋体"/>
          <w:bCs/>
          <w:sz w:val="44"/>
          <w:szCs w:val="28"/>
        </w:rPr>
        <w:t xml:space="preserve">文本</w:t>
      </w:r>
      <w:r>
        <w:rPr>
          <w:rFonts w:hint="eastAsia" w:ascii="宋体" w:hAnsi="宋体" w:cs="宋体"/>
          <w:bCs/>
          <w:sz w:val="44"/>
          <w:szCs w:val="28"/>
        </w:rPr>
      </w:r>
      <w:r/>
    </w:p>
    <w:p>
      <w:pPr>
        <w:pStyle w:val="645"/>
        <w:ind w:firstLine="480"/>
        <w:spacing w:line="360" w:lineRule="auto"/>
        <w:rPr>
          <w:rFonts w:hint="eastAsia" w:ascii="宋体" w:hAnsi="宋体" w:cs="宋体"/>
          <w:bCs/>
          <w:sz w:val="24"/>
          <w:szCs w:val="21"/>
        </w:rPr>
      </w:pPr>
      <w:r/>
      <w:bookmarkStart w:id="170" w:name="_Toc20823315"/>
      <w:r/>
      <w:bookmarkStart w:id="171" w:name="_Toc513029243"/>
      <w:r/>
      <w:bookmarkStart w:id="172" w:name="_Toc16938559"/>
      <w:r>
        <w:rPr>
          <w:rFonts w:hint="eastAsia" w:ascii="宋体" w:hAnsi="宋体" w:cs="宋体"/>
          <w:bCs/>
          <w:sz w:val="24"/>
          <w:szCs w:val="21"/>
        </w:rPr>
        <w:t xml:space="preserve">以下为中标后签定本项目合同的通用条款，中标人不得提出实质性的修改。</w:t>
      </w:r>
      <w:r>
        <w:rPr>
          <w:rFonts w:hint="eastAsia" w:ascii="宋体" w:hAnsi="宋体" w:cs="宋体"/>
          <w:bCs/>
          <w:sz w:val="24"/>
          <w:szCs w:val="21"/>
        </w:rPr>
      </w:r>
      <w:r/>
    </w:p>
    <w:p>
      <w:pPr>
        <w:pStyle w:val="645"/>
        <w:jc w:val="center"/>
        <w:spacing w:before="145" w:after="145" w:line="360" w:lineRule="auto"/>
        <w:rPr>
          <w:rFonts w:hint="eastAsia" w:ascii="宋体" w:hAnsi="宋体" w:cs="宋体"/>
          <w:b/>
          <w:sz w:val="30"/>
          <w:szCs w:val="21"/>
        </w:rPr>
        <w:outlineLvl w:val="0"/>
      </w:pPr>
      <w:r>
        <w:rPr>
          <w:rFonts w:hint="eastAsia" w:ascii="宋体" w:hAnsi="宋体" w:cs="宋体"/>
          <w:b/>
          <w:sz w:val="30"/>
          <w:szCs w:val="21"/>
        </w:rPr>
      </w:r>
      <w:r/>
    </w:p>
    <w:p>
      <w:pPr>
        <w:pStyle w:val="645"/>
        <w:jc w:val="center"/>
        <w:spacing w:before="145" w:after="145" w:line="360" w:lineRule="auto"/>
        <w:rPr>
          <w:rFonts w:hint="eastAsia" w:ascii="宋体" w:hAnsi="宋体" w:cs="宋体"/>
          <w:b/>
          <w:bCs/>
          <w:sz w:val="30"/>
          <w:szCs w:val="20"/>
        </w:rPr>
        <w:outlineLvl w:val="0"/>
      </w:pPr>
      <w:r>
        <w:rPr>
          <w:rFonts w:hint="eastAsia" w:ascii="宋体" w:hAnsi="宋体" w:cs="宋体"/>
          <w:b/>
          <w:sz w:val="30"/>
          <w:szCs w:val="21"/>
        </w:rPr>
        <w:t xml:space="preserve">南通市政府采购合同（货物）（合同编号）</w:t>
      </w:r>
      <w:r>
        <w:rPr>
          <w:rFonts w:hint="eastAsia" w:ascii="宋体" w:hAnsi="宋体" w:cs="宋体"/>
          <w:b/>
          <w:bCs/>
          <w:sz w:val="30"/>
          <w:szCs w:val="20"/>
        </w:rPr>
      </w:r>
      <w:r/>
    </w:p>
    <w:p>
      <w:pPr>
        <w:pStyle w:val="645"/>
        <w:ind w:firstLine="630"/>
        <w:spacing w:line="360" w:lineRule="auto"/>
        <w:rPr>
          <w:rFonts w:ascii="宋体" w:hAnsi="宋体" w:cs="宋体"/>
        </w:rPr>
      </w:pPr>
      <w:r/>
      <w:bookmarkEnd w:id="170"/>
      <w:r/>
      <w:bookmarkEnd w:id="171"/>
      <w:r/>
      <w:bookmarkEnd w:id="172"/>
      <w:r/>
      <w:bookmarkStart w:id="173" w:name="_Hlt16619369"/>
      <w:r/>
      <w:bookmarkEnd w:id="173"/>
      <w:r/>
      <w:bookmarkStart w:id="174" w:name="_Toc479757211"/>
      <w:r/>
      <w:bookmarkStart w:id="175" w:name="_Hlt16619350"/>
      <w:r/>
      <w:bookmarkStart w:id="176" w:name="_Toc16938590"/>
      <w:r/>
      <w:bookmarkStart w:id="177" w:name="_Toc20823346"/>
      <w:r/>
      <w:bookmarkStart w:id="178" w:name="_Toc120614244"/>
      <w:r/>
      <w:bookmarkStart w:id="179" w:name="_Toc462564139"/>
      <w:r>
        <w:rPr>
          <w:rFonts w:hint="eastAsia" w:ascii="宋体" w:hAnsi="宋体" w:cs="宋体"/>
          <w:lang w:val="zh-CN"/>
        </w:rPr>
        <w:t xml:space="preserve">年月日</w:t>
      </w:r>
      <w:r>
        <w:rPr>
          <w:rFonts w:hint="eastAsia" w:ascii="宋体" w:hAnsi="宋体" w:cs="宋体"/>
        </w:rPr>
        <w:t xml:space="preserve">,以</w:t>
      </w:r>
      <w:r>
        <w:rPr>
          <w:rFonts w:hint="eastAsia" w:ascii="宋体" w:hAnsi="宋体" w:cs="宋体"/>
          <w:u w:val="single"/>
        </w:rPr>
        <w:t xml:space="preserve">公开招标方式</w:t>
      </w:r>
      <w:r>
        <w:rPr>
          <w:rFonts w:hint="eastAsia" w:ascii="宋体" w:hAnsi="宋体" w:cs="宋体"/>
        </w:rPr>
        <w:t xml:space="preserve">对进行了采购。经</w:t>
      </w:r>
      <w:r>
        <w:rPr>
          <w:rFonts w:hint="eastAsia" w:ascii="宋体" w:hAnsi="宋体" w:cs="宋体"/>
          <w:u w:val="single"/>
        </w:rPr>
        <w:t xml:space="preserve">         </w:t>
      </w:r>
      <w:r>
        <w:rPr>
          <w:rFonts w:hint="eastAsia" w:ascii="宋体" w:hAnsi="宋体" w:cs="宋体"/>
        </w:rPr>
        <w:t xml:space="preserve">评定,</w:t>
      </w:r>
      <w:r>
        <w:rPr>
          <w:rFonts w:hint="eastAsia" w:ascii="宋体" w:hAnsi="宋体" w:cs="宋体"/>
          <w:u w:val="single"/>
        </w:rPr>
        <w:t xml:space="preserve">   (中标供应商名称)</w:t>
      </w:r>
      <w:r>
        <w:rPr>
          <w:rFonts w:hint="eastAsia" w:ascii="宋体" w:hAnsi="宋体" w:cs="宋体"/>
        </w:rPr>
        <w:t xml:space="preserve">为该项目中标供应商。现于中标通知书发出之日起五日内,按照采购文件确定的事项签订本合同。</w:t>
      </w:r>
      <w:r>
        <w:rPr>
          <w:rFonts w:ascii="宋体" w:hAnsi="宋体" w:cs="宋体"/>
        </w:rPr>
      </w:r>
      <w:r/>
    </w:p>
    <w:p>
      <w:pPr>
        <w:pStyle w:val="645"/>
        <w:ind w:firstLine="630"/>
        <w:spacing w:line="360" w:lineRule="auto"/>
        <w:rPr>
          <w:rFonts w:ascii="宋体" w:hAnsi="宋体" w:cs="宋体"/>
        </w:rPr>
      </w:pPr>
      <w:r>
        <w:rPr>
          <w:rFonts w:hint="eastAsia" w:ascii="宋体" w:hAnsi="宋体" w:cs="宋体"/>
          <w:lang w:val="zh-CN"/>
        </w:rPr>
        <w:t xml:space="preserve">根据《中华人民共和国民法典》、《中华人民共和国政府采购法》等相关法律法规之规定,按照平等、自愿、公平和诚实信用的原则,经(以下简称:甲方)和</w:t>
      </w:r>
      <w:r>
        <w:rPr>
          <w:rFonts w:hint="eastAsia" w:ascii="宋体" w:hAnsi="宋体" w:cs="宋体"/>
          <w:u w:val="single"/>
        </w:rPr>
        <w:t xml:space="preserve">   (中标供应商名称)   </w:t>
      </w:r>
      <w:r>
        <w:rPr>
          <w:rFonts w:hint="eastAsia" w:ascii="宋体" w:hAnsi="宋体" w:cs="宋体"/>
          <w:lang w:val="zh-CN"/>
        </w:rPr>
        <w:t xml:space="preserve">(以下简称:乙方)协商一致,约定以下合同</w:t>
      </w:r>
      <w:r>
        <w:rPr>
          <w:rFonts w:hint="eastAsia" w:ascii="宋体" w:hAnsi="宋体" w:cs="宋体"/>
        </w:rPr>
        <w:t xml:space="preserve">条款,以兹共同遵守、全面履行。</w:t>
      </w:r>
      <w:r>
        <w:rPr>
          <w:rFonts w:ascii="宋体" w:hAnsi="宋体" w:cs="宋体"/>
        </w:rPr>
      </w:r>
      <w:r/>
    </w:p>
    <w:p>
      <w:pPr>
        <w:pStyle w:val="645"/>
        <w:ind w:firstLine="422"/>
        <w:spacing w:line="360" w:lineRule="auto"/>
        <w:rPr>
          <w:rFonts w:ascii="宋体" w:hAnsi="宋体" w:cs="宋体"/>
          <w:b/>
        </w:rPr>
        <w:outlineLvl w:val="1"/>
      </w:pPr>
      <w:r/>
      <w:bookmarkStart w:id="180" w:name="_Toc24059"/>
      <w:r/>
      <w:bookmarkStart w:id="181" w:name="_Toc3029"/>
      <w:r/>
      <w:bookmarkStart w:id="182" w:name="_Toc2232"/>
      <w:r>
        <w:rPr>
          <w:rFonts w:hint="eastAsia" w:ascii="宋体" w:hAnsi="宋体" w:cs="宋体"/>
          <w:b/>
        </w:rPr>
        <w:t xml:space="preserve">1.1 合同组成部分</w:t>
      </w:r>
      <w:bookmarkEnd w:id="180"/>
      <w:r/>
      <w:bookmarkEnd w:id="181"/>
      <w:r/>
      <w:bookmarkEnd w:id="182"/>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1.1.1 本合同及其补充合同、变更协议;</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1.1.2 中标通知书;</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1.1.3 投标文件(含澄清或者说明文件);</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1.1.4 招标文件(含澄清或者修改文件);</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1.1.5 其他相关采购文件。</w:t>
      </w:r>
      <w:r>
        <w:rPr>
          <w:rFonts w:ascii="宋体" w:hAnsi="宋体" w:cs="宋体"/>
        </w:rPr>
      </w:r>
      <w:r/>
    </w:p>
    <w:p>
      <w:pPr>
        <w:pStyle w:val="645"/>
        <w:ind w:firstLine="422"/>
        <w:spacing w:line="360" w:lineRule="auto"/>
        <w:rPr>
          <w:rFonts w:ascii="宋体" w:hAnsi="宋体" w:cs="宋体"/>
          <w:b/>
        </w:rPr>
        <w:outlineLvl w:val="1"/>
      </w:pPr>
      <w:r/>
      <w:bookmarkStart w:id="183" w:name="_Toc27126"/>
      <w:r/>
      <w:bookmarkStart w:id="184" w:name="_Toc24300"/>
      <w:r/>
      <w:bookmarkStart w:id="185" w:name="_Toc21295"/>
      <w:r>
        <w:rPr>
          <w:rFonts w:hint="eastAsia" w:ascii="宋体" w:hAnsi="宋体" w:cs="宋体"/>
          <w:b/>
        </w:rPr>
        <w:t xml:space="preserve">1.2 货物</w:t>
      </w:r>
      <w:bookmarkEnd w:id="183"/>
      <w:r/>
      <w:bookmarkEnd w:id="184"/>
      <w:r/>
      <w:bookmarkEnd w:id="185"/>
      <w:r>
        <w:rPr>
          <w:rFonts w:ascii="宋体" w:hAnsi="宋体" w:cs="宋体"/>
          <w:b/>
        </w:rPr>
      </w:r>
      <w:r/>
    </w:p>
    <w:p>
      <w:pPr>
        <w:pStyle w:val="645"/>
        <w:ind w:firstLine="420"/>
        <w:spacing w:line="360" w:lineRule="auto"/>
        <w:rPr>
          <w:rFonts w:ascii="宋体" w:hAnsi="宋体" w:cs="宋体"/>
          <w:u w:val="single"/>
        </w:rPr>
      </w:pPr>
      <w:r>
        <w:rPr>
          <w:rFonts w:hint="eastAsia" w:ascii="宋体" w:hAnsi="宋体" w:cs="宋体"/>
        </w:rPr>
        <w:t xml:space="preserve">1.2.1 货物名称:</w:t>
      </w:r>
      <w:r>
        <w:rPr>
          <w:rFonts w:hint="eastAsia" w:ascii="宋体" w:hAnsi="宋体" w:cs="宋体"/>
          <w:u w:val="single"/>
        </w:rPr>
        <w:t xml:space="preserve">详见附件(参照招标文件货物名称)     </w:t>
      </w:r>
      <w:r>
        <w:rPr>
          <w:rFonts w:hint="eastAsia" w:ascii="宋体" w:hAnsi="宋体" w:cs="宋体"/>
        </w:rPr>
        <w:t xml:space="preserve">;</w:t>
      </w:r>
      <w:r>
        <w:rPr>
          <w:rFonts w:ascii="宋体" w:hAnsi="宋体" w:cs="宋体"/>
          <w:u w:val="single"/>
        </w:rPr>
      </w:r>
      <w:r/>
    </w:p>
    <w:p>
      <w:pPr>
        <w:pStyle w:val="645"/>
        <w:ind w:firstLine="420"/>
        <w:spacing w:line="360" w:lineRule="auto"/>
        <w:rPr>
          <w:rFonts w:ascii="宋体" w:hAnsi="宋体" w:cs="宋体"/>
          <w:u w:val="single"/>
        </w:rPr>
      </w:pPr>
      <w:r>
        <w:rPr>
          <w:rFonts w:hint="eastAsia" w:ascii="宋体" w:hAnsi="宋体" w:cs="宋体"/>
        </w:rPr>
        <w:t xml:space="preserve">1.2.2 货物数量:</w:t>
      </w:r>
      <w:r>
        <w:rPr>
          <w:rFonts w:hint="eastAsia" w:ascii="宋体" w:hAnsi="宋体" w:cs="宋体"/>
          <w:u w:val="single"/>
        </w:rPr>
        <w:t xml:space="preserve">详见附件(参照招标文件货物名称)     </w:t>
      </w:r>
      <w:r>
        <w:rPr>
          <w:rFonts w:hint="eastAsia" w:ascii="宋体" w:hAnsi="宋体" w:cs="宋体"/>
        </w:rPr>
        <w:t xml:space="preserve">;</w:t>
      </w:r>
      <w:r>
        <w:rPr>
          <w:rFonts w:ascii="宋体" w:hAnsi="宋体" w:cs="宋体"/>
          <w:u w:val="single"/>
        </w:rPr>
      </w:r>
      <w:r/>
    </w:p>
    <w:p>
      <w:pPr>
        <w:pStyle w:val="645"/>
        <w:ind w:firstLine="422"/>
        <w:spacing w:line="360" w:lineRule="auto"/>
        <w:rPr>
          <w:rFonts w:ascii="宋体" w:hAnsi="宋体" w:cs="宋体"/>
          <w:b/>
        </w:rPr>
        <w:outlineLvl w:val="1"/>
      </w:pPr>
      <w:r/>
      <w:bookmarkStart w:id="186" w:name="_Toc21551"/>
      <w:r/>
      <w:bookmarkStart w:id="187" w:name="_Toc23292"/>
      <w:r/>
      <w:bookmarkStart w:id="188" w:name="_Toc21631"/>
      <w:r>
        <w:rPr>
          <w:rFonts w:hint="eastAsia" w:ascii="宋体" w:hAnsi="宋体" w:cs="宋体"/>
          <w:b/>
        </w:rPr>
        <w:t xml:space="preserve">1.3 价款</w:t>
      </w:r>
      <w:bookmarkEnd w:id="186"/>
      <w:r/>
      <w:bookmarkEnd w:id="187"/>
      <w:r/>
      <w:bookmarkEnd w:id="188"/>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本合同总价为:￥</w:t>
      </w:r>
      <w:r>
        <w:rPr>
          <w:rFonts w:hint="eastAsia" w:ascii="宋体" w:hAnsi="宋体" w:cs="宋体"/>
          <w:u w:val="single"/>
        </w:rPr>
        <w:t xml:space="preserve">    </w:t>
      </w:r>
      <w:r>
        <w:rPr>
          <w:rFonts w:hint="eastAsia" w:ascii="宋体" w:hAnsi="宋体" w:cs="宋体"/>
        </w:rPr>
        <w:t xml:space="preserve">元(大写:人民币</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645"/>
        <w:ind w:firstLine="422"/>
        <w:spacing w:line="360" w:lineRule="auto"/>
        <w:rPr>
          <w:rFonts w:ascii="宋体" w:hAnsi="宋体" w:cs="宋体"/>
          <w:b/>
        </w:rPr>
        <w:outlineLvl w:val="1"/>
      </w:pPr>
      <w:r/>
      <w:bookmarkStart w:id="189" w:name="_Toc1814"/>
      <w:r/>
      <w:bookmarkStart w:id="190" w:name="_Toc10340"/>
      <w:r/>
      <w:bookmarkStart w:id="191" w:name="_Toc22618"/>
      <w:r>
        <w:rPr>
          <w:rFonts w:hint="eastAsia" w:ascii="宋体" w:hAnsi="宋体" w:cs="宋体"/>
          <w:b/>
        </w:rPr>
        <w:t xml:space="preserve">1.4 付款方式和发票开具方式</w:t>
      </w:r>
      <w:bookmarkEnd w:id="189"/>
      <w:r/>
      <w:bookmarkEnd w:id="190"/>
      <w:r/>
      <w:bookmarkEnd w:id="191"/>
      <w:r>
        <w:rPr>
          <w:rFonts w:ascii="宋体" w:hAnsi="宋体" w:cs="宋体"/>
          <w:b/>
        </w:rPr>
      </w:r>
      <w:r/>
    </w:p>
    <w:p>
      <w:pPr>
        <w:pStyle w:val="645"/>
        <w:ind w:firstLine="420"/>
        <w:jc w:val="left"/>
        <w:spacing w:line="360" w:lineRule="auto"/>
        <w:rPr>
          <w:rFonts w:ascii="宋体" w:hAnsi="宋体" w:cs="仿宋_GB2312"/>
          <w:b/>
          <w:bCs/>
        </w:rPr>
      </w:pPr>
      <w:r>
        <w:rPr>
          <w:rFonts w:hint="eastAsia" w:ascii="宋体" w:hAnsi="宋体" w:cs="宋体"/>
        </w:rPr>
        <w:t xml:space="preserve">1.4.1 付款方式:</w:t>
      </w:r>
      <w:r>
        <w:rPr>
          <w:rFonts w:hint="eastAsia" w:ascii="宋体" w:hAnsi="宋体" w:cs="仿宋_GB2312"/>
        </w:rPr>
        <w:t xml:space="preserve"> </w:t>
      </w:r>
      <w:r>
        <w:rPr>
          <w:rFonts w:hint="eastAsia" w:ascii="宋体" w:hAnsi="宋体" w:cs="仿宋_GB2312"/>
          <w:b/>
          <w:bCs/>
        </w:rPr>
        <w:t xml:space="preserve">项目完成并通过验收支付合同价的70%,</w:t>
      </w:r>
      <w:r>
        <w:rPr>
          <w:rFonts w:hint="eastAsia" w:ascii="宋体" w:hAnsi="宋体"/>
          <w:bCs/>
          <w:sz w:val="24"/>
        </w:rPr>
        <w:t xml:space="preserve">自验收合格满一年后付至合同价的90%，</w:t>
      </w:r>
      <w:r>
        <w:rPr>
          <w:rFonts w:hint="eastAsia" w:ascii="宋体" w:hAnsi="宋体" w:cs="仿宋_GB2312"/>
          <w:b/>
          <w:bCs/>
        </w:rPr>
        <w:t xml:space="preserve">余款待质保期满后一次性付清。验收合格后一次性退还履约保证金。</w:t>
      </w:r>
      <w:r>
        <w:rPr>
          <w:rFonts w:ascii="宋体" w:hAnsi="宋体" w:cs="仿宋_GB2312"/>
          <w:b/>
          <w:bCs/>
        </w:rPr>
      </w:r>
      <w:r/>
    </w:p>
    <w:p>
      <w:pPr>
        <w:pStyle w:val="645"/>
        <w:ind w:firstLine="422"/>
        <w:spacing w:line="360" w:lineRule="auto"/>
        <w:rPr>
          <w:rFonts w:ascii="宋体" w:hAnsi="宋体" w:cs="宋体"/>
          <w:b/>
        </w:rPr>
        <w:outlineLvl w:val="1"/>
      </w:pPr>
      <w:r/>
      <w:bookmarkStart w:id="192" w:name="_Toc32071"/>
      <w:r/>
      <w:bookmarkStart w:id="193" w:name="_Toc2846"/>
      <w:r/>
      <w:bookmarkStart w:id="194" w:name="_Toc19304"/>
      <w:r>
        <w:rPr>
          <w:rFonts w:hint="eastAsia" w:ascii="宋体" w:hAnsi="宋体" w:cs="宋体"/>
          <w:b/>
        </w:rPr>
        <w:t xml:space="preserve">1.5 货物交付期限、地点和方式</w:t>
      </w:r>
      <w:bookmarkEnd w:id="192"/>
      <w:r/>
      <w:bookmarkEnd w:id="193"/>
      <w:r/>
      <w:bookmarkEnd w:id="194"/>
      <w:r>
        <w:rPr>
          <w:rFonts w:ascii="宋体" w:hAnsi="宋体" w:cs="宋体"/>
          <w:b/>
        </w:rPr>
      </w:r>
      <w:r/>
    </w:p>
    <w:p>
      <w:pPr>
        <w:pStyle w:val="645"/>
        <w:ind w:firstLine="420"/>
        <w:spacing w:line="360" w:lineRule="auto"/>
        <w:rPr>
          <w:rFonts w:ascii="宋体" w:hAnsi="宋体" w:cs="宋体"/>
          <w:b/>
          <w:bCs/>
          <w:u w:val="single"/>
        </w:rPr>
      </w:pPr>
      <w:r>
        <w:rPr>
          <w:rFonts w:hint="eastAsia" w:ascii="宋体" w:hAnsi="宋体" w:cs="宋体"/>
        </w:rPr>
        <w:t xml:space="preserve">1.5.1 交付期限: </w:t>
      </w:r>
      <w:r>
        <w:rPr>
          <w:rFonts w:hint="eastAsia" w:ascii="宋体" w:hAnsi="宋体" w:cs="宋体"/>
          <w:b/>
          <w:bCs/>
          <w:u w:val="single"/>
        </w:rPr>
        <w:t xml:space="preserve">自签订合同之日起60天内完成安装、系统部署调试至交付使用，质保期三年</w:t>
      </w:r>
      <w:r>
        <w:rPr>
          <w:rFonts w:hint="eastAsia" w:ascii="宋体" w:hAnsi="宋体" w:cs="宋体"/>
          <w:b/>
          <w:bCs/>
        </w:rPr>
        <w:t xml:space="preserve">;</w:t>
      </w:r>
      <w:r>
        <w:rPr>
          <w:rFonts w:ascii="宋体" w:hAnsi="宋体" w:cs="宋体"/>
          <w:b/>
          <w:bCs/>
          <w:u w:val="single"/>
        </w:rPr>
      </w:r>
      <w:r/>
    </w:p>
    <w:p>
      <w:pPr>
        <w:pStyle w:val="645"/>
        <w:ind w:firstLine="420"/>
        <w:spacing w:line="360" w:lineRule="auto"/>
        <w:rPr>
          <w:rFonts w:ascii="宋体" w:hAnsi="宋体" w:cs="宋体"/>
        </w:rPr>
      </w:pPr>
      <w:r>
        <w:rPr>
          <w:rFonts w:hint="eastAsia" w:ascii="宋体" w:hAnsi="宋体" w:cs="宋体"/>
        </w:rPr>
        <w:t xml:space="preserve">1.5.2 交付地点:江苏省通州中等专业学校;</w:t>
      </w:r>
      <w:r>
        <w:rPr>
          <w:rFonts w:ascii="宋体" w:hAnsi="宋体" w:cs="宋体"/>
        </w:rPr>
      </w:r>
      <w:r/>
    </w:p>
    <w:p>
      <w:pPr>
        <w:pStyle w:val="645"/>
        <w:ind w:firstLine="420"/>
        <w:spacing w:line="360" w:lineRule="auto"/>
        <w:rPr>
          <w:rFonts w:ascii="宋体" w:hAnsi="宋体" w:cs="宋体"/>
          <w:u w:val="single"/>
        </w:rPr>
      </w:pPr>
      <w:r>
        <w:rPr>
          <w:rFonts w:hint="eastAsia" w:ascii="宋体" w:hAnsi="宋体" w:cs="宋体"/>
        </w:rPr>
        <w:t xml:space="preserve">1.5.3 交付方式:</w:t>
      </w:r>
      <w:r>
        <w:rPr>
          <w:rFonts w:hint="eastAsia" w:ascii="宋体" w:hAnsi="宋体" w:cs="宋体"/>
          <w:u w:val="single"/>
        </w:rPr>
        <w:t xml:space="preserve">乙方根据甲方的要求进行系统的安装调试，系统在正式交付前发生的风险均由乙方负责。</w:t>
      </w:r>
      <w:r>
        <w:rPr>
          <w:rFonts w:ascii="宋体" w:hAnsi="宋体" w:cs="宋体"/>
          <w:u w:val="single"/>
        </w:rPr>
      </w:r>
      <w:r/>
    </w:p>
    <w:p>
      <w:pPr>
        <w:pStyle w:val="645"/>
        <w:ind w:firstLine="420"/>
        <w:spacing w:line="360" w:lineRule="auto"/>
        <w:rPr>
          <w:rFonts w:ascii="宋体" w:hAnsi="宋体" w:cs="宋体"/>
          <w:u w:val="single"/>
        </w:rPr>
      </w:pPr>
      <w:r>
        <w:rPr>
          <w:rFonts w:ascii="宋体" w:hAnsi="宋体" w:cs="宋体"/>
        </w:rPr>
        <w:t xml:space="preserve">1.5.4</w:t>
      </w:r>
      <w:r>
        <w:rPr>
          <w:rFonts w:ascii="宋体" w:hAnsi="宋体" w:cs="宋体"/>
          <w:u w:val="single"/>
        </w:rPr>
        <w:t xml:space="preserve"> </w:t>
      </w:r>
      <w:r>
        <w:rPr>
          <w:rFonts w:hint="eastAsia" w:ascii="宋体" w:hAnsi="宋体" w:cs="宋体"/>
          <w:u w:val="single"/>
        </w:rPr>
        <w:t xml:space="preserve">系统安装完毕后，乙方需确保所有部署的功能模块均能正常使用，乙方需根据甲方要求拟派专业人员到学校进行培训、授课等，具体按甲方要求执行。</w:t>
      </w:r>
      <w:r>
        <w:rPr>
          <w:rFonts w:ascii="宋体" w:hAnsi="宋体" w:cs="宋体"/>
          <w:u w:val="single"/>
        </w:rPr>
      </w:r>
      <w:r/>
    </w:p>
    <w:p>
      <w:pPr>
        <w:pStyle w:val="645"/>
        <w:ind w:firstLine="422"/>
        <w:spacing w:line="360" w:lineRule="auto"/>
        <w:rPr>
          <w:rFonts w:ascii="宋体" w:hAnsi="宋体" w:cs="宋体"/>
          <w:b/>
        </w:rPr>
        <w:outlineLvl w:val="1"/>
      </w:pPr>
      <w:r/>
      <w:bookmarkStart w:id="195" w:name="_Toc27250"/>
      <w:r/>
      <w:bookmarkStart w:id="196" w:name="_Toc19554"/>
      <w:r/>
      <w:bookmarkStart w:id="197" w:name="_Toc21423"/>
      <w:r>
        <w:rPr>
          <w:rFonts w:hint="eastAsia" w:ascii="宋体" w:hAnsi="宋体" w:cs="宋体"/>
          <w:b/>
        </w:rPr>
        <w:t xml:space="preserve">.6 违约责任</w:t>
      </w:r>
      <w:bookmarkEnd w:id="195"/>
      <w:r/>
      <w:bookmarkEnd w:id="196"/>
      <w:r/>
      <w:bookmarkEnd w:id="197"/>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u w:val="single"/>
        </w:rPr>
        <w:t xml:space="preserve">  0.3  </w:t>
      </w:r>
      <w:r>
        <w:rPr>
          <w:rFonts w:hint="eastAsia" w:ascii="宋体" w:hAnsi="宋体" w:cs="宋体"/>
        </w:rPr>
        <w:t xml:space="preserve">%计算,最高限额为本合同总价的</w:t>
      </w:r>
      <w:r>
        <w:rPr>
          <w:rFonts w:hint="eastAsia" w:ascii="宋体" w:hAnsi="宋体" w:cs="宋体"/>
          <w:u w:val="single"/>
        </w:rPr>
        <w:t xml:space="preserve">  10  </w:t>
      </w:r>
      <w:r>
        <w:rPr>
          <w:rFonts w:hint="eastAsia" w:ascii="宋体" w:hAnsi="宋体" w:cs="宋体"/>
        </w:rPr>
        <w:t xml:space="preserve">%;迟延交付货物的违约金计算数额达到前述最高限额之日起,甲方有权在要求乙方支付违约金的同时,书面通知乙方解除本合同;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1.6.2 除不可抗力外,如果甲方没有按照本合同约定的付款方式付款,那么乙方可要求甲方支付违约金,违约金按每迟延付款一日的应付而未付款的</w:t>
      </w:r>
      <w:r>
        <w:rPr>
          <w:rFonts w:hint="eastAsia" w:ascii="宋体" w:hAnsi="宋体" w:cs="宋体"/>
          <w:u w:val="single"/>
        </w:rPr>
        <w:t xml:space="preserve">  0.3  </w:t>
      </w:r>
      <w:r>
        <w:rPr>
          <w:rFonts w:hint="eastAsia" w:ascii="宋体" w:hAnsi="宋体" w:cs="宋体"/>
        </w:rPr>
        <w:t xml:space="preserve">%计算,最高限额为本合同总价的</w:t>
      </w:r>
      <w:r>
        <w:rPr>
          <w:rFonts w:hint="eastAsia" w:ascii="宋体" w:hAnsi="宋体" w:cs="宋体"/>
          <w:u w:val="single"/>
        </w:rPr>
        <w:t xml:space="preserve"> 10 </w:t>
      </w:r>
      <w:r>
        <w:rPr>
          <w:rFonts w:hint="eastAsia" w:ascii="宋体" w:hAnsi="宋体" w:cs="宋体"/>
        </w:rPr>
        <w:t xml:space="preserve">%;迟延付款的违约金计算数额达到前述最高限额之日起,乙方有权在要求甲方支付违约金的同时,书面通知甲方解除本合同;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rPr>
      </w:r>
      <w:r/>
    </w:p>
    <w:p>
      <w:pPr>
        <w:pStyle w:val="645"/>
        <w:ind w:firstLine="422"/>
        <w:spacing w:line="360" w:lineRule="auto"/>
        <w:rPr>
          <w:rFonts w:ascii="宋体" w:hAnsi="宋体" w:cs="宋体"/>
          <w:b/>
        </w:rPr>
        <w:outlineLvl w:val="1"/>
      </w:pPr>
      <w:r/>
      <w:bookmarkStart w:id="198" w:name="_Toc16021"/>
      <w:r/>
      <w:bookmarkStart w:id="199" w:name="_Toc15583"/>
      <w:r/>
      <w:bookmarkStart w:id="200" w:name="_Toc28375"/>
      <w:r>
        <w:rPr>
          <w:rFonts w:hint="eastAsia" w:ascii="宋体" w:hAnsi="宋体" w:cs="宋体"/>
          <w:b/>
        </w:rPr>
        <w:t xml:space="preserve">1.7 合同争议的解决</w:t>
      </w:r>
      <w:bookmarkEnd w:id="198"/>
      <w:r/>
      <w:bookmarkEnd w:id="199"/>
      <w:r/>
      <w:bookmarkEnd w:id="200"/>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本合同履行过程中发生的任何争议,双方当事人均可通过和解或者调解解决;不愿和解、调解或者和解、调解不成的,可以选择下列第</w:t>
      </w:r>
      <w:r>
        <w:rPr>
          <w:rFonts w:hint="eastAsia" w:ascii="宋体" w:hAnsi="宋体" w:cs="宋体"/>
          <w:u w:val="single"/>
        </w:rPr>
        <w:t xml:space="preserve">  1  </w:t>
      </w:r>
      <w:r>
        <w:rPr>
          <w:rFonts w:hint="eastAsia" w:ascii="宋体" w:hAnsi="宋体" w:cs="宋体"/>
        </w:rPr>
        <w:t xml:space="preserve">种方式解决:</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1.7.1 将争议提交</w:t>
      </w:r>
      <w:r>
        <w:rPr>
          <w:rFonts w:hint="eastAsia" w:ascii="宋体" w:hAnsi="宋体" w:cs="宋体"/>
          <w:u w:val="single"/>
        </w:rPr>
        <w:t xml:space="preserve">南通市</w:t>
      </w:r>
      <w:r>
        <w:rPr>
          <w:rFonts w:hint="eastAsia" w:ascii="宋体" w:hAnsi="宋体" w:cs="宋体"/>
        </w:rPr>
        <w:t xml:space="preserve">仲裁委员会依申请仲裁时其现行有效的仲裁规则裁决;</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1.7.2 向</w:t>
      </w:r>
      <w:r>
        <w:rPr>
          <w:rFonts w:hint="eastAsia" w:ascii="宋体" w:hAnsi="宋体" w:cs="宋体"/>
          <w:u w:val="single"/>
        </w:rPr>
        <w:t xml:space="preserve">   (被告住所地、合同履行地、合同签订地、原告住所地、标的物所在地等与争议有实际联系的地点中选出的人民法院名称)</w:t>
      </w:r>
      <w:r>
        <w:rPr>
          <w:rFonts w:hint="eastAsia" w:ascii="宋体" w:hAnsi="宋体" w:cs="宋体"/>
        </w:rPr>
        <w:t xml:space="preserve">人民法院起诉。</w:t>
      </w:r>
      <w:r>
        <w:rPr>
          <w:rFonts w:ascii="宋体" w:hAnsi="宋体" w:cs="宋体"/>
        </w:rPr>
      </w:r>
      <w:r/>
    </w:p>
    <w:p>
      <w:pPr>
        <w:pStyle w:val="645"/>
        <w:ind w:firstLine="422"/>
        <w:spacing w:line="360" w:lineRule="auto"/>
        <w:rPr>
          <w:rFonts w:ascii="宋体" w:hAnsi="宋体" w:cs="宋体"/>
          <w:b/>
        </w:rPr>
        <w:outlineLvl w:val="1"/>
      </w:pPr>
      <w:r/>
      <w:bookmarkStart w:id="201" w:name="_Toc7245"/>
      <w:r/>
      <w:bookmarkStart w:id="202" w:name="_Toc11173"/>
      <w:r/>
      <w:bookmarkStart w:id="203" w:name="_Toc15322"/>
      <w:r>
        <w:rPr>
          <w:rFonts w:hint="eastAsia" w:ascii="宋体" w:hAnsi="宋体" w:cs="宋体"/>
          <w:b/>
        </w:rPr>
        <w:t xml:space="preserve">1.8 合同生效</w:t>
      </w:r>
      <w:bookmarkEnd w:id="201"/>
      <w:r/>
      <w:bookmarkEnd w:id="202"/>
      <w:r/>
      <w:bookmarkEnd w:id="203"/>
      <w:r>
        <w:rPr>
          <w:rFonts w:ascii="宋体" w:hAnsi="宋体" w:cs="宋体"/>
          <w:b/>
        </w:rPr>
      </w:r>
      <w:r/>
    </w:p>
    <w:p>
      <w:pPr>
        <w:pStyle w:val="645"/>
        <w:ind w:firstLine="420"/>
        <w:spacing w:line="360" w:lineRule="auto"/>
        <w:rPr>
          <w:rFonts w:ascii="宋体" w:hAnsi="宋体" w:cs="宋体"/>
          <w:b/>
        </w:rPr>
      </w:pPr>
      <w:r>
        <w:rPr>
          <w:rFonts w:hint="eastAsia" w:ascii="宋体" w:hAnsi="宋体" w:cs="宋体"/>
        </w:rPr>
        <w:t xml:space="preserve">本合同自双方当事人盖章或者签字时生效。</w:t>
      </w:r>
      <w:r>
        <w:rPr>
          <w:rFonts w:ascii="宋体" w:hAnsi="宋体" w:cs="宋体"/>
          <w:b/>
        </w:rPr>
      </w:r>
      <w:r/>
    </w:p>
    <w:p>
      <w:pPr>
        <w:pStyle w:val="645"/>
        <w:spacing w:line="360" w:lineRule="auto"/>
        <w:rPr>
          <w:rFonts w:ascii="宋体" w:hAnsi="宋体" w:cs="宋体"/>
          <w:lang w:val="zh-CN"/>
        </w:rPr>
      </w:pPr>
      <w:r>
        <w:rPr>
          <w:rFonts w:hint="eastAsia" w:ascii="宋体" w:hAnsi="宋体" w:cs="宋体"/>
          <w:b/>
          <w:lang w:val="zh-CN"/>
        </w:rPr>
        <w:t xml:space="preserve">甲方</w:t>
      </w:r>
      <w:r>
        <w:rPr>
          <w:rFonts w:hint="eastAsia" w:ascii="宋体" w:hAnsi="宋体" w:cs="宋体"/>
          <w:lang w:val="zh-CN"/>
        </w:rPr>
        <w:t xml:space="preserve">:                            </w:t>
      </w:r>
      <w:r>
        <w:rPr>
          <w:rFonts w:hint="eastAsia" w:ascii="宋体" w:hAnsi="宋体" w:cs="宋体"/>
          <w:b/>
          <w:lang w:val="zh-CN"/>
        </w:rPr>
        <w:t xml:space="preserve">乙方</w:t>
      </w:r>
      <w:r>
        <w:rPr>
          <w:rFonts w:hint="eastAsia" w:ascii="宋体" w:hAnsi="宋体" w:cs="宋体"/>
          <w:lang w:val="zh-CN"/>
        </w:rPr>
        <w:t xml:space="preserve">:</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统一社会信用代码:                       统一社会信用代码或身份证号码:</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住所:                                  住所:</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法定代表人或 </w:t>
      </w:r>
      <w:r>
        <w:rPr>
          <w:rFonts w:ascii="宋体" w:hAnsi="宋体" w:cs="宋体"/>
          <w:lang w:val="zh-CN"/>
        </w:rPr>
        <w:t xml:space="preserve">                          </w:t>
      </w:r>
      <w:r>
        <w:rPr>
          <w:rFonts w:hint="eastAsia" w:ascii="宋体" w:hAnsi="宋体" w:cs="宋体"/>
          <w:lang w:val="zh-CN"/>
        </w:rPr>
        <w:t xml:space="preserve">法定代表人</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授权代表(签字):                       或授权代表(签字): </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联系人:                                联系人:</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约定送达地址:                          约定送达地址:</w:t>
      </w:r>
      <w:r>
        <w:rPr>
          <w:rFonts w:ascii="宋体" w:hAnsi="宋体" w:cs="宋体"/>
          <w:lang w:val="zh-CN"/>
        </w:rPr>
      </w:r>
      <w:r/>
    </w:p>
    <w:p>
      <w:pPr>
        <w:pStyle w:val="645"/>
        <w:spacing w:line="360" w:lineRule="auto"/>
        <w:rPr>
          <w:rFonts w:ascii="宋体" w:hAnsi="宋体" w:cs="宋体"/>
          <w:lang w:val="zh-CN"/>
        </w:rPr>
      </w:pPr>
      <w:r>
        <w:rPr>
          <w:rFonts w:hint="eastAsia" w:ascii="宋体" w:hAnsi="宋体" w:cs="宋体"/>
          <w:lang w:val="zh-CN"/>
        </w:rPr>
        <w:t xml:space="preserve">电话:                                  电话: </w:t>
      </w:r>
      <w:r>
        <w:rPr>
          <w:rFonts w:ascii="宋体" w:hAnsi="宋体" w:cs="宋体"/>
          <w:lang w:val="zh-CN"/>
        </w:rPr>
      </w:r>
      <w:r/>
    </w:p>
    <w:p>
      <w:pPr>
        <w:pStyle w:val="645"/>
        <w:spacing w:line="360" w:lineRule="auto"/>
        <w:rPr>
          <w:rFonts w:ascii="宋体" w:hAnsi="宋体" w:cs="宋体"/>
        </w:rPr>
      </w:pPr>
      <w:r>
        <w:rPr>
          <w:rFonts w:hint="eastAsia" w:ascii="宋体" w:hAnsi="宋体" w:cs="宋体"/>
          <w:lang w:val="zh-CN"/>
        </w:rPr>
        <w:t xml:space="preserve">电子邮箱:                              电子邮箱:</w:t>
      </w:r>
      <w:r>
        <w:rPr>
          <w:rFonts w:ascii="宋体" w:hAnsi="宋体" w:cs="宋体"/>
        </w:rPr>
      </w:r>
      <w:r/>
    </w:p>
    <w:p>
      <w:pPr>
        <w:pStyle w:val="645"/>
        <w:spacing w:line="360" w:lineRule="auto"/>
        <w:rPr>
          <w:rFonts w:ascii="宋体" w:hAnsi="宋体" w:cs="宋体"/>
        </w:rPr>
      </w:pPr>
      <w:r>
        <w:rPr>
          <w:rFonts w:hint="eastAsia" w:ascii="宋体" w:hAnsi="宋体" w:cs="宋体"/>
        </w:rPr>
        <w:t xml:space="preserve">开户银行:                              开户银行:</w:t>
      </w:r>
      <w:r>
        <w:rPr>
          <w:rFonts w:ascii="宋体" w:hAnsi="宋体" w:cs="宋体"/>
        </w:rPr>
      </w:r>
      <w:r/>
    </w:p>
    <w:p>
      <w:pPr>
        <w:pStyle w:val="645"/>
        <w:spacing w:line="360" w:lineRule="auto"/>
        <w:rPr>
          <w:rFonts w:ascii="宋体" w:hAnsi="宋体" w:cs="宋体"/>
        </w:rPr>
      </w:pPr>
      <w:r>
        <w:rPr>
          <w:rFonts w:hint="eastAsia" w:ascii="宋体" w:hAnsi="宋体" w:cs="宋体"/>
        </w:rPr>
        <w:t xml:space="preserve">开户名称:                              开户名称:</w:t>
      </w:r>
      <w:r>
        <w:rPr>
          <w:rFonts w:ascii="宋体" w:hAnsi="宋体" w:cs="宋体"/>
        </w:rPr>
      </w:r>
      <w:r/>
    </w:p>
    <w:p>
      <w:pPr>
        <w:pStyle w:val="645"/>
        <w:ind w:firstLine="420"/>
        <w:jc w:val="left"/>
        <w:spacing w:line="360" w:lineRule="auto"/>
        <w:widowControl/>
        <w:rPr>
          <w:rFonts w:ascii="宋体" w:hAnsi="宋体" w:cs="宋体"/>
        </w:rPr>
      </w:pPr>
      <w:r>
        <w:rPr>
          <w:rFonts w:hint="eastAsia" w:ascii="宋体" w:hAnsi="宋体" w:cs="宋体"/>
        </w:rPr>
        <w:t xml:space="preserve">开户账号:</w:t>
      </w:r>
      <w:r>
        <w:rPr>
          <w:rFonts w:ascii="宋体" w:hAnsi="宋体" w:cs="宋体"/>
        </w:rPr>
        <w:t xml:space="preserve">                              </w:t>
      </w:r>
      <w:r>
        <w:rPr>
          <w:rFonts w:hint="eastAsia" w:ascii="宋体" w:hAnsi="宋体" w:cs="宋体"/>
        </w:rPr>
        <w:t xml:space="preserve">开户账号:</w:t>
      </w:r>
      <w:r>
        <w:rPr>
          <w:rFonts w:ascii="宋体" w:hAnsi="宋体" w:cs="宋体"/>
        </w:rPr>
      </w:r>
      <w:r/>
    </w:p>
    <w:p>
      <w:pPr>
        <w:pStyle w:val="728"/>
        <w:ind w:firstLine="200"/>
        <w:jc w:val="center"/>
        <w:spacing w:line="360" w:lineRule="auto"/>
        <w:rPr>
          <w:rFonts w:hAnsi="宋体" w:cs="宋体"/>
          <w:b/>
          <w:sz w:val="28"/>
          <w:szCs w:val="28"/>
        </w:rPr>
        <w:outlineLvl w:val="0"/>
      </w:pPr>
      <w:r>
        <w:rPr>
          <w:rFonts w:hint="eastAsia"/>
        </w:rPr>
        <w:br w:type="page" w:clear="all"/>
      </w:r>
      <w:r>
        <w:rPr>
          <w:rFonts w:hint="eastAsia" w:hAnsi="宋体" w:cs="宋体"/>
          <w:b/>
          <w:sz w:val="28"/>
          <w:szCs w:val="28"/>
        </w:rPr>
        <w:t xml:space="preserve">第二部分合同一般条款</w:t>
      </w:r>
      <w:r>
        <w:rPr>
          <w:rFonts w:hAnsi="宋体" w:cs="宋体"/>
          <w:b/>
          <w:sz w:val="28"/>
          <w:szCs w:val="28"/>
        </w:rPr>
      </w:r>
      <w:r/>
    </w:p>
    <w:p>
      <w:pPr>
        <w:pStyle w:val="645"/>
        <w:ind w:firstLine="422"/>
        <w:spacing w:line="360" w:lineRule="auto"/>
        <w:rPr>
          <w:rFonts w:ascii="宋体" w:hAnsi="宋体" w:cs="宋体"/>
          <w:b/>
        </w:rPr>
        <w:outlineLvl w:val="1"/>
      </w:pPr>
      <w:r/>
      <w:bookmarkStart w:id="204" w:name="_Ref467379109"/>
      <w:r/>
      <w:bookmarkStart w:id="205" w:name="_Toc28763"/>
      <w:r/>
      <w:bookmarkStart w:id="206" w:name="_Toc487900349"/>
      <w:r/>
      <w:bookmarkStart w:id="207" w:name="_Ref467379101"/>
      <w:r/>
      <w:bookmarkStart w:id="208" w:name="_Ref467379214"/>
      <w:r/>
      <w:bookmarkStart w:id="209" w:name="_Ref467379225"/>
      <w:r/>
      <w:bookmarkStart w:id="210" w:name="_Ref467378499"/>
      <w:r/>
      <w:bookmarkStart w:id="211" w:name="_Ref467379195"/>
      <w:r/>
      <w:bookmarkStart w:id="212" w:name="_Ref467379205"/>
      <w:r/>
      <w:bookmarkStart w:id="213" w:name="_Toc19614"/>
      <w:r/>
      <w:bookmarkStart w:id="214" w:name="_Ref467378463"/>
      <w:r/>
      <w:bookmarkStart w:id="215" w:name="_Ref467378404"/>
      <w:r/>
      <w:bookmarkStart w:id="216" w:name="_Ref467379094"/>
      <w:r/>
      <w:bookmarkStart w:id="217" w:name="_Toc259093669"/>
      <w:r/>
      <w:bookmarkStart w:id="218" w:name="_Toc16917"/>
      <w:r/>
      <w:bookmarkStart w:id="219" w:name="_Toc279701240"/>
      <w:r>
        <w:rPr>
          <w:rFonts w:hint="eastAsia" w:ascii="宋体" w:hAnsi="宋体" w:cs="宋体"/>
          <w:b/>
        </w:rPr>
        <w:t xml:space="preserve">2.1 定义</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本合同中的下列词语应按以下内容进行解释:</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2.1.1 “合同”系指采购人和中标供应商签订的载明双方当事人所达成的协议,并包括所有的附件、附录和构成合同的其他文件。</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2.1.2 “合同价”系指根据合同约定,中标供应商在完全履行合同义务后,采购人应支付给中标供应商的价格。</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2.1.3 “货物”系指中标供应商根据合同约定应向采购人交付的一切各种形态和种类的物品,包括原材料、燃料、设备、机械、仪表、备件、计算机软件、产品等,并包括工具、手册等其他相关资料。</w:t>
      </w:r>
      <w:r>
        <w:rPr>
          <w:rFonts w:ascii="宋体" w:hAnsi="宋体" w:cs="宋体"/>
        </w:rPr>
      </w:r>
      <w:r/>
    </w:p>
    <w:p>
      <w:pPr>
        <w:pStyle w:val="645"/>
        <w:ind w:firstLine="420"/>
        <w:spacing w:line="360" w:lineRule="auto"/>
        <w:rPr>
          <w:rFonts w:ascii="宋体" w:hAnsi="宋体" w:cs="宋体"/>
        </w:rPr>
      </w:pPr>
      <w:r/>
      <w:bookmarkStart w:id="220" w:name="_Ref467378840"/>
      <w:r>
        <w:rPr>
          <w:rFonts w:hint="eastAsia" w:ascii="宋体" w:hAnsi="宋体" w:cs="宋体"/>
        </w:rPr>
        <w:t xml:space="preserve">2.1.4 “甲方”系指与中标供应商签署合同的采购人</w:t>
      </w:r>
      <w:bookmarkEnd w:id="220"/>
      <w:r>
        <w:rPr>
          <w:rFonts w:hint="eastAsia" w:ascii="宋体" w:hAnsi="宋体" w:cs="宋体"/>
        </w:rPr>
        <w:t xml:space="preserve">;采购人委托采购代理机构代表其与乙方签订合同的,采购人的授权委托书作为合同附件。</w:t>
      </w:r>
      <w:r>
        <w:rPr>
          <w:rFonts w:ascii="宋体" w:hAnsi="宋体" w:cs="宋体"/>
        </w:rPr>
      </w:r>
      <w:r/>
    </w:p>
    <w:p>
      <w:pPr>
        <w:pStyle w:val="645"/>
        <w:ind w:firstLine="420"/>
        <w:spacing w:line="360" w:lineRule="auto"/>
        <w:rPr>
          <w:rFonts w:ascii="宋体" w:hAnsi="宋体" w:cs="宋体"/>
        </w:rPr>
      </w:pPr>
      <w:r/>
      <w:bookmarkStart w:id="221" w:name="_Ref467379400"/>
      <w:r>
        <w:rPr>
          <w:rFonts w:hint="eastAsia" w:ascii="宋体" w:hAnsi="宋体" w:cs="宋体"/>
        </w:rPr>
        <w:t xml:space="preserve">2.1.5 “乙方”系指根据合同约定交付货物的中标供应商</w:t>
      </w:r>
      <w:bookmarkEnd w:id="221"/>
      <w:r>
        <w:rPr>
          <w:rFonts w:hint="eastAsia" w:ascii="宋体" w:hAnsi="宋体" w:cs="宋体"/>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rPr>
      </w:r>
      <w:r/>
    </w:p>
    <w:p>
      <w:pPr>
        <w:pStyle w:val="645"/>
        <w:ind w:firstLine="420"/>
        <w:spacing w:line="360" w:lineRule="auto"/>
        <w:rPr>
          <w:rFonts w:ascii="宋体" w:hAnsi="宋体" w:cs="宋体"/>
        </w:rPr>
      </w:pPr>
      <w:r/>
      <w:bookmarkStart w:id="222" w:name="_Ref467379436"/>
      <w:r>
        <w:rPr>
          <w:rFonts w:hint="eastAsia" w:ascii="宋体" w:hAnsi="宋体" w:cs="宋体"/>
        </w:rPr>
        <w:t xml:space="preserve">2.1.6 “现场”系指合同约定货物将要运至或者安装的地点。</w:t>
      </w:r>
      <w:bookmarkEnd w:id="222"/>
      <w:r>
        <w:rPr>
          <w:rFonts w:ascii="宋体" w:hAnsi="宋体" w:cs="宋体"/>
        </w:rPr>
      </w:r>
      <w:r/>
    </w:p>
    <w:p>
      <w:pPr>
        <w:pStyle w:val="645"/>
        <w:ind w:firstLine="422"/>
        <w:spacing w:line="360" w:lineRule="auto"/>
        <w:rPr>
          <w:rFonts w:ascii="宋体" w:hAnsi="宋体" w:cs="宋体"/>
          <w:b/>
        </w:rPr>
        <w:outlineLvl w:val="1"/>
      </w:pPr>
      <w:r/>
      <w:bookmarkStart w:id="223" w:name="_Toc259093670"/>
      <w:r/>
      <w:bookmarkStart w:id="224" w:name="_Toc27635"/>
      <w:r/>
      <w:bookmarkStart w:id="225" w:name="_Toc32504"/>
      <w:r/>
      <w:bookmarkStart w:id="226" w:name="_Toc487900350"/>
      <w:r/>
      <w:bookmarkStart w:id="227" w:name="_Toc13336"/>
      <w:r/>
      <w:bookmarkStart w:id="228" w:name="_Toc279701241"/>
      <w:r>
        <w:rPr>
          <w:rFonts w:hint="eastAsia" w:ascii="宋体" w:hAnsi="宋体" w:cs="宋体"/>
          <w:b/>
        </w:rPr>
        <w:t xml:space="preserve">2.2 技术规范</w:t>
      </w:r>
      <w:bookmarkEnd w:id="223"/>
      <w:r/>
      <w:bookmarkEnd w:id="224"/>
      <w:r/>
      <w:bookmarkEnd w:id="225"/>
      <w:r/>
      <w:bookmarkEnd w:id="226"/>
      <w:r/>
      <w:bookmarkEnd w:id="227"/>
      <w:r/>
      <w:bookmarkEnd w:id="228"/>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rPr>
      </w:r>
      <w:r/>
    </w:p>
    <w:p>
      <w:pPr>
        <w:pStyle w:val="645"/>
        <w:ind w:firstLine="422"/>
        <w:spacing w:line="360" w:lineRule="auto"/>
        <w:rPr>
          <w:rFonts w:ascii="宋体" w:hAnsi="宋体" w:cs="宋体"/>
          <w:b/>
        </w:rPr>
        <w:outlineLvl w:val="1"/>
      </w:pPr>
      <w:r/>
      <w:bookmarkStart w:id="229" w:name="_Toc31634"/>
      <w:r/>
      <w:bookmarkStart w:id="230" w:name="_Toc9829"/>
      <w:r/>
      <w:bookmarkStart w:id="231" w:name="_Toc279701242"/>
      <w:r/>
      <w:bookmarkStart w:id="232" w:name="_Toc259093671"/>
      <w:r/>
      <w:bookmarkStart w:id="233" w:name="_Toc487900351"/>
      <w:r/>
      <w:bookmarkStart w:id="234" w:name="_Toc27853"/>
      <w:r>
        <w:rPr>
          <w:rFonts w:hint="eastAsia" w:ascii="宋体" w:hAnsi="宋体" w:cs="宋体"/>
          <w:b/>
        </w:rPr>
        <w:t xml:space="preserve">2.3 知识产权</w:t>
      </w:r>
      <w:bookmarkEnd w:id="229"/>
      <w:r/>
      <w:bookmarkEnd w:id="230"/>
      <w:r/>
      <w:bookmarkEnd w:id="231"/>
      <w:r/>
      <w:bookmarkEnd w:id="232"/>
      <w:r/>
      <w:bookmarkEnd w:id="233"/>
      <w:r/>
      <w:bookmarkEnd w:id="234"/>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2.3.2具有知识产权的计算机软件等货物的知识产权归属,详见</w:t>
      </w:r>
      <w:r>
        <w:rPr>
          <w:rFonts w:hint="eastAsia" w:ascii="宋体" w:hAnsi="宋体" w:cs="宋体"/>
          <w:b/>
          <w:u w:val="single"/>
        </w:rPr>
        <w:t xml:space="preserve">合同专用条款</w:t>
      </w:r>
      <w:r>
        <w:rPr>
          <w:rFonts w:hint="eastAsia" w:ascii="宋体" w:hAnsi="宋体" w:cs="宋体"/>
        </w:rPr>
        <w:t xml:space="preserve">。</w:t>
      </w:r>
      <w:r>
        <w:rPr>
          <w:rFonts w:ascii="宋体" w:hAnsi="宋体" w:cs="宋体"/>
        </w:rPr>
      </w:r>
      <w:r/>
    </w:p>
    <w:p>
      <w:pPr>
        <w:pStyle w:val="645"/>
        <w:ind w:firstLine="422"/>
        <w:spacing w:line="360" w:lineRule="auto"/>
        <w:rPr>
          <w:rFonts w:ascii="宋体" w:hAnsi="宋体" w:cs="宋体"/>
          <w:b/>
        </w:rPr>
        <w:outlineLvl w:val="1"/>
      </w:pPr>
      <w:r/>
      <w:bookmarkStart w:id="235" w:name="_Toc11932"/>
      <w:r/>
      <w:bookmarkStart w:id="236" w:name="_Toc29149"/>
      <w:r/>
      <w:bookmarkStart w:id="237" w:name="_Toc4194"/>
      <w:r>
        <w:rPr>
          <w:rFonts w:hint="eastAsia" w:ascii="宋体" w:hAnsi="宋体" w:cs="宋体"/>
          <w:b/>
        </w:rPr>
        <w:t xml:space="preserve">2.4 包装和装运</w:t>
      </w:r>
      <w:bookmarkEnd w:id="235"/>
      <w:r/>
      <w:bookmarkEnd w:id="236"/>
      <w:r/>
      <w:bookmarkEnd w:id="237"/>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2.4.1除</w:t>
      </w:r>
      <w:r>
        <w:rPr>
          <w:rFonts w:hint="eastAsia" w:ascii="宋体" w:hAnsi="宋体" w:cs="宋体"/>
          <w:b/>
          <w:u w:val="single"/>
        </w:rPr>
        <w:t xml:space="preserve">合同专用条款</w:t>
      </w:r>
      <w:r>
        <w:rPr>
          <w:rFonts w:hint="eastAsia" w:ascii="宋体" w:hAnsi="宋体" w:cs="宋体"/>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2.4.2 装运货物的要求和通知,详见</w:t>
      </w:r>
      <w:r>
        <w:rPr>
          <w:rFonts w:hint="eastAsia" w:ascii="宋体" w:hAnsi="宋体" w:cs="宋体"/>
          <w:b/>
          <w:u w:val="single"/>
        </w:rPr>
        <w:t xml:space="preserve">合同专用条款</w:t>
      </w:r>
      <w:r>
        <w:rPr>
          <w:rFonts w:hint="eastAsia" w:ascii="宋体" w:hAnsi="宋体" w:cs="宋体"/>
        </w:rPr>
        <w:t xml:space="preserve">。</w:t>
      </w:r>
      <w:r>
        <w:rPr>
          <w:rFonts w:ascii="宋体" w:hAnsi="宋体" w:cs="宋体"/>
        </w:rPr>
      </w:r>
      <w:r/>
    </w:p>
    <w:p>
      <w:pPr>
        <w:pStyle w:val="645"/>
        <w:ind w:firstLine="422"/>
        <w:spacing w:line="360" w:lineRule="auto"/>
        <w:rPr>
          <w:rFonts w:ascii="宋体" w:hAnsi="宋体" w:cs="宋体"/>
          <w:b/>
        </w:rPr>
        <w:outlineLvl w:val="1"/>
      </w:pPr>
      <w:r/>
      <w:bookmarkStart w:id="238" w:name="_Ref467379542"/>
      <w:r/>
      <w:bookmarkStart w:id="239" w:name="_Toc279701245"/>
      <w:r/>
      <w:bookmarkStart w:id="240" w:name="_Toc26182"/>
      <w:r/>
      <w:bookmarkStart w:id="241" w:name="_Toc30272"/>
      <w:r/>
      <w:bookmarkStart w:id="242" w:name="_Toc19074"/>
      <w:r/>
      <w:bookmarkStart w:id="243" w:name="_Toc259093674"/>
      <w:r/>
      <w:bookmarkStart w:id="244" w:name="_Ref467379536"/>
      <w:r/>
      <w:bookmarkStart w:id="245" w:name="_Ref467378591"/>
      <w:r/>
      <w:bookmarkStart w:id="246" w:name="_Toc487900354"/>
      <w:r/>
      <w:bookmarkStart w:id="247" w:name="_Ref467378541"/>
      <w:r/>
      <w:bookmarkStart w:id="248" w:name="_Ref467379527"/>
      <w:r>
        <w:rPr>
          <w:rFonts w:hint="eastAsia" w:ascii="宋体" w:hAnsi="宋体" w:cs="宋体"/>
          <w:b/>
        </w:rPr>
        <w:t xml:space="preserve">2.</w:t>
      </w:r>
      <w:bookmarkEnd w:id="238"/>
      <w:r/>
      <w:bookmarkEnd w:id="239"/>
      <w:r/>
      <w:bookmarkEnd w:id="243"/>
      <w:r/>
      <w:bookmarkEnd w:id="244"/>
      <w:r/>
      <w:bookmarkEnd w:id="245"/>
      <w:r/>
      <w:bookmarkEnd w:id="246"/>
      <w:r/>
      <w:bookmarkEnd w:id="247"/>
      <w:r/>
      <w:bookmarkEnd w:id="248"/>
      <w:r>
        <w:rPr>
          <w:rFonts w:hint="eastAsia" w:ascii="宋体" w:hAnsi="宋体" w:cs="宋体"/>
          <w:b/>
        </w:rPr>
        <w:t xml:space="preserve">5 履约检查和问题反馈</w:t>
      </w:r>
      <w:bookmarkEnd w:id="240"/>
      <w:r/>
      <w:bookmarkEnd w:id="241"/>
      <w:r/>
      <w:bookmarkEnd w:id="242"/>
      <w:r>
        <w:rPr>
          <w:rFonts w:ascii="宋体" w:hAnsi="宋体" w:cs="宋体"/>
          <w:b/>
        </w:rPr>
      </w:r>
      <w:r/>
    </w:p>
    <w:p>
      <w:pPr>
        <w:pStyle w:val="645"/>
        <w:ind w:firstLine="420"/>
        <w:spacing w:line="360" w:lineRule="auto"/>
        <w:rPr>
          <w:rFonts w:ascii="宋体" w:hAnsi="宋体" w:cs="宋体"/>
        </w:rPr>
      </w:pPr>
      <w:r/>
      <w:bookmarkStart w:id="249" w:name="_Ref467379657"/>
      <w:r>
        <w:rPr>
          <w:rFonts w:hint="eastAsia" w:ascii="宋体" w:hAnsi="宋体" w:cs="宋体"/>
        </w:rPr>
        <w:t xml:space="preserve">2.5.1</w:t>
      </w:r>
      <w:bookmarkEnd w:id="249"/>
      <w:r/>
      <w:bookmarkStart w:id="250" w:name="_Ref467379793"/>
      <w:r/>
      <w:bookmarkStart w:id="251" w:name="_Toc259093676"/>
      <w:r/>
      <w:bookmarkStart w:id="252" w:name="_Toc186431854"/>
      <w:r/>
      <w:bookmarkStart w:id="253" w:name="_Ref467379807"/>
      <w:r/>
      <w:bookmarkStart w:id="254" w:name="_Toc487900357"/>
      <w:r/>
      <w:bookmarkStart w:id="255" w:name="_Toc279701247"/>
      <w:r>
        <w:rPr>
          <w:rFonts w:hint="eastAsia" w:ascii="宋体" w:hAnsi="宋体" w:cs="宋体"/>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2.5.2 合同履行期间,甲方有权将履行过程中出现的问题反馈给乙方,双方当事人应以书面形式约定需要完善和改进的内容</w:t>
      </w:r>
      <w:bookmarkEnd w:id="252"/>
      <w:r/>
      <w:bookmarkStart w:id="256" w:name="_Toc186431855"/>
      <w:r>
        <w:rPr>
          <w:rFonts w:hint="eastAsia" w:ascii="宋体" w:hAnsi="宋体" w:cs="宋体"/>
        </w:rPr>
        <w:t xml:space="preserve">。</w:t>
      </w:r>
      <w:r>
        <w:rPr>
          <w:rFonts w:ascii="宋体" w:hAnsi="宋体" w:cs="宋体"/>
        </w:rPr>
      </w:r>
      <w:r/>
    </w:p>
    <w:p>
      <w:pPr>
        <w:pStyle w:val="645"/>
        <w:ind w:firstLine="422"/>
        <w:spacing w:line="360" w:lineRule="auto"/>
        <w:rPr>
          <w:rFonts w:ascii="宋体" w:hAnsi="宋体" w:cs="宋体"/>
          <w:b/>
        </w:rPr>
        <w:outlineLvl w:val="1"/>
      </w:pPr>
      <w:r/>
      <w:bookmarkEnd w:id="256"/>
      <w:r/>
      <w:bookmarkStart w:id="257" w:name="_Toc7836"/>
      <w:r/>
      <w:bookmarkStart w:id="258" w:name="_Toc28451"/>
      <w:r/>
      <w:bookmarkStart w:id="259" w:name="_Toc19219"/>
      <w:r>
        <w:rPr>
          <w:rFonts w:hint="eastAsia" w:ascii="宋体" w:hAnsi="宋体" w:cs="宋体"/>
          <w:b/>
        </w:rPr>
        <w:t xml:space="preserve">2.6 结算方式和付款条件</w:t>
      </w:r>
      <w:bookmarkEnd w:id="250"/>
      <w:r/>
      <w:bookmarkEnd w:id="251"/>
      <w:r/>
      <w:bookmarkEnd w:id="253"/>
      <w:r/>
      <w:bookmarkEnd w:id="254"/>
      <w:r/>
      <w:bookmarkEnd w:id="255"/>
      <w:r/>
      <w:bookmarkEnd w:id="257"/>
      <w:r/>
      <w:bookmarkEnd w:id="258"/>
      <w:r/>
      <w:bookmarkEnd w:id="259"/>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详见</w:t>
      </w:r>
      <w:r>
        <w:rPr>
          <w:rFonts w:hint="eastAsia" w:ascii="宋体" w:hAnsi="宋体" w:cs="宋体"/>
          <w:b/>
          <w:u w:val="single"/>
        </w:rPr>
        <w:t xml:space="preserve">合同专用条款</w:t>
      </w:r>
      <w:r>
        <w:rPr>
          <w:rFonts w:hint="eastAsia" w:ascii="宋体" w:hAnsi="宋体" w:cs="宋体"/>
        </w:rPr>
        <w:t xml:space="preserve">。</w:t>
      </w:r>
      <w:r>
        <w:rPr>
          <w:rFonts w:ascii="宋体" w:hAnsi="宋体" w:cs="宋体"/>
        </w:rPr>
      </w:r>
      <w:r/>
    </w:p>
    <w:p>
      <w:pPr>
        <w:pStyle w:val="645"/>
        <w:ind w:firstLine="422"/>
        <w:spacing w:line="360" w:lineRule="auto"/>
        <w:rPr>
          <w:rFonts w:ascii="宋体" w:hAnsi="宋体" w:cs="宋体"/>
          <w:b/>
        </w:rPr>
        <w:outlineLvl w:val="1"/>
      </w:pPr>
      <w:r/>
      <w:bookmarkStart w:id="260" w:name="_Ref467379863"/>
      <w:r/>
      <w:bookmarkStart w:id="261" w:name="_Toc279701248"/>
      <w:r/>
      <w:bookmarkStart w:id="262" w:name="_Ref467379852"/>
      <w:r/>
      <w:bookmarkStart w:id="263" w:name="_Toc259093677"/>
      <w:r/>
      <w:bookmarkStart w:id="264" w:name="_Toc487900358"/>
      <w:r/>
      <w:bookmarkStart w:id="265" w:name="_Ref467379923"/>
      <w:r/>
      <w:bookmarkStart w:id="266" w:name="_Toc774"/>
      <w:r/>
      <w:bookmarkStart w:id="267" w:name="_Toc16110"/>
      <w:r/>
      <w:bookmarkStart w:id="268" w:name="_Toc3225"/>
      <w:r>
        <w:rPr>
          <w:rFonts w:hint="eastAsia" w:ascii="宋体" w:hAnsi="宋体" w:cs="宋体"/>
          <w:b/>
        </w:rPr>
        <w:t xml:space="preserve">2.7 技术资料</w:t>
      </w:r>
      <w:bookmarkEnd w:id="260"/>
      <w:r/>
      <w:bookmarkEnd w:id="261"/>
      <w:r/>
      <w:bookmarkEnd w:id="262"/>
      <w:r/>
      <w:bookmarkEnd w:id="263"/>
      <w:r/>
      <w:bookmarkEnd w:id="264"/>
      <w:r/>
      <w:bookmarkEnd w:id="265"/>
      <w:r>
        <w:rPr>
          <w:rFonts w:hint="eastAsia" w:ascii="宋体" w:hAnsi="宋体" w:cs="宋体"/>
          <w:b/>
        </w:rPr>
        <w:t xml:space="preserve">和保密义务</w:t>
      </w:r>
      <w:bookmarkEnd w:id="266"/>
      <w:r/>
      <w:bookmarkEnd w:id="267"/>
      <w:r/>
      <w:bookmarkEnd w:id="268"/>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2.7.1 乙方有权依据合同约定和项目需要,向甲方了解有关情况,调阅有关资料等,甲方应予积极配合;</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2.7.2 乙方有义务妥善保管和保护由甲方提供的前款信息和资料等;</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rPr>
      </w:r>
      <w:r/>
    </w:p>
    <w:p>
      <w:pPr>
        <w:pStyle w:val="645"/>
        <w:ind w:firstLine="422"/>
        <w:spacing w:line="360" w:lineRule="auto"/>
        <w:rPr>
          <w:rFonts w:ascii="宋体" w:hAnsi="宋体" w:cs="宋体"/>
          <w:b/>
        </w:rPr>
        <w:outlineLvl w:val="1"/>
      </w:pPr>
      <w:r/>
      <w:bookmarkStart w:id="269" w:name="_Toc7860"/>
      <w:r>
        <w:rPr>
          <w:rFonts w:hint="eastAsia" w:ascii="宋体" w:hAnsi="宋体" w:cs="宋体"/>
          <w:b/>
        </w:rPr>
        <w:t xml:space="preserve">2.8 质量保证</w:t>
      </w:r>
      <w:bookmarkEnd w:id="269"/>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2.8.1 乙方应建立和完善履行合同的内部质量保证体系,并提供相关内部规章制度给甲方,以便甲方进行监督检查;</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2.8.2 乙方应保证履行合同的人员数量和素质、软件和硬件设备的配置、场地、环境和设施等满足全面履行合同的要求,并应接受甲方的监督检查。</w:t>
      </w:r>
      <w:r>
        <w:rPr>
          <w:rFonts w:ascii="宋体" w:hAnsi="宋体" w:cs="宋体"/>
        </w:rPr>
      </w:r>
      <w:r/>
    </w:p>
    <w:p>
      <w:pPr>
        <w:pStyle w:val="645"/>
        <w:ind w:firstLine="422"/>
        <w:spacing w:line="360" w:lineRule="auto"/>
        <w:rPr>
          <w:rFonts w:ascii="宋体" w:hAnsi="宋体" w:cs="宋体"/>
          <w:b/>
        </w:rPr>
        <w:outlineLvl w:val="1"/>
      </w:pPr>
      <w:r/>
      <w:bookmarkStart w:id="270" w:name="_Toc279701252"/>
      <w:r/>
      <w:bookmarkStart w:id="271" w:name="_Toc259093681"/>
      <w:r/>
      <w:bookmarkStart w:id="272" w:name="_Toc487900362"/>
      <w:r/>
      <w:bookmarkStart w:id="273" w:name="_Toc17244"/>
      <w:r>
        <w:rPr>
          <w:rFonts w:hint="eastAsia" w:ascii="宋体" w:hAnsi="宋体" w:cs="宋体"/>
          <w:b/>
        </w:rPr>
        <w:t xml:space="preserve">2.9 货物的风险负担</w:t>
      </w:r>
      <w:bookmarkEnd w:id="273"/>
      <w:r>
        <w:rPr>
          <w:rFonts w:ascii="宋体" w:hAnsi="宋体" w:cs="宋体"/>
          <w:b/>
        </w:rPr>
      </w:r>
      <w:r/>
    </w:p>
    <w:p>
      <w:pPr>
        <w:pStyle w:val="645"/>
        <w:ind w:firstLine="420"/>
        <w:spacing w:line="360" w:lineRule="auto"/>
        <w:rPr>
          <w:rFonts w:ascii="宋体" w:hAnsi="宋体" w:cs="宋体"/>
          <w:b/>
        </w:rPr>
      </w:pPr>
      <w:r>
        <w:rPr>
          <w:rFonts w:hint="eastAsia" w:ascii="宋体" w:hAnsi="宋体" w:cs="宋体"/>
        </w:rPr>
        <w:t xml:space="preserve">货物或者在途货物或者交付给第一承运人后的货物毁损、灭失的风险负担详见</w:t>
      </w:r>
      <w:r>
        <w:rPr>
          <w:rFonts w:hint="eastAsia" w:ascii="宋体" w:hAnsi="宋体" w:cs="宋体"/>
          <w:b/>
          <w:u w:val="single"/>
        </w:rPr>
        <w:t xml:space="preserve">合同专用条款</w:t>
      </w:r>
      <w:r>
        <w:rPr>
          <w:rFonts w:hint="eastAsia" w:ascii="宋体" w:hAnsi="宋体" w:cs="宋体"/>
        </w:rPr>
        <w:t xml:space="preserve">。</w:t>
      </w:r>
      <w:r>
        <w:rPr>
          <w:rFonts w:ascii="宋体" w:hAnsi="宋体" w:cs="宋体"/>
          <w:b/>
        </w:rPr>
      </w:r>
      <w:r/>
    </w:p>
    <w:p>
      <w:pPr>
        <w:pStyle w:val="645"/>
        <w:ind w:firstLine="422"/>
        <w:spacing w:line="360" w:lineRule="auto"/>
        <w:rPr>
          <w:rFonts w:ascii="宋体" w:hAnsi="宋体" w:cs="宋体"/>
          <w:b/>
        </w:rPr>
        <w:outlineLvl w:val="1"/>
      </w:pPr>
      <w:r/>
      <w:bookmarkStart w:id="274" w:name="_Toc14055"/>
      <w:r>
        <w:rPr>
          <w:rFonts w:hint="eastAsia" w:ascii="宋体" w:hAnsi="宋体" w:cs="宋体"/>
          <w:b/>
        </w:rPr>
        <w:t xml:space="preserve">2.10 延迟交货</w:t>
      </w:r>
      <w:bookmarkEnd w:id="270"/>
      <w:r/>
      <w:bookmarkEnd w:id="271"/>
      <w:r/>
      <w:bookmarkEnd w:id="272"/>
      <w:r/>
      <w:bookmarkEnd w:id="274"/>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rPr>
      </w:r>
      <w:r/>
    </w:p>
    <w:p>
      <w:pPr>
        <w:pStyle w:val="645"/>
        <w:ind w:firstLine="422"/>
        <w:spacing w:line="360" w:lineRule="auto"/>
        <w:rPr>
          <w:rFonts w:ascii="宋体" w:hAnsi="宋体" w:cs="宋体"/>
          <w:b/>
        </w:rPr>
        <w:outlineLvl w:val="1"/>
      </w:pPr>
      <w:r/>
      <w:bookmarkStart w:id="275" w:name="_Toc7502"/>
      <w:r/>
      <w:bookmarkStart w:id="276" w:name="_Ref467378121"/>
      <w:r/>
      <w:bookmarkStart w:id="277" w:name="_Toc487900364"/>
      <w:r/>
      <w:bookmarkStart w:id="278" w:name="_Toc259093683"/>
      <w:r/>
      <w:bookmarkStart w:id="279" w:name="_Toc279701254"/>
      <w:r>
        <w:rPr>
          <w:rFonts w:hint="eastAsia" w:ascii="宋体" w:hAnsi="宋体" w:cs="宋体"/>
          <w:b/>
        </w:rPr>
        <w:t xml:space="preserve">2.11 合同变更</w:t>
      </w:r>
      <w:bookmarkEnd w:id="275"/>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2.11.2 合同继续履行将损害国家利益和社会公共利益的,双方当事人应当以书面形式变更合同。有过错的一方应当承担赔偿责任,双方当事人都有过错的,各自承担相应的责任。</w:t>
      </w:r>
      <w:bookmarkStart w:id="280" w:name="_Toc279701259"/>
      <w:r/>
      <w:bookmarkStart w:id="281" w:name="_Toc259093688"/>
      <w:r/>
      <w:bookmarkStart w:id="282" w:name="_Toc487900369"/>
      <w:r>
        <w:rPr>
          <w:rFonts w:ascii="宋体" w:hAnsi="宋体" w:cs="宋体"/>
        </w:rPr>
      </w:r>
      <w:r/>
    </w:p>
    <w:p>
      <w:pPr>
        <w:pStyle w:val="645"/>
        <w:ind w:firstLine="422"/>
        <w:spacing w:line="360" w:lineRule="auto"/>
        <w:rPr>
          <w:rFonts w:ascii="宋体" w:hAnsi="宋体" w:cs="宋体"/>
          <w:b/>
        </w:rPr>
        <w:outlineLvl w:val="1"/>
      </w:pPr>
      <w:r/>
      <w:bookmarkStart w:id="283" w:name="_Toc15237"/>
      <w:r/>
      <w:bookmarkStart w:id="284" w:name="_Toc10366"/>
      <w:r/>
      <w:bookmarkStart w:id="285" w:name="_Toc22955"/>
      <w:r>
        <w:rPr>
          <w:rFonts w:hint="eastAsia" w:ascii="宋体" w:hAnsi="宋体" w:cs="宋体"/>
          <w:b/>
        </w:rPr>
        <w:t xml:space="preserve">2.12 合同转让</w:t>
      </w:r>
      <w:bookmarkEnd w:id="280"/>
      <w:r/>
      <w:bookmarkEnd w:id="281"/>
      <w:r/>
      <w:bookmarkEnd w:id="282"/>
      <w:r>
        <w:rPr>
          <w:rFonts w:hint="eastAsia" w:ascii="宋体" w:hAnsi="宋体" w:cs="宋体"/>
          <w:b/>
        </w:rPr>
        <w:t xml:space="preserve">和分包</w:t>
      </w:r>
      <w:bookmarkEnd w:id="283"/>
      <w:r/>
      <w:bookmarkEnd w:id="284"/>
      <w:r/>
      <w:bookmarkEnd w:id="285"/>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rPr>
      </w:r>
      <w:r/>
    </w:p>
    <w:p>
      <w:pPr>
        <w:pStyle w:val="645"/>
        <w:ind w:firstLine="422"/>
        <w:spacing w:line="360" w:lineRule="auto"/>
        <w:rPr>
          <w:rFonts w:ascii="宋体" w:hAnsi="宋体" w:cs="宋体"/>
          <w:b/>
        </w:rPr>
        <w:outlineLvl w:val="1"/>
      </w:pPr>
      <w:r/>
      <w:bookmarkStart w:id="286" w:name="_Toc14066"/>
      <w:r/>
      <w:bookmarkStart w:id="287" w:name="_Toc13566"/>
      <w:r/>
      <w:bookmarkStart w:id="288" w:name="_Toc16508"/>
      <w:r>
        <w:rPr>
          <w:rFonts w:hint="eastAsia" w:ascii="宋体" w:hAnsi="宋体" w:cs="宋体"/>
          <w:b/>
        </w:rPr>
        <w:t xml:space="preserve">2.13 不可抗力</w:t>
      </w:r>
      <w:bookmarkEnd w:id="286"/>
      <w:r/>
      <w:bookmarkEnd w:id="287"/>
      <w:r/>
      <w:bookmarkEnd w:id="288"/>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2.13.1如果任何一方遭遇法律规定的不可抗力,致使合同履行受阻时,履行合同的期限应予延长,延长的期限应相当于不可抗力所影响的时间;</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2.13.2 因不可抗力致使不能实现合同目的的,当事人可以解除合同;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2.13.3 因不可抗力致使合同有变更必要的,双方当事人应在</w:t>
      </w:r>
      <w:r>
        <w:rPr>
          <w:rFonts w:hint="eastAsia" w:ascii="宋体" w:hAnsi="宋体" w:cs="宋体"/>
          <w:b/>
          <w:u w:val="single"/>
        </w:rPr>
        <w:t xml:space="preserve">3天内</w:t>
      </w:r>
      <w:r>
        <w:rPr>
          <w:rFonts w:hint="eastAsia" w:ascii="宋体" w:hAnsi="宋体" w:cs="宋体"/>
        </w:rPr>
        <w:t xml:space="preserve">以书面形式变更合同;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2.13.4受不可抗力影响的一方在不可抗力发生后,应在</w:t>
      </w:r>
      <w:r>
        <w:rPr>
          <w:rFonts w:hint="eastAsia" w:ascii="宋体" w:hAnsi="宋体" w:cs="宋体"/>
          <w:b/>
          <w:u w:val="single"/>
        </w:rPr>
        <w:t xml:space="preserve">3天内</w:t>
      </w:r>
      <w:r>
        <w:rPr>
          <w:rFonts w:hint="eastAsia" w:ascii="宋体" w:hAnsi="宋体" w:cs="宋体"/>
        </w:rPr>
        <w:t xml:space="preserve">以书面形式通知对方当事人,并在</w:t>
      </w:r>
      <w:r>
        <w:rPr>
          <w:rFonts w:hint="eastAsia" w:ascii="宋体" w:hAnsi="宋体" w:cs="宋体"/>
          <w:b/>
          <w:u w:val="single"/>
        </w:rPr>
        <w:t xml:space="preserve">5天内</w:t>
      </w:r>
      <w:r>
        <w:rPr>
          <w:rFonts w:hint="eastAsia" w:ascii="宋体" w:hAnsi="宋体" w:cs="宋体"/>
        </w:rPr>
        <w:t xml:space="preserve">,将有关部门出具的证明文件送达对方当事人。</w:t>
      </w:r>
      <w:r>
        <w:rPr>
          <w:rFonts w:ascii="宋体" w:hAnsi="宋体" w:cs="宋体"/>
        </w:rPr>
      </w:r>
      <w:r/>
    </w:p>
    <w:p>
      <w:pPr>
        <w:pStyle w:val="645"/>
        <w:ind w:firstLine="422"/>
        <w:spacing w:line="360" w:lineRule="auto"/>
        <w:rPr>
          <w:rFonts w:ascii="宋体" w:hAnsi="宋体" w:cs="宋体"/>
          <w:b/>
        </w:rPr>
        <w:outlineLvl w:val="1"/>
      </w:pPr>
      <w:r/>
      <w:bookmarkStart w:id="289" w:name="_Toc30676"/>
      <w:r/>
      <w:bookmarkStart w:id="290" w:name="_Toc487900365"/>
      <w:r/>
      <w:bookmarkStart w:id="291" w:name="_Toc6969"/>
      <w:r/>
      <w:bookmarkStart w:id="292" w:name="_Toc259093684"/>
      <w:r/>
      <w:bookmarkStart w:id="293" w:name="_Toc279701255"/>
      <w:r/>
      <w:bookmarkStart w:id="294" w:name="_Toc689"/>
      <w:r>
        <w:rPr>
          <w:rFonts w:hint="eastAsia" w:ascii="宋体" w:hAnsi="宋体" w:cs="宋体"/>
          <w:b/>
        </w:rPr>
        <w:t xml:space="preserve">2.14 税费</w:t>
      </w:r>
      <w:bookmarkEnd w:id="289"/>
      <w:r/>
      <w:bookmarkEnd w:id="290"/>
      <w:r/>
      <w:bookmarkEnd w:id="291"/>
      <w:r/>
      <w:bookmarkEnd w:id="292"/>
      <w:r/>
      <w:bookmarkEnd w:id="293"/>
      <w:r/>
      <w:bookmarkEnd w:id="294"/>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与合同有关的一切税费,均按照中华人民共和国法律的相关规定。</w:t>
      </w:r>
      <w:r>
        <w:rPr>
          <w:rFonts w:ascii="宋体" w:hAnsi="宋体" w:cs="宋体"/>
        </w:rPr>
      </w:r>
      <w:r/>
    </w:p>
    <w:p>
      <w:pPr>
        <w:pStyle w:val="645"/>
        <w:ind w:firstLine="422"/>
        <w:spacing w:line="360" w:lineRule="auto"/>
        <w:rPr>
          <w:rFonts w:ascii="宋体" w:hAnsi="宋体" w:cs="宋体"/>
          <w:b/>
        </w:rPr>
        <w:outlineLvl w:val="1"/>
      </w:pPr>
      <w:r/>
      <w:bookmarkStart w:id="295" w:name="_Toc16959"/>
      <w:r/>
      <w:bookmarkStart w:id="296" w:name="_Toc259093687"/>
      <w:r/>
      <w:bookmarkStart w:id="297" w:name="_Toc8298"/>
      <w:r/>
      <w:bookmarkStart w:id="298" w:name="_Toc7102"/>
      <w:r/>
      <w:bookmarkStart w:id="299" w:name="_Toc279701258"/>
      <w:r/>
      <w:bookmarkStart w:id="300" w:name="_Toc487900368"/>
      <w:r>
        <w:rPr>
          <w:rFonts w:hint="eastAsia" w:ascii="宋体" w:hAnsi="宋体" w:cs="宋体"/>
          <w:b/>
        </w:rPr>
        <w:t xml:space="preserve">2.15 乙方破产</w:t>
      </w:r>
      <w:bookmarkEnd w:id="295"/>
      <w:r/>
      <w:bookmarkEnd w:id="296"/>
      <w:r/>
      <w:bookmarkEnd w:id="297"/>
      <w:r/>
      <w:bookmarkEnd w:id="298"/>
      <w:r/>
      <w:bookmarkEnd w:id="299"/>
      <w:r/>
      <w:bookmarkEnd w:id="300"/>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rPr>
      </w:r>
      <w:r/>
    </w:p>
    <w:p>
      <w:pPr>
        <w:pStyle w:val="645"/>
        <w:ind w:firstLine="422"/>
        <w:spacing w:line="360" w:lineRule="auto"/>
        <w:rPr>
          <w:rFonts w:ascii="宋体" w:hAnsi="宋体" w:cs="宋体"/>
          <w:b/>
        </w:rPr>
        <w:outlineLvl w:val="1"/>
      </w:pPr>
      <w:r/>
      <w:bookmarkStart w:id="301" w:name="_Toc29333"/>
      <w:r/>
      <w:bookmarkStart w:id="302" w:name="_Toc15387"/>
      <w:r/>
      <w:bookmarkStart w:id="303" w:name="_Toc6134"/>
      <w:r>
        <w:rPr>
          <w:rFonts w:hint="eastAsia" w:ascii="宋体" w:hAnsi="宋体" w:cs="宋体"/>
          <w:b/>
        </w:rPr>
        <w:t xml:space="preserve">2.16 合同中止、终止</w:t>
      </w:r>
      <w:bookmarkEnd w:id="301"/>
      <w:r/>
      <w:bookmarkEnd w:id="302"/>
      <w:r/>
      <w:bookmarkEnd w:id="303"/>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2.16.1 双方当事人不得擅自中止或者终止合同;</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rPr>
      </w:r>
      <w:r/>
    </w:p>
    <w:p>
      <w:pPr>
        <w:pStyle w:val="645"/>
        <w:ind w:firstLine="422"/>
        <w:spacing w:line="360" w:lineRule="auto"/>
        <w:rPr>
          <w:rFonts w:ascii="宋体" w:hAnsi="宋体" w:cs="宋体"/>
          <w:b/>
        </w:rPr>
        <w:outlineLvl w:val="1"/>
      </w:pPr>
      <w:r/>
      <w:bookmarkStart w:id="304" w:name="_Toc1125"/>
      <w:r/>
      <w:bookmarkStart w:id="305" w:name="_Toc6596"/>
      <w:r/>
      <w:bookmarkStart w:id="306" w:name="_Toc14563"/>
      <w:r>
        <w:rPr>
          <w:rFonts w:hint="eastAsia" w:ascii="宋体" w:hAnsi="宋体" w:cs="宋体"/>
          <w:b/>
        </w:rPr>
        <w:t xml:space="preserve">2.17 检验和验收</w:t>
      </w:r>
      <w:bookmarkEnd w:id="304"/>
      <w:r/>
      <w:bookmarkEnd w:id="305"/>
      <w:r/>
      <w:bookmarkEnd w:id="306"/>
      <w:r>
        <w:rPr>
          <w:rFonts w:ascii="宋体" w:hAnsi="宋体" w:cs="宋体"/>
          <w:b/>
        </w:rPr>
      </w:r>
      <w:r/>
    </w:p>
    <w:p>
      <w:pPr>
        <w:pStyle w:val="645"/>
        <w:ind w:firstLine="420"/>
        <w:spacing w:line="360" w:lineRule="auto"/>
        <w:tabs>
          <w:tab w:val="left" w:pos="360" w:leader="none"/>
          <w:tab w:val="left" w:pos="540" w:leader="none"/>
          <w:tab w:val="left" w:pos="1080" w:leader="none"/>
        </w:tabs>
        <w:rPr>
          <w:rFonts w:ascii="宋体" w:hAnsi="宋体" w:cs="宋体"/>
        </w:rPr>
      </w:pPr>
      <w:r>
        <w:rPr>
          <w:rFonts w:hint="eastAsia" w:ascii="宋体" w:hAnsi="宋体" w:cs="宋体"/>
        </w:rPr>
        <w:t xml:space="preserve">2.17.1货物交付前,乙方应对货物的质量、数量等方面进行详细、全面的检验,并向甲方出具证明货物符合合同约定的文件;货物交付时,甲方在</w:t>
      </w:r>
      <w:r>
        <w:rPr>
          <w:rFonts w:hint="eastAsia" w:ascii="宋体" w:hAnsi="宋体" w:cs="宋体"/>
          <w:b/>
          <w:u w:val="single"/>
        </w:rPr>
        <w:t xml:space="preserve">3天内</w:t>
      </w:r>
      <w:r>
        <w:rPr>
          <w:rFonts w:hint="eastAsia" w:ascii="宋体" w:hAnsi="宋体" w:cs="宋体"/>
        </w:rPr>
        <w:t xml:space="preserve">组织验收,并可依法邀请相关方参加,验收应出具验收书。</w:t>
      </w:r>
      <w:r>
        <w:rPr>
          <w:rFonts w:ascii="宋体" w:hAnsi="宋体" w:cs="宋体"/>
        </w:rPr>
      </w:r>
      <w:r/>
    </w:p>
    <w:p>
      <w:pPr>
        <w:pStyle w:val="645"/>
        <w:ind w:firstLine="420"/>
        <w:spacing w:line="360" w:lineRule="auto"/>
        <w:tabs>
          <w:tab w:val="left" w:pos="360" w:leader="none"/>
          <w:tab w:val="left" w:pos="540" w:leader="none"/>
          <w:tab w:val="left" w:pos="1080" w:leader="none"/>
        </w:tabs>
        <w:rPr>
          <w:rFonts w:ascii="宋体" w:hAnsi="宋体" w:cs="宋体"/>
        </w:rPr>
      </w:pPr>
      <w:r>
        <w:rPr>
          <w:rFonts w:hint="eastAsia" w:ascii="宋体" w:hAnsi="宋体" w:cs="宋体"/>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rPr>
      </w:r>
      <w:r/>
    </w:p>
    <w:p>
      <w:pPr>
        <w:pStyle w:val="645"/>
        <w:ind w:firstLine="420"/>
        <w:spacing w:line="360" w:lineRule="auto"/>
        <w:tabs>
          <w:tab w:val="left" w:pos="360" w:leader="none"/>
          <w:tab w:val="left" w:pos="540" w:leader="none"/>
          <w:tab w:val="left" w:pos="1080" w:leader="none"/>
        </w:tabs>
        <w:rPr>
          <w:rFonts w:ascii="宋体" w:hAnsi="宋体" w:cs="宋体"/>
        </w:rPr>
      </w:pPr>
      <w:r>
        <w:rPr>
          <w:rFonts w:hint="eastAsia" w:ascii="宋体" w:hAnsi="宋体" w:cs="宋体"/>
        </w:rPr>
        <w:t xml:space="preserve">2.17.3 检验和验收标准、程序等具体内容以及前述验收书的效力作为最终验收的组成部分。</w:t>
      </w:r>
      <w:r>
        <w:rPr>
          <w:rFonts w:ascii="宋体" w:hAnsi="宋体" w:cs="宋体"/>
        </w:rPr>
      </w:r>
      <w:r/>
    </w:p>
    <w:p>
      <w:pPr>
        <w:pStyle w:val="645"/>
        <w:ind w:firstLine="422"/>
        <w:spacing w:line="360" w:lineRule="auto"/>
        <w:rPr>
          <w:rFonts w:ascii="宋体" w:hAnsi="宋体" w:cs="宋体"/>
          <w:b/>
        </w:rPr>
        <w:outlineLvl w:val="1"/>
      </w:pPr>
      <w:r/>
      <w:bookmarkEnd w:id="276"/>
      <w:r/>
      <w:bookmarkEnd w:id="277"/>
      <w:r/>
      <w:bookmarkEnd w:id="278"/>
      <w:r/>
      <w:bookmarkEnd w:id="279"/>
      <w:r/>
      <w:bookmarkStart w:id="307" w:name="_Toc259093690"/>
      <w:r/>
      <w:bookmarkStart w:id="308" w:name="_Toc487900371"/>
      <w:r/>
      <w:bookmarkStart w:id="309" w:name="_Toc279701261"/>
      <w:r/>
      <w:bookmarkStart w:id="310" w:name="_Toc19604"/>
      <w:r/>
      <w:bookmarkStart w:id="311" w:name="_Toc11284"/>
      <w:r/>
      <w:bookmarkStart w:id="312" w:name="_Toc25182"/>
      <w:r>
        <w:rPr>
          <w:rFonts w:hint="eastAsia" w:ascii="宋体" w:hAnsi="宋体" w:cs="宋体"/>
          <w:b/>
        </w:rPr>
        <w:t xml:space="preserve">2.18 通知</w:t>
      </w:r>
      <w:bookmarkEnd w:id="307"/>
      <w:r/>
      <w:bookmarkEnd w:id="308"/>
      <w:r/>
      <w:bookmarkEnd w:id="309"/>
      <w:r>
        <w:rPr>
          <w:rFonts w:hint="eastAsia" w:ascii="宋体" w:hAnsi="宋体" w:cs="宋体"/>
          <w:b/>
        </w:rPr>
        <w:t xml:space="preserve">和送达</w:t>
      </w:r>
      <w:bookmarkEnd w:id="310"/>
      <w:r/>
      <w:bookmarkEnd w:id="311"/>
      <w:r/>
      <w:bookmarkEnd w:id="312"/>
      <w:r>
        <w:rPr>
          <w:rFonts w:ascii="宋体" w:hAnsi="宋体" w:cs="宋体"/>
          <w:b/>
        </w:rPr>
      </w:r>
      <w:r/>
    </w:p>
    <w:p>
      <w:pPr>
        <w:pStyle w:val="645"/>
        <w:ind w:firstLine="420"/>
        <w:spacing w:line="360" w:lineRule="auto"/>
        <w:rPr>
          <w:rFonts w:ascii="宋体" w:hAnsi="宋体" w:cs="宋体"/>
        </w:rPr>
      </w:pPr>
      <w:r/>
      <w:bookmarkStart w:id="313" w:name="_Toc6698"/>
      <w:r/>
      <w:bookmarkStart w:id="314" w:name="_Toc3135"/>
      <w:r/>
      <w:bookmarkStart w:id="315" w:name="_Toc259093691"/>
      <w:r/>
      <w:bookmarkStart w:id="316" w:name="_Toc279701262"/>
      <w:r/>
      <w:bookmarkStart w:id="317" w:name="_Toc487900372"/>
      <w:r>
        <w:rPr>
          <w:rFonts w:hint="eastAsia" w:ascii="宋体" w:hAnsi="宋体" w:cs="宋体"/>
        </w:rPr>
        <w:t xml:space="preserve">2.18.1 任何一方因履行合同而以合同第一部分尾部所列明的</w:t>
      </w:r>
      <w:r>
        <w:rPr>
          <w:rFonts w:hint="eastAsia" w:ascii="宋体" w:hAnsi="宋体" w:cs="宋体"/>
          <w:b/>
          <w:u w:val="single"/>
        </w:rPr>
        <w:t xml:space="preserve">地址</w:t>
      </w:r>
      <w:r>
        <w:rPr>
          <w:rFonts w:hint="eastAsia" w:ascii="宋体" w:hAnsi="宋体" w:cs="宋体"/>
        </w:rPr>
        <w:t xml:space="preserve">发出的所有通知、文件、材料,均视为已向对方当事人送达;任何一方变更上述送达方式或者地址的,应于</w:t>
      </w:r>
      <w:r>
        <w:rPr>
          <w:rFonts w:hint="eastAsia" w:ascii="宋体" w:hAnsi="宋体" w:cs="宋体"/>
          <w:u w:val="single"/>
        </w:rPr>
        <w:t xml:space="preserve"> 3 </w:t>
      </w:r>
      <w:r>
        <w:rPr>
          <w:rFonts w:hint="eastAsia" w:ascii="宋体" w:hAnsi="宋体" w:cs="宋体"/>
        </w:rPr>
        <w:t xml:space="preserve">个工作日内书面通知对方当事人,在对方当事人收到有关变更通知之前,变更前的约定送达方式或者地址仍视为有效。</w:t>
      </w:r>
      <w:bookmarkEnd w:id="313"/>
      <w:r/>
      <w:bookmarkEnd w:id="314"/>
      <w:r>
        <w:rPr>
          <w:rFonts w:ascii="宋体" w:hAnsi="宋体" w:cs="宋体"/>
        </w:rPr>
      </w:r>
      <w:r/>
    </w:p>
    <w:p>
      <w:pPr>
        <w:pStyle w:val="645"/>
        <w:ind w:firstLine="420"/>
        <w:spacing w:line="360" w:lineRule="auto"/>
        <w:rPr>
          <w:rFonts w:ascii="宋体" w:hAnsi="宋体" w:cs="宋体"/>
        </w:rPr>
      </w:pPr>
      <w:r/>
      <w:bookmarkStart w:id="318" w:name="_Toc23128"/>
      <w:r/>
      <w:bookmarkStart w:id="319" w:name="_Toc23294"/>
      <w:r>
        <w:rPr>
          <w:rFonts w:hint="eastAsia" w:ascii="宋体" w:hAnsi="宋体" w:cs="宋体"/>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8"/>
      <w:r/>
      <w:bookmarkEnd w:id="319"/>
      <w:r>
        <w:rPr>
          <w:rFonts w:ascii="宋体" w:hAnsi="宋体" w:cs="宋体"/>
        </w:rPr>
      </w:r>
      <w:r/>
    </w:p>
    <w:p>
      <w:pPr>
        <w:pStyle w:val="645"/>
        <w:ind w:firstLine="422"/>
        <w:spacing w:line="360" w:lineRule="auto"/>
        <w:rPr>
          <w:rFonts w:ascii="宋体" w:hAnsi="宋体" w:cs="宋体"/>
          <w:b/>
        </w:rPr>
        <w:outlineLvl w:val="1"/>
      </w:pPr>
      <w:r/>
      <w:bookmarkStart w:id="320" w:name="_Toc30599"/>
      <w:r/>
      <w:bookmarkStart w:id="321" w:name="_Toc18540"/>
      <w:r/>
      <w:bookmarkStart w:id="322" w:name="_Toc4355"/>
      <w:r>
        <w:rPr>
          <w:rFonts w:hint="eastAsia" w:ascii="宋体" w:hAnsi="宋体" w:cs="宋体"/>
          <w:b/>
        </w:rPr>
        <w:t xml:space="preserve">2.19 计量单位</w:t>
      </w:r>
      <w:bookmarkEnd w:id="315"/>
      <w:r/>
      <w:bookmarkEnd w:id="316"/>
      <w:r/>
      <w:bookmarkEnd w:id="317"/>
      <w:r/>
      <w:bookmarkEnd w:id="320"/>
      <w:r/>
      <w:bookmarkEnd w:id="321"/>
      <w:r/>
      <w:bookmarkEnd w:id="322"/>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除技术规范中另有规定外,合同的计量单位均使用国家法定计量单位。</w:t>
      </w:r>
      <w:r>
        <w:rPr>
          <w:rFonts w:ascii="宋体" w:hAnsi="宋体" w:cs="宋体"/>
        </w:rPr>
      </w:r>
      <w:r/>
    </w:p>
    <w:p>
      <w:pPr>
        <w:pStyle w:val="645"/>
        <w:ind w:firstLine="422"/>
        <w:spacing w:line="360" w:lineRule="auto"/>
        <w:rPr>
          <w:rFonts w:ascii="宋体" w:hAnsi="宋体" w:cs="宋体"/>
          <w:b/>
        </w:rPr>
        <w:outlineLvl w:val="1"/>
      </w:pPr>
      <w:r/>
      <w:bookmarkStart w:id="323" w:name="_Toc18567"/>
      <w:r/>
      <w:bookmarkStart w:id="324" w:name="_Toc487900373"/>
      <w:r/>
      <w:bookmarkStart w:id="325" w:name="_Toc12773"/>
      <w:r/>
      <w:bookmarkStart w:id="326" w:name="_Toc10330"/>
      <w:r/>
      <w:bookmarkStart w:id="327" w:name="_Toc259093692"/>
      <w:r/>
      <w:bookmarkStart w:id="328" w:name="_Toc279701263"/>
      <w:r>
        <w:rPr>
          <w:rFonts w:hint="eastAsia" w:ascii="宋体" w:hAnsi="宋体" w:cs="宋体"/>
          <w:b/>
        </w:rPr>
        <w:t xml:space="preserve">2.20 合同使用的文字和适用的法律</w:t>
      </w:r>
      <w:bookmarkEnd w:id="323"/>
      <w:r/>
      <w:bookmarkEnd w:id="324"/>
      <w:r/>
      <w:bookmarkEnd w:id="325"/>
      <w:r/>
      <w:bookmarkEnd w:id="326"/>
      <w:r/>
      <w:bookmarkEnd w:id="327"/>
      <w:r/>
      <w:bookmarkEnd w:id="328"/>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2.20.1 合同使用汉语书就、变更和解释;</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2.20.2 合同适用中华人民共和国法律。</w:t>
      </w:r>
      <w:r>
        <w:rPr>
          <w:rFonts w:ascii="宋体" w:hAnsi="宋体" w:cs="宋体"/>
        </w:rPr>
      </w:r>
      <w:r/>
    </w:p>
    <w:p>
      <w:pPr>
        <w:pStyle w:val="645"/>
        <w:ind w:firstLine="422"/>
        <w:spacing w:line="360" w:lineRule="auto"/>
        <w:rPr>
          <w:rFonts w:ascii="宋体" w:hAnsi="宋体" w:cs="宋体"/>
          <w:b/>
        </w:rPr>
        <w:outlineLvl w:val="1"/>
      </w:pPr>
      <w:r/>
      <w:bookmarkStart w:id="329" w:name="_Toc3148"/>
      <w:r/>
      <w:bookmarkStart w:id="330" w:name="_Toc259093693"/>
      <w:r/>
      <w:bookmarkStart w:id="331" w:name="_Toc12004"/>
      <w:r/>
      <w:bookmarkStart w:id="332" w:name="_Toc16673"/>
      <w:r/>
      <w:bookmarkStart w:id="333" w:name="_Toc487900374"/>
      <w:r/>
      <w:bookmarkStart w:id="334" w:name="_Toc279701264"/>
      <w:r>
        <w:rPr>
          <w:rFonts w:hint="eastAsia" w:ascii="宋体" w:hAnsi="宋体" w:cs="宋体"/>
          <w:b/>
        </w:rPr>
        <w:t xml:space="preserve">2.21 履约保证金</w:t>
      </w:r>
      <w:bookmarkEnd w:id="329"/>
      <w:r/>
      <w:bookmarkEnd w:id="330"/>
      <w:r/>
      <w:bookmarkEnd w:id="331"/>
      <w:r/>
      <w:bookmarkEnd w:id="332"/>
      <w:r/>
      <w:bookmarkEnd w:id="334"/>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2.21.1 采购文件要求乙方提交履约保证金的,乙方应按</w:t>
      </w:r>
      <w:r>
        <w:rPr>
          <w:rFonts w:hint="eastAsia" w:ascii="宋体" w:hAnsi="宋体" w:cs="宋体"/>
          <w:b/>
          <w:u w:val="single"/>
        </w:rPr>
        <w:t xml:space="preserve">合同专用条款</w:t>
      </w:r>
      <w:r>
        <w:rPr>
          <w:rFonts w:hint="eastAsia" w:ascii="宋体" w:hAnsi="宋体" w:cs="宋体"/>
        </w:rPr>
        <w:t xml:space="preserve">约定的方式,以支票、汇票、本票或者金融机构、担保机构出具的保函等非现金形式,提交合同价的10%作为履约保证金;</w:t>
      </w:r>
      <w:r>
        <w:rPr>
          <w:rFonts w:ascii="宋体" w:hAnsi="宋体" w:cs="宋体"/>
        </w:rPr>
      </w:r>
      <w:r/>
    </w:p>
    <w:p>
      <w:pPr>
        <w:pStyle w:val="645"/>
        <w:ind w:firstLine="420"/>
        <w:spacing w:line="360" w:lineRule="auto"/>
        <w:rPr>
          <w:rFonts w:ascii="宋体" w:hAnsi="宋体" w:cs="宋体"/>
        </w:rPr>
      </w:pPr>
      <w:r>
        <w:rPr>
          <w:rFonts w:hint="eastAsia" w:ascii="宋体" w:hAnsi="宋体" w:cs="宋体"/>
        </w:rPr>
        <w:t xml:space="preserve">2.21.</w:t>
      </w:r>
      <w:r>
        <w:rPr>
          <w:rFonts w:ascii="宋体" w:hAnsi="宋体" w:cs="宋体"/>
        </w:rPr>
        <w:t xml:space="preserve">2</w:t>
      </w:r>
      <w:r>
        <w:rPr>
          <w:rFonts w:hint="eastAsia" w:ascii="宋体" w:hAnsi="宋体" w:cs="宋体"/>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rPr>
      </w:r>
      <w:r/>
    </w:p>
    <w:p>
      <w:pPr>
        <w:pStyle w:val="645"/>
        <w:ind w:firstLine="422"/>
        <w:spacing w:line="360" w:lineRule="auto"/>
        <w:rPr>
          <w:rFonts w:ascii="宋体" w:hAnsi="宋体" w:cs="宋体"/>
          <w:b/>
        </w:rPr>
        <w:outlineLvl w:val="1"/>
      </w:pPr>
      <w:r/>
      <w:bookmarkEnd w:id="333"/>
      <w:r/>
      <w:bookmarkStart w:id="335" w:name="_Toc6885"/>
      <w:r/>
      <w:bookmarkStart w:id="336" w:name="_Toc14001"/>
      <w:r/>
      <w:bookmarkStart w:id="337" w:name="_Toc19890"/>
      <w:r>
        <w:rPr>
          <w:rFonts w:hint="eastAsia" w:ascii="宋体" w:hAnsi="宋体" w:cs="宋体"/>
          <w:b/>
        </w:rPr>
        <w:t xml:space="preserve">2.22 合同份数</w:t>
      </w:r>
      <w:bookmarkEnd w:id="335"/>
      <w:r/>
      <w:bookmarkEnd w:id="336"/>
      <w:r/>
      <w:bookmarkEnd w:id="337"/>
      <w:r>
        <w:rPr>
          <w:rFonts w:ascii="宋体" w:hAnsi="宋体" w:cs="宋体"/>
          <w:b/>
        </w:rPr>
      </w:r>
      <w:r/>
    </w:p>
    <w:p>
      <w:pPr>
        <w:pStyle w:val="645"/>
        <w:ind w:firstLine="420"/>
        <w:spacing w:line="360" w:lineRule="auto"/>
        <w:rPr>
          <w:rFonts w:ascii="宋体" w:hAnsi="宋体" w:cs="宋体"/>
        </w:rPr>
      </w:pPr>
      <w:r>
        <w:rPr>
          <w:rFonts w:hint="eastAsia" w:ascii="宋体" w:hAnsi="宋体" w:cs="宋体"/>
        </w:rPr>
        <w:t xml:space="preserve">合同份数按</w:t>
      </w:r>
      <w:r>
        <w:rPr>
          <w:rFonts w:hint="eastAsia" w:ascii="宋体" w:hAnsi="宋体" w:cs="宋体"/>
          <w:b/>
          <w:u w:val="single"/>
        </w:rPr>
        <w:t xml:space="preserve">合同专用条款</w:t>
      </w:r>
      <w:r>
        <w:rPr>
          <w:rFonts w:hint="eastAsia" w:ascii="宋体" w:hAnsi="宋体" w:cs="宋体"/>
        </w:rPr>
        <w:t xml:space="preserve">规定,每份均具有同等法律效力。</w:t>
      </w:r>
      <w:r>
        <w:rPr>
          <w:rFonts w:ascii="宋体" w:hAnsi="宋体" w:cs="宋体"/>
        </w:rPr>
      </w:r>
      <w:r/>
    </w:p>
    <w:p>
      <w:pPr>
        <w:pStyle w:val="728"/>
        <w:ind w:firstLine="0"/>
        <w:jc w:val="center"/>
        <w:spacing w:line="360" w:lineRule="auto"/>
        <w:rPr>
          <w:rFonts w:hAnsi="宋体" w:cs="宋体"/>
          <w:b/>
          <w:sz w:val="28"/>
          <w:szCs w:val="28"/>
        </w:rPr>
        <w:outlineLvl w:val="0"/>
      </w:pPr>
      <w:r>
        <w:rPr>
          <w:rFonts w:hint="eastAsia" w:hAnsi="宋体" w:cs="宋体"/>
          <w:szCs w:val="24"/>
        </w:rPr>
        <w:br w:type="page" w:clear="all"/>
      </w:r>
      <w:bookmarkStart w:id="338" w:name="_Toc331685784"/>
      <w:r>
        <w:rPr>
          <w:rFonts w:hint="eastAsia" w:hAnsi="宋体" w:cs="宋体"/>
          <w:b/>
          <w:sz w:val="28"/>
          <w:szCs w:val="28"/>
        </w:rPr>
        <w:t xml:space="preserve">第三部分合同专用条款</w:t>
      </w:r>
      <w:bookmarkEnd w:id="338"/>
      <w:r>
        <w:rPr>
          <w:rFonts w:hAnsi="宋体" w:cs="宋体"/>
          <w:b/>
          <w:sz w:val="28"/>
          <w:szCs w:val="28"/>
        </w:rPr>
      </w:r>
      <w:r/>
    </w:p>
    <w:p>
      <w:pPr>
        <w:pStyle w:val="645"/>
        <w:ind w:firstLine="420"/>
        <w:spacing w:line="360" w:lineRule="auto"/>
        <w:rPr>
          <w:rFonts w:ascii="宋体" w:hAnsi="宋体" w:cs="宋体"/>
        </w:rPr>
      </w:pPr>
      <w:r>
        <w:rPr>
          <w:rFonts w:hint="eastAsia" w:ascii="宋体" w:hAnsi="宋体" w:cs="宋体"/>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宋体" w:hAnsi="宋体" w:cs="宋体"/>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227"/>
      </w:tblGrid>
      <w:tr>
        <w:trPr>
          <w:trHeight w:val="391"/>
        </w:trPr>
        <w:tc>
          <w:tcPr>
            <w:tcW w:w="801" w:type="dxa"/>
            <w:vAlign w:val="center"/>
            <w:textDirection w:val="lrTb"/>
            <w:noWrap w:val="false"/>
          </w:tcPr>
          <w:p>
            <w:pPr>
              <w:pStyle w:val="645"/>
              <w:jc w:val="center"/>
              <w:spacing w:line="360" w:lineRule="auto"/>
              <w:rPr>
                <w:rFonts w:ascii="宋体" w:hAnsi="宋体" w:cs="宋体"/>
                <w:b/>
              </w:rPr>
            </w:pPr>
            <w:r>
              <w:rPr>
                <w:rFonts w:hint="eastAsia" w:ascii="宋体" w:hAnsi="宋体" w:cs="宋体"/>
                <w:b/>
              </w:rPr>
              <w:t xml:space="preserve">条款号</w:t>
            </w:r>
            <w:r>
              <w:rPr>
                <w:rFonts w:ascii="宋体" w:hAnsi="宋体" w:cs="宋体"/>
                <w:b/>
              </w:rPr>
            </w:r>
            <w:r/>
          </w:p>
        </w:tc>
        <w:tc>
          <w:tcPr>
            <w:tcW w:w="8227" w:type="dxa"/>
            <w:vAlign w:val="center"/>
            <w:textDirection w:val="lrTb"/>
            <w:noWrap w:val="false"/>
          </w:tcPr>
          <w:p>
            <w:pPr>
              <w:pStyle w:val="645"/>
              <w:jc w:val="center"/>
              <w:spacing w:line="360" w:lineRule="auto"/>
              <w:rPr>
                <w:rFonts w:ascii="宋体" w:hAnsi="宋体" w:cs="宋体"/>
                <w:b/>
              </w:rPr>
            </w:pPr>
            <w:r>
              <w:rPr>
                <w:rFonts w:hint="eastAsia" w:ascii="宋体" w:hAnsi="宋体" w:cs="宋体"/>
                <w:b/>
              </w:rPr>
              <w:t xml:space="preserve">约定内容</w:t>
            </w:r>
            <w:r>
              <w:rPr>
                <w:rFonts w:ascii="宋体" w:hAnsi="宋体" w:cs="宋体"/>
                <w:b/>
              </w:rPr>
            </w:r>
            <w:r/>
          </w:p>
        </w:tc>
      </w:tr>
      <w:tr>
        <w:trPr>
          <w:trHeight w:val="88"/>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3.1</w:t>
            </w:r>
            <w:r>
              <w:rPr>
                <w:rFonts w:ascii="宋体" w:hAnsi="宋体" w:cs="宋体"/>
              </w:rPr>
            </w:r>
            <w:r/>
          </w:p>
        </w:tc>
        <w:tc>
          <w:tcPr>
            <w:tcW w:w="8227" w:type="dxa"/>
            <w:vAlign w:val="center"/>
            <w:textDirection w:val="lrTb"/>
            <w:noWrap w:val="false"/>
          </w:tcPr>
          <w:p>
            <w:pPr>
              <w:pStyle w:val="645"/>
              <w:spacing w:line="360" w:lineRule="auto"/>
              <w:rPr>
                <w:rFonts w:ascii="宋体" w:hAnsi="宋体" w:cs="宋体"/>
              </w:rPr>
            </w:pPr>
            <w:r>
              <w:rPr>
                <w:rFonts w:hint="eastAsia" w:ascii="宋体" w:hAnsi="宋体" w:cs="宋体"/>
              </w:rPr>
              <w:t xml:space="preserve">本项目履约保证金为合同价10%。</w:t>
            </w:r>
            <w:r>
              <w:rPr>
                <w:rFonts w:ascii="宋体" w:hAnsi="宋体" w:cs="宋体"/>
              </w:rPr>
            </w:r>
            <w:r/>
          </w:p>
        </w:tc>
      </w:tr>
      <w:tr>
        <w:trPr>
          <w:trHeight w:val="352"/>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3.2</w:t>
            </w:r>
            <w:r>
              <w:rPr>
                <w:rFonts w:ascii="宋体" w:hAnsi="宋体" w:cs="宋体"/>
              </w:rPr>
            </w:r>
            <w:r/>
          </w:p>
        </w:tc>
        <w:tc>
          <w:tcPr>
            <w:tcW w:w="8227" w:type="dxa"/>
            <w:vAlign w:val="center"/>
            <w:textDirection w:val="lrTb"/>
            <w:noWrap w:val="false"/>
          </w:tcPr>
          <w:p>
            <w:pPr>
              <w:pStyle w:val="645"/>
              <w:spacing w:line="360" w:lineRule="auto"/>
              <w:rPr>
                <w:rFonts w:ascii="宋体" w:hAnsi="宋体" w:cs="宋体"/>
              </w:rPr>
            </w:pPr>
            <w:r>
              <w:rPr>
                <w:rFonts w:hint="eastAsia" w:ascii="宋体" w:hAnsi="宋体" w:cs="宋体"/>
              </w:rPr>
              <w:t xml:space="preserve">本合同一式陆份,具有同等法律效力。甲方执肆份、乙方执壹份、通州区公共资源交易中心备案壹份。</w:t>
            </w:r>
            <w:r>
              <w:rPr>
                <w:rFonts w:ascii="宋体" w:hAnsi="宋体" w:cs="宋体"/>
              </w:rPr>
            </w:r>
            <w:r/>
          </w:p>
        </w:tc>
      </w:tr>
      <w:tr>
        <w:trPr>
          <w:trHeight w:val="352"/>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3.3</w:t>
            </w:r>
            <w:r>
              <w:rPr>
                <w:rFonts w:ascii="宋体" w:hAnsi="宋体" w:cs="宋体"/>
              </w:rPr>
            </w:r>
            <w:r/>
          </w:p>
        </w:tc>
        <w:tc>
          <w:tcPr>
            <w:tcW w:w="8227" w:type="dxa"/>
            <w:vAlign w:val="top"/>
            <w:textDirection w:val="lrTb"/>
            <w:noWrap w:val="false"/>
          </w:tcPr>
          <w:p>
            <w:pPr>
              <w:pStyle w:val="645"/>
              <w:spacing w:line="360" w:lineRule="auto"/>
              <w:rPr>
                <w:rFonts w:ascii="宋体" w:hAnsi="宋体" w:cs="宋体"/>
              </w:rPr>
            </w:pPr>
            <w:r>
              <w:rPr>
                <w:rFonts w:hint="eastAsia" w:ascii="宋体" w:hAnsi="宋体" w:cs="宋体"/>
              </w:rPr>
              <w:t xml:space="preserve">本合同执行中相关的一切税费均由乙方负担。</w:t>
            </w:r>
            <w:r>
              <w:rPr>
                <w:rFonts w:ascii="宋体" w:hAnsi="宋体" w:cs="宋体"/>
              </w:rPr>
            </w:r>
            <w:r/>
          </w:p>
        </w:tc>
      </w:tr>
      <w:tr>
        <w:trPr>
          <w:trHeight w:val="352"/>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3.4</w:t>
            </w:r>
            <w:r>
              <w:rPr>
                <w:rFonts w:ascii="宋体" w:hAnsi="宋体" w:cs="宋体"/>
              </w:rPr>
            </w:r>
            <w:r/>
          </w:p>
        </w:tc>
        <w:tc>
          <w:tcPr>
            <w:tcW w:w="8227" w:type="dxa"/>
            <w:vAlign w:val="top"/>
            <w:textDirection w:val="lrTb"/>
            <w:noWrap w:val="false"/>
          </w:tcPr>
          <w:p>
            <w:pPr>
              <w:pStyle w:val="645"/>
              <w:spacing w:line="360" w:lineRule="auto"/>
              <w:rPr>
                <w:rFonts w:ascii="宋体" w:hAnsi="宋体" w:cs="宋体"/>
              </w:rPr>
            </w:pPr>
            <w:r>
              <w:rPr>
                <w:rFonts w:hint="eastAsia" w:ascii="宋体" w:hAnsi="宋体" w:cs="宋体"/>
              </w:rPr>
              <w:t xml:space="preserve">乙方应按招标文件规定的货物、服务的性能、技术要求、质量标准向甲方提供未经</w:t>
            </w:r>
            <w:r>
              <w:rPr>
                <w:rFonts w:ascii="宋体" w:hAnsi="宋体" w:cs="宋体"/>
              </w:rPr>
            </w:r>
            <w:r/>
          </w:p>
          <w:p>
            <w:pPr>
              <w:pStyle w:val="645"/>
              <w:spacing w:line="360" w:lineRule="auto"/>
              <w:rPr>
                <w:rFonts w:ascii="宋体" w:hAnsi="宋体" w:cs="宋体"/>
              </w:rPr>
            </w:pPr>
            <w:r>
              <w:rPr>
                <w:rFonts w:hint="eastAsia" w:ascii="宋体" w:hAnsi="宋体" w:cs="宋体"/>
              </w:rPr>
              <w:t xml:space="preserve">使用的全新产品或服务。</w:t>
            </w:r>
            <w:r>
              <w:rPr>
                <w:rFonts w:ascii="宋体" w:hAnsi="宋体" w:cs="宋体"/>
              </w:rPr>
            </w:r>
            <w:r/>
          </w:p>
        </w:tc>
      </w:tr>
      <w:tr>
        <w:trPr>
          <w:trHeight w:val="65"/>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3.5</w:t>
            </w:r>
            <w:r>
              <w:rPr>
                <w:rFonts w:ascii="宋体" w:hAnsi="宋体" w:cs="宋体"/>
              </w:rPr>
            </w:r>
            <w:r/>
          </w:p>
        </w:tc>
        <w:tc>
          <w:tcPr>
            <w:tcW w:w="8227" w:type="dxa"/>
            <w:vAlign w:val="top"/>
            <w:textDirection w:val="lrTb"/>
            <w:noWrap w:val="false"/>
          </w:tcPr>
          <w:p>
            <w:pPr>
              <w:pStyle w:val="645"/>
              <w:spacing w:line="360" w:lineRule="auto"/>
              <w:rPr>
                <w:rFonts w:ascii="宋体" w:hAnsi="宋体" w:cs="宋体"/>
              </w:rPr>
            </w:pPr>
            <w:r>
              <w:rPr>
                <w:rFonts w:hint="eastAsia" w:ascii="宋体" w:hAnsi="宋体" w:cs="宋体"/>
              </w:rPr>
              <w:t xml:space="preserve">如在使用过程中发生质量问题，乙方在接到甲方通知后在12小时内到达甲方现场。</w:t>
            </w:r>
            <w:r>
              <w:rPr>
                <w:rFonts w:ascii="宋体" w:hAnsi="宋体" w:cs="宋体"/>
              </w:rPr>
            </w:r>
            <w:r/>
          </w:p>
        </w:tc>
      </w:tr>
      <w:tr>
        <w:trPr>
          <w:trHeight w:val="65"/>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3.6</w:t>
            </w:r>
            <w:r>
              <w:rPr>
                <w:rFonts w:ascii="宋体" w:hAnsi="宋体" w:cs="宋体"/>
              </w:rPr>
            </w:r>
            <w:r/>
          </w:p>
        </w:tc>
        <w:tc>
          <w:tcPr>
            <w:tcW w:w="8227" w:type="dxa"/>
            <w:vAlign w:val="top"/>
            <w:textDirection w:val="lrTb"/>
            <w:noWrap w:val="false"/>
          </w:tcPr>
          <w:p>
            <w:pPr>
              <w:pStyle w:val="645"/>
              <w:spacing w:line="360" w:lineRule="auto"/>
              <w:rPr>
                <w:rFonts w:ascii="宋体" w:hAnsi="宋体" w:cs="宋体"/>
              </w:rPr>
            </w:pPr>
            <w:r>
              <w:rPr>
                <w:rFonts w:hint="eastAsia" w:ascii="宋体" w:hAnsi="宋体" w:cs="宋体"/>
              </w:rPr>
              <w:t xml:space="preserve">在质保期内，乙方应对货物、服务出现的质量及安全问题负责处理解决并承担一切</w:t>
            </w:r>
            <w:r>
              <w:rPr>
                <w:rFonts w:ascii="宋体" w:hAnsi="宋体" w:cs="宋体"/>
              </w:rPr>
            </w:r>
            <w:r/>
          </w:p>
          <w:p>
            <w:pPr>
              <w:pStyle w:val="645"/>
              <w:spacing w:line="360" w:lineRule="auto"/>
              <w:rPr>
                <w:rFonts w:ascii="宋体" w:hAnsi="宋体" w:cs="宋体"/>
              </w:rPr>
            </w:pPr>
            <w:r>
              <w:rPr>
                <w:rFonts w:hint="eastAsia" w:ascii="宋体" w:hAnsi="宋体" w:cs="宋体"/>
              </w:rPr>
              <w:t xml:space="preserve">费用。</w:t>
            </w:r>
            <w:r>
              <w:rPr>
                <w:rFonts w:ascii="宋体" w:hAnsi="宋体" w:cs="宋体"/>
              </w:rPr>
            </w:r>
            <w:r/>
          </w:p>
        </w:tc>
      </w:tr>
      <w:tr>
        <w:trPr>
          <w:trHeight w:val="998"/>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3.7</w:t>
            </w:r>
            <w:r>
              <w:rPr>
                <w:rFonts w:ascii="宋体" w:hAnsi="宋体" w:cs="宋体"/>
              </w:rPr>
            </w:r>
            <w:r/>
          </w:p>
        </w:tc>
        <w:tc>
          <w:tcPr>
            <w:tcW w:w="8227" w:type="dxa"/>
            <w:vAlign w:val="top"/>
            <w:textDirection w:val="lrTb"/>
            <w:noWrap w:val="false"/>
          </w:tcPr>
          <w:p>
            <w:pPr>
              <w:pStyle w:val="684"/>
              <w:spacing w:line="360" w:lineRule="auto"/>
              <w:rPr>
                <w:rFonts w:hAnsi="宋体" w:cs="宋体"/>
              </w:rPr>
            </w:pPr>
            <w:r>
              <w:rPr>
                <w:rFonts w:hAnsi="宋体" w:cs="宋体"/>
              </w:rPr>
              <w:t xml:space="preserve">上述的货物、服务</w:t>
            </w:r>
            <w:r>
              <w:rPr>
                <w:rFonts w:hint="eastAsia" w:hAnsi="宋体" w:cs="宋体"/>
              </w:rPr>
              <w:t xml:space="preserve">、免费维护期3年</w:t>
            </w:r>
            <w:r>
              <w:rPr>
                <w:rFonts w:hAnsi="宋体" w:cs="宋体"/>
              </w:rPr>
              <w:t xml:space="preserve">，因人为因素出现的故障不在免费保修范围内。</w:t>
            </w:r>
            <w:r>
              <w:rPr>
                <w:rFonts w:hAnsi="宋体" w:cs="宋体"/>
              </w:rPr>
            </w:r>
            <w:r/>
          </w:p>
          <w:p>
            <w:pPr>
              <w:pStyle w:val="684"/>
              <w:spacing w:line="360" w:lineRule="auto"/>
              <w:rPr>
                <w:rFonts w:hAnsi="宋体" w:cs="宋体"/>
              </w:rPr>
            </w:pPr>
            <w:r>
              <w:rPr>
                <w:rFonts w:hAnsi="宋体" w:cs="宋体"/>
              </w:rPr>
              <w:t xml:space="preserve">超过保修期的机器设备，终生维修，维修时只收部件成本费。</w:t>
            </w:r>
            <w:r>
              <w:rPr>
                <w:rFonts w:hAnsi="宋体" w:cs="宋体"/>
              </w:rPr>
            </w:r>
            <w:r/>
          </w:p>
        </w:tc>
      </w:tr>
      <w:tr>
        <w:trPr>
          <w:trHeight w:val="1841"/>
        </w:trPr>
        <w:tc>
          <w:tcPr>
            <w:tcW w:w="801" w:type="dxa"/>
            <w:vAlign w:val="center"/>
            <w:textDirection w:val="lrTb"/>
            <w:noWrap w:val="false"/>
          </w:tcPr>
          <w:p>
            <w:pPr>
              <w:pStyle w:val="645"/>
              <w:jc w:val="center"/>
              <w:spacing w:line="360" w:lineRule="auto"/>
              <w:rPr>
                <w:rFonts w:ascii="宋体" w:hAnsi="宋体" w:cs="宋体"/>
              </w:rPr>
            </w:pPr>
            <w:r>
              <w:rPr>
                <w:rFonts w:hint="eastAsia" w:ascii="宋体" w:hAnsi="宋体" w:cs="宋体"/>
              </w:rPr>
              <w:t xml:space="preserve">3.8</w:t>
            </w:r>
            <w:r>
              <w:rPr>
                <w:rFonts w:ascii="宋体" w:hAnsi="宋体" w:cs="宋体"/>
              </w:rPr>
            </w:r>
            <w:r/>
          </w:p>
        </w:tc>
        <w:tc>
          <w:tcPr>
            <w:tcW w:w="8227" w:type="dxa"/>
            <w:vAlign w:val="top"/>
            <w:textDirection w:val="lrTb"/>
            <w:noWrap w:val="false"/>
          </w:tcPr>
          <w:p>
            <w:pPr>
              <w:pStyle w:val="684"/>
              <w:spacing w:line="360" w:lineRule="auto"/>
              <w:rPr>
                <w:rFonts w:hAnsi="宋体" w:cs="宋体"/>
              </w:rPr>
            </w:pPr>
            <w:r>
              <w:rPr>
                <w:rFonts w:hAnsi="宋体" w:cs="宋体"/>
              </w:rPr>
              <w:t xml:space="preserve">1、甲方对乙方提交的货物、服务依据招标文件上的技术规格要求和国家有关质量标准进行现场初步验收，外观、说明书符合招标文件技术要求的，给予签收，初步验收不合格的不予签收。货到后，甲方需在五个工作日内验收。</w:t>
            </w:r>
            <w:r>
              <w:rPr>
                <w:rFonts w:hAnsi="宋体" w:cs="宋体"/>
              </w:rPr>
            </w:r>
            <w:r/>
          </w:p>
          <w:p>
            <w:pPr>
              <w:pStyle w:val="684"/>
              <w:spacing w:line="360" w:lineRule="auto"/>
              <w:rPr>
                <w:rFonts w:hAnsi="宋体" w:cs="宋体"/>
              </w:rPr>
            </w:pPr>
            <w:r>
              <w:rPr>
                <w:rFonts w:hAnsi="宋体" w:cs="宋体"/>
              </w:rPr>
              <w:t xml:space="preserve">2、乙方交货前应对产品作出全面检查和对验收文件进行整理，并列出清单，作为甲方收货验收和使用的技术条件依据，检验的结果应随货物、服务交甲方。</w:t>
            </w:r>
            <w:r>
              <w:rPr>
                <w:rFonts w:hAnsi="宋体" w:cs="宋体"/>
              </w:rPr>
            </w:r>
            <w:r/>
          </w:p>
          <w:p>
            <w:pPr>
              <w:pStyle w:val="684"/>
              <w:spacing w:line="360" w:lineRule="auto"/>
              <w:rPr>
                <w:rFonts w:hAnsi="宋体" w:cs="宋体"/>
              </w:rPr>
            </w:pPr>
            <w:r>
              <w:rPr>
                <w:rFonts w:hAnsi="宋体" w:cs="宋体"/>
              </w:rPr>
              <w:t xml:space="preserve">3、甲方对乙方提供的服务在使用前进行调试时，乙方需负责安装并培训甲方的使用操作人员，并协助甲方一起调试，直到符合技术要求，甲方才做最终验收。</w:t>
            </w:r>
            <w:r>
              <w:rPr>
                <w:rFonts w:hAnsi="宋体" w:cs="宋体"/>
              </w:rPr>
            </w:r>
            <w:r/>
          </w:p>
          <w:p>
            <w:pPr>
              <w:pStyle w:val="684"/>
              <w:spacing w:line="360" w:lineRule="auto"/>
              <w:rPr>
                <w:rFonts w:hAnsi="宋体" w:cs="宋体"/>
              </w:rPr>
            </w:pPr>
            <w:r>
              <w:rPr>
                <w:rFonts w:hAnsi="宋体" w:cs="宋体"/>
              </w:rPr>
              <w:t xml:space="preserve">4、对技术复杂的货物、服务，甲方可请国家认可的专业检测机构参与初步验收及最终验收，并由其出具质量检测报告。</w:t>
            </w:r>
            <w:r>
              <w:rPr>
                <w:rFonts w:hAnsi="宋体" w:cs="宋体"/>
              </w:rPr>
            </w:r>
            <w:r/>
          </w:p>
          <w:p>
            <w:pPr>
              <w:pStyle w:val="684"/>
              <w:spacing w:line="360" w:lineRule="auto"/>
              <w:rPr>
                <w:rFonts w:hAnsi="宋体" w:cs="宋体"/>
              </w:rPr>
            </w:pPr>
            <w:r>
              <w:rPr>
                <w:rFonts w:hAnsi="宋体" w:cs="宋体"/>
              </w:rPr>
              <w:t xml:space="preserve">5、验收时乙方必须在现场，验收完毕后作出验收结果报告；验收费用由甲乙双方协商解决。</w:t>
            </w:r>
            <w:r>
              <w:rPr>
                <w:rFonts w:hAnsi="宋体" w:cs="宋体"/>
              </w:rPr>
            </w:r>
            <w:r/>
          </w:p>
        </w:tc>
      </w:tr>
    </w:tbl>
    <w:p>
      <w:pPr>
        <w:pStyle w:val="647"/>
        <w:spacing w:line="360" w:lineRule="auto"/>
        <w:rPr>
          <w:rFonts w:eastAsia="宋体" w:cs="宋体"/>
          <w:sz w:val="24"/>
          <w:szCs w:val="24"/>
        </w:rPr>
      </w:pPr>
      <w:r>
        <w:rPr>
          <w:rFonts w:eastAsia="宋体" w:cs="宋体"/>
          <w:sz w:val="24"/>
          <w:szCs w:val="24"/>
        </w:rPr>
      </w:r>
      <w:r/>
    </w:p>
    <w:p>
      <w:pPr>
        <w:pStyle w:val="645"/>
        <w:spacing w:line="360" w:lineRule="auto"/>
      </w:pPr>
      <w:r/>
      <w:r/>
    </w:p>
    <w:p>
      <w:pPr>
        <w:pStyle w:val="645"/>
        <w:spacing w:line="360" w:lineRule="auto"/>
      </w:pPr>
      <w:r>
        <w:rPr>
          <w:rFonts w:hint="eastAsia" w:ascii="宋体" w:hAnsi="宋体" w:cs="宋体"/>
          <w:sz w:val="24"/>
          <w:szCs w:val="24"/>
        </w:rPr>
        <w:t xml:space="preserve">发包人保留对合同修改和完善的权利。</w:t>
      </w:r>
      <w:r/>
    </w:p>
    <w:p>
      <w:pPr>
        <w:pStyle w:val="645"/>
        <w:jc w:val="center"/>
        <w:spacing w:line="360" w:lineRule="auto"/>
        <w:rPr>
          <w:rFonts w:hint="eastAsia" w:ascii="宋体" w:hAnsi="宋体" w:cs="宋体"/>
          <w:sz w:val="24"/>
          <w:szCs w:val="24"/>
        </w:rPr>
      </w:pPr>
      <w:r>
        <w:rPr>
          <w:rFonts w:hint="eastAsia" w:ascii="宋体" w:hAnsi="宋体" w:cs="宋体"/>
          <w:bCs/>
          <w:sz w:val="44"/>
          <w:szCs w:val="21"/>
        </w:rPr>
        <w:br w:type="page" w:clear="all"/>
      </w:r>
      <w:r>
        <w:rPr>
          <w:rFonts w:hint="eastAsia" w:ascii="宋体" w:hAnsi="宋体" w:cs="宋体"/>
          <w:bCs/>
          <w:sz w:val="44"/>
          <w:szCs w:val="21"/>
        </w:rPr>
        <w:t xml:space="preserve">第</w:t>
      </w:r>
      <w:bookmarkEnd w:id="175"/>
      <w:r>
        <w:rPr>
          <w:rFonts w:hint="eastAsia" w:ascii="宋体" w:hAnsi="宋体" w:cs="宋体"/>
          <w:bCs/>
          <w:sz w:val="44"/>
          <w:szCs w:val="21"/>
        </w:rPr>
        <w:t xml:space="preserve">四章 采购需求</w:t>
      </w:r>
      <w:bookmarkEnd w:id="176"/>
      <w:r/>
      <w:bookmarkEnd w:id="177"/>
      <w:r/>
      <w:bookmarkEnd w:id="178"/>
      <w:r>
        <w:rPr>
          <w:rFonts w:hint="eastAsia" w:ascii="宋体" w:hAnsi="宋体" w:cs="宋体"/>
          <w:sz w:val="24"/>
          <w:szCs w:val="24"/>
        </w:rPr>
      </w:r>
      <w:r/>
    </w:p>
    <w:p>
      <w:pPr>
        <w:pStyle w:val="645"/>
        <w:spacing w:line="360" w:lineRule="auto"/>
        <w:rPr>
          <w:rFonts w:hint="eastAsia" w:ascii="宋体" w:hAnsi="宋体" w:cs="宋体"/>
          <w:sz w:val="24"/>
          <w:szCs w:val="24"/>
        </w:rPr>
      </w:pPr>
      <w:r/>
      <w:bookmarkStart w:id="339" w:name="_Toc49090575"/>
      <w:r/>
      <w:bookmarkStart w:id="340" w:name="_Toc26554093"/>
      <w:r>
        <w:rPr>
          <w:rFonts w:hint="eastAsia" w:ascii="宋体" w:hAnsi="宋体" w:cs="宋体"/>
          <w:sz w:val="24"/>
          <w:szCs w:val="24"/>
        </w:rPr>
        <w:t xml:space="preserve">项目属性:服务类项目。</w:t>
      </w:r>
      <w:r>
        <w:rPr>
          <w:rFonts w:hint="eastAsia" w:ascii="宋体" w:hAnsi="宋体" w:cs="宋体"/>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采购需求包括拟采购的标的及其需要满足的技术、商务要求。</w:t>
      </w:r>
      <w:r>
        <w:rPr>
          <w:rFonts w:hint="eastAsia" w:ascii="宋体" w:hAnsi="宋体" w:cs="宋体"/>
          <w:bCs/>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（一）技术要求是指对采购标的功能和质量要求，包括性能、材料、结构、外观、安全，或者服务内容和标准等。</w:t>
      </w:r>
      <w:r>
        <w:rPr>
          <w:rFonts w:hint="eastAsia" w:ascii="宋体" w:hAnsi="宋体" w:cs="宋体"/>
          <w:bCs/>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cs="宋体"/>
          <w:bCs/>
          <w:sz w:val="24"/>
          <w:szCs w:val="24"/>
        </w:rPr>
      </w:r>
      <w:r/>
    </w:p>
    <w:p>
      <w:pPr>
        <w:pStyle w:val="6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一、产品名称及数量：</w:t>
      </w:r>
      <w:r>
        <w:rPr>
          <w:rFonts w:hint="eastAsia" w:ascii="宋体" w:hAnsi="宋体" w:cs="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5389"/>
        <w:gridCol w:w="1115"/>
        <w:gridCol w:w="820"/>
      </w:tblGrid>
      <w:tr>
        <w:trPr/>
        <w:tc>
          <w:tcPr>
            <w:shd w:val="clear" w:color="auto" w:fill="e6e0ec"/>
            <w:tcW w:w="1205" w:type="dxa"/>
            <w:vAlign w:val="center"/>
            <w:textDirection w:val="lrTb"/>
            <w:noWrap w:val="false"/>
          </w:tcPr>
          <w:p>
            <w:pPr>
              <w:pStyle w:val="645"/>
              <w:jc w:val="center"/>
              <w:spacing w:after="145" w:line="360" w:lineRule="auto"/>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shd w:val="clear" w:color="auto" w:fill="e6e0ec"/>
            <w:tcW w:w="5389" w:type="dxa"/>
            <w:vAlign w:val="center"/>
            <w:textDirection w:val="lrTb"/>
            <w:noWrap w:val="false"/>
          </w:tcPr>
          <w:p>
            <w:pPr>
              <w:pStyle w:val="645"/>
              <w:jc w:val="center"/>
              <w:spacing w:after="145" w:line="360" w:lineRule="auto"/>
              <w:rPr>
                <w:rFonts w:hint="eastAsia" w:ascii="宋体" w:hAnsi="宋体" w:cs="宋体"/>
                <w:sz w:val="28"/>
                <w:szCs w:val="28"/>
              </w:rPr>
            </w:pPr>
            <w:r>
              <w:rPr>
                <w:rFonts w:hint="eastAsia" w:ascii="宋体" w:hAnsi="宋体" w:cs="宋体"/>
                <w:sz w:val="28"/>
                <w:szCs w:val="28"/>
              </w:rPr>
              <w:t xml:space="preserve">模块名称</w:t>
            </w:r>
            <w:r>
              <w:rPr>
                <w:rFonts w:hint="eastAsia" w:ascii="宋体" w:hAnsi="宋体" w:cs="宋体"/>
                <w:sz w:val="28"/>
                <w:szCs w:val="28"/>
              </w:rPr>
            </w:r>
            <w:r/>
          </w:p>
        </w:tc>
        <w:tc>
          <w:tcPr>
            <w:shd w:val="clear" w:color="auto" w:fill="e6e0ec"/>
            <w:tcW w:w="1115" w:type="dxa"/>
            <w:vAlign w:val="center"/>
            <w:textDirection w:val="lrTb"/>
            <w:noWrap w:val="false"/>
          </w:tcPr>
          <w:p>
            <w:pPr>
              <w:pStyle w:val="645"/>
              <w:jc w:val="center"/>
              <w:spacing w:after="145" w:line="360" w:lineRule="auto"/>
              <w:rPr>
                <w:rFonts w:hint="eastAsia" w:ascii="宋体" w:hAnsi="宋体" w:cs="宋体"/>
                <w:sz w:val="28"/>
                <w:szCs w:val="28"/>
              </w:rPr>
            </w:pPr>
            <w:r>
              <w:rPr>
                <w:rFonts w:hint="eastAsia" w:ascii="宋体" w:hAnsi="宋体" w:cs="宋体"/>
                <w:sz w:val="28"/>
                <w:szCs w:val="28"/>
              </w:rPr>
              <w:t xml:space="preserve">数量</w:t>
            </w:r>
            <w:r>
              <w:rPr>
                <w:rFonts w:hint="eastAsia" w:ascii="宋体" w:hAnsi="宋体" w:cs="宋体"/>
                <w:sz w:val="28"/>
                <w:szCs w:val="28"/>
              </w:rPr>
            </w:r>
            <w:r/>
          </w:p>
        </w:tc>
        <w:tc>
          <w:tcPr>
            <w:shd w:val="clear" w:color="auto" w:fill="e6e0ec"/>
            <w:tcW w:w="820" w:type="dxa"/>
            <w:vAlign w:val="center"/>
            <w:textDirection w:val="lrTb"/>
            <w:noWrap w:val="false"/>
          </w:tcPr>
          <w:p>
            <w:pPr>
              <w:pStyle w:val="645"/>
              <w:jc w:val="center"/>
              <w:spacing w:after="145" w:line="360" w:lineRule="auto"/>
              <w:rPr>
                <w:rFonts w:hint="eastAsia"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r>
            <w:r/>
          </w:p>
        </w:tc>
      </w:tr>
      <w:tr>
        <w:trPr/>
        <w:tc>
          <w:tcPr>
            <w:tcW w:w="1205"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智慧校园顶层设计（数据规范）</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820" w:type="dxa"/>
            <w:vAlign w:val="center"/>
            <w:textDirection w:val="lrTb"/>
            <w:noWrap w:val="false"/>
          </w:tcPr>
          <w:p>
            <w:pPr>
              <w:pStyle w:val="645"/>
              <w:jc w:val="left"/>
              <w:spacing w:after="145" w:line="360" w:lineRule="auto"/>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支撑平台层（微服务架构）</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820" w:type="dxa"/>
            <w:vAlign w:val="center"/>
            <w:textDirection w:val="lrTb"/>
            <w:noWrap w:val="false"/>
          </w:tcPr>
          <w:p>
            <w:pPr>
              <w:pStyle w:val="645"/>
              <w:jc w:val="left"/>
              <w:spacing w:after="145" w:line="360" w:lineRule="auto"/>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学生综合素质评价模块</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教学常规及评教评学系统（含移动听评课模块）</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教师教科研系统</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学校整体数据分析整改模块（含教诊改系统门户及数据展示</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智能办公模块（OA平台部分功能升级）</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r>
        <w:trPr/>
        <w:tc>
          <w:tcPr>
            <w:tcW w:w="1205" w:type="dxa"/>
            <w:vAlign w:val="center"/>
            <w:textDirection w:val="lrTb"/>
            <w:noWrap w:val="false"/>
          </w:tcPr>
          <w:p>
            <w:pPr>
              <w:pStyle w:val="645"/>
              <w:jc w:val="left"/>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5389" w:type="dxa"/>
            <w:vAlign w:val="center"/>
            <w:textDirection w:val="lrTb"/>
            <w:noWrap w:val="false"/>
          </w:tcPr>
          <w:p>
            <w:pPr>
              <w:pStyle w:val="645"/>
              <w:jc w:val="left"/>
              <w:spacing w:line="360" w:lineRule="auto"/>
              <w:rPr>
                <w:rFonts w:hint="eastAsia" w:ascii="宋体" w:hAnsi="宋体" w:cs="宋体"/>
                <w:sz w:val="24"/>
                <w:szCs w:val="24"/>
              </w:rPr>
            </w:pPr>
            <w:r>
              <w:rPr>
                <w:rFonts w:hint="eastAsia" w:ascii="宋体" w:hAnsi="宋体" w:cs="宋体"/>
                <w:sz w:val="24"/>
                <w:szCs w:val="24"/>
              </w:rPr>
              <w:t xml:space="preserve">固定资产管理模块</w:t>
            </w:r>
            <w:r>
              <w:rPr>
                <w:rFonts w:hint="eastAsia" w:ascii="宋体" w:hAnsi="宋体" w:cs="宋体"/>
                <w:sz w:val="24"/>
                <w:szCs w:val="24"/>
              </w:rPr>
            </w:r>
            <w:r/>
          </w:p>
        </w:tc>
        <w:tc>
          <w:tcPr>
            <w:tcW w:w="1115" w:type="dxa"/>
            <w:vAlign w:val="center"/>
            <w:textDirection w:val="lrTb"/>
            <w:noWrap w:val="false"/>
          </w:tcPr>
          <w:p>
            <w:pPr>
              <w:pStyle w:val="645"/>
              <w:jc w:val="left"/>
              <w:spacing w:after="145" w:line="360" w:lineRule="auto"/>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820" w:type="dxa"/>
            <w:vAlign w:val="center"/>
            <w:textDirection w:val="lrTb"/>
            <w:noWrap w:val="false"/>
          </w:tcPr>
          <w:p>
            <w:pPr>
              <w:pStyle w:val="645"/>
              <w:jc w:val="left"/>
              <w:spacing w:after="145" w:line="360" w:lineRule="auto"/>
              <w:rPr>
                <w:rFonts w:hint="eastAsia" w:ascii="仿宋" w:hAnsi="仿宋" w:eastAsia="仿宋"/>
                <w:sz w:val="28"/>
                <w:szCs w:val="28"/>
              </w:rPr>
            </w:pPr>
            <w:r>
              <w:rPr>
                <w:rFonts w:hint="eastAsia" w:ascii="仿宋" w:hAnsi="仿宋" w:eastAsia="仿宋"/>
                <w:sz w:val="28"/>
                <w:szCs w:val="28"/>
              </w:rPr>
              <w:t xml:space="preserve">套</w:t>
            </w:r>
            <w:r>
              <w:rPr>
                <w:rFonts w:hint="eastAsia" w:ascii="仿宋" w:hAnsi="仿宋" w:eastAsia="仿宋"/>
                <w:sz w:val="28"/>
                <w:szCs w:val="28"/>
              </w:rPr>
            </w:r>
            <w:r/>
          </w:p>
        </w:tc>
      </w:tr>
    </w:tbl>
    <w:p>
      <w:pPr>
        <w:pStyle w:val="677"/>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77"/>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77"/>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47"/>
        <w:jc w:val="both"/>
        <w:spacing w:before="0" w:after="0" w:line="360" w:lineRule="auto"/>
        <w:rPr>
          <w:rFonts w:ascii="宋体" w:hAnsi="宋体" w:eastAsia="宋体" w:cs="宋体"/>
          <w:sz w:val="24"/>
          <w:szCs w:val="24"/>
        </w:rPr>
      </w:pPr>
      <w:r/>
      <w:bookmarkStart w:id="341" w:name="_Toc147258665"/>
      <w:r/>
      <w:bookmarkStart w:id="342" w:name="_Toc27869"/>
      <w:r/>
      <w:bookmarkStart w:id="343" w:name="_Toc18425"/>
      <w:r/>
      <w:bookmarkStart w:id="344" w:name="_Toc16086750"/>
      <w:r/>
      <w:bookmarkStart w:id="345" w:name="_Toc17108631"/>
      <w:r/>
      <w:bookmarkStart w:id="346" w:name="_Toc16086811"/>
      <w:r>
        <w:rPr>
          <w:rFonts w:hint="eastAsia" w:ascii="宋体" w:hAnsi="宋体" w:eastAsia="宋体" w:cs="宋体"/>
          <w:sz w:val="24"/>
          <w:szCs w:val="24"/>
        </w:rPr>
        <w:t xml:space="preserve">二、平台各模块功能</w:t>
      </w:r>
      <w:bookmarkEnd w:id="341"/>
      <w:r/>
      <w:bookmarkEnd w:id="342"/>
      <w:r/>
      <w:bookmarkEnd w:id="343"/>
      <w:r/>
      <w:bookmarkEnd w:id="344"/>
      <w:r/>
      <w:bookmarkEnd w:id="345"/>
      <w:r/>
      <w:bookmarkEnd w:id="346"/>
      <w:r>
        <w:rPr>
          <w:rFonts w:hint="eastAsia" w:ascii="宋体" w:hAnsi="宋体" w:eastAsia="宋体" w:cs="宋体"/>
          <w:sz w:val="24"/>
          <w:szCs w:val="24"/>
        </w:rPr>
        <w:t xml:space="preserve">描述</w:t>
      </w:r>
      <w:r>
        <w:rPr>
          <w:rFonts w:ascii="宋体" w:hAnsi="宋体" w:eastAsia="宋体" w:cs="宋体"/>
          <w:sz w:val="24"/>
          <w:szCs w:val="24"/>
        </w:rPr>
      </w:r>
      <w:r/>
    </w:p>
    <w:p>
      <w:pPr>
        <w:pStyle w:val="649"/>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2.1智慧校园顶层设计（数据规范）以及支撑平台层（微服务架构）模块</w:t>
      </w:r>
      <w:r>
        <w:rPr>
          <w:rFonts w:ascii="宋体" w:hAnsi="宋体" w:eastAsia="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7798"/>
      </w:tblGrid>
      <w:tr>
        <w:trPr>
          <w:trHeight w:val="557"/>
        </w:trPr>
        <w:tc>
          <w:tcPr>
            <w:shd w:val="clear" w:color="auto" w:fill="e6e0ec"/>
            <w:tcW w:w="1371" w:type="dxa"/>
            <w:vAlign w:val="center"/>
            <w:textDirection w:val="lrTb"/>
            <w:noWrap w:val="false"/>
          </w:tcPr>
          <w:p>
            <w:pPr>
              <w:pStyle w:val="645"/>
              <w:jc w:val="center"/>
              <w:spacing w:before="145" w:line="360" w:lineRule="auto"/>
              <w:rPr>
                <w:rFonts w:hint="eastAsia" w:ascii="宋体" w:hAnsi="宋体" w:cs="宋体"/>
                <w:b/>
                <w:bCs/>
                <w:sz w:val="28"/>
                <w:szCs w:val="28"/>
              </w:rPr>
            </w:pPr>
            <w:r/>
            <w:bookmarkStart w:id="347" w:name="_Hlk37670321"/>
            <w:r>
              <w:rPr>
                <w:rFonts w:hint="eastAsia" w:ascii="宋体" w:hAnsi="宋体" w:cs="宋体"/>
                <w:b/>
                <w:bCs/>
                <w:sz w:val="28"/>
                <w:szCs w:val="28"/>
              </w:rPr>
              <w:t xml:space="preserve">需求名称</w:t>
            </w:r>
            <w:r>
              <w:rPr>
                <w:rFonts w:hint="eastAsia" w:ascii="宋体" w:hAnsi="宋体" w:cs="宋体"/>
                <w:b/>
                <w:bCs/>
                <w:sz w:val="28"/>
                <w:szCs w:val="28"/>
              </w:rPr>
            </w:r>
            <w:r/>
          </w:p>
        </w:tc>
        <w:tc>
          <w:tcPr>
            <w:shd w:val="clear" w:color="auto" w:fill="e6e0ec"/>
            <w:tcW w:w="7798" w:type="dxa"/>
            <w:vAlign w:val="center"/>
            <w:textDirection w:val="lrTb"/>
            <w:noWrap w:val="false"/>
          </w:tcPr>
          <w:p>
            <w:pPr>
              <w:pStyle w:val="645"/>
              <w:jc w:val="center"/>
              <w:spacing w:before="145" w:line="360" w:lineRule="auto"/>
              <w:rPr>
                <w:rFonts w:hint="eastAsia" w:ascii="宋体" w:hAnsi="宋体" w:cs="宋体"/>
                <w:b/>
                <w:bCs/>
                <w:sz w:val="28"/>
                <w:szCs w:val="28"/>
              </w:rPr>
            </w:pPr>
            <w:r>
              <w:rPr>
                <w:rFonts w:hint="eastAsia" w:ascii="宋体" w:hAnsi="宋体" w:cs="宋体"/>
                <w:b/>
                <w:bCs/>
                <w:sz w:val="28"/>
                <w:szCs w:val="28"/>
              </w:rPr>
              <w:t xml:space="preserve">功能描述</w:t>
            </w:r>
            <w:r>
              <w:rPr>
                <w:rFonts w:hint="eastAsia" w:ascii="宋体" w:hAnsi="宋体" w:cs="宋体"/>
                <w:b/>
                <w:bCs/>
                <w:sz w:val="28"/>
                <w:szCs w:val="28"/>
              </w:rPr>
            </w:r>
            <w:r/>
          </w:p>
        </w:tc>
      </w:tr>
      <w:tr>
        <w:trPr>
          <w:trHeight w:val="5306"/>
        </w:trPr>
        <w:tc>
          <w:tcPr>
            <w:tcW w:w="1371" w:type="dxa"/>
            <w:vAlign w:val="center"/>
            <w:vMerge w:val="restart"/>
            <w:textDirection w:val="lrTb"/>
            <w:noWrap w:val="false"/>
          </w:tcPr>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管理端</w:t>
            </w:r>
            <w:r>
              <w:rPr>
                <w:rFonts w:hint="eastAsia" w:ascii="宋体" w:hAnsi="宋体" w:cs="宋体"/>
                <w:sz w:val="24"/>
                <w:szCs w:val="24"/>
              </w:rPr>
            </w:r>
            <w:r/>
          </w:p>
        </w:tc>
        <w:tc>
          <w:tcPr>
            <w:tcW w:w="7798" w:type="dxa"/>
            <w:vAlign w:val="center"/>
            <w:textDirection w:val="lrTb"/>
            <w:noWrap w:val="false"/>
          </w:tcPr>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1.用户管理：开放管理权限，支持对用户基本信息、单位组织架构、用户扩展属性、用户角色、单位认证管理的个性化管理。</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2.学校可以根据自身的情况，在平台上进行组织架构的个性化管理。支持单次管理和批量管理，为学校提供导入模板，满足学校批量录入信息的需求，自动生成学校的组织架构和人员信息。</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3.平台上的应用只要涉及到人员架构信息，都会从组织架构里统一调取。</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4.可以通过应用市场和自建应用两种方式添加学校的应用库。</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5.支持通过应用市场和自建应用两种方式配置学校应用，在确定好所需应用后，可以对应用自定义分类，并对单位分类和应用进行增、删、改操作；对单个应用进行修改基本信息，要求可配置应用使用范围，支持按应用配角色和按角色配应用，配置好的单位应用将同步显示在移动端和个人空间。</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6.管理完成后，可以预览调整应用显示顺序及效果，操作完成后，配置好的单位应用中心将同步显示在移动端和个人空间界面管理中。</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7.提供灵活的终端管理工具，具备可视化全功能后台，学校可以自定义设置学校门户、移动端功能界面、个人空间、大数据屏展示和管理后台。所有终端支持按角色配置界面和应用，同时嵌套多种界面配置模版。</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8.门户配置：可以快速开通门户，输入门户基本信息即可定制域名，要求预置多套精美模板，学校根据情况随意选择，快速进行个性化配置，支持多种尺寸版型，同时自适应手机端，内置多种功能控件，后台支持自助管理和维护，一键发布立即生效。</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9.移动端配置：需要支持对首页显示的banner、应用、通讯录进行配置和管理。可根据角色的不同配置专属的角色首页界面。</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10.个人空间配置：需要支持页面、左侧菜单、工作台、PC端应用配置，可以将最近使用的模块加入常用当中，减少信息干扰。可根据角色的不同配置专属的界面。</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11.管理后台：需要支持按角色对二级管理员后台的权限设置。</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12.数据中心需要汇聚学校应用数据，并实现其他应用开发对数据的统一调用。</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13.在开放平台，需要为单位开发者提供开发环境、数据接口和开发标准，第三方公司和学校可以基于该平台，按照标准开发应用，对接到该平台。</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14.满足管理员管理、单位基础信息设置、管理员权限设置、单位转让的要求。</w:t>
            </w:r>
            <w:r>
              <w:rPr>
                <w:rFonts w:hint="eastAsia" w:ascii="宋体" w:hAnsi="宋体" w:cs="宋体"/>
                <w:sz w:val="24"/>
                <w:szCs w:val="24"/>
              </w:rPr>
            </w:r>
            <w:r/>
          </w:p>
          <w:p>
            <w:pPr>
              <w:pStyle w:val="645"/>
              <w:jc w:val="left"/>
              <w:spacing w:before="145" w:line="360" w:lineRule="auto"/>
              <w:rPr>
                <w:rFonts w:ascii="宋体" w:hAnsi="宋体" w:cs="宋体"/>
                <w:sz w:val="24"/>
                <w:szCs w:val="24"/>
              </w:rPr>
            </w:pPr>
            <w:r>
              <w:rPr>
                <w:rFonts w:hint="eastAsia" w:ascii="宋体" w:hAnsi="宋体" w:cs="宋体"/>
                <w:sz w:val="24"/>
                <w:szCs w:val="24"/>
              </w:rPr>
              <w:t xml:space="preserve">15.系统和数据均能实现本地化部署。免费与学校原有系统平稳对接，实现数据共享、功能可联。</w:t>
            </w:r>
            <w:r>
              <w:rPr>
                <w:rFonts w:ascii="宋体" w:hAnsi="宋体" w:cs="宋体"/>
                <w:sz w:val="24"/>
                <w:szCs w:val="24"/>
              </w:rPr>
            </w:r>
            <w:r/>
          </w:p>
        </w:tc>
      </w:tr>
      <w:tr>
        <w:trPr>
          <w:trHeight w:val="5180"/>
        </w:trPr>
        <w:tc>
          <w:tcPr>
            <w:tcW w:w="1371" w:type="dxa"/>
            <w:vAlign w:val="center"/>
            <w:textDirection w:val="lrTb"/>
            <w:noWrap w:val="false"/>
          </w:tcPr>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用户端</w:t>
            </w:r>
            <w:r>
              <w:rPr>
                <w:rFonts w:hint="eastAsia" w:ascii="宋体" w:hAnsi="宋体" w:cs="宋体"/>
                <w:sz w:val="24"/>
                <w:szCs w:val="24"/>
              </w:rPr>
            </w:r>
            <w:r/>
          </w:p>
        </w:tc>
        <w:tc>
          <w:tcPr>
            <w:tcW w:w="7798" w:type="dxa"/>
            <w:vAlign w:val="center"/>
            <w:textDirection w:val="lrTb"/>
            <w:noWrap w:val="false"/>
          </w:tcPr>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需要为教学诊断与改进系统平台有配套的PC端使用入口。根据用户不同的身份，使用的微应用不同，满足用户个人的学习、教学、办公、活动等需求，并且包含课程、笔记、消息、收藏、小组、云盘等基础功能。</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2.PC端个人空间：个人空间的页面支持模板选择及配置，要求包含课程、笔记、消息、收藏、应用、小组、云盘、工作台、常用应用等基础功能，以及在管理端配置好的各种微应用的使用。满足角色不同，应用不同。</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3.移动端：支持通过管理端对组织架构和单位应用进行设置后，同步应用到移动端，移动端满足：不同角色用户看到的界面、应用不同。</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4.校园通讯：具有群组交流、知识分享、即时通讯、在线笔记、专题制作等功能。</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5.管理功能：实现OA管理办公一体化，支持通知、请假、会议签到、打卡、调休、加班、场地预约、视频会议、直播、维修申请、审批管理、表单引擎、文件推送等。</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6.系统集成：教务教学方面，为了达到提高课堂活跃度，提供覆盖从课前、课中、课后到课外的所有教学活动，具有课堂互动功能：如PPT上课、课堂投屏、移动教案、课堂通知、课堂签到、抢答、选人、测验、投票、多屏互动、交流互动、学习监控、在线考试、课堂报告等功能；移动资源方面，需提供图书、期刊、专题、教师研修课程、德育系列课程、学生选修课程等移动资源的移动端获取、评论以及转发等。</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7需要通过管理后台对学校组织架构和应用设置后，会同步到相应的移动端。</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8移动端需要满足全业务场景需求，提供教学、管理和校园活动等各项服务。</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9.需要满足管理员通过终端配置可以快速开通门户，输入门户基本信息即可定制域名，后台预置多套精美模板，管理员可根据单位情况随意选择，快速进行门户个性化配置，让学校拥有自己定制的个性化门户网站。</w:t>
            </w:r>
            <w:r>
              <w:rPr>
                <w:rFonts w:hint="eastAsia"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10.需要支持将用户行为数据、应用分析数据以及特色数据以接口形式展示到学校不同场地的大屏上。 </w:t>
            </w:r>
            <w:r>
              <w:rPr>
                <w:rFonts w:hint="eastAsia" w:ascii="宋体" w:hAnsi="宋体" w:cs="宋体"/>
                <w:sz w:val="24"/>
                <w:szCs w:val="24"/>
              </w:rPr>
            </w:r>
            <w:r/>
          </w:p>
          <w:p>
            <w:pPr>
              <w:pStyle w:val="645"/>
              <w:jc w:val="left"/>
              <w:spacing w:before="145" w:line="360" w:lineRule="auto"/>
              <w:rPr>
                <w:rFonts w:ascii="宋体" w:hAnsi="宋体" w:cs="宋体"/>
                <w:sz w:val="24"/>
                <w:szCs w:val="24"/>
              </w:rPr>
            </w:pPr>
            <w:r>
              <w:rPr>
                <w:rFonts w:hint="eastAsia" w:ascii="宋体" w:hAnsi="宋体" w:cs="宋体"/>
                <w:sz w:val="24"/>
                <w:szCs w:val="24"/>
              </w:rPr>
              <w:t xml:space="preserve">11.系统和数据均能实现本地化部署。免费实现建设系统能与学校原有系统平稳对接，实现数据共享、功能可联。</w:t>
            </w:r>
            <w:r>
              <w:rPr>
                <w:rFonts w:ascii="宋体" w:hAnsi="宋体" w:cs="宋体"/>
                <w:sz w:val="24"/>
                <w:szCs w:val="24"/>
              </w:rPr>
            </w:r>
            <w:r/>
          </w:p>
          <w:p>
            <w:pPr>
              <w:pStyle w:val="645"/>
              <w:jc w:val="left"/>
              <w:spacing w:before="145" w:line="360" w:lineRule="auto"/>
              <w:rPr>
                <w:rFonts w:hint="eastAsia" w:ascii="宋体" w:hAnsi="宋体" w:cs="宋体"/>
                <w:sz w:val="24"/>
                <w:szCs w:val="24"/>
              </w:rPr>
            </w:pPr>
            <w:r>
              <w:rPr>
                <w:rFonts w:hint="eastAsia" w:ascii="宋体" w:hAnsi="宋体" w:cs="宋体"/>
                <w:sz w:val="24"/>
                <w:szCs w:val="24"/>
              </w:rPr>
              <w:t xml:space="preserve">12.本项目需提供至少3年免费维保、升级服务，所有功能部署后均能正常、永久使用，质保期后，除重大升级、售后服务外无其他收费。同时满足可利用学校现有的统一认证平台实现平台账号的单点登录和对接。</w:t>
            </w:r>
            <w:r>
              <w:rPr>
                <w:rFonts w:hint="eastAsia" w:ascii="宋体" w:hAnsi="宋体" w:cs="宋体"/>
                <w:sz w:val="24"/>
                <w:szCs w:val="24"/>
              </w:rPr>
            </w:r>
            <w:r/>
          </w:p>
        </w:tc>
      </w:tr>
    </w:tbl>
    <w:p>
      <w:pPr>
        <w:pStyle w:val="645"/>
        <w:spacing w:line="360" w:lineRule="auto"/>
        <w:rPr>
          <w:rFonts w:hint="eastAsia" w:ascii="宋体" w:hAnsi="宋体" w:cs="宋体"/>
          <w:b/>
          <w:bCs/>
          <w:sz w:val="24"/>
          <w:szCs w:val="24"/>
        </w:rPr>
      </w:pPr>
      <w:r/>
      <w:bookmarkEnd w:id="347"/>
      <w:r>
        <w:rPr>
          <w:rFonts w:hint="eastAsia" w:ascii="宋体" w:hAnsi="宋体" w:cs="宋体"/>
          <w:b/>
          <w:bCs/>
          <w:sz w:val="24"/>
          <w:szCs w:val="24"/>
        </w:rPr>
      </w:r>
      <w:r/>
    </w:p>
    <w:p>
      <w:pPr>
        <w:pStyle w:val="649"/>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2.2.学生综合素质评价模块</w:t>
      </w:r>
      <w:r>
        <w:rPr>
          <w:rFonts w:hint="eastAsia" w:ascii="宋体" w:hAnsi="宋体" w:eastAsia="宋体" w:cs="宋体"/>
          <w:sz w:val="24"/>
          <w:szCs w:val="24"/>
        </w:rPr>
      </w:r>
      <w:r/>
    </w:p>
    <w:tbl>
      <w:tblPr>
        <w:tblpPr w:horzAnchor="page" w:tblpX="1617" w:vertAnchor="text" w:tblpY="453" w:leftFromText="180" w:topFromText="0" w:rightFromText="180" w:bottomFromText="0"/>
        <w:tblW w:w="0" w:type="auto"/>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1425"/>
        <w:gridCol w:w="8098"/>
      </w:tblGrid>
      <w:tr>
        <w:trPr>
          <w:trHeight w:val="90"/>
        </w:trPr>
        <w:tc>
          <w:tcPr>
            <w:shd w:val="clear" w:color="auto" w:fill="e6e0ec"/>
            <w:tcMar>
              <w:left w:w="80" w:type="dxa"/>
              <w:top w:w="80" w:type="dxa"/>
              <w:right w:w="80" w:type="dxa"/>
              <w:bottom w:w="80" w:type="dxa"/>
            </w:tcMar>
            <w:tcW w:w="1425" w:type="dxa"/>
            <w:vAlign w:val="center"/>
            <w:textDirection w:val="lrTb"/>
            <w:noWrap w:val="false"/>
          </w:tcPr>
          <w:p>
            <w:pPr>
              <w:pStyle w:val="645"/>
              <w:jc w:val="center"/>
              <w:spacing w:before="145" w:line="360" w:lineRule="auto"/>
              <w:rPr>
                <w:rFonts w:hint="eastAsia" w:ascii="宋体" w:hAnsi="宋体" w:cs="宋体"/>
                <w:b/>
                <w:bCs/>
                <w:sz w:val="24"/>
                <w:szCs w:val="24"/>
                <w:lang w:eastAsia="zh-TW"/>
              </w:rPr>
              <w:framePr w:vAnchor="text" w:hAnchor="page" w:x="1617" w:y="453"/>
            </w:pPr>
            <w:r>
              <w:rPr>
                <w:rFonts w:hint="eastAsia" w:ascii="宋体" w:hAnsi="宋体" w:cs="宋体"/>
                <w:b/>
                <w:bCs/>
                <w:sz w:val="24"/>
                <w:szCs w:val="24"/>
                <w:lang w:val="zh-TW"/>
              </w:rPr>
              <w:t xml:space="preserve">需求名称</w:t>
            </w:r>
            <w:r>
              <w:rPr>
                <w:rFonts w:hint="eastAsia" w:ascii="宋体" w:hAnsi="宋体" w:cs="宋体"/>
                <w:b/>
                <w:bCs/>
                <w:sz w:val="24"/>
                <w:szCs w:val="24"/>
                <w:lang w:eastAsia="zh-TW"/>
              </w:rPr>
            </w:r>
            <w:r/>
          </w:p>
        </w:tc>
        <w:tc>
          <w:tcPr>
            <w:shd w:val="clear" w:color="auto" w:fill="e6e0ec"/>
            <w:tcMar>
              <w:left w:w="80" w:type="dxa"/>
              <w:top w:w="80" w:type="dxa"/>
              <w:right w:w="80" w:type="dxa"/>
              <w:bottom w:w="80" w:type="dxa"/>
            </w:tcMar>
            <w:tcW w:w="8098" w:type="dxa"/>
            <w:vAlign w:val="top"/>
            <w:textDirection w:val="lrTb"/>
            <w:noWrap w:val="false"/>
          </w:tcPr>
          <w:p>
            <w:pPr>
              <w:pStyle w:val="645"/>
              <w:jc w:val="center"/>
              <w:spacing w:before="145" w:line="360" w:lineRule="auto"/>
              <w:rPr>
                <w:rFonts w:hint="eastAsia" w:ascii="宋体" w:hAnsi="宋体" w:cs="宋体"/>
                <w:b/>
                <w:bCs/>
                <w:sz w:val="24"/>
                <w:szCs w:val="24"/>
              </w:rPr>
              <w:framePr w:vAnchor="text" w:hAnchor="page" w:x="1617" w:y="453"/>
            </w:pPr>
            <w:r>
              <w:rPr>
                <w:rFonts w:hint="eastAsia" w:ascii="宋体" w:hAnsi="宋体" w:cs="宋体"/>
                <w:b/>
                <w:bCs/>
                <w:sz w:val="24"/>
                <w:szCs w:val="24"/>
              </w:rPr>
              <w:t xml:space="preserve">功能描述</w:t>
            </w:r>
            <w:r>
              <w:rPr>
                <w:rFonts w:hint="eastAsia" w:ascii="宋体" w:hAnsi="宋体" w:cs="宋体"/>
                <w:b/>
                <w:bCs/>
                <w:sz w:val="24"/>
                <w:szCs w:val="24"/>
              </w:rPr>
            </w:r>
            <w:r/>
          </w:p>
        </w:tc>
      </w:tr>
      <w:tr>
        <w:trPr>
          <w:trHeight w:val="408"/>
        </w:trPr>
        <w:tc>
          <w:tcPr>
            <w:tcMar>
              <w:left w:w="80" w:type="dxa"/>
              <w:top w:w="80" w:type="dxa"/>
              <w:right w:w="80" w:type="dxa"/>
              <w:bottom w:w="80" w:type="dxa"/>
            </w:tcMar>
            <w:tcW w:w="1425" w:type="dxa"/>
            <w:vAlign w:val="center"/>
            <w:textDirection w:val="lrTb"/>
            <w:noWrap w:val="false"/>
          </w:tcPr>
          <w:p>
            <w:pPr>
              <w:pStyle w:val="645"/>
              <w:spacing w:before="145"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1、学生综合素质评价系统</w:t>
            </w:r>
            <w:r>
              <w:rPr>
                <w:rFonts w:hint="eastAsia" w:ascii="宋体" w:hAnsi="宋体" w:cs="宋体"/>
                <w:sz w:val="24"/>
                <w:szCs w:val="24"/>
              </w:rPr>
            </w:r>
            <w:r/>
          </w:p>
        </w:tc>
        <w:tc>
          <w:tcPr>
            <w:tcMar>
              <w:left w:w="80" w:type="dxa"/>
              <w:top w:w="80" w:type="dxa"/>
              <w:right w:w="80" w:type="dxa"/>
              <w:bottom w:w="80" w:type="dxa"/>
            </w:tcMar>
            <w:tcW w:w="8098" w:type="dxa"/>
            <w:vAlign w:val="top"/>
            <w:textDirection w:val="lrTb"/>
            <w:noWrap w:val="false"/>
          </w:tcPr>
          <w:p>
            <w:pPr>
              <w:pStyle w:val="645"/>
              <w:ind w:firstLine="480"/>
              <w:spacing w:before="145"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1.系统需基于 B/S结构，采用Java、Javascript、Html5开发语言；基于J2EE架构开发运行在Linux等操作系统上。</w:t>
            </w:r>
            <w:r>
              <w:rPr>
                <w:rFonts w:hint="eastAsia" w:ascii="宋体" w:hAnsi="宋体" w:cs="宋体"/>
                <w:sz w:val="24"/>
                <w:szCs w:val="24"/>
              </w:rPr>
            </w:r>
            <w:r/>
          </w:p>
          <w:p>
            <w:pPr>
              <w:pStyle w:val="743"/>
              <w:ind w:firstLine="48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w:t>
            </w:r>
            <w:r>
              <w:rPr>
                <w:rFonts w:hint="eastAsia" w:ascii="宋体" w:hAnsi="宋体" w:cs="宋体"/>
                <w:sz w:val="24"/>
                <w:szCs w:val="24"/>
              </w:rPr>
              <w:t xml:space="preserve">系统可提供教师端、学生端和家长端三种用户类型入口，教师端和学生端支持PC、手机</w:t>
            </w:r>
            <w:r>
              <w:rPr>
                <w:rFonts w:hint="eastAsia" w:ascii="宋体" w:hAnsi="宋体" w:cs="宋体"/>
                <w:sz w:val="24"/>
                <w:szCs w:val="24"/>
                <w:lang w:eastAsia="en-US"/>
              </w:rPr>
              <w:t xml:space="preserve">的</w:t>
            </w:r>
            <w:r>
              <w:rPr>
                <w:rFonts w:hint="eastAsia" w:ascii="宋体" w:hAnsi="宋体" w:cs="宋体"/>
                <w:sz w:val="24"/>
                <w:szCs w:val="24"/>
              </w:rPr>
              <w:t xml:space="preserve">多终端访问，家长端支持手机访问。手机端能够同时支持两种技术形态的客户端访问，一种是不需要安装的H5形式，（可支持对接微信公众号菜单并支持自动验证登陆），另一种是采用原生开发的APP形式。支持基于校园局域网（内网）、互联网（外网）的应用。要求采购系统为标准盒装软件产品。</w:t>
            </w:r>
            <w:r>
              <w:rPr>
                <w:rFonts w:hint="eastAsia" w:ascii="宋体" w:hAnsi="宋体" w:cs="宋体"/>
                <w:sz w:val="24"/>
                <w:szCs w:val="24"/>
              </w:rPr>
            </w:r>
            <w:r/>
          </w:p>
          <w:p>
            <w:pPr>
              <w:pStyle w:val="765"/>
              <w:ind w:left="0" w:firstLine="420"/>
              <w:spacing w:line="360" w:lineRule="auto"/>
              <w:widowControl w:val="off"/>
              <w:rPr>
                <w:rFonts w:hint="eastAsia" w:ascii="宋体" w:hAnsi="宋体" w:cs="宋体"/>
                <w:lang w:eastAsia="zh-CN"/>
              </w:rPr>
              <w:framePr w:vAnchor="text" w:hAnchor="page" w:x="1617" w:y="453"/>
            </w:pPr>
            <w:r>
              <w:rPr>
                <w:rFonts w:hint="eastAsia" w:ascii="宋体" w:hAnsi="宋体" w:cs="宋体"/>
                <w:lang w:eastAsia="zh-CN" w:bidi="ar-SA"/>
              </w:rPr>
              <w:t xml:space="preserve">3.</w:t>
            </w:r>
            <w:r>
              <w:rPr>
                <w:rFonts w:hint="eastAsia" w:ascii="宋体" w:hAnsi="宋体" w:cs="宋体"/>
                <w:lang w:eastAsia="zh-CN"/>
              </w:rPr>
              <w:t xml:space="preserve">系统不限制用户账号数量和使用时间，系统提供本地部署模式，提供不少于3年免费服务期，服务期内免费提供软件更新迭代服务。</w:t>
            </w:r>
            <w:r>
              <w:rPr>
                <w:rFonts w:hint="eastAsia" w:ascii="宋体" w:hAnsi="宋体" w:cs="宋体"/>
                <w:lang w:eastAsia="zh-CN"/>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4.系统需支持教师对已经生效的评价记录进行冲销处理，冲销权限可灵活的配置，对已生效的评价记录进行Excel格式导出。</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5.系统需支持评价结果可通过APP实时推送给学生和家长。</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6.系统需支持评价指标管理功能，教师可根据评价对象的不同（如学生、班级、宿舍等）进行指标分类管理。指标需兼容学校共性指标、系部特色指标、班级个性指标。评价指标支持Excel模板批量导入。支持动态定义评价指标是否需要审核，审核者可以是教职工，也可是学生。</w:t>
            </w:r>
            <w:r>
              <w:rPr>
                <w:rFonts w:hint="eastAsia" w:ascii="宋体" w:hAnsi="宋体" w:cs="宋体"/>
                <w:sz w:val="24"/>
                <w:szCs w:val="24"/>
                <w:shd w:val="clear" w:color="auto" w:fill="ffffff"/>
              </w:rPr>
              <w:t xml:space="preserve">支持指标批量导出为Excel文档</w:t>
            </w:r>
            <w:r>
              <w:rPr>
                <w:rFonts w:hint="eastAsia" w:ascii="宋体" w:hAnsi="宋体" w:cs="宋体"/>
                <w:sz w:val="24"/>
                <w:szCs w:val="24"/>
              </w:rPr>
              <w:t xml:space="preserve">。</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7.系统需支持评价任务灵活分配，拥有评价管理权限的教师可以下发相关评价任务给学生或教职工，考核指定的被考核对象，实施评价工作。</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8.系统需支持学校管理工作者对班级、学生、宿舍等评价情况的查询，且各学校管理工作者因管理职务不同，可支持灵活的查询权限配置。</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9.系统需支持教师根据评价维度（如德、智、体、美、劳，或技能获奖、学业成绩、升旗仪式、好人好事、校规校纪、活动参与等）情况，预先定义综合分析的各雷达图维度（如品德、学业、健康、技能、才艺等），教师与学生可以在手机端查看学生的综合分析结果。</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10.</w:t>
            </w:r>
            <w:r>
              <w:rPr>
                <w:rFonts w:hint="eastAsia" w:ascii="宋体" w:hAnsi="宋体" w:cs="宋体"/>
                <w:sz w:val="24"/>
                <w:szCs w:val="24"/>
                <w:lang w:eastAsia="en-US"/>
              </w:rPr>
              <w:t xml:space="preserve">支持通过Excel表批量上传评价信息，根据不同评价任务生成不同的导入模版</w:t>
            </w:r>
            <w:r>
              <w:rPr>
                <w:rFonts w:hint="eastAsia" w:ascii="宋体" w:hAnsi="宋体" w:cs="宋体"/>
                <w:sz w:val="24"/>
                <w:szCs w:val="24"/>
              </w:rPr>
              <w:t xml:space="preserve">。</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11.前台报表页面支持按对象类型划分便于操作者可以快速查找学生、班级、宿舍、系部等报表。支持按系部、按年级或者按对象及时间（日、周、月、学期）进行过滤筛选查询。各个项目支持明细查询，可以查看具体的加减分行为及日期等。查询结果支持导出成excel文档、支持根据得分进行升降序排序。</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12.后台创建报表支持用户自由选择报表类型（日报、周报、月报、学期报）。周报需支持五天制、七天制的两种类型报表。支持用户自定义可灵活的设计表头及配置统计方式。</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13.系统需支持教师自定义请假类型，并定义是否需要家长审批，也可进行请假记录的查询，查询支持的过滤条件支持层级筛选、假期类型、审批状态等进行筛选查询、针对查询结果支持导出请假明细工作。学生请假申请、家长审批意见、教师审批意见可通过推送，实时发送给相关用户。</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14.系统需支持教师对学校课程类型创建（如：公共基础科目、专业基础科目等），课程类型下可自由创建和批量导入相关课程，并对已创建的课程可实现编辑、禁用或删除。</w:t>
            </w:r>
            <w:r>
              <w:rPr>
                <w:rFonts w:hint="eastAsia" w:ascii="宋体" w:hAnsi="宋体" w:cs="宋体"/>
                <w:sz w:val="24"/>
                <w:szCs w:val="24"/>
                <w:lang w:eastAsia="en-US"/>
              </w:rPr>
              <w:t xml:space="preserve">支持按专业查看本专业的教学课程。</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15.系统需支持教师对于学生考试成绩和学业水平测试的录入管理，支持成绩批量导入、成绩批量导出、成绩在线录入、已录入成绩统计。支持批量导入班级课程表信息，支持临时调课，且调课信息自动发送消息给相关教师和学生。</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16.系统需支持课堂考勤的指标配置功能。可针对上课迟到、旷课、早退、课堂违纪情况，配置相应的评价指标。授课教师在进行考勤后，系统可将缺勤情况推送给学生、学生班主任、学生家长。</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17.系统需支持课堂考勤节次设置，允许学校根据实际需要开启或关闭早晚自习的考勤。按设置不同节次的考勤时间，只允许在时间设置范围内进行考勤。</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18.系统需支持课堂考勤的冲销权限，有权限的教职工用户可以随时冲销有歧义的课堂考勤。</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19.系统支持查询教师课堂考勤点名统计，可以查根据不同维度：日、周、月、学期老师点名的次数，也可以支持导出查询结果。</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20.</w:t>
            </w:r>
            <w:r>
              <w:rPr>
                <w:rFonts w:hint="eastAsia" w:ascii="宋体" w:hAnsi="宋体" w:cs="宋体"/>
                <w:sz w:val="24"/>
                <w:szCs w:val="24"/>
                <w:lang w:eastAsia="en-US"/>
              </w:rPr>
              <w:t xml:space="preserve">系统支持老师和有权限的学生在手机和PC上快速进行考勤，支持批量导入，考勤通过后允许修改节次信息，支持查询考勤记录，并统计出勤率、以及出勤、缺勤、违纪的人数。</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21.系统需支持宿舍查寝的指标配置功能。可针对未离宿、夜不归宿、迟归违纪情况，配置相应的评价指标。授课教师在进行考勤后，系统可将缺勤情况推送给学生、学生班主任、学生家长、生管老师。</w:t>
            </w:r>
            <w:r>
              <w:rPr>
                <w:rFonts w:hint="eastAsia" w:ascii="宋体" w:hAnsi="宋体" w:cs="宋体"/>
                <w:sz w:val="24"/>
                <w:szCs w:val="24"/>
                <w:lang w:eastAsia="en-US"/>
              </w:rPr>
              <w:t xml:space="preserve">同时支持自定义配置查寝指标。</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22.系统需支持针对宿舍对象，如当日无违纪/加分行为，选择宿舍后，可以点击当日无加/减分行为的按钮，则记录本次评价记录，不产生分值。如果当日已经评价过，则该对象用其他颜色区分，并且可以查看当日评价明细。</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23.系统需支持学校教师根据不同时间维度（周、月、学期）对评价对象的数据进行全局数据分析，包括正向行为和违纪行为的评价次数与行为环比、分值数据与分值环比，可通过柱状图或其他图表进行可视化呈现。</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24.系统需支持对学生个体进行分析查询，通过不同的时间维度（周、月、学期）查看学生量化评价得分、行为次数统计、行为明细、评价记录明细等，其中量化得分走势图需支持与班级平均分、班级最高分、校级平均分、校级最高分进行对比。</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25.系统需支持行为预警，教师用户可预先设置一条或多条预警线，当学生量化评价积分低于警戒线时，该学生评价积分等信息将显示在预警提示中，同时支持批量导出处于预警提示范围的学生。当学生量化评价积分低于学校设置的预警线时，学生本人、学生家长、学生班主任可收到系统自动发送的通知公告。系统支持设置违纪指标环比上升预警，超出环比值时，系统给予提示。</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26.系统需支持评价对象间的评价数据PK，并展示所有评价指标的对比数据呈现，教师用户在查阅PK对比数据过程可以设置过滤同分项。</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27.系统需支持在线编辑、设计学生胸牌样式，并可自动根据学生信息生成二维码，从系统导出图片用于制作胸牌。支持在线编辑、设计班级门牌样式，并可自动根据班级信息生成二维码，从系统导出图片用于张贴在班级门上便于考评。支持在线编辑、设计宿舍门牌样式，并可自动根据宿舍信息生成二维码，从系统导出图片用于张贴在宿舍门上便于考评。</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28.</w:t>
            </w:r>
            <w:r>
              <w:rPr>
                <w:rFonts w:hint="eastAsia" w:ascii="宋体" w:hAnsi="宋体" w:cs="宋体"/>
                <w:sz w:val="24"/>
                <w:szCs w:val="24"/>
                <w:lang w:eastAsia="en-US"/>
              </w:rPr>
              <w:t xml:space="preserve">系统需支持学生、教师对自己对基本信息进行更新，更新后需提交审批，审批通过资料才生效。支持对审批流程的设置，以及对允许编辑的基本信息字段进行配置，支持设置允许编辑的时间段，方便学校对学生信息的统一收集和管理。</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29.系统需支持教师通过手机端，进行评价任务的创建、评价任务的灵活分配，拥有评价管理权限的教师可以下发相关考核任务给学生或教职工，考核指定的被考核对象，实施评价工作。根据班级管理需要，通过手机端自主配置评价指标的接收推送；</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30.系统需支持用户通过手机端，对评价进行关联评价、对考评数据进行补录。</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31.系统需支持扫一扫快速识别用户且支持识别可对该用户的考评任务权限。</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32.系统需支持批量考评过程除了共性指标之外，支持在待提交环节添加差异化指标。</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33.系统需支持拥有审核权限的用户，可以通过手机端对需要审核的评价记录进行审核。</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34.系统需支持用户在评价数据录入时，可智能识别被评价学生是否有请假。</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35.系统支持一周小结，每周根据教师不同角色自动推送不同维度的小结报告并支持报告发送分析（微信、朋友圈、QQ等）。</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36.系统需支持用户在评价过程中，通过文字和照片，提供佐证说明。</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37.系统需支持默认用户所在的班级或宿舍作为关注对象，并可根据日、周、月、学期等维度查询班级和宿舍对象的评价明细和统计数据。</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38.系统需支持班主任查询本班学生的综合素质分析。</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39.系统需支持教师根据权限查询评价排行榜信息，排行榜支持班主任按周、月、学期查看所负责班级的学生评价加分、扣分、总分、排名，数据支持实时更新和统计。教师可按周、月、学期查看所负责的班级加分、扣分、总分、系部的排名，同时支持分享至社交网络，数据支持实时更新和统计。教师可按周、月、学期查看系部加分、扣分、总分、系部的排名，同时支持分享至社交网络，数据支持实时更新和统计。教师可按周、月、学期查看全校所有宿舍的得分、楼层排名，同时支持分享至社交网络，数据支持实时更新和统计。</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40.系统需支持教师查询应用的使用统计情况。具体可查询教师应用情况，包含教师的日、</w:t>
            </w:r>
            <w:r>
              <w:rPr>
                <w:rFonts w:hint="eastAsia" w:ascii="宋体" w:hAnsi="宋体" w:cs="宋体"/>
                <w:sz w:val="24"/>
                <w:szCs w:val="24"/>
              </w:rPr>
              <w:t xml:space="preserve">周、月、学期的登录情况与评价次数，并可查看评价记录详情；评价记录统计，可按日、周、月、学期查询类型统计（各评价对象的评价记录次数与占比、正向和违纪评价次数与占比）、全校统计（全校各系部评价记录次数与占比）、系部统计（系部下各班级的评价记录与明细）、宿舍统计（各区栋产生的评价记录与明细）；评价指标分析，可按日、周、月、学期查询各评价对象的正向指标和违纪指标Top 10，以及评价记录明细；用户登录统计，可查看本学期各月份教师、学生、家长的登录情况；行为预警分析，可查看处于预警线的学生列表以及该学生评价记录明细。</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41.系统支持行为预警，当班级学生触发预警班主任将会接收到提醒信息。</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42.系统需支持教师在手机端进行课堂考勤。授课教师可自主添加授课课程与科目，并查看本学期的历史考勤记录。支持授课教师在考勤当日除了对课堂出勤情况与违纪情况进行调整之外也需要支持对考勤节次的调整，在考勤当日撤销考评记录。支持授课教师将考勤录入权限授权给班级学生，以便学生协助教师进行考勤情况的记录，按照日、周、月、学期查询授课班级的出勤统计和违纪统计。</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43.系统支持班主任通过课堂考勤功能查看本班当日出勤情况与违纪情况，并可按照日、周、月、学期查询班级的出勤统计与违纪统计。</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44.系统支持学校管理者通过课堂考勤功能，查看全校与各系部出勤统计和违纪统计，同时支持查看课堂考勤的使用情况，展示各班级每节课的考勤情况且支持每节课的考勤人及考勤时间。</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45.系统支持教师在手机端进行宿舍查寝，生管老师可根据自己负责范围的宿舍进行查寝，支持生管老师在查寝当日对宿舍出勤情况进行调整，支持生管老师将查寝权限授权给该栋楼学生，以便学生协助老师进行查寝。支持教师查看每天查寝违纪统计。同时支持查看宿舍查寝的使用情况，展示各个宿舍晨检与晚检的考勤情况。</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46.系统需支持班主任通过手机端，对本班学生进行学期点评，系统需提供不同类型的评语模板，班主任可根据模板进行自主编辑和使用。支持教师查询评语使用统计。</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47.系统需支持班主任通过手机端，查询本班学生的课程成绩、学业水平考试成绩、学生往期德育积分，并可针对学生成绩，进行班级最高分、班级最低分、班级平均分分析。</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48.</w:t>
            </w:r>
            <w:r>
              <w:rPr>
                <w:rFonts w:hint="eastAsia" w:ascii="宋体" w:hAnsi="宋体" w:cs="宋体"/>
                <w:sz w:val="24"/>
                <w:szCs w:val="24"/>
                <w:lang w:eastAsia="en-US"/>
              </w:rPr>
              <w:t xml:space="preserve">系统支持对学生进出校申请进行审批，支持批量审批。</w:t>
            </w:r>
            <w:r>
              <w:rPr>
                <w:rFonts w:hint="eastAsia" w:ascii="宋体" w:hAnsi="宋体" w:cs="宋体"/>
                <w:sz w:val="24"/>
                <w:szCs w:val="24"/>
              </w:rPr>
            </w:r>
            <w:r/>
          </w:p>
          <w:p>
            <w:pPr>
              <w:pStyle w:val="645"/>
              <w:ind w:firstLine="42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49.系统需支持学生查询评价排行榜，可按周、月、学期查看所在班级的学生评价加分、扣分、总分、排名，同时支持分享至社交网络，数据支持实时更新和统计。学生可按周、月、学期查看所在班级的量化评价加分、扣分、总分、系部的排名，同时支持分享至社交网络，数据支持实时更新和统计。学生可按周、月、学期查看本人所在宿舍的加分、扣分、总分、楼层排名，同时支持分享至社交网络，数据支持实时更新和统计。学生可按周、月、学期查看本人所在系部的加分、扣分、总分、全校排名，同时支持分享至社交网络，数据支持实时更新和统计。</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50.系统需支持学生通过手机端，查询自己的评价记录和被评价记录，支持按周、月、学期等维度进行扣分、加分和得分统计。对有歧义的考评记录发起申诉。支持进行请假申请，相关老师可在线进行请假审批，同时，学生可自主选择审批教师和抄送教师，其次请假成功后如学生提前返校系统需支持学生进行提前销假。支持查看荣誉勋章、获取记录、获取规则等，查询学业成绩、查询历史德育积分，查看教师的学期评语。</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51.系统需支持家长端用户对子女请假进行审批。支持家长端替子女发起请假申请。</w:t>
            </w:r>
            <w:r>
              <w:rPr>
                <w:rFonts w:hint="eastAsia" w:ascii="宋体" w:hAnsi="宋体" w:cs="宋体"/>
                <w:sz w:val="24"/>
                <w:szCs w:val="24"/>
              </w:rPr>
            </w:r>
            <w:r/>
          </w:p>
          <w:p>
            <w:pPr>
              <w:pStyle w:val="645"/>
              <w:ind w:firstLine="420"/>
              <w:spacing w:line="360" w:lineRule="auto"/>
              <w:tabs>
                <w:tab w:val="left" w:pos="420" w:leader="none"/>
              </w:tabs>
              <w:rPr>
                <w:rFonts w:hint="eastAsia" w:ascii="宋体" w:hAnsi="宋体" w:cs="宋体"/>
                <w:sz w:val="24"/>
                <w:szCs w:val="24"/>
              </w:rPr>
              <w:framePr w:vAnchor="text" w:hAnchor="page" w:x="1617" w:y="453"/>
            </w:pPr>
            <w:r>
              <w:rPr>
                <w:rFonts w:hint="eastAsia" w:ascii="宋体" w:hAnsi="宋体" w:cs="宋体"/>
                <w:sz w:val="24"/>
                <w:szCs w:val="24"/>
              </w:rPr>
              <w:t xml:space="preserve">52.系统需支持家长端用户对子女在校的评价表现、学业成绩、学期评语、在校期间所获得的荣誉勋章等进行查询。</w:t>
            </w:r>
            <w:r>
              <w:rPr>
                <w:rFonts w:hint="eastAsia" w:ascii="宋体" w:hAnsi="宋体" w:cs="宋体"/>
                <w:sz w:val="24"/>
                <w:szCs w:val="24"/>
              </w:rPr>
            </w:r>
            <w:r/>
          </w:p>
          <w:p>
            <w:pPr>
              <w:pStyle w:val="645"/>
              <w:ind w:firstLine="480"/>
              <w:spacing w:line="360" w:lineRule="auto"/>
              <w:rPr>
                <w:rFonts w:hint="eastAsia" w:ascii="宋体" w:hAnsi="宋体" w:cs="宋体"/>
                <w:sz w:val="24"/>
                <w:szCs w:val="24"/>
              </w:rPr>
              <w:framePr w:vAnchor="text" w:hAnchor="page" w:x="1617" w:y="453"/>
            </w:pPr>
            <w:r>
              <w:rPr>
                <w:rFonts w:hint="eastAsia" w:ascii="宋体" w:hAnsi="宋体" w:cs="宋体"/>
                <w:sz w:val="24"/>
                <w:szCs w:val="24"/>
              </w:rPr>
              <w:t xml:space="preserve">53.支持免费开放接口，进行数据对接，提供对接方案，如有产生对接开发费用则由学校承担。对接学生参加部分活动采集的人脸识别数据，能自动录入评价体系。对接学生的学业成绩要和学校教务管理系统数据相通。</w:t>
            </w:r>
            <w:r>
              <w:rPr>
                <w:rFonts w:hint="eastAsia" w:ascii="宋体" w:hAnsi="宋体" w:cs="宋体"/>
                <w:sz w:val="24"/>
                <w:szCs w:val="24"/>
              </w:rPr>
            </w:r>
            <w:r/>
          </w:p>
        </w:tc>
      </w:tr>
    </w:tbl>
    <w:p>
      <w:pPr>
        <w:pStyle w:val="649"/>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2.3.教学常规及评教评学系统（含移动听评课模块）</w:t>
      </w:r>
      <w:r>
        <w:rPr>
          <w:rFonts w:hint="eastAsia" w:ascii="宋体" w:hAnsi="宋体" w:eastAsia="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8130"/>
      </w:tblGrid>
      <w:tr>
        <w:trPr/>
        <w:tc>
          <w:tcPr>
            <w:shd w:val="clear" w:color="auto" w:fill="e6e0ec"/>
            <w:tcW w:w="1515" w:type="dxa"/>
            <w:vAlign w:val="center"/>
            <w:textDirection w:val="lrTb"/>
            <w:noWrap w:val="false"/>
          </w:tcPr>
          <w:p>
            <w:pPr>
              <w:pStyle w:val="645"/>
              <w:jc w:val="center"/>
              <w:spacing w:before="145" w:line="360" w:lineRule="auto"/>
              <w:rPr>
                <w:rFonts w:hint="eastAsia" w:ascii="宋体" w:hAnsi="宋体" w:cs="宋体"/>
                <w:sz w:val="24"/>
                <w:szCs w:val="24"/>
              </w:rPr>
            </w:pPr>
            <w:r>
              <w:rPr>
                <w:rFonts w:hint="eastAsia" w:ascii="宋体" w:hAnsi="宋体" w:cs="宋体"/>
                <w:sz w:val="24"/>
                <w:szCs w:val="24"/>
              </w:rPr>
              <w:t xml:space="preserve">需求名称</w:t>
            </w:r>
            <w:r>
              <w:rPr>
                <w:rFonts w:hint="eastAsia" w:ascii="宋体" w:hAnsi="宋体" w:cs="宋体"/>
                <w:sz w:val="24"/>
                <w:szCs w:val="24"/>
              </w:rPr>
            </w:r>
            <w:r/>
          </w:p>
        </w:tc>
        <w:tc>
          <w:tcPr>
            <w:shd w:val="clear" w:color="auto" w:fill="e6e0ec"/>
            <w:tcW w:w="8130" w:type="dxa"/>
            <w:vAlign w:val="center"/>
            <w:textDirection w:val="lrTb"/>
            <w:noWrap w:val="false"/>
          </w:tcPr>
          <w:p>
            <w:pPr>
              <w:pStyle w:val="645"/>
              <w:jc w:val="center"/>
              <w:spacing w:before="145" w:line="360" w:lineRule="auto"/>
              <w:rPr>
                <w:rFonts w:hint="eastAsia" w:ascii="宋体" w:hAnsi="宋体" w:cs="宋体"/>
                <w:sz w:val="24"/>
                <w:szCs w:val="24"/>
              </w:rPr>
            </w:pPr>
            <w:r>
              <w:rPr>
                <w:rFonts w:hint="eastAsia" w:ascii="宋体" w:hAnsi="宋体" w:cs="宋体"/>
                <w:sz w:val="24"/>
                <w:szCs w:val="24"/>
              </w:rPr>
              <w:t xml:space="preserve">功能描述</w:t>
            </w:r>
            <w:r>
              <w:rPr>
                <w:rFonts w:hint="eastAsia" w:ascii="宋体" w:hAnsi="宋体" w:cs="宋体"/>
                <w:sz w:val="24"/>
                <w:szCs w:val="24"/>
              </w:rPr>
            </w:r>
            <w:r/>
          </w:p>
        </w:tc>
      </w:tr>
      <w:tr>
        <w:trPr/>
        <w:tc>
          <w:tcPr>
            <w:tcW w:w="151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1.教学常规及评教评学系统</w:t>
            </w:r>
            <w:r>
              <w:rPr>
                <w:rFonts w:hint="eastAsia" w:ascii="宋体" w:hAnsi="宋体" w:cs="宋体"/>
                <w:sz w:val="24"/>
                <w:szCs w:val="24"/>
              </w:rPr>
            </w:r>
            <w:r/>
          </w:p>
        </w:tc>
        <w:tc>
          <w:tcPr>
            <w:tcW w:w="8130" w:type="dxa"/>
            <w:vAlign w:val="top"/>
            <w:textDirection w:val="lrTb"/>
            <w:noWrap w:val="false"/>
          </w:tcPr>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1.教学常规检查</w:t>
            </w:r>
            <w:r>
              <w:rPr>
                <w:rFonts w:hint="eastAsia" w:cs="宋体"/>
                <w:caps w:val="0"/>
                <w:lang w:val="en-US" w:eastAsia="zh-CN"/>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1）含教学常规专项督导、课堂教学巡查、教育教学月度检查、教案检测及情况反馈、早晚自习巡查等。教师可通过前端即时提交检查现况，纸质表单线上化，提高了学校检查效率。后台可汇总多表数据，随时筛选查看，永久记录。</w:t>
            </w:r>
            <w:r>
              <w:rPr>
                <w:rFonts w:hint="eastAsia" w:cs="宋体"/>
                <w:caps w:val="0"/>
                <w:lang w:val="en-US" w:eastAsia="zh-CN"/>
              </w:rPr>
            </w:r>
            <w:r/>
          </w:p>
          <w:p>
            <w:pPr>
              <w:pStyle w:val="645"/>
              <w:spacing w:line="360" w:lineRule="auto"/>
              <w:rPr>
                <w:rFonts w:hint="eastAsia" w:ascii="宋体" w:hAnsi="宋体" w:cs="宋体"/>
              </w:rPr>
            </w:pPr>
            <w:r>
              <w:rPr>
                <w:rFonts w:hint="eastAsia" w:ascii="宋体" w:hAnsi="宋体" w:cs="宋体"/>
                <w:sz w:val="24"/>
                <w:szCs w:val="24"/>
              </w:rPr>
              <w:t xml:space="preserve">（2）含学校计算机机房、实训室等教室使用情况记载及检查情况，可有相关使用和检查部门定期按计划检查，并提供汇总统计。</w:t>
            </w:r>
            <w:r>
              <w:rPr>
                <w:rFonts w:hint="eastAsia" w:ascii="宋体" w:hAnsi="宋体" w:cs="宋体"/>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2.班级信息员（班级的学生代表）填写班级日志</w:t>
            </w:r>
            <w:r>
              <w:rPr>
                <w:rFonts w:hint="eastAsia" w:cs="宋体"/>
                <w:caps w:val="0"/>
                <w:lang w:val="en-US" w:eastAsia="zh-CN"/>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通过填写每天班级日志，包括每天教师上课的课程情况，教师教学情况（维度指标可根据学校修订），是否有老师准时准点上下课，是否调代课等等。准确的反馈班级每天的上课情况等。</w:t>
            </w:r>
            <w:r>
              <w:rPr>
                <w:rFonts w:hint="eastAsia" w:cs="宋体"/>
                <w:caps w:val="0"/>
                <w:lang w:val="en-US" w:eastAsia="zh-CN"/>
              </w:rPr>
            </w:r>
            <w:r/>
          </w:p>
          <w:p>
            <w:pPr>
              <w:pStyle w:val="732"/>
              <w:ind w:firstLine="0"/>
              <w:spacing w:line="360" w:lineRule="auto"/>
              <w:rPr>
                <w:rFonts w:hint="eastAsia" w:ascii="宋体" w:hAnsi="宋体" w:eastAsia="宋体" w:cs="宋体"/>
                <w:szCs w:val="24"/>
                <w:lang w:val="en-US" w:eastAsia="en-US"/>
              </w:rPr>
            </w:pPr>
            <w:r>
              <w:rPr>
                <w:rFonts w:hint="eastAsia" w:ascii="宋体" w:hAnsi="宋体" w:eastAsia="宋体" w:cs="宋体"/>
                <w:szCs w:val="24"/>
                <w:lang w:val="en-US"/>
              </w:rPr>
              <w:t xml:space="preserve">3.教育教学督导评价系统</w:t>
            </w:r>
            <w:r>
              <w:rPr>
                <w:rFonts w:hint="eastAsia" w:ascii="宋体" w:hAnsi="宋体" w:eastAsia="宋体" w:cs="宋体"/>
                <w:szCs w:val="24"/>
                <w:lang w:val="en-US" w:eastAsia="en-US"/>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（1）指标管理：可以建立通用评价指标，或者对已建指标进行编辑，删除等操作。</w:t>
            </w:r>
            <w:r>
              <w:rPr>
                <w:rFonts w:hint="eastAsia" w:cs="宋体"/>
                <w:caps w:val="0"/>
                <w:lang w:val="en-US" w:eastAsia="zh-CN"/>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（2）评价问卷分类：可自定义问卷种类，如评教、评学、学情调查、活动反馈等。</w:t>
            </w:r>
            <w:r>
              <w:rPr>
                <w:rFonts w:hint="eastAsia" w:cs="宋体"/>
                <w:caps w:val="0"/>
                <w:lang w:val="en-US" w:eastAsia="zh-CN"/>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可以教师评价学生，也可以学生进行评教。老师和学生都可以操作按指标打分，学情调查等。</w:t>
            </w:r>
            <w:r>
              <w:rPr>
                <w:rFonts w:hint="eastAsia" w:ascii="宋体" w:hAnsi="宋体" w:cs="宋体"/>
                <w:sz w:val="24"/>
                <w:szCs w:val="24"/>
              </w:rPr>
            </w:r>
            <w:r/>
          </w:p>
          <w:p>
            <w:pPr>
              <w:pStyle w:val="698"/>
              <w:jc w:val="both"/>
              <w:spacing w:line="360" w:lineRule="auto"/>
              <w:tabs>
                <w:tab w:val="right" w:pos="8720" w:leader="dot"/>
              </w:tabs>
              <w:rPr>
                <w:rFonts w:hint="eastAsia" w:cs="宋体"/>
                <w:caps w:val="0"/>
                <w:lang w:val="en-US" w:eastAsia="zh-CN"/>
              </w:rPr>
            </w:pPr>
            <w:r>
              <w:rPr>
                <w:rFonts w:hint="eastAsia" w:cs="宋体"/>
                <w:caps w:val="0"/>
                <w:lang w:val="en-US" w:eastAsia="zh-CN"/>
              </w:rPr>
              <w:t xml:space="preserve">（3）评价管理：教师和学生通过门户界面登陆个人账号后，进入个人空间中评价管理界面，可以接收评价任务，也可查看被评价信息；学生和老师，学校管理者都可以参与评价并得到数据分析，管理员和督导可以查询全校教师的评价结果；</w:t>
            </w:r>
            <w:r>
              <w:rPr>
                <w:rFonts w:hint="eastAsia" w:cs="宋体"/>
                <w:caps w:val="0"/>
                <w:lang w:val="en-US" w:eastAsia="zh-CN"/>
              </w:rPr>
            </w:r>
            <w:r/>
          </w:p>
          <w:p>
            <w:pPr>
              <w:pStyle w:val="645"/>
              <w:spacing w:line="360" w:lineRule="auto"/>
              <w:rPr>
                <w:rFonts w:ascii="宋体" w:hAnsi="宋体" w:cs="宋体"/>
                <w:sz w:val="24"/>
                <w:szCs w:val="24"/>
              </w:rPr>
            </w:pPr>
            <w:r>
              <w:rPr>
                <w:rFonts w:hint="eastAsia" w:ascii="宋体" w:hAnsi="宋体" w:cs="宋体"/>
                <w:sz w:val="24"/>
                <w:szCs w:val="24"/>
              </w:rPr>
              <w:t xml:space="preserve">（4）督导结果呈现：可按学校、专业、课程、教师、学生汇总显示个人画像。教师汇总结果：显示教师的所有评价的汇总结果；学生评教结果：按评价指标显示学生评价教师的汇总结果；同行互评结果：按评价指标显示教师互评的结果；督导评教结果：按评价指标显示专家评价教师的汇总结果；</w:t>
            </w:r>
            <w:r>
              <w:rPr>
                <w:rFonts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（5）授课计划库：可以按学校授课计划建立授课计划库，并提供给后续评价使用。包含但不限于，任课教师，教师账号，任课教师部门，部门代码，任课班级，班级代码，课程，课程代码，课程形式等内容。</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6）课堂教学质量评价表：教学质量评价表包含公共基础课程、专业理论课程课堂教学质量评价表，专业实践课程评价表，体育课程课堂教学质量评价表，主要为前端督导对于课堂中教师维度、学生维度以及综合评价进行打分，可通过优秀（A，A+，A—），良好（B，B+，B—），合格（C，C+，C—），不合格（D）进行赋分，每个字母赋予的分值不同，课堂中教师维度、学生维度以及综合评价分数权重有所不同，最后分数根据权重形成总分，通过总分形成等级。同时评价表也附带传统纸质听课本的形式用于数据记录，拍照等。</w:t>
            </w:r>
            <w:r>
              <w:rPr>
                <w:rFonts w:hint="eastAsia" w:ascii="宋体" w:hAnsi="宋体" w:cs="宋体"/>
                <w:sz w:val="24"/>
                <w:szCs w:val="24"/>
              </w:rPr>
            </w:r>
            <w:r/>
          </w:p>
          <w:p>
            <w:pPr>
              <w:pStyle w:val="732"/>
              <w:ind w:firstLine="0"/>
              <w:spacing w:line="360" w:lineRule="auto"/>
              <w:rPr>
                <w:rFonts w:hint="eastAsia" w:ascii="宋体" w:hAnsi="宋体" w:eastAsia="宋体" w:cs="宋体"/>
                <w:szCs w:val="24"/>
              </w:rPr>
            </w:pPr>
            <w:r>
              <w:rPr>
                <w:rFonts w:hint="eastAsia" w:ascii="宋体" w:hAnsi="宋体" w:eastAsia="宋体" w:cs="宋体"/>
                <w:szCs w:val="24"/>
                <w:lang w:val="en-US"/>
              </w:rPr>
              <w:t xml:space="preserve">4.教师教学日志：（1）教学日志管理，老师可在线填写教学日志及上传相关附件。（2）课堂教学考勤管理，可在线记录老师上课的考勤状态。也可在线统计学生每节课的考勤状态。学生缺勤达到一定天数要有提醒或反馈信息。（3）学校管理人员可查看教师的日常教学情况，监督教学日常。</w:t>
            </w:r>
            <w:r>
              <w:rPr>
                <w:rFonts w:hint="eastAsia" w:ascii="宋体" w:hAnsi="宋体" w:eastAsia="宋体" w:cs="宋体"/>
                <w:szCs w:val="24"/>
              </w:rPr>
            </w:r>
            <w:r/>
          </w:p>
        </w:tc>
      </w:tr>
      <w:tr>
        <w:trPr/>
        <w:tc>
          <w:tcPr>
            <w:tcW w:w="151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2.移动听评课系统</w:t>
            </w:r>
            <w:r>
              <w:rPr>
                <w:rFonts w:hint="eastAsia" w:ascii="宋体" w:hAnsi="宋体" w:cs="宋体"/>
                <w:sz w:val="24"/>
                <w:szCs w:val="24"/>
              </w:rPr>
            </w:r>
            <w:r/>
          </w:p>
        </w:tc>
        <w:tc>
          <w:tcPr>
            <w:tcW w:w="8130" w:type="dxa"/>
            <w:vAlign w:val="top"/>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1.可根据学校的要求，实现学校领导每学期听课任务查询，如总听课任务，已经完成的听课任务等等。</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2.可以实现学校日常教学校验听课评课智能化应用；个性化评价；系统化管理以及数据化分析。</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3.老师个人可以在线开课，在线评课以及查看自己的评课记录，被评课记录。</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学校可以分配听课计划，自定义评价指标，查看全校听评记录等。</w:t>
            </w:r>
            <w:r>
              <w:rPr>
                <w:rFonts w:hint="eastAsia" w:ascii="宋体" w:hAnsi="宋体" w:cs="宋体"/>
                <w:sz w:val="24"/>
                <w:szCs w:val="24"/>
              </w:rPr>
            </w:r>
            <w:r/>
          </w:p>
        </w:tc>
      </w:tr>
    </w:tbl>
    <w:p>
      <w:pPr>
        <w:pStyle w:val="645"/>
        <w:jc w:val="left"/>
        <w:keepLines/>
        <w:keepNext/>
        <w:spacing w:line="360" w:lineRule="auto"/>
        <w:rPr>
          <w:rFonts w:hint="eastAsia" w:ascii="宋体" w:hAnsi="宋体" w:cs="宋体"/>
          <w:b/>
          <w:sz w:val="24"/>
          <w:szCs w:val="24"/>
        </w:rPr>
        <w:outlineLvl w:val="3"/>
      </w:pPr>
      <w:r>
        <w:rPr>
          <w:rFonts w:hint="eastAsia" w:ascii="宋体" w:hAnsi="宋体" w:cs="宋体"/>
          <w:b/>
          <w:sz w:val="24"/>
          <w:szCs w:val="24"/>
        </w:rPr>
      </w:r>
      <w:r/>
    </w:p>
    <w:p>
      <w:pPr>
        <w:pStyle w:val="645"/>
        <w:jc w:val="left"/>
        <w:keepLines/>
        <w:keepNext/>
        <w:spacing w:line="360" w:lineRule="auto"/>
        <w:rPr>
          <w:rFonts w:hint="eastAsia" w:ascii="宋体" w:hAnsi="宋体" w:cs="宋体"/>
          <w:b/>
          <w:sz w:val="24"/>
          <w:szCs w:val="24"/>
        </w:rPr>
        <w:outlineLvl w:val="3"/>
      </w:pPr>
      <w:r>
        <w:rPr>
          <w:rFonts w:hint="eastAsia" w:ascii="宋体" w:hAnsi="宋体" w:cs="宋体"/>
          <w:b/>
          <w:sz w:val="24"/>
          <w:szCs w:val="24"/>
        </w:rPr>
        <w:t xml:space="preserve">2.4教师教科研系统 </w:t>
      </w:r>
      <w:r>
        <w:rPr>
          <w:rFonts w:hint="eastAsia" w:ascii="宋体" w:hAnsi="宋体" w:cs="宋体"/>
          <w:b/>
          <w:sz w:val="24"/>
          <w:szCs w:val="24"/>
        </w:rPr>
      </w:r>
      <w:r/>
    </w:p>
    <w:tbl>
      <w:tblPr>
        <w:tblW w:w="0" w:type="auto"/>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8235"/>
      </w:tblGrid>
      <w:tr>
        <w:trPr>
          <w:trHeight w:val="343"/>
        </w:trPr>
        <w:tc>
          <w:tcPr>
            <w:shd w:val="clear" w:color="auto" w:fill="e6e0ec"/>
            <w:tcW w:w="1575" w:type="dxa"/>
            <w:vAlign w:val="center"/>
            <w:textDirection w:val="lrTb"/>
            <w:noWrap w:val="false"/>
          </w:tcPr>
          <w:p>
            <w:pPr>
              <w:pStyle w:val="645"/>
              <w:jc w:val="center"/>
              <w:spacing w:line="360" w:lineRule="auto"/>
              <w:rPr>
                <w:rFonts w:hint="eastAsia" w:ascii="宋体" w:hAnsi="宋体" w:cs="宋体"/>
                <w:b/>
                <w:bCs/>
                <w:sz w:val="28"/>
                <w:szCs w:val="28"/>
              </w:rPr>
            </w:pPr>
            <w:r>
              <w:rPr>
                <w:rFonts w:hint="eastAsia" w:ascii="宋体" w:hAnsi="宋体" w:cs="宋体"/>
                <w:b/>
                <w:bCs/>
                <w:sz w:val="28"/>
                <w:szCs w:val="28"/>
              </w:rPr>
              <w:t xml:space="preserve">需求名称</w:t>
            </w:r>
            <w:r>
              <w:rPr>
                <w:rFonts w:hint="eastAsia" w:ascii="宋体" w:hAnsi="宋体" w:cs="宋体"/>
                <w:b/>
                <w:bCs/>
                <w:sz w:val="28"/>
                <w:szCs w:val="28"/>
              </w:rPr>
            </w:r>
            <w:r/>
          </w:p>
        </w:tc>
        <w:tc>
          <w:tcPr>
            <w:shd w:val="clear" w:color="auto" w:fill="e6e0ec"/>
            <w:tcW w:w="8235" w:type="dxa"/>
            <w:vAlign w:val="center"/>
            <w:textDirection w:val="lrTb"/>
            <w:noWrap w:val="false"/>
          </w:tcPr>
          <w:p>
            <w:pPr>
              <w:pStyle w:val="645"/>
              <w:jc w:val="center"/>
              <w:spacing w:line="360" w:lineRule="auto"/>
              <w:rPr>
                <w:rFonts w:hint="eastAsia" w:ascii="宋体" w:hAnsi="宋体" w:cs="宋体"/>
                <w:b/>
                <w:bCs/>
                <w:sz w:val="28"/>
                <w:szCs w:val="28"/>
              </w:rPr>
            </w:pPr>
            <w:r>
              <w:rPr>
                <w:rFonts w:hint="eastAsia" w:ascii="宋体" w:hAnsi="宋体" w:cs="宋体"/>
                <w:b/>
                <w:bCs/>
                <w:sz w:val="28"/>
                <w:szCs w:val="28"/>
              </w:rPr>
              <w:t xml:space="preserve">功能描述</w:t>
            </w:r>
            <w:r>
              <w:rPr>
                <w:rFonts w:hint="eastAsia" w:ascii="宋体" w:hAnsi="宋体" w:cs="宋体"/>
                <w:b/>
                <w:bCs/>
                <w:sz w:val="28"/>
                <w:szCs w:val="28"/>
              </w:rPr>
            </w:r>
            <w:r/>
          </w:p>
        </w:tc>
      </w:tr>
      <w:tr>
        <w:trPr>
          <w:trHeight w:val="2394"/>
        </w:trPr>
        <w:tc>
          <w:tcPr>
            <w:tcW w:w="1575"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t xml:space="preserve">总体描述</w:t>
            </w:r>
            <w:r>
              <w:rPr>
                <w:rFonts w:hint="eastAsia" w:ascii="宋体" w:hAnsi="宋体" w:cs="宋体"/>
                <w:sz w:val="24"/>
                <w:szCs w:val="24"/>
              </w:rPr>
            </w:r>
            <w:r/>
          </w:p>
        </w:tc>
        <w:tc>
          <w:tcPr>
            <w:tcW w:w="8235" w:type="dxa"/>
            <w:vAlign w:val="top"/>
            <w:textDirection w:val="lrTb"/>
            <w:noWrap w:val="false"/>
          </w:tcPr>
          <w:p>
            <w:pPr>
              <w:pStyle w:val="724"/>
              <w:ind w:left="0" w:firstLine="480"/>
              <w:spacing w:line="360" w:lineRule="auto"/>
              <w:rPr>
                <w:rFonts w:hint="eastAsia" w:ascii="宋体" w:hAnsi="宋体" w:cs="宋体"/>
                <w:lang w:eastAsia="zh-CN"/>
              </w:rPr>
            </w:pPr>
            <w:r>
              <w:rPr>
                <w:rFonts w:hint="eastAsia" w:ascii="宋体" w:hAnsi="宋体" w:cs="宋体"/>
                <w:lang w:eastAsia="zh-CN"/>
              </w:rPr>
              <w:t xml:space="preserve">1.教科研平台可自定义成果类型，比如论文、研究报告、著作权等，支持多成果管理；同时教科研过程化，可记录教师培训、学术会议、获奖、技能大赛等，最终通过数据综合分析，完善学校对教师的成果考核。</w:t>
            </w:r>
            <w:r>
              <w:rPr>
                <w:rFonts w:hint="eastAsia" w:ascii="宋体" w:hAnsi="宋体" w:cs="宋体"/>
                <w:lang w:eastAsia="zh-CN"/>
              </w:rPr>
            </w:r>
            <w:r/>
          </w:p>
          <w:p>
            <w:pPr>
              <w:pStyle w:val="724"/>
              <w:ind w:left="0" w:firstLine="480"/>
              <w:spacing w:line="360" w:lineRule="auto"/>
              <w:rPr>
                <w:rFonts w:hint="eastAsia" w:ascii="宋体" w:hAnsi="宋体" w:cs="宋体"/>
                <w:lang w:eastAsia="zh-CN"/>
              </w:rPr>
            </w:pPr>
            <w:r>
              <w:rPr>
                <w:rFonts w:hint="eastAsia" w:ascii="宋体" w:hAnsi="宋体" w:cs="宋体"/>
                <w:lang w:eastAsia="zh-CN"/>
              </w:rPr>
              <w:t xml:space="preserve">2.教师通过前端填写或申报个人教科研成果，经多级审核，后台可实现对成果的统一管理，可批量删除、查询、导出等操作。</w:t>
            </w:r>
            <w:r>
              <w:rPr>
                <w:rFonts w:hint="eastAsia" w:ascii="宋体" w:hAnsi="宋体" w:cs="宋体"/>
                <w:lang w:eastAsia="zh-CN"/>
              </w:rPr>
            </w:r>
            <w:r/>
          </w:p>
        </w:tc>
      </w:tr>
      <w:tr>
        <w:trPr>
          <w:trHeight w:val="4700"/>
        </w:trPr>
        <w:tc>
          <w:tcPr>
            <w:tcW w:w="1575"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t xml:space="preserve">1.移动项目管理系统</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r>
            <w:r/>
          </w:p>
        </w:tc>
        <w:tc>
          <w:tcPr>
            <w:tcW w:w="8235" w:type="dxa"/>
            <w:vAlign w:val="top"/>
            <w:textDirection w:val="lrTb"/>
            <w:noWrap w:val="false"/>
          </w:tcPr>
          <w:p>
            <w:pPr>
              <w:pStyle w:val="645"/>
              <w:ind w:firstLine="420"/>
              <w:spacing w:line="360" w:lineRule="auto"/>
              <w:rPr>
                <w:rFonts w:hint="eastAsia" w:ascii="宋体" w:hAnsi="宋体" w:cs="宋体"/>
                <w:bCs/>
                <w:sz w:val="24"/>
                <w:szCs w:val="24"/>
              </w:rPr>
            </w:pPr>
            <w:r>
              <w:rPr>
                <w:rFonts w:hint="eastAsia" w:ascii="宋体" w:hAnsi="宋体" w:cs="宋体"/>
                <w:bCs/>
                <w:sz w:val="24"/>
                <w:szCs w:val="24"/>
              </w:rPr>
              <w:t xml:space="preserve">1.通过移动端登陆时，可根据登录账号判断用户身份，展示不同界面不同权限方便用户操作平台</w:t>
            </w:r>
            <w:r>
              <w:rPr>
                <w:rFonts w:hint="eastAsia" w:ascii="宋体" w:hAnsi="宋体" w:cs="宋体"/>
                <w:bCs/>
                <w:sz w:val="24"/>
                <w:szCs w:val="24"/>
              </w:rPr>
            </w:r>
            <w:r/>
          </w:p>
          <w:p>
            <w:pPr>
              <w:pStyle w:val="645"/>
              <w:ind w:firstLine="420"/>
              <w:spacing w:line="360" w:lineRule="auto"/>
              <w:rPr>
                <w:rFonts w:hint="eastAsia" w:ascii="宋体" w:hAnsi="宋体" w:cs="宋体"/>
                <w:bCs/>
                <w:sz w:val="24"/>
                <w:szCs w:val="24"/>
              </w:rPr>
            </w:pPr>
            <w:r>
              <w:rPr>
                <w:rFonts w:hint="eastAsia" w:ascii="宋体" w:hAnsi="宋体" w:cs="宋体"/>
                <w:bCs/>
                <w:sz w:val="24"/>
                <w:szCs w:val="24"/>
              </w:rPr>
              <w:t xml:space="preserve">2.通过移动端可实现与PC端同步的信息发布与查询、项目查询、项目管理等基础功能，可以使用移动端发布通知，以文字或语音的形式发送消息，还可以通过站内信函的方式与其他用户进行沟通。所有发送的消息均有已读/未读标识，完善双向反馈机制。</w:t>
            </w:r>
            <w:r>
              <w:rPr>
                <w:rFonts w:hint="eastAsia" w:ascii="宋体" w:hAnsi="宋体" w:cs="宋体"/>
                <w:bCs/>
                <w:sz w:val="24"/>
                <w:szCs w:val="24"/>
              </w:rPr>
            </w:r>
            <w:r/>
          </w:p>
          <w:p>
            <w:pPr>
              <w:pStyle w:val="645"/>
              <w:ind w:firstLine="420"/>
              <w:spacing w:line="360" w:lineRule="auto"/>
              <w:rPr>
                <w:rFonts w:hint="eastAsia" w:ascii="宋体" w:hAnsi="宋体" w:cs="宋体"/>
                <w:sz w:val="24"/>
                <w:szCs w:val="24"/>
                <w:shd w:val="clear" w:color="auto" w:fill="ffffff"/>
              </w:rPr>
            </w:pPr>
            <w:r>
              <w:rPr>
                <w:rFonts w:hint="eastAsia" w:ascii="宋体" w:hAnsi="宋体" w:cs="宋体"/>
                <w:bCs/>
                <w:sz w:val="24"/>
                <w:szCs w:val="24"/>
              </w:rPr>
              <w:t xml:space="preserve">3.支持用户项目管理，项目审批，成果管理，统计分析查看等必要性较强的功能</w:t>
            </w:r>
            <w:r>
              <w:rPr>
                <w:rFonts w:hint="eastAsia" w:ascii="宋体" w:hAnsi="宋体" w:cs="宋体"/>
                <w:sz w:val="24"/>
                <w:szCs w:val="24"/>
                <w:shd w:val="clear" w:color="auto" w:fill="ffffff"/>
              </w:rPr>
            </w:r>
            <w:r/>
          </w:p>
          <w:p>
            <w:pPr>
              <w:pStyle w:val="645"/>
              <w:spacing w:line="360" w:lineRule="auto"/>
              <w:rPr>
                <w:rFonts w:hint="eastAsia" w:ascii="宋体" w:hAnsi="宋体" w:cs="宋体"/>
                <w:sz w:val="24"/>
                <w:szCs w:val="24"/>
              </w:rPr>
            </w:pPr>
            <w:r>
              <w:rPr>
                <w:rFonts w:hint="eastAsia" w:ascii="宋体" w:hAnsi="宋体" w:cs="宋体"/>
                <w:sz w:val="24"/>
                <w:szCs w:val="24"/>
              </w:rPr>
            </w:r>
            <w:r/>
          </w:p>
        </w:tc>
      </w:tr>
      <w:tr>
        <w:trPr>
          <w:trHeight w:val="164"/>
        </w:trPr>
        <w:tc>
          <w:tcPr>
            <w:tcW w:w="1575"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t xml:space="preserve">2.查重系统</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r>
            <w:r/>
          </w:p>
        </w:tc>
        <w:tc>
          <w:tcPr>
            <w:tcW w:w="8235" w:type="dxa"/>
            <w:vAlign w:val="top"/>
            <w:textDirection w:val="lrTb"/>
            <w:noWrap w:val="false"/>
          </w:tcPr>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1.查重系统主要是通过与第三方数据库的对接，实现论文、期刊等科研成果的相似度查询，包括专利的查新功能。</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2.本平台需提供海量的数字资源库，包括图书、报纸、期刊、论文、专利等，为用户提供文献相似度比较与揭示，并生成分析报告。从而实现为用户提供学术分析即文献相似度分析工具。</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3.平台提供单篇检测和批量检测两种方式。</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（1）单篇检测</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点击“单篇检测”进入单篇检测页面，可以选择检测对比范围，只勾选“大雅全文库”检测是在大雅所有的全文库中进行比对；若选择“仅与图书全文进行对比”检测是只与大雅的图书全文库进行比对。</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在最后的检测报告中可显示出本次检测的检测对比范围。</w:t>
            </w:r>
            <w:bookmarkStart w:id="348" w:name="_Toc516578815"/>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（2）批量检测</w:t>
            </w:r>
            <w:bookmarkEnd w:id="348"/>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点击“批量检测”进入批量检测页面，选择检测范围的方式与单篇检测相同。点击选择文件按钮，打开检测文献存放的目录，可以一次选择多个文件上传。上传完成后点击进入历史记录界面，可以按批次或文章查看论文检测记录。选择“按批次查看”，点击批次名称，查看到该批次中全部检测文件及其检测结果，可以进行批量下载检测报告，批量检测结果列表导出等操作。</w:t>
            </w:r>
            <w:bookmarkStart w:id="349" w:name="_Toc516578816"/>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（3）相似度分析</w:t>
            </w:r>
            <w:bookmarkEnd w:id="349"/>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通过检测文献的题名链接可以进入到该文献的相似度分析的详细结果页面。</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1）过滤参考文献</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勾选参考文献过滤，系统将自动对文献中所引用的按标准格式列明的参考文献内容进行过滤，消除参考文献对相似度的影响。</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2）自定义过滤</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勾选自定义过滤，系统将弹出自定义过滤条件窗口，通过条件限制可对特定条件的文献进行过滤，消除此类文献对相似度的影响。</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3）报告下载</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4.系统提供下载检测报告功能，分为全文报告、详细报告、简单报告三种，支持下载pdf格式的简单报告和详细报告。</w:t>
            </w:r>
            <w:r>
              <w:rPr>
                <w:rFonts w:hint="eastAsia" w:ascii="宋体" w:hAnsi="宋体" w:cs="宋体"/>
                <w:sz w:val="24"/>
                <w:szCs w:val="24"/>
              </w:rPr>
            </w:r>
            <w:r/>
          </w:p>
        </w:tc>
      </w:tr>
      <w:tr>
        <w:trPr>
          <w:trHeight w:val="2509"/>
        </w:trPr>
        <w:tc>
          <w:tcPr>
            <w:tcW w:w="1575"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t xml:space="preserve">3.项目网站系统</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r>
            <w:r/>
          </w:p>
        </w:tc>
        <w:tc>
          <w:tcPr>
            <w:tcW w:w="8235" w:type="dxa"/>
            <w:vAlign w:val="top"/>
            <w:textDirection w:val="lrTb"/>
            <w:noWrap w:val="false"/>
          </w:tcPr>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教师可通过此功能创建本人的个人网站，创建的网站可以作为项目的专用网站也可以作为个人资料的展示使用。平台存在六种项目网站模板，各模板可支持自定义域名，自定义栏目等多种个性化操作。上传在网站上的文件可直接进行预览展示。同时网站可由教师自行上传背景图片logo主题色，充分满足不同教师的项目网站多样化的需求。</w:t>
            </w:r>
            <w:r>
              <w:rPr>
                <w:rFonts w:hint="eastAsia" w:ascii="宋体" w:hAnsi="宋体" w:cs="宋体"/>
                <w:sz w:val="24"/>
                <w:szCs w:val="24"/>
              </w:rPr>
            </w:r>
            <w:r/>
          </w:p>
        </w:tc>
      </w:tr>
    </w:tbl>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5"/>
        <w:jc w:val="left"/>
        <w:keepLines/>
        <w:keepNext/>
        <w:spacing w:line="360" w:lineRule="auto"/>
        <w:rPr>
          <w:rFonts w:hint="eastAsia" w:ascii="宋体" w:hAnsi="宋体" w:cs="宋体"/>
          <w:b/>
          <w:sz w:val="24"/>
          <w:szCs w:val="24"/>
        </w:rPr>
        <w:outlineLvl w:val="3"/>
      </w:pPr>
      <w:r>
        <w:rPr>
          <w:rFonts w:hint="eastAsia" w:ascii="宋体" w:hAnsi="宋体" w:cs="宋体"/>
          <w:b/>
          <w:sz w:val="24"/>
          <w:szCs w:val="24"/>
        </w:rPr>
        <w:t xml:space="preserve">2.5整体数据分析整改模块（含教诊改系统门户及数据展示）</w:t>
      </w:r>
      <w:r>
        <w:rPr>
          <w:rFonts w:hint="eastAsia" w:ascii="宋体" w:hAnsi="宋体" w:cs="宋体"/>
          <w:b/>
          <w:sz w:val="24"/>
          <w:szCs w:val="24"/>
        </w:rPr>
      </w:r>
      <w:r/>
    </w:p>
    <w:tbl>
      <w:tblPr>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8175"/>
      </w:tblGrid>
      <w:tr>
        <w:trPr/>
        <w:tc>
          <w:tcPr>
            <w:shd w:val="clear" w:color="auto" w:fill="e6e0ec"/>
            <w:tcW w:w="1695" w:type="dxa"/>
            <w:vAlign w:val="center"/>
            <w:textDirection w:val="lrTb"/>
            <w:noWrap w:val="false"/>
          </w:tcPr>
          <w:p>
            <w:pPr>
              <w:pStyle w:val="645"/>
              <w:jc w:val="center"/>
              <w:spacing w:line="360" w:lineRule="auto"/>
              <w:rPr>
                <w:rFonts w:hint="eastAsia" w:ascii="宋体" w:hAnsi="宋体" w:cs="宋体"/>
                <w:b/>
                <w:bCs/>
                <w:sz w:val="28"/>
                <w:szCs w:val="28"/>
              </w:rPr>
            </w:pPr>
            <w:r>
              <w:rPr>
                <w:rFonts w:hint="eastAsia" w:ascii="宋体" w:hAnsi="宋体" w:cs="宋体"/>
                <w:b/>
                <w:bCs/>
                <w:sz w:val="28"/>
                <w:szCs w:val="28"/>
              </w:rPr>
              <w:t xml:space="preserve">需求名称</w:t>
            </w:r>
            <w:r>
              <w:rPr>
                <w:rFonts w:hint="eastAsia" w:ascii="宋体" w:hAnsi="宋体" w:cs="宋体"/>
                <w:b/>
                <w:bCs/>
                <w:sz w:val="28"/>
                <w:szCs w:val="28"/>
              </w:rPr>
            </w:r>
            <w:r/>
          </w:p>
        </w:tc>
        <w:tc>
          <w:tcPr>
            <w:shd w:val="clear" w:color="auto" w:fill="e6e0ec"/>
            <w:tcW w:w="8175" w:type="dxa"/>
            <w:vAlign w:val="center"/>
            <w:textDirection w:val="lrTb"/>
            <w:noWrap w:val="false"/>
          </w:tcPr>
          <w:p>
            <w:pPr>
              <w:pStyle w:val="645"/>
              <w:jc w:val="center"/>
              <w:spacing w:line="360" w:lineRule="auto"/>
              <w:rPr>
                <w:rFonts w:hint="eastAsia" w:ascii="宋体" w:hAnsi="宋体" w:cs="宋体"/>
                <w:b/>
                <w:bCs/>
                <w:sz w:val="28"/>
                <w:szCs w:val="28"/>
              </w:rPr>
            </w:pPr>
            <w:r>
              <w:rPr>
                <w:rFonts w:hint="eastAsia" w:ascii="宋体" w:hAnsi="宋体" w:cs="宋体"/>
                <w:b/>
                <w:bCs/>
                <w:sz w:val="28"/>
                <w:szCs w:val="28"/>
              </w:rPr>
              <w:t xml:space="preserve">功能描述</w:t>
            </w:r>
            <w:r>
              <w:rPr>
                <w:rFonts w:hint="eastAsia" w:ascii="宋体" w:hAnsi="宋体" w:cs="宋体"/>
                <w:b/>
                <w:bCs/>
                <w:sz w:val="28"/>
                <w:szCs w:val="28"/>
              </w:rPr>
            </w:r>
            <w:r/>
          </w:p>
        </w:tc>
      </w:tr>
      <w:tr>
        <w:trPr/>
        <w:tc>
          <w:tcPr>
            <w:tcW w:w="169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1.学校整体数据分析整改系统</w:t>
            </w:r>
            <w:r>
              <w:rPr>
                <w:rFonts w:hint="eastAsia" w:ascii="宋体" w:hAnsi="宋体" w:cs="宋体"/>
                <w:sz w:val="24"/>
                <w:szCs w:val="24"/>
              </w:rPr>
            </w:r>
            <w:r/>
          </w:p>
        </w:tc>
        <w:tc>
          <w:tcPr>
            <w:tcW w:w="8175" w:type="dxa"/>
            <w:vAlign w:val="top"/>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1.通过数据中台收集等数据技术对接学校、专业、课程、师资、学生5个层面的诊改中全面铺开信息资产，构建教学质量诊断分析模型，数据化地进行自我诊断。可根据学校的质控点要求做定制。</w:t>
            </w:r>
            <w:r>
              <w:rPr>
                <w:rFonts w:hint="eastAsia" w:ascii="宋体" w:hAnsi="宋体" w:cs="宋体"/>
                <w:sz w:val="24"/>
                <w:szCs w:val="24"/>
              </w:rPr>
            </w:r>
            <w:r/>
          </w:p>
        </w:tc>
      </w:tr>
      <w:tr>
        <w:trPr/>
        <w:tc>
          <w:tcPr>
            <w:tcW w:w="169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2.教诊改系统门户及数据展示</w:t>
            </w:r>
            <w:r>
              <w:rPr>
                <w:rFonts w:hint="eastAsia" w:ascii="宋体" w:hAnsi="宋体" w:cs="宋体"/>
                <w:sz w:val="24"/>
                <w:szCs w:val="24"/>
              </w:rPr>
            </w:r>
            <w:r/>
          </w:p>
        </w:tc>
        <w:tc>
          <w:tcPr>
            <w:tcW w:w="8175" w:type="dxa"/>
            <w:vAlign w:val="top"/>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1.建立学校的诊改系统门户以及数据驾驶舱。同时满足门户可发布信息动态以及工作安排等，内容可自定义。学校、专业、课程、师资、学生5个层面数据图表展示等等。</w:t>
            </w:r>
            <w:r>
              <w:rPr>
                <w:rFonts w:hint="eastAsia" w:ascii="宋体" w:hAnsi="宋体" w:cs="宋体"/>
                <w:sz w:val="24"/>
                <w:szCs w:val="24"/>
              </w:rPr>
            </w:r>
            <w:r/>
          </w:p>
        </w:tc>
      </w:tr>
      <w:tr>
        <w:trPr/>
        <w:tc>
          <w:tcPr>
            <w:tcW w:w="169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3.数据中台（支持本地部署）</w:t>
            </w:r>
            <w:r>
              <w:rPr>
                <w:rFonts w:hint="eastAsia" w:ascii="宋体" w:hAnsi="宋体" w:cs="宋体"/>
                <w:sz w:val="24"/>
                <w:szCs w:val="24"/>
              </w:rPr>
            </w:r>
            <w:r/>
          </w:p>
        </w:tc>
        <w:tc>
          <w:tcPr>
            <w:tcW w:w="8175" w:type="dxa"/>
            <w:vAlign w:val="top"/>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1.数据集成</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数据集成，把多个数据源的数据，合并成一个模型数据，也可以只使用一个表中的部分字段，生成一个新的模型数据。</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2.数据清洗</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数据清洗设置包含了数据过滤和数据替换两个功能。数据过滤主要是把原始库中的脏数据过滤掉，保证标准库中数据都是满足业务要求的。数据替换的主要功能是把各个业务系统中对同一个属性的描述替换成同一个数据，保证属性描述的一致性。</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3.数据接口服务</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（1）数据共享接口</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智慧校园信息平台数据流向规划：从国家级、省级、市级教育部门和其它相关教育机构的信息平台中获取相关教育业务数据； </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构建校本数据池，接收和推送异构系统相关数据，核心校本数据中心在本地和云端各存一份，内容一致。</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（2）数据共享中间库</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数据接口的方式虽然方便，但面对数据量较大、业务方基于数据需要进行复杂的筛选、排序等操作时便会出现相应速度慢，数据返回溢出等问题，通过接口进行查询响应速度极慢，因此对于此类场景，提供数据中间库或视图的方式。</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（3）与教育部全国职业教育智慧大脑数据中台对接</w:t>
            </w:r>
            <w:r>
              <w:rPr>
                <w:rFonts w:hint="eastAsia" w:ascii="宋体" w:hAnsi="宋体" w:cs="宋体"/>
                <w:sz w:val="24"/>
                <w:szCs w:val="24"/>
              </w:rPr>
            </w:r>
            <w:r/>
          </w:p>
          <w:p>
            <w:pPr>
              <w:pStyle w:val="645"/>
              <w:ind w:firstLine="480"/>
              <w:spacing w:before="145" w:line="360" w:lineRule="auto"/>
              <w:rPr>
                <w:rFonts w:hint="eastAsia" w:ascii="宋体" w:hAnsi="宋体" w:cs="宋体"/>
                <w:sz w:val="24"/>
                <w:szCs w:val="24"/>
              </w:rPr>
            </w:pPr>
            <w:r>
              <w:rPr>
                <w:rFonts w:hint="eastAsia" w:ascii="宋体" w:hAnsi="宋体" w:cs="宋体"/>
                <w:sz w:val="24"/>
                <w:szCs w:val="24"/>
              </w:rPr>
              <w:t xml:space="preserve">该项目按照教育部教育管理信息中心提供的最新版《全国职业教育智慧大脑院校中台数据标准及计算指标》（以下简称：职教中台）进行定制化接口开发，实现数据推送服务。</w:t>
            </w:r>
            <w:r>
              <w:rPr>
                <w:rFonts w:hint="eastAsia" w:ascii="宋体" w:hAnsi="宋体" w:cs="宋体"/>
                <w:sz w:val="24"/>
                <w:szCs w:val="24"/>
              </w:rPr>
            </w:r>
            <w:r/>
          </w:p>
          <w:p>
            <w:pPr>
              <w:pStyle w:val="645"/>
              <w:ind w:firstLine="480"/>
              <w:spacing w:before="145" w:line="360" w:lineRule="auto"/>
              <w:rPr>
                <w:rFonts w:ascii="宋体" w:hAnsi="宋体" w:cs="宋体"/>
                <w:sz w:val="24"/>
                <w:szCs w:val="24"/>
              </w:rPr>
            </w:pPr>
            <w:r>
              <w:rPr>
                <w:rFonts w:hint="eastAsia" w:ascii="宋体" w:hAnsi="宋体" w:cs="宋体"/>
                <w:sz w:val="24"/>
                <w:szCs w:val="24"/>
              </w:rPr>
              <w:t xml:space="preserve">4.数据中台可支持本地部署。</w:t>
            </w:r>
            <w:r>
              <w:rPr>
                <w:rFonts w:ascii="宋体" w:hAnsi="宋体" w:cs="宋体"/>
                <w:sz w:val="24"/>
                <w:szCs w:val="24"/>
              </w:rPr>
            </w:r>
            <w:r/>
          </w:p>
        </w:tc>
      </w:tr>
    </w:tbl>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9"/>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2.6智能办公模块</w:t>
      </w:r>
      <w:r>
        <w:rPr>
          <w:rFonts w:hint="eastAsia" w:ascii="宋体" w:hAnsi="宋体" w:eastAsia="宋体" w:cs="宋体"/>
          <w:sz w:val="24"/>
          <w:szCs w:val="24"/>
        </w:rPr>
      </w:r>
      <w:r/>
    </w:p>
    <w:tbl>
      <w:tblPr>
        <w:tblW w:w="0" w:type="auto"/>
        <w:tblInd w:w="-4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145"/>
      </w:tblGrid>
      <w:tr>
        <w:trPr>
          <w:trHeight w:val="694"/>
        </w:trPr>
        <w:tc>
          <w:tcPr>
            <w:tcW w:w="1725"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b/>
                <w:bCs/>
              </w:rPr>
              <w:t xml:space="preserve">智能办公模块</w:t>
            </w:r>
            <w:r>
              <w:rPr>
                <w:rFonts w:hint="eastAsia" w:ascii="宋体" w:hAnsi="宋体" w:cs="宋体"/>
                <w:sz w:val="24"/>
                <w:szCs w:val="24"/>
              </w:rPr>
            </w:r>
            <w:r/>
          </w:p>
        </w:tc>
        <w:tc>
          <w:tcPr>
            <w:tcW w:w="8145"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t xml:space="preserve">1.搭建微服务平台</w:t>
            </w:r>
            <w:r>
              <w:rPr>
                <w:rFonts w:hint="eastAsia" w:ascii="宋体" w:hAnsi="宋体" w:cs="宋体"/>
                <w:sz w:val="24"/>
                <w:szCs w:val="24"/>
              </w:rPr>
            </w:r>
            <w:r/>
          </w:p>
          <w:p>
            <w:pPr>
              <w:pStyle w:val="645"/>
              <w:spacing w:line="360" w:lineRule="auto"/>
              <w:rPr>
                <w:rFonts w:hint="eastAsia" w:ascii="宋体" w:hAnsi="宋体" w:cs="宋体"/>
                <w:b/>
                <w:bCs/>
              </w:rPr>
            </w:pPr>
            <w:r>
              <w:rPr>
                <w:rFonts w:hint="eastAsia" w:ascii="宋体" w:hAnsi="宋体" w:cs="宋体"/>
                <w:sz w:val="24"/>
                <w:szCs w:val="24"/>
              </w:rPr>
              <w:t xml:space="preserve">可根据日常办公数据收集需要自建数据收集表单，实现办公无纸化；可实现OA管理办公一体化，支持通知、请假、会议签到、打卡、调休、加班、场地预约、视频会议、直播、维修申请、审批管理、表单引擎、文件推送等。</w:t>
            </w:r>
            <w:r>
              <w:rPr>
                <w:rFonts w:hint="eastAsia" w:ascii="宋体" w:hAnsi="宋体" w:cs="宋体"/>
                <w:b/>
                <w:bCs/>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2.访客系统</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（1）实时管理访客申请</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建立一套学校自有的访客系统，通过手机申请/审批实现对外来人员的管理和分析。</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（2）访客大数据管理</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通过在线实时申请审批形成明确的来访制度和流程，实现各部门的衔接，最终实现外来人员来访的系统化管理；统计和分析。</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3.学校各专业荣誉归档管理</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校各专业所得荣誉归档管理可实现：由申请人上报；学校相关部门审核后归档到校荣誉管理系统。实现本校各专业荣誉过程性管理，制度性管理。达到既往个人荣誉可查，评选汇报可调取；评优评比有依据。最终形成隶属本校特色的荣誉存储和管理体系。</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4.文件存储管理。</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可建立学校重要部门、重要文件存储体系，可永久保存，也可随时调取；</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5.智能考勤模块。</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按需读取学校人脸识别系统数据，分析筛选后及时推送，形成考勤数据。</w:t>
            </w:r>
            <w:r>
              <w:rPr>
                <w:rFonts w:hint="eastAsia" w:ascii="宋体" w:hAnsi="宋体" w:cs="宋体"/>
                <w:sz w:val="24"/>
                <w:szCs w:val="24"/>
              </w:rPr>
            </w:r>
            <w:r/>
          </w:p>
          <w:p>
            <w:pPr>
              <w:pStyle w:val="645"/>
              <w:spacing w:line="360" w:lineRule="auto"/>
              <w:rPr>
                <w:rFonts w:ascii="宋体" w:hAnsi="宋体" w:cs="宋体"/>
                <w:sz w:val="24"/>
                <w:szCs w:val="24"/>
              </w:rPr>
            </w:pPr>
            <w:r>
              <w:rPr>
                <w:rFonts w:hint="eastAsia" w:ascii="宋体" w:hAnsi="宋体" w:cs="宋体"/>
                <w:sz w:val="24"/>
                <w:szCs w:val="24"/>
              </w:rPr>
              <w:t xml:space="preserve">6.办公数据中心：汇聚学校办公方面的数据，支持导出excel形式，并开放每个应用的API接口，满足其他应用开发对数据的统一调用。</w:t>
            </w:r>
            <w:r>
              <w:rPr>
                <w:rFonts w:ascii="宋体" w:hAnsi="宋体" w:cs="宋体"/>
                <w:sz w:val="24"/>
                <w:szCs w:val="24"/>
              </w:rPr>
            </w:r>
            <w:r/>
          </w:p>
        </w:tc>
      </w:tr>
    </w:tbl>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9"/>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2.7资产管理模块</w:t>
      </w:r>
      <w:r>
        <w:rPr>
          <w:rFonts w:hint="eastAsia" w:ascii="宋体" w:hAnsi="宋体" w:eastAsia="宋体" w:cs="宋体"/>
          <w:sz w:val="24"/>
          <w:szCs w:val="24"/>
        </w:rPr>
      </w:r>
      <w:r/>
    </w:p>
    <w:tbl>
      <w:tblPr>
        <w:tblW w:w="0" w:type="auto"/>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0"/>
        <w:gridCol w:w="8055"/>
      </w:tblGrid>
      <w:tr>
        <w:trPr/>
        <w:tc>
          <w:tcPr>
            <w:shd w:val="clear" w:color="auto" w:fill="e6e0ec"/>
            <w:tcW w:w="1860" w:type="dxa"/>
            <w:vAlign w:val="center"/>
            <w:textDirection w:val="lrTb"/>
            <w:noWrap w:val="false"/>
          </w:tcPr>
          <w:p>
            <w:pPr>
              <w:pStyle w:val="645"/>
              <w:jc w:val="center"/>
              <w:spacing w:before="145" w:line="360" w:lineRule="auto"/>
              <w:rPr>
                <w:rFonts w:hint="eastAsia" w:ascii="宋体" w:hAnsi="宋体" w:cs="宋体"/>
                <w:b/>
                <w:bCs/>
                <w:sz w:val="24"/>
                <w:szCs w:val="24"/>
              </w:rPr>
            </w:pPr>
            <w:r>
              <w:rPr>
                <w:rFonts w:hint="eastAsia" w:ascii="宋体" w:hAnsi="宋体" w:cs="宋体"/>
                <w:b/>
                <w:bCs/>
                <w:sz w:val="24"/>
                <w:szCs w:val="24"/>
              </w:rPr>
              <w:t xml:space="preserve">需求名称</w:t>
            </w:r>
            <w:r>
              <w:rPr>
                <w:rFonts w:hint="eastAsia" w:ascii="宋体" w:hAnsi="宋体" w:cs="宋体"/>
                <w:b/>
                <w:bCs/>
                <w:sz w:val="24"/>
                <w:szCs w:val="24"/>
              </w:rPr>
            </w:r>
            <w:r/>
          </w:p>
        </w:tc>
        <w:tc>
          <w:tcPr>
            <w:shd w:val="clear" w:color="auto" w:fill="e6e0ec"/>
            <w:tcW w:w="8055" w:type="dxa"/>
            <w:vAlign w:val="center"/>
            <w:textDirection w:val="lrTb"/>
            <w:noWrap w:val="false"/>
          </w:tcPr>
          <w:p>
            <w:pPr>
              <w:pStyle w:val="645"/>
              <w:jc w:val="center"/>
              <w:spacing w:before="145" w:line="360" w:lineRule="auto"/>
              <w:rPr>
                <w:rFonts w:hint="eastAsia" w:ascii="宋体" w:hAnsi="宋体" w:cs="宋体"/>
                <w:b/>
                <w:bCs/>
                <w:sz w:val="24"/>
                <w:szCs w:val="24"/>
              </w:rPr>
            </w:pPr>
            <w:r>
              <w:rPr>
                <w:rFonts w:hint="eastAsia" w:ascii="宋体" w:hAnsi="宋体" w:cs="宋体"/>
                <w:b/>
                <w:bCs/>
                <w:sz w:val="24"/>
                <w:szCs w:val="24"/>
              </w:rPr>
              <w:t xml:space="preserve">功能描述</w:t>
            </w:r>
            <w:r>
              <w:rPr>
                <w:rFonts w:hint="eastAsia" w:ascii="宋体" w:hAnsi="宋体" w:cs="宋体"/>
                <w:b/>
                <w:bCs/>
                <w:sz w:val="24"/>
                <w:szCs w:val="24"/>
              </w:rPr>
            </w:r>
            <w:r/>
          </w:p>
        </w:tc>
      </w:tr>
      <w:tr>
        <w:trPr/>
        <w:tc>
          <w:tcPr>
            <w:tcW w:w="1860" w:type="dxa"/>
            <w:vAlign w:val="center"/>
            <w:textDirection w:val="lrTb"/>
            <w:noWrap w:val="false"/>
          </w:tcPr>
          <w:p>
            <w:pPr>
              <w:pStyle w:val="645"/>
              <w:jc w:val="center"/>
              <w:spacing w:before="145" w:line="360" w:lineRule="auto"/>
              <w:rPr>
                <w:rFonts w:hint="eastAsia" w:ascii="宋体" w:hAnsi="宋体" w:cs="宋体"/>
                <w:b/>
                <w:bCs/>
                <w:sz w:val="24"/>
                <w:szCs w:val="24"/>
              </w:rPr>
            </w:pPr>
            <w:r>
              <w:rPr>
                <w:rFonts w:hint="eastAsia" w:ascii="宋体" w:hAnsi="宋体" w:cs="宋体"/>
                <w:sz w:val="24"/>
                <w:szCs w:val="24"/>
              </w:rPr>
              <w:t xml:space="preserve">资产管理</w:t>
            </w:r>
            <w:r>
              <w:rPr>
                <w:rFonts w:hint="eastAsia" w:ascii="宋体" w:hAnsi="宋体" w:cs="宋体"/>
                <w:b/>
                <w:bCs/>
                <w:sz w:val="24"/>
                <w:szCs w:val="24"/>
              </w:rPr>
            </w:r>
            <w:r/>
          </w:p>
        </w:tc>
        <w:tc>
          <w:tcPr>
            <w:tcW w:w="8055" w:type="dxa"/>
            <w:vAlign w:val="center"/>
            <w:textDirection w:val="lrTb"/>
            <w:noWrap w:val="false"/>
          </w:tcPr>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1.资产基本信息</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需要满足根据学校情况自定义学校资产大类，以及每一大类下所包含的具体资产和详细信息。资产详细信息也可以根据学校情况进行自定义，对于资产的录入，包含手动录入和批量录入，并支持将已录入的资产进行导出。</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2）系统需要能够生成每个资产的二维码信息，该信息包含该笔资产的详细信息，并且支持二维码打印。</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3）需要支持针对资产类别、存放地点进行维护。</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2.资产库存</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1）需要实现管理员可以对新采购的物资填写资产基本信息后可进行入库管理，系统自动提取相关信息，以提高工作效率。</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2）库存信息需要支持同类物品汇总信息查询、以及同类物品的入库详细明细的信息查询。</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3.资产采购申请</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可根据需要，分角色填写采购计划单，审核部门对采购计划单进行审核，并对通过审核的采购计划执行采购。</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4.资产入库</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资产入库需要支持手动录入，入库后相应的库存数量会增加。需要支持资产的图片管理。</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5.资产借出</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需要满足针对固定资产的借出，使用人员登录系统填写借出申请单，如果借出数量超过现有库存，系统会给出警告提示。</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6.资产归还</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1）需要满足资产归还主要是对已借出的资产进行归还管理，选择借出状态下的资产，从而根据需求进行归还。</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2）需要满足已借出物品的归还，借出人员归还资产时选择已借出的资产会自动带出资产的详细信息，支持一次借出多次归还的功能，并实时更新物品库存以及借出人名下的物品信息。</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7.资产领用</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需要满足学校使用人员登录系统填写领用申请单，如果领用的数量超过现有库存，系统会给出警告提示；填写完成的领用申请单提交相关人员进行审核，审核通过后支持打印领用申请单，可根据管理需要由相关领导签字后或直接到仓库领用所需物品。</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8.资产维修</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1）需要提供集报修和维修于一体的综合后勤工具。包括应用配置、数据导出、数据统计。</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2）需要支持编辑应用名称、图标；支持开启或关闭报修审批流程；</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3）需要支持设置维修完成后是否填写维修单；支持是否开启报修人评价；</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4）需要支持丰富的表单组件设计报修单、维修单；包括单选、多选、下拉框、下拉复选框、单行输入、多行输入、日期选择、图片、附件等组件</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5）需要支持设置报修流程中的维修/经办人为“发起人自选”或“指定人员”；支持设置维修流程中的审批人为“发起人自选”或“指定人员”；</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6）需要支持报修人填写报修单提交报修申请；</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7）需要支持维修人员或签分派维修任务；</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8）需要支持维修人员对报修单做维修完成、转给他人、提交审批、退回四种处理方式；</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9）需要支持维修人填写维修单；</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10）需要支持报修人撤回报修申请；</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11）需要支持报修人评价维修工作；</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12）需要支持相关人员查看维修进度；</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13）需要支持报修、维修进度提醒；</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14）需要支持查看报修（维修）进度和导出所有报修（维修）数据；支持按报修人、维修人、报修时间、维修完成时间筛选数据；</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15）需要支持按日期查看报修（维修）应用统计，包括总维修量、待处理、待审批、已维修、已评价、已退回、已撤回数量；</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16）需要支持查看评价分析图，报修、维修随时间的趋势图；</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17）需要支持查看个人维修量排行、维修评价排行、维修处理时间排行、报修（维修）动态。</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9.资产盘点</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需要满足对已粘贴二维码的资产进行快速清查，自动生成盘盈、盘亏表。</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10.资产清理</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需要满足对于要报废、报损、无偿调拨的资产，填写资产清理申请单，提交至归口部门审核，支持批量清理管理。</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11.资产查询</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1）需要提供方便、形式多样的查询、汇总、分析的功能，并形成学校需求的各类表格。</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2）需要支持资产信息查询、已清理资产信息查询、按资产编号查询、全部资产查询等。</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3）需要按使用存放地点、资产类别进行查询。</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4）需要满足按照单价、资产名称等信息项进行自定义查询。</w:t>
            </w:r>
            <w:r>
              <w:rPr>
                <w:rFonts w:hint="eastAsia" w:ascii="宋体" w:hAnsi="宋体" w:cs="宋体"/>
                <w:sz w:val="24"/>
                <w:szCs w:val="24"/>
              </w:rPr>
            </w:r>
            <w:r/>
          </w:p>
          <w:p>
            <w:pPr>
              <w:pStyle w:val="645"/>
              <w:spacing w:before="145" w:line="360" w:lineRule="auto"/>
              <w:rPr>
                <w:rFonts w:hint="eastAsia" w:ascii="宋体" w:hAnsi="宋体" w:cs="宋体"/>
                <w:sz w:val="24"/>
                <w:szCs w:val="24"/>
              </w:rPr>
            </w:pPr>
            <w:r>
              <w:rPr>
                <w:rFonts w:hint="eastAsia" w:ascii="宋体" w:hAnsi="宋体" w:cs="宋体"/>
                <w:sz w:val="24"/>
                <w:szCs w:val="24"/>
              </w:rPr>
              <w:t xml:space="preserve">5）需要提供采购查询、入库查询、领用申请查询、出库信息查询、归还信息查询。</w:t>
            </w:r>
            <w:r>
              <w:rPr>
                <w:rFonts w:hint="eastAsia" w:ascii="宋体" w:hAnsi="宋体" w:cs="宋体"/>
                <w:sz w:val="24"/>
                <w:szCs w:val="24"/>
              </w:rPr>
            </w:r>
            <w:r/>
          </w:p>
          <w:p>
            <w:pPr>
              <w:pStyle w:val="645"/>
              <w:spacing w:before="145" w:line="360" w:lineRule="auto"/>
              <w:rPr>
                <w:rFonts w:hint="eastAsia" w:ascii="宋体" w:hAnsi="宋体" w:cs="宋体"/>
                <w:b/>
                <w:bCs/>
                <w:sz w:val="24"/>
                <w:szCs w:val="24"/>
              </w:rPr>
            </w:pPr>
            <w:r>
              <w:rPr>
                <w:rFonts w:hint="eastAsia" w:ascii="宋体" w:hAnsi="宋体" w:cs="宋体"/>
                <w:sz w:val="24"/>
                <w:szCs w:val="24"/>
              </w:rPr>
              <w:t xml:space="preserve">7）需要提供自定义条件筛选信息功能，导出信息功能等功能。</w:t>
            </w:r>
            <w:r>
              <w:rPr>
                <w:rFonts w:hint="eastAsia" w:ascii="宋体" w:hAnsi="宋体" w:cs="宋体"/>
                <w:b/>
                <w:bCs/>
                <w:sz w:val="24"/>
                <w:szCs w:val="24"/>
              </w:rPr>
            </w:r>
            <w:r/>
          </w:p>
        </w:tc>
      </w:tr>
    </w:tbl>
    <w:p>
      <w:pPr>
        <w:pStyle w:val="677"/>
        <w:spacing w:line="360" w:lineRule="auto"/>
        <w:rPr>
          <w:rFonts w:hint="eastAsia" w:ascii="宋体" w:hAnsi="宋体" w:eastAsia="宋体" w:cs="宋体"/>
        </w:rPr>
      </w:pPr>
      <w:r>
        <w:rPr>
          <w:rFonts w:hint="eastAsia" w:ascii="宋体" w:hAnsi="宋体" w:eastAsia="宋体" w:cs="宋体"/>
        </w:rPr>
      </w:r>
      <w:r/>
    </w:p>
    <w:p>
      <w:pPr>
        <w:pStyle w:val="677"/>
        <w:spacing w:line="360" w:lineRule="auto"/>
        <w:rPr>
          <w:rFonts w:hint="eastAsia" w:ascii="宋体" w:hAnsi="宋体" w:eastAsia="宋体" w:cs="宋体"/>
        </w:rPr>
      </w:pPr>
      <w:r>
        <w:rPr>
          <w:rFonts w:hint="eastAsia" w:ascii="宋体" w:hAnsi="宋体" w:eastAsia="宋体" w:cs="宋体"/>
        </w:rPr>
        <w:t xml:space="preserve">三、其他要求</w:t>
      </w:r>
      <w:r>
        <w:rPr>
          <w:rFonts w:hint="eastAsia" w:ascii="宋体" w:hAnsi="宋体" w:eastAsia="宋体" w:cs="宋体"/>
        </w:rPr>
      </w:r>
      <w:r/>
    </w:p>
    <w:p>
      <w:pPr>
        <w:pStyle w:val="645"/>
        <w:ind w:firstLine="480"/>
        <w:spacing w:line="360" w:lineRule="auto"/>
        <w:rPr>
          <w:rFonts w:hint="eastAsia" w:ascii="宋体" w:hAnsi="宋体"/>
          <w:sz w:val="24"/>
          <w:szCs w:val="21"/>
        </w:rPr>
      </w:pPr>
      <w:r>
        <w:rPr>
          <w:rFonts w:hint="eastAsia" w:ascii="宋体" w:hAnsi="宋体"/>
          <w:sz w:val="24"/>
          <w:szCs w:val="21"/>
        </w:rPr>
        <w:t xml:space="preserve">1、投标人演示人员和设备需在评标前到达南通市通州区公共资源交易中心三楼等候区。按照苏采云系统安排的顺序进行现场演示，演示需按照招标文件的规定和评标委员会的要求进行，时间不超过15分钟。交易中心提供投影机及幕布，其他所需设备由投标人自备。</w:t>
      </w:r>
      <w:r>
        <w:rPr>
          <w:rFonts w:hint="eastAsia" w:ascii="宋体" w:hAnsi="宋体"/>
          <w:sz w:val="24"/>
          <w:szCs w:val="21"/>
        </w:rPr>
      </w:r>
      <w:r/>
    </w:p>
    <w:p>
      <w:pPr>
        <w:pStyle w:val="645"/>
        <w:ind w:firstLine="480"/>
        <w:spacing w:line="360" w:lineRule="auto"/>
        <w:rPr>
          <w:rFonts w:hint="eastAsia" w:ascii="宋体" w:hAnsi="宋体" w:cs="宋体"/>
          <w:sz w:val="24"/>
          <w:szCs w:val="24"/>
        </w:rPr>
      </w:pPr>
      <w:r>
        <w:rPr>
          <w:rFonts w:hint="eastAsia" w:ascii="宋体" w:hAnsi="宋体"/>
          <w:sz w:val="24"/>
          <w:szCs w:val="21"/>
        </w:rPr>
        <w:t xml:space="preserve">2、投标人需在“法人授权书”中注明进行现场演示的人员姓名及身份证号，不接受非注明的人员进入评审现场进行演示。投标人进入评审现场的人员应出示有效身份证件。</w:t>
      </w:r>
      <w:r>
        <w:rPr>
          <w:rFonts w:hint="eastAsia" w:ascii="宋体" w:hAnsi="宋体" w:cs="宋体"/>
          <w:sz w:val="24"/>
          <w:szCs w:val="24"/>
        </w:rPr>
      </w:r>
      <w:r/>
    </w:p>
    <w:p>
      <w:pPr>
        <w:pStyle w:val="645"/>
        <w:ind w:firstLine="480"/>
        <w:spacing w:line="360" w:lineRule="auto"/>
        <w:rPr>
          <w:rFonts w:hint="eastAsia" w:ascii="宋体" w:hAnsi="宋体" w:cs="宋体"/>
          <w:sz w:val="24"/>
          <w:szCs w:val="21"/>
        </w:rPr>
      </w:pPr>
      <w:r>
        <w:rPr>
          <w:rFonts w:hint="eastAsia" w:ascii="宋体" w:hAnsi="宋体" w:cs="宋体"/>
          <w:sz w:val="24"/>
          <w:szCs w:val="24"/>
        </w:rPr>
        <w:t xml:space="preserve">3</w:t>
      </w:r>
      <w:r>
        <w:rPr>
          <w:rFonts w:hint="eastAsia" w:ascii="宋体" w:hAnsi="宋体" w:cs="宋体"/>
          <w:sz w:val="24"/>
          <w:szCs w:val="21"/>
        </w:rPr>
        <w:t xml:space="preserve">.演示内容如下：</w:t>
      </w:r>
      <w:r>
        <w:rPr>
          <w:rFonts w:hint="eastAsia" w:ascii="宋体" w:hAnsi="宋体" w:cs="宋体"/>
          <w:sz w:val="24"/>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9"/>
      </w:tblGrid>
      <w:tr>
        <w:trPr/>
        <w:tc>
          <w:tcPr>
            <w:tcW w:w="9169" w:type="dxa"/>
            <w:vAlign w:val="top"/>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演示内容：</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一、管理端：</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1、数据统计：提供大数据统计分析，支持构建全方位、全过程、全天候的数据支持体系，包括行为数据分析和应用数据分析，支持分析模块自定义添加。（1分）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2、用户管理：开放管理权限，支持对用户基本信息、单位组织架构、用户扩展属性、用户角色、单位认证管理的个性化管理。（2分）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3、应用管理：支持通过应用市场和自建应用两种方式配置学校应用，并支持自定义应用分类，实现对单位分类和应用进行增、删、改操作。支持对单个应用进行修改基本信息，要求可配置应用使用范围，支持按应用配角色和按角色配应用，配置好的单位应用将同步显示在移动端和个人空间。（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4、终端管理：提供灵活的终端管理工具，具备可视化全功能后台，支持自定义设置单位门户、移动端界面、个人空间、大数据屏、微信端和管理后台，所有终端支持按角色配置界面和应用，同时嵌套多种界面配置模版。（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5、数据中心：汇聚学校办公方面的数据，支持导出excel形式，并开放每个应用的API接口，满足其他应用开发对数据的统一调用。（1分）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6、开放平台：提供API标准文档和运营规范，支持第三方应用的接入、上传和管理。开放平台要求内嵌应用市场，多达上百个应用，支持灵活添加和移除。（1分）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二、用户端：</w:t>
            </w:r>
            <w:r>
              <w:rPr>
                <w:rFonts w:hint="eastAsia" w:ascii="宋体" w:hAnsi="宋体" w:cs="宋体"/>
                <w:sz w:val="24"/>
                <w:szCs w:val="24"/>
              </w:rPr>
            </w:r>
            <w:r/>
          </w:p>
          <w:p>
            <w:pPr>
              <w:pStyle w:val="645"/>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1.PC端个人空间</w:t>
            </w:r>
            <w:r>
              <w:rPr>
                <w:rFonts w:hint="eastAsia" w:ascii="宋体" w:hAnsi="宋体" w:cs="宋体"/>
                <w:b/>
                <w:bCs/>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个人空间的页面支持模板选择及配置，要求包含课程、笔记、消息、收藏、应用、小组、云盘、工作台、常用应用等基础功能，以及在管理端配置好的各种微应用的使用。满足角色不同，应用不同。（1分）</w:t>
            </w:r>
            <w:r>
              <w:rPr>
                <w:rFonts w:hint="eastAsia" w:ascii="宋体" w:hAnsi="宋体" w:cs="宋体"/>
                <w:sz w:val="24"/>
                <w:szCs w:val="24"/>
              </w:rPr>
            </w:r>
            <w:r/>
          </w:p>
          <w:p>
            <w:pPr>
              <w:pStyle w:val="645"/>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2.移动端</w:t>
            </w:r>
            <w:r>
              <w:rPr>
                <w:rFonts w:hint="eastAsia" w:ascii="宋体" w:hAnsi="宋体" w:cs="宋体"/>
                <w:b/>
                <w:bCs/>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支持通过管理端对组织架构和单位应用进行设置后，同步应用到移动端，移动端满足：</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不同角色用户看到的界面、应用不同（1分）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3.校园通讯：具有群组交流、知识分享、即时通讯、在线笔记、专题制作等功能。（1分）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4.管理功能：实现OA管理办公一体化，支持通知、请假、会议签到、打卡、调休、加班、场地预约、视频会议、直播、维修申请、审批管理、表单引擎、文件推送等。（2分）</w:t>
            </w:r>
            <w:r>
              <w:rPr>
                <w:rFonts w:hint="eastAsia" w:ascii="宋体" w:hAnsi="宋体" w:cs="宋体"/>
                <w:sz w:val="24"/>
                <w:szCs w:val="24"/>
              </w:rPr>
            </w:r>
            <w:r/>
          </w:p>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5.系统集成：教务教学方面，为了达到提高课堂活跃度，提供覆盖从课前、课中、课后到课外的所有教学活动，具有课堂互动功能：如PPT上课、课堂投屏、移动教案、课堂通知、课堂签到、抢答、选人、测验、投票、多屏互动、交流互动、学习监控、在线考试、课堂报告等功能；移动资源方面，需提供图书、期刊、专题、教师研修课程、德育系列课程、学生选修课程等移动资源的移动端获取、评论以及转发等（2分）</w:t>
            </w:r>
            <w:r>
              <w:rPr>
                <w:rFonts w:hint="eastAsia" w:ascii="宋体" w:hAnsi="宋体" w:cs="宋体"/>
                <w:sz w:val="24"/>
                <w:szCs w:val="24"/>
              </w:rPr>
            </w:r>
            <w:r/>
          </w:p>
          <w:p>
            <w:pPr>
              <w:pStyle w:val="645"/>
              <w:spacing w:line="360" w:lineRule="auto"/>
              <w:rPr>
                <w:rFonts w:hint="eastAsia" w:ascii="宋体" w:hAnsi="宋体" w:cs="宋体"/>
                <w:sz w:val="24"/>
                <w:szCs w:val="21"/>
              </w:rPr>
            </w:pPr>
            <w:r>
              <w:rPr>
                <w:rFonts w:hint="eastAsia" w:ascii="宋体" w:hAnsi="宋体" w:cs="宋体"/>
                <w:sz w:val="24"/>
                <w:szCs w:val="24"/>
              </w:rPr>
              <w:t xml:space="preserve">若供应商未做演示的本项不得分。</w:t>
            </w:r>
            <w:r>
              <w:rPr>
                <w:rFonts w:hint="eastAsia" w:ascii="宋体" w:hAnsi="宋体" w:cs="宋体"/>
                <w:sz w:val="24"/>
                <w:szCs w:val="21"/>
              </w:rPr>
            </w:r>
            <w:r/>
          </w:p>
        </w:tc>
      </w:tr>
    </w:tbl>
    <w:p>
      <w:pPr>
        <w:pStyle w:val="645"/>
        <w:ind w:firstLine="480"/>
        <w:spacing w:line="360" w:lineRule="auto"/>
        <w:rPr>
          <w:rFonts w:hint="eastAsia" w:ascii="宋体" w:hAnsi="宋体" w:cs="宋体"/>
          <w:sz w:val="24"/>
          <w:szCs w:val="24"/>
          <w:u w:val="single"/>
        </w:rPr>
      </w:pPr>
      <w:r>
        <w:rPr>
          <w:rFonts w:hint="eastAsia" w:ascii="宋体" w:hAnsi="宋体" w:cs="宋体"/>
          <w:sz w:val="24"/>
          <w:szCs w:val="24"/>
          <w:u w:val="single"/>
        </w:rPr>
      </w:r>
      <w:r/>
    </w:p>
    <w:p>
      <w:pPr>
        <w:pStyle w:val="645"/>
        <w:ind w:firstLine="480"/>
        <w:spacing w:line="360" w:lineRule="auto"/>
        <w:rPr>
          <w:rFonts w:hint="eastAsia" w:ascii="宋体" w:hAnsi="宋体" w:cs="宋体"/>
          <w:sz w:val="24"/>
          <w:szCs w:val="24"/>
        </w:rPr>
      </w:pPr>
      <w:r>
        <w:rPr>
          <w:rFonts w:hint="eastAsia" w:ascii="宋体" w:hAnsi="宋体" w:cs="宋体"/>
          <w:sz w:val="24"/>
          <w:szCs w:val="24"/>
          <w:u w:val="single"/>
        </w:rPr>
        <w:t xml:space="preserve">12、本项目 不接受进口产品投标</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13、采购标的对应的中小企业划分标准所属行业一览表</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852"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291"/>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信息化升级</w:t>
            </w: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软件和信息技术服务业</w:t>
            </w:r>
            <w:r>
              <w:rPr>
                <w:rFonts w:hint="eastAsia" w:ascii="宋体" w:hAnsi="宋体" w:cs="宋体"/>
                <w:sz w:val="24"/>
                <w:szCs w:val="24"/>
              </w:rPr>
            </w:r>
            <w:r/>
          </w:p>
        </w:tc>
      </w:tr>
    </w:tbl>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5"/>
        <w:jc w:val="center"/>
        <w:keepNext/>
        <w:spacing w:line="360" w:lineRule="auto"/>
        <w:rPr>
          <w:rFonts w:hint="eastAsia" w:ascii="宋体" w:hAnsi="宋体" w:cs="宋体"/>
          <w:bCs/>
          <w:sz w:val="44"/>
          <w:szCs w:val="28"/>
        </w:rPr>
        <w:outlineLvl w:val="0"/>
      </w:pPr>
      <w:r/>
      <w:bookmarkStart w:id="350" w:name="_Toc120614281"/>
      <w:r>
        <w:rPr>
          <w:rFonts w:hint="eastAsia" w:ascii="宋体" w:hAnsi="宋体" w:cs="宋体"/>
          <w:bCs/>
          <w:sz w:val="44"/>
          <w:szCs w:val="28"/>
        </w:rPr>
        <w:br w:type="page" w:clear="all"/>
      </w:r>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r>
        <w:rPr>
          <w:rFonts w:hint="eastAsia" w:ascii="宋体" w:hAnsi="宋体" w:cs="宋体"/>
          <w:bCs/>
          <w:sz w:val="44"/>
          <w:szCs w:val="28"/>
        </w:rPr>
      </w:r>
      <w:r/>
    </w:p>
    <w:p>
      <w:pPr>
        <w:pStyle w:val="645"/>
        <w:spacing w:line="360" w:lineRule="auto"/>
        <w:rPr>
          <w:rFonts w:hint="eastAsia" w:ascii="宋体" w:hAnsi="宋体" w:cs="宋体"/>
          <w:szCs w:val="21"/>
        </w:rPr>
      </w:pPr>
      <w:r>
        <w:rPr>
          <w:rFonts w:hint="eastAsia" w:ascii="宋体" w:hAnsi="宋体" w:cs="宋体"/>
          <w:szCs w:val="21"/>
        </w:rPr>
      </w:r>
      <w:r/>
    </w:p>
    <w:p>
      <w:pPr>
        <w:pStyle w:val="645"/>
        <w:ind w:firstLine="439"/>
        <w:jc w:val="left"/>
        <w:spacing w:line="360" w:lineRule="auto"/>
        <w:rPr>
          <w:rFonts w:hint="eastAsia" w:ascii="宋体" w:hAnsi="宋体" w:cs="宋体"/>
          <w:sz w:val="24"/>
          <w:szCs w:val="24"/>
        </w:rPr>
      </w:pPr>
      <w:r>
        <w:rPr>
          <w:rFonts w:hint="eastAsia" w:ascii="宋体" w:hAnsi="宋体" w:cs="宋体"/>
          <w:sz w:val="24"/>
          <w:szCs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rPr>
      </w:r>
      <w:r/>
    </w:p>
    <w:p>
      <w:pPr>
        <w:pStyle w:val="645"/>
        <w:ind w:firstLine="354"/>
        <w:spacing w:line="360" w:lineRule="auto"/>
        <w:rPr>
          <w:rFonts w:hint="eastAsia" w:ascii="宋体" w:hAnsi="宋体" w:cs="宋体"/>
          <w:b/>
          <w:sz w:val="24"/>
          <w:szCs w:val="24"/>
        </w:rPr>
      </w:pPr>
      <w:r>
        <w:rPr>
          <w:rFonts w:hint="eastAsia" w:ascii="宋体" w:hAnsi="宋体" w:cs="宋体"/>
          <w:b/>
          <w:sz w:val="24"/>
          <w:szCs w:val="24"/>
        </w:rPr>
        <w:t xml:space="preserve">（一）采购人（代表）对投标人资格进行审查。</w:t>
      </w:r>
      <w:r>
        <w:rPr>
          <w:rFonts w:hint="eastAsia" w:ascii="宋体" w:hAnsi="宋体" w:cs="宋体"/>
          <w:b/>
          <w:sz w:val="24"/>
          <w:szCs w:val="24"/>
        </w:rPr>
      </w:r>
      <w:r/>
    </w:p>
    <w:p>
      <w:pPr>
        <w:pStyle w:val="731"/>
        <w:ind w:firstLine="494"/>
        <w:spacing w:line="360" w:lineRule="auto"/>
        <w:rPr>
          <w:rFonts w:hint="eastAsia" w:ascii="宋体" w:eastAsia="宋体" w:cs="宋体"/>
          <w:sz w:val="24"/>
          <w:szCs w:val="24"/>
        </w:rPr>
      </w:pPr>
      <w:r>
        <w:rPr>
          <w:rFonts w:hint="eastAsia" w:ascii="宋体" w:eastAsia="宋体" w:cs="宋体"/>
          <w:sz w:val="24"/>
          <w:szCs w:val="24"/>
        </w:rPr>
        <w:t xml:space="preserve">投标人资格不合格的，其投标文件判定为无效投标文件。</w:t>
      </w:r>
      <w:r>
        <w:rPr>
          <w:rFonts w:hint="eastAsia" w:ascii="宋体" w:eastAsia="宋体" w:cs="宋体"/>
          <w:sz w:val="24"/>
          <w:szCs w:val="24"/>
        </w:rPr>
      </w:r>
      <w:r/>
    </w:p>
    <w:p>
      <w:pPr>
        <w:pStyle w:val="645"/>
        <w:ind w:firstLine="354"/>
        <w:jc w:val="left"/>
        <w:spacing w:line="360" w:lineRule="auto"/>
        <w:rPr>
          <w:rFonts w:hint="eastAsia" w:ascii="宋体" w:hAnsi="宋体" w:cs="宋体"/>
          <w:b/>
          <w:sz w:val="24"/>
          <w:szCs w:val="24"/>
        </w:rPr>
      </w:pPr>
      <w:r>
        <w:rPr>
          <w:rFonts w:hint="eastAsia" w:ascii="宋体" w:hAnsi="宋体" w:cs="宋体"/>
          <w:b/>
          <w:sz w:val="24"/>
          <w:szCs w:val="24"/>
        </w:rPr>
        <w:t xml:space="preserve">（二）评标委员会对符合资格投标人的投标文件进行符合性审查。</w:t>
      </w:r>
      <w:r>
        <w:rPr>
          <w:rFonts w:hint="eastAsia" w:ascii="宋体" w:hAnsi="宋体" w:cs="宋体"/>
          <w:b/>
          <w:sz w:val="24"/>
          <w:szCs w:val="24"/>
        </w:rPr>
      </w:r>
      <w:r/>
    </w:p>
    <w:p>
      <w:pPr>
        <w:pStyle w:val="715"/>
        <w:ind w:firstLine="480"/>
        <w:rPr>
          <w:rFonts w:hint="eastAsia" w:cs="宋体"/>
          <w:b/>
          <w:bCs/>
          <w:sz w:val="24"/>
          <w:szCs w:val="24"/>
        </w:rPr>
      </w:pPr>
      <w:r>
        <w:rPr>
          <w:rFonts w:hint="eastAsia" w:cs="宋体"/>
          <w:sz w:val="24"/>
          <w:szCs w:val="24"/>
        </w:rPr>
        <w:t xml:space="preserve">未通过符合性审查的投标文件，将被判为不满足招标文件实质性要求。</w:t>
      </w:r>
      <w:r>
        <w:rPr>
          <w:rFonts w:hint="eastAsia" w:cs="宋体"/>
          <w:b/>
          <w:bCs/>
          <w:sz w:val="24"/>
          <w:szCs w:val="24"/>
        </w:rPr>
      </w:r>
      <w:r/>
    </w:p>
    <w:p>
      <w:pPr>
        <w:pStyle w:val="645"/>
        <w:ind w:firstLine="482"/>
        <w:spacing w:line="360" w:lineRule="auto"/>
        <w:rPr>
          <w:rFonts w:hint="eastAsia" w:ascii="宋体" w:hAnsi="宋体" w:cs="宋体"/>
          <w:sz w:val="24"/>
          <w:szCs w:val="24"/>
        </w:rPr>
      </w:pPr>
      <w:r>
        <w:rPr>
          <w:rFonts w:hint="eastAsia" w:ascii="宋体" w:hAnsi="宋体" w:cs="宋体"/>
          <w:b/>
          <w:bCs/>
          <w:sz w:val="24"/>
          <w:szCs w:val="24"/>
        </w:rPr>
        <w:t xml:space="preserve">（三）商务技术标评审标准（70分）</w:t>
      </w:r>
      <w:r>
        <w:rPr>
          <w:rFonts w:hint="eastAsia" w:ascii="宋体" w:hAnsi="宋体" w:cs="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5"/>
        <w:gridCol w:w="1905"/>
        <w:gridCol w:w="881"/>
        <w:gridCol w:w="6199"/>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序号 </w:t>
            </w: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评分点名称</w:t>
            </w: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评审标准</w:t>
            </w:r>
            <w:r>
              <w:rPr>
                <w:rFonts w:hint="eastAsia" w:ascii="宋体" w:hAnsi="宋体" w:cs="宋体"/>
                <w:b/>
                <w:bCs/>
                <w:sz w:val="24"/>
                <w:szCs w:val="24"/>
              </w:rPr>
            </w:r>
            <w:r/>
          </w:p>
        </w:tc>
      </w:tr>
      <w:tr>
        <w:trPr>
          <w:trHeight w:val="2093"/>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平台各模块功能描述需求响应性</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jc w:val="left"/>
              <w:widowControl/>
              <w:rPr>
                <w:rFonts w:hint="eastAsia" w:ascii="宋体" w:hAnsi="宋体"/>
                <w:sz w:val="24"/>
                <w:szCs w:val="21"/>
              </w:rPr>
            </w:pPr>
            <w:r>
              <w:rPr>
                <w:rFonts w:hint="eastAsia" w:ascii="宋体" w:hAnsi="宋体"/>
                <w:sz w:val="24"/>
                <w:szCs w:val="21"/>
              </w:rPr>
              <w:t xml:space="preserve">对所投产品各个模块的功能描述响应情况进行打分，所有产品模块的功能描述一共120条，达到采购文件要求的,每一条得0.3 分，总分共36分。 </w:t>
            </w:r>
            <w:r>
              <w:rPr>
                <w:rFonts w:hint="eastAsia" w:ascii="宋体" w:hAnsi="宋体"/>
                <w:sz w:val="24"/>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方案演示</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spacing w:line="360" w:lineRule="auto"/>
              <w:rPr>
                <w:rFonts w:hint="eastAsia" w:ascii="宋体" w:hAnsi="宋体"/>
                <w:sz w:val="24"/>
                <w:szCs w:val="21"/>
              </w:rPr>
            </w:pPr>
            <w:r>
              <w:rPr>
                <w:rFonts w:hint="eastAsia" w:ascii="宋体" w:hAnsi="宋体"/>
                <w:sz w:val="24"/>
                <w:szCs w:val="21"/>
              </w:rPr>
              <w:t xml:space="preserve">演示内容：</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一、管理端：</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1、数据统计：提供大数据统计分析，支持构建全方位、全过程、全天候的数据支持体系，包括行为数据分析和应用数据分析，支持分析模块自定义添加。（1分）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2、用户管理：开放管理权限，支持对用户基本信息、单位组织架构、用户扩展属性、用户角色、单位认证管理的个性化管理。（2分）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3、应用管理：支持通过应用市场和自建应用两种方式配置学校应用，并支持自定义应用分类，实现对单位分类和应用进行增、删、改操作。支持对单个应用进行修改基本信息，要求可配置应用使用范围，支持按应用配角色和按角色配应用，配置好的单位应用将同步显示在移动端和个人空间。（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4、终端管理：提供灵活的终端管理工具，具备可视化全功能后台，支持自定义设置单位门户、移动端界面、个人空间、大数据屏、微信端和管理后台，所有终端支持按角色配置界面和应用，同时嵌套多种界面配置模版。（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5、数据中心：汇聚学校办公方面的数据，支持导出excel形式，并开放每个应用的API接口，满足其他应用开发对数据的统一调用。（1分）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6、开放平台：提供API标准文档和运营规范，支持第三方应用的接入、上传和管理。开放平台要求内嵌应用市场，多达上百个应用，支持灵活添加和移除。（1分）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二、用户端：</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1.PC端个人空间</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个人空间的页面支持模板选择及配置，要求包含课程、笔记、消息、收藏、应用、小组、云盘、工作台、常用应用等基础功能，以及在管理端配置好的各种微应用的使用。满足角色不同，应用不同。（1分）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2.移动端</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支持通过管理端对组织架构和单位应用进行设置后，同步应用到移动端，移动端满足：</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不同角色用户看到的界面、应用不同（1分）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3.校园通讯：具有群组交流、知识分享、即时通讯、在线笔记、专题制作等功能。（1分）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4.管理功能：实现OA管理办公一体化，支持通知、请假、会议签到、打卡、调休、加班、场地预约、视频会议、直播、维修申请、审批管理、表单引擎、文件推送等。（2分）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5.系统集成：教务教学方面，为了达到提高课堂活跃度，提供覆盖从课前、课中、课后到课外的所有教学活动，具有课堂互动功能：如PPT上课、课堂投屏、移动教案、课堂通知、课堂签到、抢答、选人、测验、投票、多屏互动、交流互动、学习监控、在线考试、课堂报告等功能；移动资源方面，需提供图书、期刊、专题、教师研修课程、德育系列课程、学生选修课程等移动资源的移动端获取、评论以及转发等（2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若供应商未做演示的本项不得分。</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注：1.投标人演示人员和设备需在评标前到达南通市通州区公共资源交易中心三楼等候区。按照苏采云系统安排的顺序进行现场演示，演示需按照招标文件的规定和评标委员会的要求进行，时间不超过15分钟。交易中心提供投影机及幕布，其他所需设备由投标人自备。</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2、投标人需在“法人授权书”中注明进行现场演示的人员姓名及身份证号，不接受非注明的人员进入评审现场进行演示。投标人进入评审现场的人员应出示有效身份证件。</w:t>
            </w:r>
            <w:r>
              <w:rPr>
                <w:rFonts w:hint="eastAsia" w:ascii="宋体" w:hAnsi="宋体"/>
                <w:sz w:val="24"/>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产品证书</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spacing w:line="360" w:lineRule="auto"/>
              <w:rPr>
                <w:rFonts w:hint="eastAsia" w:ascii="宋体" w:hAnsi="宋体"/>
                <w:sz w:val="24"/>
                <w:szCs w:val="21"/>
              </w:rPr>
            </w:pPr>
            <w:r>
              <w:rPr>
                <w:rFonts w:hint="eastAsia" w:ascii="宋体" w:hAnsi="宋体"/>
                <w:sz w:val="24"/>
                <w:szCs w:val="21"/>
              </w:rPr>
              <w:t xml:space="preserve">1.供应商或所投产品原厂商具有：微服务平台、智慧校园管理平台、教学大数据分析平台、移动学习管理系统、数据中心系统的计算机软件著作权登记证书，每提供一个证书得2分，最多得8分，不提供不得分（提供有效证明的原件扫描件。）</w:t>
            </w:r>
            <w:r>
              <w:rPr>
                <w:rFonts w:hint="eastAsia" w:ascii="宋体" w:hAnsi="宋体"/>
                <w:sz w:val="24"/>
                <w:szCs w:val="21"/>
              </w:rPr>
            </w:r>
            <w:r/>
          </w:p>
          <w:p>
            <w:pPr>
              <w:pStyle w:val="645"/>
              <w:spacing w:line="360" w:lineRule="auto"/>
              <w:rPr>
                <w:rFonts w:hint="eastAsia" w:ascii="宋体" w:hAnsi="宋体" w:cs="宋体"/>
                <w:sz w:val="24"/>
                <w:szCs w:val="24"/>
              </w:rPr>
            </w:pPr>
            <w:r>
              <w:rPr>
                <w:rFonts w:hint="eastAsia" w:ascii="宋体" w:hAnsi="宋体"/>
                <w:sz w:val="24"/>
                <w:szCs w:val="21"/>
              </w:rPr>
              <w:t xml:space="preserve">2.供应商所投的系统软件具有3级信息系统安全等级保护备案证明，得2分。（提供相关资质的复印件并加盖投标人公章）</w:t>
            </w:r>
            <w:r>
              <w:rPr>
                <w:rFonts w:hint="eastAsia" w:ascii="宋体" w:hAnsi="宋体" w:cs="宋体"/>
                <w:sz w:val="24"/>
                <w:szCs w:val="24"/>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整体方案设计</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spacing w:line="360" w:lineRule="auto"/>
              <w:rPr>
                <w:rFonts w:hint="eastAsia" w:ascii="宋体" w:hAnsi="宋体"/>
                <w:sz w:val="24"/>
                <w:szCs w:val="21"/>
              </w:rPr>
            </w:pPr>
            <w:r>
              <w:rPr>
                <w:rFonts w:hint="eastAsia" w:ascii="宋体" w:hAnsi="宋体"/>
                <w:sz w:val="24"/>
                <w:szCs w:val="21"/>
              </w:rPr>
              <w:t xml:space="preserve">考查供应商提供的技术方案总体框架先进性、合理性、完整性、可行性。</w:t>
            </w:r>
            <w:r>
              <w:rPr>
                <w:rFonts w:hint="eastAsia" w:ascii="宋体" w:hAnsi="宋体"/>
                <w:sz w:val="24"/>
                <w:szCs w:val="21"/>
              </w:rPr>
            </w:r>
            <w:r/>
          </w:p>
          <w:p>
            <w:pPr>
              <w:pStyle w:val="657"/>
              <w:jc w:val="left"/>
              <w:rPr>
                <w:rFonts w:hint="eastAsia" w:ascii="宋体" w:hAnsi="宋体" w:eastAsia="宋体"/>
                <w:sz w:val="24"/>
                <w:szCs w:val="21"/>
              </w:rPr>
            </w:pPr>
            <w:r>
              <w:rPr>
                <w:rFonts w:hint="eastAsia" w:ascii="宋体" w:hAnsi="宋体" w:eastAsia="宋体"/>
                <w:sz w:val="24"/>
                <w:szCs w:val="21"/>
              </w:rPr>
              <w:t xml:space="preserve">技术方案总体框架满足项目需求的得5分，部分满足的得3分，不满足的得1分，不提供不得分。</w:t>
            </w:r>
            <w:r>
              <w:rPr>
                <w:rFonts w:hint="eastAsia" w:ascii="宋体" w:hAnsi="宋体" w:eastAsia="宋体"/>
                <w:sz w:val="24"/>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905"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售后服务</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81"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9" w:type="dxa"/>
            <w:vAlign w:val="center"/>
            <w:textDirection w:val="lrTb"/>
            <w:noWrap w:val="false"/>
          </w:tcPr>
          <w:p>
            <w:pPr>
              <w:pStyle w:val="645"/>
              <w:spacing w:line="360" w:lineRule="auto"/>
              <w:rPr>
                <w:rFonts w:hint="eastAsia" w:ascii="宋体" w:hAnsi="宋体"/>
                <w:sz w:val="24"/>
                <w:szCs w:val="21"/>
              </w:rPr>
            </w:pPr>
            <w:r>
              <w:rPr>
                <w:rFonts w:hint="eastAsia" w:ascii="宋体" w:hAnsi="宋体"/>
                <w:sz w:val="24"/>
                <w:szCs w:val="21"/>
              </w:rPr>
              <w:t xml:space="preserve">考查投标方提供的售后服务方案。</w:t>
            </w:r>
            <w:r>
              <w:rPr>
                <w:rFonts w:hint="eastAsia" w:ascii="宋体" w:hAnsi="宋体"/>
                <w:sz w:val="24"/>
                <w:szCs w:val="21"/>
              </w:rPr>
            </w:r>
            <w:r/>
          </w:p>
          <w:p>
            <w:pPr>
              <w:pStyle w:val="645"/>
              <w:spacing w:line="360" w:lineRule="auto"/>
              <w:rPr>
                <w:rFonts w:hint="eastAsia" w:ascii="宋体" w:hAnsi="宋体"/>
                <w:sz w:val="24"/>
                <w:szCs w:val="21"/>
              </w:rPr>
            </w:pPr>
            <w:r>
              <w:rPr>
                <w:rFonts w:hint="eastAsia" w:ascii="宋体" w:hAnsi="宋体"/>
                <w:sz w:val="24"/>
                <w:szCs w:val="21"/>
              </w:rPr>
              <w:t xml:space="preserve">售后服务方案满足项目需求的得5分，部分满足的得3分，不满足的得1分，不提供不得分。</w:t>
            </w:r>
            <w:r>
              <w:rPr>
                <w:rFonts w:hint="eastAsia" w:ascii="宋体" w:hAnsi="宋体"/>
                <w:sz w:val="24"/>
                <w:szCs w:val="21"/>
              </w:rPr>
            </w:r>
            <w:r/>
          </w:p>
        </w:tc>
      </w:tr>
    </w:tbl>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供应商得分为评标小组成员评分的算术平均分,分值四舍五入保留小数点后两位。以上所设分值均为各条评分最大得分值，评委根据各条评分内容在0至所设分值之间酌情打分。</w:t>
      </w:r>
      <w:r>
        <w:rPr>
          <w:rFonts w:hint="eastAsia" w:ascii="宋体" w:hAnsi="宋体" w:cs="宋体"/>
          <w:sz w:val="24"/>
          <w:szCs w:val="24"/>
        </w:rPr>
      </w:r>
      <w:r/>
    </w:p>
    <w:p>
      <w:pPr>
        <w:pStyle w:val="645"/>
        <w:ind w:firstLine="241"/>
        <w:spacing w:line="360" w:lineRule="auto"/>
        <w:rPr>
          <w:rFonts w:hint="eastAsia" w:ascii="宋体" w:hAnsi="宋体" w:cs="宋体"/>
          <w:b/>
          <w:bCs/>
          <w:sz w:val="24"/>
          <w:szCs w:val="24"/>
        </w:rPr>
      </w:pPr>
      <w:r>
        <w:rPr>
          <w:rFonts w:hint="eastAsia" w:ascii="宋体" w:hAnsi="宋体" w:cs="宋体"/>
          <w:b/>
          <w:bCs/>
          <w:sz w:val="24"/>
          <w:szCs w:val="24"/>
        </w:rPr>
        <w:t xml:space="preserve">注：①请供应商对“评分标准表”中的所有打分项逐一响应并提供证明文件。 </w:t>
      </w:r>
      <w:r>
        <w:rPr>
          <w:rFonts w:hint="eastAsia" w:ascii="宋体" w:hAnsi="宋体" w:cs="宋体"/>
          <w:b/>
          <w:bCs/>
          <w:sz w:val="24"/>
          <w:szCs w:val="24"/>
        </w:rPr>
      </w:r>
      <w:r/>
    </w:p>
    <w:p>
      <w:pPr>
        <w:pStyle w:val="645"/>
        <w:ind w:firstLine="602"/>
        <w:spacing w:line="360" w:lineRule="auto"/>
        <w:rPr>
          <w:rFonts w:hint="eastAsia" w:ascii="宋体" w:hAnsi="宋体" w:cs="宋体"/>
          <w:b/>
          <w:bCs/>
          <w:sz w:val="24"/>
          <w:szCs w:val="24"/>
        </w:rPr>
      </w:pPr>
      <w:r>
        <w:rPr>
          <w:rFonts w:hint="eastAsia" w:ascii="宋体" w:hAnsi="宋体" w:cs="宋体"/>
          <w:b/>
          <w:bCs/>
          <w:sz w:val="24"/>
          <w:szCs w:val="24"/>
        </w:rPr>
        <w:t xml:space="preserve">②请供应商制作响应文件的时保证图片、文字材料的完整、清晰可辨，任何原因导致评委看不清楚或无法查看，后果由供应商自负。</w:t>
      </w:r>
      <w:r>
        <w:rPr>
          <w:rFonts w:hint="eastAsia" w:ascii="宋体" w:hAnsi="宋体" w:cs="宋体"/>
          <w:b/>
          <w:bCs/>
          <w:sz w:val="24"/>
          <w:szCs w:val="24"/>
        </w:rPr>
      </w:r>
      <w:r/>
    </w:p>
    <w:p>
      <w:pPr>
        <w:pStyle w:val="645"/>
        <w:ind w:firstLine="602"/>
        <w:spacing w:line="360" w:lineRule="auto"/>
        <w:rPr>
          <w:rFonts w:hint="eastAsia" w:ascii="宋体" w:hAnsi="宋体" w:cs="宋体"/>
          <w:b/>
          <w:bCs/>
          <w:sz w:val="24"/>
          <w:szCs w:val="24"/>
        </w:rPr>
      </w:pPr>
      <w:r>
        <w:rPr>
          <w:rFonts w:hint="eastAsia" w:ascii="宋体" w:hAnsi="宋体" w:cs="宋体"/>
          <w:b/>
          <w:bCs/>
          <w:sz w:val="24"/>
          <w:szCs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rPr>
          <w:rFonts w:hint="eastAsia" w:ascii="宋体" w:hAnsi="宋体" w:cs="宋体"/>
          <w:b/>
          <w:bCs/>
          <w:sz w:val="24"/>
          <w:szCs w:val="24"/>
        </w:rPr>
      </w:r>
      <w:r/>
    </w:p>
    <w:p>
      <w:pPr>
        <w:pStyle w:val="645"/>
        <w:ind w:firstLine="602"/>
        <w:spacing w:line="360" w:lineRule="auto"/>
        <w:rPr>
          <w:rFonts w:hint="eastAsia" w:ascii="宋体" w:hAnsi="宋体" w:cs="宋体"/>
          <w:b/>
          <w:sz w:val="24"/>
          <w:szCs w:val="24"/>
        </w:rPr>
      </w:pPr>
      <w:r>
        <w:rPr>
          <w:rFonts w:hint="eastAsia" w:ascii="宋体" w:hAnsi="宋体" w:cs="宋体"/>
          <w:b/>
          <w:sz w:val="24"/>
          <w:szCs w:val="24"/>
        </w:rPr>
        <w:t xml:space="preserve">（四）报价标评审标准（分值30分）</w:t>
      </w:r>
      <w:r>
        <w:rPr>
          <w:rFonts w:hint="eastAsia" w:ascii="宋体" w:hAnsi="宋体" w:cs="宋体"/>
          <w:b/>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报价标分的评审标准为：即满足招标文件要求且投标价格最低的投标报价为评标基准价，其价格分（即报价标分）为满分30分。其他潜在供应商的价格分统一按照下列公式计算：投标报价得分=（评标基准价/投标报价）*价格权重（30%）*100。</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二、政府采购政策功能落实</w:t>
      </w:r>
      <w:r>
        <w:rPr>
          <w:rFonts w:hint="eastAsia" w:ascii="宋体" w:hAnsi="宋体" w:cs="宋体"/>
          <w:sz w:val="24"/>
          <w:szCs w:val="24"/>
        </w:rPr>
      </w:r>
      <w:r/>
    </w:p>
    <w:p>
      <w:pPr>
        <w:pStyle w:val="645"/>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1、小微型企业价格扣除</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1、小微型企业价格扣除，本项目标的需求明确的所属行业为软件和信息技术服务业。</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（1）本项目对小型和微型企业产品给予10%的扣除价格，用扣除后的价格参与评审。</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（2）投标人需按照采购文件的要求提供相应的《小型、微型企业声明函》。</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2、残疾人福利单位价格扣除</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（1）本项目对残疾人福利性单位视同小型、微型企业，给予10%的价格扣除，用扣除后的价格参与评审。</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3、监狱和戒毒企业价格扣除</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（1）本项目对监狱和戒毒企业（简称监狱企业）视同小型、微型企业，给予10%的价格扣除，用扣除后的价格参与评审。</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hint="eastAsia" w:ascii="宋体" w:hAnsi="宋体" w:cs="宋体"/>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6、联合体各方均为小型、微型企业（残疾人福利单位、监狱企业）的，联合体享受10%价格扣除，用扣除后的价格参与评审。</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7、专门面向中小企业采购的项目或者采购包，不再执行价格评审优惠的扶持政策。</w:t>
      </w:r>
      <w:r>
        <w:rPr>
          <w:rFonts w:hint="eastAsia" w:ascii="宋体" w:hAnsi="宋体" w:cs="宋体"/>
          <w:sz w:val="24"/>
          <w:szCs w:val="24"/>
        </w:rPr>
      </w:r>
      <w:r/>
    </w:p>
    <w:p>
      <w:pPr>
        <w:pStyle w:val="645"/>
        <w:ind w:firstLine="602"/>
        <w:spacing w:line="360" w:lineRule="auto"/>
        <w:rPr>
          <w:rFonts w:hint="eastAsia" w:ascii="宋体" w:hAnsi="宋体" w:cs="宋体"/>
          <w:b/>
          <w:bCs/>
          <w:sz w:val="24"/>
          <w:szCs w:val="24"/>
        </w:rPr>
      </w:pPr>
      <w:r>
        <w:rPr>
          <w:rFonts w:hint="eastAsia" w:ascii="宋体" w:hAnsi="宋体" w:cs="宋体"/>
          <w:b/>
          <w:bCs/>
          <w:sz w:val="24"/>
          <w:szCs w:val="24"/>
        </w:rPr>
        <w:t xml:space="preserve">三、定标</w:t>
      </w:r>
      <w:r>
        <w:rPr>
          <w:rFonts w:hint="eastAsia" w:ascii="宋体" w:hAnsi="宋体" w:cs="宋体"/>
          <w:b/>
          <w:bCs/>
          <w:sz w:val="24"/>
          <w:szCs w:val="24"/>
        </w:rPr>
      </w:r>
      <w:r/>
    </w:p>
    <w:p>
      <w:pPr>
        <w:pStyle w:val="645"/>
        <w:ind w:firstLine="600"/>
        <w:spacing w:line="360" w:lineRule="auto"/>
        <w:rPr>
          <w:rFonts w:hint="eastAsia" w:ascii="宋体" w:hAnsi="宋体" w:cs="宋体"/>
          <w:sz w:val="24"/>
          <w:szCs w:val="24"/>
        </w:rPr>
      </w:pPr>
      <w:r>
        <w:rPr>
          <w:rFonts w:hint="eastAsia" w:ascii="宋体" w:hAnsi="宋体" w:cs="宋体"/>
          <w:sz w:val="24"/>
          <w:szCs w:val="24"/>
        </w:rPr>
        <w:t xml:space="preserve">评委会根据全体评标成员签字的原始评标记录和评标结果编写评标报告。评委会汇总各评委评分后，评审后得分（商务技术得分+价格得分）由高到低顺序排列，排名前三名的依次为第一、第二、第三中标候选人。得分相同的，按投标报价由低到高顺序排列，得分且投标报价相同的，且按照评审因素的量化指标评审得分前三名的投标人为中标候选人。</w:t>
      </w:r>
      <w:r>
        <w:rPr>
          <w:rFonts w:hint="eastAsia" w:ascii="宋体" w:hAnsi="宋体" w:cs="宋体"/>
          <w:sz w:val="24"/>
          <w:szCs w:val="24"/>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第一中标候选人原则上为中标人，中标价为其投标报价。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rPr>
          <w:rFonts w:hint="eastAsia" w:ascii="宋体" w:hAnsi="宋体" w:cs="宋体"/>
          <w:sz w:val="24"/>
          <w:szCs w:val="24"/>
        </w:rPr>
      </w:r>
      <w:r/>
    </w:p>
    <w:p>
      <w:pPr>
        <w:pStyle w:val="645"/>
        <w:keepNext/>
        <w:spacing w:line="360" w:lineRule="auto"/>
        <w:rPr>
          <w:rFonts w:hint="eastAsia" w:ascii="宋体" w:hAnsi="宋体" w:cs="宋体"/>
          <w:bCs/>
          <w:sz w:val="44"/>
          <w:szCs w:val="28"/>
        </w:rPr>
        <w:outlineLvl w:val="0"/>
      </w:pPr>
      <w:r>
        <w:rPr>
          <w:rFonts w:hint="eastAsia" w:ascii="宋体" w:hAnsi="宋体" w:cs="宋体"/>
          <w:bCs/>
          <w:sz w:val="44"/>
          <w:szCs w:val="28"/>
        </w:rPr>
      </w:r>
      <w:r/>
    </w:p>
    <w:p>
      <w:pPr>
        <w:pStyle w:val="645"/>
        <w:jc w:val="center"/>
        <w:keepNext/>
        <w:spacing w:line="360" w:lineRule="auto"/>
        <w:rPr>
          <w:rFonts w:hint="eastAsia" w:ascii="宋体" w:hAnsi="宋体" w:cs="宋体"/>
          <w:bCs/>
          <w:sz w:val="44"/>
          <w:szCs w:val="28"/>
        </w:rPr>
        <w:outlineLvl w:val="0"/>
      </w:pPr>
      <w:r>
        <w:rPr>
          <w:rFonts w:hint="eastAsia" w:ascii="宋体" w:hAnsi="宋体" w:cs="宋体"/>
          <w:bCs/>
          <w:sz w:val="44"/>
          <w:szCs w:val="28"/>
        </w:rPr>
        <w:br w:type="page" w:clear="all"/>
      </w:r>
      <w:r>
        <w:rPr>
          <w:rFonts w:hint="eastAsia" w:ascii="宋体" w:hAnsi="宋体" w:cs="宋体"/>
          <w:bCs/>
          <w:sz w:val="44"/>
          <w:szCs w:val="28"/>
        </w:rPr>
      </w:r>
      <w:r/>
    </w:p>
    <w:p>
      <w:pPr>
        <w:pStyle w:val="645"/>
        <w:jc w:val="center"/>
        <w:keepNext/>
        <w:spacing w:line="360" w:lineRule="auto"/>
        <w:rPr>
          <w:rFonts w:hint="eastAsia" w:ascii="宋体" w:hAnsi="宋体" w:cs="宋体"/>
          <w:bCs/>
          <w:sz w:val="44"/>
          <w:szCs w:val="28"/>
        </w:rPr>
        <w:outlineLvl w:val="0"/>
      </w:pPr>
      <w:r>
        <w:rPr>
          <w:rFonts w:hint="eastAsia" w:ascii="宋体" w:hAnsi="宋体" w:cs="宋体"/>
          <w:bCs/>
          <w:sz w:val="44"/>
          <w:szCs w:val="28"/>
        </w:rPr>
        <w:t xml:space="preserve">第六章  投标</w:t>
      </w:r>
      <w:bookmarkEnd w:id="339"/>
      <w:r/>
      <w:bookmarkEnd w:id="340"/>
      <w:r/>
      <w:bookmarkEnd w:id="350"/>
      <w:r>
        <w:rPr>
          <w:rFonts w:hint="eastAsia" w:ascii="宋体" w:hAnsi="宋体" w:cs="宋体"/>
          <w:bCs/>
          <w:sz w:val="44"/>
          <w:szCs w:val="28"/>
        </w:rPr>
        <w:t xml:space="preserve">文件格式 </w:t>
      </w:r>
      <w:r>
        <w:rPr>
          <w:rFonts w:hint="eastAsia" w:ascii="宋体" w:hAnsi="宋体" w:cs="宋体"/>
          <w:bCs/>
          <w:sz w:val="44"/>
          <w:szCs w:val="28"/>
        </w:rPr>
      </w:r>
      <w:r/>
    </w:p>
    <w:p>
      <w:pPr>
        <w:pStyle w:val="645"/>
        <w:jc w:val="center"/>
        <w:spacing w:line="360" w:lineRule="auto"/>
        <w:rPr>
          <w:rFonts w:hint="eastAsia" w:ascii="宋体" w:hAnsi="宋体" w:cs="宋体"/>
          <w:b/>
          <w:sz w:val="72"/>
          <w:szCs w:val="21"/>
        </w:rPr>
      </w:pPr>
      <w:r/>
      <w:bookmarkStart w:id="351" w:name="_Hlt26671244"/>
      <w:r/>
      <w:bookmarkEnd w:id="351"/>
      <w:r/>
      <w:bookmarkStart w:id="352" w:name="_Hlt26955039"/>
      <w:r/>
      <w:bookmarkEnd w:id="352"/>
      <w:r/>
      <w:bookmarkStart w:id="353" w:name="_Toc120614282"/>
      <w:r/>
      <w:bookmarkStart w:id="354" w:name="_Toc49090576"/>
      <w:r/>
      <w:bookmarkStart w:id="355" w:name="_Toc26554094"/>
      <w:r>
        <w:rPr>
          <w:rFonts w:hint="eastAsia" w:ascii="宋体" w:hAnsi="宋体" w:cs="宋体"/>
          <w:b/>
          <w:sz w:val="72"/>
          <w:szCs w:val="21"/>
        </w:rPr>
      </w:r>
      <w:r/>
    </w:p>
    <w:p>
      <w:pPr>
        <w:pStyle w:val="657"/>
        <w:spacing w:line="360" w:lineRule="auto"/>
        <w:rPr>
          <w:rFonts w:hint="eastAsia"/>
        </w:rPr>
      </w:pPr>
      <w:r>
        <w:rPr>
          <w:rFonts w:hint="eastAsia"/>
        </w:rPr>
      </w:r>
      <w:r/>
    </w:p>
    <w:p>
      <w:pPr>
        <w:pStyle w:val="645"/>
        <w:jc w:val="center"/>
        <w:spacing w:line="360" w:lineRule="auto"/>
        <w:rPr>
          <w:rFonts w:hint="eastAsia" w:ascii="宋体" w:hAnsi="宋体" w:cs="宋体"/>
          <w:b/>
          <w:sz w:val="72"/>
          <w:szCs w:val="21"/>
        </w:rPr>
      </w:pPr>
      <w:r>
        <w:rPr>
          <w:rFonts w:hint="eastAsia" w:ascii="宋体" w:hAnsi="宋体" w:cs="宋体"/>
          <w:b/>
          <w:sz w:val="72"/>
          <w:szCs w:val="21"/>
        </w:rPr>
        <w:t xml:space="preserve">投  标  文  件</w:t>
      </w:r>
      <w:r>
        <w:rPr>
          <w:rFonts w:hint="eastAsia" w:ascii="宋体" w:hAnsi="宋体" w:cs="宋体"/>
          <w:b/>
          <w:sz w:val="72"/>
          <w:szCs w:val="21"/>
        </w:rPr>
      </w:r>
      <w:r/>
    </w:p>
    <w:p>
      <w:pPr>
        <w:pStyle w:val="645"/>
        <w:jc w:val="center"/>
        <w:spacing w:line="360" w:lineRule="auto"/>
        <w:rPr>
          <w:rFonts w:hint="eastAsia" w:ascii="宋体" w:hAnsi="宋体" w:cs="宋体"/>
          <w:b/>
          <w:sz w:val="72"/>
          <w:szCs w:val="21"/>
        </w:rPr>
      </w:pPr>
      <w:r>
        <w:rPr>
          <w:rFonts w:hint="eastAsia" w:ascii="宋体" w:hAnsi="宋体" w:cs="宋体"/>
          <w:b/>
          <w:sz w:val="72"/>
          <w:szCs w:val="21"/>
        </w:rPr>
      </w:r>
      <w:r/>
    </w:p>
    <w:p>
      <w:pPr>
        <w:pStyle w:val="645"/>
        <w:jc w:val="center"/>
        <w:spacing w:line="360" w:lineRule="auto"/>
        <w:rPr>
          <w:rFonts w:hint="eastAsia" w:ascii="宋体" w:hAnsi="宋体" w:cs="宋体"/>
          <w:b/>
          <w:sz w:val="36"/>
          <w:szCs w:val="21"/>
        </w:rPr>
      </w:pPr>
      <w:r>
        <w:rPr>
          <w:rFonts w:hint="eastAsia" w:ascii="宋体" w:hAnsi="宋体" w:cs="宋体"/>
          <w:b/>
          <w:sz w:val="36"/>
          <w:szCs w:val="21"/>
        </w:rPr>
      </w:r>
      <w:r/>
    </w:p>
    <w:p>
      <w:pPr>
        <w:pStyle w:val="645"/>
        <w:jc w:val="center"/>
        <w:spacing w:line="360" w:lineRule="auto"/>
        <w:rPr>
          <w:rFonts w:hint="eastAsia" w:ascii="宋体" w:hAnsi="宋体" w:cs="宋体"/>
          <w:b/>
          <w:sz w:val="36"/>
          <w:szCs w:val="21"/>
        </w:rPr>
      </w:pPr>
      <w:r>
        <w:rPr>
          <w:rFonts w:hint="eastAsia" w:ascii="宋体" w:hAnsi="宋体" w:cs="宋体"/>
          <w:b/>
          <w:sz w:val="36"/>
          <w:szCs w:val="21"/>
        </w:rPr>
      </w:r>
      <w:r/>
    </w:p>
    <w:p>
      <w:pPr>
        <w:pStyle w:val="645"/>
        <w:jc w:val="center"/>
        <w:spacing w:line="360" w:lineRule="auto"/>
        <w:rPr>
          <w:rFonts w:hint="eastAsia" w:ascii="宋体" w:hAnsi="宋体" w:cs="宋体"/>
          <w:b/>
          <w:sz w:val="36"/>
          <w:szCs w:val="21"/>
        </w:rPr>
      </w:pPr>
      <w:r>
        <w:rPr>
          <w:rFonts w:hint="eastAsia" w:ascii="宋体" w:hAnsi="宋体" w:cs="宋体"/>
          <w:b/>
          <w:sz w:val="36"/>
          <w:szCs w:val="21"/>
        </w:rPr>
      </w:r>
      <w:r/>
    </w:p>
    <w:p>
      <w:pPr>
        <w:pStyle w:val="645"/>
        <w:ind w:firstLine="1084"/>
        <w:spacing w:line="360" w:lineRule="auto"/>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645"/>
        <w:ind w:firstLine="1084"/>
        <w:spacing w:line="360" w:lineRule="auto"/>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645"/>
        <w:spacing w:line="360" w:lineRule="auto"/>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rPr>
          <w:rFonts w:hint="eastAsia" w:ascii="宋体" w:hAnsi="宋体" w:cs="宋体"/>
          <w:b/>
          <w:sz w:val="36"/>
          <w:szCs w:val="21"/>
          <w:u w:val="single"/>
        </w:rPr>
      </w:r>
      <w:r/>
    </w:p>
    <w:p>
      <w:pPr>
        <w:pStyle w:val="645"/>
        <w:spacing w:line="360" w:lineRule="auto"/>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rPr>
          <w:rFonts w:hint="eastAsia" w:ascii="宋体" w:hAnsi="宋体" w:cs="宋体"/>
          <w:b/>
          <w:sz w:val="36"/>
          <w:szCs w:val="21"/>
          <w:u w:val="single"/>
        </w:rPr>
      </w:r>
      <w:r/>
    </w:p>
    <w:p>
      <w:pPr>
        <w:pStyle w:val="645"/>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645"/>
        <w:spacing w:line="360" w:lineRule="auto"/>
        <w:rPr>
          <w:rFonts w:hint="eastAsia" w:ascii="宋体" w:hAnsi="宋体" w:cs="宋体"/>
          <w:szCs w:val="21"/>
        </w:rPr>
      </w:pPr>
      <w:r>
        <w:rPr>
          <w:rFonts w:hint="eastAsia" w:ascii="宋体" w:hAnsi="宋体" w:cs="宋体"/>
          <w:szCs w:val="21"/>
        </w:rPr>
      </w:r>
      <w:r/>
    </w:p>
    <w:p>
      <w:pPr>
        <w:pStyle w:val="645"/>
        <w:jc w:val="center"/>
        <w:spacing w:line="360" w:lineRule="auto"/>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响应文件组成</w:t>
      </w:r>
      <w:r>
        <w:rPr>
          <w:rFonts w:hint="eastAsia" w:ascii="宋体" w:hAnsi="宋体" w:cs="宋体"/>
          <w:b/>
          <w:bCs/>
          <w:sz w:val="32"/>
          <w:szCs w:val="32"/>
        </w:rPr>
      </w:r>
      <w:r/>
    </w:p>
    <w:p>
      <w:pPr>
        <w:pStyle w:val="6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一、资格审查材料</w:t>
      </w:r>
      <w:r>
        <w:rPr>
          <w:rFonts w:hint="eastAsia" w:ascii="宋体" w:hAnsi="宋体" w:cs="宋体"/>
          <w:b/>
          <w:bCs/>
          <w:sz w:val="24"/>
          <w:szCs w:val="24"/>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供应商符合《政府采购法》第二十二条规定条件的承诺函（格式见附件）；</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法定代表人身份证明书及法定代表人身份证扫描件（格式见附件）；</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3.</w:t>
      </w:r>
      <w:r>
        <w:rPr>
          <w:rFonts w:hint="eastAsia" w:ascii="宋体" w:hAnsi="宋体" w:cs="宋体"/>
          <w:bCs/>
          <w:sz w:val="24"/>
          <w:szCs w:val="24"/>
          <w:lang w:val="zh-CN"/>
        </w:rPr>
        <w:t xml:space="preserve">法定代表人授权委托书及委托代理人身份证扫描件（如有授权）（格式见附件）； </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4.</w:t>
      </w:r>
      <w:r>
        <w:rPr>
          <w:rFonts w:hint="eastAsia" w:ascii="宋体" w:hAnsi="宋体" w:cs="宋体"/>
          <w:bCs/>
          <w:sz w:val="24"/>
          <w:szCs w:val="24"/>
          <w:lang w:val="zh-CN"/>
        </w:rPr>
        <w:t xml:space="preserve">法人或者其他组织的营业执照等证明文件；自然人的身份证明；</w:t>
      </w:r>
      <w:r>
        <w:rPr>
          <w:rFonts w:hint="eastAsia" w:ascii="宋体" w:hAnsi="宋体" w:cs="宋体"/>
          <w:bCs/>
          <w:sz w:val="24"/>
          <w:szCs w:val="24"/>
          <w:lang w:val="zh-CN"/>
        </w:rPr>
      </w:r>
      <w:r/>
    </w:p>
    <w:p>
      <w:pPr>
        <w:pStyle w:val="645"/>
        <w:ind w:firstLine="480"/>
        <w:spacing w:line="360" w:lineRule="auto"/>
        <w:rPr>
          <w:rFonts w:hint="eastAsia" w:ascii="宋体" w:hAnsi="宋体" w:cs="宋体"/>
          <w:sz w:val="24"/>
          <w:szCs w:val="24"/>
        </w:rPr>
      </w:pPr>
      <w:r>
        <w:rPr>
          <w:rFonts w:hint="eastAsia" w:ascii="宋体" w:hAnsi="宋体" w:cs="宋体"/>
          <w:bCs/>
          <w:sz w:val="24"/>
          <w:szCs w:val="24"/>
        </w:rPr>
        <w:t xml:space="preserve">5.</w:t>
      </w:r>
      <w:r>
        <w:rPr>
          <w:rFonts w:hint="eastAsia" w:ascii="宋体" w:hAnsi="宋体" w:cs="宋体"/>
          <w:sz w:val="24"/>
          <w:szCs w:val="24"/>
        </w:rPr>
        <w:t xml:space="preserve">委托代理人（如有）与投标人签订的有效劳动合同及投标申请人为其</w:t>
      </w:r>
      <w:r>
        <w:rPr>
          <w:rFonts w:hint="eastAsia" w:ascii="宋体" w:hAnsi="宋体" w:cs="宋体"/>
          <w:sz w:val="24"/>
          <w:szCs w:val="24"/>
        </w:rPr>
        <w:t xml:space="preserve">缴纳的</w:t>
      </w:r>
      <w:r>
        <w:rPr>
          <w:rFonts w:hint="eastAsia" w:ascii="宋体" w:hAnsi="宋体" w:cs="宋体"/>
          <w:bCs/>
          <w:sz w:val="24"/>
          <w:szCs w:val="24"/>
        </w:rPr>
        <w:t xml:space="preserve">投标截止时间前三个月（不含投标截止时间当月）中至少一个月的养老保险缴纳证明材料</w:t>
      </w:r>
      <w:r>
        <w:rPr>
          <w:rFonts w:hint="eastAsia" w:ascii="宋体" w:hAnsi="宋体" w:cs="宋体"/>
          <w:sz w:val="24"/>
          <w:szCs w:val="24"/>
        </w:rPr>
        <w:t xml:space="preserve">（养老保险缴费证明需由社保机构出具）；企业法定代表人参与投标此项不需提供；</w:t>
      </w:r>
      <w:r>
        <w:rPr>
          <w:rFonts w:hint="eastAsia" w:ascii="宋体" w:hAnsi="宋体" w:cs="宋体"/>
          <w:sz w:val="24"/>
          <w:szCs w:val="24"/>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6.</w:t>
      </w:r>
      <w:r>
        <w:rPr>
          <w:rFonts w:hint="eastAsia" w:ascii="宋体" w:hAnsi="宋体" w:cs="宋体"/>
          <w:bCs/>
          <w:sz w:val="24"/>
          <w:szCs w:val="24"/>
          <w:lang w:val="zh-CN"/>
        </w:rPr>
        <w:t xml:space="preserve">供应商提供2022年度或2023年度由会计师事务所（或者审计机构）出具的财务报告；（成立不满一年不需提供）</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7.</w:t>
      </w:r>
      <w:r>
        <w:rPr>
          <w:rFonts w:hint="eastAsia" w:ascii="宋体" w:hAnsi="宋体" w:cs="宋体"/>
          <w:bCs/>
          <w:sz w:val="24"/>
          <w:szCs w:val="24"/>
          <w:lang w:val="zh-CN"/>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具备履行合同所必需的设备和专业技术能力的书面声明（格式见附件</w:t>
      </w:r>
      <w:r>
        <w:rPr>
          <w:rFonts w:hint="eastAsia" w:ascii="宋体" w:hAnsi="宋体" w:cs="宋体"/>
          <w:bCs/>
          <w:sz w:val="24"/>
          <w:szCs w:val="24"/>
        </w:rPr>
        <w:t xml:space="preserve"> </w:t>
      </w:r>
      <w:r>
        <w:rPr>
          <w:rFonts w:hint="eastAsia" w:ascii="宋体" w:hAnsi="宋体" w:cs="宋体"/>
          <w:bCs/>
          <w:sz w:val="24"/>
          <w:szCs w:val="24"/>
          <w:lang w:val="zh-CN"/>
        </w:rPr>
        <w:t xml:space="preserve">）；</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9.</w:t>
      </w:r>
      <w:r>
        <w:rPr>
          <w:rFonts w:hint="eastAsia" w:ascii="宋体" w:hAnsi="宋体" w:cs="宋体"/>
          <w:bCs/>
          <w:sz w:val="24"/>
          <w:szCs w:val="24"/>
          <w:lang w:val="zh-CN"/>
        </w:rPr>
        <w:t xml:space="preserve">参加政府采购活动前 3 年内在经营活动中没有重大违法记录的书面声明（格式见附件）；</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10.</w:t>
      </w:r>
      <w:r>
        <w:rPr>
          <w:rFonts w:hint="eastAsia" w:ascii="宋体" w:hAnsi="宋体" w:cs="宋体"/>
          <w:bCs/>
          <w:sz w:val="24"/>
          <w:szCs w:val="24"/>
          <w:lang w:val="zh-CN"/>
        </w:rPr>
        <w:t xml:space="preserve">供应商信用承诺书；（格式见附件</w:t>
      </w:r>
      <w:r>
        <w:rPr>
          <w:rFonts w:hint="eastAsia" w:ascii="宋体" w:hAnsi="宋体" w:cs="宋体"/>
          <w:bCs/>
          <w:sz w:val="24"/>
          <w:szCs w:val="24"/>
        </w:rPr>
        <w:t xml:space="preserve"> </w:t>
      </w:r>
      <w:r>
        <w:rPr>
          <w:rFonts w:hint="eastAsia" w:ascii="宋体" w:hAnsi="宋体" w:cs="宋体"/>
          <w:bCs/>
          <w:sz w:val="24"/>
          <w:szCs w:val="24"/>
          <w:lang w:val="zh-CN"/>
        </w:rPr>
        <w:t xml:space="preserve">）；</w:t>
      </w:r>
      <w:r>
        <w:rPr>
          <w:rFonts w:hint="eastAsia" w:ascii="宋体" w:hAnsi="宋体" w:cs="宋体"/>
          <w:bCs/>
          <w:sz w:val="24"/>
          <w:szCs w:val="24"/>
          <w:lang w:val="zh-CN"/>
        </w:rPr>
      </w:r>
      <w:r/>
    </w:p>
    <w:p>
      <w:pPr>
        <w:pStyle w:val="645"/>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11.其他证明材料（本项目专门面向中小企业采购）</w:t>
      </w:r>
      <w:r>
        <w:rPr>
          <w:rFonts w:hint="eastAsia" w:ascii="宋体" w:hAnsi="宋体" w:cs="宋体"/>
          <w:bCs/>
          <w:sz w:val="24"/>
          <w:szCs w:val="24"/>
        </w:rPr>
      </w:r>
      <w:r/>
    </w:p>
    <w:p>
      <w:pPr>
        <w:pStyle w:val="645"/>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（1）中小企业声明函；</w:t>
      </w:r>
      <w:r>
        <w:rPr>
          <w:rFonts w:hint="eastAsia" w:ascii="宋体" w:hAnsi="宋体" w:cs="宋体"/>
          <w:bCs/>
          <w:sz w:val="24"/>
          <w:szCs w:val="24"/>
        </w:rPr>
      </w:r>
      <w:r/>
    </w:p>
    <w:p>
      <w:pPr>
        <w:pStyle w:val="645"/>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（2）监狱企业证明函（如符合监狱企业的需提供）；</w:t>
      </w:r>
      <w:r>
        <w:rPr>
          <w:rFonts w:hint="eastAsia" w:ascii="宋体" w:hAnsi="宋体" w:cs="宋体"/>
          <w:bCs/>
          <w:sz w:val="24"/>
          <w:szCs w:val="24"/>
        </w:rPr>
      </w:r>
      <w:r/>
    </w:p>
    <w:p>
      <w:pPr>
        <w:pStyle w:val="645"/>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szCs w:val="24"/>
        </w:rPr>
        <w:t xml:space="preserve">（3）残疾人福利性单位声明函（如符合残疾人福利性单位的需提供）；</w:t>
      </w:r>
      <w:r>
        <w:rPr>
          <w:rFonts w:hint="eastAsia" w:ascii="宋体" w:hAnsi="宋体" w:cs="宋体"/>
          <w:sz w:val="24"/>
          <w:szCs w:val="24"/>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12.投标人认为其他必要的材料。</w:t>
      </w:r>
      <w:r>
        <w:rPr>
          <w:rFonts w:hint="eastAsia" w:ascii="宋体" w:hAnsi="宋体" w:cs="宋体"/>
          <w:bCs/>
          <w:sz w:val="24"/>
          <w:szCs w:val="24"/>
          <w:lang w:val="zh-CN"/>
        </w:rPr>
      </w:r>
      <w:r/>
    </w:p>
    <w:p>
      <w:pPr>
        <w:pStyle w:val="645"/>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二、</w:t>
      </w:r>
      <w:r>
        <w:rPr>
          <w:rFonts w:hint="eastAsia" w:ascii="宋体" w:hAnsi="宋体" w:cs="宋体"/>
          <w:b/>
          <w:bCs/>
          <w:sz w:val="24"/>
          <w:szCs w:val="24"/>
          <w:lang w:val="zh-CN"/>
        </w:rPr>
        <w:t xml:space="preserve">符合性条件材料</w:t>
      </w:r>
      <w:r>
        <w:rPr>
          <w:rFonts w:hint="eastAsia" w:ascii="宋体" w:hAnsi="宋体" w:cs="宋体"/>
          <w:b/>
          <w:bCs/>
          <w:sz w:val="24"/>
          <w:szCs w:val="24"/>
          <w:lang w:val="zh-CN"/>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645"/>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三、</w:t>
      </w:r>
      <w:r>
        <w:rPr>
          <w:rFonts w:hint="eastAsia" w:ascii="宋体" w:hAnsi="宋体" w:cs="宋体"/>
          <w:b/>
          <w:bCs/>
          <w:sz w:val="24"/>
          <w:szCs w:val="24"/>
          <w:lang w:val="zh-CN"/>
        </w:rPr>
        <w:t xml:space="preserve">技术</w:t>
      </w:r>
      <w:r>
        <w:rPr>
          <w:rFonts w:hint="eastAsia" w:ascii="宋体" w:hAnsi="宋体" w:cs="宋体"/>
          <w:b/>
          <w:bCs/>
          <w:sz w:val="24"/>
          <w:szCs w:val="24"/>
        </w:rPr>
        <w:t xml:space="preserve">标</w:t>
      </w:r>
      <w:r>
        <w:rPr>
          <w:rFonts w:hint="eastAsia" w:ascii="宋体" w:hAnsi="宋体" w:cs="宋体"/>
          <w:b/>
          <w:bCs/>
          <w:sz w:val="24"/>
          <w:szCs w:val="24"/>
          <w:lang w:val="zh-CN"/>
        </w:rPr>
        <w:t xml:space="preserve">材料</w:t>
      </w:r>
      <w:r>
        <w:rPr>
          <w:rFonts w:hint="eastAsia" w:ascii="宋体" w:hAnsi="宋体" w:cs="宋体"/>
          <w:b/>
          <w:bCs/>
          <w:sz w:val="24"/>
          <w:szCs w:val="24"/>
          <w:lang w:val="zh-CN"/>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t xml:space="preserve">1.技术要求响应及偏离表</w:t>
      </w:r>
      <w:r>
        <w:rPr>
          <w:rFonts w:hint="eastAsia" w:ascii="宋体" w:hAnsi="宋体" w:cs="宋体"/>
          <w:sz w:val="24"/>
          <w:szCs w:val="24"/>
          <w:lang w:val="zh-CN"/>
        </w:rPr>
        <w:t xml:space="preserve">；（格式见附件）；</w:t>
      </w:r>
      <w:r>
        <w:rPr>
          <w:rFonts w:hint="eastAsia" w:ascii="宋体" w:hAnsi="宋体" w:cs="宋体"/>
          <w:sz w:val="24"/>
          <w:szCs w:val="24"/>
        </w:rPr>
        <w:t xml:space="preserve">商务要求响应及偏离表。</w:t>
      </w:r>
      <w:r>
        <w:rPr>
          <w:rFonts w:hint="eastAsia" w:ascii="宋体" w:hAnsi="宋体" w:cs="宋体"/>
          <w:sz w:val="24"/>
          <w:szCs w:val="24"/>
          <w:lang w:val="zh-CN"/>
        </w:rPr>
        <w:t xml:space="preserve">（格式见附件）</w:t>
      </w:r>
      <w:r>
        <w:rPr>
          <w:rFonts w:hint="eastAsia" w:ascii="宋体" w:hAnsi="宋体" w:cs="宋体"/>
          <w:sz w:val="24"/>
          <w:szCs w:val="24"/>
        </w:rPr>
        <w:t xml:space="preserve">等，投标人根据招标文件打分项，提交的材料</w:t>
      </w:r>
      <w:r>
        <w:rPr>
          <w:rFonts w:hint="eastAsia" w:ascii="宋体" w:hAnsi="宋体" w:cs="宋体"/>
          <w:sz w:val="24"/>
          <w:szCs w:val="24"/>
        </w:rPr>
      </w:r>
      <w:r/>
    </w:p>
    <w:p>
      <w:pPr>
        <w:pStyle w:val="645"/>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四、</w:t>
      </w:r>
      <w:r>
        <w:rPr>
          <w:rFonts w:hint="eastAsia" w:ascii="宋体" w:hAnsi="宋体" w:cs="宋体"/>
          <w:b/>
          <w:bCs/>
          <w:sz w:val="24"/>
          <w:szCs w:val="24"/>
          <w:lang w:val="zh-CN"/>
        </w:rPr>
        <w:t xml:space="preserve">价格标</w:t>
      </w:r>
      <w:r>
        <w:rPr>
          <w:rFonts w:hint="eastAsia" w:ascii="宋体" w:hAnsi="宋体" w:cs="宋体"/>
          <w:b/>
          <w:bCs/>
          <w:sz w:val="24"/>
          <w:szCs w:val="24"/>
          <w:lang w:val="zh-CN"/>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1.开标一览表（格式见附件）；</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2.投标分项报价表。</w:t>
      </w:r>
      <w:r>
        <w:rPr>
          <w:rFonts w:hint="eastAsia" w:ascii="宋体" w:hAnsi="宋体" w:cs="宋体"/>
          <w:bCs/>
          <w:sz w:val="24"/>
          <w:szCs w:val="24"/>
        </w:rPr>
      </w:r>
      <w:r/>
    </w:p>
    <w:p>
      <w:pPr>
        <w:pStyle w:val="713"/>
        <w:ind w:firstLine="480"/>
        <w:rPr>
          <w:rFonts w:hint="eastAsia" w:ascii="宋体" w:hAnsi="宋体" w:eastAsia="宋体" w:cs="宋体"/>
          <w:sz w:val="24"/>
          <w:szCs w:val="24"/>
        </w:rPr>
      </w:pPr>
      <w:r>
        <w:rPr>
          <w:rFonts w:hint="eastAsia" w:ascii="宋体" w:hAnsi="宋体" w:eastAsia="宋体" w:cs="宋体"/>
          <w:sz w:val="24"/>
          <w:szCs w:val="24"/>
        </w:rPr>
        <w:t xml:space="preserve">3.投标响应函；</w:t>
      </w:r>
      <w:r>
        <w:rPr>
          <w:rFonts w:hint="eastAsia" w:ascii="宋体" w:hAnsi="宋体" w:eastAsia="宋体" w:cs="宋体"/>
          <w:sz w:val="24"/>
          <w:szCs w:val="24"/>
        </w:rPr>
      </w:r>
      <w:r/>
    </w:p>
    <w:p>
      <w:pPr>
        <w:pStyle w:val="713"/>
        <w:ind w:firstLine="480"/>
        <w:rPr>
          <w:rFonts w:hint="eastAsia" w:ascii="宋体" w:hAnsi="宋体" w:eastAsia="宋体" w:cs="宋体"/>
          <w:sz w:val="24"/>
          <w:szCs w:val="24"/>
        </w:rPr>
      </w:pPr>
      <w:r>
        <w:rPr>
          <w:rFonts w:hint="eastAsia" w:ascii="宋体" w:hAnsi="宋体" w:eastAsia="宋体" w:cs="宋体"/>
          <w:sz w:val="24"/>
          <w:szCs w:val="24"/>
        </w:rPr>
      </w:r>
      <w:r/>
    </w:p>
    <w:p>
      <w:pPr>
        <w:pStyle w:val="713"/>
        <w:ind w:firstLine="480"/>
        <w:rPr>
          <w:rFonts w:hint="eastAsia" w:ascii="宋体" w:hAnsi="宋体" w:eastAsia="宋体" w:cs="宋体"/>
          <w:sz w:val="24"/>
          <w:szCs w:val="24"/>
        </w:rPr>
      </w:pPr>
      <w:r>
        <w:rPr>
          <w:rFonts w:hint="eastAsia" w:ascii="宋体" w:hAnsi="宋体" w:eastAsia="宋体" w:cs="宋体"/>
          <w:sz w:val="24"/>
          <w:szCs w:val="24"/>
        </w:rPr>
      </w:r>
      <w:r/>
    </w:p>
    <w:p>
      <w:pPr>
        <w:pStyle w:val="758"/>
        <w:spacing w:line="360" w:lineRule="auto"/>
        <w:rPr>
          <w:rFonts w:hint="eastAsia" w:ascii="宋体" w:hAnsi="宋体" w:eastAsia="宋体" w:cs="宋体"/>
          <w:szCs w:val="21"/>
        </w:rPr>
      </w:pPr>
      <w:r>
        <w:rPr>
          <w:rFonts w:hint="eastAsia" w:ascii="宋体" w:hAnsi="宋体" w:eastAsia="宋体" w:cs="宋体"/>
          <w:szCs w:val="21"/>
        </w:rPr>
        <w:t xml:space="preserve">注：招标文件格式与系统格式不一致的地方，以招标文件格式为准。</w:t>
      </w:r>
      <w:r>
        <w:rPr>
          <w:rFonts w:hint="eastAsia" w:ascii="宋体" w:hAnsi="宋体" w:eastAsia="宋体" w:cs="宋体"/>
          <w:szCs w:val="21"/>
        </w:rPr>
      </w:r>
      <w:r/>
    </w:p>
    <w:p>
      <w:pPr>
        <w:pStyle w:val="645"/>
        <w:spacing w:line="360" w:lineRule="auto"/>
        <w:rPr>
          <w:rFonts w:hint="eastAsia" w:ascii="宋体" w:hAnsi="宋体" w:cs="宋体"/>
          <w:b/>
          <w:bCs/>
          <w:sz w:val="24"/>
          <w:szCs w:val="21"/>
        </w:rPr>
      </w:pPr>
      <w:r>
        <w:rPr>
          <w:rFonts w:hint="eastAsia" w:ascii="宋体" w:hAnsi="宋体" w:cs="宋体"/>
          <w:sz w:val="24"/>
          <w:szCs w:val="21"/>
        </w:rPr>
        <w:br w:type="page" w:clear="all"/>
      </w:r>
      <w:bookmarkEnd w:id="353"/>
      <w:r/>
      <w:bookmarkEnd w:id="354"/>
      <w:r/>
      <w:bookmarkEnd w:id="355"/>
      <w:r/>
      <w:bookmarkStart w:id="356" w:name="_Toc120614284"/>
      <w:r>
        <w:rPr>
          <w:rFonts w:hint="eastAsia" w:ascii="宋体" w:hAnsi="宋体" w:cs="宋体"/>
          <w:b/>
          <w:bCs/>
          <w:sz w:val="24"/>
          <w:szCs w:val="21"/>
        </w:rPr>
        <w:t xml:space="preserve">格式附件如下：</w:t>
      </w:r>
      <w:r>
        <w:rPr>
          <w:rFonts w:hint="eastAsia" w:ascii="宋体" w:hAnsi="宋体" w:cs="宋体"/>
          <w:b/>
          <w:bCs/>
          <w:sz w:val="24"/>
          <w:szCs w:val="21"/>
        </w:rPr>
      </w:r>
      <w:r/>
    </w:p>
    <w:p>
      <w:pPr>
        <w:pStyle w:val="645"/>
        <w:spacing w:line="360" w:lineRule="auto"/>
        <w:rPr>
          <w:rFonts w:hint="eastAsia" w:ascii="宋体" w:hAnsi="宋体" w:cs="宋体"/>
          <w:b/>
          <w:sz w:val="30"/>
          <w:szCs w:val="30"/>
        </w:rPr>
      </w:pPr>
      <w:r>
        <w:rPr>
          <w:rFonts w:hint="eastAsia" w:ascii="宋体" w:hAnsi="宋体" w:cs="宋体"/>
          <w:bCs/>
          <w:sz w:val="24"/>
          <w:szCs w:val="24"/>
        </w:rPr>
        <w:t xml:space="preserve">附件1</w:t>
      </w:r>
      <w:r>
        <w:rPr>
          <w:rFonts w:hint="eastAsia" w:ascii="宋体" w:hAnsi="宋体" w:cs="宋体"/>
          <w:b/>
          <w:sz w:val="30"/>
          <w:szCs w:val="30"/>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rPr>
          <w:rFonts w:hint="eastAsia" w:ascii="宋体" w:hAnsi="宋体" w:cs="宋体"/>
          <w:b/>
          <w:sz w:val="30"/>
          <w:szCs w:val="30"/>
        </w:rPr>
      </w:r>
      <w:r/>
    </w:p>
    <w:p>
      <w:pPr>
        <w:pStyle w:val="645"/>
        <w:spacing w:line="360" w:lineRule="auto"/>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rPr>
          <w:rFonts w:hint="eastAsia" w:ascii="宋体" w:hAnsi="宋体" w:cs="宋体"/>
          <w:b/>
          <w:bCs/>
          <w:sz w:val="44"/>
          <w:szCs w:val="44"/>
        </w:rPr>
      </w:r>
      <w:r/>
    </w:p>
    <w:p>
      <w:pPr>
        <w:pStyle w:val="645"/>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645"/>
        <w:ind w:firstLine="482"/>
        <w:spacing w:line="360" w:lineRule="auto"/>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t xml:space="preserve">6.我单位满足法律、行政法规规定的其他条件。</w:t>
      </w:r>
      <w:r>
        <w:rPr>
          <w:rFonts w:hint="eastAsia" w:ascii="宋体" w:hAnsi="宋体" w:cs="宋体"/>
          <w:sz w:val="24"/>
        </w:rPr>
      </w:r>
      <w:r/>
    </w:p>
    <w:p>
      <w:pPr>
        <w:pStyle w:val="645"/>
        <w:ind w:firstLine="482"/>
        <w:spacing w:line="360" w:lineRule="auto"/>
        <w:rPr>
          <w:rFonts w:hint="eastAsia" w:ascii="宋体" w:hAnsi="宋体" w:cs="宋体"/>
          <w:sz w:val="24"/>
        </w:rPr>
      </w:pPr>
      <w:r>
        <w:rPr>
          <w:rFonts w:hint="eastAsia" w:ascii="宋体" w:hAnsi="宋体" w:cs="宋体"/>
          <w:sz w:val="24"/>
        </w:rPr>
      </w:r>
      <w:r/>
    </w:p>
    <w:p>
      <w:pPr>
        <w:pStyle w:val="645"/>
        <w:spacing w:line="360" w:lineRule="auto"/>
        <w:rPr>
          <w:rFonts w:hint="eastAsia" w:ascii="宋体" w:hAnsi="宋体" w:cs="宋体"/>
          <w:bCs/>
          <w:sz w:val="24"/>
          <w:szCs w:val="21"/>
        </w:rPr>
      </w:pPr>
      <w:r>
        <w:rPr>
          <w:rFonts w:hint="eastAsia" w:ascii="宋体" w:hAnsi="宋体" w:cs="宋体"/>
          <w:bCs/>
          <w:sz w:val="24"/>
          <w:szCs w:val="21"/>
        </w:rPr>
      </w:r>
      <w:r/>
    </w:p>
    <w:p>
      <w:pPr>
        <w:pStyle w:val="645"/>
        <w:jc w:val="center"/>
        <w:spacing w:line="360" w:lineRule="auto"/>
        <w:rPr>
          <w:rFonts w:hint="eastAsia" w:ascii="宋体" w:hAnsi="宋体" w:cs="宋体"/>
          <w:bCs/>
          <w:sz w:val="24"/>
          <w:szCs w:val="21"/>
        </w:rPr>
      </w:pPr>
      <w:r>
        <w:rPr>
          <w:rFonts w:hint="eastAsia" w:ascii="宋体" w:hAnsi="宋体" w:cs="宋体"/>
          <w:bCs/>
          <w:sz w:val="24"/>
          <w:szCs w:val="21"/>
        </w:rPr>
        <w:t xml:space="preserve">                                             承诺人名称（公章）：</w:t>
      </w:r>
      <w:r>
        <w:rPr>
          <w:rFonts w:hint="eastAsia" w:ascii="宋体" w:hAnsi="宋体" w:cs="宋体"/>
          <w:bCs/>
          <w:sz w:val="24"/>
          <w:szCs w:val="21"/>
        </w:rPr>
      </w:r>
      <w:r/>
    </w:p>
    <w:p>
      <w:pPr>
        <w:pStyle w:val="645"/>
        <w:jc w:val="right"/>
        <w:spacing w:line="360" w:lineRule="auto"/>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645"/>
        <w:jc w:val="right"/>
        <w:spacing w:line="360" w:lineRule="auto"/>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rPr>
          <w:rFonts w:hint="eastAsia" w:ascii="宋体" w:hAnsi="宋体" w:cs="宋体"/>
          <w:bCs/>
          <w:sz w:val="24"/>
          <w:szCs w:val="21"/>
        </w:rPr>
      </w:r>
      <w:r/>
    </w:p>
    <w:p>
      <w:pPr>
        <w:pStyle w:val="645"/>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pStyle w:val="645"/>
        <w:ind w:firstLine="640"/>
        <w:spacing w:line="360" w:lineRule="auto"/>
        <w:rPr>
          <w:rFonts w:hint="eastAsia" w:ascii="宋体" w:hAnsi="宋体" w:cs="宋体"/>
          <w:sz w:val="24"/>
          <w:szCs w:val="21"/>
        </w:rPr>
      </w:pPr>
      <w:r>
        <w:rPr>
          <w:rFonts w:hint="eastAsia" w:ascii="宋体" w:hAnsi="宋体" w:cs="宋体"/>
          <w:sz w:val="32"/>
          <w:szCs w:val="32"/>
        </w:rPr>
        <w:br w:type="page" w:clear="all"/>
      </w:r>
      <w:r>
        <w:rPr>
          <w:rFonts w:hint="eastAsia" w:ascii="宋体" w:hAnsi="宋体" w:cs="宋体"/>
          <w:sz w:val="24"/>
          <w:szCs w:val="21"/>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t xml:space="preserve">附件2</w:t>
      </w:r>
      <w:r>
        <w:rPr>
          <w:rFonts w:hint="eastAsia" w:ascii="宋体" w:hAnsi="宋体" w:cs="宋体"/>
          <w:sz w:val="24"/>
          <w:lang w:val="zh-CN"/>
        </w:rPr>
      </w:r>
      <w:r/>
    </w:p>
    <w:p>
      <w:pPr>
        <w:pStyle w:val="730"/>
        <w:jc w:val="center"/>
        <w:spacing w:line="360" w:lineRule="auto"/>
        <w:rPr>
          <w:rFonts w:hint="eastAsia" w:ascii="宋体" w:hAnsi="宋体" w:cs="宋体"/>
          <w:b/>
          <w:bCs/>
          <w:sz w:val="24"/>
        </w:rPr>
      </w:pPr>
      <w:r>
        <w:rPr>
          <w:rFonts w:hint="eastAsia" w:ascii="宋体" w:hAnsi="宋体" w:cs="宋体"/>
          <w:b/>
          <w:bCs/>
          <w:sz w:val="24"/>
        </w:rPr>
        <w:t xml:space="preserve">法定代表人（单位负责人）身份证明</w:t>
      </w:r>
      <w:r>
        <w:rPr>
          <w:rFonts w:hint="eastAsia" w:ascii="宋体" w:hAnsi="宋体" w:cs="宋体"/>
          <w:b/>
          <w:bCs/>
          <w:sz w:val="24"/>
        </w:rPr>
      </w:r>
      <w:r/>
    </w:p>
    <w:p>
      <w:pPr>
        <w:pStyle w:val="645"/>
        <w:spacing w:line="360" w:lineRule="auto"/>
        <w:rPr>
          <w:rFonts w:hint="eastAsia" w:ascii="宋体" w:hAnsi="宋体" w:cs="宋体"/>
          <w:sz w:val="24"/>
        </w:rPr>
      </w:pP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职务，为法定代表人（单位负责人），特此证明。</w:t>
      </w:r>
      <w:r>
        <w:rPr>
          <w:rFonts w:hint="eastAsia" w:ascii="宋体" w:hAnsi="宋体" w:cs="宋体"/>
          <w:sz w:val="24"/>
        </w:rPr>
      </w:r>
      <w:r/>
    </w:p>
    <w:p>
      <w:pPr>
        <w:pStyle w:val="645"/>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rPr>
      </w:r>
      <w:r/>
    </w:p>
    <w:p>
      <w:pPr>
        <w:pStyle w:val="645"/>
        <w:ind w:firstLine="480"/>
        <w:spacing w:line="360" w:lineRule="auto"/>
        <w:rPr>
          <w:rFonts w:hint="eastAsia" w:ascii="宋体" w:hAnsi="宋体" w:cs="宋体"/>
          <w:sz w:val="24"/>
        </w:rPr>
      </w:pPr>
      <w:r>
        <w:rPr>
          <w:rFonts w:hint="eastAsia" w:ascii="宋体" w:hAnsi="宋体" w:cs="宋体"/>
          <w:sz w:val="24"/>
        </w:rPr>
      </w:r>
      <w:r/>
    </w:p>
    <w:p>
      <w:pPr>
        <w:pStyle w:val="729"/>
        <w:spacing w:line="360" w:lineRule="auto"/>
        <w:rPr>
          <w:rFonts w:hint="eastAsia" w:ascii="宋体" w:hAnsi="宋体" w:cs="宋体"/>
          <w:b/>
          <w:sz w:val="24"/>
        </w:rPr>
      </w:pPr>
      <w:r>
        <w:rPr>
          <w:rFonts w:hint="eastAsia" w:ascii="宋体" w:hAnsi="宋体" w:cs="宋体"/>
          <w:b/>
          <w:sz w:val="24"/>
        </w:rPr>
        <w:t xml:space="preserve">注：提供法定代表人的身份证扫描件盖公章</w:t>
      </w:r>
      <w:r>
        <w:rPr>
          <w:rFonts w:hint="eastAsia" w:ascii="宋体" w:hAnsi="宋体" w:cs="宋体"/>
          <w:b/>
          <w:sz w:val="24"/>
        </w:rPr>
      </w:r>
      <w:r/>
    </w:p>
    <w:p>
      <w:pPr>
        <w:pStyle w:val="645"/>
        <w:spacing w:line="560" w:lineRule="exact"/>
        <w:rPr>
          <w:rFonts w:ascii="宋体" w:hAnsi="宋体"/>
          <w:sz w:val="24"/>
          <w:szCs w:val="24"/>
        </w:rPr>
      </w:pPr>
      <w:r>
        <w:rPr>
          <w:rFonts w:ascii="宋体" w:hAnsi="宋体"/>
          <w:sz w:val="24"/>
          <w:szCs w:val="24"/>
        </w:rPr>
      </w:r>
      <w:r/>
    </w:p>
    <w:p>
      <w:pPr>
        <w:pStyle w:val="645"/>
        <w:spacing w:line="560" w:lineRule="exact"/>
        <w:rPr>
          <w:rFonts w:ascii="宋体" w:hAnsi="宋体"/>
          <w:sz w:val="24"/>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45"/>
                              <w:jc w:val="center"/>
                              <w:rPr>
                                <w:sz w:val="28"/>
                                <w:szCs w:val="28"/>
                              </w:rPr>
                            </w:pPr>
                            <w:r>
                              <w:rPr>
                                <w:rFonts w:hint="eastAsia" w:ascii="宋体" w:hAnsi="宋体"/>
                                <w:sz w:val="28"/>
                                <w:szCs w:val="28"/>
                              </w:rPr>
                              <w:t xml:space="preserve">（正面）</w:t>
                            </w:r>
                            <w:r>
                              <w:rPr>
                                <w:sz w:val="28"/>
                                <w:szCs w:val="28"/>
                              </w:rPr>
                            </w:r>
                            <w:r/>
                          </w:p>
                          <w:p>
                            <w:pPr>
                              <w:pStyle w:val="645"/>
                            </w:pPr>
                            <w:r/>
                            <w:r/>
                          </w:p>
                          <w:p>
                            <w:pPr>
                              <w:pStyle w:val="645"/>
                            </w:pPr>
                            <w:r/>
                            <w:r/>
                          </w:p>
                        </w:txbxContent>
                      </wps:txbx>
                      <wps:bodyPr wrap="square" anchor="ctr" upright="1"/>
                    </wps:wsp>
                  </a:graphicData>
                </a:graphic>
              </wp:anchor>
            </w:drawing>
          </mc:Choice>
          <mc:Fallback>
            <w:pict>
              <v:shape id="shape 0" o:spid="_x0000_s0"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45"/>
                        <w:jc w:val="center"/>
                        <w:rPr>
                          <w:sz w:val="28"/>
                          <w:szCs w:val="28"/>
                        </w:rPr>
                      </w:pPr>
                      <w:r>
                        <w:rPr>
                          <w:rFonts w:hint="eastAsia" w:ascii="宋体" w:hAnsi="宋体"/>
                          <w:sz w:val="28"/>
                          <w:szCs w:val="28"/>
                        </w:rPr>
                        <w:t xml:space="preserve">（正面）</w:t>
                      </w:r>
                      <w:r>
                        <w:rPr>
                          <w:sz w:val="28"/>
                          <w:szCs w:val="28"/>
                        </w:rPr>
                      </w:r>
                      <w:r/>
                    </w:p>
                    <w:p>
                      <w:pPr>
                        <w:pStyle w:val="645"/>
                      </w:pPr>
                      <w:r/>
                      <w:r/>
                    </w:p>
                    <w:p>
                      <w:pPr>
                        <w:pStyle w:val="645"/>
                      </w:pPr>
                      <w:r/>
                      <w:r/>
                    </w:p>
                  </w:txbxContent>
                </v:textbox>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45"/>
                              <w:jc w:val="center"/>
                              <w:rPr>
                                <w:sz w:val="28"/>
                                <w:szCs w:val="28"/>
                              </w:rPr>
                            </w:pPr>
                            <w:r>
                              <w:rPr>
                                <w:rFonts w:hint="eastAsia" w:ascii="宋体" w:hAnsi="宋体"/>
                                <w:sz w:val="28"/>
                                <w:szCs w:val="28"/>
                              </w:rPr>
                              <w:t xml:space="preserve">（反面）</w:t>
                            </w:r>
                            <w:r>
                              <w:rPr>
                                <w:sz w:val="28"/>
                                <w:szCs w:val="28"/>
                              </w:rPr>
                            </w:r>
                            <w:r/>
                          </w:p>
                          <w:p>
                            <w:pPr>
                              <w:pStyle w:val="645"/>
                            </w:pPr>
                            <w:r/>
                            <w:r/>
                          </w:p>
                          <w:p>
                            <w:pPr>
                              <w:pStyle w:val="645"/>
                            </w:pPr>
                            <w:r/>
                            <w:r/>
                          </w:p>
                        </w:txbxContent>
                      </wps:txbx>
                      <wps:bodyPr wrap="square" anchor="ctr" upright="1"/>
                    </wps:wsp>
                  </a:graphicData>
                </a:graphic>
              </wp:anchor>
            </w:drawing>
          </mc:Choice>
          <mc:Fallback>
            <w:pict>
              <v:shape id="shape 1" o:spid="_x0000_s1"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45"/>
                        <w:jc w:val="center"/>
                        <w:rPr>
                          <w:sz w:val="28"/>
                          <w:szCs w:val="28"/>
                        </w:rPr>
                      </w:pPr>
                      <w:r>
                        <w:rPr>
                          <w:rFonts w:hint="eastAsia" w:ascii="宋体" w:hAnsi="宋体"/>
                          <w:sz w:val="28"/>
                          <w:szCs w:val="28"/>
                        </w:rPr>
                        <w:t xml:space="preserve">（反面）</w:t>
                      </w:r>
                      <w:r>
                        <w:rPr>
                          <w:sz w:val="28"/>
                          <w:szCs w:val="28"/>
                        </w:rPr>
                      </w:r>
                      <w:r/>
                    </w:p>
                    <w:p>
                      <w:pPr>
                        <w:pStyle w:val="645"/>
                      </w:pPr>
                      <w:r/>
                      <w:r/>
                    </w:p>
                    <w:p>
                      <w:pPr>
                        <w:pStyle w:val="645"/>
                      </w:pPr>
                      <w:r/>
                      <w:r/>
                    </w:p>
                  </w:txbxContent>
                </v:textbox>
              </v:shape>
            </w:pict>
          </mc:Fallback>
        </mc:AlternateContent>
      </w:r>
      <w:r>
        <w:rPr>
          <w:rFonts w:ascii="宋体" w:hAnsi="宋体"/>
          <w:sz w:val="24"/>
          <w:szCs w:val="24"/>
        </w:rPr>
      </w:r>
      <w:r/>
    </w:p>
    <w:p>
      <w:pPr>
        <w:pStyle w:val="645"/>
        <w:spacing w:line="560" w:lineRule="exact"/>
        <w:rPr>
          <w:rFonts w:ascii="宋体" w:hAnsi="宋体"/>
          <w:sz w:val="24"/>
          <w:szCs w:val="24"/>
        </w:rPr>
      </w:pPr>
      <w:r>
        <w:rPr>
          <w:rFonts w:ascii="宋体" w:hAnsi="宋体"/>
          <w:sz w:val="24"/>
          <w:szCs w:val="24"/>
        </w:rPr>
      </w:r>
      <w:r/>
    </w:p>
    <w:p>
      <w:pPr>
        <w:pStyle w:val="645"/>
        <w:spacing w:line="560" w:lineRule="exact"/>
        <w:rPr>
          <w:rFonts w:ascii="宋体" w:hAnsi="宋体"/>
          <w:sz w:val="24"/>
          <w:szCs w:val="24"/>
        </w:rPr>
      </w:pPr>
      <w:r>
        <w:rPr>
          <w:rFonts w:ascii="宋体" w:hAnsi="宋体"/>
          <w:sz w:val="24"/>
          <w:szCs w:val="24"/>
        </w:rPr>
      </w:r>
      <w:r/>
    </w:p>
    <w:p>
      <w:pPr>
        <w:pStyle w:val="645"/>
        <w:spacing w:line="560" w:lineRule="exact"/>
        <w:rPr>
          <w:rFonts w:ascii="宋体" w:hAnsi="宋体"/>
          <w:sz w:val="24"/>
          <w:szCs w:val="24"/>
        </w:rPr>
      </w:pPr>
      <w:r>
        <w:rPr>
          <w:rFonts w:ascii="宋体" w:hAnsi="宋体"/>
          <w:sz w:val="24"/>
          <w:szCs w:val="24"/>
        </w:rPr>
      </w:r>
      <w:r/>
    </w:p>
    <w:p>
      <w:pPr>
        <w:pStyle w:val="645"/>
        <w:spacing w:line="560" w:lineRule="exact"/>
        <w:rPr>
          <w:rFonts w:ascii="宋体" w:hAnsi="宋体"/>
          <w:sz w:val="24"/>
          <w:szCs w:val="24"/>
        </w:rPr>
      </w:pPr>
      <w:r>
        <w:rPr>
          <w:rFonts w:ascii="宋体" w:hAnsi="宋体"/>
          <w:sz w:val="24"/>
          <w:szCs w:val="24"/>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r>
      <w:r/>
    </w:p>
    <w:p>
      <w:pPr>
        <w:pStyle w:val="645"/>
        <w:contextualSpacing/>
        <w:spacing w:line="360" w:lineRule="auto"/>
        <w:rPr>
          <w:rFonts w:hint="eastAsia" w:ascii="宋体" w:hAnsi="宋体" w:cs="宋体"/>
          <w:sz w:val="24"/>
          <w:lang w:val="zh-CN"/>
        </w:rPr>
      </w:pPr>
      <w:r>
        <w:rPr>
          <w:rFonts w:hint="eastAsia" w:ascii="宋体" w:hAnsi="宋体" w:cs="宋体"/>
          <w:sz w:val="24"/>
          <w:lang w:val="zh-CN"/>
        </w:rPr>
        <w:t xml:space="preserve">附件3</w:t>
      </w:r>
      <w:r>
        <w:rPr>
          <w:rFonts w:hint="eastAsia" w:ascii="宋体" w:hAnsi="宋体" w:cs="宋体"/>
          <w:sz w:val="24"/>
          <w:lang w:val="zh-CN"/>
        </w:rPr>
      </w:r>
      <w:r/>
    </w:p>
    <w:p>
      <w:pPr>
        <w:pStyle w:val="645"/>
        <w:jc w:val="center"/>
        <w:spacing w:line="360" w:lineRule="auto"/>
        <w:rPr>
          <w:rFonts w:hint="eastAsia" w:ascii="宋体" w:hAnsi="宋体" w:cs="宋体"/>
          <w:b/>
          <w:bCs/>
          <w:sz w:val="24"/>
          <w:szCs w:val="24"/>
        </w:rPr>
      </w:pPr>
      <w:r>
        <w:rPr>
          <w:rFonts w:hint="eastAsia" w:ascii="宋体" w:hAnsi="宋体" w:cs="宋体"/>
          <w:b/>
          <w:bCs/>
          <w:sz w:val="24"/>
          <w:szCs w:val="24"/>
        </w:rPr>
        <w:t xml:space="preserve">法定代表人（单位负责人）授权委托书</w:t>
      </w:r>
      <w:r>
        <w:rPr>
          <w:rFonts w:hint="eastAsia" w:ascii="宋体" w:hAnsi="宋体" w:cs="宋体"/>
          <w:b/>
          <w:bCs/>
          <w:sz w:val="24"/>
          <w:szCs w:val="24"/>
        </w:rPr>
      </w:r>
      <w:r/>
    </w:p>
    <w:p>
      <w:pPr>
        <w:pStyle w:val="645"/>
        <w:spacing w:line="360" w:lineRule="auto"/>
        <w:rPr>
          <w:rFonts w:hint="eastAsia" w:ascii="宋体" w:hAnsi="宋体" w:cs="宋体"/>
          <w:sz w:val="24"/>
        </w:rPr>
      </w:pP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本人------（姓名）系————（授权单位名称）的法定代表人（单位负责人），现委托-------（姓名）（身份证号——————）为我方代理人，以我方名义全权处理与本次采购项目（编号：----------）有关的一切事务，其法律后果由我方承担。</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rPr>
          <w:rFonts w:hint="eastAsia" w:ascii="宋体" w:hAnsi="宋体" w:cs="宋体"/>
          <w:sz w:val="24"/>
        </w:rPr>
      </w:r>
      <w:r/>
    </w:p>
    <w:p>
      <w:pPr>
        <w:pStyle w:val="645"/>
        <w:ind w:firstLine="360"/>
        <w:spacing w:line="360" w:lineRule="auto"/>
        <w:rPr>
          <w:rFonts w:hint="eastAsia" w:ascii="宋体" w:hAnsi="宋体" w:cs="宋体"/>
          <w:sz w:val="24"/>
        </w:rPr>
      </w:pPr>
      <w:r>
        <w:rPr>
          <w:rFonts w:hint="eastAsia" w:ascii="宋体" w:hAnsi="宋体" w:cs="宋体"/>
          <w:sz w:val="24"/>
        </w:rPr>
        <w:t xml:space="preserve">代理人(被授权人):------</w:t>
      </w:r>
      <w:r>
        <w:rPr>
          <w:rFonts w:hint="eastAsia" w:ascii="宋体" w:hAnsi="宋体" w:cs="宋体"/>
          <w:sz w:val="24"/>
        </w:rPr>
      </w:r>
      <w:r/>
    </w:p>
    <w:p>
      <w:pPr>
        <w:pStyle w:val="645"/>
        <w:ind w:firstLine="360"/>
        <w:spacing w:line="360" w:lineRule="auto"/>
        <w:rPr>
          <w:rFonts w:hint="eastAsia" w:ascii="宋体" w:hAnsi="宋体" w:cs="宋体"/>
          <w:sz w:val="24"/>
        </w:rPr>
      </w:pPr>
      <w:r>
        <w:rPr>
          <w:rFonts w:hint="eastAsia" w:ascii="宋体" w:hAnsi="宋体" w:cs="宋体"/>
          <w:sz w:val="24"/>
        </w:rPr>
        <w:t xml:space="preserve">授权单位名称（盖章）：-----</w:t>
      </w:r>
      <w:r>
        <w:rPr>
          <w:rFonts w:hint="eastAsia" w:ascii="宋体" w:hAnsi="宋体" w:cs="宋体"/>
          <w:sz w:val="24"/>
        </w:rPr>
      </w:r>
      <w:r/>
    </w:p>
    <w:p>
      <w:pPr>
        <w:pStyle w:val="645"/>
        <w:ind w:firstLine="360"/>
        <w:spacing w:line="360" w:lineRule="auto"/>
        <w:rPr>
          <w:rFonts w:hint="eastAsia" w:ascii="宋体" w:hAnsi="宋体" w:cs="宋体"/>
          <w:sz w:val="24"/>
        </w:rPr>
      </w:pPr>
      <w:r>
        <w:rPr>
          <w:rFonts w:hint="eastAsia" w:ascii="宋体" w:hAnsi="宋体" w:cs="宋体"/>
          <w:sz w:val="24"/>
        </w:rPr>
        <w:t xml:space="preserve">授权单位法定代表人（单位负责人）（签字或盖章）：-----</w:t>
      </w:r>
      <w:r>
        <w:rPr>
          <w:rFonts w:hint="eastAsia" w:ascii="宋体" w:hAnsi="宋体" w:cs="宋体"/>
          <w:sz w:val="24"/>
        </w:rPr>
      </w:r>
      <w:r/>
    </w:p>
    <w:p>
      <w:pPr>
        <w:pStyle w:val="758"/>
        <w:spacing w:line="360" w:lineRule="auto"/>
        <w:rPr>
          <w:rFonts w:hint="eastAsia" w:ascii="宋体" w:hAnsi="宋体" w:eastAsia="宋体" w:cs="宋体"/>
          <w:szCs w:val="24"/>
        </w:rPr>
      </w:pPr>
      <w:r>
        <w:rPr>
          <w:rFonts w:hint="eastAsia" w:ascii="宋体" w:hAnsi="宋体" w:eastAsia="宋体" w:cs="宋体"/>
          <w:szCs w:val="24"/>
        </w:rPr>
      </w:r>
      <w:r/>
    </w:p>
    <w:p>
      <w:pPr>
        <w:pStyle w:val="645"/>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645"/>
        <w:ind w:firstLine="361"/>
        <w:spacing w:line="360" w:lineRule="auto"/>
        <w:rPr>
          <w:rFonts w:hint="eastAsia" w:ascii="宋体" w:hAnsi="宋体" w:cs="宋体"/>
          <w:b/>
          <w:sz w:val="24"/>
        </w:rPr>
      </w:pPr>
      <w:r>
        <w:rPr>
          <w:rFonts w:hint="eastAsia" w:ascii="宋体" w:hAnsi="宋体" w:cs="宋体"/>
          <w:b/>
          <w:sz w:val="24"/>
        </w:rPr>
        <w:t xml:space="preserve">注：提供授权委托人本人身份证扫描件盖公章</w:t>
      </w:r>
      <w:r>
        <w:rPr>
          <w:rFonts w:hint="eastAsia" w:ascii="宋体" w:hAnsi="宋体" w:cs="宋体"/>
          <w:b/>
          <w:sz w:val="24"/>
        </w:rPr>
      </w:r>
      <w:r/>
    </w:p>
    <w:p>
      <w:pPr>
        <w:pStyle w:val="645"/>
        <w:ind w:firstLine="573"/>
        <w:spacing w:line="560" w:lineRule="exact"/>
        <w:rPr>
          <w:rFonts w:ascii="宋体" w:hAnsi="宋体"/>
          <w:sz w:val="24"/>
          <w:szCs w:val="24"/>
        </w:rPr>
      </w:pPr>
      <w:r>
        <w:rPr>
          <w:rFonts w:ascii="宋体" w:hAnsi="宋体"/>
          <w:sz w:val="24"/>
          <w:szCs w:val="24"/>
        </w:rPr>
      </w:r>
      <w:r/>
    </w:p>
    <w:p>
      <w:pPr>
        <w:pStyle w:val="645"/>
        <w:ind w:firstLine="573"/>
        <w:spacing w:line="560" w:lineRule="exact"/>
        <w:rPr>
          <w:rFonts w:ascii="宋体" w:hAnsi="宋体"/>
          <w:sz w:val="24"/>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45"/>
                              <w:jc w:val="center"/>
                              <w:rPr>
                                <w:sz w:val="28"/>
                                <w:szCs w:val="28"/>
                              </w:rPr>
                            </w:pPr>
                            <w:r>
                              <w:rPr>
                                <w:rFonts w:hint="eastAsia" w:ascii="宋体" w:hAnsi="宋体"/>
                                <w:sz w:val="28"/>
                                <w:szCs w:val="28"/>
                              </w:rPr>
                              <w:t xml:space="preserve">（反面）</w:t>
                            </w:r>
                            <w:r>
                              <w:rPr>
                                <w:sz w:val="28"/>
                                <w:szCs w:val="28"/>
                              </w:rPr>
                            </w:r>
                            <w:r/>
                          </w:p>
                          <w:p>
                            <w:pPr>
                              <w:pStyle w:val="645"/>
                            </w:pPr>
                            <w:r/>
                            <w:r/>
                          </w:p>
                          <w:p>
                            <w:pPr>
                              <w:pStyle w:val="645"/>
                            </w:pPr>
                            <w:r/>
                            <w:r/>
                          </w:p>
                        </w:txbxContent>
                      </wps:txbx>
                      <wps:bodyPr wrap="square" anchor="ctr" upright="1"/>
                    </wps:wsp>
                  </a:graphicData>
                </a:graphic>
              </wp:anchor>
            </w:drawing>
          </mc:Choice>
          <mc:Fallback>
            <w:pict>
              <v:shape id="shape 2" o:spid="_x0000_s2"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45"/>
                        <w:jc w:val="center"/>
                        <w:rPr>
                          <w:sz w:val="28"/>
                          <w:szCs w:val="28"/>
                        </w:rPr>
                      </w:pPr>
                      <w:r>
                        <w:rPr>
                          <w:rFonts w:hint="eastAsia" w:ascii="宋体" w:hAnsi="宋体"/>
                          <w:sz w:val="28"/>
                          <w:szCs w:val="28"/>
                        </w:rPr>
                        <w:t xml:space="preserve">（反面）</w:t>
                      </w:r>
                      <w:r>
                        <w:rPr>
                          <w:sz w:val="28"/>
                          <w:szCs w:val="28"/>
                        </w:rPr>
                      </w:r>
                      <w:r/>
                    </w:p>
                    <w:p>
                      <w:pPr>
                        <w:pStyle w:val="645"/>
                      </w:pPr>
                      <w:r/>
                      <w:r/>
                    </w:p>
                    <w:p>
                      <w:pPr>
                        <w:pStyle w:val="645"/>
                      </w:pPr>
                      <w:r/>
                      <w:r/>
                    </w:p>
                  </w:txbxContent>
                </v:textbox>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45"/>
                              <w:jc w:val="center"/>
                              <w:rPr>
                                <w:sz w:val="28"/>
                                <w:szCs w:val="28"/>
                              </w:rPr>
                            </w:pPr>
                            <w:r>
                              <w:rPr>
                                <w:rFonts w:hint="eastAsia" w:ascii="宋体" w:hAnsi="宋体"/>
                                <w:sz w:val="28"/>
                                <w:szCs w:val="28"/>
                              </w:rPr>
                              <w:t xml:space="preserve">（正面）</w:t>
                            </w:r>
                            <w:r>
                              <w:rPr>
                                <w:sz w:val="28"/>
                                <w:szCs w:val="28"/>
                              </w:rPr>
                            </w:r>
                            <w:r/>
                          </w:p>
                          <w:p>
                            <w:pPr>
                              <w:pStyle w:val="645"/>
                            </w:pPr>
                            <w:r/>
                            <w:r/>
                          </w:p>
                          <w:p>
                            <w:pPr>
                              <w:pStyle w:val="645"/>
                            </w:pPr>
                            <w:r/>
                            <w:r/>
                          </w:p>
                        </w:txbxContent>
                      </wps:txbx>
                      <wps:bodyPr wrap="square" anchor="ctr" upright="1"/>
                    </wps:wsp>
                  </a:graphicData>
                </a:graphic>
              </wp:anchor>
            </w:drawing>
          </mc:Choice>
          <mc:Fallback>
            <w:pict>
              <v:shape id="shape 3" o:spid="_x0000_s3"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45"/>
                        <w:jc w:val="center"/>
                        <w:rPr>
                          <w:rFonts w:ascii="宋体"/>
                        </w:rPr>
                      </w:pPr>
                      <w:r>
                        <w:rPr>
                          <w:rFonts w:ascii="宋体"/>
                        </w:rPr>
                      </w:r>
                      <w:r/>
                    </w:p>
                    <w:p>
                      <w:pPr>
                        <w:pStyle w:val="64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45"/>
                        <w:jc w:val="center"/>
                        <w:rPr>
                          <w:sz w:val="28"/>
                          <w:szCs w:val="28"/>
                        </w:rPr>
                      </w:pPr>
                      <w:r>
                        <w:rPr>
                          <w:rFonts w:hint="eastAsia" w:ascii="宋体" w:hAnsi="宋体"/>
                          <w:sz w:val="28"/>
                          <w:szCs w:val="28"/>
                        </w:rPr>
                        <w:t xml:space="preserve">（正面）</w:t>
                      </w:r>
                      <w:r>
                        <w:rPr>
                          <w:sz w:val="28"/>
                          <w:szCs w:val="28"/>
                        </w:rPr>
                      </w:r>
                      <w:r/>
                    </w:p>
                    <w:p>
                      <w:pPr>
                        <w:pStyle w:val="645"/>
                      </w:pPr>
                      <w:r/>
                      <w:r/>
                    </w:p>
                    <w:p>
                      <w:pPr>
                        <w:pStyle w:val="645"/>
                      </w:pPr>
                      <w:r/>
                      <w:r/>
                    </w:p>
                  </w:txbxContent>
                </v:textbox>
              </v:shape>
            </w:pict>
          </mc:Fallback>
        </mc:AlternateContent>
      </w:r>
      <w:r>
        <w:rPr>
          <w:rFonts w:ascii="宋体" w:hAnsi="宋体"/>
          <w:sz w:val="24"/>
          <w:szCs w:val="24"/>
        </w:rPr>
      </w:r>
      <w:r/>
    </w:p>
    <w:p>
      <w:pPr>
        <w:pStyle w:val="645"/>
        <w:ind w:firstLine="573"/>
        <w:spacing w:line="560" w:lineRule="exact"/>
        <w:rPr>
          <w:rFonts w:ascii="宋体" w:hAnsi="宋体"/>
          <w:sz w:val="24"/>
          <w:szCs w:val="24"/>
        </w:rPr>
      </w:pPr>
      <w:r>
        <w:rPr>
          <w:rFonts w:ascii="宋体" w:hAnsi="宋体"/>
          <w:sz w:val="24"/>
          <w:szCs w:val="24"/>
        </w:rPr>
      </w:r>
      <w:r/>
    </w:p>
    <w:p>
      <w:pPr>
        <w:pStyle w:val="645"/>
        <w:jc w:val="center"/>
        <w:spacing w:line="360" w:lineRule="auto"/>
        <w:rPr>
          <w:rFonts w:ascii="宋体" w:hAnsi="宋体" w:cs="宋体"/>
          <w:sz w:val="24"/>
          <w:szCs w:val="24"/>
        </w:rPr>
      </w:pPr>
      <w:r>
        <w:rPr>
          <w:rFonts w:ascii="宋体" w:hAnsi="宋体" w:cs="宋体"/>
          <w:sz w:val="24"/>
          <w:szCs w:val="24"/>
        </w:rPr>
      </w:r>
      <w:r/>
    </w:p>
    <w:p>
      <w:pPr>
        <w:pStyle w:val="645"/>
        <w:contextualSpacing/>
        <w:spacing w:line="360" w:lineRule="auto"/>
        <w:rPr>
          <w:rFonts w:hint="eastAsia" w:ascii="宋体" w:hAnsi="宋体" w:cs="宋体"/>
          <w:sz w:val="24"/>
        </w:rPr>
      </w:pPr>
      <w:r>
        <w:rPr>
          <w:rFonts w:hint="eastAsia" w:ascii="宋体" w:hAnsi="宋体" w:cs="宋体"/>
          <w:sz w:val="24"/>
          <w:szCs w:val="21"/>
        </w:rPr>
        <w:br w:type="page" w:clear="all"/>
      </w:r>
      <w:r>
        <w:rPr>
          <w:rFonts w:hint="eastAsia" w:ascii="宋体" w:hAnsi="宋体" w:cs="宋体"/>
          <w:sz w:val="24"/>
          <w:lang w:val="zh-CN"/>
        </w:rPr>
        <w:t xml:space="preserve">附件</w:t>
      </w:r>
      <w:r>
        <w:rPr>
          <w:rFonts w:hint="eastAsia" w:ascii="宋体" w:hAnsi="宋体" w:cs="宋体"/>
          <w:sz w:val="24"/>
        </w:rPr>
        <w:t xml:space="preserve">4</w:t>
      </w:r>
      <w:r>
        <w:rPr>
          <w:rFonts w:hint="eastAsia" w:ascii="宋体" w:hAnsi="宋体" w:cs="宋体"/>
          <w:sz w:val="24"/>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rPr>
          <w:rFonts w:hint="eastAsia" w:ascii="宋体" w:hAnsi="宋体" w:cs="宋体"/>
          <w:b/>
          <w:sz w:val="30"/>
          <w:szCs w:val="30"/>
        </w:rPr>
      </w:r>
      <w:r/>
    </w:p>
    <w:p>
      <w:pPr>
        <w:pStyle w:val="645"/>
        <w:ind w:firstLine="492"/>
        <w:spacing w:line="360" w:lineRule="auto"/>
        <w:rPr>
          <w:rFonts w:hint="eastAsia"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szCs w:val="21"/>
        </w:rPr>
      </w:r>
      <w:r/>
    </w:p>
    <w:p>
      <w:pPr>
        <w:pStyle w:val="645"/>
        <w:ind w:firstLine="492"/>
        <w:spacing w:line="360" w:lineRule="auto"/>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rPr>
          <w:rFonts w:hint="eastAsia" w:ascii="宋体" w:hAnsi="宋体" w:cs="宋体"/>
          <w:bCs/>
          <w:sz w:val="24"/>
          <w:szCs w:val="21"/>
        </w:rPr>
      </w:r>
      <w:r/>
    </w:p>
    <w:p>
      <w:pPr>
        <w:pStyle w:val="645"/>
        <w:ind w:firstLine="492"/>
        <w:spacing w:line="360" w:lineRule="auto"/>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rPr>
          <w:rFonts w:hint="eastAsia" w:ascii="宋体" w:hAnsi="宋体" w:cs="宋体"/>
          <w:bCs/>
          <w:sz w:val="24"/>
          <w:szCs w:val="21"/>
        </w:rPr>
      </w:r>
      <w:r/>
    </w:p>
    <w:p>
      <w:pPr>
        <w:pStyle w:val="645"/>
        <w:spacing w:line="360" w:lineRule="auto"/>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645"/>
        <w:jc w:val="center"/>
        <w:spacing w:line="360" w:lineRule="auto"/>
        <w:rPr>
          <w:rFonts w:hint="eastAsia" w:ascii="宋体" w:hAnsi="宋体" w:cs="宋体"/>
          <w:bCs/>
          <w:sz w:val="24"/>
        </w:rPr>
      </w:pPr>
      <w:r>
        <w:rPr>
          <w:rFonts w:hint="eastAsia" w:ascii="宋体" w:hAnsi="宋体" w:cs="宋体"/>
          <w:bCs/>
          <w:sz w:val="24"/>
          <w:szCs w:val="21"/>
        </w:rPr>
        <w:t xml:space="preserve">                      供应商</w:t>
      </w:r>
      <w:r>
        <w:rPr>
          <w:rFonts w:hint="eastAsia" w:ascii="宋体" w:hAnsi="宋体" w:cs="宋体"/>
          <w:bCs/>
          <w:sz w:val="24"/>
        </w:rPr>
        <w:t xml:space="preserve">名称（公章）：</w:t>
      </w:r>
      <w:r>
        <w:rPr>
          <w:rFonts w:hint="eastAsia" w:ascii="宋体" w:hAnsi="宋体" w:cs="宋体"/>
          <w:bCs/>
          <w:sz w:val="24"/>
        </w:rPr>
      </w:r>
      <w:r/>
    </w:p>
    <w:p>
      <w:pPr>
        <w:pStyle w:val="645"/>
        <w:jc w:val="right"/>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645"/>
        <w:spacing w:line="360" w:lineRule="auto"/>
        <w:rPr>
          <w:rFonts w:hint="eastAsia" w:ascii="宋体" w:hAnsi="宋体" w:cs="宋体"/>
          <w:bCs/>
          <w:sz w:val="24"/>
          <w:szCs w:val="21"/>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szCs w:val="21"/>
        </w:rPr>
      </w:r>
      <w:r/>
    </w:p>
    <w:p>
      <w:pPr>
        <w:pStyle w:val="645"/>
        <w:spacing w:line="360" w:lineRule="auto"/>
        <w:rPr>
          <w:rFonts w:hint="eastAsia" w:ascii="宋体" w:hAnsi="宋体" w:cs="宋体"/>
          <w:bCs/>
          <w:sz w:val="24"/>
          <w:szCs w:val="21"/>
        </w:rPr>
      </w:pPr>
      <w:r>
        <w:rPr>
          <w:rFonts w:hint="eastAsia" w:ascii="宋体" w:hAnsi="宋体" w:cs="宋体"/>
          <w:bCs/>
          <w:sz w:val="24"/>
          <w:szCs w:val="21"/>
        </w:rPr>
      </w:r>
      <w:r/>
    </w:p>
    <w:p>
      <w:pPr>
        <w:pStyle w:val="645"/>
        <w:spacing w:line="360" w:lineRule="auto"/>
        <w:rPr>
          <w:rFonts w:hint="eastAsia" w:ascii="宋体" w:hAnsi="宋体" w:cs="宋体"/>
          <w:bCs/>
          <w:sz w:val="24"/>
          <w:szCs w:val="21"/>
        </w:rPr>
      </w:pPr>
      <w:r>
        <w:rPr>
          <w:rFonts w:hint="eastAsia" w:ascii="宋体" w:hAnsi="宋体" w:cs="宋体"/>
          <w:bCs/>
          <w:sz w:val="24"/>
          <w:szCs w:val="21"/>
        </w:rPr>
      </w:r>
      <w:r/>
    </w:p>
    <w:p>
      <w:pPr>
        <w:pStyle w:val="645"/>
        <w:spacing w:line="360" w:lineRule="auto"/>
        <w:rPr>
          <w:rFonts w:hint="eastAsia" w:ascii="宋体" w:hAnsi="宋体" w:cs="宋体"/>
          <w:bCs/>
          <w:sz w:val="24"/>
          <w:szCs w:val="21"/>
        </w:rPr>
      </w:pPr>
      <w:r>
        <w:rPr>
          <w:rFonts w:hint="eastAsia" w:ascii="宋体" w:hAnsi="宋体" w:cs="宋体"/>
          <w:bCs/>
          <w:sz w:val="24"/>
          <w:szCs w:val="21"/>
        </w:rPr>
        <w:t xml:space="preserve">附件5         </w:t>
      </w:r>
      <w:r>
        <w:rPr>
          <w:rFonts w:hint="eastAsia" w:ascii="宋体" w:hAnsi="宋体" w:cs="宋体"/>
          <w:bCs/>
          <w:sz w:val="24"/>
          <w:szCs w:val="21"/>
        </w:rPr>
      </w:r>
      <w:r/>
    </w:p>
    <w:p>
      <w:pPr>
        <w:pStyle w:val="645"/>
        <w:spacing w:line="360" w:lineRule="auto"/>
        <w:rPr>
          <w:rFonts w:hint="eastAsia" w:ascii="宋体" w:hAnsi="宋体" w:cs="宋体"/>
          <w:szCs w:val="21"/>
        </w:rPr>
      </w:pPr>
      <w:r>
        <w:rPr>
          <w:rFonts w:hint="eastAsia" w:ascii="宋体" w:hAnsi="宋体" w:cs="宋体"/>
          <w:szCs w:val="21"/>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t xml:space="preserve">参加政府采购活动前 3 年内在经营活动中没有重大违法记录的书面声明</w:t>
      </w:r>
      <w:r>
        <w:rPr>
          <w:rFonts w:hint="eastAsia" w:ascii="宋体" w:hAnsi="宋体" w:cs="宋体"/>
          <w:b/>
          <w:sz w:val="30"/>
          <w:szCs w:val="30"/>
        </w:rPr>
      </w:r>
      <w:r/>
    </w:p>
    <w:p>
      <w:pPr>
        <w:pStyle w:val="645"/>
        <w:spacing w:line="360" w:lineRule="auto"/>
        <w:rPr>
          <w:rFonts w:hint="eastAsia" w:ascii="宋体" w:hAnsi="宋体" w:cs="宋体"/>
          <w:b/>
          <w:bCs/>
          <w:sz w:val="44"/>
          <w:szCs w:val="44"/>
        </w:rPr>
      </w:pPr>
      <w:r>
        <w:rPr>
          <w:rFonts w:hint="eastAsia" w:ascii="宋体" w:hAnsi="宋体" w:cs="宋体"/>
          <w:b/>
          <w:bCs/>
          <w:sz w:val="44"/>
          <w:szCs w:val="44"/>
        </w:rPr>
      </w:r>
      <w:r/>
    </w:p>
    <w:p>
      <w:pPr>
        <w:pStyle w:val="645"/>
        <w:spacing w:line="360" w:lineRule="auto"/>
        <w:rPr>
          <w:rFonts w:hint="eastAsia" w:ascii="宋体" w:hAnsi="宋体" w:cs="宋体"/>
          <w:b/>
          <w:bCs/>
          <w:sz w:val="44"/>
          <w:szCs w:val="44"/>
        </w:rPr>
      </w:pPr>
      <w:r>
        <w:rPr>
          <w:rFonts w:hint="eastAsia" w:ascii="宋体" w:hAnsi="宋体" w:cs="宋体"/>
          <w:b/>
          <w:bCs/>
          <w:sz w:val="44"/>
          <w:szCs w:val="44"/>
        </w:rPr>
      </w:r>
      <w:r/>
    </w:p>
    <w:p>
      <w:pPr>
        <w:pStyle w:val="645"/>
        <w:spacing w:line="360" w:lineRule="auto"/>
        <w:rPr>
          <w:rFonts w:hint="eastAsia" w:ascii="宋体" w:hAnsi="宋体" w:cs="宋体"/>
          <w:b/>
          <w:bCs/>
          <w:sz w:val="44"/>
          <w:szCs w:val="44"/>
        </w:rPr>
      </w:pPr>
      <w:r>
        <w:rPr>
          <w:rFonts w:hint="eastAsia" w:ascii="宋体" w:hAnsi="宋体" w:cs="宋体"/>
          <w:b/>
          <w:bCs/>
          <w:sz w:val="44"/>
          <w:szCs w:val="44"/>
        </w:rPr>
        <w:t xml:space="preserve">                 声  明</w:t>
      </w:r>
      <w:r>
        <w:rPr>
          <w:rFonts w:hint="eastAsia" w:ascii="宋体" w:hAnsi="宋体" w:cs="宋体"/>
          <w:b/>
          <w:bCs/>
          <w:sz w:val="44"/>
          <w:szCs w:val="44"/>
        </w:rPr>
      </w:r>
      <w:r/>
    </w:p>
    <w:p>
      <w:pPr>
        <w:pStyle w:val="645"/>
        <w:spacing w:line="360" w:lineRule="auto"/>
        <w:rPr>
          <w:rFonts w:hint="eastAsia"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rPr>
      </w:r>
      <w:r/>
    </w:p>
    <w:p>
      <w:pPr>
        <w:pStyle w:val="645"/>
        <w:jc w:val="center"/>
        <w:spacing w:line="360" w:lineRule="auto"/>
        <w:rPr>
          <w:rFonts w:hint="eastAsia" w:ascii="宋体" w:hAnsi="宋体" w:cs="宋体"/>
          <w:bCs/>
          <w:sz w:val="24"/>
        </w:rPr>
      </w:pPr>
      <w:r>
        <w:rPr>
          <w:rFonts w:hint="eastAsia" w:ascii="宋体" w:hAnsi="宋体" w:cs="宋体"/>
          <w:bCs/>
          <w:sz w:val="24"/>
          <w:szCs w:val="21"/>
        </w:rPr>
        <w:t xml:space="preserve">                      供应商</w:t>
      </w:r>
      <w:r>
        <w:rPr>
          <w:rFonts w:hint="eastAsia" w:ascii="宋体" w:hAnsi="宋体" w:cs="宋体"/>
          <w:bCs/>
          <w:sz w:val="24"/>
        </w:rPr>
        <w:t xml:space="preserve">名称（公章）：</w:t>
      </w:r>
      <w:r>
        <w:rPr>
          <w:rFonts w:hint="eastAsia" w:ascii="宋体" w:hAnsi="宋体" w:cs="宋体"/>
          <w:bCs/>
          <w:sz w:val="24"/>
        </w:rPr>
      </w:r>
      <w:r/>
    </w:p>
    <w:p>
      <w:pPr>
        <w:pStyle w:val="645"/>
        <w:jc w:val="right"/>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645"/>
        <w:spacing w:line="360" w:lineRule="auto"/>
        <w:rPr>
          <w:rFonts w:hint="eastAsia" w:ascii="宋体" w:hAnsi="宋体" w:cs="宋体"/>
          <w:bCs/>
          <w:sz w:val="24"/>
          <w:szCs w:val="21"/>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szCs w:val="21"/>
        </w:rPr>
      </w:r>
      <w:r/>
    </w:p>
    <w:p>
      <w:pPr>
        <w:pStyle w:val="645"/>
        <w:spacing w:line="360" w:lineRule="auto"/>
        <w:rPr>
          <w:rFonts w:hint="eastAsia" w:ascii="宋体" w:hAnsi="宋体" w:cs="宋体"/>
          <w:bCs/>
          <w:sz w:val="24"/>
          <w:lang w:bidi="ar"/>
        </w:rPr>
      </w:pPr>
      <w:r>
        <w:rPr>
          <w:rFonts w:hint="eastAsia" w:ascii="宋体" w:hAnsi="宋体" w:cs="宋体"/>
          <w:bCs/>
          <w:sz w:val="24"/>
          <w:lang w:bidi="ar"/>
        </w:rPr>
        <w:br w:type="page" w:clear="all"/>
      </w:r>
      <w:r>
        <w:rPr>
          <w:rFonts w:hint="eastAsia" w:ascii="宋体" w:hAnsi="宋体" w:cs="宋体"/>
          <w:bCs/>
          <w:sz w:val="24"/>
          <w:lang w:bidi="ar"/>
        </w:rPr>
        <w:t xml:space="preserve">附件6</w:t>
      </w:r>
      <w:r>
        <w:rPr>
          <w:rFonts w:hint="eastAsia" w:ascii="宋体" w:hAnsi="宋体" w:cs="宋体"/>
          <w:bCs/>
          <w:sz w:val="24"/>
          <w:lang w:bidi="ar"/>
        </w:rPr>
      </w:r>
      <w:r/>
    </w:p>
    <w:p>
      <w:pPr>
        <w:pStyle w:val="645"/>
        <w:jc w:val="center"/>
        <w:spacing w:line="360" w:lineRule="auto"/>
        <w:rPr>
          <w:rFonts w:hint="eastAsia" w:ascii="宋体" w:hAnsi="宋体" w:cs="宋体"/>
          <w:b/>
          <w:sz w:val="24"/>
          <w:lang w:bidi="ar"/>
        </w:rPr>
      </w:pPr>
      <w:r>
        <w:rPr>
          <w:rFonts w:hint="eastAsia" w:ascii="宋体" w:hAnsi="宋体" w:cs="宋体"/>
          <w:b/>
          <w:sz w:val="24"/>
          <w:lang w:bidi="ar"/>
        </w:rPr>
        <w:t xml:space="preserve">供应商信用承诺书</w:t>
      </w:r>
      <w:r>
        <w:rPr>
          <w:rFonts w:hint="eastAsia" w:ascii="宋体" w:hAnsi="宋体" w:cs="宋体"/>
          <w:b/>
          <w:sz w:val="24"/>
          <w:lang w:bidi="ar"/>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hint="eastAsia" w:ascii="宋体" w:hAnsi="宋体" w:cs="宋体"/>
          <w:sz w:val="24"/>
          <w:lang w:val="zh-CN"/>
        </w:rPr>
      </w:r>
      <w:r/>
    </w:p>
    <w:p>
      <w:pPr>
        <w:pStyle w:val="645"/>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rPr>
          <w:rFonts w:hint="eastAsia" w:ascii="宋体" w:hAnsi="宋体" w:cs="宋体"/>
          <w:sz w:val="24"/>
          <w:lang w:val="zh-CN"/>
        </w:rPr>
      </w:r>
      <w:r/>
    </w:p>
    <w:p>
      <w:pPr>
        <w:pStyle w:val="645"/>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645"/>
        <w:ind w:firstLine="4560"/>
        <w:spacing w:line="360" w:lineRule="auto"/>
        <w:rPr>
          <w:rFonts w:hint="eastAsia" w:ascii="宋体" w:hAnsi="宋体" w:cs="宋体"/>
          <w:sz w:val="24"/>
          <w:lang w:val="zh-CN"/>
        </w:rPr>
      </w:pPr>
      <w:r>
        <w:rPr>
          <w:rFonts w:hint="eastAsia" w:ascii="宋体" w:hAnsi="宋体" w:cs="宋体"/>
          <w:sz w:val="24"/>
          <w:lang w:val="zh-CN"/>
        </w:rPr>
      </w:r>
      <w:r/>
    </w:p>
    <w:p>
      <w:pPr>
        <w:pStyle w:val="645"/>
        <w:ind w:firstLine="2640"/>
        <w:spacing w:line="360" w:lineRule="auto"/>
        <w:rPr>
          <w:rFonts w:hint="eastAsia" w:ascii="宋体" w:hAnsi="宋体" w:cs="宋体"/>
          <w:sz w:val="24"/>
          <w:u w:val="single"/>
          <w:lang w:val="zh-CN"/>
        </w:rPr>
      </w:pPr>
      <w:r>
        <w:rPr>
          <w:rFonts w:hint="eastAsia" w:ascii="宋体" w:hAnsi="宋体" w:cs="宋体"/>
          <w:sz w:val="24"/>
          <w:lang w:val="zh-CN" w:bidi="ar"/>
        </w:rPr>
        <w:t xml:space="preserve">供应商全称(盖公章)：</w:t>
      </w:r>
      <w:r>
        <w:rPr>
          <w:rFonts w:hint="eastAsia" w:ascii="宋体" w:hAnsi="宋体" w:cs="宋体"/>
          <w:sz w:val="24"/>
          <w:u w:val="single"/>
          <w:lang w:val="zh-CN"/>
        </w:rPr>
      </w:r>
      <w:r/>
    </w:p>
    <w:p>
      <w:pPr>
        <w:pStyle w:val="645"/>
        <w:ind w:firstLine="2640"/>
        <w:spacing w:line="360" w:lineRule="auto"/>
        <w:rPr>
          <w:rFonts w:hint="eastAsia" w:ascii="宋体" w:hAnsi="宋体" w:cs="宋体"/>
          <w:sz w:val="24"/>
          <w:u w:val="single"/>
          <w:lang w:val="zh-CN"/>
        </w:rPr>
      </w:pPr>
      <w:r>
        <w:rPr>
          <w:rFonts w:hint="eastAsia" w:ascii="宋体" w:hAnsi="宋体" w:cs="宋体"/>
          <w:sz w:val="24"/>
          <w:lang w:val="zh-CN" w:bidi="ar"/>
        </w:rPr>
        <w:t xml:space="preserve">法定代表人</w:t>
      </w:r>
      <w:r>
        <w:rPr>
          <w:rFonts w:hint="eastAsia" w:ascii="宋体" w:hAnsi="宋体" w:cs="宋体"/>
          <w:sz w:val="24"/>
        </w:rPr>
        <w:t xml:space="preserve">（单位负责人）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645"/>
        <w:ind w:firstLine="2640"/>
        <w:spacing w:line="360" w:lineRule="auto"/>
        <w:rPr>
          <w:rFonts w:hint="eastAsia" w:ascii="宋体" w:hAnsi="宋体" w:cs="宋体"/>
          <w:sz w:val="24"/>
          <w:lang w:val="zh-CN"/>
        </w:rPr>
      </w:pPr>
      <w:r>
        <w:rPr>
          <w:rFonts w:hint="eastAsia" w:ascii="宋体" w:hAnsi="宋体" w:cs="宋体"/>
          <w:sz w:val="24"/>
          <w:lang w:val="zh-CN" w:bidi="ar"/>
        </w:rPr>
        <w:t xml:space="preserve">时间：  年  月   日</w:t>
      </w:r>
      <w:r>
        <w:rPr>
          <w:rFonts w:hint="eastAsia" w:ascii="宋体" w:hAnsi="宋体" w:cs="宋体"/>
          <w:sz w:val="24"/>
          <w:lang w:val="zh-CN"/>
        </w:rPr>
      </w:r>
      <w:r/>
    </w:p>
    <w:p>
      <w:pPr>
        <w:pStyle w:val="645"/>
        <w:spacing w:line="360" w:lineRule="auto"/>
        <w:rPr>
          <w:rFonts w:hint="eastAsia" w:ascii="宋体" w:hAnsi="宋体" w:cs="宋体"/>
          <w:b/>
          <w:sz w:val="32"/>
          <w:szCs w:val="32"/>
        </w:rPr>
      </w:pPr>
      <w:r>
        <w:rPr>
          <w:rFonts w:hint="eastAsia" w:ascii="宋体" w:hAnsi="宋体" w:cs="宋体"/>
          <w:b/>
          <w:sz w:val="32"/>
          <w:szCs w:val="32"/>
        </w:rPr>
      </w:r>
      <w:r/>
    </w:p>
    <w:p>
      <w:pPr>
        <w:pStyle w:val="645"/>
        <w:keepLines/>
        <w:keepNext/>
        <w:spacing w:before="260" w:after="260" w:line="360" w:lineRule="auto"/>
        <w:rPr>
          <w:rFonts w:hint="eastAsia" w:ascii="宋体" w:hAnsi="宋体" w:cs="宋体"/>
          <w:sz w:val="24"/>
          <w:szCs w:val="24"/>
        </w:rPr>
        <w:outlineLvl w:val="1"/>
      </w:pPr>
      <w:r>
        <w:rPr>
          <w:rFonts w:hint="eastAsia" w:ascii="宋体" w:hAnsi="宋体" w:cs="宋体"/>
          <w:sz w:val="24"/>
          <w:szCs w:val="24"/>
        </w:rPr>
        <w:t xml:space="preserve">附件7</w:t>
      </w:r>
      <w:r>
        <w:rPr>
          <w:rFonts w:hint="eastAsia" w:ascii="宋体" w:hAnsi="宋体" w:cs="宋体"/>
          <w:sz w:val="24"/>
          <w:szCs w:val="24"/>
        </w:rPr>
      </w:r>
      <w:r/>
    </w:p>
    <w:p>
      <w:pPr>
        <w:pStyle w:val="645"/>
        <w:jc w:val="center"/>
        <w:spacing w:line="360" w:lineRule="auto"/>
        <w:rPr>
          <w:rFonts w:hint="eastAsia" w:ascii="宋体" w:hAnsi="宋体" w:cs="宋体"/>
          <w:b/>
          <w:bCs/>
          <w:sz w:val="24"/>
        </w:rPr>
      </w:pPr>
      <w:r>
        <w:rPr>
          <w:rFonts w:hint="eastAsia" w:ascii="宋体" w:hAnsi="宋体" w:cs="宋体"/>
          <w:b/>
          <w:bCs/>
          <w:sz w:val="24"/>
        </w:rPr>
        <w:t xml:space="preserve">中小企业声明函（工程、服务）</w:t>
      </w:r>
      <w:r>
        <w:rPr>
          <w:rFonts w:hint="eastAsia" w:ascii="宋体" w:hAnsi="宋体" w:cs="宋体"/>
          <w:b/>
          <w:bCs/>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1.（标的名称），属于（采购文件中明确的所属行业）；承建（承接）企业为（企业名称），从业人员 </w:t>
      </w:r>
      <w:r>
        <w:rPr>
          <w:rFonts w:hint="eastAsia" w:ascii="宋体" w:hAnsi="宋体" w:cs="宋体"/>
          <w:sz w:val="24"/>
        </w:rPr>
        <w:tab/>
      </w:r>
      <w:r>
        <w:rPr>
          <w:rFonts w:hint="eastAsia" w:ascii="宋体" w:hAnsi="宋体" w:cs="宋体"/>
          <w:sz w:val="24"/>
        </w:rPr>
        <w:t xml:space="preserve">人，营业收入为 </w:t>
      </w:r>
      <w:r>
        <w:rPr>
          <w:rFonts w:hint="eastAsia" w:ascii="宋体" w:hAnsi="宋体" w:cs="宋体"/>
          <w:sz w:val="24"/>
        </w:rPr>
        <w:tab/>
      </w:r>
      <w:r>
        <w:rPr>
          <w:rFonts w:hint="eastAsia" w:ascii="宋体" w:hAnsi="宋体" w:cs="宋体"/>
          <w:sz w:val="24"/>
        </w:rPr>
        <w:t xml:space="preserve">万元，资产总额为 </w:t>
      </w:r>
      <w:r>
        <w:rPr>
          <w:rFonts w:hint="eastAsia" w:ascii="宋体" w:hAnsi="宋体" w:cs="宋体"/>
          <w:sz w:val="24"/>
        </w:rPr>
        <w:tab/>
      </w:r>
      <w:r>
        <w:rPr>
          <w:rFonts w:hint="eastAsia" w:ascii="宋体" w:hAnsi="宋体" w:cs="宋体"/>
          <w:sz w:val="24"/>
        </w:rPr>
        <w:t xml:space="preserve">万元，属于（中型企业、小型企业、微型企业）；</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2.（标的名称），属于（采购文件中明确的所属行业）；承建（承接）企业为（企业名称），从业人员 </w:t>
      </w:r>
      <w:r>
        <w:rPr>
          <w:rFonts w:hint="eastAsia" w:ascii="宋体" w:hAnsi="宋体" w:cs="宋体"/>
          <w:sz w:val="24"/>
        </w:rPr>
        <w:tab/>
      </w:r>
      <w:r>
        <w:rPr>
          <w:rFonts w:hint="eastAsia" w:ascii="宋体" w:hAnsi="宋体" w:cs="宋体"/>
          <w:sz w:val="24"/>
        </w:rPr>
        <w:t xml:space="preserve">人，营业收入为 </w:t>
      </w:r>
      <w:r>
        <w:rPr>
          <w:rFonts w:hint="eastAsia" w:ascii="宋体" w:hAnsi="宋体" w:cs="宋体"/>
          <w:sz w:val="24"/>
        </w:rPr>
        <w:tab/>
      </w:r>
      <w:r>
        <w:rPr>
          <w:rFonts w:hint="eastAsia" w:ascii="宋体" w:hAnsi="宋体" w:cs="宋体"/>
          <w:sz w:val="24"/>
        </w:rPr>
        <w:t xml:space="preserve">万元，资产总额为 </w:t>
      </w:r>
      <w:r>
        <w:rPr>
          <w:rFonts w:hint="eastAsia" w:ascii="宋体" w:hAnsi="宋体" w:cs="宋体"/>
          <w:sz w:val="24"/>
        </w:rPr>
        <w:tab/>
      </w:r>
      <w:r>
        <w:rPr>
          <w:rFonts w:hint="eastAsia" w:ascii="宋体" w:hAnsi="宋体" w:cs="宋体"/>
          <w:sz w:val="24"/>
        </w:rPr>
        <w:t xml:space="preserve">万元，属于（中型企业、小型企业、微型企业）；</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645"/>
        <w:ind w:firstLine="480"/>
        <w:spacing w:line="360" w:lineRule="auto"/>
        <w:rPr>
          <w:rFonts w:hint="eastAsia" w:ascii="宋体" w:hAnsi="宋体" w:cs="宋体"/>
          <w:sz w:val="24"/>
        </w:rPr>
      </w:pPr>
      <w:r>
        <w:rPr>
          <w:rFonts w:hint="eastAsia" w:ascii="宋体" w:hAnsi="宋体" w:cs="宋体"/>
          <w:sz w:val="24"/>
        </w:rPr>
      </w:r>
      <w:r/>
    </w:p>
    <w:p>
      <w:pPr>
        <w:pStyle w:val="645"/>
        <w:ind w:firstLine="5668"/>
        <w:spacing w:line="360" w:lineRule="auto"/>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645"/>
        <w:ind w:firstLine="5668"/>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45"/>
        <w:ind w:firstLine="480"/>
        <w:spacing w:line="360" w:lineRule="auto"/>
        <w:rPr>
          <w:rFonts w:hint="eastAsia" w:ascii="宋体" w:hAnsi="宋体" w:cs="宋体"/>
          <w:b/>
          <w:sz w:val="30"/>
          <w:szCs w:val="30"/>
        </w:rPr>
      </w:pPr>
      <w:r>
        <w:rPr>
          <w:rFonts w:hint="eastAsia" w:ascii="宋体" w:hAnsi="宋体"/>
          <w:sz w:val="24"/>
          <w:szCs w:val="24"/>
        </w:rPr>
        <w:t xml:space="preserve">备注2：供应商如不提供此声明函，价格将不做相应扣除。</w:t>
      </w:r>
      <w:r>
        <w:rPr>
          <w:rFonts w:hint="eastAsia" w:ascii="宋体" w:hAnsi="宋体" w:cs="宋体"/>
          <w:b/>
          <w:sz w:val="32"/>
          <w:szCs w:val="32"/>
        </w:rPr>
        <w:br w:type="page" w:clear="all"/>
      </w:r>
      <w:r>
        <w:rPr>
          <w:rFonts w:hint="eastAsia" w:ascii="宋体" w:hAnsi="宋体" w:cs="宋体"/>
          <w:b/>
          <w:sz w:val="30"/>
          <w:szCs w:val="30"/>
        </w:rPr>
        <w:t xml:space="preserve">残疾人福利性单位声明函（标段：**）</w:t>
      </w:r>
      <w:r>
        <w:rPr>
          <w:rFonts w:hint="eastAsia" w:ascii="宋体" w:hAnsi="宋体" w:cs="宋体"/>
          <w:b/>
          <w:sz w:val="30"/>
          <w:szCs w:val="30"/>
        </w:rPr>
      </w:r>
      <w:r/>
    </w:p>
    <w:p>
      <w:pPr>
        <w:pStyle w:val="645"/>
        <w:ind w:firstLine="480"/>
        <w:spacing w:line="360" w:lineRule="auto"/>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s="宋体"/>
          <w:sz w:val="24"/>
          <w:szCs w:val="21"/>
        </w:rPr>
      </w:r>
      <w:r/>
    </w:p>
    <w:p>
      <w:pPr>
        <w:pStyle w:val="645"/>
        <w:ind w:firstLine="480"/>
        <w:spacing w:line="360" w:lineRule="auto"/>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rPr>
          <w:rFonts w:hint="eastAsia" w:ascii="宋体" w:hAnsi="宋体" w:cs="宋体"/>
          <w:sz w:val="24"/>
          <w:szCs w:val="21"/>
        </w:rPr>
      </w:r>
      <w:r/>
    </w:p>
    <w:p>
      <w:pPr>
        <w:pStyle w:val="645"/>
        <w:ind w:firstLine="480"/>
        <w:spacing w:line="360" w:lineRule="auto"/>
        <w:rPr>
          <w:rFonts w:hint="eastAsia" w:ascii="宋体" w:hAnsi="宋体" w:cs="宋体"/>
          <w:sz w:val="24"/>
          <w:szCs w:val="21"/>
        </w:rPr>
      </w:pPr>
      <w:r>
        <w:rPr>
          <w:rFonts w:hint="eastAsia" w:ascii="宋体" w:hAnsi="宋体" w:cs="宋体"/>
          <w:sz w:val="24"/>
          <w:szCs w:val="21"/>
        </w:rPr>
      </w:r>
      <w:r/>
    </w:p>
    <w:p>
      <w:pPr>
        <w:pStyle w:val="645"/>
        <w:ind w:firstLine="480"/>
        <w:spacing w:line="360" w:lineRule="auto"/>
        <w:rPr>
          <w:rFonts w:hint="eastAsia" w:ascii="宋体" w:hAnsi="宋体" w:cs="宋体"/>
          <w:sz w:val="24"/>
          <w:szCs w:val="21"/>
        </w:rPr>
      </w:pPr>
      <w:r>
        <w:rPr>
          <w:rFonts w:hint="eastAsia" w:ascii="宋体" w:hAnsi="宋体" w:cs="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1"/>
        </w:rPr>
      </w:r>
      <w:r/>
    </w:p>
    <w:p>
      <w:pPr>
        <w:pStyle w:val="645"/>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645"/>
        <w:ind w:right="1560" w:firstLine="624"/>
        <w:jc w:val="center"/>
        <w:spacing w:line="360" w:lineRule="auto"/>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rPr>
          <w:rFonts w:hint="eastAsia" w:ascii="宋体" w:hAnsi="宋体" w:cs="宋体"/>
          <w:sz w:val="24"/>
          <w:szCs w:val="21"/>
        </w:rPr>
      </w:r>
      <w:r/>
    </w:p>
    <w:p>
      <w:pPr>
        <w:pStyle w:val="645"/>
        <w:ind w:right="1560" w:firstLine="480"/>
        <w:jc w:val="center"/>
        <w:spacing w:line="360" w:lineRule="auto"/>
        <w:tabs>
          <w:tab w:val="left" w:pos="4860" w:leader="none"/>
        </w:tabs>
        <w:rPr>
          <w:rFonts w:hint="eastAsia" w:ascii="宋体" w:hAnsi="宋体" w:cs="宋体"/>
          <w:sz w:val="24"/>
          <w:szCs w:val="21"/>
        </w:rPr>
      </w:pPr>
      <w:r>
        <w:rPr>
          <w:rFonts w:hint="eastAsia" w:ascii="宋体" w:hAnsi="宋体" w:cs="宋体"/>
          <w:sz w:val="24"/>
          <w:szCs w:val="21"/>
        </w:rPr>
        <w:t xml:space="preserve">        日  期：</w:t>
      </w:r>
      <w:r>
        <w:rPr>
          <w:rFonts w:hint="eastAsia" w:ascii="宋体" w:hAnsi="宋体" w:cs="宋体"/>
          <w:sz w:val="24"/>
          <w:szCs w:val="21"/>
        </w:rPr>
      </w:r>
      <w:r/>
    </w:p>
    <w:p>
      <w:pPr>
        <w:pStyle w:val="645"/>
        <w:jc w:val="center"/>
        <w:spacing w:line="360" w:lineRule="auto"/>
        <w:rPr>
          <w:rFonts w:hint="eastAsia" w:ascii="宋体" w:hAnsi="宋体" w:cs="宋体"/>
          <w:b/>
          <w:sz w:val="32"/>
          <w:szCs w:val="32"/>
        </w:rPr>
      </w:pPr>
      <w:r>
        <w:rPr>
          <w:rFonts w:hint="eastAsia" w:ascii="宋体" w:hAnsi="宋体" w:cs="宋体"/>
          <w:b/>
          <w:sz w:val="32"/>
          <w:szCs w:val="32"/>
        </w:rPr>
      </w:r>
      <w:r/>
    </w:p>
    <w:p>
      <w:pPr>
        <w:pStyle w:val="645"/>
        <w:jc w:val="center"/>
        <w:spacing w:line="360" w:lineRule="auto"/>
        <w:rPr>
          <w:rFonts w:hint="eastAsia" w:ascii="宋体" w:hAnsi="宋体" w:cs="宋体"/>
          <w:b/>
          <w:sz w:val="32"/>
          <w:szCs w:val="32"/>
        </w:rPr>
      </w:pPr>
      <w:r>
        <w:rPr>
          <w:rFonts w:hint="eastAsia" w:ascii="宋体" w:hAnsi="宋体" w:cs="宋体"/>
          <w:b/>
          <w:sz w:val="32"/>
          <w:szCs w:val="32"/>
        </w:rPr>
      </w:r>
      <w:r/>
    </w:p>
    <w:p>
      <w:pPr>
        <w:pStyle w:val="645"/>
        <w:jc w:val="center"/>
        <w:spacing w:line="360" w:lineRule="auto"/>
        <w:rPr>
          <w:rFonts w:hint="eastAsia" w:ascii="宋体" w:hAnsi="宋体" w:cs="宋体"/>
          <w:b/>
          <w:sz w:val="24"/>
        </w:rPr>
      </w:pPr>
      <w:r>
        <w:rPr>
          <w:rFonts w:hint="eastAsia" w:ascii="宋体" w:hAnsi="宋体" w:cs="宋体"/>
          <w:b/>
          <w:sz w:val="24"/>
        </w:rPr>
        <w:t xml:space="preserve">监狱和戒毒企业证明材料</w:t>
      </w:r>
      <w:r>
        <w:rPr>
          <w:rFonts w:hint="eastAsia" w:ascii="宋体" w:hAnsi="宋体" w:cs="宋体"/>
          <w:b/>
          <w:sz w:val="24"/>
        </w:rPr>
      </w:r>
      <w:r/>
    </w:p>
    <w:p>
      <w:pPr>
        <w:pStyle w:val="645"/>
        <w:ind w:firstLine="424"/>
        <w:spacing w:line="360" w:lineRule="auto"/>
        <w:rPr>
          <w:rFonts w:hint="eastAsia" w:ascii="宋体" w:hAnsi="宋体" w:cs="宋体"/>
          <w:sz w:val="24"/>
        </w:rPr>
      </w:pPr>
      <w:r>
        <w:rPr>
          <w:rFonts w:hint="eastAsia" w:ascii="宋体" w:hAnsi="宋体" w:cs="宋体"/>
          <w:sz w:val="24"/>
        </w:rPr>
      </w:r>
      <w:r/>
    </w:p>
    <w:p>
      <w:pPr>
        <w:pStyle w:val="645"/>
        <w:ind w:firstLine="426"/>
        <w:spacing w:line="360" w:lineRule="auto"/>
        <w:rPr>
          <w:rFonts w:hint="eastAsia" w:ascii="宋体" w:hAnsi="宋体" w:cs="宋体"/>
          <w:b/>
          <w:sz w:val="24"/>
        </w:rPr>
      </w:pPr>
      <w:r>
        <w:rPr>
          <w:rFonts w:hint="eastAsia" w:ascii="宋体" w:hAnsi="宋体" w:cs="宋体"/>
          <w:b/>
          <w:sz w:val="24"/>
        </w:rPr>
        <w:t xml:space="preserve">（格式自拟）</w:t>
      </w:r>
      <w:r>
        <w:rPr>
          <w:rFonts w:hint="eastAsia" w:ascii="宋体" w:hAnsi="宋体" w:cs="宋体"/>
          <w:b/>
          <w:sz w:val="24"/>
        </w:rPr>
      </w:r>
      <w:r/>
    </w:p>
    <w:p>
      <w:pPr>
        <w:pStyle w:val="645"/>
        <w:jc w:val="center"/>
        <w:spacing w:line="360" w:lineRule="auto"/>
        <w:rPr>
          <w:rFonts w:hint="eastAsia" w:ascii="宋体" w:hAnsi="宋体" w:cs="宋体"/>
          <w:b/>
          <w:sz w:val="32"/>
          <w:szCs w:val="32"/>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b/>
          <w:sz w:val="32"/>
          <w:szCs w:val="32"/>
        </w:rPr>
      </w:r>
      <w:r/>
    </w:p>
    <w:p>
      <w:pPr>
        <w:pStyle w:val="645"/>
        <w:jc w:val="center"/>
        <w:spacing w:line="360" w:lineRule="auto"/>
        <w:rPr>
          <w:rFonts w:hint="eastAsia" w:ascii="宋体" w:hAnsi="宋体" w:cs="宋体"/>
          <w:b/>
          <w:sz w:val="32"/>
          <w:szCs w:val="32"/>
        </w:rPr>
      </w:pPr>
      <w:r>
        <w:rPr>
          <w:rFonts w:hint="eastAsia" w:ascii="宋体" w:hAnsi="宋体" w:cs="宋体"/>
          <w:b/>
          <w:sz w:val="32"/>
          <w:szCs w:val="32"/>
        </w:rPr>
      </w:r>
      <w:r/>
    </w:p>
    <w:p>
      <w:pPr>
        <w:pStyle w:val="645"/>
        <w:jc w:val="center"/>
        <w:keepLines/>
        <w:keepNext/>
        <w:spacing w:before="260" w:after="260" w:line="360" w:lineRule="auto"/>
        <w:rPr>
          <w:rFonts w:hint="eastAsia" w:ascii="宋体" w:hAnsi="宋体" w:cs="宋体"/>
          <w:b/>
          <w:sz w:val="30"/>
          <w:szCs w:val="30"/>
        </w:rPr>
        <w:outlineLvl w:val="1"/>
      </w:pPr>
      <w:r>
        <w:rPr>
          <w:rFonts w:hint="eastAsia" w:ascii="宋体" w:hAnsi="宋体" w:cs="宋体"/>
          <w:b/>
          <w:sz w:val="30"/>
          <w:szCs w:val="30"/>
        </w:rPr>
      </w:r>
      <w:r/>
    </w:p>
    <w:p>
      <w:pPr>
        <w:pStyle w:val="645"/>
        <w:jc w:val="center"/>
        <w:keepLines/>
        <w:keepNext/>
        <w:spacing w:before="260" w:after="260" w:line="360" w:lineRule="auto"/>
        <w:rPr>
          <w:rFonts w:hint="eastAsia" w:ascii="宋体" w:hAnsi="宋体" w:cs="宋体"/>
          <w:b/>
          <w:sz w:val="30"/>
          <w:szCs w:val="30"/>
        </w:rPr>
        <w:outlineLvl w:val="1"/>
      </w:pPr>
      <w:r>
        <w:rPr>
          <w:rFonts w:hint="eastAsia" w:ascii="宋体" w:hAnsi="宋体" w:cs="宋体"/>
          <w:b/>
          <w:sz w:val="30"/>
          <w:szCs w:val="30"/>
        </w:rPr>
        <w:t xml:space="preserve">投标响应函</w:t>
      </w:r>
      <w:r>
        <w:rPr>
          <w:rFonts w:hint="eastAsia" w:ascii="宋体" w:hAnsi="宋体" w:cs="宋体"/>
          <w:b/>
          <w:sz w:val="30"/>
          <w:szCs w:val="30"/>
        </w:rPr>
      </w:r>
      <w:r/>
    </w:p>
    <w:p>
      <w:pPr>
        <w:pStyle w:val="645"/>
        <w:jc w:val="left"/>
        <w:spacing w:line="360" w:lineRule="auto"/>
        <w:rPr>
          <w:rFonts w:hint="eastAsia" w:ascii="宋体" w:hAnsi="宋体" w:cs="宋体"/>
          <w:sz w:val="24"/>
          <w:szCs w:val="21"/>
        </w:rPr>
      </w:pPr>
      <w:r>
        <w:rPr>
          <w:rFonts w:hint="eastAsia" w:ascii="宋体" w:hAnsi="宋体" w:cs="宋体"/>
          <w:sz w:val="24"/>
          <w:szCs w:val="21"/>
        </w:rPr>
        <w:t xml:space="preserve">致：南通市通州区公共资源交易中心</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根据贵方的</w:t>
      </w:r>
      <w:r>
        <w:rPr>
          <w:rFonts w:hint="eastAsia" w:ascii="宋体" w:hAnsi="宋体" w:cs="宋体"/>
          <w:b/>
          <w:sz w:val="36"/>
          <w:szCs w:val="24"/>
          <w:u w:val="single"/>
        </w:rPr>
        <w:t xml:space="preserve">           </w:t>
      </w:r>
      <w:r>
        <w:rPr>
          <w:rFonts w:hint="eastAsia" w:ascii="宋体" w:hAnsi="宋体" w:cs="宋体"/>
          <w:sz w:val="24"/>
          <w:szCs w:val="21"/>
        </w:rPr>
        <w:t xml:space="preserve">号招标文件，正式授权下述签字人_________________(姓名)代表我方______________（投标人的名称），全权处理本次项目投标的有关事宜。</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据此函，__________签字人兹宣布同意如下：</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1.按招标文件规定的各项要求，向买方提供所需货物（包含与货物相关的服务）。</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2.我们完全理解贵方不一定将合同授予最低报价的投标人。</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rPr>
          <w:rFonts w:hint="eastAsia" w:ascii="宋体" w:hAnsi="宋体" w:cs="宋体"/>
          <w:sz w:val="24"/>
          <w:szCs w:val="21"/>
        </w:rPr>
      </w:r>
      <w:r/>
    </w:p>
    <w:p>
      <w:pPr>
        <w:pStyle w:val="645"/>
        <w:ind w:firstLine="480"/>
        <w:jc w:val="left"/>
        <w:spacing w:line="360" w:lineRule="auto"/>
        <w:rPr>
          <w:rFonts w:hint="eastAsia"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1"/>
        </w:rPr>
      </w:r>
      <w:r/>
    </w:p>
    <w:p>
      <w:pPr>
        <w:pStyle w:val="645"/>
        <w:ind w:left="425"/>
        <w:jc w:val="left"/>
        <w:spacing w:line="360" w:lineRule="auto"/>
        <w:rPr>
          <w:rFonts w:hint="eastAsia" w:ascii="宋体" w:hAnsi="宋体" w:cs="宋体"/>
          <w:sz w:val="24"/>
          <w:szCs w:val="21"/>
        </w:rPr>
      </w:pPr>
      <w:r>
        <w:rPr>
          <w:rFonts w:hint="eastAsia" w:ascii="宋体" w:hAnsi="宋体" w:cs="宋体"/>
          <w:sz w:val="24"/>
          <w:szCs w:val="21"/>
        </w:rPr>
        <w:t xml:space="preserve">7.与本投标有关的正式通讯地址为：</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地          址：</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邮          编：</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电          话：</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传          真：</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投标人开户行：</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账          号： </w:t>
      </w:r>
      <w:r>
        <w:rPr>
          <w:rFonts w:hint="eastAsia" w:ascii="宋体" w:hAnsi="宋体" w:cs="宋体"/>
          <w:sz w:val="24"/>
          <w:szCs w:val="21"/>
        </w:rPr>
      </w:r>
      <w:r/>
    </w:p>
    <w:p>
      <w:pPr>
        <w:pStyle w:val="645"/>
        <w:ind w:left="420" w:firstLine="480"/>
        <w:jc w:val="left"/>
        <w:spacing w:line="360" w:lineRule="auto"/>
        <w:rPr>
          <w:rFonts w:hint="eastAsia" w:ascii="宋体" w:hAnsi="宋体" w:cs="宋体"/>
          <w:sz w:val="24"/>
          <w:szCs w:val="21"/>
        </w:rPr>
      </w:pPr>
      <w:r>
        <w:rPr>
          <w:rFonts w:hint="eastAsia" w:ascii="宋体" w:hAnsi="宋体" w:cs="宋体"/>
          <w:sz w:val="24"/>
          <w:szCs w:val="21"/>
        </w:rPr>
        <w:t xml:space="preserve">日           期：________年____月____日</w:t>
      </w:r>
      <w:r>
        <w:rPr>
          <w:rFonts w:hint="eastAsia" w:ascii="宋体" w:hAnsi="宋体" w:cs="宋体"/>
          <w:sz w:val="24"/>
          <w:szCs w:val="21"/>
        </w:rPr>
      </w:r>
      <w:r/>
    </w:p>
    <w:p>
      <w:pPr>
        <w:pStyle w:val="645"/>
        <w:jc w:val="center"/>
        <w:spacing w:line="360" w:lineRule="auto"/>
        <w:rPr>
          <w:rFonts w:hint="eastAsia" w:ascii="宋体" w:hAnsi="宋体" w:cs="宋体"/>
          <w:b/>
          <w:sz w:val="30"/>
          <w:szCs w:val="30"/>
        </w:rPr>
      </w:pPr>
      <w:r>
        <w:rPr>
          <w:rFonts w:hint="eastAsia" w:ascii="宋体" w:hAnsi="宋体" w:cs="宋体"/>
          <w:sz w:val="32"/>
          <w:szCs w:val="32"/>
          <w:u w:val="single"/>
        </w:rPr>
        <w:br w:type="page" w:clear="all"/>
      </w:r>
      <w:r>
        <w:rPr>
          <w:rFonts w:hint="eastAsia" w:ascii="宋体" w:hAnsi="宋体" w:cs="宋体"/>
          <w:b/>
          <w:sz w:val="30"/>
          <w:szCs w:val="30"/>
        </w:rPr>
        <w:t xml:space="preserve">技术要求响应及偏离表</w:t>
      </w:r>
      <w:r>
        <w:rPr>
          <w:rFonts w:hint="eastAsia" w:ascii="宋体" w:hAnsi="宋体" w:cs="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52"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1308"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645"/>
        <w:spacing w:line="360" w:lineRule="auto"/>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645"/>
        <w:spacing w:line="360" w:lineRule="auto"/>
        <w:rPr>
          <w:rFonts w:hint="eastAsia" w:ascii="宋体" w:hAnsi="宋体" w:cs="宋体"/>
          <w:sz w:val="32"/>
          <w:szCs w:val="21"/>
        </w:rPr>
      </w:pPr>
      <w:r>
        <w:rPr>
          <w:rFonts w:hint="eastAsia" w:ascii="宋体" w:hAnsi="宋体" w:cs="宋体"/>
          <w:sz w:val="24"/>
          <w:szCs w:val="24"/>
        </w:rPr>
        <w:br w:type="page" w:clear="all"/>
      </w:r>
      <w:r>
        <w:rPr>
          <w:rFonts w:hint="eastAsia" w:ascii="宋体" w:hAnsi="宋体" w:cs="宋体"/>
          <w:sz w:val="32"/>
          <w:szCs w:val="21"/>
        </w:rPr>
      </w:r>
      <w:r/>
    </w:p>
    <w:p>
      <w:pPr>
        <w:pStyle w:val="645"/>
        <w:jc w:val="center"/>
        <w:spacing w:line="360" w:lineRule="auto"/>
        <w:rPr>
          <w:rFonts w:hint="eastAsia" w:ascii="宋体" w:hAnsi="宋体" w:cs="宋体"/>
          <w:b/>
          <w:sz w:val="30"/>
          <w:szCs w:val="30"/>
        </w:rPr>
      </w:pPr>
      <w:r/>
      <w:bookmarkStart w:id="357" w:name="_Hlt26955054"/>
      <w:r/>
      <w:bookmarkEnd w:id="357"/>
      <w:r>
        <w:rPr>
          <w:rFonts w:hint="eastAsia" w:ascii="宋体" w:hAnsi="宋体" w:cs="宋体"/>
          <w:b/>
          <w:sz w:val="30"/>
          <w:szCs w:val="30"/>
        </w:rPr>
        <w:t xml:space="preserve">商务要求响应及偏离表</w:t>
      </w:r>
      <w:r>
        <w:rPr>
          <w:rFonts w:hint="eastAsia" w:ascii="宋体" w:hAnsi="宋体" w:cs="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45"/>
              <w:jc w:val="center"/>
              <w:spacing w:line="360" w:lineRule="auto"/>
              <w:rPr>
                <w:rFonts w:hint="eastAsia" w:ascii="宋体" w:hAnsi="宋体" w:cs="宋体"/>
                <w:sz w:val="24"/>
                <w:szCs w:val="24"/>
              </w:rPr>
            </w:pPr>
            <w:r/>
            <w:bookmarkStart w:id="358" w:name="_Hlt26671343"/>
            <w:r/>
            <w:bookmarkEnd w:id="358"/>
            <w:r/>
            <w:bookmarkStart w:id="359" w:name="_Hlt24879081"/>
            <w:r/>
            <w:bookmarkEnd w:id="359"/>
            <w:r/>
            <w:bookmarkStart w:id="360" w:name="_Hlt26671372"/>
            <w:r/>
            <w:bookmarkEnd w:id="360"/>
            <w:r/>
            <w:bookmarkStart w:id="361" w:name="_Hlt26955064"/>
            <w:r/>
            <w:bookmarkEnd w:id="361"/>
            <w:r/>
            <w:bookmarkStart w:id="362" w:name="_Hlt26609391"/>
            <w:r/>
            <w:bookmarkEnd w:id="362"/>
            <w:r/>
            <w:bookmarkStart w:id="363" w:name="_Hlt26955056"/>
            <w:r/>
            <w:bookmarkEnd w:id="363"/>
            <w:r/>
            <w:bookmarkStart w:id="364" w:name="_Hlt26580838"/>
            <w:r/>
            <w:bookmarkEnd w:id="364"/>
            <w:r/>
            <w:bookmarkStart w:id="365" w:name="_Hlt26782999"/>
            <w:r/>
            <w:bookmarkEnd w:id="365"/>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52"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1308"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645"/>
        <w:spacing w:line="360" w:lineRule="auto"/>
        <w:rPr>
          <w:rFonts w:hint="eastAsia" w:ascii="宋体" w:hAnsi="宋体" w:cs="宋体"/>
          <w:b/>
          <w:sz w:val="32"/>
          <w:szCs w:val="32"/>
        </w:rPr>
      </w:pPr>
      <w:r>
        <w:rPr>
          <w:rFonts w:hint="eastAsia" w:ascii="宋体" w:hAnsi="宋体" w:cs="宋体"/>
          <w:sz w:val="24"/>
          <w:szCs w:val="24"/>
        </w:rPr>
        <w:t xml:space="preserve">注： 行数不够，可自行添加。</w:t>
      </w:r>
      <w:bookmarkStart w:id="366" w:name="_Hlt26609389"/>
      <w:r/>
      <w:bookmarkEnd w:id="366"/>
      <w:r/>
      <w:bookmarkStart w:id="367" w:name="_Hlt26671374"/>
      <w:r/>
      <w:bookmarkEnd w:id="367"/>
      <w:r/>
      <w:bookmarkStart w:id="368" w:name="_格式2__法定代表人授权书"/>
      <w:r/>
      <w:bookmarkEnd w:id="368"/>
      <w:r/>
      <w:bookmarkStart w:id="369" w:name="_Hlt26955066"/>
      <w:r/>
      <w:bookmarkEnd w:id="369"/>
      <w:r>
        <w:rPr>
          <w:rFonts w:hint="eastAsia" w:ascii="宋体" w:hAnsi="宋体" w:cs="宋体"/>
          <w:b/>
          <w:sz w:val="32"/>
          <w:szCs w:val="32"/>
        </w:rPr>
      </w:r>
      <w:r/>
    </w:p>
    <w:p>
      <w:pPr>
        <w:pStyle w:val="645"/>
        <w:jc w:val="center"/>
        <w:keepLines/>
        <w:keepNext/>
        <w:spacing w:before="260" w:after="260" w:line="360" w:lineRule="auto"/>
        <w:rPr>
          <w:rFonts w:hint="eastAsia" w:ascii="宋体" w:hAnsi="宋体" w:cs="宋体"/>
          <w:b/>
          <w:sz w:val="30"/>
          <w:szCs w:val="30"/>
        </w:rPr>
        <w:outlineLvl w:val="1"/>
      </w:pPr>
      <w:r>
        <w:rPr>
          <w:rFonts w:hint="eastAsia" w:ascii="宋体" w:hAnsi="宋体" w:cs="宋体"/>
          <w:b/>
          <w:sz w:val="30"/>
          <w:szCs w:val="30"/>
        </w:rPr>
        <w:br w:type="page" w:clear="all"/>
      </w:r>
      <w:r>
        <w:rPr>
          <w:rFonts w:hint="eastAsia" w:ascii="宋体" w:hAnsi="宋体" w:cs="宋体"/>
          <w:b/>
          <w:sz w:val="30"/>
          <w:szCs w:val="30"/>
        </w:rPr>
        <w:t xml:space="preserve">开标一览表</w:t>
      </w:r>
      <w:r>
        <w:rPr>
          <w:rFonts w:hint="eastAsia" w:ascii="宋体" w:hAnsi="宋体" w:cs="宋体"/>
          <w:b/>
          <w:sz w:val="30"/>
          <w:szCs w:val="30"/>
        </w:rPr>
      </w:r>
      <w:r/>
    </w:p>
    <w:p>
      <w:pPr>
        <w:pStyle w:val="709"/>
        <w:spacing w:line="360" w:lineRule="auto"/>
        <w:rPr>
          <w:rFonts w:hint="eastAsia"/>
        </w:rPr>
      </w:pPr>
      <w:r>
        <w:rPr>
          <w:rFonts w:hint="eastAsia"/>
        </w:rPr>
        <w:t xml:space="preserve">项目编号：项目编号 </w:t>
      </w:r>
      <w:r>
        <w:rPr>
          <w:rFonts w:hint="eastAsia"/>
        </w:rPr>
      </w:r>
      <w:r/>
    </w:p>
    <w:p>
      <w:pPr>
        <w:pStyle w:val="709"/>
        <w:spacing w:line="360" w:lineRule="auto"/>
        <w:rPr>
          <w:rFonts w:hint="eastAsia"/>
        </w:rPr>
      </w:pPr>
      <w:r>
        <w:rPr>
          <w:rFonts w:hint="eastAsia"/>
        </w:rPr>
        <w:t xml:space="preserve">投标人名称（公章）：货币单位：人民币元</w:t>
      </w:r>
      <w:r>
        <w:rPr>
          <w:rFonts w:hint="eastAsia"/>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660"/>
        <w:gridCol w:w="3405"/>
        <w:gridCol w:w="4305"/>
      </w:tblGrid>
      <w:tr>
        <w:trPr>
          <w:tblCellSpacing w:w="15" w:type="dxa"/>
        </w:trPr>
        <w:tc>
          <w:tcPr>
            <w:tcW w:w="3615" w:type="dxa"/>
            <w:vAlign w:val="center"/>
            <w:textDirection w:val="lrTb"/>
            <w:noWrap w:val="false"/>
          </w:tcPr>
          <w:p>
            <w:pPr>
              <w:pStyle w:val="709"/>
              <w:spacing w:line="360" w:lineRule="auto"/>
              <w:rPr>
                <w:rFonts w:hint="eastAsia"/>
              </w:rPr>
            </w:pPr>
            <w:r>
              <w:rPr>
                <w:rFonts w:hint="eastAsia"/>
              </w:rPr>
              <w:t xml:space="preserve">项目名称</w:t>
            </w:r>
            <w:r>
              <w:rPr>
                <w:rFonts w:hint="eastAsia"/>
              </w:rPr>
            </w:r>
            <w:r/>
          </w:p>
        </w:tc>
        <w:tc>
          <w:tcPr>
            <w:tcW w:w="3375" w:type="dxa"/>
            <w:vAlign w:val="center"/>
            <w:textDirection w:val="lrTb"/>
            <w:noWrap w:val="false"/>
          </w:tcPr>
          <w:p>
            <w:pPr>
              <w:pStyle w:val="709"/>
              <w:spacing w:line="360" w:lineRule="auto"/>
              <w:rPr>
                <w:rFonts w:hint="eastAsia"/>
              </w:rPr>
            </w:pPr>
            <w:r>
              <w:rPr>
                <w:rFonts w:hint="eastAsia"/>
              </w:rPr>
              <w:t xml:space="preserve">项目内容</w:t>
            </w:r>
            <w:r>
              <w:rPr>
                <w:rFonts w:hint="eastAsia"/>
              </w:rPr>
            </w:r>
            <w:r/>
          </w:p>
        </w:tc>
        <w:tc>
          <w:tcPr>
            <w:tcW w:w="4260" w:type="dxa"/>
            <w:vAlign w:val="center"/>
            <w:textDirection w:val="lrTb"/>
            <w:noWrap w:val="false"/>
          </w:tcPr>
          <w:p>
            <w:pPr>
              <w:pStyle w:val="709"/>
              <w:spacing w:line="360" w:lineRule="auto"/>
              <w:rPr>
                <w:rFonts w:hint="eastAsia"/>
              </w:rPr>
            </w:pPr>
            <w:r>
              <w:rPr>
                <w:rFonts w:hint="eastAsia"/>
              </w:rPr>
              <w:t xml:space="preserve">总价（小写）</w:t>
            </w:r>
            <w:r>
              <w:rPr>
                <w:rFonts w:hint="eastAsia"/>
              </w:rPr>
            </w:r>
            <w:r/>
          </w:p>
        </w:tc>
      </w:tr>
      <w:tr>
        <w:trPr>
          <w:tblCellSpacing w:w="15" w:type="dxa"/>
        </w:trPr>
        <w:tc>
          <w:tcPr>
            <w:tcW w:w="3615" w:type="dxa"/>
            <w:vAlign w:val="center"/>
            <w:textDirection w:val="lrTb"/>
            <w:noWrap w:val="false"/>
          </w:tcPr>
          <w:p>
            <w:pPr>
              <w:pStyle w:val="709"/>
              <w:spacing w:line="360" w:lineRule="auto"/>
              <w:rPr>
                <w:rFonts w:hint="eastAsia"/>
              </w:rPr>
            </w:pPr>
            <w:r>
              <w:rPr>
                <w:rFonts w:hint="eastAsia"/>
              </w:rPr>
              <w:t xml:space="preserve">项目名称 </w:t>
            </w:r>
            <w:r>
              <w:rPr>
                <w:rFonts w:hint="eastAsia"/>
              </w:rPr>
            </w:r>
            <w:r/>
          </w:p>
        </w:tc>
        <w:tc>
          <w:tcPr>
            <w:tcW w:w="3375" w:type="dxa"/>
            <w:vAlign w:val="center"/>
            <w:textDirection w:val="lrTb"/>
            <w:noWrap w:val="false"/>
          </w:tcPr>
          <w:p>
            <w:pPr>
              <w:pStyle w:val="709"/>
              <w:spacing w:line="360" w:lineRule="auto"/>
              <w:rPr>
                <w:rFonts w:hint="eastAsia"/>
              </w:rPr>
            </w:pPr>
            <w:r>
              <w:rPr>
                <w:rFonts w:hint="eastAsia"/>
              </w:rPr>
              <w:t xml:space="preserve">详见投标文件</w:t>
            </w:r>
            <w:r>
              <w:rPr>
                <w:rFonts w:hint="eastAsia"/>
              </w:rPr>
            </w:r>
            <w:r/>
          </w:p>
        </w:tc>
        <w:tc>
          <w:tcPr>
            <w:tcW w:w="4260" w:type="dxa"/>
            <w:vAlign w:val="center"/>
            <w:textDirection w:val="lrTb"/>
            <w:noWrap w:val="false"/>
          </w:tcPr>
          <w:p>
            <w:pPr>
              <w:pStyle w:val="709"/>
              <w:spacing w:line="360" w:lineRule="auto"/>
              <w:rPr>
                <w:rFonts w:hint="eastAsia"/>
              </w:rPr>
            </w:pPr>
            <w:r>
              <w:rPr>
                <w:rFonts w:hint="eastAsia"/>
              </w:rPr>
              <w:t xml:space="preserve"> 元</w:t>
            </w:r>
            <w:r>
              <w:rPr>
                <w:rFonts w:hint="eastAsia"/>
              </w:rPr>
            </w:r>
            <w:r/>
          </w:p>
        </w:tc>
      </w:tr>
      <w:tr>
        <w:trPr>
          <w:tblCellSpacing w:w="15" w:type="dxa"/>
        </w:trPr>
        <w:tc>
          <w:tcPr>
            <w:tcW w:w="3615" w:type="dxa"/>
            <w:vAlign w:val="center"/>
            <w:textDirection w:val="lrTb"/>
            <w:noWrap w:val="false"/>
          </w:tcPr>
          <w:p>
            <w:pPr>
              <w:pStyle w:val="709"/>
              <w:spacing w:line="360" w:lineRule="auto"/>
              <w:rPr>
                <w:rFonts w:hint="eastAsia"/>
              </w:rPr>
            </w:pPr>
            <w:r>
              <w:rPr>
                <w:rFonts w:hint="eastAsia"/>
              </w:rPr>
              <w:t xml:space="preserve">总价（大写）：</w:t>
            </w:r>
            <w:r>
              <w:rPr>
                <w:rFonts w:hint="eastAsia"/>
              </w:rPr>
            </w:r>
            <w:r/>
          </w:p>
        </w:tc>
        <w:tc>
          <w:tcPr>
            <w:gridSpan w:val="2"/>
            <w:tcW w:w="7710" w:type="dxa"/>
            <w:vAlign w:val="center"/>
            <w:textDirection w:val="lrTb"/>
            <w:noWrap w:val="false"/>
          </w:tcPr>
          <w:p>
            <w:pPr>
              <w:pStyle w:val="709"/>
              <w:spacing w:line="360" w:lineRule="auto"/>
              <w:rPr>
                <w:rFonts w:hint="eastAsia"/>
              </w:rPr>
            </w:pPr>
            <w:r>
              <w:rPr>
                <w:rFonts w:hint="eastAsia"/>
              </w:rPr>
              <w:t xml:space="preserve">金额大写 </w:t>
            </w:r>
            <w:r>
              <w:rPr>
                <w:rFonts w:hint="eastAsia"/>
              </w:rPr>
            </w:r>
            <w:r/>
          </w:p>
        </w:tc>
      </w:tr>
    </w:tbl>
    <w:p>
      <w:pPr>
        <w:pStyle w:val="709"/>
        <w:spacing w:line="360" w:lineRule="auto"/>
        <w:rPr>
          <w:rFonts w:hint="eastAsia"/>
        </w:rPr>
      </w:pPr>
      <w:r>
        <w:rPr>
          <w:rFonts w:hint="eastAsia"/>
        </w:rPr>
      </w:r>
      <w:r/>
    </w:p>
    <w:p>
      <w:pPr>
        <w:pStyle w:val="709"/>
        <w:spacing w:line="360" w:lineRule="auto"/>
        <w:rPr>
          <w:rFonts w:hint="eastAsia"/>
        </w:rPr>
      </w:pPr>
      <w:r>
        <w:rPr>
          <w:rFonts w:hint="eastAsia"/>
        </w:rPr>
        <w:t xml:space="preserve">盖章（公章）：</w:t>
      </w:r>
      <w:r>
        <w:rPr>
          <w:rFonts w:hint="eastAsia"/>
        </w:rPr>
      </w:r>
      <w:r/>
    </w:p>
    <w:p>
      <w:pPr>
        <w:pStyle w:val="645"/>
        <w:ind w:firstLine="480"/>
        <w:spacing w:line="360" w:lineRule="auto"/>
        <w:rPr>
          <w:rFonts w:hint="eastAsia" w:ascii="宋体" w:hAnsi="宋体" w:cs="宋体"/>
          <w:sz w:val="24"/>
          <w:szCs w:val="24"/>
        </w:rPr>
      </w:pPr>
      <w:r>
        <w:rPr>
          <w:rFonts w:hint="eastAsia" w:ascii="宋体" w:hAnsi="宋体" w:cs="宋体"/>
          <w:sz w:val="24"/>
          <w:szCs w:val="24"/>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r>
      <w:r/>
    </w:p>
    <w:p>
      <w:pPr>
        <w:pStyle w:val="657"/>
        <w:rPr>
          <w:rFonts w:hint="eastAsia"/>
        </w:rPr>
      </w:pPr>
      <w:r>
        <w:rPr>
          <w:rFonts w:hint="eastAsia"/>
        </w:rPr>
      </w:r>
      <w:r/>
    </w:p>
    <w:p>
      <w:pPr>
        <w:pStyle w:val="645"/>
        <w:jc w:val="center"/>
        <w:spacing w:line="360" w:lineRule="auto"/>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投标分项报价表</w:t>
      </w:r>
      <w:r>
        <w:rPr>
          <w:rFonts w:hint="eastAsia" w:ascii="宋体" w:hAnsi="宋体" w:cs="宋体"/>
          <w:b/>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3707"/>
        <w:gridCol w:w="980"/>
        <w:gridCol w:w="727"/>
        <w:gridCol w:w="1372"/>
        <w:gridCol w:w="1246"/>
      </w:tblGrid>
      <w:tr>
        <w:trPr>
          <w:cantSplit/>
          <w:trHeight w:val="516"/>
        </w:trPr>
        <w:tc>
          <w:tcPr>
            <w:tcW w:w="894"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707"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产品名称</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372"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分项单价</w:t>
            </w:r>
            <w:r>
              <w:rPr>
                <w:rFonts w:hint="eastAsia" w:ascii="宋体" w:hAnsi="宋体" w:cs="宋体"/>
                <w:sz w:val="24"/>
                <w:szCs w:val="24"/>
              </w:rPr>
            </w:r>
            <w:r/>
          </w:p>
        </w:tc>
        <w:tc>
          <w:tcPr>
            <w:tcW w:w="1246" w:type="dxa"/>
            <w:vAlign w:val="center"/>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分项总价</w:t>
            </w: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智慧校园顶层设计（数据规范）</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支撑平台层（微服务架构）</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学生综合素质评价模块</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教学常规及评教评学系统（含移动听评课模块）</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教师教科研系统</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学校整体数据分析整改模块（含教诊改系统门户及数据展示</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智能办公模块（OA平台部分功能升级）</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696"/>
        </w:trPr>
        <w:tc>
          <w:tcPr>
            <w:tcW w:w="894"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3707" w:type="dxa"/>
            <w:vAlign w:val="center"/>
            <w:textDirection w:val="lrTb"/>
            <w:noWrap w:val="false"/>
          </w:tcPr>
          <w:p>
            <w:pPr>
              <w:pStyle w:val="645"/>
              <w:jc w:val="left"/>
              <w:spacing w:line="360" w:lineRule="auto"/>
              <w:widowControl/>
              <w:rPr>
                <w:rFonts w:hint="eastAsia" w:ascii="宋体" w:hAnsi="宋体" w:cs="宋体"/>
                <w:sz w:val="24"/>
                <w:szCs w:val="24"/>
              </w:rPr>
            </w:pPr>
            <w:r>
              <w:rPr>
                <w:rFonts w:hint="eastAsia" w:ascii="宋体" w:hAnsi="宋体" w:cs="宋体"/>
                <w:sz w:val="24"/>
                <w:szCs w:val="24"/>
              </w:rPr>
              <w:t xml:space="preserve">固定资产管理模块</w:t>
            </w:r>
            <w:r>
              <w:rPr>
                <w:rFonts w:hint="eastAsia" w:ascii="宋体" w:hAnsi="宋体" w:cs="宋体"/>
                <w:sz w:val="24"/>
                <w:szCs w:val="24"/>
              </w:rPr>
            </w:r>
            <w:r/>
          </w:p>
        </w:tc>
        <w:tc>
          <w:tcPr>
            <w:tcW w:w="980"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727" w:type="dxa"/>
            <w:vAlign w:val="center"/>
            <w:textDirection w:val="lrTb"/>
            <w:noWrap w:val="false"/>
          </w:tcPr>
          <w:p>
            <w:pPr>
              <w:pStyle w:val="645"/>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72"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c>
          <w:tcPr>
            <w:tcW w:w="1246" w:type="dxa"/>
            <w:vAlign w:val="center"/>
            <w:textDirection w:val="lrTb"/>
            <w:noWrap w:val="false"/>
          </w:tcPr>
          <w:p>
            <w:pPr>
              <w:pStyle w:val="645"/>
              <w:spacing w:line="360" w:lineRule="auto"/>
              <w:rPr>
                <w:rFonts w:hint="eastAsia" w:ascii="宋体" w:hAnsi="宋体" w:cs="宋体"/>
                <w:sz w:val="24"/>
                <w:szCs w:val="24"/>
              </w:rPr>
            </w:pPr>
            <w:r>
              <w:rPr>
                <w:rFonts w:hint="eastAsia" w:ascii="宋体" w:hAnsi="宋体" w:cs="宋体"/>
                <w:sz w:val="24"/>
                <w:szCs w:val="24"/>
              </w:rPr>
            </w:r>
            <w:r/>
          </w:p>
        </w:tc>
      </w:tr>
      <w:tr>
        <w:trPr>
          <w:cantSplit/>
          <w:trHeight w:val="543"/>
        </w:trPr>
        <w:tc>
          <w:tcPr>
            <w:gridSpan w:val="6"/>
            <w:tcW w:w="8926" w:type="dxa"/>
            <w:vAlign w:val="top"/>
            <w:textDirection w:val="lrTb"/>
            <w:noWrap w:val="false"/>
          </w:tcPr>
          <w:p>
            <w:pPr>
              <w:pStyle w:val="645"/>
              <w:jc w:val="center"/>
              <w:spacing w:line="360" w:lineRule="auto"/>
              <w:rPr>
                <w:rFonts w:hint="eastAsia" w:ascii="宋体" w:hAnsi="宋体" w:cs="宋体"/>
                <w:sz w:val="24"/>
                <w:szCs w:val="24"/>
              </w:rPr>
            </w:pPr>
            <w:r>
              <w:rPr>
                <w:rFonts w:hint="eastAsia" w:ascii="宋体" w:hAnsi="宋体" w:cs="宋体"/>
                <w:sz w:val="24"/>
                <w:szCs w:val="24"/>
              </w:rPr>
              <w:t xml:space="preserve">投标总报价（人民币：元）</w:t>
            </w:r>
            <w:r>
              <w:rPr>
                <w:rFonts w:hint="eastAsia" w:ascii="宋体" w:hAnsi="宋体" w:cs="宋体"/>
                <w:sz w:val="24"/>
                <w:szCs w:val="24"/>
              </w:rPr>
            </w:r>
            <w:r/>
          </w:p>
        </w:tc>
      </w:tr>
    </w:tbl>
    <w:p>
      <w:pPr>
        <w:pStyle w:val="645"/>
        <w:spacing w:line="360" w:lineRule="auto"/>
        <w:rPr>
          <w:rFonts w:hint="eastAsia" w:ascii="宋体" w:hAnsi="宋体" w:cs="宋体"/>
          <w:sz w:val="24"/>
          <w:szCs w:val="21"/>
        </w:rPr>
      </w:pPr>
      <w:r>
        <w:rPr>
          <w:rFonts w:hint="eastAsia" w:ascii="宋体" w:hAnsi="宋体" w:cs="宋体"/>
          <w:sz w:val="24"/>
          <w:szCs w:val="24"/>
        </w:rPr>
        <w:t xml:space="preserve">备注：1.投标报价</w:t>
      </w:r>
      <w:r>
        <w:rPr>
          <w:rFonts w:hint="eastAsia" w:ascii="宋体" w:hAnsi="宋体" w:cs="宋体"/>
          <w:sz w:val="24"/>
          <w:szCs w:val="21"/>
        </w:rPr>
        <w:t xml:space="preserve">采用总承包方式，“投标总报价”应包括所投服务费、安装调试费、测试验收费、培训费、运行维护费用、税金、运输保险及其他有关的为完成本项目发生的所有费用，招标文件中另有规定的除外。2.</w:t>
      </w:r>
      <w:r>
        <w:rPr>
          <w:rFonts w:hint="eastAsia" w:ascii="宋体" w:hAnsi="宋体" w:cs="宋体"/>
          <w:szCs w:val="21"/>
        </w:rPr>
        <w:t xml:space="preserve"> “</w:t>
      </w:r>
      <w:r>
        <w:rPr>
          <w:rFonts w:hint="eastAsia" w:ascii="宋体" w:hAnsi="宋体" w:cs="宋体"/>
          <w:sz w:val="24"/>
          <w:szCs w:val="21"/>
        </w:rPr>
        <w:t xml:space="preserve">投标分项报价表</w:t>
      </w:r>
      <w:r>
        <w:rPr>
          <w:rFonts w:hint="eastAsia" w:ascii="宋体" w:hAnsi="宋体" w:cs="宋体"/>
          <w:szCs w:val="21"/>
        </w:rPr>
        <w:t xml:space="preserve">”</w:t>
      </w:r>
      <w:r>
        <w:rPr>
          <w:rFonts w:hint="eastAsia" w:ascii="宋体" w:hAnsi="宋体" w:cs="宋体"/>
          <w:sz w:val="24"/>
          <w:szCs w:val="21"/>
        </w:rPr>
        <w:t xml:space="preserve">中“投标总报价”数额应当与“开标一览表”中“投标总报价”数额一致。</w:t>
      </w:r>
      <w:r>
        <w:rPr>
          <w:rFonts w:hint="eastAsia" w:ascii="宋体" w:hAnsi="宋体" w:cs="宋体"/>
          <w:sz w:val="24"/>
          <w:szCs w:val="21"/>
        </w:rPr>
      </w:r>
      <w:r/>
    </w:p>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5"/>
        <w:jc w:val="right"/>
        <w:spacing w:line="360" w:lineRule="auto"/>
        <w:tabs>
          <w:tab w:val="left" w:pos="945" w:leader="none"/>
        </w:tabs>
        <w:rPr>
          <w:rFonts w:hint="eastAsia" w:ascii="宋体" w:hAnsi="宋体" w:cs="宋体"/>
          <w:sz w:val="24"/>
        </w:rPr>
      </w:pPr>
      <w:r>
        <w:rPr>
          <w:rFonts w:hint="eastAsia" w:ascii="宋体" w:hAnsi="宋体" w:cs="宋体"/>
          <w:sz w:val="24"/>
        </w:rPr>
        <w:t xml:space="preserve">法定代表人（或主要负责人）签字或盖章：</w:t>
      </w:r>
      <w:r>
        <w:rPr>
          <w:rFonts w:hint="eastAsia" w:ascii="宋体" w:hAnsi="宋体" w:cs="宋体"/>
          <w:sz w:val="24"/>
        </w:rPr>
      </w:r>
      <w:r/>
    </w:p>
    <w:p>
      <w:pPr>
        <w:pStyle w:val="645"/>
        <w:ind w:left="420" w:firstLine="4320"/>
        <w:spacing w:line="360" w:lineRule="auto"/>
        <w:tabs>
          <w:tab w:val="left" w:pos="945" w:leader="none"/>
        </w:tabs>
        <w:rPr>
          <w:rFonts w:hint="eastAsia" w:ascii="宋体" w:hAnsi="宋体" w:cs="宋体"/>
          <w:sz w:val="24"/>
        </w:rPr>
      </w:pPr>
      <w:r>
        <w:rPr>
          <w:rFonts w:hint="eastAsia" w:ascii="宋体" w:hAnsi="宋体" w:cs="宋体"/>
          <w:sz w:val="24"/>
        </w:rPr>
        <w:t xml:space="preserve">单位公章：</w:t>
      </w:r>
      <w:r>
        <w:rPr>
          <w:rFonts w:hint="eastAsia" w:ascii="宋体" w:hAnsi="宋体" w:cs="宋体"/>
          <w:sz w:val="24"/>
        </w:rPr>
      </w:r>
      <w:r/>
    </w:p>
    <w:p>
      <w:pPr>
        <w:pStyle w:val="645"/>
        <w:ind w:left="420" w:firstLine="4320"/>
        <w:spacing w:line="360" w:lineRule="auto"/>
        <w:tabs>
          <w:tab w:val="left" w:pos="945" w:leader="none"/>
        </w:tabs>
        <w:rPr>
          <w:rFonts w:hint="eastAsia" w:ascii="宋体" w:hAnsi="宋体" w:cs="宋体"/>
          <w:sz w:val="24"/>
          <w:lang w:val="zh-CN"/>
        </w:rPr>
      </w:pPr>
      <w:r>
        <w:rPr>
          <w:rFonts w:hint="eastAsia" w:ascii="宋体" w:hAnsi="宋体" w:cs="宋体"/>
          <w:sz w:val="24"/>
        </w:rPr>
        <w:t xml:space="preserve">日期：</w:t>
      </w:r>
      <w:r>
        <w:rPr>
          <w:rFonts w:hint="eastAsia" w:ascii="宋体" w:hAnsi="宋体" w:cs="宋体"/>
          <w:sz w:val="24"/>
          <w:lang w:val="zh-CN"/>
        </w:rPr>
      </w:r>
      <w:r/>
    </w:p>
    <w:p>
      <w:pPr>
        <w:pStyle w:val="645"/>
        <w:spacing w:line="360" w:lineRule="auto"/>
        <w:rPr>
          <w:rFonts w:hint="eastAsia" w:ascii="宋体" w:hAnsi="宋体" w:cs="宋体"/>
          <w:sz w:val="24"/>
          <w:szCs w:val="21"/>
        </w:rPr>
      </w:pPr>
      <w:r>
        <w:rPr>
          <w:rFonts w:hint="eastAsia" w:ascii="宋体" w:hAnsi="宋体" w:cs="宋体"/>
          <w:sz w:val="24"/>
          <w:szCs w:val="21"/>
        </w:rPr>
      </w:r>
      <w:r/>
    </w:p>
    <w:p>
      <w:pPr>
        <w:pStyle w:val="645"/>
        <w:spacing w:line="360" w:lineRule="auto"/>
        <w:rPr>
          <w:rFonts w:hint="eastAsia" w:ascii="宋体" w:hAnsi="宋体" w:cs="宋体"/>
          <w:sz w:val="24"/>
          <w:szCs w:val="24"/>
        </w:rPr>
      </w:pPr>
      <w:r>
        <w:rPr>
          <w:rFonts w:hint="eastAsia" w:ascii="宋体" w:hAnsi="宋体" w:cs="宋体"/>
          <w:sz w:val="24"/>
          <w:szCs w:val="24"/>
        </w:rPr>
      </w:r>
      <w:r/>
    </w:p>
    <w:p>
      <w:pPr>
        <w:pStyle w:val="645"/>
        <w:jc w:val="center"/>
        <w:spacing w:line="360" w:lineRule="auto"/>
        <w:rPr>
          <w:rFonts w:hint="eastAsia" w:ascii="宋体" w:hAnsi="宋体" w:cs="宋体"/>
          <w:b/>
          <w:sz w:val="30"/>
          <w:szCs w:val="30"/>
        </w:rPr>
      </w:pPr>
      <w:r/>
      <w:bookmarkEnd w:id="174"/>
      <w:r/>
      <w:bookmarkEnd w:id="179"/>
      <w:r/>
      <w:bookmarkEnd w:id="356"/>
      <w:r>
        <w:rPr>
          <w:rFonts w:hint="eastAsia" w:ascii="宋体" w:hAnsi="宋体" w:cs="宋体"/>
          <w:b/>
          <w:sz w:val="30"/>
          <w:szCs w:val="30"/>
        </w:rPr>
        <w:t xml:space="preserve">质疑函范本</w:t>
      </w:r>
      <w:r>
        <w:rPr>
          <w:rFonts w:hint="eastAsia" w:ascii="宋体" w:hAnsi="宋体" w:cs="宋体"/>
          <w:b/>
          <w:sz w:val="30"/>
          <w:szCs w:val="30"/>
        </w:rPr>
      </w:r>
      <w:r/>
    </w:p>
    <w:p>
      <w:pPr>
        <w:pStyle w:val="645"/>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rPr>
          <w:rFonts w:hint="eastAsia" w:ascii="宋体" w:hAnsi="宋体" w:cs="宋体"/>
          <w:bCs/>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rPr>
          <w:rFonts w:hint="eastAsia" w:ascii="宋体" w:hAnsi="宋体" w:cs="宋体"/>
          <w:bCs/>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rPr>
          <w:rFonts w:hint="eastAsia" w:ascii="宋体" w:hAnsi="宋体" w:cs="宋体"/>
          <w:bCs/>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45"/>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rPr>
          <w:rFonts w:hint="eastAsia" w:ascii="宋体" w:hAnsi="宋体" w:cs="宋体"/>
          <w:bCs/>
          <w:sz w:val="24"/>
          <w:szCs w:val="24"/>
        </w:rPr>
      </w:r>
      <w:r/>
    </w:p>
    <w:p>
      <w:pPr>
        <w:pStyle w:val="645"/>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签字(签章)：                   公章：                      </w:t>
      </w:r>
      <w:r>
        <w:rPr>
          <w:rFonts w:hint="eastAsia" w:ascii="宋体" w:hAnsi="宋体" w:cs="宋体"/>
          <w:sz w:val="24"/>
          <w:szCs w:val="24"/>
        </w:rPr>
      </w:r>
      <w:r/>
    </w:p>
    <w:p>
      <w:pPr>
        <w:pStyle w:val="645"/>
        <w:spacing w:line="360" w:lineRule="auto"/>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645"/>
        <w:spacing w:line="360" w:lineRule="auto"/>
        <w:rPr>
          <w:rFonts w:hint="eastAsia" w:ascii="宋体" w:hAnsi="宋体" w:cs="宋体"/>
          <w:b/>
          <w:sz w:val="24"/>
          <w:szCs w:val="24"/>
        </w:rPr>
      </w:pPr>
      <w:r>
        <w:rPr>
          <w:rFonts w:hint="eastAsia" w:ascii="宋体" w:hAnsi="宋体" w:cs="宋体"/>
          <w:b/>
          <w:sz w:val="24"/>
          <w:szCs w:val="24"/>
        </w:rPr>
        <w:t xml:space="preserve">质疑函制作说明：</w:t>
      </w:r>
      <w:r>
        <w:rPr>
          <w:rFonts w:hint="eastAsia" w:ascii="宋体" w:hAnsi="宋体" w:cs="宋体"/>
          <w:b/>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4"/>
          <w:szCs w:val="24"/>
        </w:rPr>
      </w:r>
      <w:r/>
    </w:p>
    <w:p>
      <w:pPr>
        <w:pStyle w:val="645"/>
        <w:ind w:firstLine="420"/>
        <w:spacing w:line="360" w:lineRule="auto"/>
        <w:rPr>
          <w:rFonts w:hint="eastAsia" w:ascii="宋体" w:hAnsi="宋体" w:cs="宋体"/>
          <w:sz w:val="24"/>
          <w:szCs w:val="24"/>
        </w:rPr>
      </w:pPr>
      <w:r>
        <w:rPr>
          <w:rFonts w:hint="eastAsia" w:ascii="宋体" w:hAnsi="宋体" w:cs="宋体"/>
          <w:sz w:val="24"/>
          <w:szCs w:val="24"/>
        </w:rPr>
      </w:r>
      <w:r/>
    </w:p>
    <w:p>
      <w:pPr>
        <w:pStyle w:val="645"/>
        <w:ind w:firstLine="420"/>
        <w:spacing w:line="360" w:lineRule="auto"/>
        <w:rPr>
          <w:rFonts w:hint="eastAsia" w:ascii="宋体" w:hAnsi="宋体" w:cs="宋体"/>
          <w:sz w:val="24"/>
          <w:szCs w:val="24"/>
        </w:rPr>
      </w:pPr>
      <w:r>
        <w:rPr>
          <w:rFonts w:hint="eastAsia" w:ascii="宋体" w:hAnsi="宋体" w:cs="宋体"/>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Heiti SC Light">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separate"/>
    </w:r>
    <w:r>
      <w:rPr>
        <w:rStyle w:val="719"/>
      </w:rPr>
      <w:t xml:space="preserve">1</w:t>
    </w:r>
    <w:r>
      <w:fldChar w:fldCharType="end"/>
    </w:r>
    <w:r>
      <w:rPr>
        <w:rStyle w:val="719"/>
      </w:rPr>
    </w:r>
    <w:r/>
  </w:p>
  <w:p>
    <w:pPr>
      <w:pStyle w:val="6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27"/>
      <w:isLgl w:val="false"/>
      <w:suff w:val="tab"/>
      <w:lvlText w:val="附录%1."/>
      <w:lvlJc w:val="left"/>
      <w:pPr>
        <w:pStyle w:val="6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2"/>
      <w:isLgl w:val="false"/>
      <w:suff w:val="tab"/>
      <w:lvlText w:val="%1."/>
      <w:lvlJc w:val="left"/>
      <w:pPr>
        <w:pStyle w:val="645"/>
        <w:ind w:left="709" w:hanging="709"/>
        <w:tabs>
          <w:tab w:val="num" w:pos="709" w:leader="none"/>
        </w:tabs>
      </w:pPr>
      <w:rPr>
        <w:rFonts w:hint="eastAsia"/>
      </w:rPr>
    </w:lvl>
    <w:lvl w:ilvl="1">
      <w:start w:val="1"/>
      <w:numFmt w:val="decimal"/>
      <w:isLgl w:val="false"/>
      <w:suff w:val="tab"/>
      <w:lvlText w:val="%1.%2"/>
      <w:lvlJc w:val="left"/>
      <w:pPr>
        <w:pStyle w:val="645"/>
        <w:ind w:left="709" w:hanging="709"/>
        <w:tabs>
          <w:tab w:val="num" w:pos="709" w:leader="none"/>
        </w:tabs>
      </w:pPr>
      <w:rPr>
        <w:rFonts w:hint="eastAsia"/>
      </w:rPr>
    </w:lvl>
    <w:lvl w:ilvl="2">
      <w:start w:val="1"/>
      <w:numFmt w:val="decimal"/>
      <w:isLgl w:val="false"/>
      <w:suff w:val="tab"/>
      <w:lvlText w:val="%1.%2.%3."/>
      <w:lvlJc w:val="left"/>
      <w:pPr>
        <w:pStyle w:val="645"/>
        <w:ind w:left="425" w:hanging="425"/>
        <w:tabs>
          <w:tab w:val="num" w:pos="425" w:leader="none"/>
        </w:tabs>
      </w:pPr>
      <w:rPr>
        <w:rFonts w:hint="eastAsia"/>
      </w:rPr>
    </w:lvl>
    <w:lvl w:ilvl="3">
      <w:start w:val="1"/>
      <w:numFmt w:val="decimal"/>
      <w:isLgl w:val="false"/>
      <w:suff w:val="tab"/>
      <w:lvlText w:val="%1.%2.%3.%4."/>
      <w:lvlJc w:val="left"/>
      <w:pPr>
        <w:pStyle w:val="645"/>
        <w:ind w:left="851" w:hanging="851"/>
        <w:tabs>
          <w:tab w:val="num" w:pos="851" w:leader="none"/>
        </w:tabs>
      </w:pPr>
      <w:rPr>
        <w:rFonts w:hint="eastAsia"/>
      </w:rPr>
    </w:lvl>
    <w:lvl w:ilvl="4">
      <w:start w:val="1"/>
      <w:numFmt w:val="decimal"/>
      <w:isLgl w:val="false"/>
      <w:suff w:val="tab"/>
      <w:lvlText w:val="%1.%2.%3.%4.%5."/>
      <w:lvlJc w:val="left"/>
      <w:pPr>
        <w:pStyle w:val="645"/>
        <w:ind w:left="992" w:hanging="992"/>
        <w:tabs>
          <w:tab w:val="num" w:pos="992" w:leader="none"/>
        </w:tabs>
      </w:pPr>
      <w:rPr>
        <w:rFonts w:hint="eastAsia"/>
      </w:rPr>
    </w:lvl>
    <w:lvl w:ilvl="5">
      <w:start w:val="1"/>
      <w:numFmt w:val="decimal"/>
      <w:isLgl w:val="false"/>
      <w:suff w:val="tab"/>
      <w:lvlText w:val="%1.%2.%3.%4.%5.%6."/>
      <w:lvlJc w:val="left"/>
      <w:pPr>
        <w:pStyle w:val="645"/>
        <w:ind w:left="1134" w:hanging="1134"/>
        <w:tabs>
          <w:tab w:val="num" w:pos="1134" w:leader="none"/>
        </w:tabs>
      </w:pPr>
      <w:rPr>
        <w:rFonts w:hint="eastAsia"/>
      </w:rPr>
    </w:lvl>
    <w:lvl w:ilvl="6">
      <w:start w:val="1"/>
      <w:numFmt w:val="decimal"/>
      <w:isLgl w:val="false"/>
      <w:suff w:val="tab"/>
      <w:lvlText w:val="%1.%2.%3.%4.%5.%6.%7."/>
      <w:lvlJc w:val="left"/>
      <w:pPr>
        <w:pStyle w:val="645"/>
        <w:ind w:left="1276" w:hanging="1276"/>
        <w:tabs>
          <w:tab w:val="num" w:pos="1276" w:leader="none"/>
        </w:tabs>
      </w:pPr>
      <w:rPr>
        <w:rFonts w:hint="eastAsia"/>
      </w:rPr>
    </w:lvl>
    <w:lvl w:ilvl="7">
      <w:start w:val="1"/>
      <w:numFmt w:val="decimal"/>
      <w:isLgl w:val="false"/>
      <w:suff w:val="tab"/>
      <w:lvlText w:val="%1.%2.%3.%4.%5.%6.%7.%8."/>
      <w:lvlJc w:val="left"/>
      <w:pPr>
        <w:pStyle w:val="645"/>
        <w:ind w:left="1418" w:hanging="1418"/>
        <w:tabs>
          <w:tab w:val="num" w:pos="1418" w:leader="none"/>
        </w:tabs>
      </w:pPr>
      <w:rPr>
        <w:rFonts w:hint="eastAsia"/>
      </w:rPr>
    </w:lvl>
    <w:lvl w:ilvl="8">
      <w:start w:val="1"/>
      <w:numFmt w:val="decimal"/>
      <w:isLgl w:val="false"/>
      <w:suff w:val="tab"/>
      <w:lvlText w:val="%1.%2.%3.%4.%5.%6.%7.%8.%9."/>
      <w:lvlJc w:val="left"/>
      <w:pPr>
        <w:pStyle w:val="64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45"/>
        <w:ind w:left="0" w:firstLine="0"/>
      </w:pPr>
      <w:rPr>
        <w:rFonts w:hint="eastAsia"/>
      </w:rPr>
    </w:lvl>
    <w:lvl w:ilvl="1">
      <w:start w:val="1"/>
      <w:numFmt w:val="decimal"/>
      <w:isLgl w:val="false"/>
      <w:suff w:val="nothing"/>
      <w:lvlText w:val="%2、"/>
      <w:lvlJc w:val="left"/>
      <w:pPr>
        <w:pStyle w:val="645"/>
        <w:ind w:left="0" w:firstLine="0"/>
      </w:pPr>
      <w:rPr>
        <w:rFonts w:hint="eastAsia"/>
      </w:rPr>
    </w:lvl>
    <w:lvl w:ilvl="2">
      <w:start w:val="1"/>
      <w:numFmt w:val="decimal"/>
      <w:isLgl w:val="false"/>
      <w:suff w:val="nothing"/>
      <w:lvlText w:val="%2.%3 "/>
      <w:lvlJc w:val="left"/>
      <w:pPr>
        <w:pStyle w:val="645"/>
        <w:ind w:left="0" w:firstLine="0"/>
      </w:pPr>
      <w:rPr>
        <w:rFonts w:hint="eastAsia"/>
      </w:rPr>
    </w:lvl>
    <w:lvl w:ilvl="3">
      <w:start w:val="1"/>
      <w:numFmt w:val="decimal"/>
      <w:isLgl w:val="false"/>
      <w:suff w:val="nothing"/>
      <w:lvlText w:val="%2.%3.%4 "/>
      <w:lvlJc w:val="left"/>
      <w:pPr>
        <w:pStyle w:val="645"/>
        <w:ind w:left="0" w:firstLine="0"/>
      </w:pPr>
      <w:rPr>
        <w:rFonts w:hint="eastAsia"/>
      </w:rPr>
    </w:lvl>
    <w:lvl w:ilvl="4">
      <w:start w:val="1"/>
      <w:numFmt w:val="decimal"/>
      <w:isLgl w:val="false"/>
      <w:suff w:val="nothing"/>
      <w:lvlText w:val="%2.%3.%4.%5 "/>
      <w:lvlJc w:val="left"/>
      <w:pPr>
        <w:pStyle w:val="645"/>
        <w:ind w:left="0" w:firstLine="0"/>
      </w:pPr>
      <w:rPr>
        <w:rFonts w:hint="eastAsia"/>
      </w:rPr>
    </w:lvl>
    <w:lvl w:ilvl="5">
      <w:start w:val="1"/>
      <w:numFmt w:val="decimal"/>
      <w:pStyle w:val="651"/>
      <w:isLgl w:val="false"/>
      <w:suff w:val="nothing"/>
      <w:lvlText w:val=""/>
      <w:lvlJc w:val="left"/>
      <w:pPr>
        <w:pStyle w:val="645"/>
        <w:ind w:left="0" w:firstLine="0"/>
      </w:pPr>
      <w:rPr>
        <w:rFonts w:hint="eastAsia"/>
      </w:rPr>
    </w:lvl>
    <w:lvl w:ilvl="6">
      <w:start w:val="1"/>
      <w:numFmt w:val="decimal"/>
      <w:pStyle w:val="652"/>
      <w:isLgl w:val="false"/>
      <w:suff w:val="nothing"/>
      <w:lvlText w:val=""/>
      <w:lvlJc w:val="left"/>
      <w:pPr>
        <w:pStyle w:val="645"/>
        <w:ind w:left="0" w:firstLine="0"/>
      </w:pPr>
      <w:rPr>
        <w:rFonts w:hint="eastAsia"/>
      </w:rPr>
    </w:lvl>
    <w:lvl w:ilvl="7">
      <w:start w:val="1"/>
      <w:numFmt w:val="decimal"/>
      <w:pStyle w:val="653"/>
      <w:isLgl w:val="false"/>
      <w:suff w:val="nothing"/>
      <w:lvlText w:val=""/>
      <w:lvlJc w:val="left"/>
      <w:pPr>
        <w:pStyle w:val="645"/>
        <w:ind w:left="0" w:firstLine="0"/>
      </w:pPr>
      <w:rPr>
        <w:rFonts w:hint="eastAsia"/>
      </w:rPr>
    </w:lvl>
    <w:lvl w:ilvl="8">
      <w:start w:val="1"/>
      <w:numFmt w:val="decimal"/>
      <w:pStyle w:val="654"/>
      <w:isLgl w:val="false"/>
      <w:suff w:val="nothing"/>
      <w:lvlText w:val=""/>
      <w:lvlJc w:val="left"/>
      <w:pPr>
        <w:pStyle w:val="645"/>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4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2"/>
      <w:lang w:val="en-US" w:eastAsia="zh-CN" w:bidi="ar-SA"/>
    </w:rPr>
  </w:style>
  <w:style w:type="paragraph" w:styleId="646">
    <w:name w:val="标题 1"/>
    <w:basedOn w:val="645"/>
    <w:next w:val="645"/>
    <w:link w:val="658"/>
    <w:qFormat/>
    <w:pPr>
      <w:jc w:val="center"/>
      <w:keepNext/>
      <w:outlineLvl w:val="0"/>
    </w:pPr>
    <w:rPr>
      <w:rFonts w:ascii="楷体_GB2312" w:hAnsi="Times New Roman" w:eastAsia="楷体_GB2312" w:cs="Times New Roman"/>
      <w:sz w:val="28"/>
      <w:szCs w:val="28"/>
    </w:rPr>
  </w:style>
  <w:style w:type="paragraph" w:styleId="647">
    <w:name w:val="标题 2"/>
    <w:basedOn w:val="645"/>
    <w:next w:val="645"/>
    <w:link w:val="659"/>
    <w:qFormat/>
    <w:pPr>
      <w:jc w:val="center"/>
      <w:keepLines/>
      <w:keepNext/>
      <w:spacing w:before="260" w:after="260" w:line="416" w:lineRule="auto"/>
      <w:outlineLvl w:val="1"/>
    </w:pPr>
    <w:rPr>
      <w:rFonts w:ascii="Arial" w:hAnsi="Arial" w:eastAsia="幼圆" w:cs="Arial"/>
      <w:b/>
      <w:bCs/>
      <w:sz w:val="44"/>
      <w:szCs w:val="44"/>
    </w:rPr>
  </w:style>
  <w:style w:type="paragraph" w:styleId="648">
    <w:name w:val="标题 3"/>
    <w:basedOn w:val="645"/>
    <w:next w:val="661"/>
    <w:link w:val="6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49">
    <w:name w:val="标题 4"/>
    <w:basedOn w:val="645"/>
    <w:next w:val="661"/>
    <w:link w:val="663"/>
    <w:qFormat/>
    <w:pPr>
      <w:keepLines/>
      <w:keepNext/>
      <w:spacing w:before="280" w:after="290" w:line="376" w:lineRule="auto"/>
      <w:outlineLvl w:val="3"/>
    </w:pPr>
    <w:rPr>
      <w:rFonts w:ascii="Arial" w:hAnsi="Arial" w:eastAsia="黑体" w:cs="Arial"/>
      <w:b/>
      <w:bCs/>
      <w:sz w:val="28"/>
      <w:szCs w:val="28"/>
    </w:rPr>
  </w:style>
  <w:style w:type="paragraph" w:styleId="650">
    <w:name w:val="标题 5"/>
    <w:basedOn w:val="645"/>
    <w:next w:val="661"/>
    <w:link w:val="664"/>
    <w:qFormat/>
    <w:pPr>
      <w:keepNext/>
      <w:outlineLvl w:val="4"/>
    </w:pPr>
    <w:rPr>
      <w:rFonts w:ascii="宋体" w:hAnsi="Times New Roman" w:eastAsia="宋体" w:cs="Times New Roman"/>
      <w:color w:val="000000"/>
      <w:sz w:val="28"/>
      <w:szCs w:val="28"/>
    </w:rPr>
  </w:style>
  <w:style w:type="paragraph" w:styleId="651">
    <w:name w:val="标题 6"/>
    <w:basedOn w:val="645"/>
    <w:next w:val="645"/>
    <w:link w:val="66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52">
    <w:name w:val="标题 7"/>
    <w:basedOn w:val="645"/>
    <w:next w:val="645"/>
    <w:link w:val="66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53">
    <w:name w:val="标题 8"/>
    <w:basedOn w:val="645"/>
    <w:next w:val="645"/>
    <w:link w:val="66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54">
    <w:name w:val="标题 9"/>
    <w:basedOn w:val="645"/>
    <w:next w:val="645"/>
    <w:link w:val="668"/>
    <w:qFormat/>
    <w:pPr>
      <w:numPr>
        <w:ilvl w:val="8"/>
        <w:numId w:val="1"/>
      </w:numPr>
      <w:keepLines/>
      <w:keepNext/>
      <w:spacing w:before="240" w:after="64" w:line="320" w:lineRule="auto"/>
      <w:outlineLvl w:val="8"/>
    </w:pPr>
    <w:rPr>
      <w:rFonts w:ascii="Arial" w:hAnsi="Arial" w:eastAsia="黑体" w:cs="Times New Roman"/>
      <w:szCs w:val="21"/>
    </w:rPr>
  </w:style>
  <w:style w:type="character" w:styleId="655">
    <w:name w:val="默认段落字体"/>
    <w:next w:val="655"/>
    <w:link w:val="645"/>
    <w:uiPriority w:val="1"/>
    <w:unhideWhenUsed/>
  </w:style>
  <w:style w:type="table" w:styleId="656">
    <w:name w:val="普通表格"/>
    <w:next w:val="656"/>
    <w:link w:val="645"/>
    <w:uiPriority w:val="99"/>
    <w:unhideWhenUsed/>
    <w:tblPr/>
  </w:style>
  <w:style w:type="paragraph" w:styleId="657">
    <w:name w:val="标题 21"/>
    <w:basedOn w:val="645"/>
    <w:next w:val="645"/>
    <w:link w:val="645"/>
    <w:qFormat/>
    <w:pPr>
      <w:jc w:val="center"/>
      <w:keepLines/>
      <w:keepNext/>
      <w:spacing w:before="260" w:after="260" w:line="416" w:lineRule="auto"/>
      <w:outlineLvl w:val="1"/>
    </w:pPr>
    <w:rPr>
      <w:rFonts w:ascii="Arial" w:hAnsi="Arial" w:eastAsia="幼圆"/>
      <w:b/>
      <w:sz w:val="44"/>
      <w:szCs w:val="20"/>
    </w:rPr>
  </w:style>
  <w:style w:type="character" w:styleId="658">
    <w:name w:val="标题 1 字符"/>
    <w:next w:val="658"/>
    <w:link w:val="646"/>
    <w:rPr>
      <w:rFonts w:ascii="楷体_GB2312" w:hAnsi="Times New Roman" w:eastAsia="楷体_GB2312" w:cs="Times New Roman"/>
      <w:sz w:val="28"/>
      <w:szCs w:val="28"/>
    </w:rPr>
  </w:style>
  <w:style w:type="character" w:styleId="659">
    <w:name w:val="标题 2 字符"/>
    <w:next w:val="659"/>
    <w:link w:val="647"/>
    <w:rPr>
      <w:rFonts w:ascii="Arial" w:hAnsi="Arial" w:eastAsia="幼圆" w:cs="Arial"/>
      <w:b/>
      <w:bCs/>
      <w:sz w:val="44"/>
      <w:szCs w:val="44"/>
    </w:rPr>
  </w:style>
  <w:style w:type="character" w:styleId="660">
    <w:name w:val="标题 3 字符"/>
    <w:next w:val="660"/>
    <w:link w:val="648"/>
    <w:rPr>
      <w:rFonts w:ascii="Times New Roman" w:hAnsi="Times New Roman" w:eastAsia="宋体" w:cs="Times New Roman"/>
      <w:b/>
      <w:bCs/>
      <w:sz w:val="32"/>
      <w:szCs w:val="32"/>
    </w:rPr>
  </w:style>
  <w:style w:type="paragraph" w:styleId="661">
    <w:name w:val="正文缩进"/>
    <w:basedOn w:val="645"/>
    <w:next w:val="661"/>
    <w:link w:val="662"/>
    <w:pPr>
      <w:ind w:firstLine="420"/>
    </w:pPr>
    <w:rPr>
      <w:szCs w:val="21"/>
    </w:rPr>
  </w:style>
  <w:style w:type="character" w:styleId="662">
    <w:name w:val="正文缩进 字符"/>
    <w:next w:val="662"/>
    <w:link w:val="661"/>
    <w:rPr>
      <w:szCs w:val="21"/>
    </w:rPr>
  </w:style>
  <w:style w:type="character" w:styleId="663">
    <w:name w:val="标题 4 字符"/>
    <w:next w:val="663"/>
    <w:link w:val="649"/>
    <w:rPr>
      <w:rFonts w:ascii="Arial" w:hAnsi="Arial" w:eastAsia="黑体" w:cs="Arial"/>
      <w:b/>
      <w:bCs/>
      <w:sz w:val="28"/>
      <w:szCs w:val="28"/>
    </w:rPr>
  </w:style>
  <w:style w:type="character" w:styleId="664">
    <w:name w:val="标题 5 字符"/>
    <w:next w:val="664"/>
    <w:link w:val="650"/>
    <w:rPr>
      <w:rFonts w:ascii="宋体" w:hAnsi="Times New Roman" w:eastAsia="宋体" w:cs="Times New Roman"/>
      <w:color w:val="000000"/>
      <w:sz w:val="28"/>
      <w:szCs w:val="28"/>
    </w:rPr>
  </w:style>
  <w:style w:type="character" w:styleId="665">
    <w:name w:val="标题 6 字符"/>
    <w:next w:val="665"/>
    <w:link w:val="651"/>
    <w:rPr>
      <w:rFonts w:ascii="Arial" w:hAnsi="Arial" w:eastAsia="黑体" w:cs="Times New Roman"/>
      <w:b/>
      <w:bCs/>
      <w:sz w:val="24"/>
      <w:szCs w:val="24"/>
    </w:rPr>
  </w:style>
  <w:style w:type="character" w:styleId="666">
    <w:name w:val="标题 7 字符"/>
    <w:next w:val="666"/>
    <w:link w:val="652"/>
    <w:rPr>
      <w:rFonts w:ascii="Times New Roman" w:hAnsi="Times New Roman" w:eastAsia="宋体" w:cs="Times New Roman"/>
      <w:b/>
      <w:bCs/>
      <w:sz w:val="24"/>
      <w:szCs w:val="24"/>
    </w:rPr>
  </w:style>
  <w:style w:type="character" w:styleId="667">
    <w:name w:val="标题 8 字符"/>
    <w:next w:val="667"/>
    <w:link w:val="653"/>
    <w:rPr>
      <w:rFonts w:ascii="Arial" w:hAnsi="Arial" w:eastAsia="黑体" w:cs="Times New Roman"/>
      <w:sz w:val="24"/>
      <w:szCs w:val="24"/>
    </w:rPr>
  </w:style>
  <w:style w:type="character" w:styleId="668">
    <w:name w:val="标题 9 字符"/>
    <w:next w:val="668"/>
    <w:link w:val="654"/>
    <w:rPr>
      <w:rFonts w:ascii="Arial" w:hAnsi="Arial" w:eastAsia="黑体" w:cs="Times New Roman"/>
      <w:szCs w:val="21"/>
    </w:rPr>
  </w:style>
  <w:style w:type="paragraph" w:styleId="669">
    <w:name w:val="列表 3"/>
    <w:basedOn w:val="645"/>
    <w:next w:val="669"/>
    <w:link w:val="645"/>
    <w:pPr>
      <w:ind w:left="100" w:hanging="200"/>
    </w:pPr>
    <w:rPr>
      <w:rFonts w:ascii="Times New Roman" w:hAnsi="Times New Roman" w:eastAsia="宋体" w:cs="Times New Roman"/>
      <w:szCs w:val="21"/>
    </w:rPr>
  </w:style>
  <w:style w:type="paragraph" w:styleId="670">
    <w:name w:val="目录 7"/>
    <w:basedOn w:val="645"/>
    <w:next w:val="645"/>
    <w:link w:val="645"/>
    <w:semiHidden/>
    <w:pPr>
      <w:ind w:left="1260"/>
      <w:jc w:val="left"/>
    </w:pPr>
    <w:rPr>
      <w:rFonts w:ascii="Times New Roman" w:hAnsi="Times New Roman" w:eastAsia="宋体" w:cs="Times New Roman"/>
      <w:szCs w:val="21"/>
    </w:rPr>
  </w:style>
  <w:style w:type="paragraph" w:styleId="671">
    <w:name w:val="文档结构图"/>
    <w:basedOn w:val="645"/>
    <w:next w:val="671"/>
    <w:link w:val="672"/>
    <w:semiHidden/>
    <w:pPr>
      <w:shd w:val="clear" w:color="auto" w:fill="000080"/>
    </w:pPr>
    <w:rPr>
      <w:rFonts w:ascii="Times New Roman" w:hAnsi="Times New Roman" w:eastAsia="宋体" w:cs="Times New Roman"/>
      <w:szCs w:val="21"/>
    </w:rPr>
  </w:style>
  <w:style w:type="character" w:styleId="672">
    <w:name w:val="文档结构图 字符"/>
    <w:next w:val="672"/>
    <w:link w:val="671"/>
    <w:semiHidden/>
    <w:rPr>
      <w:rFonts w:ascii="Times New Roman" w:hAnsi="Times New Roman" w:eastAsia="宋体" w:cs="Times New Roman"/>
      <w:szCs w:val="21"/>
      <w:shd w:val="clear" w:color="auto" w:fill="000080"/>
    </w:rPr>
  </w:style>
  <w:style w:type="paragraph" w:styleId="673">
    <w:name w:val="批注文字"/>
    <w:basedOn w:val="645"/>
    <w:next w:val="673"/>
    <w:link w:val="674"/>
    <w:unhideWhenUsed/>
    <w:pPr>
      <w:jc w:val="left"/>
    </w:pPr>
  </w:style>
  <w:style w:type="character" w:styleId="674">
    <w:name w:val="批注文字 字符"/>
    <w:next w:val="674"/>
    <w:link w:val="673"/>
    <w:uiPriority w:val="99"/>
    <w:semiHidden/>
  </w:style>
  <w:style w:type="paragraph" w:styleId="675">
    <w:name w:val="正文文本 3"/>
    <w:basedOn w:val="645"/>
    <w:next w:val="675"/>
    <w:link w:val="676"/>
    <w:rPr>
      <w:rFonts w:ascii="仿宋_GB2312" w:hAnsi="Arial" w:eastAsia="仿宋_GB2312" w:cs="Times New Roman"/>
      <w:sz w:val="32"/>
      <w:szCs w:val="32"/>
    </w:rPr>
  </w:style>
  <w:style w:type="character" w:styleId="676">
    <w:name w:val="正文文本 3 字符"/>
    <w:next w:val="676"/>
    <w:link w:val="675"/>
    <w:rPr>
      <w:rFonts w:ascii="仿宋_GB2312" w:hAnsi="Arial" w:eastAsia="仿宋_GB2312" w:cs="Times New Roman"/>
      <w:sz w:val="32"/>
      <w:szCs w:val="32"/>
    </w:rPr>
  </w:style>
  <w:style w:type="paragraph" w:styleId="677">
    <w:name w:val="正文文本"/>
    <w:basedOn w:val="645"/>
    <w:next w:val="677"/>
    <w:link w:val="678"/>
    <w:rPr>
      <w:rFonts w:ascii="楷体_GB2312" w:hAnsi="Arial" w:eastAsia="楷体_GB2312" w:cs="Times New Roman"/>
      <w:sz w:val="28"/>
      <w:szCs w:val="28"/>
    </w:rPr>
  </w:style>
  <w:style w:type="character" w:styleId="678">
    <w:name w:val="正文文本 字符"/>
    <w:next w:val="678"/>
    <w:link w:val="677"/>
    <w:rPr>
      <w:rFonts w:ascii="楷体_GB2312" w:hAnsi="Arial" w:eastAsia="楷体_GB2312" w:cs="Times New Roman"/>
      <w:sz w:val="28"/>
      <w:szCs w:val="28"/>
    </w:rPr>
  </w:style>
  <w:style w:type="paragraph" w:styleId="679">
    <w:name w:val="正文文本缩进"/>
    <w:basedOn w:val="645"/>
    <w:next w:val="679"/>
    <w:link w:val="680"/>
    <w:unhideWhenUsed/>
    <w:pPr>
      <w:ind w:left="420"/>
      <w:spacing w:after="120"/>
    </w:pPr>
  </w:style>
  <w:style w:type="character" w:styleId="680">
    <w:name w:val="正文文本缩进 字符"/>
    <w:next w:val="680"/>
    <w:link w:val="679"/>
    <w:uiPriority w:val="99"/>
    <w:semiHidden/>
  </w:style>
  <w:style w:type="paragraph" w:styleId="681">
    <w:name w:val="列表 2"/>
    <w:basedOn w:val="645"/>
    <w:next w:val="681"/>
    <w:link w:val="645"/>
    <w:pPr>
      <w:ind w:left="100" w:hanging="200"/>
    </w:pPr>
    <w:rPr>
      <w:rFonts w:ascii="Times New Roman" w:hAnsi="Times New Roman" w:eastAsia="宋体" w:cs="Times New Roman"/>
      <w:szCs w:val="21"/>
    </w:rPr>
  </w:style>
  <w:style w:type="paragraph" w:styleId="682">
    <w:name w:val="目录 5"/>
    <w:basedOn w:val="645"/>
    <w:next w:val="645"/>
    <w:link w:val="645"/>
    <w:semiHidden/>
    <w:pPr>
      <w:ind w:left="840"/>
      <w:jc w:val="left"/>
    </w:pPr>
    <w:rPr>
      <w:rFonts w:ascii="Times New Roman" w:hAnsi="Times New Roman" w:eastAsia="宋体" w:cs="Times New Roman"/>
      <w:szCs w:val="21"/>
    </w:rPr>
  </w:style>
  <w:style w:type="paragraph" w:styleId="683">
    <w:name w:val="目录 3"/>
    <w:basedOn w:val="645"/>
    <w:next w:val="645"/>
    <w:link w:val="645"/>
    <w:semiHidden/>
    <w:pPr>
      <w:ind w:left="420"/>
      <w:jc w:val="left"/>
    </w:pPr>
    <w:rPr>
      <w:rFonts w:ascii="Times New Roman" w:hAnsi="Times New Roman" w:eastAsia="宋体" w:cs="Times New Roman"/>
      <w:i/>
      <w:iCs/>
      <w:szCs w:val="24"/>
    </w:rPr>
  </w:style>
  <w:style w:type="paragraph" w:styleId="684">
    <w:name w:val="纯文本"/>
    <w:basedOn w:val="645"/>
    <w:next w:val="645"/>
    <w:link w:val="685"/>
    <w:rPr>
      <w:rFonts w:ascii="宋体" w:hAnsi="Courier New" w:eastAsia="宋体" w:cs="Courier New"/>
      <w:szCs w:val="21"/>
    </w:rPr>
  </w:style>
  <w:style w:type="character" w:styleId="685">
    <w:name w:val="纯文本 字符"/>
    <w:next w:val="685"/>
    <w:link w:val="684"/>
    <w:rPr>
      <w:rFonts w:ascii="宋体" w:hAnsi="Courier New" w:eastAsia="宋体" w:cs="Courier New"/>
      <w:szCs w:val="21"/>
    </w:rPr>
  </w:style>
  <w:style w:type="paragraph" w:styleId="686">
    <w:name w:val="目录 8"/>
    <w:basedOn w:val="645"/>
    <w:next w:val="645"/>
    <w:link w:val="645"/>
    <w:semiHidden/>
    <w:pPr>
      <w:ind w:left="1470"/>
      <w:jc w:val="left"/>
    </w:pPr>
    <w:rPr>
      <w:rFonts w:ascii="Times New Roman" w:hAnsi="Times New Roman" w:eastAsia="宋体" w:cs="Times New Roman"/>
      <w:szCs w:val="21"/>
    </w:rPr>
  </w:style>
  <w:style w:type="paragraph" w:styleId="687">
    <w:name w:val="日期"/>
    <w:basedOn w:val="645"/>
    <w:next w:val="645"/>
    <w:link w:val="688"/>
    <w:rPr>
      <w:rFonts w:ascii="Times New Roman" w:hAnsi="Times New Roman" w:eastAsia="宋体" w:cs="Times New Roman"/>
      <w:sz w:val="24"/>
      <w:szCs w:val="24"/>
    </w:rPr>
  </w:style>
  <w:style w:type="character" w:styleId="688">
    <w:name w:val="日期 字符"/>
    <w:next w:val="688"/>
    <w:link w:val="687"/>
    <w:rPr>
      <w:rFonts w:ascii="Times New Roman" w:hAnsi="Times New Roman" w:eastAsia="宋体" w:cs="Times New Roman"/>
      <w:sz w:val="24"/>
      <w:szCs w:val="24"/>
    </w:rPr>
  </w:style>
  <w:style w:type="paragraph" w:styleId="689">
    <w:name w:val="正文文本缩进 2"/>
    <w:basedOn w:val="645"/>
    <w:next w:val="689"/>
    <w:link w:val="690"/>
    <w:pPr>
      <w:ind w:left="630" w:firstLine="645"/>
    </w:pPr>
    <w:rPr>
      <w:rFonts w:ascii="Arial" w:hAnsi="Arial" w:eastAsia="仿宋_GB2312" w:cs="Arial"/>
      <w:sz w:val="32"/>
      <w:szCs w:val="32"/>
    </w:rPr>
  </w:style>
  <w:style w:type="character" w:styleId="690">
    <w:name w:val="正文文本缩进 2 字符"/>
    <w:next w:val="690"/>
    <w:link w:val="689"/>
    <w:rPr>
      <w:rFonts w:ascii="Arial" w:hAnsi="Arial" w:eastAsia="仿宋_GB2312" w:cs="Arial"/>
      <w:sz w:val="32"/>
      <w:szCs w:val="32"/>
    </w:rPr>
  </w:style>
  <w:style w:type="paragraph" w:styleId="691">
    <w:name w:val="批注框文本"/>
    <w:basedOn w:val="645"/>
    <w:next w:val="691"/>
    <w:link w:val="692"/>
    <w:semiHidden/>
    <w:rPr>
      <w:rFonts w:ascii="Times New Roman" w:hAnsi="Times New Roman" w:eastAsia="宋体" w:cs="Times New Roman"/>
      <w:sz w:val="18"/>
      <w:szCs w:val="18"/>
    </w:rPr>
  </w:style>
  <w:style w:type="character" w:styleId="692">
    <w:name w:val="批注框文本 字符"/>
    <w:next w:val="692"/>
    <w:link w:val="691"/>
    <w:semiHidden/>
    <w:rPr>
      <w:rFonts w:ascii="Times New Roman" w:hAnsi="Times New Roman" w:eastAsia="宋体" w:cs="Times New Roman"/>
      <w:sz w:val="18"/>
      <w:szCs w:val="18"/>
    </w:rPr>
  </w:style>
  <w:style w:type="paragraph" w:styleId="693">
    <w:name w:val="页脚"/>
    <w:basedOn w:val="645"/>
    <w:next w:val="693"/>
    <w:link w:val="694"/>
    <w:pPr>
      <w:jc w:val="left"/>
      <w:tabs>
        <w:tab w:val="center" w:pos="4153" w:leader="none"/>
        <w:tab w:val="right" w:pos="8306" w:leader="none"/>
      </w:tabs>
    </w:pPr>
    <w:rPr>
      <w:rFonts w:ascii="Times New Roman" w:hAnsi="Times New Roman" w:eastAsia="宋体" w:cs="Times New Roman"/>
      <w:sz w:val="18"/>
      <w:szCs w:val="18"/>
    </w:rPr>
  </w:style>
  <w:style w:type="character" w:styleId="694">
    <w:name w:val="页脚 字符"/>
    <w:next w:val="694"/>
    <w:link w:val="693"/>
    <w:rPr>
      <w:rFonts w:ascii="Times New Roman" w:hAnsi="Times New Roman" w:eastAsia="宋体" w:cs="Times New Roman"/>
      <w:sz w:val="18"/>
      <w:szCs w:val="18"/>
    </w:rPr>
  </w:style>
  <w:style w:type="paragraph" w:styleId="695">
    <w:name w:val="寄信人地址"/>
    <w:basedOn w:val="645"/>
    <w:next w:val="670"/>
    <w:link w:val="645"/>
    <w:uiPriority w:val="99"/>
    <w:qFormat/>
    <w:rPr>
      <w:rFonts w:ascii="Arial" w:hAnsi="Arial" w:cs="Arial"/>
    </w:rPr>
  </w:style>
  <w:style w:type="paragraph" w:styleId="696">
    <w:name w:val="页眉"/>
    <w:basedOn w:val="645"/>
    <w:next w:val="696"/>
    <w:link w:val="6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697">
    <w:name w:val="页眉 字符"/>
    <w:next w:val="697"/>
    <w:link w:val="696"/>
    <w:rPr>
      <w:rFonts w:ascii="Times New Roman" w:hAnsi="Times New Roman" w:eastAsia="宋体" w:cs="Times New Roman"/>
      <w:sz w:val="18"/>
      <w:szCs w:val="18"/>
    </w:rPr>
  </w:style>
  <w:style w:type="paragraph" w:styleId="698">
    <w:name w:val="目录 1"/>
    <w:basedOn w:val="645"/>
    <w:next w:val="645"/>
    <w:link w:val="64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699">
    <w:name w:val="目录 4"/>
    <w:basedOn w:val="645"/>
    <w:next w:val="645"/>
    <w:link w:val="645"/>
    <w:semiHidden/>
    <w:pPr>
      <w:ind w:left="630"/>
      <w:jc w:val="left"/>
    </w:pPr>
    <w:rPr>
      <w:rFonts w:ascii="Times New Roman" w:hAnsi="Times New Roman" w:eastAsia="宋体" w:cs="Times New Roman"/>
      <w:szCs w:val="21"/>
    </w:rPr>
  </w:style>
  <w:style w:type="paragraph" w:styleId="700">
    <w:name w:val="列表"/>
    <w:basedOn w:val="645"/>
    <w:next w:val="700"/>
    <w:link w:val="645"/>
    <w:pPr>
      <w:ind w:left="200" w:hanging="200"/>
    </w:pPr>
    <w:rPr>
      <w:rFonts w:ascii="Times New Roman" w:hAnsi="Times New Roman" w:eastAsia="宋体" w:cs="Times New Roman"/>
      <w:szCs w:val="21"/>
    </w:rPr>
  </w:style>
  <w:style w:type="paragraph" w:styleId="701">
    <w:name w:val="目录 6"/>
    <w:basedOn w:val="645"/>
    <w:next w:val="645"/>
    <w:link w:val="645"/>
    <w:semiHidden/>
    <w:pPr>
      <w:ind w:left="1050"/>
      <w:jc w:val="left"/>
    </w:pPr>
    <w:rPr>
      <w:rFonts w:ascii="Times New Roman" w:hAnsi="Times New Roman" w:eastAsia="宋体" w:cs="Times New Roman"/>
      <w:szCs w:val="21"/>
    </w:rPr>
  </w:style>
  <w:style w:type="paragraph" w:styleId="702">
    <w:name w:val="正文文本缩进 3"/>
    <w:basedOn w:val="645"/>
    <w:next w:val="702"/>
    <w:link w:val="703"/>
    <w:pPr>
      <w:ind w:left="645" w:firstLine="645"/>
    </w:pPr>
    <w:rPr>
      <w:rFonts w:ascii="Arial" w:hAnsi="Arial" w:eastAsia="仿宋_GB2312" w:cs="Arial"/>
      <w:color w:val="ffff00"/>
      <w:sz w:val="32"/>
      <w:szCs w:val="32"/>
    </w:rPr>
  </w:style>
  <w:style w:type="character" w:styleId="703">
    <w:name w:val="正文文本缩进 3 字符"/>
    <w:next w:val="703"/>
    <w:link w:val="702"/>
    <w:rPr>
      <w:rFonts w:ascii="Arial" w:hAnsi="Arial" w:eastAsia="仿宋_GB2312" w:cs="Arial"/>
      <w:color w:val="ffff00"/>
      <w:sz w:val="32"/>
      <w:szCs w:val="32"/>
    </w:rPr>
  </w:style>
  <w:style w:type="paragraph" w:styleId="704">
    <w:name w:val="图表目录"/>
    <w:basedOn w:val="645"/>
    <w:next w:val="645"/>
    <w:link w:val="645"/>
    <w:semiHidden/>
    <w:pPr>
      <w:ind w:left="840" w:hanging="420"/>
    </w:pPr>
    <w:rPr>
      <w:rFonts w:ascii="Times New Roman" w:hAnsi="Times New Roman" w:eastAsia="宋体" w:cs="Times New Roman"/>
      <w:szCs w:val="21"/>
    </w:rPr>
  </w:style>
  <w:style w:type="paragraph" w:styleId="705">
    <w:name w:val="目录 2"/>
    <w:basedOn w:val="645"/>
    <w:next w:val="645"/>
    <w:link w:val="645"/>
    <w:semiHidden/>
    <w:pPr>
      <w:ind w:left="210"/>
      <w:jc w:val="left"/>
    </w:pPr>
    <w:rPr>
      <w:rFonts w:ascii="Times New Roman" w:hAnsi="Times New Roman" w:eastAsia="宋体" w:cs="Times New Roman"/>
      <w:smallCaps/>
      <w:szCs w:val="24"/>
    </w:rPr>
  </w:style>
  <w:style w:type="paragraph" w:styleId="706">
    <w:name w:val="目录 9"/>
    <w:basedOn w:val="645"/>
    <w:next w:val="645"/>
    <w:link w:val="645"/>
    <w:semiHidden/>
    <w:pPr>
      <w:ind w:left="1680"/>
      <w:jc w:val="left"/>
    </w:pPr>
    <w:rPr>
      <w:rFonts w:ascii="Times New Roman" w:hAnsi="Times New Roman" w:eastAsia="宋体" w:cs="Times New Roman"/>
      <w:szCs w:val="21"/>
    </w:rPr>
  </w:style>
  <w:style w:type="paragraph" w:styleId="707">
    <w:name w:val="正文文本 2"/>
    <w:basedOn w:val="645"/>
    <w:next w:val="707"/>
    <w:link w:val="708"/>
    <w:pPr>
      <w:jc w:val="center"/>
      <w:widowControl/>
    </w:pPr>
    <w:rPr>
      <w:rFonts w:ascii="楷体_GB2312" w:hAnsi="Times New Roman" w:eastAsia="楷体_GB2312" w:cs="Times New Roman"/>
      <w:sz w:val="28"/>
      <w:szCs w:val="28"/>
    </w:rPr>
  </w:style>
  <w:style w:type="character" w:styleId="708">
    <w:name w:val="正文文本 2 字符"/>
    <w:next w:val="708"/>
    <w:link w:val="707"/>
    <w:rPr>
      <w:rFonts w:ascii="楷体_GB2312" w:hAnsi="Times New Roman" w:eastAsia="楷体_GB2312" w:cs="Times New Roman"/>
      <w:sz w:val="28"/>
      <w:szCs w:val="28"/>
    </w:rPr>
  </w:style>
  <w:style w:type="paragraph" w:styleId="709">
    <w:name w:val="普通(网站)"/>
    <w:basedOn w:val="645"/>
    <w:next w:val="709"/>
    <w:link w:val="645"/>
    <w:uiPriority w:val="99"/>
    <w:pPr>
      <w:jc w:val="left"/>
      <w:spacing w:before="100" w:beforeAutospacing="1" w:after="100" w:afterAutospacing="1"/>
      <w:widowControl/>
    </w:pPr>
    <w:rPr>
      <w:rFonts w:ascii="宋体" w:hAnsi="宋体" w:eastAsia="宋体" w:cs="宋体"/>
      <w:sz w:val="24"/>
      <w:szCs w:val="24"/>
    </w:rPr>
  </w:style>
  <w:style w:type="paragraph" w:styleId="710">
    <w:name w:val="索引 1"/>
    <w:basedOn w:val="645"/>
    <w:next w:val="645"/>
    <w:link w:val="645"/>
    <w:semiHidden/>
    <w:pPr>
      <w:spacing w:line="240" w:lineRule="atLeast"/>
    </w:pPr>
    <w:rPr>
      <w:rFonts w:ascii="Times New Roman" w:hAnsi="Times New Roman" w:eastAsia="宋体" w:cs="Times New Roman"/>
      <w:b/>
      <w:bCs/>
      <w:szCs w:val="21"/>
    </w:rPr>
  </w:style>
  <w:style w:type="paragraph" w:styleId="711">
    <w:name w:val="批注主题"/>
    <w:basedOn w:val="673"/>
    <w:next w:val="673"/>
    <w:link w:val="712"/>
    <w:semiHidden/>
    <w:rPr>
      <w:rFonts w:ascii="Times New Roman" w:hAnsi="Times New Roman" w:eastAsia="宋体" w:cs="Times New Roman"/>
      <w:b/>
      <w:bCs/>
      <w:szCs w:val="21"/>
    </w:rPr>
  </w:style>
  <w:style w:type="character" w:styleId="712">
    <w:name w:val="批注主题 字符"/>
    <w:next w:val="712"/>
    <w:link w:val="711"/>
    <w:semiHidden/>
    <w:rPr>
      <w:rFonts w:ascii="Times New Roman" w:hAnsi="Times New Roman" w:eastAsia="宋体" w:cs="Times New Roman"/>
      <w:b/>
      <w:bCs/>
      <w:szCs w:val="21"/>
    </w:rPr>
  </w:style>
  <w:style w:type="paragraph" w:styleId="713">
    <w:name w:val="正文首行缩进"/>
    <w:basedOn w:val="645"/>
    <w:next w:val="713"/>
    <w:link w:val="714"/>
    <w:pPr>
      <w:ind w:firstLine="200"/>
      <w:spacing w:line="360" w:lineRule="auto"/>
    </w:pPr>
    <w:rPr>
      <w:rFonts w:ascii="仿宋_GB2312" w:hAnsi="Times New Roman" w:eastAsia="仿宋_GB2312" w:cs="Times New Roman"/>
      <w:sz w:val="30"/>
      <w:szCs w:val="30"/>
    </w:rPr>
  </w:style>
  <w:style w:type="character" w:styleId="714">
    <w:name w:val="正文文本首行缩进 字符"/>
    <w:next w:val="714"/>
    <w:link w:val="713"/>
    <w:rPr>
      <w:rFonts w:ascii="仿宋_GB2312" w:hAnsi="Times New Roman" w:eastAsia="仿宋_GB2312" w:cs="Times New Roman"/>
      <w:sz w:val="30"/>
      <w:szCs w:val="30"/>
    </w:rPr>
  </w:style>
  <w:style w:type="paragraph" w:styleId="715">
    <w:name w:val="正文首行缩进 2"/>
    <w:basedOn w:val="679"/>
    <w:next w:val="715"/>
    <w:link w:val="716"/>
    <w:pPr>
      <w:ind w:left="0" w:firstLine="420"/>
      <w:spacing w:after="0" w:line="360" w:lineRule="auto"/>
    </w:pPr>
    <w:rPr>
      <w:rFonts w:ascii="宋体" w:hAnsi="宋体" w:eastAsia="宋体" w:cs="Times New Roman"/>
      <w:szCs w:val="20"/>
    </w:rPr>
  </w:style>
  <w:style w:type="character" w:styleId="716">
    <w:name w:val="正文文本首行缩进 2 字符"/>
    <w:next w:val="716"/>
    <w:link w:val="715"/>
    <w:rPr>
      <w:rFonts w:ascii="宋体" w:hAnsi="宋体" w:eastAsia="宋体" w:cs="Times New Roman"/>
      <w:szCs w:val="20"/>
    </w:rPr>
  </w:style>
  <w:style w:type="table" w:styleId="717">
    <w:name w:val="网格型"/>
    <w:basedOn w:val="656"/>
    <w:next w:val="717"/>
    <w:link w:val="645"/>
    <w:pPr>
      <w:jc w:val="both"/>
      <w:widowControl w:val="off"/>
    </w:pPr>
    <w:rPr>
      <w:rFonts w:ascii="Times New Roman" w:hAnsi="Times New Roman" w:eastAsia="宋体" w:cs="Times New Roman"/>
      <w:sz w:val="20"/>
      <w:szCs w:val="20"/>
    </w:rPr>
    <w:tblPr/>
  </w:style>
  <w:style w:type="character" w:styleId="718">
    <w:name w:val="要点"/>
    <w:next w:val="718"/>
    <w:link w:val="645"/>
    <w:qFormat/>
    <w:rPr>
      <w:b/>
      <w:bCs/>
    </w:rPr>
  </w:style>
  <w:style w:type="character" w:styleId="719">
    <w:name w:val="页码"/>
    <w:next w:val="719"/>
    <w:link w:val="645"/>
  </w:style>
  <w:style w:type="character" w:styleId="720">
    <w:name w:val="已访问的超链接"/>
    <w:next w:val="720"/>
    <w:link w:val="645"/>
    <w:rPr>
      <w:color w:val="800080"/>
      <w:u w:val="single"/>
    </w:rPr>
  </w:style>
  <w:style w:type="character" w:styleId="721">
    <w:name w:val="超链接"/>
    <w:next w:val="721"/>
    <w:link w:val="645"/>
    <w:rPr>
      <w:color w:val="0000ff"/>
      <w:u w:val="single"/>
    </w:rPr>
  </w:style>
  <w:style w:type="character" w:styleId="722">
    <w:name w:val="批注引用"/>
    <w:next w:val="722"/>
    <w:link w:val="645"/>
    <w:semiHidden/>
    <w:rPr>
      <w:sz w:val="21"/>
      <w:szCs w:val="21"/>
    </w:rPr>
  </w:style>
  <w:style w:type="character" w:styleId="723">
    <w:name w:val="列出段落 Char,Bullet List Char,numbered Char,FooterText Char,List Paragraph1 Char,Paragraphe de liste1 Char"/>
    <w:next w:val="723"/>
    <w:link w:val="724"/>
    <w:rPr>
      <w:rFonts w:ascii="Calibri" w:hAnsi="Calibri"/>
      <w:sz w:val="24"/>
      <w:szCs w:val="24"/>
      <w:lang w:eastAsia="en-US" w:bidi="en-US"/>
    </w:rPr>
  </w:style>
  <w:style w:type="paragraph" w:styleId="724">
    <w:name w:val="列出段落1"/>
    <w:basedOn w:val="645"/>
    <w:next w:val="724"/>
    <w:link w:val="723"/>
    <w:qFormat/>
    <w:pPr>
      <w:contextualSpacing/>
      <w:ind w:left="720"/>
      <w:jc w:val="left"/>
      <w:widowControl/>
    </w:pPr>
    <w:rPr>
      <w:rFonts w:ascii="Calibri" w:hAnsi="Calibri"/>
      <w:sz w:val="24"/>
      <w:szCs w:val="24"/>
      <w:lang w:eastAsia="en-US" w:bidi="en-US"/>
    </w:rPr>
  </w:style>
  <w:style w:type="character" w:styleId="725">
    <w:name w:val="font5 Char"/>
    <w:next w:val="725"/>
    <w:link w:val="645"/>
    <w:rPr>
      <w:rFonts w:ascii="宋体" w:hAnsi="宋体" w:eastAsia="宋体"/>
      <w:sz w:val="28"/>
      <w:szCs w:val="28"/>
      <w:lang w:val="en-US" w:eastAsia="zh-CN" w:bidi="ar-SA"/>
    </w:rPr>
  </w:style>
  <w:style w:type="character" w:styleId="726">
    <w:name w:val="二级目录 Char"/>
    <w:next w:val="726"/>
    <w:link w:val="727"/>
    <w:rPr>
      <w:b/>
      <w:sz w:val="30"/>
      <w:szCs w:val="28"/>
    </w:rPr>
  </w:style>
  <w:style w:type="paragraph" w:styleId="727">
    <w:name w:val="二级目录"/>
    <w:next w:val="645"/>
    <w:link w:val="726"/>
    <w:pPr>
      <w:numPr>
        <w:ilvl w:val="0"/>
        <w:numId w:val="2"/>
      </w:numPr>
      <w:tabs>
        <w:tab w:val="left" w:pos="907" w:leader="none"/>
        <w:tab w:val="left" w:pos="1145" w:leader="none"/>
      </w:tabs>
      <w:outlineLvl w:val="1"/>
    </w:pPr>
    <w:rPr>
      <w:b/>
      <w:sz w:val="30"/>
      <w:szCs w:val="28"/>
      <w:lang w:val="en-US" w:eastAsia="zh-CN" w:bidi="ar-SA"/>
    </w:rPr>
  </w:style>
  <w:style w:type="paragraph" w:styleId="728">
    <w:name w:val="正文缩进1"/>
    <w:basedOn w:val="645"/>
    <w:next w:val="728"/>
    <w:link w:val="645"/>
    <w:uiPriority w:val="99"/>
    <w:qFormat/>
    <w:pPr>
      <w:ind w:firstLine="420"/>
      <w:jc w:val="left"/>
    </w:pPr>
    <w:rPr>
      <w:rFonts w:ascii="宋体" w:hAnsi="Calibri"/>
      <w:sz w:val="24"/>
      <w:szCs w:val="20"/>
    </w:rPr>
  </w:style>
  <w:style w:type="paragraph" w:styleId="729">
    <w:name w:val="正文_0_0"/>
    <w:next w:val="729"/>
    <w:link w:val="645"/>
    <w:qFormat/>
    <w:pPr>
      <w:jc w:val="both"/>
      <w:widowControl w:val="off"/>
    </w:pPr>
    <w:rPr>
      <w:sz w:val="21"/>
      <w:szCs w:val="24"/>
      <w:lang w:val="en-US" w:eastAsia="zh-CN" w:bidi="ar-SA"/>
    </w:rPr>
  </w:style>
  <w:style w:type="paragraph" w:styleId="730">
    <w:name w:val="正文_1_0"/>
    <w:next w:val="730"/>
    <w:link w:val="645"/>
    <w:qFormat/>
    <w:pPr>
      <w:jc w:val="both"/>
      <w:widowControl w:val="off"/>
    </w:pPr>
    <w:rPr>
      <w:sz w:val="21"/>
      <w:szCs w:val="24"/>
      <w:lang w:val="en-US" w:eastAsia="zh-CN" w:bidi="ar-SA"/>
    </w:rPr>
  </w:style>
  <w:style w:type="paragraph" w:styleId="731">
    <w:name w:val="正文缩进2格"/>
    <w:basedOn w:val="645"/>
    <w:next w:val="731"/>
    <w:link w:val="645"/>
    <w:qFormat/>
    <w:pPr>
      <w:ind w:firstLine="639"/>
      <w:spacing w:line="600" w:lineRule="exact"/>
    </w:pPr>
    <w:rPr>
      <w:rFonts w:ascii="仿宋_GB2312" w:hAnsi="宋体" w:eastAsia="仿宋_GB2312"/>
      <w:sz w:val="31"/>
      <w:szCs w:val="28"/>
    </w:rPr>
  </w:style>
  <w:style w:type="paragraph" w:styleId="732">
    <w:name w:val="首行缩进"/>
    <w:basedOn w:val="645"/>
    <w:next w:val="732"/>
    <w:link w:val="645"/>
    <w:qFormat/>
    <w:pPr>
      <w:ind w:firstLine="480"/>
    </w:pPr>
    <w:rPr>
      <w:rFonts w:ascii="Calibri" w:hAnsi="Calibri" w:eastAsia="Heiti SC Light"/>
      <w:sz w:val="24"/>
      <w:lang w:val="zh-CN"/>
    </w:rPr>
  </w:style>
  <w:style w:type="paragraph" w:styleId="733">
    <w:name w:val="无间隔"/>
    <w:next w:val="733"/>
    <w:link w:val="645"/>
    <w:uiPriority w:val="99"/>
    <w:qFormat/>
    <w:pPr>
      <w:jc w:val="both"/>
      <w:widowControl w:val="off"/>
    </w:pPr>
    <w:rPr>
      <w:sz w:val="21"/>
      <w:szCs w:val="21"/>
      <w:lang w:val="en-US" w:eastAsia="zh-CN" w:bidi="ar-SA"/>
    </w:rPr>
  </w:style>
  <w:style w:type="paragraph" w:styleId="734">
    <w:name w:val="table_1stline"/>
    <w:basedOn w:val="645"/>
    <w:next w:val="734"/>
    <w:link w:val="645"/>
    <w:pPr>
      <w:jc w:val="left"/>
      <w:spacing w:before="120"/>
      <w:widowControl/>
    </w:pPr>
    <w:rPr>
      <w:rFonts w:ascii="Times New Roman" w:hAnsi="Times New Roman" w:eastAsia="宋体" w:cs="Times New Roman"/>
      <w:bCs/>
      <w:sz w:val="20"/>
      <w:szCs w:val="20"/>
      <w:lang w:val="de-DE" w:eastAsia="de-DE"/>
    </w:rPr>
  </w:style>
  <w:style w:type="paragraph" w:styleId="735">
    <w:name w:val="Char Char Char Char"/>
    <w:basedOn w:val="671"/>
    <w:next w:val="735"/>
    <w:link w:val="645"/>
    <w:pPr>
      <w:spacing w:line="360" w:lineRule="auto"/>
    </w:pPr>
    <w:rPr>
      <w:rFonts w:ascii="Tahoma" w:hAnsi="Tahoma"/>
      <w:sz w:val="24"/>
      <w:szCs w:val="24"/>
    </w:rPr>
  </w:style>
  <w:style w:type="paragraph" w:styleId="736">
    <w:name w:val="xl30"/>
    <w:basedOn w:val="645"/>
    <w:next w:val="736"/>
    <w:link w:val="645"/>
    <w:pPr>
      <w:jc w:val="center"/>
      <w:spacing w:before="100" w:beforeAutospacing="1" w:after="100" w:afterAutospacing="1"/>
      <w:widowControl/>
    </w:pPr>
    <w:rPr>
      <w:rFonts w:ascii="宋体" w:hAnsi="宋体" w:eastAsia="宋体" w:cs="Times New Roman"/>
      <w:b/>
      <w:bCs/>
      <w:sz w:val="36"/>
      <w:szCs w:val="36"/>
    </w:rPr>
  </w:style>
  <w:style w:type="paragraph" w:styleId="737">
    <w:name w:val="xl28"/>
    <w:basedOn w:val="645"/>
    <w:next w:val="737"/>
    <w:link w:val="6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38">
    <w:name w:val="Char Char Char Char Char Char Char Char"/>
    <w:basedOn w:val="645"/>
    <w:next w:val="738"/>
    <w:link w:val="645"/>
    <w:pPr>
      <w:jc w:val="left"/>
      <w:spacing w:after="160" w:line="240" w:lineRule="exact"/>
      <w:widowControl/>
    </w:pPr>
    <w:rPr>
      <w:rFonts w:ascii="Verdana" w:hAnsi="Verdana" w:eastAsia="宋体" w:cs="Times New Roman"/>
      <w:sz w:val="20"/>
      <w:szCs w:val="20"/>
      <w:lang w:eastAsia="en-US"/>
    </w:rPr>
  </w:style>
  <w:style w:type="paragraph" w:styleId="739">
    <w:name w:val="xl24"/>
    <w:basedOn w:val="645"/>
    <w:next w:val="739"/>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图标"/>
    <w:basedOn w:val="645"/>
    <w:next w:val="645"/>
    <w:link w:val="64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41">
    <w:name w:val="xl25"/>
    <w:basedOn w:val="645"/>
    <w:next w:val="741"/>
    <w:link w:val="6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42">
    <w:name w:val="样式1"/>
    <w:basedOn w:val="645"/>
    <w:next w:val="742"/>
    <w:link w:val="645"/>
    <w:pPr>
      <w:numPr>
        <w:ilvl w:val="0"/>
        <w:numId w:val="3"/>
      </w:numPr>
      <w:tabs>
        <w:tab w:val="left" w:pos="709" w:leader="none"/>
      </w:tabs>
    </w:pPr>
    <w:rPr>
      <w:rFonts w:ascii="宋体" w:hAnsi="宋体" w:eastAsia="宋体" w:cs="Times New Roman"/>
      <w:szCs w:val="21"/>
    </w:rPr>
  </w:style>
  <w:style w:type="paragraph" w:styleId="743">
    <w:name w:val="列表段落1"/>
    <w:basedOn w:val="645"/>
    <w:next w:val="743"/>
    <w:link w:val="645"/>
    <w:uiPriority w:val="34"/>
    <w:qFormat/>
    <w:pPr>
      <w:ind w:firstLine="420"/>
    </w:pPr>
  </w:style>
  <w:style w:type="paragraph" w:styleId="744">
    <w:name w:val="font6"/>
    <w:basedOn w:val="645"/>
    <w:next w:val="744"/>
    <w:link w:val="645"/>
    <w:pPr>
      <w:jc w:val="left"/>
      <w:spacing w:before="100" w:beforeAutospacing="1" w:after="100" w:afterAutospacing="1"/>
      <w:widowControl/>
    </w:pPr>
    <w:rPr>
      <w:rFonts w:hint="eastAsia" w:ascii="宋体" w:hAnsi="宋体" w:eastAsia="宋体" w:cs="Times New Roman"/>
      <w:sz w:val="28"/>
      <w:szCs w:val="28"/>
      <w:u w:val="single"/>
    </w:rPr>
  </w:style>
  <w:style w:type="paragraph" w:styleId="745">
    <w:name w:val=" Char Char Char Char Char Char Char Char Char Char"/>
    <w:basedOn w:val="645"/>
    <w:next w:val="745"/>
    <w:link w:val="645"/>
    <w:pPr>
      <w:spacing w:line="360" w:lineRule="auto"/>
    </w:pPr>
    <w:rPr>
      <w:rFonts w:ascii="Times New Roman" w:hAnsi="Times New Roman" w:eastAsia="宋体" w:cs="Times New Roman"/>
      <w:sz w:val="24"/>
      <w:szCs w:val="20"/>
    </w:rPr>
  </w:style>
  <w:style w:type="paragraph" w:styleId="746">
    <w:name w:val="普通 (Web)"/>
    <w:basedOn w:val="645"/>
    <w:next w:val="746"/>
    <w:link w:val="645"/>
    <w:pPr>
      <w:jc w:val="left"/>
      <w:spacing w:before="100" w:beforeAutospacing="1" w:after="100" w:afterAutospacing="1"/>
      <w:widowControl/>
    </w:pPr>
    <w:rPr>
      <w:rFonts w:ascii="宋体" w:hAnsi="宋体" w:eastAsia="宋体" w:cs="Times New Roman"/>
      <w:sz w:val="24"/>
      <w:szCs w:val="24"/>
    </w:rPr>
  </w:style>
  <w:style w:type="paragraph" w:styleId="747">
    <w:name w:val="font7"/>
    <w:basedOn w:val="645"/>
    <w:next w:val="747"/>
    <w:link w:val="645"/>
    <w:pPr>
      <w:jc w:val="left"/>
      <w:spacing w:before="100" w:beforeAutospacing="1" w:after="100" w:afterAutospacing="1"/>
      <w:widowControl/>
    </w:pPr>
    <w:rPr>
      <w:rFonts w:hint="eastAsia" w:ascii="宋体" w:hAnsi="宋体" w:eastAsia="宋体" w:cs="Times New Roman"/>
      <w:sz w:val="18"/>
      <w:szCs w:val="18"/>
    </w:rPr>
  </w:style>
  <w:style w:type="paragraph" w:styleId="748">
    <w:name w:val="普通正文"/>
    <w:basedOn w:val="645"/>
    <w:next w:val="748"/>
    <w:link w:val="645"/>
    <w:pPr>
      <w:ind w:firstLine="480"/>
      <w:jc w:val="left"/>
      <w:spacing w:before="120" w:after="120" w:line="360" w:lineRule="auto"/>
    </w:pPr>
    <w:rPr>
      <w:rFonts w:ascii="Arial" w:hAnsi="Arial" w:eastAsia="宋体" w:cs="Times New Roman"/>
      <w:sz w:val="24"/>
      <w:szCs w:val="24"/>
    </w:rPr>
  </w:style>
  <w:style w:type="paragraph" w:styleId="749">
    <w:name w:val=" Char"/>
    <w:basedOn w:val="671"/>
    <w:next w:val="749"/>
    <w:link w:val="645"/>
    <w:rPr>
      <w:rFonts w:ascii="Tahoma" w:hAnsi="Tahoma"/>
      <w:sz w:val="24"/>
      <w:szCs w:val="24"/>
    </w:rPr>
  </w:style>
  <w:style w:type="paragraph" w:styleId="750">
    <w:name w:val="xl27"/>
    <w:basedOn w:val="645"/>
    <w:next w:val="750"/>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1">
    <w:name w:val="Char"/>
    <w:basedOn w:val="645"/>
    <w:next w:val="751"/>
    <w:link w:val="645"/>
    <w:pPr>
      <w:ind w:firstLine="200"/>
      <w:tabs>
        <w:tab w:val="left" w:pos="360" w:leader="none"/>
      </w:tabs>
    </w:pPr>
    <w:rPr>
      <w:rFonts w:ascii="Times New Roman" w:hAnsi="Times New Roman" w:eastAsia="宋体" w:cs="Times New Roman"/>
      <w:sz w:val="28"/>
      <w:szCs w:val="30"/>
    </w:rPr>
  </w:style>
  <w:style w:type="paragraph" w:styleId="752">
    <w:name w:val="Body Text(ch)"/>
    <w:basedOn w:val="645"/>
    <w:next w:val="677"/>
    <w:link w:val="645"/>
    <w:pPr>
      <w:spacing w:after="120"/>
    </w:pPr>
    <w:rPr>
      <w:rFonts w:ascii="宋体" w:hAnsi="Arial" w:eastAsia="宋体" w:cs="Times New Roman"/>
      <w:bCs/>
      <w:iCs/>
      <w:szCs w:val="24"/>
    </w:rPr>
  </w:style>
  <w:style w:type="paragraph" w:styleId="753">
    <w:name w:val="修订"/>
    <w:next w:val="753"/>
    <w:link w:val="645"/>
    <w:uiPriority w:val="99"/>
    <w:semiHidden/>
    <w:rPr>
      <w:sz w:val="21"/>
      <w:szCs w:val="21"/>
      <w:lang w:val="en-US" w:eastAsia="zh-CN" w:bidi="ar-SA"/>
    </w:rPr>
  </w:style>
  <w:style w:type="paragraph" w:styleId="754">
    <w:name w:val="xl29"/>
    <w:basedOn w:val="645"/>
    <w:next w:val="754"/>
    <w:link w:val="64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5">
    <w:name w:val="附录1"/>
    <w:next w:val="755"/>
    <w:link w:val="645"/>
    <w:pPr>
      <w:numPr>
        <w:ilvl w:val="0"/>
        <w:numId w:val="2"/>
      </w:numPr>
      <w:spacing w:before="240" w:line="600" w:lineRule="atLeast"/>
      <w:tabs>
        <w:tab w:val="left" w:pos="907" w:leader="none"/>
      </w:tabs>
    </w:pPr>
    <w:rPr>
      <w:b/>
      <w:i/>
      <w:sz w:val="28"/>
      <w:lang w:val="en-US" w:eastAsia="zh-CN" w:bidi="ar-SA"/>
    </w:rPr>
  </w:style>
  <w:style w:type="paragraph" w:styleId="756">
    <w:name w:val="标题1"/>
    <w:basedOn w:val="645"/>
    <w:next w:val="645"/>
    <w:link w:val="64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57">
    <w:name w:val="4"/>
    <w:basedOn w:val="645"/>
    <w:next w:val="702"/>
    <w:link w:val="645"/>
    <w:pPr>
      <w:ind w:firstLine="420"/>
      <w:spacing w:line="360" w:lineRule="auto"/>
    </w:pPr>
    <w:rPr>
      <w:rFonts w:ascii="Times New Roman" w:hAnsi="Times New Roman" w:eastAsia="宋体" w:cs="Times New Roman"/>
      <w:color w:val="ff0000"/>
      <w:sz w:val="24"/>
      <w:szCs w:val="24"/>
    </w:rPr>
  </w:style>
  <w:style w:type="paragraph" w:styleId="758">
    <w:name w:val="正文文本1"/>
    <w:basedOn w:val="645"/>
    <w:next w:val="645"/>
    <w:link w:val="645"/>
    <w:qFormat/>
    <w:rPr>
      <w:rFonts w:ascii="仿宋_GB2312" w:eastAsia="仿宋_GB2312"/>
      <w:sz w:val="24"/>
      <w:szCs w:val="20"/>
    </w:rPr>
  </w:style>
  <w:style w:type="paragraph" w:styleId="759">
    <w:name w:val="font5"/>
    <w:basedOn w:val="645"/>
    <w:next w:val="759"/>
    <w:link w:val="645"/>
    <w:pPr>
      <w:jc w:val="left"/>
      <w:spacing w:before="100" w:beforeAutospacing="1" w:after="100" w:afterAutospacing="1"/>
      <w:widowControl/>
    </w:pPr>
    <w:rPr>
      <w:rFonts w:hint="eastAsia" w:ascii="宋体" w:hAnsi="宋体" w:eastAsia="宋体" w:cs="Times New Roman"/>
      <w:sz w:val="28"/>
      <w:szCs w:val="28"/>
    </w:rPr>
  </w:style>
  <w:style w:type="paragraph" w:styleId="760">
    <w:name w:val="table_lines"/>
    <w:basedOn w:val="645"/>
    <w:next w:val="760"/>
    <w:link w:val="645"/>
    <w:pPr>
      <w:jc w:val="left"/>
      <w:widowControl/>
    </w:pPr>
    <w:rPr>
      <w:rFonts w:ascii="Times New Roman" w:hAnsi="Times New Roman" w:eastAsia="宋体" w:cs="Times New Roman"/>
      <w:sz w:val="20"/>
      <w:szCs w:val="20"/>
      <w:lang w:val="de-DE" w:eastAsia="de-DE"/>
    </w:rPr>
  </w:style>
  <w:style w:type="paragraph" w:styleId="761">
    <w:name w:val="标题3"/>
    <w:basedOn w:val="645"/>
    <w:next w:val="645"/>
    <w:link w:val="645"/>
    <w:pPr>
      <w:ind w:firstLine="624"/>
      <w:spacing w:line="590" w:lineRule="atLeast"/>
    </w:pPr>
    <w:rPr>
      <w:rFonts w:ascii="方正黑体_GBK" w:hAnsi="Times New Roman" w:eastAsia="方正黑体_GBK" w:cs="Times New Roman"/>
      <w:sz w:val="32"/>
      <w:szCs w:val="32"/>
    </w:rPr>
  </w:style>
  <w:style w:type="paragraph" w:styleId="762">
    <w:name w:val=" Char Char Char Char"/>
    <w:basedOn w:val="671"/>
    <w:next w:val="762"/>
    <w:link w:val="645"/>
    <w:pPr>
      <w:spacing w:line="360" w:lineRule="auto"/>
    </w:pPr>
    <w:rPr>
      <w:rFonts w:ascii="Tahoma" w:hAnsi="Tahoma"/>
      <w:sz w:val="24"/>
      <w:szCs w:val="24"/>
    </w:rPr>
  </w:style>
  <w:style w:type="paragraph" w:styleId="763">
    <w:name w:val=" Char Char Char Char Char Char Char Char"/>
    <w:basedOn w:val="645"/>
    <w:next w:val="763"/>
    <w:link w:val="645"/>
    <w:pPr>
      <w:jc w:val="left"/>
      <w:spacing w:after="160" w:line="240" w:lineRule="exact"/>
      <w:widowControl/>
    </w:pPr>
    <w:rPr>
      <w:rFonts w:ascii="Verdana" w:hAnsi="Verdana" w:eastAsia="宋体" w:cs="Times New Roman"/>
      <w:sz w:val="20"/>
      <w:szCs w:val="20"/>
      <w:lang w:eastAsia="en-US"/>
    </w:rPr>
  </w:style>
  <w:style w:type="paragraph" w:styleId="764">
    <w:name w:val="xl26"/>
    <w:basedOn w:val="645"/>
    <w:next w:val="764"/>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列表段落"/>
    <w:basedOn w:val="645"/>
    <w:next w:val="765"/>
    <w:link w:val="645"/>
    <w:qFormat/>
    <w:pPr>
      <w:contextualSpacing/>
      <w:ind w:left="720"/>
      <w:jc w:val="left"/>
      <w:widowControl/>
    </w:pPr>
    <w:rPr>
      <w:rFonts w:ascii="Calibri" w:hAnsi="Calibri" w:eastAsia="宋体" w:cs="Times New Roman"/>
      <w:sz w:val="24"/>
      <w:szCs w:val="24"/>
      <w:lang w:eastAsia="en-US" w:bidi="en-US"/>
    </w:rPr>
  </w:style>
  <w:style w:type="character" w:styleId="10540" w:default="1">
    <w:name w:val="Default Paragraph Font"/>
    <w:uiPriority w:val="1"/>
    <w:semiHidden/>
    <w:unhideWhenUsed/>
  </w:style>
  <w:style w:type="numbering" w:styleId="10541" w:default="1">
    <w:name w:val="No List"/>
    <w:uiPriority w:val="99"/>
    <w:semiHidden/>
    <w:unhideWhenUsed/>
  </w:style>
  <w:style w:type="table" w:styleId="105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7</cp:revision>
  <dcterms:created xsi:type="dcterms:W3CDTF">2023-03-16T02:13:00Z</dcterms:created>
  <dcterms:modified xsi:type="dcterms:W3CDTF">2024-08-26T06:17:17Z</dcterms:modified>
</cp:coreProperties>
</file>