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p>
    <w:p>
      <w:pPr>
        <w:ind w:left="660"/>
        <w:spacing w:line="360" w:lineRule="auto"/>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 锡 市 政 府 采 购</w:t>
      </w:r>
      <w:r/>
    </w:p>
    <w:p>
      <w:pPr>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jc w:val="center"/>
        <w:spacing w:line="360" w:lineRule="auto"/>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公   开</w:t>
      </w:r>
      <w:r/>
    </w:p>
    <w:p>
      <w:pPr>
        <w:jc w:val="center"/>
        <w:spacing w:line="360" w:lineRule="auto"/>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color w:val="000000"/>
          <w:spacing w:val="20"/>
          <w:sz w:val="52"/>
          <w:szCs w:val="52"/>
          <w:highlight w:val="none"/>
        </w:rPr>
        <w:t xml:space="preserve">招  标  文  件</w:t>
      </w:r>
      <w:r/>
    </w:p>
    <w:p>
      <w:pPr>
        <w:jc w:val="left"/>
        <w:spacing w:line="360" w:lineRule="auto"/>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ind w:firstLine="1575"/>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ind w:firstLine="900"/>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ind w:firstLine="900"/>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ind w:firstLine="9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lang w:eastAsia="zh-CN"/>
        </w:rPr>
        <w:t xml:space="preserve">JSZC-320200-PXGJ-G2024-0150</w:t>
      </w:r>
      <w:r/>
    </w:p>
    <w:p>
      <w:pPr>
        <w:ind w:left="2995" w:hanging="2100"/>
        <w:spacing w:line="360" w:lineRule="auto"/>
        <w:rPr>
          <w:rFonts w:hint="eastAsia" w:ascii="宋体" w:hAnsi="宋体" w:eastAsia="黑体"/>
          <w:b/>
          <w:color w:val="000000"/>
          <w:sz w:val="24"/>
          <w:highlight w:val="none"/>
          <w:u w:val="singl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无锡市公安局水上分局2025、2026年食堂食材采购</w:t>
      </w:r>
      <w:r/>
    </w:p>
    <w:p>
      <w:pPr>
        <w:ind w:firstLine="9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   购   人：</w:t>
      </w:r>
      <w:r>
        <w:rPr>
          <w:rFonts w:hint="eastAsia" w:ascii="黑体" w:hAnsi="华文中宋" w:eastAsia="黑体"/>
          <w:bCs/>
          <w:color w:val="000000"/>
          <w:sz w:val="30"/>
          <w:szCs w:val="30"/>
          <w:highlight w:val="none"/>
          <w:lang w:eastAsia="zh-CN"/>
        </w:rPr>
        <w:t xml:space="preserve">无锡市公安局</w:t>
      </w:r>
      <w:r/>
    </w:p>
    <w:p>
      <w:pPr>
        <w:ind w:firstLine="900"/>
        <w:spacing w:line="36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采购代理机构：普信国际工程咨询有限公司 </w:t>
      </w:r>
      <w:r/>
    </w:p>
    <w:p>
      <w:pPr>
        <w:jc w:val="center"/>
        <w:spacing w:line="360" w:lineRule="auto"/>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jc w:val="center"/>
        <w:spacing w:line="360" w:lineRule="auto"/>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rPr>
        <w:t xml:space="preserve">二〇二四年</w:t>
      </w:r>
      <w:r>
        <w:rPr>
          <w:rFonts w:hint="eastAsia" w:ascii="黑体" w:hAnsi="华文中宋" w:eastAsia="黑体"/>
          <w:bCs/>
          <w:color w:val="000000"/>
          <w:sz w:val="44"/>
          <w:szCs w:val="44"/>
          <w:highlight w:val="none"/>
          <w:lang w:val="en-US" w:eastAsia="zh-CN"/>
        </w:rPr>
        <w:t xml:space="preserve">十二</w:t>
      </w:r>
      <w:r>
        <w:rPr>
          <w:rFonts w:hint="eastAsia" w:ascii="黑体" w:hAnsi="华文中宋" w:eastAsia="黑体"/>
          <w:bCs/>
          <w:color w:val="000000"/>
          <w:sz w:val="44"/>
          <w:szCs w:val="44"/>
          <w:highlight w:val="none"/>
        </w:rPr>
        <w:t xml:space="preserve">月</w:t>
      </w:r>
      <w:r/>
    </w:p>
    <w:p>
      <w:pPr>
        <w:jc w:val="center"/>
        <w:spacing w:line="360" w:lineRule="auto"/>
        <w:rPr>
          <w:rStyle w:val="991"/>
          <w:rFonts w:hint="eastAsia" w:eastAsia="黑体"/>
          <w:bCs/>
          <w:color w:val="000000"/>
          <w:sz w:val="48"/>
          <w:highlight w:val="none"/>
        </w:rPr>
      </w:pPr>
      <w:r>
        <w:rPr>
          <w:rStyle w:val="991"/>
          <w:rFonts w:eastAsia="黑体"/>
          <w:bCs/>
          <w:color w:val="000000"/>
          <w:sz w:val="48"/>
          <w:highlight w:val="none"/>
        </w:rPr>
        <w:br w:type="page" w:clear="all"/>
      </w:r>
      <w:r>
        <w:rPr>
          <w:rStyle w:val="991"/>
          <w:rFonts w:hint="eastAsia" w:eastAsia="黑体"/>
          <w:bCs/>
          <w:color w:val="000000"/>
          <w:sz w:val="48"/>
          <w:highlight w:val="none"/>
        </w:rPr>
        <w:t xml:space="preserve">目   录</w:t>
      </w:r>
      <w:r/>
    </w:p>
    <w:p>
      <w:pPr>
        <w:jc w:val="center"/>
        <w:spacing w:line="360" w:lineRule="auto"/>
        <w:rPr>
          <w:rFonts w:hint="eastAsia" w:ascii="黑体" w:eastAsia="黑体"/>
          <w:bCs/>
          <w:color w:val="000000"/>
          <w:sz w:val="30"/>
          <w:highlight w:val="none"/>
        </w:rPr>
      </w:pPr>
      <w:r>
        <w:rPr>
          <w:rFonts w:hint="eastAsia" w:ascii="黑体" w:eastAsia="黑体"/>
          <w:bCs/>
          <w:color w:val="000000"/>
          <w:sz w:val="30"/>
          <w:highlight w:val="none"/>
        </w:rPr>
      </w:r>
      <w:r/>
    </w:p>
    <w:p>
      <w:pPr>
        <w:ind w:firstLine="63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一．投标</w:t>
      </w:r>
      <w:bookmarkStart w:id="0" w:name="_Hlt529243434"/>
      <w:r/>
      <w:bookmarkEnd w:id="0"/>
      <w:r>
        <w:rPr>
          <w:rFonts w:hint="eastAsia" w:ascii="宋体" w:hAnsi="宋体"/>
          <w:bCs/>
          <w:color w:val="000000"/>
          <w:sz w:val="30"/>
          <w:szCs w:val="30"/>
          <w:highlight w:val="none"/>
        </w:rPr>
        <w:t xml:space="preserve">邀请函</w:t>
      </w:r>
      <w:r/>
    </w:p>
    <w:p>
      <w:pPr>
        <w:ind w:firstLine="63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二．投标供应商须知</w:t>
      </w:r>
      <w:r/>
    </w:p>
    <w:p>
      <w:pPr>
        <w:ind w:firstLine="63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三．采购需求</w:t>
      </w:r>
      <w:r/>
    </w:p>
    <w:p>
      <w:pPr>
        <w:ind w:firstLine="63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四. 合同书格式</w:t>
      </w:r>
      <w:r/>
    </w:p>
    <w:p>
      <w:pPr>
        <w:ind w:firstLine="63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五．合同条款</w:t>
      </w:r>
      <w:r/>
    </w:p>
    <w:p>
      <w:pPr>
        <w:ind w:firstLine="630"/>
        <w:spacing w:line="360" w:lineRule="auto"/>
        <w:rPr>
          <w:rFonts w:hint="eastAsia" w:ascii="宋体" w:hAnsi="宋体"/>
          <w:bCs/>
          <w:color w:val="000000"/>
          <w:sz w:val="28"/>
          <w:szCs w:val="28"/>
          <w:highlight w:val="none"/>
        </w:rPr>
      </w:pPr>
      <w:r>
        <w:rPr>
          <w:rFonts w:hint="eastAsia" w:ascii="宋体" w:hAnsi="宋体"/>
          <w:bCs/>
          <w:color w:val="000000"/>
          <w:sz w:val="30"/>
          <w:szCs w:val="30"/>
          <w:highlight w:val="none"/>
        </w:rPr>
        <w:t xml:space="preserve">六．投标文件格式</w:t>
      </w:r>
      <w:r/>
    </w:p>
    <w:p>
      <w:pPr>
        <w:spacing w:line="360" w:lineRule="auto"/>
        <w:widowControl/>
        <w:rPr>
          <w:rFonts w:ascii="宋体" w:hAnsi="宋体"/>
          <w:b/>
          <w:color w:val="000000"/>
          <w:sz w:val="24"/>
          <w:highlight w:val="none"/>
        </w:rPr>
      </w:pPr>
      <w:r>
        <w:rPr>
          <w:rFonts w:ascii="宋体" w:hAnsi="宋体"/>
          <w:b/>
          <w:color w:val="000000"/>
          <w:sz w:val="24"/>
          <w:highlight w:val="none"/>
        </w:rPr>
      </w:r>
      <w:r/>
    </w:p>
    <w:p>
      <w:pPr>
        <w:spacing w:line="360" w:lineRule="auto"/>
        <w:widowControl/>
        <w:rPr>
          <w:rFonts w:ascii="宋体" w:hAnsi="宋体"/>
          <w:b/>
          <w:color w:val="000000"/>
          <w:sz w:val="24"/>
          <w:highlight w:val="none"/>
        </w:rPr>
      </w:pPr>
      <w:r>
        <w:rPr>
          <w:rFonts w:ascii="宋体" w:hAnsi="宋体"/>
          <w:b/>
          <w:color w:val="000000"/>
          <w:sz w:val="24"/>
          <w:highlight w:val="none"/>
        </w:rPr>
      </w:r>
      <w:r/>
    </w:p>
    <w:p>
      <w:pPr>
        <w:spacing w:line="360" w:lineRule="auto"/>
        <w:widowControl/>
        <w:rPr>
          <w:rFonts w:ascii="宋体" w:hAnsi="宋体"/>
          <w:b/>
          <w:color w:val="000000"/>
          <w:sz w:val="24"/>
          <w:highlight w:val="none"/>
        </w:rPr>
      </w:pPr>
      <w:r>
        <w:rPr>
          <w:rFonts w:ascii="宋体" w:hAnsi="宋体"/>
          <w:b/>
          <w:color w:val="000000"/>
          <w:sz w:val="24"/>
          <w:highlight w:val="none"/>
        </w:rPr>
      </w:r>
      <w:r/>
    </w:p>
    <w:p>
      <w:pPr>
        <w:spacing w:line="360" w:lineRule="auto"/>
        <w:widowControl/>
        <w:rPr>
          <w:rFonts w:ascii="宋体" w:hAnsi="宋体"/>
          <w:b/>
          <w:color w:val="000000"/>
          <w:sz w:val="24"/>
          <w:highlight w:val="none"/>
        </w:rPr>
      </w:pPr>
      <w:r>
        <w:rPr>
          <w:rFonts w:ascii="宋体" w:hAnsi="宋体"/>
          <w:b/>
          <w:color w:val="000000"/>
          <w:sz w:val="24"/>
          <w:highlight w:val="none"/>
        </w:rPr>
      </w:r>
      <w:r/>
    </w:p>
    <w:p>
      <w:pPr>
        <w:spacing w:line="360" w:lineRule="auto"/>
        <w:widowControl/>
        <w:rPr>
          <w:rFonts w:ascii="宋体" w:hAnsi="宋体"/>
          <w:b/>
          <w:color w:val="000000"/>
          <w:sz w:val="24"/>
          <w:highlight w:val="none"/>
        </w:rPr>
      </w:pPr>
      <w:r>
        <w:rPr>
          <w:rFonts w:ascii="宋体" w:hAnsi="宋体"/>
          <w:b/>
          <w:color w:val="000000"/>
          <w:sz w:val="24"/>
          <w:highlight w:val="none"/>
        </w:rPr>
      </w:r>
      <w:r/>
    </w:p>
    <w:p>
      <w:pPr>
        <w:spacing w:before="470" w:line="360" w:lineRule="auto"/>
        <w:widowControl/>
        <w:rPr>
          <w:rFonts w:ascii="宋体" w:hAnsi="宋体"/>
          <w:b/>
          <w:color w:val="000000"/>
          <w:sz w:val="24"/>
          <w:highlight w:val="none"/>
        </w:rPr>
      </w:pPr>
      <w:r>
        <w:rPr>
          <w:rFonts w:ascii="宋体" w:hAnsi="宋体"/>
          <w:b/>
          <w:color w:val="000000"/>
          <w:sz w:val="24"/>
          <w:highlight w:val="none"/>
        </w:rPr>
      </w:r>
      <w:r/>
    </w:p>
    <w:p>
      <w:pPr>
        <w:jc w:val="center"/>
        <w:spacing w:line="360" w:lineRule="auto"/>
        <w:rPr>
          <w:rFonts w:hint="eastAsia" w:ascii="黑体" w:eastAsia="黑体"/>
          <w:b/>
          <w:bCs/>
          <w:color w:val="000000"/>
          <w:sz w:val="32"/>
          <w:szCs w:val="32"/>
          <w:highlight w:val="none"/>
        </w:rPr>
      </w:pPr>
      <w:r>
        <w:rPr>
          <w:rFonts w:ascii="宋体" w:hAnsi="宋体"/>
          <w:b/>
          <w:color w:val="000000"/>
          <w:sz w:val="24"/>
          <w:highlight w:val="none"/>
        </w:rPr>
        <w:br w:type="page" w:clear="all"/>
      </w:r>
      <w:r>
        <w:rPr>
          <w:rFonts w:hint="eastAsia" w:ascii="黑体" w:eastAsia="黑体"/>
          <w:b/>
          <w:bCs/>
          <w:color w:val="000000"/>
          <w:sz w:val="32"/>
          <w:szCs w:val="32"/>
          <w:highlight w:val="none"/>
        </w:rPr>
        <w:t xml:space="preserve">一．投标邀请函</w:t>
      </w:r>
      <w:r/>
    </w:p>
    <w:p>
      <w:pPr>
        <w:ind w:firstLine="42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普信国际工程咨询有限公司受</w:t>
      </w:r>
      <w:r>
        <w:rPr>
          <w:rFonts w:hint="eastAsia" w:ascii="宋体" w:hAnsi="宋体"/>
          <w:bCs/>
          <w:color w:val="000000"/>
          <w:sz w:val="24"/>
          <w:highlight w:val="none"/>
          <w:lang w:eastAsia="zh-CN"/>
        </w:rPr>
        <w:t xml:space="preserve">无锡市公安局</w:t>
      </w:r>
      <w:r>
        <w:rPr>
          <w:rFonts w:hint="eastAsia" w:ascii="宋体" w:hAnsi="宋体"/>
          <w:bCs/>
          <w:color w:val="000000"/>
          <w:sz w:val="24"/>
          <w:highlight w:val="none"/>
        </w:rPr>
        <w:t xml:space="preserve">的委托，就其</w:t>
      </w:r>
      <w:r>
        <w:rPr>
          <w:rFonts w:hint="eastAsia" w:ascii="宋体" w:hAnsi="宋体"/>
          <w:bCs/>
          <w:color w:val="000000"/>
          <w:sz w:val="24"/>
          <w:highlight w:val="none"/>
          <w:lang w:eastAsia="zh-CN"/>
        </w:rPr>
        <w:t xml:space="preserve">无锡市公安局水上分局2025、2026年食堂食材采购</w:t>
      </w:r>
      <w:r>
        <w:rPr>
          <w:rFonts w:hint="eastAsia" w:ascii="宋体" w:hAnsi="宋体"/>
          <w:bCs/>
          <w:color w:val="000000"/>
          <w:sz w:val="24"/>
          <w:highlight w:val="none"/>
        </w:rPr>
        <w:t xml:space="preserve">进行公开招标，欢迎你单位参加投标并提请注意下列附表中的相关事项：</w:t>
      </w:r>
      <w:r/>
    </w:p>
    <w:tbl>
      <w:tblPr>
        <w:tblStyle w:val="721"/>
        <w:tblW w:w="976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30"/>
      </w:tblGrid>
      <w:tr>
        <w:trPr>
          <w:trHeight w:val="70"/>
        </w:trPr>
        <w:tc>
          <w:tcPr>
            <w:tcW w:w="735" w:type="dxa"/>
            <w:vAlign w:val="top"/>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序号</w:t>
            </w:r>
            <w:r/>
          </w:p>
        </w:tc>
        <w:tc>
          <w:tcPr>
            <w:tcW w:w="9030" w:type="dxa"/>
            <w:vAlign w:val="top"/>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w:t>
            </w:r>
            <w:r/>
          </w:p>
        </w:tc>
        <w:tc>
          <w:tcPr>
            <w:tcW w:w="9030" w:type="dxa"/>
            <w:vAlign w:val="top"/>
            <w:textDirection w:val="lrTb"/>
            <w:noWrap w:val="false"/>
          </w:tcPr>
          <w:p>
            <w:pPr>
              <w:ind w:left="1680" w:hanging="16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采购项目名称：</w:t>
            </w:r>
            <w:r>
              <w:rPr>
                <w:rFonts w:hint="eastAsia" w:ascii="宋体" w:hAnsi="宋体"/>
                <w:bCs/>
                <w:color w:val="000000"/>
                <w:sz w:val="24"/>
                <w:highlight w:val="none"/>
                <w:lang w:eastAsia="zh-CN"/>
              </w:rPr>
              <w:t xml:space="preserve">无锡市公安局水上分局2025、2026年食堂食材采购</w:t>
            </w:r>
            <w:r/>
          </w:p>
          <w:p>
            <w:pPr>
              <w:ind w:left="1680" w:hanging="16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采购项目编号：</w:t>
            </w:r>
            <w:r>
              <w:rPr>
                <w:rFonts w:hint="eastAsia" w:ascii="宋体" w:hAnsi="宋体"/>
                <w:bCs/>
                <w:color w:val="000000"/>
                <w:sz w:val="24"/>
                <w:highlight w:val="none"/>
                <w:lang w:eastAsia="zh-CN"/>
              </w:rPr>
              <w:t xml:space="preserve">JSZC-320200-PXGJ-G2024-0150</w:t>
            </w:r>
            <w:r>
              <w:rPr>
                <w:rFonts w:hint="eastAsia" w:ascii="宋体" w:hAnsi="宋体"/>
                <w:bCs/>
                <w:color w:val="000000"/>
                <w:sz w:val="24"/>
                <w:highlight w:val="none"/>
              </w:rPr>
              <w:t xml:space="preserve"> </w:t>
            </w:r>
            <w:r/>
          </w:p>
          <w:p>
            <w:pPr>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采 购 人：</w:t>
            </w:r>
            <w:r>
              <w:rPr>
                <w:rFonts w:hint="eastAsia" w:ascii="宋体" w:hAnsi="宋体"/>
                <w:bCs/>
                <w:color w:val="000000"/>
                <w:sz w:val="24"/>
                <w:highlight w:val="none"/>
                <w:lang w:eastAsia="zh-CN"/>
              </w:rPr>
              <w:t xml:space="preserve">无锡市公安局</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采购方式：公开招标</w:t>
            </w:r>
            <w:r/>
          </w:p>
        </w:tc>
      </w:tr>
      <w:tr>
        <w:trPr>
          <w:trHeight w:val="90"/>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w:t>
            </w:r>
            <w:r/>
          </w:p>
        </w:tc>
        <w:tc>
          <w:tcPr>
            <w:tcW w:w="9030" w:type="dxa"/>
            <w:vAlign w:val="top"/>
            <w:textDirection w:val="lrTb"/>
            <w:noWrap w:val="false"/>
          </w:tcPr>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采购代理机构：普信国际工程咨询有限公司</w:t>
            </w:r>
            <w:r/>
          </w:p>
          <w:p>
            <w:pPr>
              <w:spacing w:line="360" w:lineRule="auto"/>
              <w:rPr>
                <w:rFonts w:ascii="宋体" w:hAnsi="宋体"/>
                <w:bCs/>
                <w:color w:val="000000"/>
                <w:sz w:val="24"/>
                <w:highlight w:val="none"/>
              </w:rPr>
            </w:pPr>
            <w:r>
              <w:rPr>
                <w:rFonts w:hint="eastAsia" w:ascii="宋体" w:hAnsi="宋体"/>
                <w:bCs/>
                <w:color w:val="000000"/>
                <w:sz w:val="24"/>
                <w:highlight w:val="none"/>
              </w:rPr>
              <w:t xml:space="preserve">地        址：无锡市蠡湖大道2018号普信COPO 2号楼312</w:t>
            </w:r>
            <w:r/>
          </w:p>
        </w:tc>
      </w:tr>
      <w:tr>
        <w:trPr>
          <w:trHeight w:val="70"/>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w:t>
            </w:r>
            <w:r/>
          </w:p>
        </w:tc>
        <w:tc>
          <w:tcPr>
            <w:tcW w:w="9030" w:type="dxa"/>
            <w:vAlign w:val="top"/>
            <w:textDirection w:val="lrTb"/>
            <w:noWrap w:val="false"/>
          </w:tcPr>
          <w:p>
            <w:pPr>
              <w:pStyle w:val="1171"/>
              <w:spacing w:line="360" w:lineRule="auto"/>
              <w:rPr>
                <w:rFonts w:hint="eastAsia" w:hAnsi="宋体" w:eastAsia="宋体" w:cs="宋体"/>
                <w:color w:val="000000"/>
                <w:szCs w:val="24"/>
                <w:highlight w:val="none"/>
              </w:rPr>
            </w:pPr>
            <w:r>
              <w:rPr>
                <w:rFonts w:hint="eastAsia"/>
                <w:color w:val="000000"/>
                <w:highlight w:val="none"/>
              </w:rPr>
              <w:t xml:space="preserve">采购项目概况、要求：</w:t>
            </w:r>
            <w:r>
              <w:rPr>
                <w:rFonts w:hint="eastAsia" w:hAnsi="宋体" w:eastAsia="宋体" w:cs="宋体"/>
                <w:color w:val="000000"/>
                <w:szCs w:val="24"/>
                <w:highlight w:val="none"/>
              </w:rPr>
              <w:t xml:space="preserve"> </w:t>
            </w:r>
            <w:r/>
          </w:p>
          <w:p>
            <w:pPr>
              <w:pStyle w:val="1171"/>
              <w:spacing w:line="360" w:lineRule="auto"/>
              <w:rPr>
                <w:rFonts w:hint="eastAsia"/>
                <w:color w:val="000000"/>
                <w:highlight w:val="none"/>
              </w:rPr>
            </w:pPr>
            <w:r>
              <w:rPr>
                <w:rFonts w:hint="eastAsia" w:hAnsi="宋体" w:eastAsia="宋体" w:cs="宋体"/>
                <w:color w:val="000000"/>
                <w:szCs w:val="24"/>
                <w:highlight w:val="none"/>
              </w:rPr>
              <w:t xml:space="preserve">（1）项目概况：</w:t>
            </w:r>
            <w:r>
              <w:rPr>
                <w:rFonts w:hint="eastAsia" w:hAnsi="宋体" w:eastAsia="宋体" w:cs="宋体"/>
                <w:color w:val="000000"/>
                <w:szCs w:val="24"/>
                <w:highlight w:val="none"/>
              </w:rPr>
              <w:t xml:space="preserve">无</w:t>
            </w:r>
            <w:r>
              <w:rPr>
                <w:rFonts w:hint="eastAsia" w:ascii="宋体" w:hAnsi="宋体"/>
                <w:bCs/>
                <w:color w:val="000000"/>
                <w:sz w:val="24"/>
                <w:highlight w:val="none"/>
                <w:lang w:eastAsia="zh-CN"/>
              </w:rPr>
              <w:t xml:space="preserve">锡市公安局水上分局2025、2026年食堂食材采购</w:t>
            </w:r>
            <w:r>
              <w:rPr>
                <w:rFonts w:hint="eastAsia" w:hAnsi="宋体" w:cs="宋体"/>
                <w:color w:val="000000"/>
                <w:sz w:val="21"/>
                <w:szCs w:val="21"/>
                <w:highlight w:val="none"/>
                <w:shd w:val="clear" w:color="auto" w:fill="ffffff"/>
              </w:rPr>
              <w:t xml:space="preserve">。</w:t>
            </w:r>
            <w:r/>
          </w:p>
          <w:p>
            <w:pPr>
              <w:pStyle w:val="1171"/>
              <w:spacing w:line="360" w:lineRule="auto"/>
              <w:rPr>
                <w:rFonts w:hint="eastAsia"/>
                <w:color w:val="000000"/>
                <w:highlight w:val="none"/>
              </w:rPr>
            </w:pPr>
            <w:r>
              <w:rPr>
                <w:rFonts w:hint="eastAsia"/>
                <w:color w:val="000000"/>
                <w:highlight w:val="none"/>
              </w:rPr>
              <w:t xml:space="preserve">（2）供货期：</w:t>
            </w:r>
            <w:r>
              <w:rPr>
                <w:rFonts w:hint="eastAsia" w:ascii="Times New Roman" w:hAnsi="Times New Roman" w:eastAsia="宋体" w:cs="Times New Roman"/>
                <w:szCs w:val="24"/>
              </w:rPr>
              <w:t xml:space="preserve">合同签订生效后采购方通知供货日期起2年。具体供货日期以采购方通知为准。</w:t>
            </w:r>
            <w:r/>
          </w:p>
          <w:p>
            <w:pPr>
              <w:pStyle w:val="1171"/>
              <w:spacing w:line="360" w:lineRule="auto"/>
              <w:rPr>
                <w:rFonts w:hint="eastAsia"/>
                <w:color w:val="000000"/>
                <w:highlight w:val="none"/>
              </w:rPr>
            </w:pPr>
            <w:r>
              <w:rPr>
                <w:rFonts w:hint="eastAsia"/>
                <w:color w:val="000000"/>
                <w:highlight w:val="none"/>
              </w:rPr>
              <w:t xml:space="preserve">（3）质量要求：本项目需执行的国家相关标准、行业标准、地方标准或者其他标准、规范，《中华人民共和国食品安全法</w:t>
            </w:r>
            <w:r>
              <w:rPr>
                <w:rFonts w:hint="eastAsia"/>
                <w:color w:val="000000"/>
                <w:highlight w:val="none"/>
                <w:lang w:eastAsia="zh-CN"/>
              </w:rPr>
              <w:t xml:space="preserve">》《</w:t>
            </w:r>
            <w:r>
              <w:rPr>
                <w:rFonts w:hint="eastAsia"/>
                <w:color w:val="000000"/>
                <w:highlight w:val="none"/>
              </w:rPr>
              <w:t xml:space="preserve">食品生产通用卫生规范</w:t>
            </w:r>
            <w:r>
              <w:rPr>
                <w:rFonts w:hint="eastAsia"/>
                <w:color w:val="000000"/>
                <w:highlight w:val="none"/>
                <w:lang w:eastAsia="zh-CN"/>
              </w:rPr>
              <w:t xml:space="preserve">》《</w:t>
            </w:r>
            <w:r>
              <w:rPr>
                <w:rFonts w:hint="eastAsia"/>
                <w:color w:val="000000"/>
                <w:highlight w:val="none"/>
              </w:rPr>
              <w:t xml:space="preserve">餐饮服务食品安全操作规范</w:t>
            </w:r>
            <w:r>
              <w:rPr>
                <w:rFonts w:hint="eastAsia"/>
                <w:color w:val="000000"/>
                <w:highlight w:val="none"/>
                <w:lang w:eastAsia="zh-CN"/>
              </w:rPr>
              <w:t xml:space="preserve">》《</w:t>
            </w:r>
            <w:r>
              <w:rPr>
                <w:rFonts w:hint="eastAsia"/>
                <w:color w:val="000000"/>
                <w:highlight w:val="none"/>
              </w:rPr>
              <w:t xml:space="preserve">餐饮业和集体用餐配送单位卫生规范</w:t>
            </w:r>
            <w:r>
              <w:rPr>
                <w:rFonts w:hint="eastAsia"/>
                <w:color w:val="000000"/>
                <w:highlight w:val="none"/>
                <w:lang w:eastAsia="zh-CN"/>
              </w:rPr>
              <w:t xml:space="preserve">》《</w:t>
            </w:r>
            <w:r>
              <w:rPr>
                <w:rFonts w:hint="eastAsia"/>
                <w:color w:val="000000"/>
                <w:highlight w:val="none"/>
              </w:rPr>
              <w:t xml:space="preserve">国家食品卫生标准》和《动物检疫法》等其他法律法规以及江苏省和无锡市行业主管部门颁布的相关文件规定，如</w:t>
            </w:r>
            <w:r>
              <w:rPr>
                <w:rFonts w:hint="eastAsia"/>
                <w:color w:val="000000"/>
                <w:highlight w:val="none"/>
                <w:lang w:eastAsia="zh-CN"/>
              </w:rPr>
              <w:t xml:space="preserve">地方性法规</w:t>
            </w:r>
            <w:r>
              <w:rPr>
                <w:rFonts w:hint="eastAsia"/>
                <w:color w:val="000000"/>
                <w:highlight w:val="none"/>
              </w:rPr>
              <w:t xml:space="preserve">与国家法规相抵触，按国家法规执行。</w:t>
            </w:r>
            <w:r/>
          </w:p>
          <w:p>
            <w:pPr>
              <w:pStyle w:val="1171"/>
              <w:spacing w:line="360" w:lineRule="auto"/>
              <w:rPr>
                <w:rFonts w:hint="eastAsia"/>
                <w:color w:val="000000"/>
                <w:highlight w:val="none"/>
              </w:rPr>
            </w:pPr>
            <w:r>
              <w:rPr>
                <w:rFonts w:hint="eastAsia"/>
                <w:color w:val="000000"/>
                <w:highlight w:val="none"/>
              </w:rPr>
              <w:t xml:space="preserve">（4）</w:t>
            </w:r>
            <w:r>
              <w:rPr>
                <w:rFonts w:hint="eastAsia" w:ascii="Times New Roman" w:hAnsi="Times New Roman" w:eastAsia="宋体" w:cs="Times New Roman"/>
                <w:szCs w:val="24"/>
              </w:rPr>
              <w:t xml:space="preserve">配送地址为：无锡市公安局市局水上分局（无锡市梁溪区运河东路118号）、黄埠墩派出所（无锡市梁溪区蓉湖新村16-1）、南门派出所（无锡市梁溪区运河西路2058号）和太湖派出所（无锡市滨湖区鼋头渚中犊山桥堍）。因工作需要送货地址可能有变化或增加。</w:t>
            </w:r>
            <w:r/>
          </w:p>
          <w:p>
            <w:pPr>
              <w:pStyle w:val="1171"/>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）预算价：</w:t>
            </w:r>
            <w:r>
              <w:rPr>
                <w:rFonts w:hint="eastAsia"/>
                <w:color w:val="000000"/>
                <w:highlight w:val="none"/>
                <w:lang w:val="en-US" w:eastAsia="zh-CN"/>
              </w:rPr>
              <w:t xml:space="preserve">288</w:t>
            </w:r>
            <w:r>
              <w:rPr>
                <w:rFonts w:hint="eastAsia"/>
                <w:color w:val="000000"/>
                <w:highlight w:val="none"/>
              </w:rPr>
              <w:t xml:space="preserve">万元</w:t>
            </w:r>
            <w:r/>
          </w:p>
          <w:p>
            <w:pPr>
              <w:pStyle w:val="1171"/>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6</w:t>
            </w:r>
            <w:r>
              <w:rPr>
                <w:rFonts w:hint="eastAsia"/>
                <w:color w:val="000000"/>
                <w:highlight w:val="none"/>
              </w:rPr>
              <w:t xml:space="preserve">）最高限价：</w:t>
            </w:r>
            <w:r>
              <w:rPr>
                <w:rFonts w:hint="eastAsia"/>
                <w:color w:val="000000"/>
                <w:highlight w:val="none"/>
                <w:lang w:val="en-US" w:eastAsia="zh-CN"/>
              </w:rPr>
              <w:t xml:space="preserve">288</w:t>
            </w:r>
            <w:r>
              <w:rPr>
                <w:rFonts w:hint="eastAsia"/>
                <w:color w:val="000000"/>
                <w:highlight w:val="none"/>
              </w:rPr>
              <w:t xml:space="preserve">万元</w:t>
            </w:r>
            <w:r>
              <w:rPr>
                <w:rFonts w:hint="eastAsia"/>
                <w:color w:val="000000"/>
                <w:highlight w:val="none"/>
                <w:lang w:eastAsia="zh-CN"/>
              </w:rPr>
              <w:t xml:space="preserve">（</w:t>
            </w:r>
            <w:r>
              <w:rPr>
                <w:rFonts w:ascii="宋体" w:hAnsi="宋体" w:cs="宋体"/>
                <w:color w:val="000000"/>
              </w:rPr>
              <w:t xml:space="preserve">报价折扣率≤100%</w:t>
            </w:r>
            <w:r>
              <w:rPr>
                <w:rFonts w:hint="eastAsia"/>
                <w:color w:val="000000"/>
                <w:highlight w:val="none"/>
                <w:lang w:eastAsia="zh-CN"/>
              </w:rPr>
              <w:t xml:space="preserve">）</w:t>
            </w:r>
            <w:r>
              <w:rPr>
                <w:rFonts w:hint="eastAsia"/>
                <w:color w:val="000000"/>
                <w:highlight w:val="none"/>
              </w:rPr>
              <w:t xml:space="preserve">；投标报价高于最高限价的作为无效投标处理。</w:t>
            </w:r>
            <w:r/>
          </w:p>
          <w:p>
            <w:pPr>
              <w:pStyle w:val="1171"/>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7</w:t>
            </w:r>
            <w:r>
              <w:rPr>
                <w:rFonts w:hint="eastAsia"/>
                <w:color w:val="000000"/>
                <w:highlight w:val="none"/>
              </w:rPr>
              <w:t xml:space="preserve">）本项目标的所属行业：</w:t>
            </w:r>
            <w:r>
              <w:rPr>
                <w:rFonts w:hint="eastAsia" w:ascii="宋体" w:hAnsi="宋体" w:cs="宋体"/>
                <w:b w:val="0"/>
                <w:bCs w:val="0"/>
                <w:color w:val="auto"/>
                <w:sz w:val="24"/>
                <w:highlight w:val="none"/>
              </w:rPr>
              <w:t xml:space="preserve">农、林、牧、渔业</w:t>
            </w:r>
            <w:r>
              <w:rPr>
                <w:rFonts w:hint="eastAsia"/>
                <w:color w:val="000000"/>
                <w:highlight w:val="none"/>
              </w:rPr>
              <w:t xml:space="preserve">。</w:t>
            </w:r>
            <w:r/>
          </w:p>
          <w:p>
            <w:pPr>
              <w:pStyle w:val="1171"/>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8</w:t>
            </w:r>
            <w:r>
              <w:rPr>
                <w:rFonts w:hint="eastAsia"/>
                <w:color w:val="000000"/>
                <w:highlight w:val="none"/>
              </w:rPr>
              <w:t xml:space="preserve">）本项目专门面向中小企业的采购项目。</w:t>
            </w:r>
            <w:r/>
          </w:p>
          <w:p>
            <w:pPr>
              <w:pStyle w:val="1171"/>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9</w:t>
            </w:r>
            <w:r>
              <w:rPr>
                <w:rFonts w:hint="eastAsia"/>
                <w:color w:val="000000"/>
                <w:highlight w:val="none"/>
              </w:rPr>
              <w:t xml:space="preserve">）服务地点：</w:t>
            </w:r>
            <w:r>
              <w:rPr>
                <w:rFonts w:hint="eastAsia" w:hAnsi="宋体" w:cs="宋体"/>
                <w:color w:val="000000"/>
                <w:szCs w:val="24"/>
                <w:highlight w:val="none"/>
              </w:rPr>
              <w:t xml:space="preserve">无锡市。</w:t>
            </w:r>
            <w:r/>
          </w:p>
        </w:tc>
      </w:tr>
      <w:tr>
        <w:trPr>
          <w:trHeight w:val="416"/>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w:t>
            </w:r>
            <w:r/>
          </w:p>
        </w:tc>
        <w:tc>
          <w:tcPr>
            <w:tcW w:w="9030" w:type="dxa"/>
            <w:vAlign w:val="top"/>
            <w:textDirection w:val="lrTb"/>
            <w:noWrap w:val="false"/>
          </w:tcPr>
          <w:p>
            <w:pPr>
              <w:ind w:left="-27" w:firstLine="26"/>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投标供应商条件：</w:t>
            </w:r>
            <w:r/>
          </w:p>
          <w:p>
            <w:pPr>
              <w:spacing w:line="360" w:lineRule="auto"/>
              <w:rPr>
                <w:rFonts w:hint="eastAsia"/>
                <w:color w:val="000000"/>
                <w:sz w:val="24"/>
                <w:highlight w:val="none"/>
              </w:rPr>
            </w:pPr>
            <w:r>
              <w:rPr>
                <w:rFonts w:hint="eastAsia" w:ascii="宋体" w:hAnsi="宋体"/>
                <w:color w:val="000000"/>
                <w:sz w:val="24"/>
                <w:highlight w:val="none"/>
              </w:rPr>
              <w:t xml:space="preserve">投标供应商参加本次政府采购活动除应当符合《中华人民共和国政府采购法》第二十二条的规</w:t>
            </w:r>
            <w:r>
              <w:rPr>
                <w:rFonts w:hint="eastAsia"/>
                <w:color w:val="000000"/>
                <w:sz w:val="24"/>
                <w:highlight w:val="none"/>
              </w:rPr>
              <w:t xml:space="preserve">定外，还必须具备以下条件：</w:t>
            </w:r>
            <w:r/>
          </w:p>
          <w:p>
            <w:pPr>
              <w:numPr>
                <w:ilvl w:val="0"/>
                <w:numId w:val="7"/>
              </w:numPr>
              <w:ind w:left="-26" w:firstLine="26"/>
              <w:spacing w:line="360" w:lineRule="auto"/>
              <w:rPr>
                <w:rFonts w:hint="eastAsia" w:hAnsi="宋体" w:cs="Arial"/>
                <w:color w:val="000000"/>
                <w:sz w:val="24"/>
                <w:highlight w:val="none"/>
              </w:rPr>
            </w:pPr>
            <w:r>
              <w:rPr>
                <w:rFonts w:hint="eastAsia" w:ascii="宋体" w:hAnsi="宋体"/>
                <w:color w:val="000000"/>
                <w:sz w:val="24"/>
                <w:highlight w:val="none"/>
              </w:rPr>
              <w:t xml:space="preserve">中华人民共和国境内注册的企业法人，具有独立签订合同的权利和良好履行合同的能力</w:t>
            </w:r>
            <w:r>
              <w:rPr>
                <w:rFonts w:hint="eastAsia" w:hAnsi="宋体" w:cs="Arial"/>
                <w:color w:val="000000"/>
                <w:sz w:val="24"/>
                <w:highlight w:val="none"/>
              </w:rPr>
              <w:t xml:space="preserve">，企业财务状况良好。</w:t>
            </w:r>
            <w:r/>
          </w:p>
          <w:p>
            <w:pPr>
              <w:numPr>
                <w:ilvl w:val="0"/>
                <w:numId w:val="7"/>
              </w:numPr>
              <w:ind w:left="-26" w:firstLine="26"/>
              <w:spacing w:line="360" w:lineRule="auto"/>
              <w:rPr>
                <w:rFonts w:hint="eastAsia" w:hAnsi="宋体" w:cs="Arial"/>
                <w:color w:val="000000"/>
                <w:sz w:val="24"/>
                <w:highlight w:val="none"/>
                <w:lang w:val="en-US" w:eastAsia="zh-CN"/>
              </w:rPr>
            </w:pPr>
            <w:r>
              <w:rPr>
                <w:rFonts w:hint="eastAsia" w:hAnsi="宋体" w:cs="Arial"/>
                <w:color w:val="000000"/>
                <w:sz w:val="24"/>
                <w:highlight w:val="none"/>
              </w:rPr>
              <w:t xml:space="preserve">本项目不接受联合体投标。</w:t>
            </w:r>
            <w:r/>
          </w:p>
        </w:tc>
      </w:tr>
      <w:tr>
        <w:trPr>
          <w:trHeight w:val="70"/>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w:t>
            </w:r>
            <w:r/>
          </w:p>
        </w:tc>
        <w:tc>
          <w:tcPr>
            <w:tcW w:w="9030" w:type="dxa"/>
            <w:vAlign w:val="top"/>
            <w:textDirection w:val="lrTb"/>
            <w:noWrap w:val="false"/>
          </w:tcPr>
          <w:p>
            <w:pPr>
              <w:jc w:val="left"/>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1.采购文件获取时间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自本公告发布之日起五个工作日</w:t>
            </w:r>
            <w:r>
              <w:rPr>
                <w:rFonts w:hint="eastAsia" w:ascii="宋体" w:hAnsi="宋体" w:eastAsia="宋体" w:cs="Times New Roman"/>
                <w:color w:val="000000"/>
                <w:sz w:val="24"/>
                <w:highlight w:val="none"/>
                <w:lang w:val="en-US" w:eastAsia="zh-CN"/>
              </w:rPr>
              <w:t xml:space="preserve">内</w:t>
            </w:r>
            <w:r>
              <w:rPr>
                <w:rFonts w:hint="eastAsia" w:ascii="宋体" w:hAnsi="宋体" w:eastAsia="宋体" w:cs="Times New Roman"/>
                <w:color w:val="000000"/>
                <w:sz w:val="24"/>
                <w:highlight w:val="none"/>
              </w:rPr>
              <w:t xml:space="preserve">（法定假日除外）。</w:t>
            </w:r>
            <w:r>
              <w:rPr>
                <w:rFonts w:hint="eastAsia" w:ascii="宋体" w:hAnsi="宋体" w:eastAsia="宋体" w:cs="Times New Roman"/>
                <w:color w:val="000000"/>
                <w:sz w:val="24"/>
                <w:highlight w:val="none"/>
                <w:lang w:val="en-US" w:eastAsia="zh-CN"/>
              </w:rPr>
              <w:t xml:space="preserve">五</w:t>
            </w:r>
            <w:r>
              <w:rPr>
                <w:rFonts w:hint="eastAsia" w:ascii="宋体" w:hAnsi="宋体" w:eastAsia="宋体" w:cs="Times New Roman"/>
                <w:color w:val="000000"/>
                <w:sz w:val="24"/>
                <w:highlight w:val="none"/>
              </w:rPr>
              <w:t xml:space="preserve">个工作日后仍可下载招标文件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但不作为供应商权益受到损害的证明材料和依据。</w:t>
            </w:r>
            <w:r/>
          </w:p>
          <w:p>
            <w:pPr>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2.获取采购文件的方式和地点</w:t>
            </w:r>
            <w:r>
              <w:rPr>
                <w:rFonts w:hint="eastAsia" w:ascii="宋体" w:hAnsi="宋体" w:eastAsia="宋体" w:cs="Times New Roman"/>
                <w:color w:val="000000"/>
                <w:sz w:val="24"/>
                <w:highlight w:val="none"/>
                <w:lang w:eastAsia="zh-CN"/>
              </w:rPr>
              <w:t xml:space="preserve">：本项目采用网上注册登记方式，网上注册登记成功后系统内免费下载</w:t>
            </w:r>
            <w:r>
              <w:rPr>
                <w:rFonts w:hint="eastAsia" w:ascii="宋体" w:hAnsi="宋体" w:eastAsia="宋体" w:cs="Times New Roman"/>
                <w:color w:val="000000"/>
                <w:sz w:val="24"/>
                <w:highlight w:val="none"/>
              </w:rPr>
              <w:t xml:space="preserve">。</w:t>
            </w:r>
            <w:r/>
          </w:p>
          <w:p>
            <w:pPr>
              <w:ind w:left="-59"/>
              <w:spacing w:line="360" w:lineRule="auto"/>
              <w:rPr>
                <w:rFonts w:hint="eastAsia" w:ascii="宋体" w:hAnsi="宋体"/>
                <w:bCs/>
                <w:color w:val="000000"/>
                <w:sz w:val="24"/>
                <w:highlight w:val="none"/>
              </w:rPr>
            </w:pPr>
            <w:r>
              <w:rPr>
                <w:rFonts w:hint="eastAsia" w:ascii="宋体" w:hAnsi="宋体" w:eastAsia="宋体" w:cs="Times New Roman"/>
                <w:color w:val="000000"/>
                <w:sz w:val="24"/>
                <w:highlight w:val="none"/>
              </w:rPr>
              <w:t xml:space="preserve">供应商应承担其编制投标文件以及递交投标文件所涉及的一切费用。无论投标结果如何，采购人对上述费用不负任何责任。</w:t>
            </w:r>
            <w:r/>
          </w:p>
        </w:tc>
      </w:tr>
      <w:tr>
        <w:trPr>
          <w:trHeight w:val="70"/>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w:t>
            </w:r>
            <w:r/>
          </w:p>
        </w:tc>
        <w:tc>
          <w:tcPr>
            <w:tcW w:w="9030" w:type="dxa"/>
            <w:vAlign w:val="top"/>
            <w:textDirection w:val="lrTb"/>
            <w:noWrap w:val="false"/>
          </w:tcPr>
          <w:p>
            <w:pPr>
              <w:spacing w:line="360" w:lineRule="auto"/>
              <w:rPr>
                <w:rFonts w:hint="eastAsia" w:hAnsi="宋体"/>
                <w:bCs/>
                <w:color w:val="000000"/>
                <w:sz w:val="24"/>
                <w:highlight w:val="none"/>
              </w:rPr>
            </w:pPr>
            <w:r>
              <w:rPr>
                <w:rFonts w:hint="eastAsia" w:hAnsi="宋体"/>
                <w:bCs/>
                <w:color w:val="000000"/>
                <w:sz w:val="24"/>
                <w:highlight w:val="none"/>
              </w:rPr>
              <w:t xml:space="preserve">提疑截止时间：2024年</w:t>
            </w:r>
            <w:r>
              <w:rPr>
                <w:rFonts w:hint="eastAsia" w:hAnsi="宋体"/>
                <w:bCs/>
                <w:color w:val="000000"/>
                <w:sz w:val="24"/>
                <w:highlight w:val="none"/>
                <w:lang w:val="en-US" w:eastAsia="zh-CN"/>
              </w:rPr>
              <w:t xml:space="preserve">12</w:t>
            </w:r>
            <w:r>
              <w:rPr>
                <w:rFonts w:hint="eastAsia" w:hAnsi="宋体"/>
                <w:bCs/>
                <w:color w:val="000000"/>
                <w:sz w:val="24"/>
                <w:highlight w:val="none"/>
              </w:rPr>
              <w:t xml:space="preserve">月20</w:t>
            </w:r>
            <w:r>
              <w:rPr>
                <w:rFonts w:hint="eastAsia" w:hAnsi="宋体"/>
                <w:bCs/>
                <w:color w:val="000000"/>
                <w:sz w:val="24"/>
                <w:highlight w:val="none"/>
              </w:rPr>
              <w:t xml:space="preserve">日16:00时前；以书面及电子文档形式同时送至采购代理机构。邮箱：825107487@qq.com</w:t>
            </w:r>
            <w:r/>
          </w:p>
          <w:p>
            <w:pPr>
              <w:spacing w:line="360" w:lineRule="auto"/>
              <w:rPr>
                <w:rFonts w:hint="eastAsia" w:ascii="宋体" w:hAnsi="宋体"/>
                <w:bCs/>
                <w:color w:val="000000"/>
                <w:sz w:val="24"/>
                <w:highlight w:val="none"/>
              </w:rPr>
            </w:pPr>
            <w:r>
              <w:rPr>
                <w:rFonts w:hint="eastAsia" w:hAnsi="宋体"/>
                <w:bCs/>
                <w:color w:val="000000"/>
                <w:sz w:val="24"/>
                <w:highlight w:val="none"/>
              </w:rPr>
              <w:t xml:space="preserve">答疑时间：2024年</w:t>
            </w:r>
            <w:r>
              <w:rPr>
                <w:rFonts w:hint="eastAsia" w:hAnsi="宋体"/>
                <w:bCs/>
                <w:color w:val="000000"/>
                <w:sz w:val="24"/>
                <w:highlight w:val="none"/>
                <w:lang w:val="en-US" w:eastAsia="zh-CN"/>
              </w:rPr>
              <w:t xml:space="preserve">12</w:t>
            </w:r>
            <w:r>
              <w:rPr>
                <w:rFonts w:hint="eastAsia" w:hAnsi="宋体"/>
                <w:bCs/>
                <w:color w:val="000000"/>
                <w:sz w:val="24"/>
                <w:highlight w:val="none"/>
              </w:rPr>
              <w:t xml:space="preserve">月</w:t>
            </w:r>
            <w:r>
              <w:rPr>
                <w:rFonts w:hint="eastAsia" w:hAnsi="宋体"/>
                <w:bCs/>
                <w:color w:val="000000"/>
                <w:sz w:val="24"/>
                <w:highlight w:val="none"/>
                <w:lang w:val="en-US" w:eastAsia="zh-CN"/>
              </w:rPr>
              <w:t xml:space="preserve">20</w:t>
            </w:r>
            <w:r>
              <w:rPr>
                <w:rFonts w:hint="eastAsia" w:hAnsi="宋体"/>
                <w:bCs/>
                <w:color w:val="000000"/>
                <w:sz w:val="24"/>
                <w:highlight w:val="none"/>
              </w:rPr>
              <w:t xml:space="preserve">日17</w:t>
            </w:r>
            <w:r>
              <w:rPr>
                <w:rFonts w:hint="eastAsia" w:hAnsi="宋体"/>
                <w:bCs/>
                <w:color w:val="000000"/>
                <w:sz w:val="24"/>
                <w:highlight w:val="none"/>
                <w:lang w:eastAsia="zh-CN"/>
              </w:rPr>
              <w:t xml:space="preserve">:</w:t>
            </w:r>
            <w:r>
              <w:rPr>
                <w:rFonts w:hint="eastAsia" w:hAnsi="宋体"/>
                <w:bCs/>
                <w:color w:val="000000"/>
                <w:sz w:val="24"/>
                <w:highlight w:val="none"/>
              </w:rPr>
              <w:t xml:space="preserve">00</w:t>
            </w:r>
            <w:r/>
          </w:p>
        </w:tc>
      </w:tr>
      <w:tr>
        <w:trPr>
          <w:trHeight w:val="458"/>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7</w:t>
            </w:r>
            <w:r/>
          </w:p>
        </w:tc>
        <w:tc>
          <w:tcPr>
            <w:tcW w:w="9030" w:type="dxa"/>
            <w:vAlign w:val="top"/>
            <w:textDirection w:val="lrTb"/>
            <w:noWrap w:val="false"/>
          </w:tcPr>
          <w:p>
            <w:pPr>
              <w:ind w:left="-27" w:firstLine="26"/>
              <w:spacing w:line="360" w:lineRule="auto"/>
              <w:rPr>
                <w:rFonts w:hint="eastAsia" w:ascii="宋体" w:hAnsi="宋体"/>
                <w:color w:val="000000"/>
                <w:sz w:val="24"/>
                <w:highlight w:val="none"/>
              </w:rPr>
            </w:pPr>
            <w:r>
              <w:rPr>
                <w:rFonts w:hint="eastAsia" w:ascii="宋体" w:hAnsi="宋体" w:cs="宋体"/>
                <w:bCs/>
                <w:color w:val="000000"/>
                <w:sz w:val="24"/>
                <w:highlight w:val="none"/>
              </w:rPr>
              <w:t xml:space="preserve">本项目不需要缴纳投标保证金。</w:t>
            </w:r>
            <w:r/>
          </w:p>
        </w:tc>
      </w:tr>
      <w:tr>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8</w:t>
            </w:r>
            <w:r/>
          </w:p>
        </w:tc>
        <w:tc>
          <w:tcPr>
            <w:tcW w:w="9030" w:type="dxa"/>
            <w:vAlign w:val="top"/>
            <w:textDirection w:val="lrTb"/>
            <w:noWrap w:val="false"/>
          </w:tcPr>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投标有效期：开标之日起90天</w:t>
            </w:r>
            <w:r/>
          </w:p>
        </w:tc>
      </w:tr>
      <w:tr>
        <w:trPr>
          <w:trHeight w:val="509"/>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9</w:t>
            </w:r>
            <w:r/>
          </w:p>
        </w:tc>
        <w:tc>
          <w:tcPr>
            <w:tcW w:w="9030" w:type="dxa"/>
            <w:vAlign w:val="top"/>
            <w:textDirection w:val="lrTb"/>
            <w:noWrap w:val="false"/>
          </w:tcPr>
          <w:p>
            <w:pP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1、网上投标截止时间：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:30</w:t>
            </w:r>
            <w:r>
              <w:rPr>
                <w:rFonts w:hint="eastAsia" w:ascii="宋体" w:hAnsi="宋体"/>
                <w:color w:val="000000"/>
                <w:sz w:val="24"/>
                <w:highlight w:val="none"/>
              </w:rPr>
              <w:t xml:space="preserve">，投标截止时间后的投标文件恕不接受。</w:t>
            </w:r>
            <w:r/>
          </w:p>
          <w:p>
            <w:pP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2、网上投标解密时间：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:30</w:t>
            </w:r>
            <w:r>
              <w:rPr>
                <w:rFonts w:hint="eastAsia" w:ascii="宋体" w:hAnsi="宋体"/>
                <w:color w:val="000000"/>
                <w:sz w:val="24"/>
                <w:highlight w:val="none"/>
              </w:rPr>
              <w:t xml:space="preserve">，</w:t>
            </w:r>
            <w:r>
              <w:rPr>
                <w:rFonts w:ascii="宋体" w:hAnsi="宋体"/>
                <w:b/>
                <w:color w:val="000000"/>
                <w:sz w:val="24"/>
                <w:highlight w:val="none"/>
              </w:rPr>
              <w:t xml:space="preserve">解密时限</w:t>
            </w:r>
            <w:r>
              <w:rPr>
                <w:rFonts w:hint="eastAsia" w:ascii="宋体" w:hAnsi="宋体"/>
                <w:b/>
                <w:color w:val="000000"/>
                <w:sz w:val="24"/>
                <w:highlight w:val="none"/>
              </w:rPr>
              <w:t xml:space="preserve">：开启解密后3</w:t>
            </w:r>
            <w:r>
              <w:rPr>
                <w:rFonts w:ascii="宋体" w:hAnsi="宋体"/>
                <w:b/>
                <w:color w:val="000000"/>
                <w:sz w:val="24"/>
                <w:highlight w:val="none"/>
              </w:rPr>
              <w:t xml:space="preserve">0分钟</w:t>
            </w:r>
            <w:r>
              <w:rPr>
                <w:rFonts w:hint="eastAsia" w:ascii="宋体" w:hAnsi="宋体"/>
                <w:b/>
                <w:color w:val="000000"/>
                <w:sz w:val="24"/>
                <w:highlight w:val="none"/>
              </w:rPr>
              <w:t xml:space="preserve">。</w:t>
            </w:r>
            <w:r/>
          </w:p>
          <w:p>
            <w:pPr>
              <w:spacing w:line="360" w:lineRule="auto"/>
              <w:widowControl/>
              <w:rPr>
                <w:rFonts w:ascii="宋体" w:hAnsi="宋体"/>
                <w:color w:val="000000"/>
                <w:sz w:val="24"/>
                <w:highlight w:val="none"/>
              </w:rPr>
            </w:pPr>
            <w:r>
              <w:rPr>
                <w:rFonts w:hint="eastAsia" w:ascii="宋体" w:hAnsi="宋体"/>
                <w:color w:val="000000"/>
                <w:sz w:val="24"/>
                <w:highlight w:val="none"/>
              </w:rPr>
              <w:t xml:space="preserve">3、投标文件提交地点：</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p>
          <w:p>
            <w:pPr>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特别提醒：</w:t>
            </w:r>
            <w:r/>
          </w:p>
          <w:p>
            <w:pPr>
              <w:ind w:left="1"/>
              <w:spacing w:line="360" w:lineRule="auto"/>
              <w:rPr>
                <w:rFonts w:hint="eastAsia" w:ascii="宋体" w:hAnsi="宋体" w:eastAsia="宋体" w:cs="Times New Roman"/>
                <w:color w:val="000000"/>
                <w:sz w:val="24"/>
                <w:highlight w:val="none"/>
              </w:rPr>
            </w:pPr>
            <w:r>
              <w:rPr>
                <w:rFonts w:hint="eastAsia" w:ascii="宋体" w:hAnsi="宋体"/>
                <w:b/>
                <w:color w:val="000000"/>
                <w:sz w:val="24"/>
                <w:highlight w:val="none"/>
              </w:rPr>
              <w:t xml:space="preserve">本项目进行线上不</w:t>
            </w:r>
            <w:bookmarkStart w:id="776" w:name="_GoBack"/>
            <w:r/>
            <w:bookmarkEnd w:id="776"/>
            <w:r>
              <w:rPr>
                <w:rFonts w:hint="eastAsia" w:ascii="宋体" w:hAnsi="宋体"/>
                <w:b/>
                <w:color w:val="000000"/>
                <w:sz w:val="24"/>
                <w:highlight w:val="none"/>
              </w:rPr>
              <w:t xml:space="preserve">见面采购活动，供应商准备好制作标书的笔记本电脑、CA锁</w:t>
            </w:r>
            <w:r>
              <w:rPr>
                <w:rFonts w:hint="eastAsia" w:ascii="宋体" w:hAnsi="宋体" w:eastAsia="宋体" w:cs="Times New Roman"/>
                <w:b/>
                <w:color w:val="000000"/>
                <w:sz w:val="24"/>
                <w:highlight w:val="none"/>
              </w:rPr>
              <w:t xml:space="preserve">（政务C</w:t>
            </w:r>
            <w:r>
              <w:rPr>
                <w:rFonts w:hint="eastAsia" w:ascii="宋体" w:hAnsi="宋体"/>
                <w:b/>
                <w:color w:val="000000"/>
                <w:sz w:val="24"/>
                <w:highlight w:val="none"/>
              </w:rPr>
              <w:t xml:space="preserve">A），在规定时间</w:t>
            </w:r>
            <w:r>
              <w:rPr>
                <w:rFonts w:hint="eastAsia" w:ascii="宋体" w:hAnsi="宋体" w:eastAsia="宋体" w:cs="Times New Roman"/>
                <w:b/>
                <w:color w:val="000000"/>
                <w:sz w:val="24"/>
                <w:highlight w:val="none"/>
              </w:rPr>
              <w:t xml:space="preserve">内登录</w:t>
            </w:r>
            <w:r>
              <w:rPr>
                <w:rFonts w:hint="eastAsia" w:ascii="宋体" w:hAnsi="宋体" w:eastAsia="宋体" w:cs="Times New Roman"/>
                <w:b/>
                <w:color w:val="000000"/>
                <w:sz w:val="24"/>
                <w:highlight w:val="none"/>
                <w:lang w:val="en-US" w:eastAsia="zh-CN"/>
              </w:rPr>
              <w:t xml:space="preserve">苏</w:t>
            </w:r>
            <w:r>
              <w:rPr>
                <w:rFonts w:hint="eastAsia" w:ascii="宋体" w:hAnsi="宋体" w:eastAsia="宋体" w:cs="Times New Roman"/>
                <w:b/>
                <w:color w:val="000000"/>
                <w:sz w:val="24"/>
                <w:highlight w:val="none"/>
              </w:rPr>
              <w:t xml:space="preserve">采云网上开标大厅，等待开标流程进入“解锁环境”，点击“点击立即解密”进行标书解密，解锁完成后及时关注开标大厅，等待后续多次报价、答疑澄清等提示。</w:t>
            </w:r>
            <w:r>
              <w:rPr>
                <w:rFonts w:hint="eastAsia" w:ascii="宋体" w:hAnsi="宋体" w:cs="宋体"/>
                <w:b/>
                <w:bCs/>
                <w:color w:val="000000"/>
                <w:sz w:val="24"/>
                <w:highlight w:val="none"/>
                <w:lang w:val="en-US" w:eastAsia="zh-CN"/>
              </w:rPr>
              <w:t xml:space="preserve">具体操作流程详见《“苏采云”系统供应商操作手册》。</w:t>
            </w:r>
            <w:r/>
          </w:p>
        </w:tc>
      </w:tr>
      <w:tr>
        <w:trPr>
          <w:trHeight w:val="70"/>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10</w:t>
            </w:r>
            <w:r/>
          </w:p>
        </w:tc>
        <w:tc>
          <w:tcPr>
            <w:tcW w:w="9030" w:type="dxa"/>
            <w:vAlign w:val="top"/>
            <w:textDirection w:val="lrTb"/>
            <w:noWrap w:val="false"/>
          </w:tcPr>
          <w:p>
            <w:pPr>
              <w:ind w:left="1"/>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评审时间：202</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月</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日</w:t>
            </w:r>
            <w:r>
              <w:rPr>
                <w:rFonts w:hint="eastAsia" w:ascii="宋体" w:hAnsi="宋体" w:eastAsia="宋体" w:cs="Times New Roman"/>
                <w:color w:val="000000"/>
                <w:sz w:val="24"/>
                <w:highlight w:val="none"/>
                <w:lang w:val="zh-CN"/>
              </w:rPr>
              <w:t xml:space="preserve">唱标结束后  </w:t>
            </w:r>
            <w:r/>
          </w:p>
          <w:p>
            <w:pPr>
              <w:ind w:left="1"/>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评审地点：无锡市蠡湖大道2018号2号楼421室</w:t>
            </w:r>
            <w:r/>
          </w:p>
        </w:tc>
      </w:tr>
      <w:tr>
        <w:trPr>
          <w:trHeight w:val="70"/>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11</w:t>
            </w:r>
            <w:r/>
          </w:p>
        </w:tc>
        <w:tc>
          <w:tcPr>
            <w:tcW w:w="9030" w:type="dxa"/>
            <w:vAlign w:val="top"/>
            <w:textDirection w:val="lrTb"/>
            <w:noWrap w:val="false"/>
          </w:tcPr>
          <w:p>
            <w:pPr>
              <w:ind w:left="1"/>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定标时间：202</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年</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月</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日评标结束</w:t>
            </w:r>
            <w:r/>
          </w:p>
          <w:p>
            <w:pPr>
              <w:ind w:left="1"/>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定标地点：无锡市蠡湖大道2018号2号楼421室</w:t>
            </w:r>
            <w:r/>
          </w:p>
        </w:tc>
      </w:tr>
      <w:tr>
        <w:trPr>
          <w:trHeight w:val="665"/>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12</w:t>
            </w:r>
            <w:r/>
          </w:p>
        </w:tc>
        <w:tc>
          <w:tcPr>
            <w:tcW w:w="9030" w:type="dxa"/>
            <w:vAlign w:val="center"/>
            <w:textDirection w:val="lrTb"/>
            <w:noWrap w:val="false"/>
          </w:tcPr>
          <w:p>
            <w:pP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本次采购采</w:t>
            </w:r>
            <w:r>
              <w:rPr>
                <w:rFonts w:hint="eastAsia" w:ascii="宋体" w:hAnsi="宋体" w:eastAsia="宋体" w:cs="Times New Roman"/>
                <w:color w:val="000000"/>
                <w:sz w:val="24"/>
                <w:highlight w:val="none"/>
              </w:rPr>
              <w:t xml:space="preserve">用</w:t>
            </w:r>
            <w:r>
              <w:rPr>
                <w:rFonts w:hint="eastAsia" w:ascii="宋体" w:hAnsi="宋体" w:eastAsia="宋体" w:cs="Times New Roman"/>
                <w:color w:val="000000"/>
                <w:sz w:val="24"/>
                <w:highlight w:val="none"/>
                <w:lang w:eastAsia="zh-CN"/>
              </w:rPr>
              <w:t xml:space="preserve">江苏省政府采购（苏采云）平台</w:t>
            </w:r>
            <w:r>
              <w:rPr>
                <w:rFonts w:hint="eastAsia" w:ascii="宋体" w:hAnsi="宋体" w:eastAsia="宋体" w:cs="Times New Roman"/>
                <w:color w:val="000000"/>
                <w:sz w:val="24"/>
                <w:highlight w:val="none"/>
              </w:rPr>
              <w:t xml:space="preserve">进行招</w:t>
            </w:r>
            <w:r>
              <w:rPr>
                <w:rFonts w:hint="eastAsia" w:ascii="宋体" w:hAnsi="宋体"/>
                <w:color w:val="000000"/>
                <w:sz w:val="24"/>
                <w:highlight w:val="none"/>
              </w:rPr>
              <w:t xml:space="preserve">标投标活动，招标、投标、评标和中标结果发布全程电子化。</w:t>
            </w:r>
            <w:r/>
          </w:p>
          <w:p>
            <w:pPr>
              <w:spacing w:line="360" w:lineRule="auto"/>
              <w:rPr>
                <w:rFonts w:hint="eastAsia" w:ascii="宋体" w:hAnsi="宋体"/>
                <w:bCs/>
                <w:color w:val="000000"/>
                <w:sz w:val="24"/>
                <w:highlight w:val="none"/>
              </w:rPr>
            </w:pPr>
            <w:r>
              <w:rPr>
                <w:rFonts w:hint="eastAsia" w:ascii="宋体" w:hAnsi="宋体"/>
                <w:color w:val="000000"/>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665"/>
        </w:trPr>
        <w:tc>
          <w:tcPr>
            <w:tcW w:w="735" w:type="dxa"/>
            <w:vAlign w:val="center"/>
            <w:textDirection w:val="lrTb"/>
            <w:noWrap w:val="false"/>
          </w:tcPr>
          <w:p>
            <w:pPr>
              <w:jc w:val="center"/>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13</w:t>
            </w:r>
            <w:r/>
          </w:p>
        </w:tc>
        <w:tc>
          <w:tcPr>
            <w:tcW w:w="9030"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1.潜在投标供应商访问江苏省政府采购（苏采云）平台的网络地址和方法</w:t>
            </w:r>
            <w:r/>
          </w:p>
          <w:p>
            <w:pPr>
              <w:spacing w:line="360" w:lineRule="auto"/>
              <w:tabs>
                <w:tab w:val="left" w:pos="840" w:leader="none"/>
                <w:tab w:val="left" w:pos="1050" w:leader="none"/>
              </w:tabs>
              <w:rPr>
                <w:rFonts w:hint="eastAsia" w:ascii="宋体" w:hAnsi="宋体" w:eastAsia="宋体" w:cs="Times New Roman"/>
                <w:bCs/>
                <w:color w:val="000000"/>
                <w:sz w:val="24"/>
                <w:szCs w:val="20"/>
                <w:highlight w:val="none"/>
                <w:lang w:eastAsia="zh-CN"/>
              </w:rPr>
            </w:pPr>
            <w:r>
              <w:rPr>
                <w:rFonts w:hint="eastAsia" w:ascii="宋体" w:hAnsi="宋体" w:eastAsia="宋体" w:cs="Times New Roman"/>
                <w:bCs/>
                <w:color w:val="000000"/>
                <w:sz w:val="24"/>
                <w:szCs w:val="20"/>
                <w:highlight w:val="none"/>
                <w:lang w:eastAsia="zh-CN"/>
              </w:rPr>
              <w:t xml:space="preserve">（1）</w:t>
            </w:r>
            <w:r>
              <w:rPr>
                <w:rFonts w:hint="eastAsia" w:ascii="宋体" w:hAnsi="宋体" w:eastAsia="宋体"/>
                <w:color w:val="000000"/>
                <w:sz w:val="24"/>
                <w:szCs w:val="24"/>
                <w:highlight w:val="none"/>
                <w:lang w:val="en-US" w:eastAsia="zh-CN"/>
              </w:rPr>
              <w:t xml:space="preserve">供应商访问江苏省政府采购（苏采云）平台的方法：</w:t>
            </w:r>
            <w:r>
              <w:rPr>
                <w:rFonts w:hint="eastAsia" w:ascii="宋体" w:hAnsi="宋体" w:eastAsia="宋体" w:cs="Times New Roman"/>
                <w:bCs/>
                <w:color w:val="000000"/>
                <w:sz w:val="24"/>
                <w:szCs w:val="20"/>
                <w:highlight w:val="none"/>
                <w:lang w:eastAsia="zh-CN"/>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“苏采云”系统供应商操作手册</w:t>
            </w:r>
            <w:r>
              <w:rPr>
                <w:rFonts w:hint="eastAsia" w:ascii="宋体" w:hAnsi="宋体" w:eastAsia="宋体" w:cs="Times New Roman"/>
                <w:bCs/>
                <w:color w:val="000000"/>
                <w:sz w:val="24"/>
                <w:szCs w:val="20"/>
                <w:highlight w:val="none"/>
                <w:lang w:eastAsia="zh-CN"/>
              </w:rPr>
              <w:t xml:space="preserve">》。</w:t>
            </w:r>
            <w:r/>
          </w:p>
          <w:p>
            <w:pPr>
              <w:spacing w:line="360" w:lineRule="auto"/>
              <w:tabs>
                <w:tab w:val="left" w:pos="840" w:leader="none"/>
                <w:tab w:val="left" w:pos="1050" w:leader="none"/>
              </w:tabs>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lang w:val="en-US" w:eastAsia="zh-CN"/>
              </w:rPr>
              <w:t xml:space="preserve">2</w:t>
            </w:r>
            <w:r>
              <w:rPr>
                <w:rFonts w:hint="eastAsia" w:ascii="宋体" w:hAnsi="宋体" w:eastAsia="宋体" w:cs="Times New Roman"/>
                <w:bCs/>
                <w:color w:val="000000"/>
                <w:sz w:val="24"/>
                <w:szCs w:val="20"/>
                <w:highlight w:val="none"/>
              </w:rPr>
              <w:t xml:space="preserve">）访问“无锡政府采购网”点击“</w:t>
            </w:r>
            <w:r>
              <w:rPr>
                <w:rFonts w:hint="eastAsia" w:ascii="宋体" w:hAnsi="宋体" w:eastAsia="宋体" w:cs="Times New Roman"/>
                <w:bCs/>
                <w:color w:val="000000"/>
                <w:sz w:val="24"/>
                <w:szCs w:val="20"/>
                <w:highlight w:val="none"/>
                <w:lang w:val="en-US" w:eastAsia="zh-CN"/>
              </w:rPr>
              <w:t xml:space="preserve">江苏省政府采购（苏采云平台）</w:t>
            </w: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lang w:val="en-US" w:eastAsia="zh-CN"/>
              </w:rPr>
              <w:t xml:space="preserve">用户注册</w:t>
            </w:r>
            <w:r>
              <w:rPr>
                <w:rFonts w:hint="eastAsia" w:ascii="宋体" w:hAnsi="宋体" w:eastAsia="宋体" w:cs="Times New Roman"/>
                <w:bCs/>
                <w:color w:val="000000"/>
                <w:sz w:val="24"/>
                <w:szCs w:val="20"/>
                <w:highlight w:val="none"/>
              </w:rPr>
              <w:t xml:space="preserve">”按钮，进行账号注册并填写申请信息，也可以直接通过</w:t>
            </w:r>
            <w:r>
              <w:rPr>
                <w:rFonts w:hint="eastAsia" w:ascii="宋体" w:hAnsi="宋体" w:eastAsia="宋体" w:cs="Times New Roman"/>
                <w:bCs/>
                <w:color w:val="000000"/>
                <w:sz w:val="24"/>
                <w:szCs w:val="20"/>
                <w:highlight w:val="none"/>
              </w:rPr>
              <w:fldChar w:fldCharType="begin"/>
            </w:r>
            <w:r>
              <w:rPr>
                <w:rFonts w:hint="eastAsia" w:ascii="宋体" w:hAnsi="宋体" w:eastAsia="宋体" w:cs="Times New Roman"/>
                <w:bCs/>
                <w:color w:val="000000"/>
                <w:sz w:val="24"/>
                <w:szCs w:val="20"/>
                <w:highlight w:val="none"/>
              </w:rPr>
              <w:instrText xml:space="preserve"> HYPERLINK "http://jszfcg.jscz.gov.cn/jszc/login" </w:instrText>
            </w:r>
            <w:r>
              <w:rPr>
                <w:rFonts w:hint="eastAsia" w:ascii="宋体" w:hAnsi="宋体" w:eastAsia="宋体" w:cs="Times New Roman"/>
                <w:bCs/>
                <w:color w:val="000000"/>
                <w:sz w:val="24"/>
                <w:szCs w:val="20"/>
                <w:highlight w:val="none"/>
              </w:rPr>
              <w:fldChar w:fldCharType="separate"/>
            </w:r>
            <w:r>
              <w:rPr>
                <w:rFonts w:hint="eastAsia" w:ascii="宋体" w:hAnsi="宋体" w:eastAsia="宋体" w:cs="Times New Roman"/>
                <w:bCs/>
                <w:color w:val="000000"/>
                <w:sz w:val="24"/>
                <w:szCs w:val="20"/>
                <w:highlight w:val="none"/>
                <w:lang w:val="en-US" w:eastAsia="zh-CN"/>
              </w:rPr>
              <w:t xml:space="preserve">苏采云</w:t>
            </w: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rPr>
              <w:t xml:space="preserve">http://jszfcg.jsczt.cn/</w:t>
            </w: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rPr>
              <w:fldChar w:fldCharType="end"/>
            </w:r>
            <w:r>
              <w:rPr>
                <w:rFonts w:hint="eastAsia" w:ascii="宋体" w:hAnsi="宋体" w:eastAsia="宋体" w:cs="Times New Roman"/>
                <w:bCs/>
                <w:color w:val="000000"/>
                <w:sz w:val="24"/>
                <w:szCs w:val="20"/>
                <w:highlight w:val="none"/>
              </w:rPr>
              <w:t xml:space="preserve">进入注册界面。</w:t>
            </w:r>
            <w:r/>
          </w:p>
          <w:p>
            <w:pPr>
              <w:spacing w:line="360" w:lineRule="auto"/>
              <w:tabs>
                <w:tab w:val="left" w:pos="840" w:leader="none"/>
                <w:tab w:val="left" w:pos="1050" w:leader="none"/>
              </w:tabs>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lang w:val="en-US" w:eastAsia="zh-CN"/>
              </w:rPr>
              <w:t xml:space="preserve">3</w:t>
            </w:r>
            <w:r>
              <w:rPr>
                <w:rFonts w:hint="eastAsia" w:ascii="宋体" w:hAnsi="宋体" w:eastAsia="宋体" w:cs="Times New Roman"/>
                <w:bCs/>
                <w:color w:val="000000"/>
                <w:sz w:val="24"/>
                <w:szCs w:val="20"/>
                <w:highlight w:val="none"/>
              </w:rPr>
              <w:t xml:space="preserve">）</w:t>
            </w:r>
            <w:r>
              <w:rPr>
                <w:rFonts w:hint="eastAsia" w:ascii="宋体" w:hAnsi="宋体" w:eastAsia="宋体"/>
                <w:color w:val="000000"/>
                <w:sz w:val="24"/>
                <w:szCs w:val="24"/>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Times New Roman"/>
                <w:bCs/>
                <w:color w:val="000000"/>
                <w:sz w:val="24"/>
                <w:szCs w:val="20"/>
                <w:highlight w:val="none"/>
              </w:rPr>
              <w:t xml:space="preserve">领取CA和办理电子签章</w:t>
            </w:r>
            <w:r>
              <w:rPr>
                <w:rFonts w:hint="eastAsia" w:ascii="宋体" w:hAnsi="宋体" w:eastAsia="宋体" w:cs="Times New Roman"/>
                <w:bCs/>
                <w:color w:val="000000"/>
                <w:sz w:val="24"/>
                <w:szCs w:val="20"/>
                <w:highlight w:val="none"/>
                <w:lang w:eastAsia="zh-CN"/>
              </w:rPr>
              <w:t xml:space="preserve">详见</w:t>
            </w:r>
            <w:r>
              <w:rPr>
                <w:rFonts w:hint="eastAsia" w:ascii="宋体" w:hAnsi="宋体" w:eastAsia="宋体" w:cs="Times New Roman"/>
                <w:bCs/>
                <w:color w:val="000000"/>
                <w:sz w:val="24"/>
                <w:szCs w:val="20"/>
                <w:highlight w:val="none"/>
                <w:lang w:val="en-US" w:eastAsia="zh-CN"/>
              </w:rPr>
              <w:t xml:space="preserve">“</w:t>
            </w:r>
            <w:r>
              <w:rPr>
                <w:rFonts w:hint="eastAsia" w:ascii="宋体" w:hAnsi="宋体" w:eastAsia="宋体" w:cs="Times New Roman"/>
                <w:bCs/>
                <w:color w:val="000000"/>
                <w:sz w:val="24"/>
                <w:szCs w:val="20"/>
                <w:highlight w:val="none"/>
              </w:rPr>
              <w:t xml:space="preserve">江苏省政府采购数字证书CA及电子签章办理指南”</w:t>
            </w:r>
            <w:r>
              <w:rPr>
                <w:rFonts w:hint="eastAsia" w:ascii="宋体" w:hAnsi="宋体" w:eastAsia="宋体" w:cs="Times New Roman"/>
                <w:bCs/>
                <w:color w:val="000000"/>
                <w:sz w:val="24"/>
                <w:szCs w:val="20"/>
                <w:highlight w:val="none"/>
                <w:lang w:val="en-US" w:eastAsia="zh-CN"/>
              </w:rPr>
              <w:t xml:space="preserve">（http://jsxcmm.com/help/help.html）</w:t>
            </w:r>
            <w:r/>
          </w:p>
          <w:p>
            <w:pPr>
              <w:spacing w:line="360" w:lineRule="auto"/>
              <w:tabs>
                <w:tab w:val="left" w:pos="840" w:leader="none"/>
                <w:tab w:val="left" w:pos="1050" w:leader="none"/>
              </w:tabs>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lang w:val="en-US" w:eastAsia="zh-CN"/>
              </w:rPr>
              <w:t xml:space="preserve">4</w:t>
            </w:r>
            <w:r>
              <w:rPr>
                <w:rFonts w:hint="eastAsia" w:ascii="宋体" w:hAnsi="宋体" w:eastAsia="宋体" w:cs="Times New Roman"/>
                <w:bCs/>
                <w:color w:val="000000"/>
                <w:sz w:val="24"/>
                <w:szCs w:val="20"/>
                <w:highlight w:val="none"/>
              </w:rPr>
              <w:t xml:space="preserve">）</w:t>
            </w:r>
            <w:r>
              <w:rPr>
                <w:rFonts w:hint="eastAsia" w:ascii="宋体" w:hAnsi="宋体" w:eastAsia="宋体"/>
                <w:color w:val="000000"/>
                <w:sz w:val="24"/>
                <w:szCs w:val="24"/>
                <w:highlight w:val="none"/>
                <w:lang w:val="en-US" w:eastAsia="zh-CN"/>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eastAsia="宋体" w:cs="Times New Roman"/>
                <w:bCs/>
                <w:color w:val="000000"/>
                <w:sz w:val="24"/>
                <w:szCs w:val="20"/>
                <w:highlight w:val="none"/>
                <w:lang w:eastAsia="zh-CN"/>
              </w:rPr>
            </w:pPr>
            <w:r>
              <w:rPr>
                <w:rFonts w:hint="eastAsia" w:ascii="宋体" w:hAnsi="宋体" w:eastAsia="宋体" w:cs="Times New Roman"/>
                <w:bCs/>
                <w:color w:val="000000"/>
                <w:sz w:val="24"/>
                <w:szCs w:val="20"/>
                <w:highlight w:val="none"/>
                <w:lang w:eastAsia="zh-CN"/>
              </w:rPr>
              <w:t xml:space="preserve">（</w:t>
            </w:r>
            <w:r>
              <w:rPr>
                <w:rFonts w:hint="eastAsia" w:ascii="宋体" w:hAnsi="宋体" w:eastAsia="宋体" w:cs="Times New Roman"/>
                <w:bCs/>
                <w:color w:val="000000"/>
                <w:sz w:val="24"/>
                <w:szCs w:val="20"/>
                <w:highlight w:val="none"/>
                <w:lang w:val="en-US" w:eastAsia="zh-CN"/>
              </w:rPr>
              <w:t xml:space="preserve">5</w:t>
            </w:r>
            <w:r>
              <w:rPr>
                <w:rFonts w:hint="eastAsia" w:ascii="宋体" w:hAnsi="宋体" w:eastAsia="宋体" w:cs="Times New Roman"/>
                <w:bCs/>
                <w:color w:val="000000"/>
                <w:sz w:val="24"/>
                <w:szCs w:val="20"/>
                <w:highlight w:val="none"/>
                <w:lang w:eastAsia="zh-CN"/>
              </w:rPr>
              <w:t xml:space="preserve">）采购文件、供应商操作手册及政府采购客户端工具可通过“苏采云”系统－－已报名项目－－报名详情页面内相应链接进行下载。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宋体" w:hAnsi="宋体" w:eastAsia="宋体" w:cs="Times New Roman"/>
                <w:bCs/>
                <w:color w:val="000000"/>
                <w:sz w:val="24"/>
                <w:szCs w:val="20"/>
                <w:highlight w:val="none"/>
                <w:lang w:val="en-US" w:eastAsia="zh-CN"/>
              </w:rPr>
            </w:pPr>
            <w:r>
              <w:rPr>
                <w:rFonts w:hint="eastAsia" w:ascii="宋体" w:hAnsi="宋体" w:eastAsia="宋体" w:cs="Times New Roman"/>
                <w:bCs/>
                <w:color w:val="000000"/>
                <w:sz w:val="24"/>
                <w:szCs w:val="20"/>
                <w:highlight w:val="none"/>
                <w:lang w:val="en-US" w:eastAsia="zh-CN"/>
              </w:rPr>
              <w:t xml:space="preserve">（8）苏采云系统应使用谷歌浏览器参与不见面开标。</w:t>
            </w:r>
            <w:r/>
          </w:p>
          <w:p>
            <w:pPr>
              <w:spacing w:line="360" w:lineRule="auto"/>
              <w:rPr>
                <w:rFonts w:hint="eastAsia" w:ascii="宋体" w:hAnsi="宋体"/>
                <w:color w:val="000000"/>
                <w:sz w:val="24"/>
                <w:highlight w:val="none"/>
              </w:rPr>
            </w:pPr>
            <w:r>
              <w:rPr>
                <w:rFonts w:hint="eastAsia" w:ascii="宋体" w:hAnsi="宋体" w:eastAsia="宋体" w:cs="Times New Roman"/>
                <w:bCs/>
                <w:color w:val="000000"/>
                <w:sz w:val="24"/>
                <w:szCs w:val="20"/>
                <w:highlight w:val="none"/>
                <w:lang w:val="en-US" w:eastAsia="zh-CN"/>
              </w:rPr>
              <w:t xml:space="preserve">2.有关本次招标的事项若存在变动或修改，敬请及时关注“无锡政府采购网”“江苏政府采购网”发布的信息。</w:t>
            </w:r>
            <w:r/>
          </w:p>
        </w:tc>
      </w:tr>
      <w:tr>
        <w:trPr>
          <w:cantSplit/>
          <w:trHeight w:val="449"/>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p>
        </w:tc>
        <w:tc>
          <w:tcPr>
            <w:tcW w:w="9030" w:type="dxa"/>
            <w:vAlign w:val="top"/>
            <w:textDirection w:val="lrTb"/>
            <w:noWrap w:val="false"/>
          </w:tcPr>
          <w:p>
            <w:pPr>
              <w:spacing w:after="120"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有关本次招标活动程序方面的问题</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可来人、来函（传真）或电话联系。</w:t>
            </w:r>
            <w:r/>
          </w:p>
          <w:p>
            <w:pPr>
              <w:spacing w:after="120"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联系地址：</w:t>
            </w:r>
            <w:r>
              <w:rPr>
                <w:rFonts w:hint="eastAsia" w:ascii="宋体" w:hAnsi="宋体" w:cs="宋体"/>
                <w:color w:val="000000"/>
                <w:sz w:val="24"/>
                <w:highlight w:val="none"/>
              </w:rPr>
              <w:t xml:space="preserve">普信国际工程咨询有限公司（</w:t>
            </w:r>
            <w:r>
              <w:rPr>
                <w:rFonts w:hint="eastAsia" w:ascii="宋体" w:hAnsi="宋体" w:cs="宋体"/>
                <w:color w:val="000000"/>
                <w:sz w:val="24"/>
                <w:highlight w:val="none"/>
              </w:rPr>
              <w:t xml:space="preserve">无锡市</w:t>
            </w:r>
            <w:r>
              <w:rPr>
                <w:rFonts w:hint="eastAsia" w:ascii="宋体" w:hAnsi="宋体" w:cs="宋体"/>
                <w:bCs/>
                <w:color w:val="000000"/>
                <w:sz w:val="24"/>
                <w:highlight w:val="none"/>
              </w:rPr>
              <w:t xml:space="preserve">滨湖区蠡湖大道2018号2号楼3楼312室</w:t>
            </w:r>
            <w:r>
              <w:rPr>
                <w:rFonts w:hint="eastAsia" w:ascii="宋体" w:hAnsi="宋体" w:cs="宋体"/>
                <w:color w:val="000000"/>
                <w:sz w:val="24"/>
                <w:highlight w:val="none"/>
              </w:rPr>
              <w:t xml:space="preserve">）</w:t>
            </w:r>
            <w:r/>
          </w:p>
          <w:p>
            <w:pPr>
              <w:spacing w:after="120"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联系人：王奕 、孙荣新、王圆逸</w:t>
            </w:r>
            <w:r/>
          </w:p>
          <w:p>
            <w:pPr>
              <w:spacing w:line="360" w:lineRule="auto"/>
              <w:rPr>
                <w:rFonts w:hint="eastAsia" w:ascii="宋体" w:hAnsi="宋体"/>
                <w:bCs/>
                <w:color w:val="000000"/>
                <w:sz w:val="24"/>
                <w:highlight w:val="none"/>
              </w:rPr>
            </w:pPr>
            <w:r>
              <w:rPr>
                <w:rFonts w:hint="eastAsia" w:ascii="宋体" w:hAnsi="宋体" w:cs="宋体"/>
                <w:bCs/>
                <w:color w:val="000000"/>
                <w:sz w:val="24"/>
                <w:highlight w:val="none"/>
              </w:rPr>
              <w:t xml:space="preserve">联系电话：</w:t>
            </w:r>
            <w:r>
              <w:rPr>
                <w:rFonts w:hint="eastAsia" w:ascii="宋体" w:hAnsi="宋体" w:cs="宋体"/>
                <w:bCs/>
                <w:color w:val="000000"/>
                <w:sz w:val="24"/>
                <w:highlight w:val="none"/>
                <w:lang w:eastAsia="zh-CN"/>
              </w:rPr>
              <w:t xml:space="preserve">0510-82703504</w:t>
            </w:r>
            <w:r/>
          </w:p>
        </w:tc>
      </w:tr>
      <w:tr>
        <w:trPr>
          <w:cantSplit/>
          <w:trHeight w:val="449"/>
        </w:trPr>
        <w:tc>
          <w:tcPr>
            <w:tcW w:w="735"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p>
        </w:tc>
        <w:tc>
          <w:tcPr>
            <w:tcW w:w="9030" w:type="dxa"/>
            <w:vAlign w:val="top"/>
            <w:textDirection w:val="lrTb"/>
            <w:noWrap w:val="false"/>
          </w:tcPr>
          <w:p>
            <w:pPr>
              <w:spacing w:after="120"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本项目采购人设基准价，基准价为无锡市发展和改革委员会官网价格，如遇无锡市发展和改革委员会官网没有该食品，则按无锡市天惠超市的价格</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如遇无锡市天惠超市没有该食品，乙方应提前通知甲方，经双方协商后进行调整确认，原则上按寻找到的其他市场价格</w:t>
            </w:r>
            <w:r>
              <w:rPr>
                <w:rFonts w:hint="eastAsia" w:ascii="宋体" w:hAnsi="宋体" w:eastAsia="宋体" w:cs="宋体"/>
                <w:bCs/>
                <w:color w:val="000000"/>
                <w:sz w:val="24"/>
                <w:highlight w:val="none"/>
                <w:lang w:val="en-US" w:eastAsia="zh-CN"/>
              </w:rPr>
              <w:t xml:space="preserve">为准</w:t>
            </w:r>
            <w:r>
              <w:rPr>
                <w:rFonts w:hint="eastAsia" w:ascii="宋体" w:hAnsi="宋体" w:eastAsia="宋体" w:cs="宋体"/>
                <w:bCs/>
                <w:color w:val="000000"/>
                <w:sz w:val="24"/>
                <w:highlight w:val="none"/>
              </w:rPr>
              <w:t xml:space="preserve">。</w:t>
            </w:r>
            <w:r/>
          </w:p>
          <w:p>
            <w:pPr>
              <w:spacing w:after="120" w:line="360" w:lineRule="auto"/>
              <w:rPr>
                <w:rFonts w:hint="eastAsia" w:ascii="宋体" w:hAnsi="宋体"/>
                <w:color w:val="000000"/>
                <w:sz w:val="24"/>
                <w:highlight w:val="none"/>
              </w:rPr>
            </w:pPr>
            <w:r>
              <w:rPr>
                <w:rFonts w:hint="eastAsia" w:ascii="宋体" w:hAnsi="宋体" w:eastAsia="宋体" w:cs="宋体"/>
                <w:bCs/>
                <w:color w:val="000000"/>
                <w:sz w:val="24"/>
                <w:highlight w:val="none"/>
              </w:rPr>
              <w:t xml:space="preserve">有效报价折扣率的范围：报价折扣率≤100%，供应商的折扣率不得超过此范围，否则按无效投标处理。在合同执行期间折扣率是固定值。</w:t>
            </w:r>
            <w:r/>
          </w:p>
        </w:tc>
      </w:tr>
    </w:tbl>
    <w:p>
      <w:pPr>
        <w:jc w:val="center"/>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br w:type="page" w:clear="all"/>
      </w:r>
      <w:r>
        <w:rPr>
          <w:rFonts w:hint="eastAsia" w:ascii="黑体" w:eastAsia="黑体"/>
          <w:b/>
          <w:bCs/>
          <w:color w:val="000000"/>
          <w:sz w:val="32"/>
          <w:szCs w:val="32"/>
          <w:highlight w:val="none"/>
        </w:rPr>
        <w:t xml:space="preserve">二．投标供应商须知</w:t>
      </w:r>
      <w:r/>
    </w:p>
    <w:p>
      <w:pPr>
        <w:numPr>
          <w:ilvl w:val="0"/>
          <w:numId w:val="8"/>
        </w:numPr>
        <w:ind w:left="0" w:firstLine="420"/>
        <w:spacing w:line="360" w:lineRule="auto"/>
        <w:tabs>
          <w:tab w:val="left" w:pos="735" w:leader="none"/>
        </w:tabs>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遵循原则：</w:t>
      </w:r>
      <w:r/>
    </w:p>
    <w:p>
      <w:pPr>
        <w:ind w:firstLine="523"/>
        <w:spacing w:line="360" w:lineRule="auto"/>
        <w:rPr>
          <w:rFonts w:hint="eastAsia" w:ascii="黑体" w:hAnsi="宋体" w:eastAsia="黑体"/>
          <w:bCs/>
          <w:color w:val="000000"/>
          <w:sz w:val="24"/>
          <w:highlight w:val="none"/>
        </w:rPr>
      </w:pPr>
      <w:r>
        <w:rPr>
          <w:rFonts w:hint="eastAsia" w:ascii="宋体" w:hAnsi="宋体"/>
          <w:bCs/>
          <w:color w:val="000000"/>
          <w:sz w:val="24"/>
          <w:highlight w:val="none"/>
        </w:rPr>
        <w:t xml:space="preserve">公开透明原则、公平竞争原则、公正原则和诚实信用原则。</w:t>
      </w:r>
      <w:r/>
    </w:p>
    <w:p>
      <w:pPr>
        <w:numPr>
          <w:ilvl w:val="0"/>
          <w:numId w:val="8"/>
        </w:numPr>
        <w:ind w:left="0" w:firstLine="420"/>
        <w:spacing w:line="360" w:lineRule="auto"/>
        <w:tabs>
          <w:tab w:val="left" w:pos="735" w:leader="none"/>
        </w:tabs>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招标文件：</w:t>
      </w:r>
      <w:r/>
    </w:p>
    <w:p>
      <w:pPr>
        <w:numPr>
          <w:ilvl w:val="0"/>
          <w:numId w:val="9"/>
        </w:num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招标文件包括本文件目录所列全部内容，投标人应仔细阅读，并在投标文件中充分响应招标文件的所有要求。</w:t>
      </w:r>
      <w:r/>
    </w:p>
    <w:p>
      <w:pPr>
        <w:numPr>
          <w:ilvl w:val="0"/>
          <w:numId w:val="9"/>
        </w:numPr>
        <w:spacing w:line="360" w:lineRule="auto"/>
        <w:rPr>
          <w:rFonts w:hint="eastAsia" w:ascii="宋体" w:hAnsi="宋体"/>
          <w:bCs/>
          <w:color w:val="000000"/>
          <w:sz w:val="24"/>
          <w:highlight w:val="none"/>
        </w:rPr>
      </w:pPr>
      <w:r>
        <w:rPr>
          <w:rFonts w:hint="eastAsia" w:ascii="宋体" w:hAnsi="宋体"/>
          <w:color w:val="000000"/>
          <w:sz w:val="24"/>
          <w:highlight w:val="none"/>
        </w:rPr>
        <w:t xml:space="preserve">投标</w:t>
      </w:r>
      <w:r>
        <w:rPr>
          <w:rFonts w:hint="eastAsia" w:ascii="宋体" w:hAnsi="宋体"/>
          <w:color w:val="000000"/>
          <w:sz w:val="24"/>
          <w:highlight w:val="none"/>
          <w:lang w:val="zh-CN"/>
        </w:rPr>
        <w:t xml:space="preserve">供</w:t>
      </w:r>
      <w:r>
        <w:rPr>
          <w:rFonts w:hint="eastAsia" w:ascii="宋体" w:hAnsi="宋体" w:eastAsia="宋体" w:cs="Times New Roman"/>
          <w:color w:val="000000"/>
          <w:sz w:val="24"/>
          <w:highlight w:val="none"/>
          <w:lang w:val="zh-CN"/>
        </w:rPr>
        <w:t xml:space="preserve">应商登录</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"http://jszfcg.jscz.gov.cn/jszc/login"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lang w:eastAsia="zh-CN"/>
        </w:rPr>
        <w:t xml:space="preserve">江苏省政府采购（苏采云）平台</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eastAsia="zh-CN"/>
        </w:rPr>
        <w:t xml:space="preserve">（</w:t>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lang w:val="zh-CN"/>
        </w:rPr>
        <w:t xml:space="preserve">在线申请获取采</w:t>
      </w:r>
      <w:r>
        <w:rPr>
          <w:rFonts w:hint="eastAsia" w:ascii="宋体" w:hAnsi="宋体"/>
          <w:color w:val="000000"/>
          <w:sz w:val="24"/>
          <w:highlight w:val="none"/>
          <w:lang w:val="zh-CN"/>
        </w:rPr>
        <w:t xml:space="preserve">购文件</w:t>
      </w:r>
      <w:r>
        <w:rPr>
          <w:rFonts w:hint="eastAsia" w:ascii="宋体" w:hAnsi="宋体"/>
          <w:color w:val="000000"/>
          <w:sz w:val="24"/>
          <w:highlight w:val="none"/>
        </w:rPr>
        <w:t xml:space="preserve">及有关资料，</w:t>
      </w:r>
      <w:r>
        <w:rPr>
          <w:rFonts w:hint="eastAsia" w:hAnsi="宋体"/>
          <w:color w:val="000000"/>
          <w:sz w:val="24"/>
          <w:highlight w:val="none"/>
        </w:rPr>
        <w:t xml:space="preserve">按采购文件要求提交全部资料并对采购文件各项内容做出实质性响应，否则投标无效</w:t>
      </w:r>
      <w:r>
        <w:rPr>
          <w:rFonts w:hint="eastAsia" w:ascii="宋体" w:hAnsi="宋体"/>
          <w:color w:val="000000"/>
          <w:sz w:val="24"/>
          <w:highlight w:val="none"/>
          <w:lang w:val="zh-CN"/>
        </w:rPr>
        <w:t xml:space="preserve">。</w:t>
      </w:r>
      <w:r/>
    </w:p>
    <w:p>
      <w:pPr>
        <w:numPr>
          <w:ilvl w:val="0"/>
          <w:numId w:val="9"/>
        </w:num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投标人一旦参加本项目投标，即表明承诺接受了本招标文件中的所有条件和规定。</w:t>
      </w:r>
      <w:r/>
    </w:p>
    <w:p>
      <w:pPr>
        <w:numPr>
          <w:ilvl w:val="0"/>
          <w:numId w:val="9"/>
        </w:num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招标文件仅作为本次招投标使用。</w:t>
      </w:r>
      <w:r/>
    </w:p>
    <w:p>
      <w:pPr>
        <w:ind w:left="-2" w:firstLine="420"/>
        <w:spacing w:line="360" w:lineRule="auto"/>
        <w:tabs>
          <w:tab w:val="left" w:pos="630" w:leader="none"/>
        </w:tabs>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（三） 招标文件的解释：</w:t>
      </w:r>
      <w:r/>
    </w:p>
    <w:p>
      <w:pPr>
        <w:numPr>
          <w:ilvl w:val="2"/>
          <w:numId w:val="8"/>
        </w:numPr>
        <w:ind w:left="0" w:firstLine="628"/>
        <w:spacing w:line="360" w:lineRule="auto"/>
        <w:tabs>
          <w:tab w:val="left" w:pos="525" w:leader="none"/>
          <w:tab w:val="left" w:pos="1050" w:leader="none"/>
        </w:tabs>
        <w:rPr>
          <w:rFonts w:hint="eastAsia" w:ascii="宋体" w:hAnsi="宋体"/>
          <w:bCs/>
          <w:color w:val="000000"/>
          <w:sz w:val="24"/>
          <w:highlight w:val="none"/>
        </w:rPr>
      </w:pPr>
      <w:r>
        <w:rPr>
          <w:rFonts w:hint="eastAsia" w:ascii="宋体" w:hAnsi="宋体"/>
          <w:color w:val="000000"/>
          <w:sz w:val="24"/>
          <w:highlight w:val="none"/>
        </w:rPr>
        <w:t xml:space="preserve">投标供应商如有需要对采购文件要求澄清的问题，请以书面提出，并按“投标邀请函”第6项规定的时间将电子邮件送</w:t>
      </w:r>
      <w:r>
        <w:rPr>
          <w:rFonts w:hint="eastAsia" w:ascii="宋体" w:hAnsi="宋体"/>
          <w:bCs/>
          <w:color w:val="000000"/>
          <w:sz w:val="24"/>
          <w:highlight w:val="none"/>
        </w:rPr>
        <w:t xml:space="preserve">至普信国际工程咨询有限公司。</w:t>
      </w:r>
      <w:r/>
    </w:p>
    <w:p>
      <w:pPr>
        <w:ind w:firstLine="600"/>
        <w:spacing w:line="360" w:lineRule="auto"/>
        <w:tabs>
          <w:tab w:val="left" w:pos="52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E-mail</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825107487@qq.com</w:t>
      </w:r>
      <w:r/>
    </w:p>
    <w:p>
      <w:pPr>
        <w:numPr>
          <w:ilvl w:val="2"/>
          <w:numId w:val="8"/>
        </w:numPr>
        <w:ind w:left="0" w:firstLine="628"/>
        <w:spacing w:line="360" w:lineRule="auto"/>
        <w:tabs>
          <w:tab w:val="left" w:pos="52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采购人、普信国际工程咨询有限公司将</w:t>
      </w:r>
      <w:r>
        <w:rPr>
          <w:rFonts w:hint="eastAsia" w:ascii="宋体" w:hAnsi="宋体"/>
          <w:color w:val="000000"/>
          <w:sz w:val="24"/>
          <w:highlight w:val="none"/>
        </w:rPr>
        <w:t xml:space="preserve">按“投标邀请函”第6项规定的时间对投标供应商针对采购文件书面提出的要求澄清的问题进行书面答疑</w:t>
      </w:r>
      <w:r>
        <w:rPr>
          <w:rFonts w:hint="eastAsia" w:ascii="宋体" w:hAnsi="宋体"/>
          <w:bCs/>
          <w:color w:val="000000"/>
          <w:sz w:val="24"/>
          <w:highlight w:val="none"/>
        </w:rPr>
        <w:t xml:space="preserve">。</w:t>
      </w:r>
      <w:r/>
    </w:p>
    <w:p>
      <w:pPr>
        <w:numPr>
          <w:ilvl w:val="2"/>
          <w:numId w:val="8"/>
        </w:numPr>
        <w:ind w:left="0" w:firstLine="628"/>
        <w:spacing w:line="360" w:lineRule="auto"/>
        <w:tabs>
          <w:tab w:val="left" w:pos="52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本文件的最终解释权归采购人。</w:t>
      </w:r>
      <w:r/>
    </w:p>
    <w:p>
      <w:pPr>
        <w:numPr>
          <w:ilvl w:val="0"/>
          <w:numId w:val="10"/>
        </w:numPr>
        <w:spacing w:line="360" w:lineRule="auto"/>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招标文件的补充或修正：</w:t>
      </w:r>
      <w:r/>
    </w:p>
    <w:p>
      <w:pPr>
        <w:ind w:firstLine="480"/>
        <w:spacing w:line="360" w:lineRule="auto"/>
        <w:tabs>
          <w:tab w:val="left" w:pos="52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1、采购人</w:t>
      </w:r>
      <w:r>
        <w:rPr>
          <w:rFonts w:ascii="宋体" w:hAnsi="宋体"/>
          <w:bCs/>
          <w:color w:val="000000"/>
          <w:sz w:val="24"/>
          <w:highlight w:val="none"/>
        </w:rPr>
        <w:t xml:space="preserve">或者采购代理机构可以对已发出的采购文件进行必要的澄清或者修改，但不得改变采购标的和资格条件。如需对采购文件进行澄清或修正，</w:t>
      </w:r>
      <w:r>
        <w:rPr>
          <w:rFonts w:hint="eastAsia" w:ascii="宋体" w:hAnsi="宋体"/>
          <w:bCs/>
          <w:color w:val="000000"/>
          <w:sz w:val="24"/>
          <w:highlight w:val="none"/>
        </w:rPr>
        <w:t xml:space="preserve">普信国际工程咨询有限公司</w:t>
      </w:r>
      <w:r>
        <w:rPr>
          <w:rFonts w:ascii="宋体" w:hAnsi="宋体"/>
          <w:bCs/>
          <w:color w:val="000000"/>
          <w:sz w:val="24"/>
          <w:highlight w:val="none"/>
        </w:rPr>
        <w:t xml:space="preserve">将在财政部门指定的政府采购信息发布媒体上（</w:t>
      </w:r>
      <w:r>
        <w:rPr>
          <w:rFonts w:hint="eastAsia" w:ascii="宋体" w:hAnsi="宋体"/>
          <w:bCs/>
          <w:color w:val="000000"/>
          <w:sz w:val="24"/>
          <w:highlight w:val="none"/>
        </w:rPr>
        <w:t xml:space="preserve">无锡市政府采购网、江苏省政府采购网、中国政府采购网</w:t>
      </w:r>
      <w:r>
        <w:rPr>
          <w:rFonts w:ascii="宋体" w:hAnsi="宋体"/>
          <w:bCs/>
          <w:color w:val="000000"/>
          <w:sz w:val="24"/>
          <w:highlight w:val="none"/>
        </w:rPr>
        <w:t xml:space="preserve">）发布更正公告并书面通知已报名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宋体" w:hAnsi="宋体"/>
          <w:bCs/>
          <w:color w:val="000000"/>
          <w:sz w:val="24"/>
          <w:highlight w:val="none"/>
        </w:rPr>
        <w:t xml:space="preserve">普信国际工程咨询有限公司</w:t>
      </w:r>
      <w:r>
        <w:rPr>
          <w:rFonts w:ascii="宋体" w:hAnsi="宋体"/>
          <w:bCs/>
          <w:color w:val="000000"/>
          <w:sz w:val="24"/>
          <w:highlight w:val="none"/>
        </w:rPr>
        <w:t xml:space="preserve">，逾期不回视同收到此公告。澄清或者修改的内容为采购文件的组成部分</w:t>
      </w:r>
      <w:r>
        <w:rPr>
          <w:rFonts w:hint="eastAsia" w:ascii="宋体" w:hAnsi="宋体"/>
          <w:bCs/>
          <w:color w:val="000000"/>
          <w:sz w:val="24"/>
          <w:highlight w:val="none"/>
        </w:rPr>
        <w:t xml:space="preserve">。</w:t>
      </w:r>
      <w:r/>
    </w:p>
    <w:p>
      <w:pPr>
        <w:ind w:firstLine="480"/>
        <w:spacing w:line="360" w:lineRule="auto"/>
        <w:tabs>
          <w:tab w:val="left" w:pos="525" w:leader="none"/>
          <w:tab w:val="left" w:pos="1050" w:leader="none"/>
        </w:tabs>
        <w:rPr>
          <w:rFonts w:hint="eastAsia" w:ascii="宋体" w:hAnsi="宋体"/>
          <w:bCs/>
          <w:color w:val="000000"/>
          <w:sz w:val="24"/>
          <w:highlight w:val="none"/>
        </w:rPr>
      </w:pPr>
      <w:r>
        <w:rPr>
          <w:rFonts w:hAnsi="宋体"/>
          <w:bCs/>
          <w:color w:val="000000"/>
          <w:sz w:val="24"/>
        </w:rPr>
        <w:t xml:space="preserve">2</w:t>
      </w:r>
      <w:r>
        <w:rPr>
          <w:rFonts w:hint="eastAsia" w:hAnsi="宋体"/>
          <w:bCs/>
          <w:color w:val="000000"/>
          <w:sz w:val="24"/>
        </w:rPr>
        <w:t xml:space="preserve">、</w:t>
      </w:r>
      <w:r>
        <w:rPr>
          <w:rFonts w:hAnsi="宋体"/>
          <w:bCs/>
          <w:color w:val="auto"/>
          <w:sz w:val="24"/>
          <w:highlight w:val="none"/>
        </w:rPr>
        <w:t xml:space="preserve">澄清或者修改的内容可能影响投标文件编制的，采购人或者采购代理机构将</w:t>
      </w:r>
      <w:r>
        <w:rPr>
          <w:rFonts w:hint="eastAsia" w:ascii="宋体" w:hAnsi="宋体"/>
          <w:bCs/>
          <w:color w:val="auto"/>
          <w:sz w:val="24"/>
          <w:szCs w:val="24"/>
          <w:highlight w:val="none"/>
        </w:rPr>
        <w:t xml:space="preserve">在投标截止时间十五日前对招标文件进行必要的澄清或者修改，不足十五日的，将顺延提交投标文件的截止时间和开标日期</w:t>
      </w:r>
      <w:r>
        <w:rPr>
          <w:bCs/>
          <w:color w:val="000000"/>
          <w:sz w:val="24"/>
        </w:rPr>
        <w:t xml:space="preserve">。</w:t>
      </w:r>
      <w:r/>
    </w:p>
    <w:p>
      <w:pPr>
        <w:numPr>
          <w:ilvl w:val="0"/>
          <w:numId w:val="10"/>
        </w:numPr>
        <w:spacing w:line="360" w:lineRule="auto"/>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投标文件的</w:t>
      </w:r>
      <w:r>
        <w:rPr>
          <w:rFonts w:hint="eastAsia" w:hAnsi="宋体" w:cs="宋体"/>
          <w:b/>
          <w:bCs/>
          <w:color w:val="000000"/>
          <w:sz w:val="24"/>
          <w:highlight w:val="none"/>
        </w:rPr>
        <w:t xml:space="preserve">组成：</w:t>
      </w:r>
      <w:r>
        <w:rPr>
          <w:rFonts w:hint="eastAsia" w:ascii="黑体" w:hAnsi="宋体" w:eastAsia="黑体" w:cs="黑体"/>
          <w:color w:val="000000"/>
          <w:sz w:val="24"/>
          <w:highlight w:val="none"/>
        </w:rPr>
        <w:t xml:space="preserve">相应内容上传至投标客户端。</w:t>
      </w:r>
      <w:r/>
    </w:p>
    <w:p>
      <w:pPr>
        <w:ind w:left="84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1、证明文件</w:t>
      </w:r>
      <w:r/>
    </w:p>
    <w:p>
      <w:pPr>
        <w:numPr>
          <w:ilvl w:val="0"/>
          <w:numId w:val="11"/>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关于资格的声明函</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（格式见附件）；</w:t>
      </w:r>
      <w:r/>
    </w:p>
    <w:p>
      <w:pPr>
        <w:numPr>
          <w:ilvl w:val="0"/>
          <w:numId w:val="11"/>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投标供应商法定代表人授权委托书</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（法定代表人亲自参与投标的除外，格式见附件）；</w:t>
      </w:r>
      <w:r/>
    </w:p>
    <w:p>
      <w:pPr>
        <w:numPr>
          <w:ilvl w:val="0"/>
          <w:numId w:val="11"/>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投标供应商法定代表人身份证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及被授权代表身份证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p>
    <w:p>
      <w:pPr>
        <w:numPr>
          <w:ilvl w:val="0"/>
          <w:numId w:val="11"/>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具有独立承担民事责任能力的投标供应商营业执照副本或相关部门的登记证明文件</w:t>
      </w:r>
      <w:r>
        <w:rPr>
          <w:rFonts w:hint="eastAsia" w:ascii="宋体" w:hAnsi="宋体" w:cs="宋体"/>
          <w:bCs/>
          <w:color w:val="000000"/>
          <w:sz w:val="24"/>
          <w:highlight w:val="none"/>
          <w:lang w:eastAsia="zh-CN"/>
        </w:rPr>
        <w:t xml:space="preserve">；</w:t>
      </w:r>
      <w:r/>
    </w:p>
    <w:p>
      <w:pPr>
        <w:numPr>
          <w:ilvl w:val="0"/>
          <w:numId w:val="11"/>
        </w:numPr>
        <w:spacing w:after="120" w:line="360" w:lineRule="auto"/>
        <w:tabs>
          <w:tab w:val="left" w:pos="1365" w:leader="none"/>
        </w:tabs>
        <w:rPr>
          <w:rFonts w:ascii="宋体" w:hAnsi="宋体" w:cs="宋体"/>
          <w:bCs/>
          <w:color w:val="000000"/>
          <w:sz w:val="24"/>
          <w:highlight w:val="none"/>
        </w:rPr>
      </w:pPr>
      <w:r>
        <w:rPr>
          <w:rFonts w:hint="eastAsia" w:ascii="宋体" w:hAnsi="宋体" w:eastAsia="宋体" w:cs="宋体"/>
          <w:bCs/>
          <w:color w:val="000000"/>
          <w:sz w:val="24"/>
          <w:highlight w:val="none"/>
          <w:lang w:val="en-US" w:eastAsia="zh-CN"/>
        </w:rPr>
        <w:t xml:space="preserve">投标人</w:t>
      </w:r>
      <w:r>
        <w:rPr>
          <w:rFonts w:hint="eastAsia" w:ascii="宋体" w:hAnsi="宋体" w:eastAsia="宋体" w:cs="宋体"/>
          <w:bCs/>
          <w:color w:val="000000"/>
          <w:sz w:val="24"/>
          <w:highlight w:val="none"/>
          <w:lang w:eastAsia="zh-CN"/>
        </w:rPr>
        <w:t xml:space="preserve">具备管理部门核发的有效期内的食品经营许可证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p>
    <w:p>
      <w:pPr>
        <w:numPr>
          <w:ilvl w:val="0"/>
          <w:numId w:val="11"/>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的依法缴纳税收的相关材料（提供相关主管部门证明或银行代扣证明）</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p>
    <w:p>
      <w:pPr>
        <w:numPr>
          <w:ilvl w:val="0"/>
          <w:numId w:val="11"/>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的依法缴纳社会保障资金的相关材料（提供相关主管部门证明或银行代扣证明）</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p>
    <w:p>
      <w:pPr>
        <w:numPr>
          <w:ilvl w:val="0"/>
          <w:numId w:val="11"/>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报价供应商近三个月中任意一个月份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的财务状况报告（资产负债表、利润表）或由会计师事务所出具的</w:t>
      </w:r>
      <w:r>
        <w:rPr>
          <w:rFonts w:hint="eastAsia" w:ascii="宋体" w:hAnsi="宋体" w:cs="宋体"/>
          <w:bCs/>
          <w:color w:val="000000"/>
          <w:sz w:val="24"/>
          <w:highlight w:val="none"/>
          <w:lang w:val="en-US" w:eastAsia="zh-CN"/>
        </w:rPr>
        <w:t xml:space="preserve">2023年度</w:t>
      </w:r>
      <w:r>
        <w:rPr>
          <w:rFonts w:hint="eastAsia" w:ascii="宋体" w:hAnsi="宋体" w:cs="宋体"/>
          <w:bCs/>
          <w:color w:val="000000"/>
          <w:sz w:val="24"/>
          <w:highlight w:val="none"/>
        </w:rPr>
        <w:t xml:space="preserve">审计报告</w:t>
      </w:r>
      <w:r>
        <w:rPr>
          <w:rFonts w:hint="eastAsia" w:ascii="宋体"/>
          <w:color w:val="000000"/>
          <w:sz w:val="24"/>
          <w:highlight w:val="none"/>
        </w:rPr>
        <w:t xml:space="preserve">原件扫描件</w:t>
      </w:r>
      <w:r>
        <w:rPr>
          <w:rFonts w:hint="eastAsia" w:ascii="宋体" w:hAnsi="宋体" w:cs="宋体"/>
          <w:bCs/>
          <w:color w:val="000000"/>
          <w:sz w:val="24"/>
          <w:highlight w:val="none"/>
          <w:lang w:eastAsia="zh-CN"/>
        </w:rPr>
        <w:t xml:space="preserve">；</w:t>
      </w:r>
      <w:r/>
    </w:p>
    <w:p>
      <w:pPr>
        <w:numPr>
          <w:ilvl w:val="0"/>
          <w:numId w:val="11"/>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承诺书原件扫描件（格式见附件）</w:t>
      </w:r>
      <w:r>
        <w:rPr>
          <w:rFonts w:hint="eastAsia" w:ascii="宋体" w:hAnsi="宋体" w:cs="宋体"/>
          <w:bCs/>
          <w:color w:val="000000"/>
          <w:sz w:val="24"/>
          <w:highlight w:val="none"/>
          <w:lang w:eastAsia="zh-CN"/>
        </w:rPr>
        <w:t xml:space="preserve">；</w:t>
      </w:r>
      <w:r/>
    </w:p>
    <w:p>
      <w:pPr>
        <w:numPr>
          <w:ilvl w:val="0"/>
          <w:numId w:val="11"/>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中小企业声明函原件扫描件（格式见附件）</w:t>
      </w:r>
      <w:r>
        <w:rPr>
          <w:rFonts w:hint="eastAsia" w:ascii="宋体" w:hAnsi="宋体" w:cs="宋体"/>
          <w:bCs/>
          <w:color w:val="000000"/>
          <w:sz w:val="24"/>
          <w:highlight w:val="none"/>
          <w:lang w:eastAsia="zh-CN"/>
        </w:rPr>
        <w:t xml:space="preserve">。</w:t>
      </w:r>
      <w:r/>
    </w:p>
    <w:p>
      <w:pPr>
        <w:ind w:firstLine="48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（2）补充证明文件</w:t>
      </w:r>
      <w:r/>
    </w:p>
    <w:p>
      <w:pPr>
        <w:numPr>
          <w:ilvl w:val="0"/>
          <w:numId w:val="12"/>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投标单位情况说明表原件扫描件</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格式见附件）</w:t>
      </w:r>
      <w:r/>
    </w:p>
    <w:p>
      <w:pPr>
        <w:numPr>
          <w:ilvl w:val="0"/>
          <w:numId w:val="12"/>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残疾人福利性单位声明函</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（供应商为残疾人福利性单位的必须提供，格式见附件）。</w:t>
      </w:r>
      <w:r/>
    </w:p>
    <w:p>
      <w:pPr>
        <w:numPr>
          <w:ilvl w:val="0"/>
          <w:numId w:val="12"/>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由省级以上监狱管理局、戒毒管理局出具的属于监狱企业的证明文件</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（如是）。</w:t>
      </w:r>
      <w:r/>
    </w:p>
    <w:p>
      <w:pPr>
        <w:numPr>
          <w:ilvl w:val="0"/>
          <w:numId w:val="12"/>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；（如是）</w:t>
      </w:r>
      <w:r/>
    </w:p>
    <w:p>
      <w:pPr>
        <w:ind w:firstLine="482"/>
        <w:spacing w:line="360" w:lineRule="auto"/>
        <w:tabs>
          <w:tab w:val="left" w:pos="1050" w:leader="none"/>
        </w:tabs>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w:t>
      </w:r>
      <w:r>
        <w:rPr>
          <w:rFonts w:hint="eastAsia" w:ascii="宋体" w:hAnsi="宋体" w:cs="宋体"/>
          <w:b/>
          <w:color w:val="000000"/>
          <w:sz w:val="24"/>
          <w:highlight w:val="none"/>
        </w:rPr>
        <w:t xml:space="preserve">可在中国大陆有效居留的许可证明。</w:t>
      </w:r>
      <w:r/>
    </w:p>
    <w:p>
      <w:pPr>
        <w:numPr>
          <w:ilvl w:val="0"/>
          <w:numId w:val="13"/>
        </w:numPr>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投标函部分</w:t>
      </w:r>
      <w:r/>
    </w:p>
    <w:p>
      <w:pPr>
        <w:numPr>
          <w:ilvl w:val="0"/>
          <w:numId w:val="14"/>
        </w:numPr>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投标函（格式见附件）</w:t>
      </w:r>
      <w:r/>
    </w:p>
    <w:p>
      <w:pPr>
        <w:numPr>
          <w:ilvl w:val="0"/>
          <w:numId w:val="14"/>
        </w:numPr>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开标一览表（格式见附件）</w:t>
      </w:r>
      <w:r/>
    </w:p>
    <w:p>
      <w:pPr>
        <w:numPr>
          <w:ilvl w:val="0"/>
          <w:numId w:val="14"/>
        </w:numPr>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eastAsia="宋体" w:cs="Times New Roman"/>
          <w:color w:val="000000"/>
          <w:sz w:val="24"/>
          <w:highlight w:val="none"/>
        </w:rPr>
        <w:t xml:space="preserve">投标报价明细表</w:t>
      </w:r>
      <w:r>
        <w:rPr>
          <w:rFonts w:hint="eastAsia" w:ascii="宋体" w:hAnsi="宋体"/>
          <w:bCs/>
          <w:color w:val="000000"/>
          <w:sz w:val="24"/>
          <w:highlight w:val="none"/>
        </w:rPr>
        <w:t xml:space="preserve">（格式见附件）</w:t>
      </w:r>
      <w:r/>
    </w:p>
    <w:p>
      <w:pPr>
        <w:numPr>
          <w:ilvl w:val="0"/>
          <w:numId w:val="14"/>
        </w:numPr>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偏差表（格式见附件）</w:t>
      </w:r>
      <w:r/>
    </w:p>
    <w:p>
      <w:pPr>
        <w:numPr>
          <w:ilvl w:val="0"/>
          <w:numId w:val="14"/>
        </w:numPr>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要求采购人提供的配合（如有自拟并自行添加）</w:t>
      </w:r>
      <w:r/>
    </w:p>
    <w:p>
      <w:pPr>
        <w:numPr>
          <w:ilvl w:val="0"/>
          <w:numId w:val="14"/>
        </w:numPr>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评分标准中对应</w:t>
      </w:r>
      <w:r>
        <w:rPr>
          <w:rFonts w:hint="eastAsia" w:ascii="宋体" w:hAnsi="宋体"/>
          <w:bCs/>
          <w:color w:val="000000"/>
          <w:sz w:val="24"/>
          <w:highlight w:val="none"/>
          <w:lang w:eastAsia="zh-CN"/>
        </w:rPr>
        <w:t xml:space="preserve">的其他</w:t>
      </w:r>
      <w:r>
        <w:rPr>
          <w:rFonts w:hint="eastAsia" w:ascii="宋体" w:hAnsi="宋体"/>
          <w:bCs/>
          <w:color w:val="000000"/>
          <w:sz w:val="24"/>
          <w:highlight w:val="none"/>
        </w:rPr>
        <w:t xml:space="preserve">所需证明材料（如有自行添加）（以上未提供格式的自行编制格式）</w:t>
      </w:r>
      <w:r/>
    </w:p>
    <w:p>
      <w:pPr>
        <w:numPr>
          <w:ilvl w:val="0"/>
          <w:numId w:val="13"/>
        </w:numPr>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技术部分</w:t>
      </w:r>
      <w:r/>
    </w:p>
    <w:p>
      <w:pPr>
        <w:numPr>
          <w:ilvl w:val="0"/>
          <w:numId w:val="15"/>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结合本项目实际制定服务方案</w:t>
      </w:r>
      <w:r/>
    </w:p>
    <w:p>
      <w:pPr>
        <w:numPr>
          <w:ilvl w:val="0"/>
          <w:numId w:val="15"/>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日常管理制度、经营制度及岗位职责</w:t>
      </w:r>
      <w:r/>
    </w:p>
    <w:p>
      <w:pPr>
        <w:numPr>
          <w:ilvl w:val="0"/>
          <w:numId w:val="15"/>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确保食品安全保障措施</w:t>
      </w:r>
      <w:r/>
    </w:p>
    <w:p>
      <w:pPr>
        <w:numPr>
          <w:ilvl w:val="0"/>
          <w:numId w:val="15"/>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确保食品质量保障措施</w:t>
      </w:r>
      <w:r/>
    </w:p>
    <w:p>
      <w:pPr>
        <w:numPr>
          <w:ilvl w:val="0"/>
          <w:numId w:val="15"/>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服务过程中突发事件的应急保障措施</w:t>
      </w:r>
      <w:r/>
    </w:p>
    <w:p>
      <w:pPr>
        <w:numPr>
          <w:ilvl w:val="0"/>
          <w:numId w:val="15"/>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紧急供货（应急保障）需求的方案</w:t>
      </w:r>
      <w:r/>
    </w:p>
    <w:p>
      <w:pPr>
        <w:numPr>
          <w:ilvl w:val="0"/>
          <w:numId w:val="15"/>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符合本项目其他可行性保障措施</w:t>
      </w:r>
      <w:r/>
    </w:p>
    <w:p>
      <w:pPr>
        <w:spacing w:line="360" w:lineRule="auto"/>
        <w:rPr>
          <w:rFonts w:hint="eastAsia" w:ascii="宋体" w:hAnsi="宋体"/>
          <w:color w:val="000000"/>
          <w:sz w:val="24"/>
          <w:szCs w:val="28"/>
          <w:highlight w:val="none"/>
        </w:rPr>
      </w:pPr>
      <w:r>
        <w:rPr>
          <w:rFonts w:hint="eastAsia" w:ascii="黑体" w:hAnsi="宋体" w:eastAsia="黑体"/>
          <w:bCs/>
          <w:color w:val="000000"/>
          <w:sz w:val="24"/>
          <w:highlight w:val="none"/>
        </w:rPr>
        <w:t xml:space="preserve">   （六）投标报价说明： </w:t>
      </w:r>
      <w:r/>
    </w:p>
    <w:p>
      <w:pPr>
        <w:numPr>
          <w:ilvl w:val="0"/>
          <w:numId w:val="16"/>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cs="仿宋"/>
          <w:color w:val="000000"/>
          <w:sz w:val="24"/>
        </w:rPr>
        <w:t xml:space="preserve">所有货物按无锡市发展和改革委员会官网专题专栏中民生价费近期公示价格的平均价格*投标时折扣率*实际数量进行结算，如遇网站上没有该食品，则按无锡市天惠超市的价格*投标时折扣率*实际数量结算，如遇无锡市发展和改革委员会官网及无锡市天惠超市均没有该类食品，乙方应提前通知甲方，经双方协商后进行调整确认，原则上按寻找到的其他市场价格*投标时折扣率*实际数量结算。</w:t>
      </w:r>
      <w:r/>
    </w:p>
    <w:p>
      <w:pPr>
        <w:numPr>
          <w:ilvl w:val="0"/>
          <w:numId w:val="16"/>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所有食材供应及配送价格包括产品本身、包装、运输、配送、人工、保险、利润、税金、政策性文件规定及合同包含的所有风险、责任等各项应有费用。</w:t>
      </w:r>
      <w:r/>
    </w:p>
    <w:p>
      <w:pPr>
        <w:numPr>
          <w:ilvl w:val="0"/>
          <w:numId w:val="16"/>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供货产品必须符合国家标准或规范的要求。</w:t>
      </w:r>
      <w:r/>
    </w:p>
    <w:p>
      <w:pPr>
        <w:numPr>
          <w:ilvl w:val="0"/>
          <w:numId w:val="16"/>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经评审小组认定供应商的投标报价明显低于其他通过符合性审查供应商的报价，有可能影响产品质量或者不能诚信履约的，供应商必须在一小时内提供书面说明或相关证明材料以证明其报价合理性。供应商不能证明其报价合理性的，评审小组应当将其作为无效响应文件处理。</w:t>
      </w:r>
      <w:r/>
    </w:p>
    <w:p>
      <w:pPr>
        <w:numPr>
          <w:ilvl w:val="0"/>
          <w:numId w:val="16"/>
        </w:numPr>
        <w:spacing w:line="360" w:lineRule="auto"/>
        <w:tabs>
          <w:tab w:val="left" w:pos="525"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供应商应结合本企业的技术水平，管理水平和拟定的方案自主报价。</w:t>
      </w:r>
      <w:r/>
    </w:p>
    <w:p>
      <w:pPr>
        <w:numPr>
          <w:ilvl w:val="0"/>
          <w:numId w:val="17"/>
        </w:numPr>
        <w:ind w:hanging="774"/>
        <w:spacing w:line="360" w:lineRule="auto"/>
        <w:rPr>
          <w:rFonts w:ascii="黑体" w:hAnsi="宋体" w:eastAsia="黑体"/>
          <w:bCs/>
          <w:color w:val="000000"/>
          <w:sz w:val="24"/>
          <w:highlight w:val="none"/>
        </w:rPr>
      </w:pPr>
      <w:r>
        <w:rPr>
          <w:rFonts w:hint="eastAsia" w:ascii="黑体" w:hAnsi="宋体" w:eastAsia="黑体"/>
          <w:bCs/>
          <w:color w:val="000000"/>
          <w:sz w:val="24"/>
          <w:highlight w:val="none"/>
        </w:rPr>
        <w:t xml:space="preserve">投标文件的要求：</w:t>
      </w:r>
      <w:r/>
    </w:p>
    <w:p>
      <w:pPr>
        <w:ind w:firstLine="480"/>
        <w:jc w:val="left"/>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所有文件、往来函件均应使用简体中文（规格、型号辅助符号除外）。</w:t>
      </w:r>
      <w:r/>
    </w:p>
    <w:p>
      <w:pPr>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投标供应商报价一律以</w:t>
      </w:r>
      <w:r>
        <w:rPr>
          <w:rFonts w:hint="eastAsia" w:ascii="宋体" w:hAnsi="宋体"/>
          <w:color w:val="000000"/>
          <w:sz w:val="24"/>
          <w:highlight w:val="none"/>
          <w:lang w:val="en-US" w:eastAsia="zh-CN"/>
        </w:rPr>
        <w:t xml:space="preserve">优惠率作</w:t>
      </w:r>
      <w:r>
        <w:rPr>
          <w:rFonts w:hint="eastAsia" w:ascii="宋体" w:hAnsi="宋体"/>
          <w:color w:val="000000"/>
          <w:sz w:val="24"/>
          <w:highlight w:val="none"/>
        </w:rPr>
        <w:t xml:space="preserve">为报价结算</w:t>
      </w:r>
      <w:r>
        <w:rPr>
          <w:rFonts w:hint="eastAsia" w:ascii="宋体" w:hAnsi="宋体"/>
          <w:color w:val="000000"/>
          <w:sz w:val="24"/>
          <w:highlight w:val="none"/>
          <w:lang w:val="en-US" w:eastAsia="zh-CN"/>
        </w:rPr>
        <w:t xml:space="preserve">依据</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优惠率=1-折扣率</w:t>
      </w:r>
      <w:r>
        <w:rPr>
          <w:rFonts w:hint="eastAsia" w:ascii="宋体" w:hAnsi="宋体"/>
          <w:color w:val="000000"/>
          <w:sz w:val="24"/>
          <w:highlight w:val="none"/>
        </w:rPr>
        <w:t xml:space="preserve">。</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投标费用自理。</w:t>
      </w:r>
      <w:r/>
    </w:p>
    <w:p>
      <w:pPr>
        <w:ind w:firstLine="480"/>
        <w:jc w:val="left"/>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5.投标供应商应由其法定代表人或法定代表人授权代表在规定的网上投标时间内，凭CA数字证书登陆</w:t>
      </w:r>
      <w:r>
        <w:rPr>
          <w:rFonts w:hint="eastAsia" w:ascii="宋体" w:hAnsi="宋体" w:eastAsia="宋体" w:cs="Times New Roman"/>
          <w:color w:val="000000"/>
          <w:sz w:val="24"/>
          <w:highlight w:val="none"/>
          <w:lang w:val="en-US" w:eastAsia="zh-CN"/>
        </w:rPr>
        <w:t xml:space="preserve">江苏省政府采购（苏采云）平台</w:t>
      </w:r>
      <w:r>
        <w:rPr>
          <w:rFonts w:hint="eastAsia" w:ascii="宋体" w:hAnsi="宋体"/>
          <w:color w:val="000000"/>
          <w:sz w:val="24"/>
          <w:highlight w:val="none"/>
        </w:rPr>
        <w:t xml:space="preserve">获取招标文件，在</w:t>
      </w:r>
      <w:r>
        <w:rPr>
          <w:rFonts w:hint="eastAsia" w:ascii="宋体" w:hAnsi="宋体" w:eastAsia="宋体" w:cs="Times New Roman"/>
          <w:bCs/>
          <w:color w:val="000000"/>
          <w:sz w:val="24"/>
          <w:szCs w:val="20"/>
          <w:highlight w:val="none"/>
          <w:lang w:eastAsia="zh-CN"/>
        </w:rPr>
        <w:t xml:space="preserve">政府采购客户端</w:t>
      </w:r>
      <w:r>
        <w:rPr>
          <w:rFonts w:hint="eastAsia" w:ascii="宋体" w:hAnsi="宋体"/>
          <w:color w:val="000000"/>
          <w:sz w:val="24"/>
          <w:highlight w:val="none"/>
        </w:rPr>
        <w:t xml:space="preserve">制作投标文件（电子数据），并在投标截止时间之前上传投标文件。</w:t>
      </w:r>
      <w:r/>
    </w:p>
    <w:p>
      <w:pPr>
        <w:ind w:firstLine="480"/>
        <w:jc w:val="left"/>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6.投标供应商应对CA数字证书妥善保管，如被他人盗用投标，后果自负。</w:t>
      </w:r>
      <w:r/>
    </w:p>
    <w:p>
      <w:pPr>
        <w:ind w:firstLine="480"/>
        <w:jc w:val="left"/>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7.投标供应商按招标文件规定的网上解密时间进行解密，如未按时解密后果自负。</w:t>
      </w:r>
      <w:r/>
    </w:p>
    <w:p>
      <w:pPr>
        <w:ind w:firstLine="480"/>
        <w:jc w:val="left"/>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8.投标供应商应当对招标文件提出的要求和条件作出实质性响应，并在电子投标系统逐条应答。</w:t>
      </w:r>
      <w:r/>
    </w:p>
    <w:p>
      <w:pPr>
        <w:ind w:firstLine="480"/>
        <w:jc w:val="left"/>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9.投标供应商应对要求提供的资格证明文件（如资质证书、资格证书）、技术资料（如白皮书、彩页、手册、业绩、报告等）扫描上传至投标系统。</w:t>
      </w:r>
      <w:r/>
    </w:p>
    <w:p>
      <w:pPr>
        <w:ind w:firstLine="480"/>
        <w:jc w:val="left"/>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10.投标供应商进行网上投标请参照</w:t>
      </w:r>
      <w:r>
        <w:rPr>
          <w:rFonts w:hint="eastAsia" w:ascii="宋体" w:hAnsi="宋体" w:eastAsia="宋体" w:cs="Times New Roman"/>
          <w:bCs/>
          <w:color w:val="000000"/>
          <w:sz w:val="24"/>
          <w:szCs w:val="20"/>
          <w:highlight w:val="none"/>
          <w:lang w:val="en-US" w:eastAsia="zh-CN"/>
        </w:rPr>
        <w:t xml:space="preserve">《“苏采云”系统供应商操作手册》</w:t>
      </w:r>
      <w:r>
        <w:rPr>
          <w:rFonts w:hint="eastAsia" w:ascii="宋体" w:hAnsi="宋体"/>
          <w:color w:val="000000"/>
          <w:sz w:val="24"/>
          <w:highlight w:val="none"/>
        </w:rPr>
        <w:t xml:space="preserve">。</w:t>
      </w:r>
      <w:r/>
    </w:p>
    <w:p>
      <w:pPr>
        <w:ind w:left="-2" w:firstLine="420"/>
        <w:spacing w:line="360" w:lineRule="auto"/>
        <w:rPr>
          <w:rFonts w:hint="eastAsia" w:ascii="黑体" w:hAnsi="宋体" w:eastAsia="黑体"/>
          <w:bCs/>
          <w:color w:val="000000"/>
          <w:sz w:val="24"/>
          <w:highlight w:val="none"/>
        </w:rPr>
      </w:pPr>
      <w:r>
        <w:rPr>
          <w:rFonts w:hint="eastAsia" w:ascii="黑体" w:hAnsi="宋体" w:eastAsia="黑体"/>
          <w:bCs/>
          <w:color w:val="000000"/>
          <w:sz w:val="24"/>
          <w:highlight w:val="none"/>
        </w:rPr>
        <w:t xml:space="preserve">（八） 无效投标文件的确认：</w:t>
      </w:r>
      <w:r/>
    </w:p>
    <w:p>
      <w:pPr>
        <w:ind w:left="-2" w:firstLine="480"/>
        <w:spacing w:line="360" w:lineRule="auto"/>
        <w:rPr>
          <w:rFonts w:ascii="宋体"/>
          <w:color w:val="000000"/>
          <w:sz w:val="24"/>
          <w:highlight w:val="none"/>
        </w:rPr>
        <w:outlineLvl w:val="0"/>
      </w:pPr>
      <w:r>
        <w:rPr>
          <w:rFonts w:hint="eastAsia" w:ascii="宋体" w:hAnsi="宋体" w:cs="宋体"/>
          <w:color w:val="000000"/>
          <w:sz w:val="24"/>
          <w:highlight w:val="none"/>
        </w:rPr>
        <w:t xml:space="preserve">投标供应商有下列情况之一者，其投标文件无效：</w:t>
      </w:r>
      <w:r/>
    </w:p>
    <w:p>
      <w:pPr>
        <w:numPr>
          <w:ilvl w:val="0"/>
          <w:numId w:val="18"/>
        </w:numPr>
        <w:ind w:left="1"/>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电子投标文件未按规定时间上传的，纸质投标文件（如有）未按规定的期限、地点送达的；</w:t>
      </w:r>
      <w:r/>
    </w:p>
    <w:p>
      <w:pPr>
        <w:numPr>
          <w:ilvl w:val="0"/>
          <w:numId w:val="18"/>
        </w:numPr>
        <w:spacing w:line="360" w:lineRule="auto"/>
        <w:rPr>
          <w:rFonts w:hint="eastAsia" w:ascii="宋体" w:hAnsi="宋体" w:cs="宋体"/>
          <w:color w:val="000000"/>
          <w:sz w:val="24"/>
          <w:highlight w:val="none"/>
        </w:rPr>
      </w:pPr>
      <w:r>
        <w:rPr>
          <w:rFonts w:hint="eastAsia" w:ascii="宋体" w:hAnsi="宋体"/>
          <w:bCs/>
          <w:color w:val="000000"/>
          <w:sz w:val="24"/>
          <w:highlight w:val="none"/>
        </w:rPr>
        <w:t xml:space="preserve">电子投标文件未按招标文件要求签章的</w:t>
      </w:r>
      <w:r>
        <w:rPr>
          <w:rFonts w:hint="eastAsia" w:ascii="宋体" w:hAnsi="宋体" w:cs="宋体"/>
          <w:color w:val="000000"/>
          <w:sz w:val="24"/>
          <w:highlight w:val="none"/>
        </w:rPr>
        <w:t xml:space="preserve">；</w:t>
      </w:r>
      <w:r/>
    </w:p>
    <w:p>
      <w:pPr>
        <w:numPr>
          <w:ilvl w:val="0"/>
          <w:numId w:val="1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投标供应商未按招标文件要求解密的；</w:t>
      </w:r>
      <w:r/>
    </w:p>
    <w:p>
      <w:pPr>
        <w:numPr>
          <w:ilvl w:val="0"/>
          <w:numId w:val="1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不具备招标文件中规定的资格要求的；</w:t>
      </w:r>
      <w:r/>
    </w:p>
    <w:p>
      <w:pPr>
        <w:numPr>
          <w:ilvl w:val="0"/>
          <w:numId w:val="1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报价超过招标文件中规定的预算金额或最高限价的；</w:t>
      </w:r>
      <w:r/>
    </w:p>
    <w:p>
      <w:pPr>
        <w:numPr>
          <w:ilvl w:val="0"/>
          <w:numId w:val="1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投标供应商的法定代表人授权代表无法定代表人授权委托书的；</w:t>
      </w:r>
      <w:r/>
    </w:p>
    <w:p>
      <w:pPr>
        <w:numPr>
          <w:ilvl w:val="0"/>
          <w:numId w:val="1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投标文件含有采购人不能接受的附加条件的；</w:t>
      </w:r>
      <w:r/>
    </w:p>
    <w:p>
      <w:pPr>
        <w:numPr>
          <w:ilvl w:val="0"/>
          <w:numId w:val="1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投标文件未按招标文件规定的格式、内容和要求填写、制作的；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投标文件书写潦草、字迹模糊不清、无法辨认的；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投标文件中有招标文件未允许提供的选择性内容的；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恶意串通其他投标供应商，故意哄抬价格或压价的；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提供虚假材料的（包括工商营业执照、财务报表、资格证明文件等）；</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不同投标供应商投标文件相互混装的；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不同投标供应商投标文件中的项目相关人员出现同一人的；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不同投标供应商聘请同一人为其投标提供技术或经济咨询服务的；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不同投标供应商的单位负责人为同一人或者存在直接控股、管理关系的；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不同投标供应商的投标文件异常一致或者投标报价呈规律性差异；</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投标文件商务标中同一方案有选择性报价且未声明以哪一个为准的；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投标文件报价出现前后不一致，投标供应商拒不确认修正后的报价的；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评标委员会认为投标供应商的报价明显低于其他通过符合性审查投标供应商的报价，有可能影响产品质量或者不能诚信履约的，要求其在评标现场合理的时间内</w:t>
      </w:r>
      <w:r>
        <w:rPr>
          <w:rFonts w:hint="eastAsia" w:ascii="宋体" w:hAnsi="宋体" w:cs="宋体"/>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自江苏省政府采购（苏采云）平台通知之时起一小时内)</w:t>
      </w:r>
      <w:r>
        <w:rPr>
          <w:rFonts w:hint="eastAsia" w:ascii="宋体" w:hAnsi="宋体" w:eastAsia="宋体" w:cs="Times New Roman"/>
          <w:color w:val="000000"/>
          <w:sz w:val="24"/>
          <w:highlight w:val="none"/>
        </w:rPr>
        <w:t xml:space="preserve">提供书面说明，并提交相关证明材料</w:t>
      </w:r>
      <w:r>
        <w:rPr>
          <w:rFonts w:hint="eastAsia" w:ascii="宋体" w:hAnsi="宋体" w:cs="宋体"/>
          <w:color w:val="000000"/>
          <w:sz w:val="24"/>
          <w:highlight w:val="none"/>
        </w:rPr>
        <w:t xml:space="preserve">；投标供应商不能证明其报价合理性的；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未通过初步资格性审查、投标文件资格性检查、</w:t>
      </w:r>
      <w:r>
        <w:rPr>
          <w:rFonts w:ascii="宋体" w:hAnsi="宋体" w:cs="宋体"/>
          <w:color w:val="000000"/>
          <w:sz w:val="24"/>
          <w:highlight w:val="none"/>
        </w:rPr>
        <w:t xml:space="preserve"> </w:t>
      </w:r>
      <w:r>
        <w:rPr>
          <w:rFonts w:hint="eastAsia" w:ascii="宋体" w:hAnsi="宋体" w:cs="宋体"/>
          <w:color w:val="000000"/>
          <w:sz w:val="24"/>
          <w:highlight w:val="none"/>
        </w:rPr>
        <w:t xml:space="preserve">投标文件符合性检查的；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未按要求提供技术文件的；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不同投标供应商的投标文件的装订形式、纸张情况、目录序号、排版格式、文字风格等存在明显的相似性或一致性，特征显示由同一单位或者同一个人编制的；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不同投标供应商的委托代理人、项目负责人以及其他相关人员有在同一个单位缴纳社会保险的；</w:t>
      </w:r>
      <w:r/>
    </w:p>
    <w:p>
      <w:pPr>
        <w:numPr>
          <w:ilvl w:val="0"/>
          <w:numId w:val="18"/>
        </w:numPr>
        <w:spacing w:line="360" w:lineRule="auto"/>
        <w:rPr>
          <w:rFonts w:ascii="宋体"/>
          <w:color w:val="000000"/>
          <w:sz w:val="24"/>
          <w:highlight w:val="none"/>
        </w:rPr>
      </w:pPr>
      <w:r>
        <w:rPr>
          <w:rFonts w:hint="eastAsia" w:ascii="宋体" w:hAnsi="宋体" w:cs="宋体"/>
          <w:color w:val="000000"/>
          <w:sz w:val="24"/>
          <w:highlight w:val="none"/>
        </w:rPr>
        <w:t xml:space="preserve">同一投标文件中单位名称落款与公章不是同一单位的；</w:t>
      </w:r>
      <w:r/>
    </w:p>
    <w:p>
      <w:pPr>
        <w:numPr>
          <w:ilvl w:val="0"/>
          <w:numId w:val="18"/>
        </w:numPr>
        <w:spacing w:line="360" w:lineRule="auto"/>
        <w:rPr>
          <w:rFonts w:hint="eastAsia" w:ascii="黑体" w:hAnsi="宋体" w:eastAsia="黑体"/>
          <w:bCs/>
          <w:color w:val="000000"/>
          <w:sz w:val="24"/>
          <w:highlight w:val="none"/>
        </w:rPr>
      </w:pPr>
      <w:r>
        <w:rPr>
          <w:rFonts w:hint="eastAsia" w:ascii="宋体" w:hAnsi="宋体" w:cs="宋体"/>
          <w:color w:val="000000"/>
          <w:sz w:val="24"/>
          <w:highlight w:val="none"/>
        </w:rPr>
        <w:t xml:space="preserve">不同投标供应商委托同一单位或者个人办理投标事宜的；</w:t>
      </w:r>
      <w:r/>
    </w:p>
    <w:p>
      <w:pPr>
        <w:ind w:left="-2"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投标文件内容不全或不符合法律法规和招标文件中规定的其他实质性要求的。</w:t>
      </w:r>
      <w:r/>
    </w:p>
    <w:p>
      <w:pPr>
        <w:ind w:left="-2" w:firstLine="420"/>
        <w:spacing w:line="360" w:lineRule="auto"/>
        <w:rPr>
          <w:rFonts w:hint="eastAsia" w:ascii="黑体" w:hAnsi="宋体" w:eastAsia="黑体"/>
          <w:bCs/>
          <w:color w:val="000000"/>
          <w:sz w:val="24"/>
          <w:highlight w:val="none"/>
        </w:rPr>
      </w:pPr>
      <w:r>
        <w:rPr>
          <w:rFonts w:hint="eastAsia" w:ascii="宋体" w:hAnsi="宋体" w:eastAsia="黑体" w:cs="宋体"/>
          <w:color w:val="000000"/>
          <w:sz w:val="24"/>
          <w:highlight w:val="none"/>
          <w:lang w:eastAsia="zh-CN"/>
        </w:rPr>
        <w:t xml:space="preserve">（</w:t>
      </w:r>
      <w:r>
        <w:rPr>
          <w:rFonts w:hint="eastAsia" w:ascii="宋体" w:hAnsi="宋体" w:eastAsia="黑体" w:cs="宋体"/>
          <w:color w:val="000000"/>
          <w:sz w:val="24"/>
          <w:highlight w:val="none"/>
          <w:lang w:val="en-US" w:eastAsia="zh-CN"/>
        </w:rPr>
        <w:t xml:space="preserve">九</w:t>
      </w:r>
      <w:r>
        <w:rPr>
          <w:rFonts w:hint="eastAsia" w:ascii="宋体" w:hAnsi="宋体" w:eastAsia="黑体" w:cs="宋体"/>
          <w:color w:val="000000"/>
          <w:sz w:val="24"/>
          <w:highlight w:val="none"/>
          <w:lang w:eastAsia="zh-CN"/>
        </w:rPr>
        <w:t xml:space="preserve">）</w:t>
      </w:r>
      <w:r>
        <w:rPr>
          <w:rFonts w:hint="eastAsia" w:ascii="黑体" w:hAnsi="宋体" w:eastAsia="黑体"/>
          <w:bCs/>
          <w:color w:val="000000"/>
          <w:sz w:val="24"/>
          <w:highlight w:val="none"/>
        </w:rPr>
        <w:t xml:space="preserve">开标、评标：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1．所有投标单位在招标文件规定的时间内解密各自投标文件。</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3.投标文件的审查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开标一览表内容与响应函内容不一致的，以开标一览表为准。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总价金额与按单价汇总金额不一致的，以单价金额计算结果为准。单价金额小数点有明显错位的，应以总价为准，并修改单价。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大写金额与小写金额不一致的，以大写金额为准。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对不同文字文本投标文件的解释发生异议的，以中文文本为准。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电子投标文件与纸质投标文件（如有）不符的，以电子投标文件为准。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投标供应商未参加开标的，视同认可开标结果。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4.评标程序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评标工作由普信国际工程咨询有限公司负责组织，具体评标事务由依法组建的评标委员会负责。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投标文件初审。初审分为资格性检查和符合性检查。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、中国政府采购网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www.ccgp.gov.cn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澄清有关问题。</w:t>
      </w:r>
      <w:r>
        <w:rPr>
          <w:rFonts w:hint="eastAsia" w:ascii="宋体" w:hAnsi="宋体" w:eastAsia="宋体"/>
          <w:color w:val="000000"/>
          <w:sz w:val="24"/>
          <w:szCs w:val="24"/>
          <w:highlight w:val="none"/>
        </w:rPr>
        <w:t xml:space="preserve">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5.评标方法</w:t>
      </w:r>
      <w:r/>
    </w:p>
    <w:p>
      <w:pPr>
        <w:ind w:firstLine="42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投标供应商通过初审的，方可进入</w:t>
      </w:r>
      <w:r>
        <w:rPr>
          <w:rFonts w:ascii="宋体" w:hAnsi="宋体"/>
          <w:bCs/>
          <w:color w:val="000000"/>
          <w:sz w:val="24"/>
          <w:highlight w:val="none"/>
        </w:rPr>
        <w:t xml:space="preserve">比较与评价</w:t>
      </w:r>
      <w:r>
        <w:rPr>
          <w:rFonts w:hint="eastAsia" w:ascii="宋体" w:hAnsi="宋体"/>
          <w:bCs/>
          <w:color w:val="000000"/>
          <w:sz w:val="24"/>
          <w:highlight w:val="none"/>
        </w:rPr>
        <w:t xml:space="preserve">程序。</w:t>
      </w:r>
      <w:r/>
    </w:p>
    <w:p>
      <w:pPr>
        <w:ind w:firstLine="424"/>
        <w:spacing w:line="360" w:lineRule="auto"/>
        <w:rPr>
          <w:rFonts w:hint="eastAsia" w:ascii="宋体" w:hAnsi="宋体"/>
          <w:bCs/>
          <w:color w:val="000000"/>
          <w:sz w:val="24"/>
          <w:highlight w:val="none"/>
        </w:rPr>
      </w:pPr>
      <w:r>
        <w:rPr>
          <w:rFonts w:ascii="宋体" w:hAnsi="宋体"/>
          <w:bCs/>
          <w:color w:val="000000"/>
          <w:sz w:val="24"/>
          <w:highlight w:val="none"/>
        </w:rPr>
        <w:t xml:space="preserve">比较与评价</w:t>
      </w:r>
      <w:r>
        <w:rPr>
          <w:rFonts w:hint="eastAsia" w:ascii="宋体" w:hAnsi="宋体"/>
          <w:bCs/>
          <w:color w:val="000000"/>
          <w:sz w:val="24"/>
          <w:highlight w:val="none"/>
        </w:rPr>
        <w:t xml:space="preserve">采用综合评分法（计分均保留2位小数）。</w:t>
      </w:r>
      <w:r/>
    </w:p>
    <w:p>
      <w:pPr>
        <w:ind w:firstLine="371"/>
        <w:spacing w:line="360" w:lineRule="auto"/>
        <w:tabs>
          <w:tab w:val="left" w:pos="630" w:leader="none"/>
          <w:tab w:val="left" w:pos="1365" w:leader="none"/>
        </w:tabs>
        <w:rPr>
          <w:color w:val="000000"/>
          <w:sz w:val="24"/>
          <w:highlight w:val="none"/>
        </w:rPr>
      </w:pPr>
      <w:r>
        <w:rPr>
          <w:color w:val="000000"/>
          <w:highlight w:val="none"/>
        </w:rPr>
        <w:t xml:space="preserve"> </w:t>
      </w:r>
      <w:r>
        <w:rPr>
          <w:color w:val="000000"/>
          <w:sz w:val="24"/>
          <w:highlight w:val="none"/>
        </w:rPr>
        <w:t xml:space="preserve">本次评标采用综合评分法，是指投标文件满足采购文件全部实质性要求，且按照评审因素的量化指标评审得分最高的投标供应商为中标候选人的评标方法。</w:t>
      </w:r>
      <w:r/>
    </w:p>
    <w:p>
      <w:pPr>
        <w:ind w:firstLine="424"/>
        <w:spacing w:line="360" w:lineRule="auto"/>
        <w:tabs>
          <w:tab w:val="left" w:pos="525" w:leader="none"/>
          <w:tab w:val="left" w:pos="1050" w:leader="none"/>
        </w:tabs>
        <w:rPr>
          <w:color w:val="000000"/>
          <w:sz w:val="24"/>
          <w:highlight w:val="none"/>
        </w:rPr>
      </w:pPr>
      <w:r>
        <w:rPr>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中标候选人。</w:t>
      </w:r>
      <w:r/>
    </w:p>
    <w:p>
      <w:pPr>
        <w:numPr>
          <w:ilvl w:val="0"/>
          <w:numId w:val="19"/>
        </w:numPr>
        <w:ind w:firstLine="424"/>
        <w:spacing w:line="360" w:lineRule="auto"/>
        <w:rPr>
          <w:rFonts w:hint="eastAsia" w:ascii="宋体" w:hAnsi="宋体" w:cs="宋体"/>
          <w:bCs/>
          <w:color w:val="000000"/>
          <w:sz w:val="24"/>
          <w:highlight w:val="none"/>
        </w:rPr>
      </w:pPr>
      <w:r>
        <w:rPr>
          <w:rFonts w:hint="eastAsia" w:ascii="宋体" w:hAnsi="宋体"/>
          <w:color w:val="000000"/>
          <w:sz w:val="24"/>
          <w:highlight w:val="none"/>
        </w:rPr>
        <w:t xml:space="preserve">评分标准</w:t>
      </w:r>
      <w:r/>
    </w:p>
    <w:p>
      <w:pPr>
        <w:ind w:firstLine="523"/>
        <w:spacing w:line="360" w:lineRule="auto"/>
        <w:rPr>
          <w:rFonts w:ascii="宋体" w:hAnsi="宋体"/>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评分项目及分值（总分100分）</w:t>
      </w:r>
      <w:r/>
    </w:p>
    <w:p>
      <w:pPr>
        <w:ind w:firstLine="480"/>
        <w:jc w:val="left"/>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（1）投标报价                                     30分</w:t>
      </w:r>
      <w:r/>
    </w:p>
    <w:p>
      <w:pPr>
        <w:ind w:firstLine="480"/>
        <w:jc w:val="left"/>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rPr>
        <w:t xml:space="preserve">供应商综合实力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分 </w:t>
      </w:r>
      <w:r/>
    </w:p>
    <w:p>
      <w:pPr>
        <w:ind w:firstLine="480"/>
        <w:jc w:val="left"/>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（3）技术</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5</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各项目评分标准</w:t>
      </w:r>
      <w:r/>
    </w:p>
    <w:p>
      <w:pPr>
        <w:ind w:firstLine="482"/>
        <w:jc w:val="left"/>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（1）投标报价（30分）</w:t>
      </w:r>
      <w:r/>
    </w:p>
    <w:p>
      <w:pPr>
        <w:ind w:left="0" w:firstLine="480"/>
        <w:jc w:val="left"/>
        <w:keepLines w:val="0"/>
        <w:keepNext w:val="0"/>
        <w:pageBreakBefore w:val="0"/>
        <w:spacing w:line="36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采用低价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投标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折扣率</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优先法计算，即满足招标文件要求且投标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折扣率最低</w:t>
      </w:r>
      <w:r>
        <w:rPr>
          <w:rFonts w:hint="eastAsia" w:ascii="宋体" w:hAnsi="宋体" w:cs="宋体"/>
          <w:bCs/>
          <w:color w:val="000000" w:themeColor="text1"/>
          <w:sz w:val="24"/>
          <w:szCs w:val="24"/>
          <w:highlight w:val="none"/>
          <w14:textFill>
            <w14:solidFill>
              <w14:schemeClr w14:val="tx1"/>
            </w14:solidFill>
          </w14:textFill>
        </w:rPr>
        <w:t xml:space="preserve">的投标报价为评标基准价，其价格分为满分。其他投标供应商的价格分统一按照下列公式计算：</w:t>
      </w:r>
      <w:r/>
    </w:p>
    <w:p>
      <w:pPr>
        <w:ind w:left="0" w:firstLine="480"/>
        <w:jc w:val="left"/>
        <w:keepLines w:val="0"/>
        <w:keepNext w:val="0"/>
        <w:pageBreakBefore w:val="0"/>
        <w:spacing w:line="360" w:lineRule="auto"/>
        <w:widowControl w:val="off"/>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投标报价得分=(评标基准价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投标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折扣率</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50</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840" w:leader="none"/>
          <w:tab w:val="left" w:pos="1050" w:leader="none"/>
        </w:tabs>
        <w:rPr>
          <w:rFonts w:hint="eastAsia"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投标优惠率=1-投标折扣率（例：打九折即折扣率=90%、优惠率=1-90%=10%）</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（二） 供应商综合实力（18分）：</w:t>
      </w:r>
      <w:r/>
    </w:p>
    <w:p>
      <w:pPr>
        <w:ind w:firstLine="482"/>
        <w:spacing w:line="460" w:lineRule="exact"/>
        <w:tabs>
          <w:tab w:val="left" w:pos="840" w:leader="none"/>
          <w:tab w:val="left" w:pos="1050" w:leader="none"/>
        </w:tabs>
        <w:rPr>
          <w:rFonts w:ascii="宋体" w:hAnsi="宋体" w:cs="仿宋"/>
          <w:b/>
          <w:sz w:val="24"/>
        </w:rPr>
      </w:pPr>
      <w:r>
        <w:rPr>
          <w:rFonts w:ascii="宋体" w:hAnsi="宋体" w:cs="仿宋"/>
          <w:b/>
          <w:sz w:val="24"/>
        </w:rPr>
        <w:t xml:space="preserve">（</w:t>
      </w:r>
      <w:r>
        <w:rPr>
          <w:rFonts w:hint="eastAsia" w:ascii="宋体" w:hAnsi="宋体" w:cs="仿宋"/>
          <w:b/>
          <w:sz w:val="24"/>
        </w:rPr>
        <w:t xml:space="preserve">1</w:t>
      </w:r>
      <w:r>
        <w:rPr>
          <w:rFonts w:ascii="宋体" w:hAnsi="宋体" w:cs="仿宋"/>
          <w:b/>
          <w:sz w:val="24"/>
        </w:rPr>
        <w:t xml:space="preserve">）投标供应商自</w:t>
      </w:r>
      <w:r>
        <w:rPr>
          <w:rFonts w:hint="eastAsia" w:ascii="宋体" w:hAnsi="宋体" w:cs="仿宋"/>
          <w:b/>
          <w:sz w:val="24"/>
        </w:rPr>
        <w:t xml:space="preserve">2021年1月1日以来承接同类型项目业绩的有一个得1.5分，最高得3分。</w:t>
      </w:r>
      <w:r>
        <w:rPr>
          <w:rFonts w:hint="eastAsia" w:ascii="宋体" w:hAnsi="宋体" w:cs="仿宋"/>
          <w:bCs/>
          <w:sz w:val="24"/>
          <w:lang w:eastAsia="zh-CN"/>
        </w:rPr>
        <w:t xml:space="preserve">（</w:t>
      </w:r>
      <w:r>
        <w:rPr>
          <w:rFonts w:hint="eastAsia" w:ascii="宋体" w:hAnsi="宋体" w:cs="仿宋"/>
          <w:bCs/>
          <w:sz w:val="24"/>
        </w:rPr>
        <w:t xml:space="preserve">投标文件中需提供合同</w:t>
      </w:r>
      <w:r>
        <w:rPr>
          <w:rFonts w:hint="eastAsia" w:ascii="宋体" w:hAnsi="宋体" w:cs="仿宋"/>
          <w:bCs/>
          <w:sz w:val="24"/>
          <w:lang w:val="en-US" w:eastAsia="zh-CN"/>
        </w:rPr>
        <w:t xml:space="preserve">原件扫描件</w:t>
      </w:r>
      <w:r>
        <w:rPr>
          <w:rFonts w:hint="eastAsia" w:ascii="宋体" w:hAnsi="宋体" w:cs="仿宋"/>
          <w:bCs/>
          <w:sz w:val="24"/>
        </w:rPr>
        <w:t xml:space="preserve">，日期以合同签订日期为准</w:t>
      </w:r>
      <w:r>
        <w:rPr>
          <w:rFonts w:hint="eastAsia" w:ascii="宋体" w:hAnsi="宋体" w:cs="仿宋"/>
          <w:bCs/>
          <w:sz w:val="24"/>
          <w:lang w:eastAsia="zh-CN"/>
        </w:rPr>
        <w:t xml:space="preserve">）</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（2）投标供应</w:t>
      </w:r>
      <w:r>
        <w:rPr>
          <w:rFonts w:hint="eastAsia" w:ascii="宋体" w:hAnsi="宋体" w:eastAsia="宋体" w:cs="仿宋"/>
          <w:b/>
          <w:sz w:val="24"/>
        </w:rPr>
        <w:t xml:space="preserve">商</w:t>
      </w:r>
      <w:r>
        <w:rPr>
          <w:rFonts w:hint="eastAsia" w:ascii="宋体" w:hAnsi="宋体" w:eastAsia="宋体" w:cs="仿宋"/>
          <w:b/>
          <w:sz w:val="24"/>
          <w:lang w:val="en-US" w:eastAsia="zh-CN"/>
        </w:rPr>
        <w:t xml:space="preserve">或</w:t>
      </w:r>
      <w:r>
        <w:rPr>
          <w:rFonts w:hint="eastAsia" w:ascii="宋体" w:hAnsi="宋体" w:eastAsia="宋体" w:cs="仿宋"/>
          <w:b/>
          <w:sz w:val="24"/>
        </w:rPr>
        <w:t xml:space="preserve">供货生产厂商具有动物</w:t>
      </w:r>
      <w:r>
        <w:rPr>
          <w:rFonts w:hint="eastAsia" w:ascii="宋体" w:hAnsi="宋体" w:cs="仿宋"/>
          <w:b/>
          <w:sz w:val="24"/>
        </w:rPr>
        <w:t xml:space="preserve">检疫合格证明、肉品品质合格证明、瘦肉精检测报告、产品蔬菜水果农药残留检测报告有一项得0.5分，最高得2分</w:t>
      </w:r>
      <w:r>
        <w:rPr>
          <w:rFonts w:hint="eastAsia" w:ascii="宋体" w:hAnsi="宋体" w:cs="仿宋"/>
          <w:b/>
          <w:sz w:val="24"/>
          <w:lang w:eastAsia="zh-CN"/>
        </w:rPr>
        <w:t xml:space="preserve">。</w:t>
      </w:r>
      <w:r>
        <w:rPr>
          <w:rFonts w:hint="eastAsia" w:ascii="宋体" w:hAnsi="宋体" w:cs="仿宋"/>
          <w:bCs/>
          <w:sz w:val="24"/>
          <w:lang w:eastAsia="zh-CN"/>
        </w:rPr>
        <w:t xml:space="preserve">（</w:t>
      </w:r>
      <w:r>
        <w:rPr>
          <w:rFonts w:hint="eastAsia" w:ascii="宋体" w:hAnsi="宋体" w:cs="仿宋"/>
          <w:bCs/>
          <w:sz w:val="24"/>
        </w:rPr>
        <w:t xml:space="preserve">投标文件中需提供上述</w:t>
      </w:r>
      <w:r>
        <w:rPr>
          <w:rFonts w:hint="eastAsia" w:ascii="宋体" w:hAnsi="宋体" w:cs="仿宋"/>
          <w:bCs/>
          <w:sz w:val="24"/>
          <w:lang w:val="en-US" w:eastAsia="zh-CN"/>
        </w:rPr>
        <w:t xml:space="preserve">原件扫描件</w:t>
      </w:r>
      <w:r>
        <w:rPr>
          <w:rFonts w:hint="eastAsia" w:ascii="宋体" w:hAnsi="宋体" w:cs="仿宋"/>
          <w:bCs/>
          <w:sz w:val="24"/>
          <w:lang w:eastAsia="zh-CN"/>
        </w:rPr>
        <w:t xml:space="preserve">）</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（3）投标供应商配送有冷链厢式货车，有3辆的得0.5分，每增加1辆加0.5分，最高</w:t>
      </w:r>
      <w:r>
        <w:rPr>
          <w:rFonts w:hint="eastAsia" w:ascii="宋体" w:hAnsi="宋体" w:cs="仿宋"/>
          <w:b/>
          <w:color w:val="000000" w:themeColor="text1"/>
          <w:sz w:val="24"/>
          <w14:textFill>
            <w14:solidFill>
              <w14:schemeClr w14:val="tx1"/>
            </w14:solidFill>
          </w14:textFill>
        </w:rPr>
        <w:t xml:space="preserve">得1.5分。</w:t>
      </w:r>
      <w:r/>
    </w:p>
    <w:p>
      <w:pPr>
        <w:ind w:firstLine="480"/>
        <w:spacing w:line="460" w:lineRule="exact"/>
        <w:tabs>
          <w:tab w:val="left" w:pos="840" w:leader="none"/>
          <w:tab w:val="left" w:pos="1050" w:leader="none"/>
        </w:tabs>
        <w:rPr>
          <w:rFonts w:ascii="宋体" w:hAnsi="宋体" w:cs="仿宋"/>
          <w:bCs/>
          <w:sz w:val="24"/>
        </w:rPr>
      </w:pPr>
      <w:r>
        <w:rPr>
          <w:rFonts w:hint="eastAsia" w:ascii="宋体" w:hAnsi="宋体" w:cs="仿宋"/>
          <w:bCs/>
          <w:sz w:val="24"/>
        </w:rPr>
        <w:t xml:space="preserve">注：配送车辆为投标供应商自有的，车辆行驶证或登记证所有人名称须与投标供应商一致，</w:t>
      </w:r>
      <w:r>
        <w:rPr>
          <w:rFonts w:hint="eastAsia" w:ascii="宋体" w:hAnsi="宋体" w:cs="仿宋"/>
          <w:bCs/>
          <w:sz w:val="24"/>
          <w:lang w:val="zh-CN"/>
        </w:rPr>
        <w:t xml:space="preserve">投标文件中</w:t>
      </w:r>
      <w:r>
        <w:rPr>
          <w:rFonts w:hint="eastAsia" w:ascii="宋体" w:hAnsi="宋体" w:cs="仿宋"/>
          <w:bCs/>
          <w:sz w:val="24"/>
        </w:rPr>
        <w:t xml:space="preserve">需提供车辆行驶证或登记证</w:t>
      </w:r>
      <w:r>
        <w:rPr>
          <w:rFonts w:hint="eastAsia" w:ascii="宋体" w:hAnsi="宋体" w:cs="仿宋"/>
          <w:bCs/>
          <w:sz w:val="24"/>
          <w:lang w:val="en-US" w:eastAsia="zh-CN"/>
        </w:rPr>
        <w:t xml:space="preserve">原件扫描件</w:t>
      </w:r>
      <w:r>
        <w:rPr>
          <w:rFonts w:hint="eastAsia" w:ascii="宋体" w:hAnsi="宋体" w:cs="仿宋"/>
          <w:bCs/>
          <w:sz w:val="24"/>
        </w:rPr>
        <w:t xml:space="preserve">；配送车辆若为投标供应商租赁的，需提供配送车辆的运输或租赁合同</w:t>
      </w:r>
      <w:r>
        <w:rPr>
          <w:rFonts w:hint="eastAsia" w:ascii="宋体" w:hAnsi="宋体" w:cs="仿宋"/>
          <w:bCs/>
          <w:sz w:val="24"/>
          <w:lang w:val="en-US" w:eastAsia="zh-CN"/>
        </w:rPr>
        <w:t xml:space="preserve">原件扫描件</w:t>
      </w:r>
      <w:r>
        <w:rPr>
          <w:rFonts w:hint="eastAsia" w:ascii="宋体" w:hAnsi="宋体" w:cs="仿宋"/>
          <w:bCs/>
          <w:sz w:val="24"/>
        </w:rPr>
        <w:t xml:space="preserve">。</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（4）投标供应商具有有效的环境管理体系证书、职业健康安全管理体系证书、质量管理体系认证证书、食品安全管理体系认证证书、供应链安全管理认证证书的，有一个得0.3分，最高得1.5分。</w:t>
      </w:r>
      <w:r>
        <w:rPr>
          <w:rFonts w:hint="eastAsia" w:ascii="宋体" w:hAnsi="宋体" w:cs="仿宋"/>
          <w:bCs/>
          <w:sz w:val="24"/>
          <w:lang w:eastAsia="zh-CN"/>
        </w:rPr>
        <w:t xml:space="preserve">（</w:t>
      </w:r>
      <w:r>
        <w:rPr>
          <w:rFonts w:hint="eastAsia" w:ascii="宋体" w:hAnsi="宋体" w:cs="仿宋"/>
          <w:bCs/>
          <w:sz w:val="24"/>
        </w:rPr>
        <w:t xml:space="preserve">投标文件中提供证书</w:t>
      </w:r>
      <w:r>
        <w:rPr>
          <w:rFonts w:hint="eastAsia" w:ascii="宋体" w:hAnsi="宋体" w:cs="仿宋"/>
          <w:bCs/>
          <w:sz w:val="24"/>
          <w:lang w:val="en-US" w:eastAsia="zh-CN"/>
        </w:rPr>
        <w:t xml:space="preserve">原件扫描件</w:t>
      </w:r>
      <w:r>
        <w:rPr>
          <w:rFonts w:hint="eastAsia" w:ascii="宋体" w:hAnsi="宋体" w:cs="仿宋"/>
          <w:bCs/>
          <w:sz w:val="24"/>
          <w:lang w:eastAsia="zh-CN"/>
        </w:rPr>
        <w:t xml:space="preserve">）</w:t>
      </w:r>
      <w:r/>
    </w:p>
    <w:p>
      <w:pPr>
        <w:ind w:firstLine="482"/>
        <w:spacing w:line="460" w:lineRule="exact"/>
        <w:tabs>
          <w:tab w:val="left" w:pos="840" w:leader="none"/>
          <w:tab w:val="left" w:pos="1050" w:leader="none"/>
        </w:tabs>
        <w:rPr>
          <w:rFonts w:ascii="宋体" w:hAnsi="宋体" w:cs="仿宋"/>
          <w:bCs/>
          <w:sz w:val="24"/>
        </w:rPr>
      </w:pPr>
      <w:r>
        <w:rPr>
          <w:rFonts w:hint="eastAsia" w:ascii="宋体" w:hAnsi="宋体" w:cs="仿宋"/>
          <w:b/>
          <w:sz w:val="24"/>
        </w:rPr>
        <w:t xml:space="preserve">（5）投标供应商获得的奖励荣誉：投标供应商获得市级及以上行政主管部门发放的荣誉或称号的,得0.5分</w:t>
      </w:r>
      <w:r>
        <w:rPr>
          <w:rFonts w:hint="eastAsia" w:ascii="宋体" w:hAnsi="宋体" w:cs="仿宋"/>
          <w:b/>
          <w:sz w:val="24"/>
          <w:lang w:val="en-US" w:eastAsia="zh-CN"/>
        </w:rPr>
        <w:t xml:space="preserve">/个</w:t>
      </w:r>
      <w:r>
        <w:rPr>
          <w:rFonts w:hint="eastAsia" w:ascii="宋体" w:hAnsi="宋体" w:cs="仿宋"/>
          <w:b/>
          <w:sz w:val="24"/>
        </w:rPr>
        <w:t xml:space="preserve">,获得国家级荣誉或称号的得1分。本项最高得1分。</w:t>
      </w:r>
      <w:r>
        <w:rPr>
          <w:rFonts w:hint="eastAsia" w:ascii="宋体" w:hAnsi="宋体" w:cs="仿宋"/>
          <w:bCs/>
          <w:sz w:val="24"/>
          <w:lang w:eastAsia="zh-CN"/>
        </w:rPr>
        <w:t xml:space="preserve">（</w:t>
      </w:r>
      <w:r>
        <w:rPr>
          <w:rFonts w:hint="eastAsia" w:ascii="宋体" w:hAnsi="宋体" w:cs="仿宋"/>
          <w:bCs/>
          <w:sz w:val="24"/>
        </w:rPr>
        <w:t xml:space="preserve">投标文件中提供</w:t>
      </w:r>
      <w:r>
        <w:rPr>
          <w:rFonts w:hint="eastAsia" w:ascii="宋体" w:hAnsi="宋体" w:cs="仿宋"/>
          <w:bCs/>
          <w:sz w:val="24"/>
          <w:lang w:val="en-US" w:eastAsia="zh-CN"/>
        </w:rPr>
        <w:t xml:space="preserve">获奖证书或文件原件扫描件</w:t>
      </w:r>
      <w:r>
        <w:rPr>
          <w:rFonts w:hint="eastAsia" w:ascii="宋体" w:hAnsi="宋体" w:cs="仿宋"/>
          <w:bCs/>
          <w:sz w:val="24"/>
          <w:lang w:eastAsia="zh-CN"/>
        </w:rPr>
        <w:t xml:space="preserve">）</w:t>
      </w:r>
      <w:r/>
    </w:p>
    <w:p>
      <w:pPr>
        <w:ind w:firstLine="482"/>
        <w:spacing w:line="460" w:lineRule="exact"/>
        <w:tabs>
          <w:tab w:val="left" w:pos="840" w:leader="none"/>
          <w:tab w:val="left" w:pos="1050" w:leader="none"/>
        </w:tabs>
        <w:rPr>
          <w:rFonts w:ascii="宋体" w:hAnsi="宋体" w:cs="仿宋"/>
          <w:b/>
          <w:sz w:val="24"/>
          <w:highlight w:val="yellow"/>
        </w:rPr>
      </w:pPr>
      <w:r>
        <w:rPr>
          <w:rFonts w:hint="eastAsia" w:ascii="宋体" w:hAnsi="宋体" w:cs="仿宋"/>
          <w:b/>
          <w:bCs/>
          <w:sz w:val="24"/>
        </w:rPr>
        <w:t xml:space="preserve">（6）</w:t>
      </w:r>
      <w:r>
        <w:rPr>
          <w:rFonts w:hint="eastAsia" w:ascii="宋体" w:hAnsi="宋体" w:cs="仿宋"/>
          <w:b/>
          <w:sz w:val="24"/>
        </w:rPr>
        <w:t xml:space="preserve">投标供应</w:t>
      </w:r>
      <w:r>
        <w:rPr>
          <w:rFonts w:hint="eastAsia" w:ascii="宋体" w:hAnsi="宋体" w:eastAsia="宋体" w:cs="仿宋"/>
          <w:b/>
          <w:sz w:val="24"/>
        </w:rPr>
        <w:t xml:space="preserve">商</w:t>
      </w:r>
      <w:r>
        <w:rPr>
          <w:rFonts w:hint="eastAsia" w:ascii="宋体" w:hAnsi="宋体" w:eastAsia="宋体" w:cs="仿宋"/>
          <w:b/>
          <w:sz w:val="24"/>
          <w:lang w:val="zh-CN"/>
        </w:rPr>
        <w:t xml:space="preserve">自有或租赁配送基地的</w:t>
      </w:r>
      <w:r>
        <w:rPr>
          <w:rFonts w:hint="eastAsia" w:ascii="宋体" w:hAnsi="宋体" w:eastAsia="宋体" w:cs="仿宋"/>
          <w:b/>
          <w:sz w:val="24"/>
        </w:rPr>
        <w:t xml:space="preserve">得0.5分</w:t>
      </w:r>
      <w:r>
        <w:rPr>
          <w:rFonts w:hint="eastAsia" w:ascii="宋体" w:hAnsi="宋体" w:cs="仿宋"/>
          <w:b/>
          <w:sz w:val="24"/>
        </w:rPr>
        <w:t xml:space="preserve">，</w:t>
      </w:r>
      <w:r>
        <w:rPr>
          <w:rFonts w:hint="eastAsia" w:ascii="宋体" w:hAnsi="宋体" w:eastAsia="宋体" w:cs="仿宋"/>
          <w:b/>
          <w:sz w:val="24"/>
          <w:lang w:val="zh-CN"/>
        </w:rPr>
        <w:t xml:space="preserve">自有或租赁</w:t>
      </w:r>
      <w:r>
        <w:rPr>
          <w:rFonts w:hint="eastAsia" w:ascii="宋体" w:hAnsi="宋体" w:cs="仿宋"/>
          <w:b/>
          <w:sz w:val="24"/>
        </w:rPr>
        <w:t xml:space="preserve">库房的得0.5分，最高得1分。</w:t>
      </w:r>
      <w:r>
        <w:rPr>
          <w:rFonts w:hint="eastAsia" w:ascii="Times New Roman" w:hAnsi="宋体" w:cs="宋体"/>
          <w:bCs/>
          <w:sz w:val="24"/>
          <w:szCs w:val="24"/>
          <w:lang w:val="zh-CN"/>
        </w:rPr>
        <w:t xml:space="preserve">（自有的</w:t>
      </w:r>
      <w:r>
        <w:rPr>
          <w:rFonts w:hint="eastAsia" w:ascii="Times New Roman" w:hAnsi="宋体" w:cs="宋体"/>
          <w:bCs/>
          <w:sz w:val="24"/>
          <w:szCs w:val="24"/>
          <w:lang w:val="en-US" w:eastAsia="zh-CN"/>
        </w:rPr>
        <w:t xml:space="preserve">投标文件中</w:t>
      </w:r>
      <w:r>
        <w:rPr>
          <w:rFonts w:hint="eastAsia" w:ascii="Times New Roman" w:hAnsi="宋体" w:cs="宋体"/>
          <w:bCs/>
          <w:sz w:val="24"/>
          <w:szCs w:val="24"/>
          <w:lang w:val="zh-CN"/>
        </w:rPr>
        <w:t xml:space="preserve">提供产权登记相关证明</w:t>
      </w:r>
      <w:r>
        <w:rPr>
          <w:rFonts w:hint="eastAsia" w:ascii="宋体" w:hAnsi="宋体" w:cs="仿宋"/>
          <w:bCs/>
          <w:sz w:val="24"/>
          <w:lang w:val="en-US" w:eastAsia="zh-CN"/>
        </w:rPr>
        <w:t xml:space="preserve">原件扫描件</w:t>
      </w:r>
      <w:r>
        <w:rPr>
          <w:rFonts w:hint="eastAsia" w:ascii="Times New Roman" w:hAnsi="宋体" w:cs="宋体"/>
          <w:bCs/>
          <w:sz w:val="24"/>
          <w:szCs w:val="24"/>
          <w:lang w:val="zh-CN"/>
        </w:rPr>
        <w:t xml:space="preserve">，租赁的</w:t>
      </w:r>
      <w:r>
        <w:rPr>
          <w:rFonts w:hint="eastAsia" w:ascii="Times New Roman" w:hAnsi="宋体" w:cs="宋体"/>
          <w:bCs/>
          <w:sz w:val="24"/>
          <w:szCs w:val="24"/>
          <w:lang w:val="en-US" w:eastAsia="zh-CN"/>
        </w:rPr>
        <w:t xml:space="preserve">投标文件中</w:t>
      </w:r>
      <w:r>
        <w:rPr>
          <w:rFonts w:hint="eastAsia" w:ascii="Times New Roman" w:hAnsi="宋体" w:cs="宋体"/>
          <w:bCs/>
          <w:sz w:val="24"/>
          <w:szCs w:val="24"/>
          <w:lang w:val="zh-CN"/>
        </w:rPr>
        <w:t xml:space="preserve">提供租赁协议</w:t>
      </w:r>
      <w:r>
        <w:rPr>
          <w:rFonts w:hint="eastAsia" w:ascii="宋体" w:hAnsi="宋体" w:cs="仿宋"/>
          <w:bCs/>
          <w:sz w:val="24"/>
          <w:lang w:val="en-US" w:eastAsia="zh-CN"/>
        </w:rPr>
        <w:t xml:space="preserve">原件扫描件</w:t>
      </w:r>
      <w:r>
        <w:rPr>
          <w:rFonts w:hint="eastAsia" w:ascii="Times New Roman" w:hAnsi="宋体" w:cs="宋体"/>
          <w:bCs/>
          <w:sz w:val="24"/>
          <w:szCs w:val="24"/>
          <w:lang w:val="zh-CN"/>
        </w:rPr>
        <w:t xml:space="preserve">）</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（7）人员配备（4分）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①项目负责人（2分）：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bCs/>
          <w:sz w:val="24"/>
        </w:rPr>
        <w:t xml:space="preserve">投标供应商项目负责人具有5年以上工作经验的得1分，具有</w:t>
      </w:r>
      <w:r>
        <w:rPr>
          <w:rFonts w:hint="eastAsia" w:ascii="宋体" w:hAnsi="宋体" w:cs="仿宋"/>
          <w:b/>
          <w:sz w:val="24"/>
        </w:rPr>
        <w:t xml:space="preserve">安全管理师证书的得1分</w:t>
      </w:r>
      <w:r>
        <w:rPr>
          <w:rFonts w:hint="eastAsia" w:ascii="宋体" w:hAnsi="宋体" w:cs="仿宋"/>
          <w:b/>
          <w:bCs/>
          <w:sz w:val="24"/>
        </w:rPr>
        <w:t xml:space="preserve">，本项共2分。</w:t>
      </w:r>
      <w:r>
        <w:rPr>
          <w:rFonts w:hint="eastAsia" w:ascii="Times New Roman" w:hAnsi="宋体" w:cs="宋体"/>
          <w:bCs/>
          <w:sz w:val="24"/>
          <w:szCs w:val="24"/>
          <w:lang w:val="zh-CN"/>
        </w:rPr>
        <w:t xml:space="preserve">（</w:t>
      </w:r>
      <w:r>
        <w:rPr>
          <w:rFonts w:hint="eastAsia" w:ascii="宋体" w:hAnsi="宋体" w:cs="仿宋"/>
          <w:bCs/>
          <w:sz w:val="24"/>
        </w:rPr>
        <w:t xml:space="preserve">投标文件中提供</w:t>
      </w:r>
      <w:r>
        <w:rPr>
          <w:rFonts w:hint="eastAsia" w:ascii="宋体" w:hAnsi="宋体" w:cs="仿宋"/>
          <w:bCs/>
          <w:sz w:val="24"/>
          <w:lang w:val="en-US" w:eastAsia="zh-CN"/>
        </w:rPr>
        <w:t xml:space="preserve">承诺书及证书原件扫描件</w:t>
      </w:r>
      <w:r>
        <w:rPr>
          <w:rFonts w:hint="eastAsia" w:ascii="宋体" w:hAnsi="宋体" w:cs="仿宋"/>
          <w:bCs/>
          <w:sz w:val="24"/>
        </w:rPr>
        <w:t xml:space="preserve">，近</w:t>
      </w:r>
      <w:r>
        <w:rPr>
          <w:rFonts w:hint="eastAsia" w:ascii="宋体" w:hAnsi="宋体" w:cs="仿宋"/>
          <w:bCs/>
          <w:sz w:val="24"/>
          <w:lang w:val="en-US" w:eastAsia="zh-CN"/>
        </w:rPr>
        <w:t xml:space="preserve">六</w:t>
      </w:r>
      <w:r>
        <w:rPr>
          <w:rFonts w:hint="eastAsia" w:ascii="宋体" w:hAnsi="宋体" w:cs="仿宋"/>
          <w:bCs/>
          <w:sz w:val="24"/>
        </w:rPr>
        <w:t xml:space="preserve">个月（不含投标当月）</w:t>
      </w:r>
      <w:r>
        <w:rPr>
          <w:rFonts w:hint="eastAsia" w:ascii="宋体" w:hAnsi="宋体" w:cs="仿宋"/>
          <w:bCs/>
          <w:sz w:val="24"/>
          <w:lang w:val="en-US" w:eastAsia="zh-CN"/>
        </w:rPr>
        <w:t xml:space="preserve">中任一月</w:t>
      </w:r>
      <w:r>
        <w:rPr>
          <w:rFonts w:hint="eastAsia" w:ascii="宋体" w:hAnsi="宋体" w:cs="仿宋"/>
          <w:bCs/>
          <w:sz w:val="24"/>
        </w:rPr>
        <w:t xml:space="preserve">社保缴纳证明，否则不得分</w:t>
      </w:r>
      <w:r>
        <w:rPr>
          <w:rFonts w:hint="eastAsia" w:ascii="Times New Roman" w:hAnsi="宋体" w:cs="宋体"/>
          <w:bCs/>
          <w:sz w:val="24"/>
          <w:szCs w:val="24"/>
          <w:lang w:val="zh-CN"/>
        </w:rPr>
        <w:t xml:space="preserve">）</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②配送及服务人员（2分）：</w:t>
      </w:r>
      <w:r/>
    </w:p>
    <w:p>
      <w:pPr>
        <w:ind w:firstLine="480"/>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投标供应商为该项目提供服务及配送人员5人的得1分，每增加2人加0.5</w:t>
      </w:r>
      <w:r>
        <w:rPr>
          <w:rFonts w:hint="eastAsia" w:ascii="宋体" w:hAnsi="宋体" w:cs="仿宋"/>
          <w:b/>
          <w:bCs/>
          <w:sz w:val="24"/>
        </w:rPr>
        <w:t xml:space="preserve">分，本项共2分。</w:t>
      </w:r>
      <w:r>
        <w:rPr>
          <w:rFonts w:hint="eastAsia" w:ascii="Times New Roman" w:hAnsi="宋体" w:cs="宋体"/>
          <w:bCs/>
          <w:sz w:val="24"/>
          <w:szCs w:val="24"/>
          <w:lang w:val="zh-CN"/>
        </w:rPr>
        <w:t xml:space="preserve">（</w:t>
      </w:r>
      <w:r>
        <w:rPr>
          <w:rFonts w:hint="eastAsia" w:ascii="宋体" w:hAnsi="宋体" w:cs="仿宋"/>
          <w:bCs/>
          <w:sz w:val="24"/>
        </w:rPr>
        <w:t xml:space="preserve">投标文件中提供健康证</w:t>
      </w:r>
      <w:r>
        <w:rPr>
          <w:rFonts w:hint="eastAsia" w:ascii="宋体" w:hAnsi="宋体" w:cs="仿宋"/>
          <w:bCs/>
          <w:sz w:val="24"/>
          <w:lang w:val="en-US" w:eastAsia="zh-CN"/>
        </w:rPr>
        <w:t xml:space="preserve">原件扫描件</w:t>
      </w:r>
      <w:r>
        <w:rPr>
          <w:rFonts w:hint="eastAsia" w:ascii="宋体" w:hAnsi="宋体" w:cs="仿宋"/>
          <w:bCs/>
          <w:sz w:val="24"/>
        </w:rPr>
        <w:t xml:space="preserve">，近</w:t>
      </w:r>
      <w:r>
        <w:rPr>
          <w:rFonts w:hint="eastAsia" w:ascii="宋体" w:hAnsi="宋体" w:cs="仿宋"/>
          <w:bCs/>
          <w:sz w:val="24"/>
          <w:lang w:val="en-US" w:eastAsia="zh-CN"/>
        </w:rPr>
        <w:t xml:space="preserve">三</w:t>
      </w:r>
      <w:r>
        <w:rPr>
          <w:rFonts w:hint="eastAsia" w:ascii="宋体" w:hAnsi="宋体" w:cs="仿宋"/>
          <w:bCs/>
          <w:sz w:val="24"/>
        </w:rPr>
        <w:t xml:space="preserve">个月（不含投标当月）</w:t>
      </w:r>
      <w:r>
        <w:rPr>
          <w:rFonts w:hint="eastAsia" w:ascii="宋体" w:hAnsi="宋体" w:cs="仿宋"/>
          <w:bCs/>
          <w:sz w:val="24"/>
          <w:lang w:val="en-US" w:eastAsia="zh-CN"/>
        </w:rPr>
        <w:t xml:space="preserve">中任一月</w:t>
      </w:r>
      <w:r>
        <w:rPr>
          <w:rFonts w:hint="eastAsia" w:ascii="宋体" w:hAnsi="宋体" w:cs="仿宋"/>
          <w:bCs/>
          <w:sz w:val="24"/>
        </w:rPr>
        <w:t xml:space="preserve">社保缴纳证明，否则不得分</w:t>
      </w:r>
      <w:r>
        <w:rPr>
          <w:rFonts w:hint="eastAsia" w:ascii="Times New Roman" w:hAnsi="宋体" w:cs="宋体"/>
          <w:bCs/>
          <w:sz w:val="24"/>
          <w:szCs w:val="24"/>
          <w:lang w:val="zh-CN"/>
        </w:rPr>
        <w:t xml:space="preserve">）</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（8）投标供应商承诺中标后投保食品安全保险，保险金额5000万以上的得3分，5000万以下3000万以上的得2分，3000万以下的得1分。</w:t>
      </w:r>
      <w:r>
        <w:rPr>
          <w:rFonts w:hint="eastAsia" w:ascii="Times New Roman" w:hAnsi="宋体" w:cs="宋体"/>
          <w:bCs/>
          <w:sz w:val="24"/>
          <w:szCs w:val="24"/>
          <w:lang w:val="zh-CN"/>
        </w:rPr>
        <w:t xml:space="preserve">（</w:t>
      </w:r>
      <w:r>
        <w:rPr>
          <w:rFonts w:hint="eastAsia" w:ascii="宋体" w:hAnsi="宋体" w:cs="仿宋"/>
          <w:bCs/>
          <w:sz w:val="24"/>
        </w:rPr>
        <w:t xml:space="preserve">投标文件中提供</w:t>
      </w:r>
      <w:r>
        <w:rPr>
          <w:rFonts w:hint="eastAsia" w:ascii="宋体" w:hAnsi="宋体" w:cs="仿宋"/>
          <w:bCs/>
          <w:sz w:val="24"/>
          <w:lang w:val="en-US" w:eastAsia="zh-CN"/>
        </w:rPr>
        <w:t xml:space="preserve">承诺书</w:t>
      </w:r>
      <w:r>
        <w:rPr>
          <w:rFonts w:hint="eastAsia" w:ascii="Times New Roman" w:hAnsi="宋体" w:cs="宋体"/>
          <w:bCs/>
          <w:sz w:val="24"/>
          <w:szCs w:val="24"/>
          <w:lang w:val="zh-CN"/>
        </w:rPr>
        <w:t xml:space="preserve">）</w:t>
      </w:r>
      <w:r/>
    </w:p>
    <w:p>
      <w:pPr>
        <w:ind w:firstLine="482"/>
        <w:spacing w:line="460" w:lineRule="exact"/>
        <w:tabs>
          <w:tab w:val="left" w:pos="840" w:leader="none"/>
          <w:tab w:val="left" w:pos="1050" w:leader="none"/>
        </w:tabs>
        <w:rPr>
          <w:rFonts w:hint="eastAsia" w:ascii="宋体" w:hAnsi="宋体" w:eastAsia="宋体" w:cs="仿宋"/>
          <w:b/>
          <w:sz w:val="24"/>
          <w:lang w:eastAsia="zh-CN"/>
        </w:rPr>
      </w:pPr>
      <w:r>
        <w:rPr>
          <w:rFonts w:hint="eastAsia" w:ascii="宋体" w:hAnsi="宋体" w:cs="仿宋"/>
          <w:b/>
          <w:sz w:val="24"/>
        </w:rPr>
        <w:t xml:space="preserve">（9）投标供应商具有满足保障需求的各式加工机器及工具（去皮机、锯骨机、清洗机、绞肉机、洗箱机、切片切丝机、砍排机、金属检测仪）得1分。</w:t>
      </w:r>
      <w:r>
        <w:rPr>
          <w:rFonts w:hint="eastAsia" w:ascii="宋体" w:hAnsi="宋体" w:eastAsia="宋体" w:cs="仿宋"/>
          <w:bCs/>
          <w:sz w:val="24"/>
          <w:lang w:eastAsia="zh-CN"/>
        </w:rPr>
        <w:t xml:space="preserve">（</w:t>
      </w:r>
      <w:r>
        <w:rPr>
          <w:rFonts w:hint="eastAsia" w:ascii="宋体" w:hAnsi="宋体" w:eastAsia="宋体" w:cs="仿宋"/>
          <w:bCs/>
          <w:sz w:val="24"/>
        </w:rPr>
        <w:t xml:space="preserve">提供加工机器</w:t>
      </w:r>
      <w:r>
        <w:rPr>
          <w:rFonts w:hint="eastAsia" w:ascii="宋体" w:hAnsi="宋体" w:eastAsia="宋体" w:cs="仿宋"/>
          <w:bCs/>
          <w:sz w:val="24"/>
          <w:lang w:eastAsia="zh-CN"/>
        </w:rPr>
        <w:t xml:space="preserve">、</w:t>
      </w:r>
      <w:r>
        <w:rPr>
          <w:rFonts w:hint="eastAsia" w:ascii="宋体" w:hAnsi="宋体" w:eastAsia="宋体" w:cs="仿宋"/>
          <w:bCs/>
          <w:sz w:val="24"/>
        </w:rPr>
        <w:t xml:space="preserve">工具照片</w:t>
      </w:r>
      <w:r>
        <w:rPr>
          <w:rFonts w:hint="eastAsia" w:ascii="宋体" w:hAnsi="宋体" w:eastAsia="宋体" w:cs="仿宋"/>
          <w:bCs/>
          <w:sz w:val="24"/>
          <w:lang w:eastAsia="zh-CN"/>
        </w:rPr>
        <w:t xml:space="preserve">，</w:t>
      </w:r>
      <w:r>
        <w:rPr>
          <w:rFonts w:hint="eastAsia" w:ascii="宋体" w:hAnsi="宋体" w:eastAsia="宋体" w:cs="仿宋"/>
          <w:bCs/>
          <w:sz w:val="24"/>
          <w:lang w:val="en-US" w:eastAsia="zh-CN"/>
        </w:rPr>
        <w:t xml:space="preserve">提供购买</w:t>
      </w:r>
      <w:r>
        <w:rPr>
          <w:rFonts w:hint="eastAsia" w:ascii="宋体" w:hAnsi="宋体" w:eastAsia="宋体" w:cs="仿宋"/>
          <w:bCs/>
          <w:sz w:val="24"/>
        </w:rPr>
        <w:t xml:space="preserve">发票</w:t>
      </w:r>
      <w:r>
        <w:rPr>
          <w:rFonts w:hint="eastAsia" w:ascii="宋体" w:hAnsi="宋体" w:eastAsia="宋体" w:cs="仿宋"/>
          <w:bCs/>
          <w:sz w:val="24"/>
          <w:lang w:val="en-US" w:eastAsia="zh-CN"/>
        </w:rPr>
        <w:t xml:space="preserve">扫描件</w:t>
      </w:r>
      <w:r>
        <w:rPr>
          <w:rFonts w:hint="eastAsia" w:ascii="宋体" w:hAnsi="宋体" w:eastAsia="宋体" w:cs="仿宋"/>
          <w:bCs/>
          <w:sz w:val="24"/>
          <w:lang w:eastAsia="zh-CN"/>
        </w:rPr>
        <w:t xml:space="preserve">）</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（三） 技术方案（52分）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（1）结合本项目实际制定服务方案（8分）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内容表述清晰，理解准确、针对性强的得8分；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内容表述较为清晰，理解较为准确、针对性较强的得6分；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内容表述一般，理解一般、针对性一般的得4分；</w:t>
      </w:r>
      <w:r/>
    </w:p>
    <w:p>
      <w:pPr>
        <w:ind w:firstLine="480"/>
        <w:spacing w:line="460" w:lineRule="exact"/>
        <w:tabs>
          <w:tab w:val="left" w:pos="840" w:leader="none"/>
          <w:tab w:val="left" w:pos="1050" w:leader="none"/>
        </w:tabs>
        <w:rPr>
          <w:rFonts w:ascii="宋体" w:hAnsi="宋体" w:cs="仿宋"/>
          <w:bCs/>
          <w:sz w:val="24"/>
        </w:rPr>
      </w:pPr>
      <w:r>
        <w:rPr>
          <w:rFonts w:hint="eastAsia" w:ascii="宋体" w:hAnsi="宋体" w:cs="仿宋"/>
          <w:bCs/>
          <w:sz w:val="24"/>
        </w:rPr>
        <w:t xml:space="preserve">内容表述较差，不完整得2分，无相关内容不得分。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（2）日常管理制度、经营制度及岗位职责（8分）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内容表述清晰，理解准确、针对性强的得8分；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内容表述较为清晰，理解较为准确、针对性较强的得6分；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内容表述一般，理解一般、针对性一般的得4分；</w:t>
      </w:r>
      <w:r/>
    </w:p>
    <w:p>
      <w:pPr>
        <w:ind w:firstLine="480"/>
        <w:spacing w:line="460" w:lineRule="exact"/>
        <w:tabs>
          <w:tab w:val="left" w:pos="840" w:leader="none"/>
          <w:tab w:val="left" w:pos="1050" w:leader="none"/>
        </w:tabs>
        <w:rPr>
          <w:rFonts w:ascii="宋体" w:hAnsi="宋体" w:cs="仿宋"/>
          <w:bCs/>
          <w:sz w:val="24"/>
        </w:rPr>
      </w:pPr>
      <w:r>
        <w:rPr>
          <w:rFonts w:hint="eastAsia" w:ascii="宋体" w:hAnsi="宋体" w:cs="仿宋"/>
          <w:bCs/>
          <w:sz w:val="24"/>
        </w:rPr>
        <w:t xml:space="preserve">内容表述较差，不完整得2分，无相关内容不得分。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（3）确保食品安全保障措施（8分）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每项内容表述清晰，理解准确、针对性强的得8分；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内容表述较为清晰，理解较为准确、针对性较强的得6分；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内容表述一般，理解一般、针对性一般的得4分；</w:t>
      </w:r>
      <w:r/>
    </w:p>
    <w:p>
      <w:pPr>
        <w:ind w:firstLine="480"/>
        <w:spacing w:line="460" w:lineRule="exact"/>
        <w:tabs>
          <w:tab w:val="left" w:pos="840" w:leader="none"/>
          <w:tab w:val="left" w:pos="1050" w:leader="none"/>
        </w:tabs>
        <w:rPr>
          <w:rFonts w:ascii="宋体" w:hAnsi="宋体" w:cs="仿宋"/>
          <w:bCs/>
          <w:sz w:val="24"/>
        </w:rPr>
      </w:pPr>
      <w:r>
        <w:rPr>
          <w:rFonts w:hint="eastAsia" w:ascii="宋体" w:hAnsi="宋体" w:cs="仿宋"/>
          <w:bCs/>
          <w:sz w:val="24"/>
        </w:rPr>
        <w:t xml:space="preserve">内容表述较差，不完整得2分，无相关内容不得分。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（4）确保食品质量保障措施(8分）</w:t>
      </w:r>
      <w:r/>
    </w:p>
    <w:p>
      <w:pPr>
        <w:ind w:firstLine="482"/>
        <w:spacing w:line="460" w:lineRule="exact"/>
        <w:tabs>
          <w:tab w:val="left" w:pos="840" w:leader="none"/>
          <w:tab w:val="left" w:pos="1050" w:leader="none"/>
        </w:tabs>
        <w:rPr>
          <w:rFonts w:hint="eastAsia" w:ascii="宋体" w:hAnsi="宋体" w:cs="仿宋"/>
          <w:bCs/>
          <w:sz w:val="24"/>
        </w:rPr>
      </w:pPr>
      <w:r>
        <w:rPr>
          <w:rFonts w:hint="eastAsia" w:ascii="宋体" w:hAnsi="宋体" w:cs="仿宋"/>
          <w:b/>
          <w:sz w:val="24"/>
        </w:rPr>
      </w:r>
      <w:r>
        <w:rPr>
          <w:rFonts w:hint="eastAsia" w:ascii="宋体" w:hAnsi="宋体" w:cs="仿宋"/>
          <w:bCs/>
          <w:sz w:val="24"/>
        </w:rPr>
        <w:t xml:space="preserve">每项内容表述清晰，理解准确、针对性强的得8分；</w:t>
      </w:r>
      <w:r/>
    </w:p>
    <w:p>
      <w:pPr>
        <w:ind w:firstLine="482"/>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内容表述较为清晰，理解较为准确、针对性较强的得6分；</w:t>
      </w:r>
      <w:r/>
    </w:p>
    <w:p>
      <w:pPr>
        <w:ind w:firstLine="482"/>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内容表述一般，理解一般、针对性一般的得4分；</w:t>
      </w:r>
      <w:r/>
    </w:p>
    <w:p>
      <w:pPr>
        <w:ind w:firstLine="482"/>
        <w:spacing w:line="460" w:lineRule="exact"/>
        <w:tabs>
          <w:tab w:val="left" w:pos="840" w:leader="none"/>
          <w:tab w:val="left" w:pos="1050" w:leader="none"/>
        </w:tabs>
        <w:rPr>
          <w:rFonts w:ascii="宋体" w:hAnsi="宋体" w:cs="仿宋"/>
          <w:bCs/>
          <w:sz w:val="24"/>
        </w:rPr>
      </w:pPr>
      <w:r>
        <w:rPr>
          <w:rFonts w:hint="eastAsia" w:ascii="宋体" w:hAnsi="宋体" w:cs="仿宋"/>
          <w:bCs/>
          <w:sz w:val="24"/>
        </w:rPr>
        <w:t xml:space="preserve">内容表述较差，不完整得2分，无相关内容不得分。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（5）服务过程中突发事件的应急保障措施（8分）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每项内容表述清晰，理解准确、针对性强的得8分；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内容表述较为清晰，理解较为准确、针对性较强的得6分；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内容表述一般，理解一般、针对性一般的得4分；</w:t>
      </w:r>
      <w:r/>
    </w:p>
    <w:p>
      <w:pPr>
        <w:ind w:firstLine="480"/>
        <w:spacing w:line="460" w:lineRule="exact"/>
        <w:tabs>
          <w:tab w:val="left" w:pos="840" w:leader="none"/>
          <w:tab w:val="left" w:pos="1050" w:leader="none"/>
        </w:tabs>
        <w:rPr>
          <w:rFonts w:ascii="宋体" w:hAnsi="宋体" w:cs="仿宋"/>
          <w:bCs/>
          <w:sz w:val="24"/>
        </w:rPr>
      </w:pPr>
      <w:r>
        <w:rPr>
          <w:rFonts w:hint="eastAsia" w:ascii="宋体" w:hAnsi="宋体" w:cs="仿宋"/>
          <w:bCs/>
          <w:sz w:val="24"/>
        </w:rPr>
        <w:t xml:space="preserve">内容表述较差，不完整得2分，无相关内容不得分。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（6）紧急供货（应急保障）需求的方案（6分）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每项内容表述清晰，理解准确、针对性强的得6分；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内容表述较为清晰，理解较为准确、针对性较强的得4分；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内容表述一般，理解一般、针对性一般的得3分；</w:t>
      </w:r>
      <w:r/>
    </w:p>
    <w:p>
      <w:pPr>
        <w:ind w:firstLine="480"/>
        <w:spacing w:line="460" w:lineRule="exact"/>
        <w:tabs>
          <w:tab w:val="left" w:pos="840" w:leader="none"/>
          <w:tab w:val="left" w:pos="1050" w:leader="none"/>
        </w:tabs>
        <w:rPr>
          <w:rFonts w:ascii="宋体" w:hAnsi="宋体" w:cs="仿宋"/>
          <w:bCs/>
          <w:sz w:val="24"/>
        </w:rPr>
      </w:pPr>
      <w:r>
        <w:rPr>
          <w:rFonts w:hint="eastAsia" w:ascii="宋体" w:hAnsi="宋体" w:cs="仿宋"/>
          <w:bCs/>
          <w:sz w:val="24"/>
        </w:rPr>
        <w:t xml:space="preserve">内容表述较差，不完整得1分，无相关内容不得分。</w:t>
      </w:r>
      <w:r/>
    </w:p>
    <w:p>
      <w:pPr>
        <w:ind w:firstLine="482"/>
        <w:spacing w:line="460" w:lineRule="exact"/>
        <w:tabs>
          <w:tab w:val="left" w:pos="840" w:leader="none"/>
          <w:tab w:val="left" w:pos="1050" w:leader="none"/>
        </w:tabs>
        <w:rPr>
          <w:rFonts w:ascii="宋体" w:hAnsi="宋体" w:cs="仿宋"/>
          <w:b/>
          <w:sz w:val="24"/>
        </w:rPr>
      </w:pPr>
      <w:r>
        <w:rPr>
          <w:rFonts w:hint="eastAsia" w:ascii="宋体" w:hAnsi="宋体" w:cs="仿宋"/>
          <w:b/>
          <w:sz w:val="24"/>
        </w:rPr>
        <w:t xml:space="preserve">（7）符合本项目其他可行性保障措施（6分）。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每项内容表述清晰，理解准确、针对性强的得6分；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内容表述较为清晰，理解较为准确、针对性较强的得4分；</w:t>
      </w:r>
      <w:r/>
    </w:p>
    <w:p>
      <w:pPr>
        <w:ind w:firstLine="480"/>
        <w:spacing w:line="460" w:lineRule="exact"/>
        <w:tabs>
          <w:tab w:val="left" w:pos="840" w:leader="none"/>
          <w:tab w:val="left" w:pos="1050" w:leader="none"/>
        </w:tabs>
        <w:rPr>
          <w:rFonts w:hint="eastAsia" w:ascii="宋体" w:hAnsi="宋体" w:cs="仿宋"/>
          <w:bCs/>
          <w:sz w:val="24"/>
        </w:rPr>
      </w:pPr>
      <w:r>
        <w:rPr>
          <w:rFonts w:hint="eastAsia" w:ascii="宋体" w:hAnsi="宋体" w:cs="仿宋"/>
          <w:bCs/>
          <w:sz w:val="24"/>
        </w:rPr>
        <w:t xml:space="preserve">内容表述一般，理解一般、针对性一般的得3分；</w:t>
      </w:r>
      <w:r/>
    </w:p>
    <w:p>
      <w:pPr>
        <w:ind w:firstLine="480"/>
        <w:spacing w:line="460" w:lineRule="exact"/>
        <w:tabs>
          <w:tab w:val="left" w:pos="840" w:leader="none"/>
          <w:tab w:val="left" w:pos="1050" w:leader="none"/>
        </w:tabs>
        <w:rPr>
          <w:rFonts w:hint="eastAsia" w:ascii="宋体" w:hAnsi="宋体" w:cs="宋体"/>
          <w:color w:val="000000"/>
          <w:sz w:val="24"/>
          <w:highlight w:val="none"/>
        </w:rPr>
      </w:pPr>
      <w:r>
        <w:rPr>
          <w:rFonts w:hint="eastAsia" w:ascii="宋体" w:hAnsi="宋体" w:cs="仿宋"/>
          <w:bCs/>
          <w:sz w:val="24"/>
        </w:rPr>
        <w:t xml:space="preserve">内容表述较差，不完整得1分，无相关内容不得分。</w:t>
      </w:r>
      <w:r/>
    </w:p>
    <w:p>
      <w:pPr>
        <w:ind w:firstLine="424"/>
        <w:spacing w:line="360" w:lineRule="auto"/>
        <w:rPr>
          <w:rFonts w:hint="eastAsia" w:ascii="黑体" w:hAnsi="宋体" w:eastAsia="黑体"/>
          <w:bCs/>
          <w:color w:val="000000"/>
          <w:sz w:val="24"/>
          <w:highlight w:val="none"/>
        </w:rPr>
      </w:pPr>
      <w:r>
        <w:rPr>
          <w:rFonts w:hint="eastAsia" w:ascii="宋体" w:hAnsi="宋体" w:cs="宋体"/>
          <w:color w:val="000000"/>
          <w:sz w:val="24"/>
          <w:highlight w:val="none"/>
        </w:rPr>
        <w:t xml:space="preserve">评委在</w:t>
      </w:r>
      <w:r>
        <w:rPr>
          <w:rFonts w:ascii="宋体" w:hAnsi="宋体" w:cs="宋体"/>
          <w:color w:val="000000"/>
          <w:sz w:val="24"/>
          <w:highlight w:val="none"/>
        </w:rPr>
        <w:t xml:space="preserve">5</w:t>
      </w:r>
      <w:r>
        <w:rPr>
          <w:rFonts w:hint="eastAsia" w:ascii="宋体" w:hAnsi="宋体" w:cs="宋体"/>
          <w:color w:val="000000"/>
          <w:sz w:val="24"/>
          <w:highlight w:val="none"/>
        </w:rPr>
        <w:t xml:space="preserve">人及</w:t>
      </w:r>
      <w:r>
        <w:rPr>
          <w:rFonts w:ascii="宋体" w:hAnsi="宋体" w:cs="宋体"/>
          <w:color w:val="000000"/>
          <w:sz w:val="24"/>
          <w:highlight w:val="none"/>
        </w:rPr>
        <w:t xml:space="preserve">5</w:t>
      </w:r>
      <w:r>
        <w:rPr>
          <w:rFonts w:hint="eastAsia" w:ascii="宋体" w:hAnsi="宋体" w:cs="宋体"/>
          <w:color w:val="000000"/>
          <w:sz w:val="24"/>
          <w:highlight w:val="none"/>
        </w:rPr>
        <w:t xml:space="preserve">人以上的，取所有成员的平均值。投标文件无相应评分内容时，该项目为零分。</w:t>
      </w:r>
      <w:r>
        <w:rPr>
          <w:rFonts w:hint="eastAsia" w:ascii="宋体" w:hAnsi="宋体"/>
          <w:bCs/>
          <w:color w:val="000000"/>
          <w:sz w:val="24"/>
          <w:highlight w:val="none"/>
        </w:rPr>
        <w:t xml:space="preserve">评分办法及评分细则的解释权属采购人。未列入本评分细则的其他条件不作为评分内容</w:t>
      </w:r>
      <w:r>
        <w:rPr>
          <w:rFonts w:hint="eastAsia" w:ascii="宋体" w:hAnsi="宋体"/>
          <w:b/>
          <w:bCs/>
          <w:color w:val="000000"/>
          <w:sz w:val="24"/>
          <w:highlight w:val="none"/>
        </w:rPr>
        <w:t xml:space="preserve">。</w:t>
      </w:r>
      <w:r/>
    </w:p>
    <w:p>
      <w:pPr>
        <w:ind w:firstLine="480"/>
        <w:spacing w:line="360" w:lineRule="auto"/>
        <w:tabs>
          <w:tab w:val="left" w:pos="1155" w:leader="none"/>
        </w:tabs>
        <w:rPr>
          <w:rFonts w:ascii="宋体" w:hAnsi="宋体" w:cs="宋体"/>
          <w:color w:val="000000"/>
          <w:sz w:val="24"/>
          <w:highlight w:val="none"/>
        </w:rPr>
      </w:pPr>
      <w:r/>
      <w:bookmarkStart w:id="1" w:name="_Toc231463948"/>
      <w:r>
        <w:rPr>
          <w:rFonts w:ascii="宋体" w:hAnsi="宋体"/>
          <w:bCs/>
          <w:color w:val="000000"/>
          <w:sz w:val="24"/>
          <w:highlight w:val="none"/>
        </w:rPr>
        <w:t xml:space="preserve">1.</w:t>
      </w:r>
      <w:r>
        <w:rPr>
          <w:rFonts w:hint="eastAsia" w:ascii="宋体" w:hAnsi="宋体"/>
          <w:bCs/>
          <w:color w:val="000000"/>
          <w:sz w:val="24"/>
          <w:highlight w:val="none"/>
        </w:rPr>
        <w:t xml:space="preserve"> 评标委员会根据招标文件规定的评标方法和评标标准进行评审，按本次招标的定标规则确定中标候选人，</w:t>
      </w:r>
      <w:r>
        <w:rPr>
          <w:rFonts w:hint="eastAsia" w:ascii="宋体" w:hAnsi="宋体" w:cs="宋体"/>
          <w:color w:val="000000"/>
          <w:sz w:val="24"/>
          <w:highlight w:val="none"/>
        </w:rPr>
        <w:t xml:space="preserve">采</w:t>
      </w:r>
      <w:r>
        <w:rPr>
          <w:rFonts w:hint="eastAsia" w:ascii="宋体" w:hAnsi="宋体"/>
          <w:bCs/>
          <w:color w:val="000000"/>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普信国际工程咨询有限公司自中标人确定之日起2个工作日内，在省级以上财政部门指定的媒体（无锡政府采购网、江苏政府采购网、中国政府采购网）上公告中标结</w:t>
      </w:r>
      <w:r>
        <w:rPr>
          <w:rFonts w:hint="eastAsia" w:ascii="宋体" w:hAnsi="宋体" w:cs="宋体"/>
          <w:color w:val="000000"/>
          <w:sz w:val="24"/>
          <w:highlight w:val="none"/>
        </w:rPr>
        <w:t xml:space="preserve">果，在公告中标结果的同时，普信国际工程咨询有限公司向中标人发出中标通知书。</w:t>
      </w:r>
      <w:r/>
    </w:p>
    <w:p>
      <w:pPr>
        <w:ind w:firstLine="48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 如有质疑，</w:t>
      </w:r>
      <w:r>
        <w:rPr>
          <w:rFonts w:hint="eastAsia" w:ascii="宋体" w:hAnsi="宋体"/>
          <w:bCs/>
          <w:color w:val="000000"/>
          <w:sz w:val="24"/>
          <w:highlight w:val="none"/>
        </w:rPr>
        <w:t xml:space="preserve">按中华人民共和国财政部令第94号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政府采购质疑和投诉办法执行，供应商在法定质疑期限外送达的质疑函或法定质疑期限内送达的质疑函不符合下述要求的均为无效质疑，普信国际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供应商提出质疑应当提交质疑函和必要的证明材料。质疑函应当包括下列内容：</w:t>
      </w:r>
      <w:r/>
    </w:p>
    <w:p>
      <w:pPr>
        <w:pStyle w:val="93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A</w:t>
      </w:r>
      <w:r>
        <w:rPr>
          <w:rFonts w:hint="eastAsia" w:ascii="宋体" w:hAnsi="宋体" w:eastAsia="宋体"/>
          <w:bCs/>
          <w:color w:val="000000"/>
          <w:sz w:val="24"/>
          <w:szCs w:val="24"/>
          <w:highlight w:val="none"/>
        </w:rPr>
        <w:t xml:space="preserve">．供应商的姓名或者名称、地址、邮编、联系人及联系电话；</w:t>
      </w:r>
      <w:r/>
    </w:p>
    <w:p>
      <w:pPr>
        <w:pStyle w:val="93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B</w:t>
      </w:r>
      <w:r>
        <w:rPr>
          <w:rFonts w:hint="eastAsia" w:ascii="宋体" w:hAnsi="宋体" w:eastAsia="宋体"/>
          <w:bCs/>
          <w:color w:val="000000"/>
          <w:sz w:val="24"/>
          <w:szCs w:val="24"/>
          <w:highlight w:val="none"/>
        </w:rPr>
        <w:t xml:space="preserve">．质疑项目的名称、编号；</w:t>
      </w:r>
      <w:r/>
    </w:p>
    <w:p>
      <w:pPr>
        <w:pStyle w:val="93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C</w:t>
      </w:r>
      <w:r>
        <w:rPr>
          <w:rFonts w:hint="eastAsia" w:ascii="宋体" w:hAnsi="宋体" w:eastAsia="宋体"/>
          <w:bCs/>
          <w:color w:val="000000"/>
          <w:sz w:val="24"/>
          <w:szCs w:val="24"/>
          <w:highlight w:val="none"/>
        </w:rPr>
        <w:t xml:space="preserve">．具体、明确的质疑事项和与质疑事项相关的请求；</w:t>
      </w:r>
      <w:r/>
    </w:p>
    <w:p>
      <w:pPr>
        <w:pStyle w:val="93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D</w:t>
      </w:r>
      <w:r>
        <w:rPr>
          <w:rFonts w:hint="eastAsia" w:ascii="宋体" w:hAnsi="宋体" w:eastAsia="宋体"/>
          <w:bCs/>
          <w:color w:val="000000"/>
          <w:sz w:val="24"/>
          <w:szCs w:val="24"/>
          <w:highlight w:val="none"/>
        </w:rPr>
        <w:t xml:space="preserve">．事实依据；</w:t>
      </w:r>
      <w:r/>
    </w:p>
    <w:p>
      <w:pPr>
        <w:pStyle w:val="93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E</w:t>
      </w:r>
      <w:r>
        <w:rPr>
          <w:rFonts w:hint="eastAsia" w:ascii="宋体" w:hAnsi="宋体" w:eastAsia="宋体"/>
          <w:bCs/>
          <w:color w:val="000000"/>
          <w:sz w:val="24"/>
          <w:szCs w:val="24"/>
          <w:highlight w:val="none"/>
        </w:rPr>
        <w:t xml:space="preserve">．必要的法律依据；</w:t>
      </w:r>
      <w:r/>
    </w:p>
    <w:p>
      <w:pPr>
        <w:pStyle w:val="93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w:t>
      </w:r>
      <w:r>
        <w:rPr>
          <w:rFonts w:ascii="宋体" w:hAnsi="宋体" w:eastAsia="宋体"/>
          <w:bCs/>
          <w:color w:val="000000"/>
          <w:sz w:val="24"/>
          <w:szCs w:val="24"/>
          <w:highlight w:val="none"/>
        </w:rPr>
        <w:t xml:space="preserve">F</w:t>
      </w:r>
      <w:r>
        <w:rPr>
          <w:rFonts w:hint="eastAsia" w:ascii="宋体" w:hAnsi="宋体" w:eastAsia="宋体"/>
          <w:bCs/>
          <w:color w:val="000000"/>
          <w:sz w:val="24"/>
          <w:szCs w:val="24"/>
          <w:highlight w:val="none"/>
        </w:rPr>
        <w:t xml:space="preserve">．提出质疑的日期。</w:t>
      </w:r>
      <w:r/>
    </w:p>
    <w:p>
      <w:pPr>
        <w:pStyle w:val="93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30"/>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tabs>
          <w:tab w:val="left" w:pos="1155" w:leader="none"/>
        </w:tabs>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3.投标、开标及定标的整个过程均由有关部门进行现场监督。</w:t>
      </w:r>
      <w:r/>
    </w:p>
    <w:p>
      <w:pPr>
        <w:ind w:firstLine="480"/>
        <w:spacing w:line="360" w:lineRule="auto"/>
        <w:tabs>
          <w:tab w:val="left" w:pos="1155"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4.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r/>
    </w:p>
    <w:p>
      <w:pPr>
        <w:ind w:left="-2" w:firstLine="420"/>
        <w:spacing w:line="360" w:lineRule="auto"/>
        <w:rPr>
          <w:rFonts w:ascii="黑体" w:hAnsi="宋体" w:eastAsia="黑体"/>
          <w:color w:val="000000"/>
          <w:sz w:val="24"/>
          <w:highlight w:val="none"/>
        </w:rPr>
        <w:outlineLvl w:val="0"/>
      </w:pPr>
      <w:r>
        <w:rPr>
          <w:rFonts w:hint="eastAsia" w:ascii="黑体" w:hAnsi="宋体" w:eastAsia="黑体" w:cs="黑体"/>
          <w:color w:val="000000"/>
          <w:sz w:val="24"/>
          <w:highlight w:val="none"/>
        </w:rPr>
        <w:t xml:space="preserve">（十一）</w:t>
      </w:r>
      <w:r>
        <w:rPr>
          <w:rFonts w:ascii="黑体" w:hAnsi="宋体" w:eastAsia="黑体" w:cs="黑体"/>
          <w:color w:val="000000"/>
          <w:sz w:val="24"/>
          <w:highlight w:val="none"/>
        </w:rPr>
        <w:t xml:space="preserve"> </w:t>
      </w:r>
      <w:r>
        <w:rPr>
          <w:rFonts w:hint="eastAsia" w:ascii="黑体" w:hAnsi="宋体" w:eastAsia="黑体" w:cs="黑体"/>
          <w:color w:val="000000"/>
          <w:sz w:val="24"/>
          <w:highlight w:val="none"/>
        </w:rPr>
        <w:t xml:space="preserve">废标的确认：</w:t>
      </w:r>
      <w:r/>
    </w:p>
    <w:p>
      <w:pPr>
        <w:ind w:firstLine="480"/>
        <w:spacing w:line="360" w:lineRule="auto"/>
        <w:rPr>
          <w:rFonts w:ascii="宋体"/>
          <w:color w:val="000000"/>
          <w:sz w:val="24"/>
          <w:highlight w:val="none"/>
        </w:rPr>
      </w:pPr>
      <w:r>
        <w:rPr>
          <w:rFonts w:hint="eastAsia" w:ascii="宋体" w:hAnsi="宋体" w:cs="宋体"/>
          <w:color w:val="000000"/>
          <w:sz w:val="24"/>
          <w:highlight w:val="none"/>
        </w:rPr>
        <w:t xml:space="preserve">在招标采购中，出现下列情况之一的，应予废标：</w:t>
      </w:r>
      <w:r/>
    </w:p>
    <w:p>
      <w:pPr>
        <w:ind w:firstLine="480"/>
        <w:spacing w:line="360" w:lineRule="auto"/>
        <w:tabs>
          <w:tab w:val="left" w:pos="1155" w:leader="none"/>
          <w:tab w:val="left" w:pos="1260" w:leader="none"/>
        </w:tabs>
        <w:rPr>
          <w:rFonts w:ascii="宋体"/>
          <w:color w:val="000000"/>
          <w:sz w:val="24"/>
          <w:highlight w:val="none"/>
        </w:rPr>
      </w:pPr>
      <w:r>
        <w:rPr>
          <w:rFonts w:ascii="宋体" w:hAnsi="宋体" w:cs="宋体"/>
          <w:color w:val="000000"/>
          <w:sz w:val="24"/>
          <w:highlight w:val="none"/>
        </w:rPr>
        <w:t xml:space="preserve">1. </w:t>
      </w:r>
      <w:r>
        <w:rPr>
          <w:rFonts w:hint="eastAsia" w:ascii="宋体" w:hAnsi="宋体" w:cs="宋体"/>
          <w:color w:val="000000"/>
          <w:sz w:val="24"/>
          <w:highlight w:val="none"/>
        </w:rPr>
        <w:t xml:space="preserve">符合专业条件的投标供应商或者对招标文件作出实质性响应的投标供应商不足三家；</w:t>
      </w:r>
      <w:r/>
    </w:p>
    <w:p>
      <w:pPr>
        <w:ind w:firstLine="480"/>
        <w:spacing w:line="360" w:lineRule="auto"/>
        <w:tabs>
          <w:tab w:val="left" w:pos="1155" w:leader="none"/>
          <w:tab w:val="left" w:pos="1260" w:leader="none"/>
        </w:tabs>
        <w:rPr>
          <w:rFonts w:ascii="宋体"/>
          <w:color w:val="000000"/>
          <w:sz w:val="24"/>
          <w:highlight w:val="none"/>
        </w:rPr>
      </w:pPr>
      <w:r>
        <w:rPr>
          <w:rFonts w:ascii="宋体" w:hAnsi="宋体" w:cs="宋体"/>
          <w:color w:val="000000"/>
          <w:sz w:val="24"/>
          <w:highlight w:val="none"/>
        </w:rPr>
        <w:t xml:space="preserve">2. </w:t>
      </w:r>
      <w:r>
        <w:rPr>
          <w:rFonts w:hint="eastAsia" w:ascii="宋体" w:hAnsi="宋体" w:cs="宋体"/>
          <w:color w:val="000000"/>
          <w:sz w:val="24"/>
          <w:highlight w:val="none"/>
        </w:rPr>
        <w:t xml:space="preserve">出现影响采购公正的违法、违规行为；</w:t>
      </w:r>
      <w:r/>
    </w:p>
    <w:p>
      <w:pPr>
        <w:ind w:firstLine="480"/>
        <w:spacing w:line="360" w:lineRule="auto"/>
        <w:tabs>
          <w:tab w:val="left" w:pos="1155" w:leader="none"/>
          <w:tab w:val="left" w:pos="1260" w:leader="none"/>
        </w:tabs>
        <w:rPr>
          <w:rFonts w:ascii="宋体"/>
          <w:color w:val="000000"/>
          <w:sz w:val="24"/>
          <w:highlight w:val="none"/>
        </w:rPr>
      </w:pPr>
      <w:r>
        <w:rPr>
          <w:rFonts w:ascii="宋体" w:hAnsi="宋体" w:cs="宋体"/>
          <w:color w:val="000000"/>
          <w:sz w:val="24"/>
          <w:highlight w:val="none"/>
        </w:rPr>
        <w:t xml:space="preserve">3. </w:t>
      </w:r>
      <w:r>
        <w:rPr>
          <w:rFonts w:hint="eastAsia" w:ascii="宋体" w:hAnsi="宋体" w:cs="宋体"/>
          <w:color w:val="000000"/>
          <w:sz w:val="24"/>
          <w:highlight w:val="none"/>
        </w:rPr>
        <w:t xml:space="preserve">投标供应商的报价均超过采购预算，采购人不能支付的；</w:t>
      </w:r>
      <w:r/>
    </w:p>
    <w:p>
      <w:pPr>
        <w:ind w:firstLine="480"/>
        <w:spacing w:line="360" w:lineRule="auto"/>
        <w:rPr>
          <w:rFonts w:ascii="宋体"/>
          <w:color w:val="000000"/>
          <w:sz w:val="24"/>
          <w:highlight w:val="none"/>
        </w:rPr>
        <w:outlineLvl w:val="0"/>
      </w:pPr>
      <w:r>
        <w:rPr>
          <w:rFonts w:ascii="宋体" w:hAnsi="宋体" w:cs="宋体"/>
          <w:color w:val="000000"/>
          <w:sz w:val="24"/>
          <w:highlight w:val="none"/>
        </w:rPr>
        <w:t xml:space="preserve">4. </w:t>
      </w:r>
      <w:r>
        <w:rPr>
          <w:rFonts w:hint="eastAsia" w:ascii="宋体" w:hAnsi="宋体" w:cs="宋体"/>
          <w:color w:val="000000"/>
          <w:sz w:val="24"/>
          <w:highlight w:val="none"/>
        </w:rPr>
        <w:t xml:space="preserve">因重大变故，采购任务取消。</w:t>
      </w:r>
      <w:r/>
    </w:p>
    <w:p>
      <w:pPr>
        <w:ind w:left="-2" w:firstLine="422"/>
        <w:spacing w:line="360" w:lineRule="auto"/>
        <w:rPr>
          <w:rFonts w:ascii="黑体" w:hAnsi="宋体" w:eastAsia="黑体"/>
          <w:color w:val="000000"/>
          <w:sz w:val="24"/>
          <w:highlight w:val="none"/>
        </w:rPr>
        <w:outlineLvl w:val="0"/>
      </w:pPr>
      <w:r>
        <w:rPr>
          <w:rFonts w:hint="eastAsia" w:ascii="黑体" w:hAnsi="宋体" w:eastAsia="黑体" w:cs="黑体"/>
          <w:b/>
          <w:bCs/>
          <w:color w:val="000000"/>
          <w:sz w:val="24"/>
          <w:highlight w:val="none"/>
        </w:rPr>
        <w:t xml:space="preserve">（十二）</w:t>
      </w:r>
      <w:r>
        <w:rPr>
          <w:rFonts w:hint="eastAsia" w:ascii="黑体" w:hAnsi="宋体" w:eastAsia="黑体" w:cs="黑体"/>
          <w:color w:val="000000"/>
          <w:sz w:val="24"/>
          <w:highlight w:val="none"/>
        </w:rPr>
        <w:t xml:space="preserve">中标无效的确认：</w:t>
      </w:r>
      <w:r/>
    </w:p>
    <w:p>
      <w:pPr>
        <w:ind w:firstLine="480"/>
        <w:spacing w:line="360" w:lineRule="auto"/>
        <w:rPr>
          <w:rFonts w:ascii="宋体"/>
          <w:color w:val="000000"/>
          <w:sz w:val="24"/>
          <w:highlight w:val="none"/>
        </w:rPr>
        <w:outlineLvl w:val="0"/>
      </w:pPr>
      <w:r>
        <w:rPr>
          <w:rFonts w:ascii="宋体" w:hAnsi="宋体" w:cs="宋体"/>
          <w:color w:val="000000"/>
          <w:sz w:val="24"/>
          <w:highlight w:val="none"/>
        </w:rPr>
        <w:t xml:space="preserve">1.</w:t>
      </w:r>
      <w:r>
        <w:rPr>
          <w:rFonts w:hint="eastAsia" w:ascii="宋体" w:hAnsi="宋体" w:cs="宋体"/>
          <w:color w:val="000000"/>
          <w:sz w:val="24"/>
          <w:highlight w:val="none"/>
        </w:rPr>
        <w:t xml:space="preserve">提供虚假材料谋取中标的；</w:t>
      </w:r>
      <w:r/>
    </w:p>
    <w:p>
      <w:pPr>
        <w:ind w:firstLine="480"/>
        <w:spacing w:line="360" w:lineRule="auto"/>
        <w:rPr>
          <w:rFonts w:ascii="宋体"/>
          <w:color w:val="000000"/>
          <w:sz w:val="24"/>
          <w:highlight w:val="none"/>
        </w:rPr>
        <w:outlineLvl w:val="0"/>
      </w:pPr>
      <w:r>
        <w:rPr>
          <w:rFonts w:ascii="宋体" w:hAnsi="宋体" w:cs="宋体"/>
          <w:color w:val="000000"/>
          <w:sz w:val="24"/>
          <w:highlight w:val="none"/>
        </w:rPr>
        <w:t xml:space="preserve">2.</w:t>
      </w:r>
      <w:r>
        <w:rPr>
          <w:rFonts w:hint="eastAsia" w:ascii="宋体" w:hAnsi="宋体" w:cs="宋体"/>
          <w:color w:val="000000"/>
          <w:sz w:val="24"/>
          <w:highlight w:val="none"/>
        </w:rPr>
        <w:t xml:space="preserve">采取不正当手段诋毁、排挤其他投标供应商的；</w:t>
      </w:r>
      <w:r/>
    </w:p>
    <w:p>
      <w:pPr>
        <w:ind w:firstLine="480"/>
        <w:spacing w:line="360" w:lineRule="auto"/>
        <w:rPr>
          <w:rFonts w:ascii="宋体"/>
          <w:color w:val="000000"/>
          <w:sz w:val="24"/>
          <w:highlight w:val="none"/>
        </w:rPr>
        <w:outlineLvl w:val="0"/>
      </w:pPr>
      <w:r>
        <w:rPr>
          <w:rFonts w:ascii="宋体" w:hAnsi="宋体" w:cs="宋体"/>
          <w:color w:val="000000"/>
          <w:sz w:val="24"/>
          <w:highlight w:val="none"/>
        </w:rPr>
        <w:t xml:space="preserve">3.</w:t>
      </w:r>
      <w:r>
        <w:rPr>
          <w:rFonts w:hint="eastAsia" w:ascii="宋体" w:hAnsi="宋体" w:cs="宋体"/>
          <w:color w:val="000000"/>
          <w:sz w:val="24"/>
          <w:highlight w:val="none"/>
        </w:rPr>
        <w:t xml:space="preserve">与招标采购单位、其他投标供应商恶意串通的：</w:t>
      </w:r>
      <w:r/>
    </w:p>
    <w:p>
      <w:pPr>
        <w:ind w:firstLine="480"/>
        <w:spacing w:line="360" w:lineRule="auto"/>
        <w:rPr>
          <w:rFonts w:ascii="宋体"/>
          <w:color w:val="000000"/>
          <w:sz w:val="24"/>
          <w:highlight w:val="none"/>
        </w:rPr>
        <w:outlineLvl w:val="0"/>
      </w:pPr>
      <w:r>
        <w:rPr>
          <w:rFonts w:ascii="宋体" w:hAnsi="宋体" w:cs="宋体"/>
          <w:color w:val="000000"/>
          <w:sz w:val="24"/>
          <w:highlight w:val="none"/>
        </w:rPr>
        <w:t xml:space="preserve">4.</w:t>
      </w:r>
      <w:r>
        <w:rPr>
          <w:rFonts w:hint="eastAsia" w:ascii="宋体" w:hAnsi="宋体" w:cs="宋体"/>
          <w:color w:val="000000"/>
          <w:sz w:val="24"/>
          <w:highlight w:val="none"/>
        </w:rPr>
        <w:t xml:space="preserve">向招标采购单位行贿或者提供其他不正当利益的；</w:t>
      </w:r>
      <w:r/>
    </w:p>
    <w:p>
      <w:pPr>
        <w:ind w:left="-2" w:firstLine="480"/>
        <w:spacing w:line="360" w:lineRule="auto"/>
        <w:rPr>
          <w:rFonts w:ascii="宋体"/>
          <w:color w:val="000000"/>
          <w:sz w:val="24"/>
          <w:highlight w:val="none"/>
        </w:rPr>
        <w:outlineLvl w:val="0"/>
      </w:pPr>
      <w:r>
        <w:rPr>
          <w:rFonts w:ascii="宋体" w:hAnsi="宋体" w:cs="宋体"/>
          <w:color w:val="000000"/>
          <w:sz w:val="24"/>
          <w:highlight w:val="none"/>
        </w:rPr>
        <w:t xml:space="preserve">5.</w:t>
      </w:r>
      <w:r>
        <w:rPr>
          <w:rFonts w:hint="eastAsia" w:ascii="宋体" w:hAnsi="宋体" w:cs="宋体"/>
          <w:color w:val="000000"/>
          <w:sz w:val="24"/>
          <w:highlight w:val="none"/>
        </w:rPr>
        <w:t xml:space="preserve">在招标过程中与招标采购单位进行协商谈判、不按照招标文件和中标单位的投标文件订立合同，或者与采购单位另行订立背离合同实质性内容的协议的；</w:t>
      </w:r>
      <w:r/>
    </w:p>
    <w:p>
      <w:pPr>
        <w:ind w:firstLine="480"/>
        <w:spacing w:line="360" w:lineRule="auto"/>
        <w:rPr>
          <w:rFonts w:ascii="宋体"/>
          <w:color w:val="000000"/>
          <w:sz w:val="24"/>
          <w:highlight w:val="none"/>
        </w:rPr>
        <w:outlineLvl w:val="0"/>
      </w:pPr>
      <w:r>
        <w:rPr>
          <w:rFonts w:ascii="宋体" w:hAnsi="宋体" w:cs="宋体"/>
          <w:color w:val="000000"/>
          <w:sz w:val="24"/>
          <w:highlight w:val="none"/>
        </w:rPr>
        <w:t xml:space="preserve">6.</w:t>
      </w:r>
      <w:r>
        <w:rPr>
          <w:rFonts w:hint="eastAsia" w:ascii="宋体" w:hAnsi="宋体" w:cs="宋体"/>
          <w:color w:val="000000"/>
          <w:sz w:val="24"/>
          <w:highlight w:val="none"/>
        </w:rPr>
        <w:t xml:space="preserve">拒绝有关部门监督检查或者提供虚假情况的。</w:t>
      </w:r>
      <w:r/>
    </w:p>
    <w:p>
      <w:pPr>
        <w:ind w:firstLine="360"/>
        <w:spacing w:line="360" w:lineRule="auto"/>
        <w:rPr>
          <w:rFonts w:hint="eastAsia" w:ascii="宋体" w:hAnsi="宋体" w:eastAsia="宋体" w:cs="宋体"/>
          <w:b/>
          <w:color w:val="000000"/>
          <w:sz w:val="24"/>
          <w:highlight w:val="none"/>
        </w:rPr>
        <w:outlineLvl w:val="0"/>
      </w:pPr>
      <w:r>
        <w:rPr>
          <w:rFonts w:hint="eastAsia" w:ascii="宋体" w:hAnsi="宋体" w:cs="宋体"/>
          <w:color w:val="000000"/>
          <w:sz w:val="24"/>
          <w:highlight w:val="none"/>
        </w:rPr>
        <w:t xml:space="preserve">投标供应商有上述</w:t>
      </w:r>
      <w:r>
        <w:rPr>
          <w:rFonts w:ascii="宋体" w:hAnsi="宋体" w:cs="宋体"/>
          <w:color w:val="000000"/>
          <w:sz w:val="24"/>
          <w:highlight w:val="none"/>
        </w:rPr>
        <w:t xml:space="preserve">1</w:t>
      </w:r>
      <w:r>
        <w:rPr>
          <w:rFonts w:hint="eastAsia" w:ascii="宋体" w:hAnsi="宋体" w:cs="宋体"/>
          <w:color w:val="000000"/>
          <w:sz w:val="24"/>
          <w:highlight w:val="none"/>
        </w:rPr>
        <w:t xml:space="preserve">至</w:t>
      </w:r>
      <w:r>
        <w:rPr>
          <w:rFonts w:ascii="宋体" w:hAnsi="宋体" w:cs="宋体"/>
          <w:color w:val="000000"/>
          <w:sz w:val="24"/>
          <w:highlight w:val="none"/>
        </w:rPr>
        <w:t xml:space="preserve">5</w:t>
      </w:r>
      <w:r>
        <w:rPr>
          <w:rFonts w:hint="eastAsia" w:ascii="宋体" w:hAnsi="宋体" w:cs="宋体"/>
          <w:color w:val="000000"/>
          <w:sz w:val="24"/>
          <w:highlight w:val="none"/>
        </w:rPr>
        <w:t xml:space="preserve">项情形之一的，中标无效。有上述</w:t>
      </w:r>
      <w:r>
        <w:rPr>
          <w:rFonts w:ascii="宋体" w:hAnsi="宋体" w:cs="宋体"/>
          <w:color w:val="000000"/>
          <w:sz w:val="24"/>
          <w:highlight w:val="none"/>
        </w:rPr>
        <w:t xml:space="preserve">1</w:t>
      </w:r>
      <w:r>
        <w:rPr>
          <w:rFonts w:hint="eastAsia" w:ascii="宋体" w:hAnsi="宋体" w:cs="宋体"/>
          <w:color w:val="000000"/>
          <w:sz w:val="24"/>
          <w:highlight w:val="none"/>
        </w:rPr>
        <w:t xml:space="preserve">至</w:t>
      </w:r>
      <w:r>
        <w:rPr>
          <w:rFonts w:ascii="宋体" w:hAnsi="宋体" w:cs="宋体"/>
          <w:color w:val="000000"/>
          <w:sz w:val="24"/>
          <w:highlight w:val="none"/>
        </w:rPr>
        <w:t xml:space="preserve">6</w:t>
      </w:r>
      <w:r>
        <w:rPr>
          <w:rFonts w:hint="eastAsia" w:ascii="宋体" w:hAnsi="宋体" w:cs="宋体"/>
          <w:color w:val="000000"/>
          <w:sz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0"/>
        <w:spacing w:line="360" w:lineRule="auto"/>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（十三）履约担保（本项目履约保证金</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合同价的10%）</w:t>
      </w:r>
      <w:r/>
    </w:p>
    <w:p>
      <w:pPr>
        <w:ind w:left="0" w:right="0" w:firstLine="54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left="0" w:right="0" w:firstLine="54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left="0" w:right="0" w:firstLine="54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left="0" w:right="0" w:firstLine="54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left="0" w:right="0" w:firstLine="544"/>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四、电子履约保函与履约保证金、纸质保函具有同等法律效力。</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五、供应商可通过江苏政府采购网下载“政府采购电子履约保函（保险）操作手册”，具体地址为：http://www.ccgp-jiangsu.gov.cn/jiangsu/zlxz/。</w:t>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（十四）政府采购信用担保：</w:t>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right="0" w:firstLine="480"/>
        <w:jc w:val="both"/>
        <w:spacing w:before="0" w:after="0" w:line="360" w:lineRule="auto"/>
        <w:rPr>
          <w:rFonts w:ascii="Times New Roman" w:hAnsi="Times New Roman" w:eastAsia="Times New Roman" w:cs="Times New Roman"/>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pacing w:line="360" w:lineRule="auto"/>
        <w:tabs>
          <w:tab w:val="left" w:pos="525" w:leader="none"/>
          <w:tab w:val="left" w:pos="900" w:leader="none"/>
          <w:tab w:val="left" w:pos="1050" w:leader="none"/>
        </w:tabs>
        <w:rPr>
          <w:rFonts w:hint="eastAsia" w:ascii="宋体" w:hAnsi="宋体" w:cs="宋体"/>
          <w:b/>
          <w:bCs/>
          <w:color w:val="000000"/>
          <w:sz w:val="24"/>
          <w:szCs w:val="24"/>
          <w:highlight w:val="none"/>
        </w:rPr>
      </w:pPr>
      <w:r>
        <w:rPr>
          <w:rFonts w:hint="eastAsia" w:ascii="宋体" w:hAnsi="宋体" w:cs="宋体"/>
          <w:b/>
          <w:color w:val="000000"/>
          <w:sz w:val="24"/>
          <w:highlight w:val="none"/>
        </w:rPr>
        <w:t xml:space="preserve">（十五）合同融资</w:t>
      </w:r>
      <w:r/>
    </w:p>
    <w:p>
      <w:pPr>
        <w:ind w:left="372" w:firstLine="480"/>
        <w:spacing w:line="360" w:lineRule="auto"/>
        <w:rPr>
          <w:highlight w:val="none"/>
        </w:rPr>
      </w:pPr>
      <w:r>
        <w:rPr>
          <w:rFonts w:hint="eastAsia" w:ascii="宋体" w:hAnsi="宋体" w:cs="宋体"/>
          <w:color w:val="000000"/>
          <w:sz w:val="24"/>
          <w:highlight w:val="none"/>
        </w:rPr>
        <w:t xml:space="preserve">根据我市《关于开展政府采购合同融资工作的通知》（锡财购〔2020〕17号）要求，合同融资条款</w:t>
      </w:r>
      <w:r>
        <w:rPr>
          <w:rFonts w:hint="eastAsia" w:ascii="宋体" w:hAnsi="宋体" w:cs="宋体"/>
          <w:bCs/>
          <w:color w:val="000000"/>
          <w:sz w:val="24"/>
          <w:highlight w:val="none"/>
        </w:rPr>
        <w:t xml:space="preserve">要求如下</w:t>
      </w:r>
      <w:r>
        <w:rPr>
          <w:rFonts w:hint="eastAsia" w:ascii="宋体" w:hAnsi="宋体" w:cs="宋体"/>
          <w:color w:val="000000"/>
          <w:sz w:val="24"/>
          <w:highlight w:val="none"/>
        </w:rPr>
        <w:t xml:space="preserve">：</w:t>
      </w:r>
      <w:r/>
    </w:p>
    <w:p>
      <w:pPr>
        <w:ind w:left="372" w:firstLine="480"/>
        <w:spacing w:line="360" w:lineRule="auto"/>
        <w:rPr>
          <w:highlight w:val="none"/>
        </w:rPr>
      </w:pPr>
      <w:r>
        <w:rPr>
          <w:rFonts w:hint="eastAsia" w:ascii="宋体" w:hAnsi="宋体" w:cs="宋体"/>
          <w:color w:val="000000"/>
          <w:sz w:val="24"/>
          <w:highlight w:val="none"/>
        </w:rPr>
        <w:t xml:space="preserve">合同融资，是指参与政府采购的供应商，凭借中</w:t>
      </w:r>
      <w:r>
        <w:rPr>
          <w:rFonts w:hint="eastAsia" w:ascii="宋体" w:hAnsi="宋体" w:cs="宋体"/>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900" w:leader="none"/>
          <w:tab w:val="left" w:pos="1050" w:leader="none"/>
        </w:tabs>
        <w:rPr>
          <w:rFonts w:hint="eastAsia" w:ascii="宋体" w:hAnsi="宋体" w:cs="宋体"/>
          <w:b/>
          <w:bCs/>
          <w:color w:val="000000"/>
          <w:sz w:val="24"/>
          <w:szCs w:val="24"/>
          <w:highlight w:val="none"/>
        </w:rPr>
      </w:pPr>
      <w:r>
        <w:rPr>
          <w:rFonts w:hint="eastAsia" w:ascii="宋体" w:hAnsi="宋体" w:cs="宋体"/>
          <w:color w:val="000000"/>
          <w:sz w:val="24"/>
          <w:highlight w:val="none"/>
        </w:rPr>
        <w:t xml:space="preserve">中标、成交供应商可根据自身情况，自行决定是否选择采用合同融资形式，在无锡政府采购网——政采贷专栏提供的银行名录内自主选择合作银行。</w:t>
      </w:r>
      <w:r/>
    </w:p>
    <w:p>
      <w:pPr>
        <w:spacing w:line="360" w:lineRule="auto"/>
        <w:tabs>
          <w:tab w:val="left" w:pos="525" w:leader="none"/>
          <w:tab w:val="left" w:pos="900" w:leader="none"/>
          <w:tab w:val="left" w:pos="10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（十六）</w:t>
      </w:r>
      <w:r>
        <w:rPr>
          <w:rFonts w:hint="eastAsia" w:ascii="宋体" w:hAnsi="宋体" w:cs="宋体"/>
          <w:b/>
          <w:color w:val="000000"/>
          <w:sz w:val="24"/>
          <w:highlight w:val="none"/>
          <w:lang w:eastAsia="zh-CN"/>
        </w:rPr>
        <w:t xml:space="preserve">采购代理</w:t>
      </w:r>
      <w:r>
        <w:rPr>
          <w:rFonts w:hint="eastAsia" w:ascii="宋体" w:hAnsi="宋体" w:cs="宋体"/>
          <w:b/>
          <w:color w:val="000000"/>
          <w:sz w:val="24"/>
          <w:highlight w:val="none"/>
        </w:rPr>
        <w:t xml:space="preserve">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本项目</w:t>
      </w:r>
      <w:r>
        <w:rPr>
          <w:rFonts w:hint="eastAsia" w:ascii="宋体" w:hAnsi="宋体" w:cs="宋体"/>
          <w:color w:val="000000"/>
          <w:sz w:val="24"/>
          <w:highlight w:val="none"/>
          <w:lang w:eastAsia="zh-CN"/>
        </w:rPr>
        <w:t xml:space="preserve">采购代理</w:t>
      </w:r>
      <w:r>
        <w:rPr>
          <w:rFonts w:hint="eastAsia" w:ascii="宋体" w:hAnsi="宋体" w:cs="宋体"/>
          <w:color w:val="000000"/>
          <w:sz w:val="24"/>
          <w:highlight w:val="none"/>
        </w:rPr>
        <w:t xml:space="preserve">费由中标人在领取中标通知书时向</w:t>
      </w:r>
      <w:r>
        <w:rPr>
          <w:rFonts w:hint="eastAsia" w:ascii="宋体" w:hAnsi="宋体" w:cs="宋体"/>
          <w:color w:val="000000"/>
          <w:sz w:val="24"/>
          <w:highlight w:val="none"/>
          <w:lang w:eastAsia="zh-CN"/>
        </w:rPr>
        <w:t xml:space="preserve">采购代理</w:t>
      </w:r>
      <w:r>
        <w:rPr>
          <w:rFonts w:hint="eastAsia" w:ascii="宋体" w:hAnsi="宋体" w:cs="宋体"/>
          <w:color w:val="000000"/>
          <w:sz w:val="24"/>
          <w:highlight w:val="none"/>
        </w:rPr>
        <w:t xml:space="preserve">机构支付，各投标人应将</w:t>
      </w:r>
      <w:r>
        <w:rPr>
          <w:rFonts w:hint="eastAsia" w:ascii="宋体" w:hAnsi="宋体" w:cs="宋体"/>
          <w:color w:val="000000"/>
          <w:sz w:val="24"/>
          <w:highlight w:val="none"/>
          <w:lang w:eastAsia="zh-CN"/>
        </w:rPr>
        <w:t xml:space="preserve">采购代理</w:t>
      </w:r>
      <w:r>
        <w:rPr>
          <w:rFonts w:hint="eastAsia" w:ascii="宋体" w:hAnsi="宋体" w:cs="宋体"/>
          <w:color w:val="000000"/>
          <w:sz w:val="24"/>
          <w:highlight w:val="none"/>
        </w:rPr>
        <w:t xml:space="preserve">服务费自行考虑包含在投标报价中。本项目</w:t>
      </w:r>
      <w:r>
        <w:rPr>
          <w:rFonts w:hint="eastAsia" w:ascii="宋体" w:hAnsi="宋体" w:cs="宋体"/>
          <w:color w:val="000000"/>
          <w:sz w:val="24"/>
          <w:highlight w:val="none"/>
          <w:lang w:eastAsia="zh-CN"/>
        </w:rPr>
        <w:t xml:space="preserve">采购代理</w:t>
      </w:r>
      <w:r>
        <w:rPr>
          <w:rFonts w:hint="eastAsia" w:ascii="宋体" w:hAnsi="宋体" w:cs="宋体"/>
          <w:color w:val="000000"/>
          <w:sz w:val="24"/>
          <w:highlight w:val="none"/>
        </w:rPr>
        <w:t xml:space="preserve">服务费按照4550</w:t>
      </w:r>
      <w:r>
        <w:rPr>
          <w:rFonts w:hint="eastAsia" w:ascii="宋体" w:hAnsi="宋体" w:cs="宋体"/>
          <w:color w:val="000000"/>
          <w:sz w:val="24"/>
          <w:highlight w:val="none"/>
        </w:rPr>
        <w:t xml:space="preserve">元</w:t>
      </w:r>
      <w:r>
        <w:rPr>
          <w:rFonts w:hint="eastAsia" w:ascii="宋体" w:hAnsi="宋体" w:cs="宋体"/>
          <w:color w:val="000000"/>
          <w:sz w:val="24"/>
          <w:highlight w:val="none"/>
          <w:lang w:val="en-US" w:eastAsia="zh-CN"/>
        </w:rPr>
        <w:t xml:space="preserve">计取</w:t>
      </w:r>
      <w:r>
        <w:rPr>
          <w:rFonts w:hint="eastAsia" w:ascii="宋体" w:hAnsi="宋体" w:cs="宋体"/>
          <w:color w:val="000000"/>
          <w:sz w:val="24"/>
          <w:highlight w:val="none"/>
        </w:rPr>
        <w:t xml:space="preserve">。</w:t>
      </w:r>
      <w:r/>
    </w:p>
    <w:p>
      <w:pPr>
        <w:spacing w:line="360" w:lineRule="auto"/>
        <w:tabs>
          <w:tab w:val="left" w:pos="525" w:leader="none"/>
          <w:tab w:val="left" w:pos="90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（十七）其他政策要求（包括但不限于下列具体政策要求）：</w:t>
      </w:r>
      <w:r/>
    </w:p>
    <w:p>
      <w:pPr>
        <w:numPr>
          <w:ilvl w:val="1"/>
          <w:numId w:val="20"/>
        </w:numPr>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20"/>
        </w:numPr>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有关中小企业政策，如落实政府采购政策需满足的资格要求以及落实政府采购政策的价格调整的相关内容可详见本文件其他章节。</w:t>
      </w:r>
      <w:r/>
    </w:p>
    <w:p>
      <w:pPr>
        <w:numPr>
          <w:ilvl w:val="1"/>
          <w:numId w:val="20"/>
        </w:numPr>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中标、成交供应商可采用合同融资形式，中标人可凭政府采购合同办理融资贷款，详见政府采购网“政采贷”专栏。</w:t>
      </w:r>
      <w:r/>
    </w:p>
    <w:p>
      <w:pPr>
        <w:numPr>
          <w:ilvl w:val="1"/>
          <w:numId w:val="20"/>
        </w:numPr>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也可通过无锡市政府采购网、“苏采云”系统链接访问（首次使用需注册）。</w:t>
      </w:r>
      <w:r/>
    </w:p>
    <w:p>
      <w:pPr>
        <w:numPr>
          <w:ilvl w:val="1"/>
          <w:numId w:val="20"/>
        </w:numPr>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本项目中如有涉及数据库、操作系</w:t>
      </w:r>
      <w:r>
        <w:rPr>
          <w:rFonts w:ascii="宋体" w:hAnsi="宋体" w:eastAsia="宋体" w:cs="宋体"/>
          <w:color w:val="000000"/>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20"/>
        </w:numPr>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根据苏财办购〔2024〕1号相关要求，采购人应当严格按照政府采</w:t>
      </w:r>
      <w:r>
        <w:rPr>
          <w:rFonts w:ascii="宋体" w:hAnsi="宋体" w:eastAsia="宋体" w:cs="宋体"/>
          <w:color w:val="000000"/>
          <w:sz w:val="24"/>
          <w:highlight w:val="none"/>
        </w:rPr>
        <w:t xml:space="preserve">购法有关规定，在中标、成交通知书发出之日起30日内，按照采购文件确定的事项与中标、成交供应商签订政府采购合同。采购人因不可抗力原因迟延签订合同的，应当自不可抗力事由消除之日起7日内完成合同签订事宜。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附件1.                政府采购履约担保函（项目用）</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编号：</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（采购人）：</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鉴于你方与</w:t>
      </w:r>
      <w:r>
        <w:rPr>
          <w:rFonts w:ascii="宋体" w:hAnsi="宋体" w:eastAsia="宋体" w:cs="宋体"/>
          <w:color w:val="000000"/>
          <w:sz w:val="24"/>
          <w:highlight w:val="none"/>
          <w:u w:val="single"/>
        </w:rPr>
        <w:t xml:space="preserve">                    （以下简称供应商）</w:t>
      </w:r>
      <w:r>
        <w:rPr>
          <w:rFonts w:ascii="宋体" w:hAnsi="宋体" w:eastAsia="宋体" w:cs="宋体"/>
          <w:color w:val="000000"/>
          <w:sz w:val="24"/>
          <w:highlight w:val="none"/>
        </w:rPr>
        <w:t xml:space="preserve">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日签订编号为的《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政府采购合同》（以下简称主合同），且依据该合同的约定，供应商应在</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一、保证责任的情形及保证金额</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（一）在供应商出现下列情形之一时，我方承担保证责任：</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1．将中标项目转让给他人，或者在投标文件中未说明，且未经采购人、</w:t>
      </w:r>
      <w:r>
        <w:rPr>
          <w:rFonts w:hint="eastAsia" w:ascii="宋体" w:hAnsi="宋体" w:cs="宋体"/>
          <w:color w:val="000000"/>
          <w:sz w:val="24"/>
          <w:highlight w:val="none"/>
          <w:lang w:eastAsia="zh-CN"/>
        </w:rPr>
        <w:t xml:space="preserve">采购代理</w:t>
      </w:r>
      <w:r>
        <w:rPr>
          <w:rFonts w:ascii="宋体" w:hAnsi="宋体" w:eastAsia="宋体" w:cs="宋体"/>
          <w:color w:val="000000"/>
          <w:sz w:val="24"/>
          <w:highlight w:val="none"/>
        </w:rPr>
        <w:t xml:space="preserve">机构同意，将中标项目分包给他人的；</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2．主合同约定的应当缴纳履约保证金的情形： </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（1）未按主合同约定的质量、数量和期限供应货物/提供服务/完成工程的；</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（二）我方的保证范围是主合同约定的合同价款总额的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%数额为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元（大写</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），币种为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。（即主合同履约保证金金额）</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二、保证的方式及保证期间</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我方保证的方式为：连带责任保证。</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我方保证的期间为：自本合同生效之日起至供应商按照主合同约定的供货/完工期限届满后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日内。</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如果供应商未按主合同约定向贵方供应货物/提供服务/完成工程的，由我方在保证金额内向你方支付上述款项。</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三、承担保证责任的程序</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我方收到你方的书面索赔通知及相应证明材料，在</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工作日内进行核定后按照本保函的承诺承担保证责任。</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四、保证责任的终止</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2．我方按照本保函向你方履行了保证责任后，自我方向你方支付款项（支付款项从我方账户划出）之日起，保证责任即终止。</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3．按照法律法规的规定或出现应终止我方保证责任的其他情形的，我方在本保函项下的保证责任亦终止。</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五、免责条款</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1．因你方违反主合同约定致使供应商不能履行义务的，我方不承担保证责任。</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2．依照法律法规的规定或你方与供应商的另行约定，全部或者部分免除供应商应缴纳的保证金义务的，我方亦免除相应的保证责任。</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3．因不可抗力造成供应商不能履行供货义务的，我方不承担保证责任。</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六、争议的解决</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因本保函发生的纠纷，由你我双方协商解决，协商不成的，通过诉讼程序解决，诉讼管辖地法院为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法院。</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七、保函的生效</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本保函自我方加盖公章之日起生效。</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保证人：（公章）</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36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年月日</w:t>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三、项目需求及有关说明</w:t>
      </w:r>
      <w:bookmarkEnd w:id="1"/>
      <w:r/>
      <w:r/>
    </w:p>
    <w:p>
      <w:pPr>
        <w:pStyle w:val="722"/>
        <w:ind w:firstLine="480"/>
        <w:spacing w:line="360" w:lineRule="auto"/>
        <w:rPr>
          <w:rFonts w:ascii="Times New Roman" w:hAnsi="Times New Roman" w:eastAsia="宋体" w:cs="Times New Roman"/>
          <w:sz w:val="24"/>
          <w:szCs w:val="24"/>
        </w:rPr>
      </w:pPr>
      <w:r/>
      <w:bookmarkStart w:id="2" w:name="_Toc452502492"/>
      <w:r/>
      <w:bookmarkEnd w:id="2"/>
      <w:r/>
      <w:bookmarkStart w:id="3" w:name="_Toc452556555"/>
      <w:r/>
      <w:bookmarkEnd w:id="3"/>
      <w:r/>
      <w:bookmarkStart w:id="4" w:name="_Toc452556734"/>
      <w:r/>
      <w:bookmarkEnd w:id="4"/>
      <w:r/>
      <w:bookmarkStart w:id="5" w:name="_Toc452502329"/>
      <w:r/>
      <w:bookmarkEnd w:id="5"/>
      <w:r/>
      <w:bookmarkStart w:id="6" w:name="_Toc452502327"/>
      <w:r/>
      <w:bookmarkEnd w:id="6"/>
      <w:r/>
      <w:bookmarkStart w:id="7" w:name="_Toc452502430"/>
      <w:r/>
      <w:bookmarkEnd w:id="7"/>
      <w:r/>
      <w:bookmarkStart w:id="8" w:name="_Toc452502505"/>
      <w:r/>
      <w:bookmarkEnd w:id="8"/>
      <w:r/>
      <w:bookmarkStart w:id="9" w:name="_Toc452502482"/>
      <w:r/>
      <w:bookmarkEnd w:id="9"/>
      <w:r/>
      <w:bookmarkStart w:id="10" w:name="_Toc452556590"/>
      <w:r/>
      <w:bookmarkEnd w:id="10"/>
      <w:r/>
      <w:bookmarkStart w:id="11" w:name="_Toc452556815"/>
      <w:r/>
      <w:bookmarkEnd w:id="11"/>
      <w:r/>
      <w:bookmarkStart w:id="12" w:name="_Toc402880679"/>
      <w:r/>
      <w:bookmarkEnd w:id="12"/>
      <w:r/>
      <w:bookmarkStart w:id="13" w:name="_Toc452502395"/>
      <w:r/>
      <w:bookmarkEnd w:id="13"/>
      <w:r/>
      <w:bookmarkStart w:id="14" w:name="_Toc443332021"/>
      <w:r/>
      <w:bookmarkEnd w:id="14"/>
      <w:r/>
      <w:bookmarkStart w:id="15" w:name="_Toc452502493"/>
      <w:r/>
      <w:bookmarkEnd w:id="15"/>
      <w:r/>
      <w:bookmarkStart w:id="16" w:name="_Toc452556773"/>
      <w:r/>
      <w:bookmarkEnd w:id="16"/>
      <w:r/>
      <w:bookmarkStart w:id="17" w:name="_Toc452502458"/>
      <w:r/>
      <w:bookmarkEnd w:id="17"/>
      <w:r/>
      <w:bookmarkStart w:id="18" w:name="_Toc402880662"/>
      <w:r/>
      <w:bookmarkEnd w:id="18"/>
      <w:r/>
      <w:bookmarkStart w:id="19" w:name="_Toc452502425"/>
      <w:r/>
      <w:bookmarkEnd w:id="19"/>
      <w:r/>
      <w:bookmarkStart w:id="20" w:name="_Toc452502421"/>
      <w:r/>
      <w:bookmarkEnd w:id="20"/>
      <w:r/>
      <w:bookmarkStart w:id="21" w:name="_Toc443332027"/>
      <w:r/>
      <w:bookmarkEnd w:id="21"/>
      <w:r/>
      <w:bookmarkStart w:id="22" w:name="_Toc452556708"/>
      <w:r/>
      <w:bookmarkEnd w:id="22"/>
      <w:r/>
      <w:bookmarkStart w:id="23" w:name="_Toc452556520"/>
      <w:r/>
      <w:bookmarkEnd w:id="23"/>
      <w:r/>
      <w:bookmarkStart w:id="24" w:name="_Toc452556570"/>
      <w:r/>
      <w:bookmarkEnd w:id="24"/>
      <w:r/>
      <w:bookmarkStart w:id="25" w:name="_Toc402880668"/>
      <w:r/>
      <w:bookmarkEnd w:id="25"/>
      <w:r/>
      <w:bookmarkStart w:id="26" w:name="_Toc452502459"/>
      <w:r/>
      <w:bookmarkEnd w:id="26"/>
      <w:r/>
      <w:bookmarkStart w:id="27" w:name="_Toc452556661"/>
      <w:r/>
      <w:bookmarkEnd w:id="27"/>
      <w:r/>
      <w:bookmarkStart w:id="28" w:name="_Toc452556623"/>
      <w:r/>
      <w:bookmarkEnd w:id="28"/>
      <w:r/>
      <w:bookmarkStart w:id="29" w:name="_Toc452502385"/>
      <w:r/>
      <w:bookmarkEnd w:id="29"/>
      <w:r/>
      <w:bookmarkStart w:id="30" w:name="_Toc402880641"/>
      <w:r/>
      <w:bookmarkEnd w:id="30"/>
      <w:r/>
      <w:bookmarkStart w:id="31" w:name="_Toc471744487"/>
      <w:r/>
      <w:bookmarkEnd w:id="31"/>
      <w:r/>
      <w:bookmarkStart w:id="32" w:name="_Toc452556633"/>
      <w:r/>
      <w:bookmarkEnd w:id="32"/>
      <w:r/>
      <w:bookmarkStart w:id="33" w:name="_Toc452502511"/>
      <w:r/>
      <w:bookmarkEnd w:id="33"/>
      <w:r/>
      <w:bookmarkStart w:id="34" w:name="_Toc402880692"/>
      <w:r/>
      <w:bookmarkEnd w:id="34"/>
      <w:r/>
      <w:bookmarkStart w:id="35" w:name="_Toc452502560"/>
      <w:r/>
      <w:bookmarkEnd w:id="35"/>
      <w:r/>
      <w:bookmarkStart w:id="36" w:name="_Toc402880625"/>
      <w:r/>
      <w:bookmarkEnd w:id="36"/>
      <w:r/>
      <w:bookmarkStart w:id="37" w:name="_Toc452556686"/>
      <w:r/>
      <w:bookmarkEnd w:id="37"/>
      <w:r/>
      <w:bookmarkStart w:id="38" w:name="_Toc452556535"/>
      <w:r/>
      <w:bookmarkEnd w:id="38"/>
      <w:r/>
      <w:bookmarkStart w:id="39" w:name="_Toc452502371"/>
      <w:r/>
      <w:bookmarkEnd w:id="39"/>
      <w:r/>
      <w:bookmarkStart w:id="40" w:name="_Toc452556532"/>
      <w:r/>
      <w:bookmarkEnd w:id="40"/>
      <w:r/>
      <w:bookmarkStart w:id="41" w:name="_Toc402880660"/>
      <w:r/>
      <w:bookmarkEnd w:id="41"/>
      <w:r/>
      <w:bookmarkStart w:id="42" w:name="_Toc471745363"/>
      <w:r/>
      <w:bookmarkEnd w:id="42"/>
      <w:r/>
      <w:bookmarkStart w:id="43" w:name="_Toc452502549"/>
      <w:r/>
      <w:bookmarkEnd w:id="43"/>
      <w:r/>
      <w:bookmarkStart w:id="44" w:name="_Toc402880605"/>
      <w:r/>
      <w:bookmarkEnd w:id="44"/>
      <w:r/>
      <w:bookmarkStart w:id="45" w:name="_Toc402880694"/>
      <w:r/>
      <w:bookmarkEnd w:id="45"/>
      <w:r/>
      <w:bookmarkStart w:id="46" w:name="_Toc452502428"/>
      <w:r/>
      <w:bookmarkEnd w:id="46"/>
      <w:r/>
      <w:bookmarkStart w:id="47" w:name="_Toc381963372"/>
      <w:r/>
      <w:bookmarkEnd w:id="47"/>
      <w:r/>
      <w:bookmarkStart w:id="48" w:name="_Toc452502510"/>
      <w:r/>
      <w:bookmarkEnd w:id="48"/>
      <w:r/>
      <w:bookmarkStart w:id="49" w:name="_Toc452556542"/>
      <w:r/>
      <w:bookmarkEnd w:id="49"/>
      <w:r/>
      <w:bookmarkStart w:id="50" w:name="_Toc452502544"/>
      <w:r/>
      <w:bookmarkEnd w:id="50"/>
      <w:r/>
      <w:bookmarkStart w:id="51" w:name="_Toc452502433"/>
      <w:r/>
      <w:bookmarkEnd w:id="51"/>
      <w:r/>
      <w:bookmarkStart w:id="52" w:name="_Toc452556742"/>
      <w:r/>
      <w:bookmarkEnd w:id="52"/>
      <w:r/>
      <w:bookmarkStart w:id="53" w:name="_Toc452556602"/>
      <w:r/>
      <w:bookmarkEnd w:id="53"/>
      <w:r/>
      <w:bookmarkStart w:id="54" w:name="_Toc382579315"/>
      <w:r/>
      <w:bookmarkEnd w:id="54"/>
      <w:r/>
      <w:bookmarkStart w:id="55" w:name="_Toc452502533"/>
      <w:r/>
      <w:bookmarkEnd w:id="55"/>
      <w:r/>
      <w:bookmarkStart w:id="56" w:name="_Toc452556739"/>
      <w:r/>
      <w:bookmarkEnd w:id="56"/>
      <w:r/>
      <w:bookmarkStart w:id="57" w:name="_Toc402880647"/>
      <w:r/>
      <w:bookmarkEnd w:id="57"/>
      <w:r/>
      <w:bookmarkStart w:id="58" w:name="_Toc452556556"/>
      <w:r/>
      <w:bookmarkEnd w:id="58"/>
      <w:r/>
      <w:bookmarkStart w:id="59" w:name="_Toc452502453"/>
      <w:r/>
      <w:bookmarkEnd w:id="59"/>
      <w:r/>
      <w:bookmarkStart w:id="60" w:name="_Toc402880700"/>
      <w:r/>
      <w:bookmarkEnd w:id="60"/>
      <w:r/>
      <w:bookmarkStart w:id="61" w:name="_Toc402880637"/>
      <w:r/>
      <w:bookmarkEnd w:id="61"/>
      <w:r/>
      <w:bookmarkStart w:id="62" w:name="_Toc452556572"/>
      <w:r/>
      <w:bookmarkEnd w:id="62"/>
      <w:r/>
      <w:bookmarkStart w:id="63" w:name="_Toc452556830"/>
      <w:r/>
      <w:bookmarkEnd w:id="63"/>
      <w:r/>
      <w:bookmarkStart w:id="64" w:name="_Toc388279016"/>
      <w:r/>
      <w:bookmarkEnd w:id="64"/>
      <w:r/>
      <w:bookmarkStart w:id="65" w:name="_Toc443332030"/>
      <w:r/>
      <w:bookmarkEnd w:id="65"/>
      <w:r/>
      <w:bookmarkStart w:id="66" w:name="_Toc452502401"/>
      <w:r/>
      <w:bookmarkEnd w:id="66"/>
      <w:r/>
      <w:bookmarkStart w:id="67" w:name="_Toc452502339"/>
      <w:r/>
      <w:bookmarkEnd w:id="67"/>
      <w:r/>
      <w:bookmarkStart w:id="68" w:name="_Toc452556583"/>
      <w:r/>
      <w:bookmarkEnd w:id="68"/>
      <w:r/>
      <w:bookmarkStart w:id="69" w:name="_Toc452556675"/>
      <w:r/>
      <w:bookmarkEnd w:id="69"/>
      <w:r/>
      <w:bookmarkStart w:id="70" w:name="_Toc452556789"/>
      <w:r/>
      <w:bookmarkEnd w:id="70"/>
      <w:r/>
      <w:bookmarkStart w:id="71" w:name="_Toc452556628"/>
      <w:r/>
      <w:bookmarkEnd w:id="71"/>
      <w:r/>
      <w:bookmarkStart w:id="72" w:name="_Toc452556571"/>
      <w:r/>
      <w:bookmarkEnd w:id="72"/>
      <w:r/>
      <w:bookmarkStart w:id="73" w:name="_Toc452502387"/>
      <w:r/>
      <w:bookmarkEnd w:id="73"/>
      <w:r/>
      <w:bookmarkStart w:id="74" w:name="_Toc402880669"/>
      <w:r/>
      <w:bookmarkEnd w:id="74"/>
      <w:r/>
      <w:bookmarkStart w:id="75" w:name="_Toc452556545"/>
      <w:r/>
      <w:bookmarkEnd w:id="75"/>
      <w:r/>
      <w:bookmarkStart w:id="76" w:name="_Toc452502537"/>
      <w:r/>
      <w:bookmarkEnd w:id="76"/>
      <w:r/>
      <w:bookmarkStart w:id="77" w:name="_Toc452502499"/>
      <w:r/>
      <w:bookmarkEnd w:id="77"/>
      <w:r/>
      <w:bookmarkStart w:id="78" w:name="_Toc452556761"/>
      <w:r/>
      <w:bookmarkEnd w:id="78"/>
      <w:r/>
      <w:bookmarkStart w:id="79" w:name="_Toc452556569"/>
      <w:r/>
      <w:bookmarkEnd w:id="79"/>
      <w:r/>
      <w:bookmarkStart w:id="80" w:name="_Toc402880693"/>
      <w:r/>
      <w:bookmarkEnd w:id="80"/>
      <w:r/>
      <w:bookmarkStart w:id="81" w:name="_Toc452556547"/>
      <w:r/>
      <w:bookmarkEnd w:id="81"/>
      <w:r/>
      <w:bookmarkStart w:id="82" w:name="_Toc452556574"/>
      <w:r/>
      <w:bookmarkEnd w:id="82"/>
      <w:r/>
      <w:bookmarkStart w:id="83" w:name="_Toc452556543"/>
      <w:r/>
      <w:bookmarkEnd w:id="83"/>
      <w:r/>
      <w:bookmarkStart w:id="84" w:name="_Toc452556646"/>
      <w:r/>
      <w:bookmarkEnd w:id="84"/>
      <w:r/>
      <w:bookmarkStart w:id="85" w:name="_Toc452556578"/>
      <w:r/>
      <w:bookmarkEnd w:id="85"/>
      <w:r/>
      <w:bookmarkStart w:id="86" w:name="_Toc452502478"/>
      <w:r/>
      <w:bookmarkEnd w:id="86"/>
      <w:r/>
      <w:bookmarkStart w:id="87" w:name="_Toc452502447"/>
      <w:r/>
      <w:bookmarkEnd w:id="87"/>
      <w:r/>
      <w:bookmarkStart w:id="88" w:name="_Toc452502455"/>
      <w:r/>
      <w:bookmarkEnd w:id="88"/>
      <w:r/>
      <w:bookmarkStart w:id="89" w:name="_Toc452556620"/>
      <w:r/>
      <w:bookmarkEnd w:id="89"/>
      <w:r/>
      <w:bookmarkStart w:id="90" w:name="_Toc402880655"/>
      <w:r/>
      <w:bookmarkEnd w:id="90"/>
      <w:r/>
      <w:bookmarkStart w:id="91" w:name="_Toc452556629"/>
      <w:r/>
      <w:bookmarkEnd w:id="91"/>
      <w:r/>
      <w:bookmarkStart w:id="92" w:name="_Toc452502338"/>
      <w:r/>
      <w:bookmarkEnd w:id="92"/>
      <w:r/>
      <w:bookmarkStart w:id="93" w:name="_Toc452556702"/>
      <w:r/>
      <w:bookmarkEnd w:id="93"/>
      <w:r/>
      <w:bookmarkStart w:id="94" w:name="_Toc452556770"/>
      <w:r/>
      <w:bookmarkEnd w:id="94"/>
      <w:r/>
      <w:bookmarkStart w:id="95" w:name="_Toc452556733"/>
      <w:r/>
      <w:bookmarkEnd w:id="95"/>
      <w:r/>
      <w:bookmarkStart w:id="96" w:name="_Toc452502517"/>
      <w:r/>
      <w:bookmarkEnd w:id="96"/>
      <w:r/>
      <w:bookmarkStart w:id="97" w:name="_Toc471745366"/>
      <w:r/>
      <w:bookmarkEnd w:id="97"/>
      <w:r/>
      <w:bookmarkStart w:id="98" w:name="_Toc452556639"/>
      <w:r/>
      <w:bookmarkEnd w:id="98"/>
      <w:r/>
      <w:bookmarkStart w:id="99" w:name="_Toc452556525"/>
      <w:r/>
      <w:bookmarkEnd w:id="99"/>
      <w:r/>
      <w:bookmarkStart w:id="100" w:name="_Toc452556531"/>
      <w:r/>
      <w:bookmarkEnd w:id="100"/>
      <w:r/>
      <w:bookmarkStart w:id="101" w:name="_Toc452556552"/>
      <w:r/>
      <w:bookmarkEnd w:id="101"/>
      <w:r/>
      <w:bookmarkStart w:id="102" w:name="_Toc452556510"/>
      <w:r/>
      <w:bookmarkEnd w:id="102"/>
      <w:r/>
      <w:bookmarkStart w:id="103" w:name="_Toc452502557"/>
      <w:r/>
      <w:bookmarkEnd w:id="103"/>
      <w:r/>
      <w:bookmarkStart w:id="104" w:name="_Toc452556818"/>
      <w:r/>
      <w:bookmarkEnd w:id="104"/>
      <w:r/>
      <w:bookmarkStart w:id="105" w:name="_Toc452502475"/>
      <w:r/>
      <w:bookmarkEnd w:id="105"/>
      <w:r/>
      <w:bookmarkStart w:id="106" w:name="_Toc452502470"/>
      <w:r/>
      <w:bookmarkEnd w:id="106"/>
      <w:r/>
      <w:bookmarkStart w:id="107" w:name="_Toc471745865"/>
      <w:r/>
      <w:bookmarkEnd w:id="107"/>
      <w:r/>
      <w:bookmarkStart w:id="108" w:name="_Toc402880627"/>
      <w:r/>
      <w:bookmarkEnd w:id="108"/>
      <w:r/>
      <w:bookmarkStart w:id="109" w:name="_Toc452502334"/>
      <w:r/>
      <w:bookmarkEnd w:id="109"/>
      <w:r/>
      <w:bookmarkStart w:id="110" w:name="_Toc402880652"/>
      <w:r/>
      <w:bookmarkEnd w:id="110"/>
      <w:r/>
      <w:bookmarkStart w:id="111" w:name="_Toc402880633"/>
      <w:r/>
      <w:bookmarkEnd w:id="111"/>
      <w:r/>
      <w:bookmarkStart w:id="112" w:name="_Toc452556798"/>
      <w:r/>
      <w:bookmarkEnd w:id="112"/>
      <w:r/>
      <w:bookmarkStart w:id="113" w:name="_Toc452556622"/>
      <w:r/>
      <w:bookmarkEnd w:id="113"/>
      <w:r/>
      <w:bookmarkStart w:id="114" w:name="_Toc452556724"/>
      <w:r/>
      <w:bookmarkEnd w:id="114"/>
      <w:r/>
      <w:bookmarkStart w:id="115" w:name="_Toc452502317"/>
      <w:r/>
      <w:bookmarkEnd w:id="115"/>
      <w:r/>
      <w:bookmarkStart w:id="116" w:name="_Toc452502572"/>
      <w:r/>
      <w:bookmarkEnd w:id="116"/>
      <w:r/>
      <w:bookmarkStart w:id="117" w:name="_Toc452556640"/>
      <w:r/>
      <w:bookmarkEnd w:id="117"/>
      <w:r/>
      <w:bookmarkStart w:id="118" w:name="_Toc452556612"/>
      <w:r/>
      <w:bookmarkEnd w:id="118"/>
      <w:r/>
      <w:bookmarkStart w:id="119" w:name="_Toc452502429"/>
      <w:r/>
      <w:bookmarkEnd w:id="119"/>
      <w:r/>
      <w:bookmarkStart w:id="120" w:name="_Toc452502416"/>
      <w:r/>
      <w:bookmarkEnd w:id="120"/>
      <w:r/>
      <w:bookmarkStart w:id="121" w:name="_Toc402880658"/>
      <w:r/>
      <w:bookmarkEnd w:id="121"/>
      <w:r/>
      <w:bookmarkStart w:id="122" w:name="_Toc452556827"/>
      <w:r/>
      <w:bookmarkEnd w:id="122"/>
      <w:r/>
      <w:bookmarkStart w:id="123" w:name="_Toc452502437"/>
      <w:r/>
      <w:bookmarkEnd w:id="123"/>
      <w:r/>
      <w:bookmarkStart w:id="124" w:name="_Toc402880674"/>
      <w:r/>
      <w:bookmarkEnd w:id="124"/>
      <w:r/>
      <w:bookmarkStart w:id="125" w:name="_Toc452502460"/>
      <w:r/>
      <w:bookmarkEnd w:id="125"/>
      <w:r/>
      <w:bookmarkStart w:id="126" w:name="_Toc452556804"/>
      <w:r/>
      <w:bookmarkEnd w:id="126"/>
      <w:r/>
      <w:bookmarkStart w:id="127" w:name="_Toc402880607"/>
      <w:r/>
      <w:bookmarkEnd w:id="127"/>
      <w:r/>
      <w:bookmarkStart w:id="128" w:name="_Toc452556680"/>
      <w:r/>
      <w:bookmarkEnd w:id="128"/>
      <w:r/>
      <w:bookmarkStart w:id="129" w:name="_Toc452502542"/>
      <w:r/>
      <w:bookmarkEnd w:id="129"/>
      <w:r/>
      <w:bookmarkStart w:id="130" w:name="_Toc471739945"/>
      <w:r/>
      <w:bookmarkEnd w:id="130"/>
      <w:r/>
      <w:bookmarkStart w:id="131" w:name="_Toc402880680"/>
      <w:r/>
      <w:bookmarkEnd w:id="131"/>
      <w:r/>
      <w:bookmarkStart w:id="132" w:name="_Toc452502491"/>
      <w:r/>
      <w:bookmarkEnd w:id="132"/>
      <w:r/>
      <w:bookmarkStart w:id="133" w:name="_Toc452556643"/>
      <w:r/>
      <w:bookmarkEnd w:id="133"/>
      <w:r/>
      <w:bookmarkStart w:id="134" w:name="_Toc402880644"/>
      <w:r/>
      <w:bookmarkEnd w:id="134"/>
      <w:r/>
      <w:bookmarkStart w:id="135" w:name="_Toc452556715"/>
      <w:r/>
      <w:bookmarkEnd w:id="135"/>
      <w:r/>
      <w:bookmarkStart w:id="136" w:name="_Toc452556687"/>
      <w:r/>
      <w:bookmarkEnd w:id="136"/>
      <w:r/>
      <w:bookmarkStart w:id="137" w:name="_Toc452502466"/>
      <w:r/>
      <w:bookmarkEnd w:id="137"/>
      <w:r/>
      <w:bookmarkStart w:id="138" w:name="_Toc452502452"/>
      <w:r/>
      <w:bookmarkEnd w:id="138"/>
      <w:r/>
      <w:bookmarkStart w:id="139" w:name="_Toc452556599"/>
      <w:r/>
      <w:bookmarkEnd w:id="139"/>
      <w:r/>
      <w:bookmarkStart w:id="140" w:name="_Toc471745867"/>
      <w:r/>
      <w:bookmarkEnd w:id="140"/>
      <w:r/>
      <w:bookmarkStart w:id="141" w:name="_Toc452556526"/>
      <w:r/>
      <w:bookmarkEnd w:id="141"/>
      <w:r/>
      <w:bookmarkStart w:id="142" w:name="_Toc452502573"/>
      <w:r/>
      <w:bookmarkEnd w:id="142"/>
      <w:r/>
      <w:bookmarkStart w:id="143" w:name="_Toc452556694"/>
      <w:r/>
      <w:bookmarkEnd w:id="143"/>
      <w:r/>
      <w:bookmarkStart w:id="144" w:name="_Toc452556533"/>
      <w:r/>
      <w:bookmarkEnd w:id="144"/>
      <w:r/>
      <w:bookmarkStart w:id="145" w:name="_Toc452502393"/>
      <w:r/>
      <w:bookmarkEnd w:id="145"/>
      <w:r/>
      <w:bookmarkStart w:id="146" w:name="_Toc471745361"/>
      <w:r/>
      <w:bookmarkEnd w:id="146"/>
      <w:r/>
      <w:bookmarkStart w:id="147" w:name="_Toc452556615"/>
      <w:r/>
      <w:bookmarkEnd w:id="147"/>
      <w:r/>
      <w:bookmarkStart w:id="148" w:name="_Toc452556776"/>
      <w:r/>
      <w:bookmarkEnd w:id="148"/>
      <w:r/>
      <w:bookmarkStart w:id="149" w:name="_Toc452556786"/>
      <w:r/>
      <w:bookmarkEnd w:id="149"/>
      <w:r/>
      <w:bookmarkStart w:id="150" w:name="_Toc452556754"/>
      <w:r/>
      <w:bookmarkEnd w:id="150"/>
      <w:r/>
      <w:bookmarkStart w:id="151" w:name="_Toc452556707"/>
      <w:r/>
      <w:bookmarkEnd w:id="151"/>
      <w:r/>
      <w:bookmarkStart w:id="152" w:name="_Toc388279019"/>
      <w:r/>
      <w:bookmarkEnd w:id="152"/>
      <w:r/>
      <w:bookmarkStart w:id="153" w:name="_Toc452502521"/>
      <w:r/>
      <w:bookmarkEnd w:id="153"/>
      <w:r/>
      <w:bookmarkStart w:id="154" w:name="_Toc381964098"/>
      <w:r/>
      <w:bookmarkEnd w:id="154"/>
      <w:r/>
      <w:bookmarkStart w:id="155" w:name="_Toc381963376"/>
      <w:r/>
      <w:bookmarkEnd w:id="155"/>
      <w:r/>
      <w:bookmarkStart w:id="156" w:name="_Toc402880609"/>
      <w:r/>
      <w:bookmarkEnd w:id="156"/>
      <w:r/>
      <w:bookmarkStart w:id="157" w:name="_Toc452556557"/>
      <w:r/>
      <w:bookmarkEnd w:id="157"/>
      <w:r/>
      <w:bookmarkStart w:id="158" w:name="_Toc452556624"/>
      <w:r/>
      <w:bookmarkEnd w:id="158"/>
      <w:r/>
      <w:bookmarkStart w:id="159" w:name="_Toc452502400"/>
      <w:r/>
      <w:bookmarkEnd w:id="159"/>
      <w:r/>
      <w:bookmarkStart w:id="160" w:name="_Toc452502382"/>
      <w:r/>
      <w:bookmarkEnd w:id="160"/>
      <w:r/>
      <w:bookmarkStart w:id="161" w:name="_Toc402880663"/>
      <w:r/>
      <w:bookmarkEnd w:id="161"/>
      <w:r/>
      <w:bookmarkStart w:id="162" w:name="_Toc452502366"/>
      <w:r/>
      <w:bookmarkEnd w:id="162"/>
      <w:r/>
      <w:bookmarkStart w:id="163" w:name="_Toc402880690"/>
      <w:r/>
      <w:bookmarkEnd w:id="163"/>
      <w:r/>
      <w:bookmarkStart w:id="164" w:name="_Toc452556497"/>
      <w:r/>
      <w:bookmarkEnd w:id="164"/>
      <w:r/>
      <w:bookmarkStart w:id="165" w:name="_Toc452556788"/>
      <w:r/>
      <w:bookmarkEnd w:id="165"/>
      <w:r/>
      <w:bookmarkStart w:id="166" w:name="_Toc443332024"/>
      <w:r/>
      <w:bookmarkEnd w:id="166"/>
      <w:r/>
      <w:bookmarkStart w:id="167" w:name="_Toc402880676"/>
      <w:r/>
      <w:bookmarkEnd w:id="167"/>
      <w:r/>
      <w:bookmarkStart w:id="168" w:name="_Toc402880648"/>
      <w:r/>
      <w:bookmarkEnd w:id="168"/>
      <w:r/>
      <w:bookmarkStart w:id="169" w:name="_Toc452502383"/>
      <w:r/>
      <w:bookmarkEnd w:id="169"/>
      <w:r/>
      <w:bookmarkStart w:id="170" w:name="_Toc452502554"/>
      <w:r/>
      <w:bookmarkEnd w:id="170"/>
      <w:r/>
      <w:bookmarkStart w:id="171" w:name="_Toc452556793"/>
      <w:r/>
      <w:bookmarkEnd w:id="171"/>
      <w:r/>
      <w:bookmarkStart w:id="172" w:name="_Toc452556825"/>
      <w:r/>
      <w:bookmarkEnd w:id="172"/>
      <w:r/>
      <w:bookmarkStart w:id="173" w:name="_Toc452502419"/>
      <w:r/>
      <w:bookmarkEnd w:id="173"/>
      <w:r/>
      <w:bookmarkStart w:id="174" w:name="_Toc402880691"/>
      <w:r/>
      <w:bookmarkEnd w:id="174"/>
      <w:r/>
      <w:bookmarkStart w:id="175" w:name="_Toc452502392"/>
      <w:r/>
      <w:bookmarkEnd w:id="175"/>
      <w:r/>
      <w:bookmarkStart w:id="176" w:name="_Toc452502413"/>
      <w:r/>
      <w:bookmarkEnd w:id="176"/>
      <w:r/>
      <w:bookmarkStart w:id="177" w:name="_Toc402880622"/>
      <w:r/>
      <w:bookmarkEnd w:id="177"/>
      <w:r/>
      <w:bookmarkStart w:id="178" w:name="_Toc452502418"/>
      <w:r/>
      <w:bookmarkEnd w:id="178"/>
      <w:r/>
      <w:bookmarkStart w:id="179" w:name="_Toc452556610"/>
      <w:r/>
      <w:bookmarkEnd w:id="179"/>
      <w:r/>
      <w:bookmarkStart w:id="180" w:name="_Toc402880671"/>
      <w:r/>
      <w:bookmarkEnd w:id="180"/>
      <w:r/>
      <w:bookmarkStart w:id="181" w:name="_Toc452556613"/>
      <w:r/>
      <w:bookmarkEnd w:id="181"/>
      <w:r/>
      <w:bookmarkStart w:id="182" w:name="_Toc452502548"/>
      <w:r/>
      <w:bookmarkEnd w:id="182"/>
      <w:r/>
      <w:bookmarkStart w:id="183" w:name="_Toc452556607"/>
      <w:r/>
      <w:bookmarkEnd w:id="183"/>
      <w:r/>
      <w:bookmarkStart w:id="184" w:name="_Toc402880649"/>
      <w:r/>
      <w:bookmarkEnd w:id="184"/>
      <w:r/>
      <w:bookmarkStart w:id="185" w:name="_Toc452556587"/>
      <w:r/>
      <w:bookmarkEnd w:id="185"/>
      <w:r/>
      <w:bookmarkStart w:id="186" w:name="_Toc471745364"/>
      <w:r/>
      <w:bookmarkEnd w:id="186"/>
      <w:r/>
      <w:bookmarkStart w:id="187" w:name="_Toc471745871"/>
      <w:r/>
      <w:bookmarkEnd w:id="187"/>
      <w:r/>
      <w:bookmarkStart w:id="188" w:name="_Toc452556541"/>
      <w:r/>
      <w:bookmarkEnd w:id="188"/>
      <w:r/>
      <w:bookmarkStart w:id="189" w:name="_Toc452502352"/>
      <w:r/>
      <w:bookmarkEnd w:id="189"/>
      <w:r/>
      <w:bookmarkStart w:id="190" w:name="_Toc402880685"/>
      <w:r/>
      <w:bookmarkEnd w:id="190"/>
      <w:r/>
      <w:bookmarkStart w:id="191" w:name="_Toc471745861"/>
      <w:r/>
      <w:bookmarkEnd w:id="191"/>
      <w:r/>
      <w:bookmarkStart w:id="192" w:name="_Toc452556691"/>
      <w:r/>
      <w:bookmarkEnd w:id="192"/>
      <w:r/>
      <w:bookmarkStart w:id="193" w:name="_Toc452556558"/>
      <w:r/>
      <w:bookmarkEnd w:id="193"/>
      <w:r/>
      <w:bookmarkStart w:id="194" w:name="_Toc452556567"/>
      <w:r/>
      <w:bookmarkEnd w:id="194"/>
      <w:r/>
      <w:bookmarkStart w:id="195" w:name="_Toc452556732"/>
      <w:r/>
      <w:bookmarkEnd w:id="195"/>
      <w:r/>
      <w:bookmarkStart w:id="196" w:name="_Toc452556672"/>
      <w:r/>
      <w:bookmarkEnd w:id="196"/>
      <w:r/>
      <w:bookmarkStart w:id="197" w:name="_Toc402880678"/>
      <w:r/>
      <w:bookmarkEnd w:id="197"/>
      <w:r/>
      <w:bookmarkStart w:id="198" w:name="_Toc402880624"/>
      <w:r/>
      <w:bookmarkEnd w:id="198"/>
      <w:r/>
      <w:bookmarkStart w:id="199" w:name="_Toc471745860"/>
      <w:r/>
      <w:bookmarkEnd w:id="199"/>
      <w:r/>
      <w:bookmarkStart w:id="200" w:name="_Toc452502355"/>
      <w:r/>
      <w:bookmarkEnd w:id="200"/>
      <w:r/>
      <w:bookmarkStart w:id="201" w:name="_Toc471745358"/>
      <w:r/>
      <w:bookmarkEnd w:id="201"/>
      <w:r/>
      <w:bookmarkStart w:id="202" w:name="_Toc452556717"/>
      <w:r/>
      <w:bookmarkEnd w:id="202"/>
      <w:r/>
      <w:bookmarkStart w:id="203" w:name="_Toc452502402"/>
      <w:r/>
      <w:bookmarkEnd w:id="203"/>
      <w:r/>
      <w:bookmarkStart w:id="204" w:name="_Toc452502567"/>
      <w:r/>
      <w:bookmarkEnd w:id="204"/>
      <w:r/>
      <w:bookmarkStart w:id="205" w:name="_Toc452556654"/>
      <w:r/>
      <w:bookmarkEnd w:id="205"/>
      <w:r/>
      <w:bookmarkStart w:id="206" w:name="_Toc452502411"/>
      <w:r/>
      <w:bookmarkEnd w:id="206"/>
      <w:r/>
      <w:bookmarkStart w:id="207" w:name="_Toc452502391"/>
      <w:r/>
      <w:bookmarkEnd w:id="207"/>
      <w:r/>
      <w:bookmarkStart w:id="208" w:name="_Toc452502423"/>
      <w:r/>
      <w:bookmarkEnd w:id="208"/>
      <w:r/>
      <w:bookmarkStart w:id="209" w:name="_Toc452502313"/>
      <w:r/>
      <w:bookmarkEnd w:id="209"/>
      <w:r/>
      <w:bookmarkStart w:id="210" w:name="_Toc452502406"/>
      <w:r/>
      <w:bookmarkEnd w:id="210"/>
      <w:r/>
      <w:bookmarkStart w:id="211" w:name="_Toc452502520"/>
      <w:r/>
      <w:bookmarkEnd w:id="211"/>
      <w:r/>
      <w:bookmarkStart w:id="212" w:name="_Toc452502396"/>
      <w:r/>
      <w:bookmarkEnd w:id="212"/>
      <w:r/>
      <w:bookmarkStart w:id="213" w:name="_Toc452556581"/>
      <w:r/>
      <w:bookmarkEnd w:id="213"/>
      <w:r/>
      <w:bookmarkStart w:id="214" w:name="_Toc402880681"/>
      <w:r/>
      <w:bookmarkEnd w:id="214"/>
      <w:r/>
      <w:bookmarkStart w:id="215" w:name="_Toc452556536"/>
      <w:r/>
      <w:bookmarkEnd w:id="215"/>
      <w:r/>
      <w:bookmarkStart w:id="216" w:name="_Toc452556810"/>
      <w:r/>
      <w:bookmarkEnd w:id="216"/>
      <w:r/>
      <w:bookmarkStart w:id="217" w:name="_Toc452556693"/>
      <w:r/>
      <w:bookmarkEnd w:id="217"/>
      <w:r/>
      <w:bookmarkStart w:id="218" w:name="_Toc452556528"/>
      <w:r/>
      <w:bookmarkEnd w:id="218"/>
      <w:r/>
      <w:bookmarkStart w:id="219" w:name="_Toc443332012"/>
      <w:r/>
      <w:bookmarkEnd w:id="219"/>
      <w:r/>
      <w:bookmarkStart w:id="220" w:name="_Toc452502539"/>
      <w:r/>
      <w:bookmarkEnd w:id="220"/>
      <w:r/>
      <w:bookmarkStart w:id="221" w:name="_Toc452556605"/>
      <w:r/>
      <w:bookmarkEnd w:id="221"/>
      <w:r/>
      <w:bookmarkStart w:id="222" w:name="_Toc402880620"/>
      <w:r/>
      <w:bookmarkEnd w:id="222"/>
      <w:r/>
      <w:bookmarkStart w:id="223" w:name="_Toc452502546"/>
      <w:r/>
      <w:bookmarkEnd w:id="223"/>
      <w:r/>
      <w:bookmarkStart w:id="224" w:name="_Toc452556527"/>
      <w:r/>
      <w:bookmarkEnd w:id="224"/>
      <w:r/>
      <w:bookmarkStart w:id="225" w:name="_Toc388279022"/>
      <w:r/>
      <w:bookmarkEnd w:id="225"/>
      <w:r/>
      <w:bookmarkStart w:id="226" w:name="_Toc452502487"/>
      <w:r/>
      <w:bookmarkEnd w:id="226"/>
      <w:r/>
      <w:bookmarkStart w:id="227" w:name="_Toc471745869"/>
      <w:r/>
      <w:bookmarkEnd w:id="227"/>
      <w:r/>
      <w:bookmarkStart w:id="228" w:name="_Toc452556524"/>
      <w:r/>
      <w:bookmarkEnd w:id="228"/>
      <w:r/>
      <w:bookmarkStart w:id="229" w:name="_Toc452502543"/>
      <w:r/>
      <w:bookmarkEnd w:id="229"/>
      <w:r/>
      <w:bookmarkStart w:id="230" w:name="_Toc452556698"/>
      <w:r/>
      <w:bookmarkEnd w:id="230"/>
      <w:r/>
      <w:bookmarkStart w:id="231" w:name="_Toc402880653"/>
      <w:r/>
      <w:bookmarkEnd w:id="231"/>
      <w:r/>
      <w:bookmarkStart w:id="232" w:name="_Toc402880615"/>
      <w:r/>
      <w:bookmarkEnd w:id="232"/>
      <w:r/>
      <w:bookmarkStart w:id="233" w:name="_Toc452502553"/>
      <w:r/>
      <w:bookmarkEnd w:id="233"/>
      <w:r/>
      <w:bookmarkStart w:id="234" w:name="_Toc402880667"/>
      <w:r/>
      <w:bookmarkEnd w:id="234"/>
      <w:r/>
      <w:bookmarkStart w:id="235" w:name="_Toc402880614"/>
      <w:r/>
      <w:bookmarkEnd w:id="235"/>
      <w:r/>
      <w:bookmarkStart w:id="236" w:name="_Toc452502540"/>
      <w:r/>
      <w:bookmarkEnd w:id="236"/>
      <w:r/>
      <w:bookmarkStart w:id="237" w:name="_Toc452556560"/>
      <w:r/>
      <w:bookmarkEnd w:id="237"/>
      <w:r/>
      <w:bookmarkStart w:id="238" w:name="_Toc452556719"/>
      <w:r/>
      <w:bookmarkEnd w:id="238"/>
      <w:r/>
      <w:bookmarkStart w:id="239" w:name="_Toc402880635"/>
      <w:r/>
      <w:bookmarkEnd w:id="239"/>
      <w:r/>
      <w:bookmarkStart w:id="240" w:name="_Toc452502374"/>
      <w:r/>
      <w:bookmarkEnd w:id="240"/>
      <w:r/>
      <w:bookmarkStart w:id="241" w:name="_Toc452502337"/>
      <w:r/>
      <w:bookmarkEnd w:id="241"/>
      <w:r/>
      <w:bookmarkStart w:id="242" w:name="_Toc452502335"/>
      <w:r/>
      <w:bookmarkEnd w:id="242"/>
      <w:r/>
      <w:bookmarkStart w:id="243" w:name="_Toc452502388"/>
      <w:r/>
      <w:bookmarkEnd w:id="243"/>
      <w:r/>
      <w:bookmarkStart w:id="244" w:name="_Toc452556658"/>
      <w:r/>
      <w:bookmarkEnd w:id="244"/>
      <w:r/>
      <w:bookmarkStart w:id="245" w:name="_Toc452502513"/>
      <w:r/>
      <w:bookmarkEnd w:id="245"/>
      <w:r/>
      <w:bookmarkStart w:id="246" w:name="_Toc452502386"/>
      <w:r/>
      <w:bookmarkEnd w:id="246"/>
      <w:r/>
      <w:bookmarkStart w:id="247" w:name="_Toc452556515"/>
      <w:r/>
      <w:bookmarkEnd w:id="247"/>
      <w:r/>
      <w:bookmarkStart w:id="248" w:name="_Toc402880697"/>
      <w:r/>
      <w:bookmarkEnd w:id="248"/>
      <w:r/>
      <w:bookmarkStart w:id="249" w:name="_Toc452502434"/>
      <w:r/>
      <w:bookmarkEnd w:id="249"/>
      <w:r/>
      <w:bookmarkStart w:id="250" w:name="_Toc452502469"/>
      <w:r/>
      <w:bookmarkEnd w:id="250"/>
      <w:r/>
      <w:bookmarkStart w:id="251" w:name="_Toc388279021"/>
      <w:r/>
      <w:bookmarkEnd w:id="251"/>
      <w:r/>
      <w:bookmarkStart w:id="252" w:name="_Toc452556529"/>
      <w:r/>
      <w:bookmarkEnd w:id="252"/>
      <w:r/>
      <w:bookmarkStart w:id="253" w:name="_Toc452556588"/>
      <w:r/>
      <w:bookmarkEnd w:id="253"/>
      <w:r/>
      <w:bookmarkStart w:id="254" w:name="_Toc471745868"/>
      <w:r/>
      <w:bookmarkEnd w:id="254"/>
      <w:r/>
      <w:bookmarkStart w:id="255" w:name="_Toc452556595"/>
      <w:r/>
      <w:bookmarkEnd w:id="255"/>
      <w:r/>
      <w:bookmarkStart w:id="256" w:name="_Toc452502464"/>
      <w:r/>
      <w:bookmarkEnd w:id="256"/>
      <w:r/>
      <w:bookmarkStart w:id="257" w:name="_Toc452556747"/>
      <w:r/>
      <w:bookmarkEnd w:id="257"/>
      <w:r/>
      <w:bookmarkStart w:id="258" w:name="_Toc452556829"/>
      <w:r/>
      <w:bookmarkEnd w:id="258"/>
      <w:r/>
      <w:bookmarkStart w:id="259" w:name="_Toc452502468"/>
      <w:r/>
      <w:bookmarkEnd w:id="259"/>
      <w:r/>
      <w:bookmarkStart w:id="260" w:name="_Toc452502389"/>
      <w:r/>
      <w:bookmarkEnd w:id="260"/>
      <w:r/>
      <w:bookmarkStart w:id="261" w:name="_Toc402880695"/>
      <w:r/>
      <w:bookmarkEnd w:id="261"/>
      <w:r/>
      <w:bookmarkStart w:id="262" w:name="_Toc452502309"/>
      <w:r/>
      <w:bookmarkEnd w:id="262"/>
      <w:r/>
      <w:bookmarkStart w:id="263" w:name="_Toc471741424"/>
      <w:r/>
      <w:bookmarkEnd w:id="263"/>
      <w:r/>
      <w:bookmarkStart w:id="264" w:name="_Toc471745362"/>
      <w:r/>
      <w:bookmarkEnd w:id="264"/>
      <w:r/>
      <w:bookmarkStart w:id="265" w:name="_Toc452556553"/>
      <w:r/>
      <w:bookmarkEnd w:id="265"/>
      <w:r/>
      <w:bookmarkStart w:id="266" w:name="_Toc452556682"/>
      <w:r/>
      <w:bookmarkEnd w:id="266"/>
      <w:r/>
      <w:bookmarkStart w:id="267" w:name="_Toc452502479"/>
      <w:r/>
      <w:bookmarkEnd w:id="267"/>
      <w:r/>
      <w:bookmarkStart w:id="268" w:name="_Toc452556720"/>
      <w:r/>
      <w:bookmarkEnd w:id="268"/>
      <w:r/>
      <w:bookmarkStart w:id="269" w:name="_Toc452556502"/>
      <w:r/>
      <w:bookmarkEnd w:id="269"/>
      <w:r/>
      <w:bookmarkStart w:id="270" w:name="_Toc402880672"/>
      <w:r/>
      <w:bookmarkEnd w:id="270"/>
      <w:r/>
      <w:bookmarkStart w:id="271" w:name="_Toc452556496"/>
      <w:r/>
      <w:bookmarkEnd w:id="271"/>
      <w:r/>
      <w:bookmarkStart w:id="272" w:name="_Toc400913976"/>
      <w:r/>
      <w:bookmarkEnd w:id="272"/>
      <w:r/>
      <w:bookmarkStart w:id="273" w:name="_Toc443332011"/>
      <w:r/>
      <w:bookmarkEnd w:id="273"/>
      <w:r/>
      <w:bookmarkStart w:id="274" w:name="_Toc452556772"/>
      <w:r/>
      <w:bookmarkEnd w:id="274"/>
      <w:r/>
      <w:bookmarkStart w:id="275" w:name="_Toc452502488"/>
      <w:r/>
      <w:bookmarkEnd w:id="275"/>
      <w:r/>
      <w:bookmarkStart w:id="276" w:name="_Toc452556634"/>
      <w:r/>
      <w:bookmarkEnd w:id="276"/>
      <w:r/>
      <w:bookmarkStart w:id="277" w:name="_Toc452556807"/>
      <w:r/>
      <w:bookmarkEnd w:id="277"/>
      <w:r/>
      <w:bookmarkStart w:id="278" w:name="_Toc452502347"/>
      <w:r/>
      <w:bookmarkEnd w:id="278"/>
      <w:r/>
      <w:bookmarkStart w:id="279" w:name="_Toc452556759"/>
      <w:r/>
      <w:bookmarkEnd w:id="279"/>
      <w:r/>
      <w:bookmarkStart w:id="280" w:name="_Toc388279024"/>
      <w:r/>
      <w:bookmarkEnd w:id="280"/>
      <w:r/>
      <w:bookmarkStart w:id="281" w:name="_Toc452556806"/>
      <w:r/>
      <w:bookmarkEnd w:id="281"/>
      <w:r/>
      <w:bookmarkStart w:id="282" w:name="_Toc452556611"/>
      <w:r/>
      <w:bookmarkEnd w:id="282"/>
      <w:r/>
      <w:bookmarkStart w:id="283" w:name="_Toc452502362"/>
      <w:r/>
      <w:bookmarkEnd w:id="283"/>
      <w:r/>
      <w:bookmarkStart w:id="284" w:name="_Toc452556784"/>
      <w:r/>
      <w:bookmarkEnd w:id="284"/>
      <w:r/>
      <w:bookmarkStart w:id="285" w:name="_Toc388279018"/>
      <w:r/>
      <w:bookmarkEnd w:id="285"/>
      <w:r/>
      <w:bookmarkStart w:id="286" w:name="_Toc452556673"/>
      <w:r/>
      <w:bookmarkEnd w:id="286"/>
      <w:r/>
      <w:bookmarkStart w:id="287" w:name="_Toc402880634"/>
      <w:r/>
      <w:bookmarkEnd w:id="287"/>
      <w:r/>
      <w:bookmarkStart w:id="288" w:name="_Toc452502471"/>
      <w:r/>
      <w:bookmarkEnd w:id="288"/>
      <w:r/>
      <w:bookmarkStart w:id="289" w:name="_Toc452556586"/>
      <w:r/>
      <w:bookmarkEnd w:id="289"/>
      <w:r/>
      <w:bookmarkStart w:id="290" w:name="_Toc452556700"/>
      <w:r/>
      <w:bookmarkEnd w:id="290"/>
      <w:r/>
      <w:bookmarkStart w:id="291" w:name="_Toc452556540"/>
      <w:r/>
      <w:bookmarkEnd w:id="291"/>
      <w:r/>
      <w:bookmarkStart w:id="292" w:name="_Toc452502535"/>
      <w:r/>
      <w:bookmarkEnd w:id="292"/>
      <w:r/>
      <w:bookmarkStart w:id="293" w:name="_Toc452556787"/>
      <w:r/>
      <w:bookmarkEnd w:id="293"/>
      <w:r/>
      <w:bookmarkStart w:id="294" w:name="_Toc471743612"/>
      <w:r/>
      <w:bookmarkEnd w:id="294"/>
      <w:r/>
      <w:bookmarkStart w:id="295" w:name="_Toc452502359"/>
      <w:r/>
      <w:bookmarkEnd w:id="295"/>
      <w:r/>
      <w:bookmarkStart w:id="296" w:name="_Toc452502476"/>
      <w:r/>
      <w:bookmarkEnd w:id="296"/>
      <w:r/>
      <w:bookmarkStart w:id="297" w:name="_Toc452556565"/>
      <w:r/>
      <w:bookmarkEnd w:id="297"/>
      <w:r/>
      <w:bookmarkStart w:id="298" w:name="_Toc452556641"/>
      <w:r/>
      <w:bookmarkEnd w:id="298"/>
      <w:r/>
      <w:bookmarkStart w:id="299" w:name="_Toc381963374"/>
      <w:r/>
      <w:bookmarkEnd w:id="299"/>
      <w:r/>
      <w:bookmarkStart w:id="300" w:name="_Toc402880645"/>
      <w:r/>
      <w:bookmarkEnd w:id="300"/>
      <w:r/>
      <w:bookmarkStart w:id="301" w:name="_Toc452556713"/>
      <w:r/>
      <w:bookmarkEnd w:id="301"/>
      <w:r/>
      <w:bookmarkStart w:id="302" w:name="_Toc452556701"/>
      <w:r/>
      <w:bookmarkEnd w:id="302"/>
      <w:r/>
      <w:bookmarkStart w:id="303" w:name="_Toc452556507"/>
      <w:r/>
      <w:bookmarkEnd w:id="303"/>
      <w:r/>
      <w:bookmarkStart w:id="304" w:name="_Toc452502512"/>
      <w:r/>
      <w:bookmarkEnd w:id="304"/>
      <w:r/>
      <w:bookmarkStart w:id="305" w:name="_Toc452556819"/>
      <w:r/>
      <w:bookmarkEnd w:id="305"/>
      <w:r/>
      <w:bookmarkStart w:id="306" w:name="_Toc452556665"/>
      <w:r/>
      <w:bookmarkEnd w:id="306"/>
      <w:r/>
      <w:bookmarkStart w:id="307" w:name="_Toc471745872"/>
      <w:r/>
      <w:bookmarkEnd w:id="307"/>
      <w:r/>
      <w:bookmarkStart w:id="308" w:name="_Toc452556592"/>
      <w:r/>
      <w:bookmarkEnd w:id="308"/>
      <w:r/>
      <w:bookmarkStart w:id="309" w:name="_Toc402880606"/>
      <w:r/>
      <w:bookmarkEnd w:id="309"/>
      <w:r/>
      <w:bookmarkStart w:id="310" w:name="_Toc452556683"/>
      <w:r/>
      <w:bookmarkEnd w:id="310"/>
      <w:r/>
      <w:bookmarkStart w:id="311" w:name="_Toc452556711"/>
      <w:r/>
      <w:bookmarkEnd w:id="311"/>
      <w:r/>
      <w:bookmarkStart w:id="312" w:name="_Toc452556751"/>
      <w:r/>
      <w:bookmarkEnd w:id="312"/>
      <w:r/>
      <w:bookmarkStart w:id="313" w:name="_Toc443332016"/>
      <w:r/>
      <w:bookmarkEnd w:id="313"/>
      <w:r/>
      <w:bookmarkStart w:id="314" w:name="_Toc452556795"/>
      <w:r/>
      <w:bookmarkEnd w:id="314"/>
      <w:r/>
      <w:bookmarkStart w:id="315" w:name="_Toc452502426"/>
      <w:r/>
      <w:bookmarkEnd w:id="315"/>
      <w:r/>
      <w:bookmarkStart w:id="316" w:name="_Toc452556631"/>
      <w:r/>
      <w:bookmarkEnd w:id="316"/>
      <w:r/>
      <w:bookmarkStart w:id="317" w:name="_Toc471740777"/>
      <w:r/>
      <w:bookmarkEnd w:id="317"/>
      <w:r/>
      <w:bookmarkStart w:id="318" w:name="_Toc452502515"/>
      <w:r/>
      <w:bookmarkEnd w:id="318"/>
      <w:r/>
      <w:bookmarkStart w:id="319" w:name="_Toc388279017"/>
      <w:r/>
      <w:bookmarkEnd w:id="319"/>
      <w:r/>
      <w:bookmarkStart w:id="320" w:name="_Toc452556539"/>
      <w:r/>
      <w:bookmarkEnd w:id="320"/>
      <w:r/>
      <w:bookmarkStart w:id="321" w:name="_Toc452502314"/>
      <w:r/>
      <w:bookmarkEnd w:id="321"/>
      <w:r/>
      <w:bookmarkStart w:id="322" w:name="_Toc452556756"/>
      <w:r/>
      <w:bookmarkEnd w:id="322"/>
      <w:r/>
      <w:bookmarkStart w:id="323" w:name="_Toc402880643"/>
      <w:r/>
      <w:bookmarkEnd w:id="323"/>
      <w:r/>
      <w:bookmarkStart w:id="324" w:name="_Toc452556800"/>
      <w:r/>
      <w:bookmarkEnd w:id="324"/>
      <w:r/>
      <w:bookmarkStart w:id="325" w:name="_Toc452502316"/>
      <w:r/>
      <w:bookmarkEnd w:id="325"/>
      <w:r/>
      <w:bookmarkStart w:id="326" w:name="_Toc452502484"/>
      <w:r/>
      <w:bookmarkEnd w:id="326"/>
      <w:r/>
      <w:bookmarkStart w:id="327" w:name="_Toc452556544"/>
      <w:r/>
      <w:bookmarkEnd w:id="327"/>
      <w:r/>
      <w:bookmarkStart w:id="328" w:name="_Toc452502558"/>
      <w:r/>
      <w:bookmarkEnd w:id="328"/>
      <w:r/>
      <w:bookmarkStart w:id="329" w:name="_Toc452556783"/>
      <w:r/>
      <w:bookmarkEnd w:id="329"/>
      <w:r/>
      <w:bookmarkStart w:id="330" w:name="_Toc402880659"/>
      <w:r/>
      <w:bookmarkEnd w:id="330"/>
      <w:r/>
      <w:bookmarkStart w:id="331" w:name="_Toc452556576"/>
      <w:r/>
      <w:bookmarkEnd w:id="331"/>
      <w:r/>
      <w:bookmarkStart w:id="332" w:name="_Toc452502356"/>
      <w:r/>
      <w:bookmarkEnd w:id="332"/>
      <w:r/>
      <w:bookmarkStart w:id="333" w:name="_Toc452556731"/>
      <w:r/>
      <w:bookmarkEnd w:id="333"/>
      <w:r/>
      <w:bookmarkStart w:id="334" w:name="_Toc452556667"/>
      <w:r/>
      <w:bookmarkEnd w:id="334"/>
      <w:r/>
      <w:bookmarkStart w:id="335" w:name="_Toc400913978"/>
      <w:r/>
      <w:bookmarkEnd w:id="335"/>
      <w:r/>
      <w:bookmarkStart w:id="336" w:name="_Toc452556625"/>
      <w:r/>
      <w:bookmarkEnd w:id="336"/>
      <w:r/>
      <w:bookmarkStart w:id="337" w:name="_Toc452556803"/>
      <w:r/>
      <w:bookmarkEnd w:id="337"/>
      <w:r/>
      <w:bookmarkStart w:id="338" w:name="_Toc452556774"/>
      <w:r/>
      <w:bookmarkEnd w:id="338"/>
      <w:r/>
      <w:bookmarkStart w:id="339" w:name="_Toc452556668"/>
      <w:r/>
      <w:bookmarkEnd w:id="339"/>
      <w:r/>
      <w:bookmarkStart w:id="340" w:name="_Toc452556517"/>
      <w:r/>
      <w:bookmarkEnd w:id="340"/>
      <w:r/>
      <w:bookmarkStart w:id="341" w:name="_Toc452502384"/>
      <w:r/>
      <w:bookmarkEnd w:id="341"/>
      <w:r/>
      <w:bookmarkStart w:id="342" w:name="_Toc452502559"/>
      <w:r/>
      <w:bookmarkEnd w:id="342"/>
      <w:r/>
      <w:bookmarkStart w:id="343" w:name="_Toc452502467"/>
      <w:r/>
      <w:bookmarkEnd w:id="343"/>
      <w:r/>
      <w:bookmarkStart w:id="344" w:name="_Toc402880638"/>
      <w:r/>
      <w:bookmarkEnd w:id="344"/>
      <w:r/>
      <w:bookmarkStart w:id="345" w:name="_Toc452556580"/>
      <w:r/>
      <w:bookmarkEnd w:id="345"/>
      <w:r/>
      <w:bookmarkStart w:id="346" w:name="_Toc402880623"/>
      <w:r/>
      <w:bookmarkEnd w:id="346"/>
      <w:r/>
      <w:bookmarkStart w:id="347" w:name="_Toc452502420"/>
      <w:r/>
      <w:bookmarkEnd w:id="347"/>
      <w:r/>
      <w:bookmarkStart w:id="348" w:name="_Toc452502462"/>
      <w:r/>
      <w:bookmarkEnd w:id="348"/>
      <w:r/>
      <w:bookmarkStart w:id="349" w:name="_Toc452556662"/>
      <w:r/>
      <w:bookmarkEnd w:id="349"/>
      <w:r/>
      <w:bookmarkStart w:id="350" w:name="_Toc452502367"/>
      <w:r/>
      <w:bookmarkEnd w:id="350"/>
      <w:r/>
      <w:bookmarkStart w:id="351" w:name="_Toc402880673"/>
      <w:r/>
      <w:bookmarkEnd w:id="351"/>
      <w:r/>
      <w:bookmarkStart w:id="352" w:name="_Toc452502450"/>
      <w:r/>
      <w:bookmarkEnd w:id="352"/>
      <w:r/>
      <w:bookmarkStart w:id="353" w:name="_Toc452556559"/>
      <w:r/>
      <w:bookmarkEnd w:id="353"/>
      <w:r/>
      <w:bookmarkStart w:id="354" w:name="_Toc452556573"/>
      <w:r/>
      <w:bookmarkEnd w:id="354"/>
      <w:r/>
      <w:bookmarkStart w:id="355" w:name="_Toc452556792"/>
      <w:r/>
      <w:bookmarkEnd w:id="355"/>
      <w:r/>
      <w:bookmarkStart w:id="356" w:name="_Toc452502435"/>
      <w:r/>
      <w:bookmarkEnd w:id="356"/>
      <w:r/>
      <w:bookmarkStart w:id="357" w:name="_Toc452502377"/>
      <w:r/>
      <w:bookmarkEnd w:id="357"/>
      <w:r/>
      <w:bookmarkStart w:id="358" w:name="_Toc452556621"/>
      <w:r/>
      <w:bookmarkEnd w:id="358"/>
      <w:r/>
      <w:bookmarkStart w:id="359" w:name="_Toc452502519"/>
      <w:r/>
      <w:bookmarkEnd w:id="359"/>
      <w:r/>
      <w:bookmarkStart w:id="360" w:name="_Toc471743615"/>
      <w:r/>
      <w:bookmarkEnd w:id="360"/>
      <w:r/>
      <w:bookmarkStart w:id="361" w:name="_Toc452556676"/>
      <w:r/>
      <w:bookmarkEnd w:id="361"/>
      <w:r/>
      <w:bookmarkStart w:id="362" w:name="_Toc452502361"/>
      <w:r/>
      <w:bookmarkEnd w:id="362"/>
      <w:r/>
      <w:bookmarkStart w:id="363" w:name="_Toc471745866"/>
      <w:r/>
      <w:bookmarkEnd w:id="363"/>
      <w:r/>
      <w:bookmarkStart w:id="364" w:name="_Toc452502497"/>
      <w:r/>
      <w:bookmarkEnd w:id="364"/>
      <w:r/>
      <w:bookmarkStart w:id="365" w:name="_Toc402880687"/>
      <w:r/>
      <w:bookmarkEnd w:id="365"/>
      <w:r/>
      <w:bookmarkStart w:id="366" w:name="_Toc452502502"/>
      <w:r/>
      <w:bookmarkEnd w:id="366"/>
      <w:r/>
      <w:bookmarkStart w:id="367" w:name="_Toc452556748"/>
      <w:r/>
      <w:bookmarkEnd w:id="367"/>
      <w:r/>
      <w:bookmarkStart w:id="368" w:name="_Toc452502326"/>
      <w:r/>
      <w:bookmarkEnd w:id="368"/>
      <w:r/>
      <w:bookmarkStart w:id="369" w:name="_Toc452556726"/>
      <w:r/>
      <w:bookmarkEnd w:id="369"/>
      <w:r/>
      <w:bookmarkStart w:id="370" w:name="_Toc452502561"/>
      <w:r/>
      <w:bookmarkEnd w:id="370"/>
      <w:r/>
      <w:bookmarkStart w:id="371" w:name="_Toc452502340"/>
      <w:r/>
      <w:bookmarkEnd w:id="371"/>
      <w:r/>
      <w:bookmarkStart w:id="372" w:name="_Toc452502369"/>
      <w:r/>
      <w:bookmarkEnd w:id="372"/>
      <w:r/>
      <w:bookmarkStart w:id="373" w:name="_Toc452556781"/>
      <w:r/>
      <w:bookmarkEnd w:id="373"/>
      <w:r/>
      <w:bookmarkStart w:id="374" w:name="_Toc452556721"/>
      <w:r/>
      <w:bookmarkEnd w:id="374"/>
      <w:r/>
      <w:bookmarkStart w:id="375" w:name="_Toc452556606"/>
      <w:r/>
      <w:bookmarkEnd w:id="375"/>
      <w:r/>
      <w:bookmarkStart w:id="376" w:name="_Toc452556791"/>
      <w:r/>
      <w:bookmarkEnd w:id="376"/>
      <w:r/>
      <w:bookmarkStart w:id="377" w:name="_Toc443332013"/>
      <w:r/>
      <w:bookmarkEnd w:id="377"/>
      <w:r/>
      <w:bookmarkStart w:id="378" w:name="_Toc452556729"/>
      <w:r/>
      <w:bookmarkEnd w:id="378"/>
      <w:r/>
      <w:bookmarkStart w:id="379" w:name="_Toc452502398"/>
      <w:r/>
      <w:bookmarkEnd w:id="379"/>
      <w:r/>
      <w:bookmarkStart w:id="380" w:name="_Toc452502545"/>
      <w:r/>
      <w:bookmarkEnd w:id="380"/>
      <w:r/>
      <w:bookmarkStart w:id="381" w:name="_Toc452556666"/>
      <w:r/>
      <w:bookmarkEnd w:id="381"/>
      <w:r/>
      <w:bookmarkStart w:id="382" w:name="_Toc452556738"/>
      <w:r/>
      <w:bookmarkEnd w:id="382"/>
      <w:r/>
      <w:bookmarkStart w:id="383" w:name="_Toc402880646"/>
      <w:r/>
      <w:bookmarkEnd w:id="383"/>
      <w:r/>
      <w:bookmarkStart w:id="384" w:name="_Toc452556753"/>
      <w:r/>
      <w:bookmarkEnd w:id="384"/>
      <w:r/>
      <w:bookmarkStart w:id="385" w:name="_Toc452502376"/>
      <w:r/>
      <w:bookmarkEnd w:id="385"/>
      <w:r/>
      <w:bookmarkStart w:id="386" w:name="_Toc452502422"/>
      <w:r/>
      <w:bookmarkEnd w:id="386"/>
      <w:r/>
      <w:bookmarkStart w:id="387" w:name="_Toc452502449"/>
      <w:r/>
      <w:bookmarkEnd w:id="387"/>
      <w:r/>
      <w:bookmarkStart w:id="388" w:name="_Toc471745870"/>
      <w:r/>
      <w:bookmarkEnd w:id="388"/>
      <w:r/>
      <w:bookmarkStart w:id="389" w:name="_Toc452556585"/>
      <w:r/>
      <w:bookmarkEnd w:id="389"/>
      <w:r/>
      <w:bookmarkStart w:id="390" w:name="_Toc471744107"/>
      <w:r/>
      <w:bookmarkEnd w:id="390"/>
      <w:r/>
      <w:bookmarkStart w:id="391" w:name="_Toc452556548"/>
      <w:r/>
      <w:bookmarkEnd w:id="391"/>
      <w:r/>
      <w:bookmarkStart w:id="392" w:name="_Toc452556551"/>
      <w:r/>
      <w:bookmarkEnd w:id="392"/>
      <w:r/>
      <w:bookmarkStart w:id="393" w:name="_Toc471745863"/>
      <w:r/>
      <w:bookmarkEnd w:id="393"/>
      <w:r/>
      <w:bookmarkStart w:id="394" w:name="_Toc452556821"/>
      <w:r/>
      <w:bookmarkEnd w:id="394"/>
      <w:r/>
      <w:bookmarkStart w:id="395" w:name="_Toc443332006"/>
      <w:r/>
      <w:bookmarkEnd w:id="395"/>
      <w:r/>
      <w:bookmarkStart w:id="396" w:name="_Toc452556811"/>
      <w:r/>
      <w:bookmarkEnd w:id="396"/>
      <w:r/>
      <w:bookmarkStart w:id="397" w:name="_Toc452556685"/>
      <w:r/>
      <w:bookmarkEnd w:id="397"/>
      <w:r/>
      <w:bookmarkStart w:id="398" w:name="_Toc452502011"/>
      <w:r/>
      <w:bookmarkEnd w:id="398"/>
      <w:r/>
      <w:bookmarkStart w:id="399" w:name="_Toc452556677"/>
      <w:r/>
      <w:bookmarkEnd w:id="399"/>
      <w:r/>
      <w:bookmarkStart w:id="400" w:name="_Toc382579311"/>
      <w:r/>
      <w:bookmarkEnd w:id="400"/>
      <w:r/>
      <w:bookmarkStart w:id="401" w:name="_Toc452502438"/>
      <w:r/>
      <w:bookmarkEnd w:id="401"/>
      <w:r/>
      <w:bookmarkStart w:id="402" w:name="_Toc452556655"/>
      <w:r/>
      <w:bookmarkEnd w:id="402"/>
      <w:r/>
      <w:bookmarkStart w:id="403" w:name="_Toc452502563"/>
      <w:r/>
      <w:bookmarkEnd w:id="403"/>
      <w:r/>
      <w:bookmarkStart w:id="404" w:name="_Toc452556601"/>
      <w:r/>
      <w:bookmarkEnd w:id="404"/>
      <w:r/>
      <w:bookmarkStart w:id="405" w:name="_Toc452502345"/>
      <w:r/>
      <w:bookmarkEnd w:id="405"/>
      <w:r/>
      <w:bookmarkStart w:id="406" w:name="_Toc452502341"/>
      <w:r/>
      <w:bookmarkEnd w:id="406"/>
      <w:r/>
      <w:bookmarkStart w:id="407" w:name="_Toc452502436"/>
      <w:r/>
      <w:bookmarkEnd w:id="407"/>
      <w:r/>
      <w:bookmarkStart w:id="408" w:name="_Toc452556752"/>
      <w:r/>
      <w:bookmarkEnd w:id="408"/>
      <w:r/>
      <w:bookmarkStart w:id="409" w:name="_Toc452556630"/>
      <w:r/>
      <w:bookmarkEnd w:id="409"/>
      <w:r/>
      <w:bookmarkStart w:id="410" w:name="_Toc452556808"/>
      <w:r/>
      <w:bookmarkEnd w:id="410"/>
      <w:r/>
      <w:bookmarkStart w:id="411" w:name="_Toc452556509"/>
      <w:r/>
      <w:bookmarkEnd w:id="411"/>
      <w:r/>
      <w:bookmarkStart w:id="412" w:name="_Toc452502349"/>
      <w:r/>
      <w:bookmarkEnd w:id="412"/>
      <w:r/>
      <w:bookmarkStart w:id="413" w:name="_Toc452556741"/>
      <w:r/>
      <w:bookmarkEnd w:id="413"/>
      <w:r/>
      <w:bookmarkStart w:id="414" w:name="_Toc443332009"/>
      <w:r/>
      <w:bookmarkEnd w:id="414"/>
      <w:r/>
      <w:bookmarkStart w:id="415" w:name="_Toc452556760"/>
      <w:r/>
      <w:bookmarkEnd w:id="415"/>
      <w:r/>
      <w:bookmarkStart w:id="416" w:name="_Toc381964101"/>
      <w:r/>
      <w:bookmarkEnd w:id="416"/>
      <w:r/>
      <w:bookmarkStart w:id="417" w:name="_Toc452556499"/>
      <w:r/>
      <w:bookmarkEnd w:id="417"/>
      <w:r/>
      <w:bookmarkStart w:id="418" w:name="_Toc452556651"/>
      <w:r/>
      <w:bookmarkEnd w:id="418"/>
      <w:r/>
      <w:bookmarkStart w:id="419" w:name="_Toc452556699"/>
      <w:r/>
      <w:bookmarkEnd w:id="419"/>
      <w:r/>
      <w:bookmarkStart w:id="420" w:name="_Toc471745873"/>
      <w:r/>
      <w:bookmarkEnd w:id="420"/>
      <w:r/>
      <w:bookmarkStart w:id="421" w:name="_Toc402880628"/>
      <w:r/>
      <w:bookmarkEnd w:id="421"/>
      <w:r/>
      <w:bookmarkStart w:id="422" w:name="_Toc452502412"/>
      <w:r/>
      <w:bookmarkEnd w:id="422"/>
      <w:r/>
      <w:bookmarkStart w:id="423" w:name="_Toc402880613"/>
      <w:r/>
      <w:bookmarkEnd w:id="423"/>
      <w:r/>
      <w:bookmarkStart w:id="424" w:name="_Toc452556674"/>
      <w:r/>
      <w:bookmarkEnd w:id="424"/>
      <w:r/>
      <w:bookmarkStart w:id="425" w:name="_Toc381963375"/>
      <w:r/>
      <w:bookmarkEnd w:id="425"/>
      <w:r/>
      <w:bookmarkStart w:id="426" w:name="_Toc452556705"/>
      <w:r/>
      <w:bookmarkEnd w:id="426"/>
      <w:r/>
      <w:bookmarkStart w:id="427" w:name="_Toc452556564"/>
      <w:r/>
      <w:bookmarkEnd w:id="427"/>
      <w:r/>
      <w:bookmarkStart w:id="428" w:name="_Toc452502414"/>
      <w:r/>
      <w:bookmarkEnd w:id="428"/>
      <w:r/>
      <w:bookmarkStart w:id="429" w:name="_Toc402880661"/>
      <w:r/>
      <w:bookmarkEnd w:id="429"/>
      <w:r/>
      <w:bookmarkStart w:id="430" w:name="_Toc452556566"/>
      <w:r/>
      <w:bookmarkEnd w:id="430"/>
      <w:r/>
      <w:bookmarkStart w:id="431" w:name="_Toc452556728"/>
      <w:r/>
      <w:bookmarkEnd w:id="431"/>
      <w:r/>
      <w:bookmarkStart w:id="432" w:name="_Toc452502375"/>
      <w:r/>
      <w:bookmarkEnd w:id="432"/>
      <w:r/>
      <w:bookmarkStart w:id="433" w:name="_Toc452502524"/>
      <w:r/>
      <w:bookmarkEnd w:id="433"/>
      <w:r/>
      <w:bookmarkStart w:id="434" w:name="_Toc452502536"/>
      <w:r/>
      <w:bookmarkEnd w:id="434"/>
      <w:r/>
      <w:bookmarkStart w:id="435" w:name="_Toc452556663"/>
      <w:r/>
      <w:bookmarkEnd w:id="435"/>
      <w:r/>
      <w:bookmarkStart w:id="436" w:name="_Toc452556518"/>
      <w:r/>
      <w:bookmarkEnd w:id="436"/>
      <w:r/>
      <w:bookmarkStart w:id="437" w:name="_Toc443332033"/>
      <w:r/>
      <w:bookmarkEnd w:id="437"/>
      <w:r/>
      <w:bookmarkStart w:id="438" w:name="_Toc452556627"/>
      <w:r/>
      <w:bookmarkEnd w:id="438"/>
      <w:r/>
      <w:bookmarkStart w:id="439" w:name="_Toc452502397"/>
      <w:r/>
      <w:bookmarkEnd w:id="439"/>
      <w:r/>
      <w:bookmarkStart w:id="440" w:name="_Toc452502506"/>
      <w:r/>
      <w:bookmarkEnd w:id="440"/>
      <w:r/>
      <w:bookmarkStart w:id="441" w:name="_Toc452556725"/>
      <w:r/>
      <w:bookmarkEnd w:id="441"/>
      <w:r/>
      <w:bookmarkStart w:id="442" w:name="_Toc452556575"/>
      <w:r/>
      <w:bookmarkEnd w:id="442"/>
      <w:r/>
      <w:bookmarkStart w:id="443" w:name="_Toc443332025"/>
      <w:r/>
      <w:bookmarkEnd w:id="443"/>
      <w:r/>
      <w:bookmarkStart w:id="444" w:name="_Toc452502379"/>
      <w:r/>
      <w:bookmarkEnd w:id="444"/>
      <w:r/>
      <w:bookmarkStart w:id="445" w:name="_Toc452556824"/>
      <w:r/>
      <w:bookmarkEnd w:id="445"/>
      <w:r/>
      <w:bookmarkStart w:id="446" w:name="_Toc452556782"/>
      <w:r/>
      <w:bookmarkEnd w:id="446"/>
      <w:r/>
      <w:bookmarkStart w:id="447" w:name="_Toc402880698"/>
      <w:r/>
      <w:bookmarkEnd w:id="447"/>
      <w:r/>
      <w:bookmarkStart w:id="448" w:name="_Toc452502394"/>
      <w:r/>
      <w:bookmarkEnd w:id="448"/>
      <w:r/>
      <w:bookmarkStart w:id="449" w:name="_Toc452556714"/>
      <w:r/>
      <w:bookmarkEnd w:id="449"/>
      <w:r/>
      <w:bookmarkStart w:id="450" w:name="_Toc471739452"/>
      <w:r/>
      <w:bookmarkEnd w:id="450"/>
      <w:r/>
      <w:bookmarkStart w:id="451" w:name="_Toc452502440"/>
      <w:r/>
      <w:bookmarkEnd w:id="451"/>
      <w:r/>
      <w:bookmarkStart w:id="452" w:name="_Toc452556503"/>
      <w:r/>
      <w:bookmarkEnd w:id="452"/>
      <w:r/>
      <w:bookmarkStart w:id="453" w:name="_Toc452502509"/>
      <w:r/>
      <w:bookmarkEnd w:id="453"/>
      <w:r/>
      <w:bookmarkStart w:id="454" w:name="_Toc452556600"/>
      <w:r/>
      <w:bookmarkEnd w:id="454"/>
      <w:r/>
      <w:bookmarkStart w:id="455" w:name="_Toc402880670"/>
      <w:r/>
      <w:bookmarkEnd w:id="455"/>
      <w:r/>
      <w:bookmarkStart w:id="456" w:name="_Toc452556768"/>
      <w:r/>
      <w:bookmarkEnd w:id="456"/>
      <w:r/>
      <w:bookmarkStart w:id="457" w:name="_Toc452502451"/>
      <w:r/>
      <w:bookmarkEnd w:id="457"/>
      <w:r/>
      <w:bookmarkStart w:id="458" w:name="_Toc452556597"/>
      <w:r/>
      <w:bookmarkEnd w:id="458"/>
      <w:r/>
      <w:bookmarkStart w:id="459" w:name="_Toc452556562"/>
      <w:r/>
      <w:bookmarkEnd w:id="459"/>
      <w:r/>
      <w:bookmarkStart w:id="460" w:name="_Toc452556697"/>
      <w:r/>
      <w:bookmarkEnd w:id="460"/>
      <w:r/>
      <w:bookmarkStart w:id="461" w:name="_Toc402880618"/>
      <w:r/>
      <w:bookmarkEnd w:id="461"/>
      <w:r/>
      <w:bookmarkStart w:id="462" w:name="_Toc443332028"/>
      <w:r/>
      <w:bookmarkEnd w:id="462"/>
      <w:r/>
      <w:bookmarkStart w:id="463" w:name="_Toc452502526"/>
      <w:r/>
      <w:bookmarkEnd w:id="463"/>
      <w:r/>
      <w:bookmarkStart w:id="464" w:name="_Toc452556660"/>
      <w:r/>
      <w:bookmarkEnd w:id="464"/>
      <w:r/>
      <w:bookmarkStart w:id="465" w:name="_Toc471741425"/>
      <w:r/>
      <w:bookmarkEnd w:id="465"/>
      <w:r/>
      <w:bookmarkStart w:id="466" w:name="_Toc471745859"/>
      <w:r/>
      <w:bookmarkEnd w:id="466"/>
      <w:r/>
      <w:bookmarkStart w:id="467" w:name="_Toc452502445"/>
      <w:r/>
      <w:bookmarkEnd w:id="467"/>
      <w:r/>
      <w:bookmarkStart w:id="468" w:name="_Toc452502556"/>
      <w:r/>
      <w:bookmarkEnd w:id="468"/>
      <w:r/>
      <w:bookmarkStart w:id="469" w:name="_Toc452502346"/>
      <w:r/>
      <w:bookmarkEnd w:id="469"/>
      <w:r/>
      <w:bookmarkStart w:id="470" w:name="_Toc402880666"/>
      <w:r/>
      <w:bookmarkEnd w:id="470"/>
      <w:r/>
      <w:bookmarkStart w:id="471" w:name="_Toc452502555"/>
      <w:r/>
      <w:bookmarkEnd w:id="471"/>
      <w:r/>
      <w:bookmarkStart w:id="472" w:name="_Toc402880631"/>
      <w:r/>
      <w:bookmarkEnd w:id="472"/>
      <w:r/>
      <w:bookmarkStart w:id="473" w:name="_Toc452502410"/>
      <w:r/>
      <w:bookmarkEnd w:id="473"/>
      <w:r/>
      <w:bookmarkStart w:id="474" w:name="_Toc443332014"/>
      <w:r/>
      <w:bookmarkEnd w:id="474"/>
      <w:r/>
      <w:bookmarkStart w:id="475" w:name="_Toc452502368"/>
      <w:r/>
      <w:bookmarkEnd w:id="475"/>
      <w:r/>
      <w:bookmarkStart w:id="476" w:name="_Toc452556594"/>
      <w:r/>
      <w:bookmarkEnd w:id="476"/>
      <w:r/>
      <w:bookmarkStart w:id="477" w:name="_Toc452556498"/>
      <w:r/>
      <w:bookmarkEnd w:id="477"/>
      <w:r/>
      <w:bookmarkStart w:id="478" w:name="_Toc452556745"/>
      <w:r/>
      <w:bookmarkEnd w:id="478"/>
      <w:r/>
      <w:bookmarkStart w:id="479" w:name="_Toc452556749"/>
      <w:r/>
      <w:bookmarkEnd w:id="479"/>
      <w:r/>
      <w:bookmarkStart w:id="480" w:name="_Toc452502310"/>
      <w:r/>
      <w:bookmarkEnd w:id="480"/>
      <w:r/>
      <w:bookmarkStart w:id="481" w:name="_Toc452556516"/>
      <w:r/>
      <w:bookmarkEnd w:id="481"/>
      <w:r/>
      <w:bookmarkStart w:id="482" w:name="_Toc452502373"/>
      <w:r/>
      <w:bookmarkEnd w:id="482"/>
      <w:r/>
      <w:bookmarkStart w:id="483" w:name="_Toc452556679"/>
      <w:r/>
      <w:bookmarkEnd w:id="483"/>
      <w:r/>
      <w:bookmarkStart w:id="484" w:name="_Toc452556589"/>
      <w:r/>
      <w:bookmarkEnd w:id="484"/>
      <w:r/>
      <w:bookmarkStart w:id="485" w:name="_Toc452502408"/>
      <w:r/>
      <w:bookmarkEnd w:id="485"/>
      <w:r/>
      <w:bookmarkStart w:id="486" w:name="_Toc452502550"/>
      <w:r/>
      <w:bookmarkEnd w:id="486"/>
      <w:r/>
      <w:bookmarkStart w:id="487" w:name="_Toc402880689"/>
      <w:r/>
      <w:bookmarkEnd w:id="487"/>
      <w:r/>
      <w:bookmarkStart w:id="488" w:name="_Toc452556604"/>
      <w:r/>
      <w:bookmarkEnd w:id="488"/>
      <w:r/>
      <w:bookmarkStart w:id="489" w:name="_Toc452556593"/>
      <w:r/>
      <w:bookmarkEnd w:id="489"/>
      <w:r/>
      <w:bookmarkStart w:id="490" w:name="_Toc452502312"/>
      <w:r/>
      <w:bookmarkEnd w:id="490"/>
      <w:r/>
      <w:bookmarkStart w:id="491" w:name="_Toc471744979"/>
      <w:r/>
      <w:bookmarkEnd w:id="491"/>
      <w:r/>
      <w:bookmarkStart w:id="492" w:name="_Toc452556669"/>
      <w:r/>
      <w:bookmarkEnd w:id="492"/>
      <w:r/>
      <w:bookmarkStart w:id="493" w:name="_Toc452556762"/>
      <w:r/>
      <w:bookmarkEnd w:id="493"/>
      <w:r/>
      <w:bookmarkStart w:id="494" w:name="_Toc452556637"/>
      <w:r/>
      <w:bookmarkEnd w:id="494"/>
      <w:r/>
      <w:bookmarkStart w:id="495" w:name="_Toc471745369"/>
      <w:r/>
      <w:bookmarkEnd w:id="495"/>
      <w:r/>
      <w:bookmarkStart w:id="496" w:name="_Toc471745874"/>
      <w:r/>
      <w:bookmarkEnd w:id="496"/>
      <w:r/>
      <w:bookmarkStart w:id="497" w:name="_Toc452556550"/>
      <w:r/>
      <w:bookmarkEnd w:id="497"/>
      <w:r/>
      <w:bookmarkStart w:id="498" w:name="_Toc471744484"/>
      <w:r/>
      <w:bookmarkEnd w:id="498"/>
      <w:r/>
      <w:bookmarkStart w:id="499" w:name="_Toc452502354"/>
      <w:r/>
      <w:bookmarkEnd w:id="499"/>
      <w:r/>
      <w:bookmarkStart w:id="500" w:name="_Toc452502348"/>
      <w:r/>
      <w:bookmarkEnd w:id="500"/>
      <w:r/>
      <w:bookmarkStart w:id="501" w:name="_Toc452556647"/>
      <w:r/>
      <w:bookmarkEnd w:id="501"/>
      <w:r/>
      <w:bookmarkStart w:id="502" w:name="_Toc452502415"/>
      <w:r/>
      <w:bookmarkEnd w:id="502"/>
      <w:r/>
      <w:bookmarkStart w:id="503" w:name="_Toc452502332"/>
      <w:r/>
      <w:bookmarkEnd w:id="503"/>
      <w:r/>
      <w:bookmarkStart w:id="504" w:name="_Toc402880640"/>
      <w:r/>
      <w:bookmarkEnd w:id="504"/>
      <w:r/>
      <w:bookmarkStart w:id="505" w:name="_Toc452556777"/>
      <w:r/>
      <w:bookmarkEnd w:id="505"/>
      <w:r/>
      <w:bookmarkStart w:id="506" w:name="_Toc381964102"/>
      <w:r/>
      <w:bookmarkEnd w:id="506"/>
      <w:r/>
      <w:bookmarkStart w:id="507" w:name="_Toc402880639"/>
      <w:r/>
      <w:bookmarkEnd w:id="507"/>
      <w:r/>
      <w:bookmarkStart w:id="508" w:name="_Toc452556703"/>
      <w:r/>
      <w:bookmarkEnd w:id="508"/>
      <w:r/>
      <w:bookmarkStart w:id="509" w:name="_Toc452556722"/>
      <w:r/>
      <w:bookmarkEnd w:id="509"/>
      <w:r/>
      <w:bookmarkStart w:id="510" w:name="_Toc402880665"/>
      <w:r/>
      <w:bookmarkEnd w:id="510"/>
      <w:r/>
      <w:bookmarkStart w:id="511" w:name="_Toc452556596"/>
      <w:r/>
      <w:bookmarkEnd w:id="511"/>
      <w:r/>
      <w:bookmarkStart w:id="512" w:name="_Toc452556577"/>
      <w:r/>
      <w:bookmarkEnd w:id="512"/>
      <w:r/>
      <w:bookmarkStart w:id="513" w:name="_Toc452556642"/>
      <w:r/>
      <w:bookmarkEnd w:id="513"/>
      <w:r/>
      <w:bookmarkStart w:id="514" w:name="_Toc402880632"/>
      <w:r/>
      <w:bookmarkEnd w:id="514"/>
      <w:r/>
      <w:bookmarkStart w:id="515" w:name="_Toc452556638"/>
      <w:r/>
      <w:bookmarkEnd w:id="515"/>
      <w:r/>
      <w:bookmarkStart w:id="516" w:name="_Toc452502431"/>
      <w:r/>
      <w:bookmarkEnd w:id="516"/>
      <w:r/>
      <w:bookmarkStart w:id="517" w:name="_Toc452556530"/>
      <w:r/>
      <w:bookmarkEnd w:id="517"/>
      <w:r/>
      <w:bookmarkStart w:id="518" w:name="_Toc400913977"/>
      <w:r/>
      <w:bookmarkEnd w:id="518"/>
      <w:r/>
      <w:bookmarkStart w:id="519" w:name="_Toc452556757"/>
      <w:r/>
      <w:bookmarkEnd w:id="519"/>
      <w:r/>
      <w:bookmarkStart w:id="520" w:name="_Toc452556695"/>
      <w:r/>
      <w:bookmarkEnd w:id="520"/>
      <w:r/>
      <w:bookmarkStart w:id="521" w:name="_Toc452502496"/>
      <w:r/>
      <w:bookmarkEnd w:id="521"/>
      <w:r/>
      <w:bookmarkStart w:id="522" w:name="_Toc402880604"/>
      <w:r/>
      <w:bookmarkEnd w:id="522"/>
      <w:r/>
      <w:bookmarkStart w:id="523" w:name="_Toc452556538"/>
      <w:r/>
      <w:bookmarkEnd w:id="523"/>
      <w:r/>
      <w:bookmarkStart w:id="524" w:name="_Toc452502472"/>
      <w:r/>
      <w:bookmarkEnd w:id="524"/>
      <w:r/>
      <w:bookmarkStart w:id="525" w:name="_Toc452556785"/>
      <w:r/>
      <w:bookmarkEnd w:id="525"/>
      <w:r/>
      <w:bookmarkStart w:id="526" w:name="_Toc402880642"/>
      <w:r/>
      <w:bookmarkEnd w:id="526"/>
      <w:r/>
      <w:bookmarkStart w:id="527" w:name="_Toc452556656"/>
      <w:r/>
      <w:bookmarkEnd w:id="527"/>
      <w:r/>
      <w:bookmarkStart w:id="528" w:name="_Toc452556500"/>
      <w:r/>
      <w:bookmarkEnd w:id="528"/>
      <w:r/>
      <w:bookmarkStart w:id="529" w:name="_Toc452556505"/>
      <w:r/>
      <w:bookmarkEnd w:id="529"/>
      <w:r/>
      <w:bookmarkStart w:id="530" w:name="_Toc443332018"/>
      <w:r/>
      <w:bookmarkEnd w:id="530"/>
      <w:r/>
      <w:bookmarkStart w:id="531" w:name="_Toc452556561"/>
      <w:r/>
      <w:bookmarkEnd w:id="531"/>
      <w:r/>
      <w:bookmarkStart w:id="532" w:name="_Toc402880626"/>
      <w:r/>
      <w:bookmarkEnd w:id="532"/>
      <w:r/>
      <w:bookmarkStart w:id="533" w:name="_Toc452502473"/>
      <w:r/>
      <w:bookmarkEnd w:id="533"/>
      <w:r/>
      <w:bookmarkStart w:id="534" w:name="_Toc452502441"/>
      <w:r/>
      <w:bookmarkEnd w:id="534"/>
      <w:r/>
      <w:bookmarkStart w:id="535" w:name="_Toc452556831"/>
      <w:r/>
      <w:bookmarkEnd w:id="535"/>
      <w:r/>
      <w:bookmarkStart w:id="536" w:name="_Toc452556690"/>
      <w:r/>
      <w:bookmarkEnd w:id="536"/>
      <w:r/>
      <w:bookmarkStart w:id="537" w:name="_Toc452502523"/>
      <w:r/>
      <w:bookmarkEnd w:id="537"/>
      <w:r/>
      <w:bookmarkStart w:id="538" w:name="_Toc402880657"/>
      <w:r/>
      <w:bookmarkEnd w:id="538"/>
      <w:r/>
      <w:bookmarkStart w:id="539" w:name="_Toc452502325"/>
      <w:r/>
      <w:bookmarkEnd w:id="539"/>
      <w:r/>
      <w:bookmarkStart w:id="540" w:name="_Toc402880651"/>
      <w:r/>
      <w:bookmarkEnd w:id="540"/>
      <w:r/>
      <w:bookmarkStart w:id="541" w:name="_Toc452556706"/>
      <w:r/>
      <w:bookmarkEnd w:id="541"/>
      <w:r/>
      <w:bookmarkStart w:id="542" w:name="_Toc452556723"/>
      <w:r/>
      <w:bookmarkEnd w:id="542"/>
      <w:r/>
      <w:bookmarkStart w:id="543" w:name="_Toc452502531"/>
      <w:r/>
      <w:bookmarkEnd w:id="543"/>
      <w:r/>
      <w:bookmarkStart w:id="544" w:name="_Toc452502372"/>
      <w:r/>
      <w:bookmarkEnd w:id="544"/>
      <w:r/>
      <w:bookmarkStart w:id="545" w:name="_Toc452556710"/>
      <w:r/>
      <w:bookmarkEnd w:id="545"/>
      <w:r/>
      <w:bookmarkStart w:id="546" w:name="_Toc452502528"/>
      <w:r/>
      <w:bookmarkEnd w:id="546"/>
      <w:r/>
      <w:bookmarkStart w:id="547" w:name="_Toc452502490"/>
      <w:r/>
      <w:bookmarkEnd w:id="547"/>
      <w:r/>
      <w:bookmarkStart w:id="548" w:name="_Toc402880684"/>
      <w:r/>
      <w:bookmarkEnd w:id="548"/>
      <w:r/>
      <w:bookmarkStart w:id="549" w:name="_Toc452556670"/>
      <w:r/>
      <w:bookmarkEnd w:id="549"/>
      <w:r/>
      <w:bookmarkStart w:id="550" w:name="_Toc452556645"/>
      <w:r/>
      <w:bookmarkEnd w:id="550"/>
      <w:r/>
      <w:bookmarkStart w:id="551" w:name="_Toc452556716"/>
      <w:r/>
      <w:bookmarkEnd w:id="551"/>
      <w:r/>
      <w:bookmarkStart w:id="552" w:name="_Toc452556769"/>
      <w:r/>
      <w:bookmarkEnd w:id="552"/>
      <w:r/>
      <w:bookmarkStart w:id="553" w:name="_Toc402880617"/>
      <w:r/>
      <w:bookmarkEnd w:id="553"/>
      <w:r/>
      <w:bookmarkStart w:id="554" w:name="_Toc471744978"/>
      <w:r/>
      <w:bookmarkEnd w:id="554"/>
      <w:r/>
      <w:bookmarkStart w:id="555" w:name="_Toc402880699"/>
      <w:r/>
      <w:bookmarkEnd w:id="555"/>
      <w:r/>
      <w:bookmarkStart w:id="556" w:name="_Toc452556648"/>
      <w:r/>
      <w:bookmarkEnd w:id="556"/>
      <w:r/>
      <w:bookmarkStart w:id="557" w:name="_Toc452556678"/>
      <w:r/>
      <w:bookmarkEnd w:id="557"/>
      <w:r/>
      <w:bookmarkStart w:id="558" w:name="_Toc452502365"/>
      <w:r/>
      <w:bookmarkEnd w:id="558"/>
      <w:r/>
      <w:bookmarkStart w:id="559" w:name="_Toc452502403"/>
      <w:r/>
      <w:bookmarkEnd w:id="559"/>
      <w:r/>
      <w:bookmarkStart w:id="560" w:name="_Toc452556801"/>
      <w:r/>
      <w:bookmarkEnd w:id="560"/>
      <w:r/>
      <w:bookmarkStart w:id="561" w:name="_Toc452556814"/>
      <w:r/>
      <w:bookmarkEnd w:id="561"/>
      <w:r/>
      <w:bookmarkStart w:id="562" w:name="_Toc471740776"/>
      <w:r/>
      <w:bookmarkEnd w:id="562"/>
      <w:r/>
      <w:bookmarkStart w:id="563" w:name="_Toc471745862"/>
      <w:r/>
      <w:bookmarkEnd w:id="563"/>
      <w:r/>
      <w:bookmarkStart w:id="564" w:name="_Toc452502494"/>
      <w:r/>
      <w:bookmarkEnd w:id="564"/>
      <w:r/>
      <w:bookmarkStart w:id="565" w:name="_Toc452502501"/>
      <w:r/>
      <w:bookmarkEnd w:id="565"/>
      <w:r/>
      <w:bookmarkStart w:id="566" w:name="_Toc452556521"/>
      <w:r/>
      <w:bookmarkEnd w:id="566"/>
      <w:r/>
      <w:bookmarkStart w:id="567" w:name="_Toc452502330"/>
      <w:r/>
      <w:bookmarkEnd w:id="567"/>
      <w:r/>
      <w:bookmarkStart w:id="568" w:name="_Toc452556617"/>
      <w:r/>
      <w:bookmarkEnd w:id="568"/>
      <w:r/>
      <w:bookmarkStart w:id="569" w:name="_Toc402880621"/>
      <w:r/>
      <w:bookmarkEnd w:id="569"/>
      <w:r/>
      <w:bookmarkStart w:id="570" w:name="_Toc452556689"/>
      <w:r/>
      <w:bookmarkEnd w:id="570"/>
      <w:r/>
      <w:bookmarkStart w:id="571" w:name="_Toc402880619"/>
      <w:r/>
      <w:bookmarkEnd w:id="571"/>
      <w:r/>
      <w:bookmarkStart w:id="572" w:name="_Toc452556504"/>
      <w:r/>
      <w:bookmarkEnd w:id="572"/>
      <w:r/>
      <w:bookmarkStart w:id="573" w:name="_Toc452502358"/>
      <w:r/>
      <w:bookmarkEnd w:id="573"/>
      <w:r/>
      <w:bookmarkStart w:id="574" w:name="_Toc452502489"/>
      <w:r/>
      <w:bookmarkEnd w:id="574"/>
      <w:r/>
      <w:bookmarkStart w:id="575" w:name="_Toc452502530"/>
      <w:r/>
      <w:bookmarkEnd w:id="575"/>
      <w:r/>
      <w:bookmarkStart w:id="576" w:name="_Toc452556709"/>
      <w:r/>
      <w:bookmarkEnd w:id="576"/>
      <w:r/>
      <w:bookmarkStart w:id="577" w:name="_Toc452556779"/>
      <w:r/>
      <w:bookmarkEnd w:id="577"/>
      <w:r/>
      <w:bookmarkStart w:id="578" w:name="_Toc452502474"/>
      <w:r/>
      <w:bookmarkEnd w:id="578"/>
      <w:r/>
      <w:bookmarkStart w:id="579" w:name="_Toc443332029"/>
      <w:r/>
      <w:bookmarkEnd w:id="579"/>
      <w:r/>
      <w:bookmarkStart w:id="580" w:name="_Toc452502534"/>
      <w:r/>
      <w:bookmarkEnd w:id="580"/>
      <w:r/>
      <w:bookmarkStart w:id="581" w:name="_Toc452556817"/>
      <w:r/>
      <w:bookmarkEnd w:id="581"/>
      <w:r/>
      <w:bookmarkStart w:id="582" w:name="_Toc452502417"/>
      <w:r/>
      <w:bookmarkEnd w:id="582"/>
      <w:r/>
      <w:bookmarkStart w:id="583" w:name="_Toc452502381"/>
      <w:r/>
      <w:bookmarkEnd w:id="583"/>
      <w:r/>
      <w:bookmarkStart w:id="584" w:name="_Toc452556775"/>
      <w:r/>
      <w:bookmarkEnd w:id="584"/>
      <w:r/>
      <w:bookmarkStart w:id="585" w:name="_Toc452502446"/>
      <w:r/>
      <w:bookmarkEnd w:id="585"/>
      <w:r/>
      <w:bookmarkStart w:id="586" w:name="_Toc452502444"/>
      <w:r/>
      <w:bookmarkEnd w:id="586"/>
      <w:r/>
      <w:bookmarkStart w:id="587" w:name="_Toc452502432"/>
      <w:r/>
      <w:bookmarkEnd w:id="587"/>
      <w:r/>
      <w:bookmarkStart w:id="588" w:name="_Toc452556712"/>
      <w:r/>
      <w:bookmarkEnd w:id="588"/>
      <w:r/>
      <w:bookmarkStart w:id="589" w:name="_Toc452556619"/>
      <w:r/>
      <w:bookmarkEnd w:id="589"/>
      <w:r/>
      <w:bookmarkStart w:id="590" w:name="_Toc452556598"/>
      <w:r/>
      <w:bookmarkEnd w:id="590"/>
      <w:r/>
      <w:bookmarkStart w:id="591" w:name="_Toc452556766"/>
      <w:r/>
      <w:bookmarkEnd w:id="591"/>
      <w:r/>
      <w:bookmarkStart w:id="592" w:name="_Toc452502568"/>
      <w:r/>
      <w:bookmarkEnd w:id="592"/>
      <w:r/>
      <w:bookmarkStart w:id="593" w:name="_Toc452556523"/>
      <w:r/>
      <w:bookmarkEnd w:id="593"/>
      <w:r/>
      <w:bookmarkStart w:id="594" w:name="_Toc452502465"/>
      <w:r/>
      <w:bookmarkEnd w:id="594"/>
      <w:r/>
      <w:bookmarkStart w:id="595" w:name="_Toc402880612"/>
      <w:r/>
      <w:bookmarkEnd w:id="595"/>
      <w:r/>
      <w:bookmarkStart w:id="596" w:name="_Toc452502315"/>
      <w:r/>
      <w:bookmarkEnd w:id="596"/>
      <w:r/>
      <w:bookmarkStart w:id="597" w:name="_Toc452556653"/>
      <w:r/>
      <w:bookmarkEnd w:id="597"/>
      <w:r/>
      <w:bookmarkStart w:id="598" w:name="_Toc452556692"/>
      <w:r/>
      <w:bookmarkEnd w:id="598"/>
      <w:r/>
      <w:bookmarkStart w:id="599" w:name="_Toc471745368"/>
      <w:r/>
      <w:bookmarkEnd w:id="599"/>
      <w:r/>
      <w:bookmarkStart w:id="600" w:name="_Toc402880683"/>
      <w:r/>
      <w:bookmarkEnd w:id="600"/>
      <w:r/>
      <w:bookmarkStart w:id="601" w:name="_Toc452556636"/>
      <w:r/>
      <w:bookmarkEnd w:id="601"/>
      <w:r/>
      <w:bookmarkStart w:id="602" w:name="_Toc452556514"/>
      <w:r/>
      <w:bookmarkEnd w:id="602"/>
      <w:r/>
      <w:bookmarkStart w:id="603" w:name="_Toc452502529"/>
      <w:r/>
      <w:bookmarkEnd w:id="603"/>
      <w:r/>
      <w:bookmarkStart w:id="604" w:name="_Toc443332031"/>
      <w:r/>
      <w:bookmarkEnd w:id="604"/>
      <w:r/>
      <w:bookmarkStart w:id="605" w:name="_Toc452556644"/>
      <w:r/>
      <w:bookmarkEnd w:id="605"/>
      <w:r/>
      <w:bookmarkStart w:id="606" w:name="_Toc471745365"/>
      <w:r/>
      <w:bookmarkEnd w:id="606"/>
      <w:r/>
      <w:bookmarkStart w:id="607" w:name="_Toc452556511"/>
      <w:r/>
      <w:bookmarkEnd w:id="607"/>
      <w:r/>
      <w:bookmarkStart w:id="608" w:name="_Toc452556730"/>
      <w:r/>
      <w:bookmarkEnd w:id="608"/>
      <w:r/>
      <w:bookmarkStart w:id="609" w:name="_Toc452556650"/>
      <w:r/>
      <w:bookmarkEnd w:id="609"/>
      <w:r/>
      <w:bookmarkStart w:id="610" w:name="_Toc452502343"/>
      <w:r/>
      <w:bookmarkEnd w:id="610"/>
      <w:r/>
      <w:bookmarkStart w:id="611" w:name="_Toc452556758"/>
      <w:r/>
      <w:bookmarkEnd w:id="611"/>
      <w:r/>
      <w:bookmarkStart w:id="612" w:name="_Toc452556750"/>
      <w:r/>
      <w:bookmarkEnd w:id="612"/>
      <w:r/>
      <w:bookmarkStart w:id="613" w:name="_Toc402880686"/>
      <w:r/>
      <w:bookmarkEnd w:id="613"/>
      <w:r/>
      <w:bookmarkStart w:id="614" w:name="_Toc452556519"/>
      <w:r/>
      <w:bookmarkEnd w:id="614"/>
      <w:r/>
      <w:bookmarkStart w:id="615" w:name="_Toc381964099"/>
      <w:r/>
      <w:bookmarkEnd w:id="615"/>
      <w:r/>
      <w:bookmarkStart w:id="616" w:name="_Toc452502514"/>
      <w:r/>
      <w:bookmarkEnd w:id="616"/>
      <w:r/>
      <w:bookmarkStart w:id="617" w:name="_Toc452556767"/>
      <w:r/>
      <w:bookmarkEnd w:id="617"/>
      <w:r/>
      <w:bookmarkStart w:id="618" w:name="_Toc388279020"/>
      <w:r/>
      <w:bookmarkEnd w:id="618"/>
      <w:r/>
      <w:bookmarkStart w:id="619" w:name="_Toc443332005"/>
      <w:r/>
      <w:bookmarkEnd w:id="619"/>
      <w:r/>
      <w:bookmarkStart w:id="620" w:name="_Toc452502457"/>
      <w:r/>
      <w:bookmarkEnd w:id="620"/>
      <w:r/>
      <w:bookmarkStart w:id="621" w:name="_Toc402880677"/>
      <w:r/>
      <w:bookmarkEnd w:id="621"/>
      <w:r/>
      <w:bookmarkStart w:id="622" w:name="_Toc452556635"/>
      <w:r/>
      <w:bookmarkEnd w:id="622"/>
      <w:r/>
      <w:bookmarkStart w:id="623" w:name="_Toc402880664"/>
      <w:r/>
      <w:bookmarkEnd w:id="623"/>
      <w:r/>
      <w:bookmarkStart w:id="624" w:name="_Toc452502344"/>
      <w:r/>
      <w:bookmarkEnd w:id="624"/>
      <w:r/>
      <w:bookmarkStart w:id="625" w:name="_Toc452556632"/>
      <w:r/>
      <w:bookmarkEnd w:id="625"/>
      <w:r/>
      <w:bookmarkStart w:id="626" w:name="_Toc452556778"/>
      <w:r/>
      <w:bookmarkEnd w:id="626"/>
      <w:r/>
      <w:bookmarkStart w:id="627" w:name="_Toc400913980"/>
      <w:r/>
      <w:bookmarkEnd w:id="627"/>
      <w:r/>
      <w:bookmarkStart w:id="628" w:name="_Toc471745360"/>
      <w:r/>
      <w:bookmarkEnd w:id="628"/>
      <w:r/>
      <w:bookmarkStart w:id="629" w:name="_Toc452502442"/>
      <w:r/>
      <w:bookmarkEnd w:id="629"/>
      <w:r/>
      <w:bookmarkStart w:id="630" w:name="_Toc452556508"/>
      <w:r/>
      <w:bookmarkEnd w:id="630"/>
      <w:r/>
      <w:bookmarkStart w:id="631" w:name="_Toc452502409"/>
      <w:r/>
      <w:bookmarkEnd w:id="631"/>
      <w:r/>
      <w:bookmarkStart w:id="632" w:name="_Toc452502527"/>
      <w:r/>
      <w:bookmarkEnd w:id="632"/>
      <w:r/>
      <w:bookmarkStart w:id="633" w:name="_Toc452502405"/>
      <w:r/>
      <w:bookmarkEnd w:id="633"/>
      <w:r/>
      <w:bookmarkStart w:id="634" w:name="_Toc452502424"/>
      <w:r/>
      <w:bookmarkEnd w:id="634"/>
      <w:r/>
      <w:bookmarkStart w:id="635" w:name="_Toc452556603"/>
      <w:r/>
      <w:bookmarkEnd w:id="635"/>
      <w:r/>
      <w:bookmarkStart w:id="636" w:name="_Toc452502439"/>
      <w:r/>
      <w:bookmarkEnd w:id="636"/>
      <w:r/>
      <w:bookmarkStart w:id="637" w:name="_Toc443332007"/>
      <w:r/>
      <w:bookmarkEnd w:id="637"/>
      <w:r/>
      <w:bookmarkStart w:id="638" w:name="_Toc452502518"/>
      <w:r/>
      <w:bookmarkEnd w:id="638"/>
      <w:r/>
      <w:bookmarkStart w:id="639" w:name="_Toc452556684"/>
      <w:r/>
      <w:bookmarkEnd w:id="639"/>
      <w:r/>
      <w:bookmarkStart w:id="640" w:name="_Toc452556736"/>
      <w:r/>
      <w:bookmarkEnd w:id="640"/>
      <w:r/>
      <w:bookmarkStart w:id="641" w:name="_Toc452502483"/>
      <w:r/>
      <w:bookmarkEnd w:id="641"/>
      <w:r/>
      <w:bookmarkStart w:id="642" w:name="_Toc381963373"/>
      <w:r/>
      <w:bookmarkEnd w:id="642"/>
      <w:r/>
      <w:bookmarkStart w:id="643" w:name="_Toc452556671"/>
      <w:r/>
      <w:bookmarkEnd w:id="643"/>
      <w:r/>
      <w:bookmarkStart w:id="644" w:name="_Toc443332010"/>
      <w:r/>
      <w:bookmarkEnd w:id="644"/>
      <w:r/>
      <w:bookmarkStart w:id="645" w:name="_Toc452502336"/>
      <w:r/>
      <w:bookmarkEnd w:id="645"/>
      <w:r/>
      <w:bookmarkStart w:id="646" w:name="_Toc452556813"/>
      <w:r/>
      <w:bookmarkEnd w:id="646"/>
      <w:r/>
      <w:bookmarkStart w:id="647" w:name="_Toc443332032"/>
      <w:r/>
      <w:bookmarkEnd w:id="647"/>
      <w:r/>
      <w:bookmarkStart w:id="648" w:name="_Toc471745864"/>
      <w:r/>
      <w:bookmarkEnd w:id="648"/>
      <w:r/>
      <w:bookmarkStart w:id="649" w:name="_Toc402880675"/>
      <w:r/>
      <w:bookmarkEnd w:id="649"/>
      <w:r/>
      <w:bookmarkStart w:id="650" w:name="_Toc402880610"/>
      <w:r/>
      <w:bookmarkEnd w:id="650"/>
      <w:r/>
      <w:bookmarkStart w:id="651" w:name="_Toc471745357"/>
      <w:r/>
      <w:bookmarkEnd w:id="651"/>
      <w:r/>
      <w:bookmarkStart w:id="652" w:name="_Toc452556522"/>
      <w:r/>
      <w:bookmarkEnd w:id="652"/>
      <w:r/>
      <w:bookmarkStart w:id="653" w:name="_Toc452556812"/>
      <w:r/>
      <w:bookmarkEnd w:id="653"/>
      <w:r/>
      <w:bookmarkStart w:id="654" w:name="_Toc452556616"/>
      <w:r/>
      <w:bookmarkEnd w:id="654"/>
      <w:r/>
      <w:bookmarkStart w:id="655" w:name="_Toc452556546"/>
      <w:r/>
      <w:bookmarkEnd w:id="655"/>
      <w:r/>
      <w:bookmarkStart w:id="656" w:name="_Toc452502364"/>
      <w:r/>
      <w:bookmarkEnd w:id="656"/>
      <w:r/>
      <w:bookmarkStart w:id="657" w:name="_Toc452502448"/>
      <w:r/>
      <w:bookmarkEnd w:id="657"/>
      <w:r/>
      <w:bookmarkStart w:id="658" w:name="_Toc471740285"/>
      <w:r/>
      <w:bookmarkEnd w:id="658"/>
      <w:r/>
      <w:bookmarkStart w:id="659" w:name="_Toc452556568"/>
      <w:r/>
      <w:bookmarkEnd w:id="659"/>
      <w:r/>
      <w:bookmarkStart w:id="660" w:name="_Toc452556608"/>
      <w:r/>
      <w:bookmarkEnd w:id="660"/>
      <w:r/>
      <w:bookmarkStart w:id="661" w:name="_Toc402880650"/>
      <w:r/>
      <w:bookmarkEnd w:id="661"/>
      <w:r/>
      <w:bookmarkStart w:id="662" w:name="_Toc400913979"/>
      <w:r/>
      <w:bookmarkEnd w:id="662"/>
      <w:r/>
      <w:bookmarkStart w:id="663" w:name="_Toc471739946"/>
      <w:r/>
      <w:bookmarkEnd w:id="663"/>
      <w:r/>
      <w:bookmarkStart w:id="664" w:name="_Toc471744106"/>
      <w:r/>
      <w:bookmarkEnd w:id="664"/>
      <w:r/>
      <w:bookmarkStart w:id="665" w:name="_Toc452502370"/>
      <w:r/>
      <w:bookmarkEnd w:id="665"/>
      <w:r/>
      <w:bookmarkStart w:id="666" w:name="_Toc452502427"/>
      <w:r/>
      <w:bookmarkEnd w:id="666"/>
      <w:r/>
      <w:bookmarkStart w:id="667" w:name="_Toc452502552"/>
      <w:r/>
      <w:bookmarkEnd w:id="667"/>
      <w:r/>
      <w:bookmarkStart w:id="668" w:name="_Toc452556649"/>
      <w:r/>
      <w:bookmarkEnd w:id="668"/>
      <w:r/>
      <w:bookmarkStart w:id="669" w:name="_Toc452502503"/>
      <w:r/>
      <w:bookmarkEnd w:id="669"/>
      <w:r/>
      <w:bookmarkStart w:id="670" w:name="_Toc452502378"/>
      <w:r/>
      <w:bookmarkEnd w:id="670"/>
      <w:r/>
      <w:bookmarkStart w:id="671" w:name="_Toc452556501"/>
      <w:r/>
      <w:bookmarkEnd w:id="671"/>
      <w:r/>
      <w:bookmarkStart w:id="672" w:name="_Toc452556704"/>
      <w:r/>
      <w:bookmarkEnd w:id="672"/>
      <w:r/>
      <w:bookmarkStart w:id="673" w:name="_Toc452556506"/>
      <w:r/>
      <w:bookmarkEnd w:id="673"/>
      <w:r/>
      <w:bookmarkStart w:id="674" w:name="_Toc452502500"/>
      <w:r/>
      <w:bookmarkEnd w:id="674"/>
      <w:r/>
      <w:bookmarkStart w:id="675" w:name="_Toc452556681"/>
      <w:r/>
      <w:bookmarkEnd w:id="675"/>
      <w:r/>
      <w:bookmarkStart w:id="676" w:name="_Toc452502566"/>
      <w:r/>
      <w:bookmarkEnd w:id="676"/>
      <w:r/>
      <w:bookmarkStart w:id="677" w:name="_Toc452502342"/>
      <w:r/>
      <w:bookmarkEnd w:id="677"/>
      <w:r/>
      <w:bookmarkStart w:id="678" w:name="_Toc452502495"/>
      <w:r/>
      <w:bookmarkEnd w:id="678"/>
      <w:r/>
      <w:bookmarkStart w:id="679" w:name="_Toc452502547"/>
      <w:r/>
      <w:bookmarkEnd w:id="679"/>
      <w:r/>
      <w:bookmarkStart w:id="680" w:name="_Toc452556696"/>
      <w:r/>
      <w:bookmarkEnd w:id="680"/>
      <w:r/>
      <w:bookmarkStart w:id="681" w:name="_Toc452502571"/>
      <w:r/>
      <w:bookmarkEnd w:id="681"/>
      <w:r/>
      <w:bookmarkStart w:id="682" w:name="_Toc452556579"/>
      <w:r/>
      <w:bookmarkEnd w:id="682"/>
      <w:r/>
      <w:bookmarkStart w:id="683" w:name="_Toc443332020"/>
      <w:r/>
      <w:bookmarkEnd w:id="683"/>
      <w:r/>
      <w:bookmarkStart w:id="684" w:name="_Toc452556763"/>
      <w:r/>
      <w:bookmarkEnd w:id="684"/>
      <w:r/>
      <w:bookmarkStart w:id="685" w:name="_Toc402880654"/>
      <w:r/>
      <w:bookmarkEnd w:id="685"/>
      <w:r/>
      <w:bookmarkStart w:id="686" w:name="_Toc452502480"/>
      <w:r/>
      <w:bookmarkEnd w:id="686"/>
      <w:r/>
      <w:bookmarkStart w:id="687" w:name="_Toc452502516"/>
      <w:r/>
      <w:bookmarkEnd w:id="687"/>
      <w:r/>
      <w:bookmarkStart w:id="688" w:name="_Toc452556591"/>
      <w:r/>
      <w:bookmarkEnd w:id="688"/>
      <w:r/>
      <w:bookmarkStart w:id="689" w:name="_Toc452556614"/>
      <w:r/>
      <w:bookmarkEnd w:id="689"/>
      <w:r/>
      <w:bookmarkStart w:id="690" w:name="_Toc381964100"/>
      <w:r/>
      <w:bookmarkEnd w:id="690"/>
      <w:r/>
      <w:bookmarkStart w:id="691" w:name="_Toc452556657"/>
      <w:r/>
      <w:bookmarkEnd w:id="691"/>
      <w:r/>
      <w:bookmarkStart w:id="692" w:name="_Toc402880682"/>
      <w:r/>
      <w:bookmarkEnd w:id="692"/>
      <w:r/>
      <w:bookmarkStart w:id="693" w:name="_Toc402880608"/>
      <w:r/>
      <w:bookmarkEnd w:id="693"/>
      <w:r/>
      <w:bookmarkStart w:id="694" w:name="_Toc402880629"/>
      <w:r/>
      <w:bookmarkEnd w:id="694"/>
      <w:r/>
      <w:bookmarkStart w:id="695" w:name="_Toc452556688"/>
      <w:r/>
      <w:bookmarkEnd w:id="695"/>
      <w:r/>
      <w:bookmarkStart w:id="696" w:name="_Toc452502353"/>
      <w:r/>
      <w:bookmarkEnd w:id="696"/>
      <w:r/>
      <w:bookmarkStart w:id="697" w:name="_Toc452502456"/>
      <w:r/>
      <w:bookmarkEnd w:id="697"/>
      <w:r/>
      <w:bookmarkStart w:id="698" w:name="_Toc471745359"/>
      <w:r/>
      <w:bookmarkEnd w:id="698"/>
      <w:r/>
      <w:bookmarkStart w:id="699" w:name="_Toc452502525"/>
      <w:r/>
      <w:bookmarkEnd w:id="699"/>
      <w:r/>
      <w:bookmarkStart w:id="700" w:name="_Toc452502485"/>
      <w:r/>
      <w:bookmarkEnd w:id="700"/>
      <w:r/>
      <w:bookmarkStart w:id="701" w:name="_Toc452556826"/>
      <w:r/>
      <w:bookmarkEnd w:id="701"/>
      <w:r/>
      <w:bookmarkStart w:id="702" w:name="_Toc452556790"/>
      <w:r/>
      <w:bookmarkEnd w:id="702"/>
      <w:r/>
      <w:bookmarkStart w:id="703" w:name="_Toc452556805"/>
      <w:r/>
      <w:bookmarkEnd w:id="703"/>
      <w:r/>
      <w:bookmarkStart w:id="704" w:name="_Toc452556809"/>
      <w:r/>
      <w:bookmarkEnd w:id="704"/>
      <w:r/>
      <w:bookmarkStart w:id="705" w:name="_Toc402880611"/>
      <w:r/>
      <w:bookmarkEnd w:id="705"/>
      <w:r/>
      <w:bookmarkStart w:id="706" w:name="_Toc443332008"/>
      <w:r/>
      <w:bookmarkEnd w:id="706"/>
      <w:r/>
      <w:bookmarkStart w:id="707" w:name="_Toc471740933"/>
      <w:r/>
      <w:bookmarkEnd w:id="707"/>
      <w:r/>
      <w:bookmarkStart w:id="708" w:name="_Toc452556771"/>
      <w:r/>
      <w:bookmarkEnd w:id="708"/>
      <w:r/>
      <w:bookmarkStart w:id="709" w:name="_Toc452556718"/>
      <w:r/>
      <w:bookmarkEnd w:id="709"/>
      <w:r/>
      <w:bookmarkStart w:id="710" w:name="_Toc452556537"/>
      <w:r/>
      <w:bookmarkEnd w:id="710"/>
      <w:r/>
      <w:bookmarkStart w:id="711" w:name="_Toc452502481"/>
      <w:r/>
      <w:bookmarkEnd w:id="711"/>
      <w:r/>
      <w:bookmarkStart w:id="712" w:name="_Toc388279013"/>
      <w:r/>
      <w:bookmarkEnd w:id="712"/>
      <w:r/>
      <w:bookmarkStart w:id="713" w:name="_Toc443332019"/>
      <w:r/>
      <w:bookmarkEnd w:id="713"/>
      <w:r/>
      <w:bookmarkStart w:id="714" w:name="_Toc452556740"/>
      <w:r/>
      <w:bookmarkEnd w:id="714"/>
      <w:r/>
      <w:bookmarkStart w:id="715" w:name="_Toc402880688"/>
      <w:r/>
      <w:bookmarkEnd w:id="715"/>
      <w:r/>
      <w:bookmarkStart w:id="716" w:name="_Toc452556743"/>
      <w:r/>
      <w:bookmarkEnd w:id="716"/>
      <w:r/>
      <w:bookmarkStart w:id="717" w:name="_Toc452556828"/>
      <w:r/>
      <w:bookmarkEnd w:id="717"/>
      <w:r/>
      <w:bookmarkStart w:id="718" w:name="_Toc452502532"/>
      <w:r/>
      <w:bookmarkEnd w:id="718"/>
      <w:r/>
      <w:bookmarkStart w:id="719" w:name="_Toc452502357"/>
      <w:r/>
      <w:bookmarkEnd w:id="719"/>
      <w:r/>
      <w:bookmarkStart w:id="720" w:name="_Toc452502454"/>
      <w:r/>
      <w:bookmarkEnd w:id="720"/>
      <w:r/>
      <w:bookmarkStart w:id="721" w:name="_Toc452556549"/>
      <w:r/>
      <w:bookmarkEnd w:id="721"/>
      <w:r/>
      <w:bookmarkStart w:id="722" w:name="_Toc452556755"/>
      <w:r/>
      <w:bookmarkEnd w:id="722"/>
      <w:r/>
      <w:bookmarkStart w:id="723" w:name="_Toc452556652"/>
      <w:r/>
      <w:bookmarkEnd w:id="723"/>
      <w:r/>
      <w:bookmarkStart w:id="724" w:name="_Toc452502498"/>
      <w:r/>
      <w:bookmarkEnd w:id="724"/>
      <w:r/>
      <w:bookmarkStart w:id="725" w:name="_Toc402880636"/>
      <w:r/>
      <w:bookmarkEnd w:id="725"/>
      <w:r/>
      <w:bookmarkStart w:id="726" w:name="_Toc452556746"/>
      <w:r/>
      <w:bookmarkEnd w:id="726"/>
      <w:r/>
      <w:bookmarkStart w:id="727" w:name="_Toc452502551"/>
      <w:r/>
      <w:bookmarkEnd w:id="727"/>
      <w:r/>
      <w:bookmarkStart w:id="728" w:name="_Toc452502333"/>
      <w:r/>
      <w:bookmarkEnd w:id="728"/>
      <w:r/>
      <w:bookmarkStart w:id="729" w:name="_Toc443332034"/>
      <w:r/>
      <w:bookmarkEnd w:id="729"/>
      <w:r/>
      <w:bookmarkStart w:id="730" w:name="_Toc452502508"/>
      <w:r/>
      <w:bookmarkEnd w:id="730"/>
      <w:r/>
      <w:bookmarkStart w:id="731" w:name="_Toc452556737"/>
      <w:r/>
      <w:bookmarkEnd w:id="731"/>
      <w:r/>
      <w:bookmarkStart w:id="732" w:name="_Toc402880616"/>
      <w:r/>
      <w:bookmarkEnd w:id="732"/>
      <w:r/>
      <w:bookmarkStart w:id="733" w:name="_Toc452502407"/>
      <w:r/>
      <w:bookmarkEnd w:id="733"/>
      <w:r/>
      <w:bookmarkStart w:id="734" w:name="_Toc452502390"/>
      <w:r/>
      <w:bookmarkEnd w:id="734"/>
      <w:r/>
      <w:bookmarkStart w:id="735" w:name="_Toc452502380"/>
      <w:r/>
      <w:bookmarkEnd w:id="735"/>
      <w:r/>
      <w:bookmarkStart w:id="736" w:name="_Toc452556554"/>
      <w:r/>
      <w:bookmarkEnd w:id="736"/>
      <w:r/>
      <w:bookmarkStart w:id="737" w:name="_Toc443332026"/>
      <w:r/>
      <w:bookmarkEnd w:id="737"/>
      <w:r/>
      <w:bookmarkStart w:id="738" w:name="_Toc452556534"/>
      <w:r/>
      <w:bookmarkEnd w:id="738"/>
      <w:r/>
      <w:bookmarkStart w:id="739" w:name="_Toc452556582"/>
      <w:r/>
      <w:bookmarkEnd w:id="739"/>
      <w:r/>
      <w:bookmarkStart w:id="740" w:name="_Toc452502399"/>
      <w:r/>
      <w:bookmarkEnd w:id="740"/>
      <w:r/>
      <w:bookmarkStart w:id="741" w:name="_Toc452556584"/>
      <w:r/>
      <w:bookmarkEnd w:id="741"/>
      <w:r/>
      <w:bookmarkStart w:id="742" w:name="_Toc452502570"/>
      <w:r/>
      <w:bookmarkEnd w:id="742"/>
      <w:r/>
      <w:bookmarkStart w:id="743" w:name="_Toc452556816"/>
      <w:r/>
      <w:bookmarkEnd w:id="743"/>
      <w:r/>
      <w:bookmarkStart w:id="744" w:name="_Toc452556659"/>
      <w:r/>
      <w:bookmarkEnd w:id="744"/>
      <w:r/>
      <w:bookmarkStart w:id="745" w:name="_Toc452556764"/>
      <w:r/>
      <w:bookmarkEnd w:id="745"/>
      <w:r/>
      <w:bookmarkStart w:id="746" w:name="_Toc452502404"/>
      <w:r/>
      <w:bookmarkEnd w:id="746"/>
      <w:r/>
      <w:bookmarkStart w:id="747" w:name="_Toc452502318"/>
      <w:r/>
      <w:bookmarkEnd w:id="747"/>
      <w:r/>
      <w:bookmarkStart w:id="748" w:name="_Toc452502363"/>
      <w:r/>
      <w:bookmarkEnd w:id="748"/>
      <w:r/>
      <w:bookmarkStart w:id="749" w:name="_Toc452502461"/>
      <w:r/>
      <w:bookmarkEnd w:id="749"/>
      <w:r/>
      <w:bookmarkStart w:id="750" w:name="_Toc402880656"/>
      <w:r/>
      <w:bookmarkEnd w:id="750"/>
      <w:r/>
      <w:bookmarkStart w:id="751" w:name="_Toc452556626"/>
      <w:r/>
      <w:bookmarkEnd w:id="751"/>
      <w:r/>
      <w:bookmarkStart w:id="752" w:name="_Toc402880630"/>
      <w:r/>
      <w:bookmarkEnd w:id="752"/>
      <w:r/>
      <w:bookmarkStart w:id="753" w:name="_Toc452502504"/>
      <w:r/>
      <w:bookmarkEnd w:id="753"/>
      <w:r/>
      <w:bookmarkStart w:id="754" w:name="_Toc452556727"/>
      <w:r/>
      <w:bookmarkEnd w:id="754"/>
      <w:r/>
      <w:bookmarkStart w:id="755" w:name="_Toc452502463"/>
      <w:r/>
      <w:bookmarkEnd w:id="755"/>
      <w:r/>
      <w:bookmarkStart w:id="756" w:name="_Toc452556563"/>
      <w:r/>
      <w:bookmarkEnd w:id="756"/>
      <w:r/>
      <w:bookmarkStart w:id="757" w:name="_Toc452556794"/>
      <w:r/>
      <w:bookmarkEnd w:id="757"/>
      <w:r/>
      <w:bookmarkStart w:id="758" w:name="_Toc452502311"/>
      <w:r/>
      <w:bookmarkEnd w:id="758"/>
      <w:r/>
      <w:bookmarkStart w:id="759" w:name="_Toc471745367"/>
      <w:r/>
      <w:bookmarkEnd w:id="759"/>
      <w:r/>
      <w:bookmarkStart w:id="760" w:name="_Toc452502331"/>
      <w:r/>
      <w:bookmarkEnd w:id="760"/>
      <w:r/>
      <w:bookmarkStart w:id="761" w:name="_Toc452556199"/>
      <w:r/>
      <w:bookmarkEnd w:id="761"/>
      <w:r/>
      <w:bookmarkStart w:id="762" w:name="_Toc452502569"/>
      <w:r/>
      <w:bookmarkEnd w:id="762"/>
      <w:r/>
      <w:bookmarkStart w:id="763" w:name="_Toc452502328"/>
      <w:r/>
      <w:bookmarkEnd w:id="763"/>
      <w:r/>
      <w:bookmarkStart w:id="764" w:name="_Toc452556802"/>
      <w:r/>
      <w:bookmarkEnd w:id="764"/>
      <w:r/>
      <w:bookmarkStart w:id="765" w:name="_Toc443332015"/>
      <w:r/>
      <w:bookmarkEnd w:id="765"/>
      <w:r/>
      <w:bookmarkStart w:id="766" w:name="_Toc452556513"/>
      <w:r/>
      <w:bookmarkEnd w:id="766"/>
      <w:r/>
      <w:bookmarkStart w:id="767" w:name="_Toc452502443"/>
      <w:r/>
      <w:bookmarkEnd w:id="767"/>
      <w:r/>
      <w:bookmarkStart w:id="768" w:name="_Toc452556512"/>
      <w:r/>
      <w:bookmarkEnd w:id="768"/>
      <w:r/>
      <w:bookmarkStart w:id="769" w:name="_Toc452502350"/>
      <w:r/>
      <w:bookmarkEnd w:id="769"/>
      <w:r/>
      <w:bookmarkStart w:id="770" w:name="_Toc402880696"/>
      <w:r/>
      <w:bookmarkEnd w:id="770"/>
      <w:r/>
      <w:bookmarkStart w:id="771" w:name="_Toc400913975"/>
      <w:r/>
      <w:bookmarkEnd w:id="771"/>
      <w:r/>
      <w:bookmarkStart w:id="772" w:name="_Toc452556664"/>
      <w:r/>
      <w:bookmarkEnd w:id="772"/>
      <w:r/>
      <w:bookmarkStart w:id="773" w:name="_Toc452556797"/>
      <w:r/>
      <w:bookmarkEnd w:id="773"/>
      <w:r/>
      <w:bookmarkStart w:id="774" w:name="_Toc388279025"/>
      <w:r/>
      <w:bookmarkEnd w:id="774"/>
      <w:r>
        <w:rPr>
          <w:rFonts w:hint="eastAsia" w:ascii="Times New Roman" w:hAnsi="Times New Roman" w:eastAsia="宋体" w:cs="Times New Roman"/>
          <w:sz w:val="24"/>
          <w:szCs w:val="24"/>
        </w:rPr>
        <w:t xml:space="preserve">1、无锡市公安局水上分局因工作需要对无锡市公安局水上分局及三个派出所食堂食材采购项目进行公开招标。要求中标方保质、保量、准时供货、配送。</w:t>
      </w:r>
      <w:r/>
    </w:p>
    <w:p>
      <w:pPr>
        <w:pStyle w:val="722"/>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配送地址为：无锡市公安局市局水上分局（无锡市梁溪区运河东路118号）、黄埠墩派出所（无锡市梁溪区蓉湖新村16-1）、南门派出所（无锡市梁溪区运河西路2058号）和太湖派出所（无锡市滨湖区鼋头渚中犊山桥堍）。因工作需要送货地址可能有变化或增加。 </w:t>
      </w:r>
      <w:r/>
    </w:p>
    <w:p>
      <w:pPr>
        <w:pStyle w:val="722"/>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3、服务期限：合同签订生效后采购方通知供货日期起2年。具体供货日期以采购方通知为准。</w:t>
      </w:r>
      <w:r/>
    </w:p>
    <w:p>
      <w:pPr>
        <w:pStyle w:val="722"/>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4、本项目采购估算金额：288万元（最终以实际结算金额为准）。</w:t>
      </w:r>
      <w:r/>
    </w:p>
    <w:p>
      <w:pPr>
        <w:pStyle w:val="722"/>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5、本项目供应商需具有管理部门核发有效期内的食品经营许可证。</w:t>
      </w:r>
      <w:r/>
    </w:p>
    <w:p>
      <w:pPr>
        <w:pStyle w:val="722"/>
        <w:ind w:firstLine="482"/>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6、本次招标范围为：</w:t>
      </w:r>
      <w:r/>
    </w:p>
    <w:p>
      <w:pPr>
        <w:pStyle w:val="722"/>
        <w:ind w:firstLine="482"/>
        <w:spacing w:line="360" w:lineRule="auto"/>
        <w:rPr>
          <w:rFonts w:ascii="宋体" w:hAnsi="宋体" w:eastAsia="宋体" w:cs="仿宋"/>
          <w:sz w:val="24"/>
          <w:szCs w:val="24"/>
          <w:lang w:bidi="mn-Mong-CN"/>
        </w:rPr>
      </w:pPr>
      <w:r>
        <w:rPr>
          <w:rFonts w:hint="eastAsia" w:ascii="宋体" w:hAnsi="宋体" w:eastAsia="宋体" w:cs="仿宋"/>
          <w:b/>
          <w:bCs/>
          <w:sz w:val="24"/>
          <w:szCs w:val="24"/>
          <w:lang w:bidi="mn-Mong-CN"/>
        </w:rPr>
        <w:t xml:space="preserve">（1）新鲜肉类（含猪牛羊肉）及其冻品；家禽类及其冻品和应急采购食材任务。</w:t>
      </w:r>
      <w:r/>
    </w:p>
    <w:p>
      <w:pPr>
        <w:jc w:val="center"/>
        <w:spacing w:line="360" w:lineRule="auto"/>
        <w:rPr>
          <w:rFonts w:ascii="宋体" w:hAnsi="宋体" w:cs="仿宋"/>
          <w:b/>
          <w:bCs/>
          <w:sz w:val="24"/>
          <w:szCs w:val="24"/>
        </w:rPr>
      </w:pPr>
      <w:r>
        <w:rPr>
          <w:rFonts w:hint="eastAsia" w:ascii="宋体" w:hAnsi="宋体" w:cs="仿宋"/>
          <w:b/>
          <w:bCs/>
          <w:sz w:val="24"/>
          <w:szCs w:val="24"/>
        </w:rPr>
        <w:t xml:space="preserve">鲜肉类（包含但不限于）</w:t>
      </w:r>
      <w:r/>
    </w:p>
    <w:tbl>
      <w:tblPr>
        <w:tblStyle w:val="721"/>
        <w:tblW w:w="858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000"/>
        <w:gridCol w:w="1943"/>
        <w:gridCol w:w="930"/>
        <w:gridCol w:w="1147"/>
        <w:gridCol w:w="2483"/>
      </w:tblGrid>
      <w:tr>
        <w:trPr>
          <w:trHeight w:val="390"/>
        </w:trPr>
        <w:tc>
          <w:tcPr>
            <w:tcW w:w="1080"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品类</w:t>
            </w:r>
            <w:r/>
          </w:p>
        </w:tc>
        <w:tc>
          <w:tcPr>
            <w:tcW w:w="1000"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序号</w:t>
            </w:r>
            <w:r/>
          </w:p>
        </w:tc>
        <w:tc>
          <w:tcPr>
            <w:tcW w:w="1943"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品名</w:t>
            </w:r>
            <w:r/>
          </w:p>
        </w:tc>
        <w:tc>
          <w:tcPr>
            <w:tcW w:w="930"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规格</w:t>
            </w:r>
            <w:r/>
          </w:p>
        </w:tc>
        <w:tc>
          <w:tcPr>
            <w:tcW w:w="1147" w:type="dxa"/>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箱规</w:t>
            </w:r>
            <w:r/>
          </w:p>
        </w:tc>
        <w:tc>
          <w:tcPr>
            <w:tcW w:w="2483"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备注</w:t>
            </w:r>
            <w:r/>
          </w:p>
        </w:tc>
      </w:tr>
      <w:tr>
        <w:trPr>
          <w:trHeight w:val="390"/>
        </w:trPr>
        <w:tc>
          <w:tcPr>
            <w:tcW w:w="1080" w:type="dxa"/>
            <w:vAlign w:val="center"/>
            <w:vMerge w:val="restart"/>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生鲜肉</w:t>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小膘五花肉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center"/>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去皮去膘五花肉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带肉草排</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有皮去骨前夹</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去皮去骨前夹</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带肉腿通水骨</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7</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鲜腿筒骨</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8</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肉丝</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9</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肉末</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肥瘦2:8</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10</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去皮去骨腿心肉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11</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有皮有骨腿心肉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12</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带肉扇子骨</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13</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肉片</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14</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猪爪</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15</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带皮方肉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16</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纯三号肉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17</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有皮去骨方肉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18</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普通肋排</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19</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精肋排</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20</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条形大排</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21</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切片大排</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22</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蝴蝶骨、月牙骨</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23</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杂骨</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24</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龙骨</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25</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里脊肉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26</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猪颈肉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27</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有皮前蹄髈</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28</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有皮后蹄髈</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29</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有皮脚圈</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30</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板油</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31</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猪爪</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32</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精猪肚</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33</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猪肝</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34</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猪腰</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35</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猪舌</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36</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猪耳</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37</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猪尾</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38</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猪大肠</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39</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鲜牛腿肉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p>
            <w:pPr>
              <w:pStyle w:val="741"/>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40</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鲜牛腩</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41</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鲜牛柳</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p>
            <w:pPr>
              <w:pStyle w:val="741"/>
              <w:ind w:firstLine="480"/>
              <w:rPr>
                <w:rFonts w:ascii="宋体" w:hAnsi="宋体" w:cs="仿宋"/>
                <w:sz w:val="24"/>
                <w:szCs w:val="24"/>
              </w:rPr>
            </w:pPr>
            <w:r>
              <w:rPr>
                <w:rFonts w:ascii="宋体" w:hAnsi="宋体" w:cs="仿宋"/>
                <w:sz w:val="24"/>
                <w:szCs w:val="24"/>
              </w:rPr>
            </w:r>
            <w:r/>
          </w:p>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42</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鲜牛古柱（牛小腱）</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43</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国产西冷</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44</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牛棒骨</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45</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牛舌</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46</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牛蹄</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47</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牛心</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48</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牛尾</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49</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牛蹄筋</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鲜老母鸡</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51</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鲜小公鸡</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52</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光鸭</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53</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红头鸭</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54</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老鹅</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55</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老鸽子</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56</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乳鸽</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57</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带皮羊腿（山羊）</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58</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去皮羊腿（绵阳）</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59</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羊肚</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60</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羊肋排</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61</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羊蝎子</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62</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咸方肉</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63</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咸腿心</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64</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免浆黑椒牛肉粒</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65</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免浆黑椒牛仔骨</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r>
        <w:trPr>
          <w:trHeight w:val="390"/>
        </w:trPr>
        <w:tc>
          <w:tcPr>
            <w:tcW w:w="1080" w:type="dxa"/>
            <w:vAlign w:val="center"/>
            <w:vMerge w:val="continue"/>
            <w:textDirection w:val="lrTb"/>
            <w:noWrap w:val="false"/>
          </w:tcPr>
          <w:p>
            <w:pPr>
              <w:pStyle w:val="741"/>
              <w:ind w:firstLine="480"/>
              <w:rPr>
                <w:rFonts w:ascii="宋体" w:hAnsi="宋体" w:cs="仿宋"/>
                <w:sz w:val="24"/>
                <w:szCs w:val="24"/>
              </w:rPr>
            </w:pPr>
            <w:r>
              <w:rPr>
                <w:rFonts w:ascii="宋体" w:hAnsi="宋体" w:cs="仿宋"/>
                <w:sz w:val="24"/>
                <w:szCs w:val="24"/>
              </w:rPr>
            </w:r>
            <w:r/>
          </w:p>
        </w:tc>
        <w:tc>
          <w:tcPr>
            <w:tcW w:w="10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66</w:t>
            </w:r>
            <w:r/>
          </w:p>
        </w:tc>
        <w:tc>
          <w:tcPr>
            <w:tcW w:w="194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乌骨鸡</w:t>
            </w:r>
            <w:r/>
          </w:p>
        </w:tc>
        <w:tc>
          <w:tcPr>
            <w:tcW w:w="930" w:type="dxa"/>
            <w:vAlign w:val="center"/>
            <w:textDirection w:val="lrTb"/>
            <w:noWrap w:val="false"/>
          </w:tcPr>
          <w:p>
            <w:pPr>
              <w:jc w:val="center"/>
              <w:spacing w:line="360" w:lineRule="auto"/>
              <w:widowControl/>
              <w:rPr>
                <w:rFonts w:hint="eastAsia" w:ascii="宋体" w:hAnsi="宋体" w:eastAsia="宋体" w:cs="仿宋"/>
                <w:sz w:val="24"/>
                <w:szCs w:val="24"/>
                <w:lang w:eastAsia="zh-CN"/>
              </w:rPr>
            </w:pPr>
            <w:r>
              <w:rPr>
                <w:rFonts w:hint="eastAsia" w:ascii="宋体" w:hAnsi="宋体" w:cs="仿宋"/>
                <w:sz w:val="24"/>
                <w:szCs w:val="24"/>
                <w:lang w:eastAsia="zh-CN"/>
              </w:rPr>
              <w:t xml:space="preserve">kg</w:t>
            </w:r>
            <w:r/>
          </w:p>
        </w:tc>
        <w:tc>
          <w:tcPr>
            <w:tcW w:w="1147"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正规</w:t>
            </w:r>
            <w:r/>
          </w:p>
        </w:tc>
        <w:tc>
          <w:tcPr>
            <w:tcW w:w="248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按要求加工</w:t>
            </w:r>
            <w:r/>
          </w:p>
        </w:tc>
      </w:tr>
    </w:tbl>
    <w:p>
      <w:pPr>
        <w:jc w:val="center"/>
        <w:spacing w:line="360" w:lineRule="auto"/>
        <w:rPr>
          <w:rFonts w:ascii="宋体" w:hAnsi="宋体" w:cs="仿宋"/>
          <w:sz w:val="24"/>
          <w:szCs w:val="24"/>
        </w:rPr>
      </w:pPr>
      <w:r>
        <w:rPr>
          <w:rFonts w:hint="eastAsia" w:ascii="宋体" w:hAnsi="宋体" w:cs="仿宋"/>
          <w:b/>
          <w:bCs/>
          <w:sz w:val="24"/>
          <w:szCs w:val="24"/>
        </w:rPr>
        <w:t xml:space="preserve">冷冻类（包含但不限于）</w:t>
      </w:r>
      <w:r/>
    </w:p>
    <w:tbl>
      <w:tblPr>
        <w:tblStyle w:val="721"/>
        <w:tblW w:w="8593" w:type="dxa"/>
        <w:tblInd w:w="-15" w:type="dxa"/>
        <w:tblLayout w:type="fixed"/>
        <w:tblCellMar>
          <w:left w:w="108" w:type="dxa"/>
          <w:top w:w="0" w:type="dxa"/>
          <w:right w:w="108" w:type="dxa"/>
          <w:bottom w:w="0" w:type="dxa"/>
        </w:tblCellMar>
        <w:tblLook w:val="04A0" w:firstRow="1" w:lastRow="0" w:firstColumn="1" w:lastColumn="0" w:noHBand="0" w:noVBand="1"/>
      </w:tblPr>
      <w:tblGrid>
        <w:gridCol w:w="499"/>
        <w:gridCol w:w="639"/>
        <w:gridCol w:w="2555"/>
        <w:gridCol w:w="1270"/>
        <w:gridCol w:w="1120"/>
        <w:gridCol w:w="2510"/>
      </w:tblGrid>
      <w:tr>
        <w:trPr>
          <w:trHeight w:val="375"/>
        </w:trPr>
        <w:tc>
          <w:tcPr>
            <w:tcBorders>
              <w:top w:val="single" w:color="000000" w:sz="8" w:space="0"/>
              <w:left w:val="single" w:color="000000" w:sz="8" w:space="0"/>
              <w:bottom w:val="none" w:color="000000" w:sz="4" w:space="0"/>
              <w:right w:val="single" w:color="000000" w:sz="8" w:space="0"/>
            </w:tcBorders>
            <w:tcW w:w="499" w:type="dxa"/>
            <w:vAlign w:val="center"/>
            <w:vMerge w:val="restart"/>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冻品</w:t>
            </w:r>
            <w:r/>
          </w:p>
        </w:tc>
        <w:tc>
          <w:tcPr>
            <w:tcBorders>
              <w:top w:val="single" w:color="000000" w:sz="8" w:space="0"/>
              <w:left w:val="single" w:color="000000" w:sz="8" w:space="0"/>
              <w:bottom w:val="single" w:color="000000" w:sz="8" w:space="0"/>
              <w:right w:val="single" w:color="000000" w:sz="8" w:space="0"/>
            </w:tcBorders>
            <w:tcW w:w="639" w:type="dxa"/>
            <w:vAlign w:val="center"/>
            <w:vMerge w:val="restart"/>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2555" w:type="dxa"/>
            <w:vAlign w:val="center"/>
            <w:vMerge w:val="restart"/>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品名</w:t>
            </w:r>
            <w:r/>
          </w:p>
        </w:tc>
        <w:tc>
          <w:tcPr>
            <w:tcBorders>
              <w:top w:val="single" w:color="000000" w:sz="8" w:space="0"/>
              <w:left w:val="single" w:color="000000" w:sz="8" w:space="0"/>
              <w:bottom w:val="single" w:color="000000" w:sz="8" w:space="0"/>
              <w:right w:val="single" w:color="000000" w:sz="8" w:space="0"/>
            </w:tcBorders>
            <w:tcW w:w="1270" w:type="dxa"/>
            <w:vAlign w:val="center"/>
            <w:vMerge w:val="restart"/>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规格</w:t>
            </w:r>
            <w:r/>
          </w:p>
        </w:tc>
        <w:tc>
          <w:tcPr>
            <w:tcBorders>
              <w:top w:val="single" w:color="000000" w:sz="8" w:space="0"/>
              <w:left w:val="none" w:color="000000" w:sz="4" w:space="0"/>
              <w:bottom w:val="none" w:color="000000" w:sz="4" w:space="0"/>
              <w:right w:val="single" w:color="000000" w:sz="8" w:space="0"/>
            </w:tcBorders>
            <w:tcW w:w="1120"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报价</w:t>
            </w:r>
            <w:r/>
          </w:p>
        </w:tc>
        <w:tc>
          <w:tcPr>
            <w:tcBorders>
              <w:top w:val="single" w:color="000000" w:sz="8" w:space="0"/>
              <w:left w:val="single" w:color="000000" w:sz="8" w:space="0"/>
              <w:bottom w:val="single" w:color="000000" w:sz="8" w:space="0"/>
              <w:right w:val="single" w:color="000000" w:sz="8" w:space="0"/>
            </w:tcBorders>
            <w:tcW w:w="2510" w:type="dxa"/>
            <w:vAlign w:val="center"/>
            <w:vMerge w:val="restart"/>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要求</w:t>
            </w:r>
            <w:r/>
          </w:p>
        </w:tc>
      </w:tr>
      <w:tr>
        <w:trPr>
          <w:trHeight w:val="285"/>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single" w:color="000000" w:sz="8" w:space="0"/>
              <w:left w:val="single" w:color="000000" w:sz="8" w:space="0"/>
              <w:bottom w:val="single" w:color="000000" w:sz="8" w:space="0"/>
              <w:right w:val="single" w:color="000000" w:sz="8" w:space="0"/>
            </w:tcBorders>
            <w:tcW w:w="2555"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single" w:color="000000" w:sz="8" w:space="0"/>
              <w:left w:val="single" w:color="000000" w:sz="8" w:space="0"/>
              <w:bottom w:val="single" w:color="000000" w:sz="8" w:space="0"/>
              <w:right w:val="single" w:color="000000" w:sz="8" w:space="0"/>
            </w:tcBorders>
            <w:tcW w:w="127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单位</w:t>
            </w:r>
            <w:r/>
          </w:p>
        </w:tc>
        <w:tc>
          <w:tcPr>
            <w:tcBorders>
              <w:top w:val="single" w:color="000000" w:sz="8" w:space="0"/>
              <w:left w:val="single" w:color="000000" w:sz="8" w:space="0"/>
              <w:bottom w:val="single" w:color="000000" w:sz="8" w:space="0"/>
              <w:right w:val="single" w:color="000000" w:sz="8" w:space="0"/>
            </w:tcBorders>
            <w:tcW w:w="2510"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冻鸡腿</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冻鸡翅</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冻鸡翅根</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冻鸡翅中</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鸡胗</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凤爪</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7</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长柄凤爪</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8</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100-200g琵琶腿</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9</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冻鸡胸</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10</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冻咸鸭腿</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11</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冻手枪腿</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12</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鸭掌</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13</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鹅掌</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大小均匀，无冰</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14</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冻片鸭</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无冰，无异味</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15</w:t>
            </w:r>
            <w:r/>
          </w:p>
        </w:tc>
        <w:tc>
          <w:tcPr>
            <w:tcBorders>
              <w:top w:val="none" w:color="000000" w:sz="4" w:space="0"/>
              <w:left w:val="non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冻整鸭</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无冰，无异味</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single" w:color="000000" w:sz="4" w:space="0"/>
              <w:left w:val="single" w:color="000000" w:sz="8" w:space="0"/>
              <w:bottom w:val="single" w:color="000000" w:sz="4" w:space="0"/>
              <w:right w:val="single" w:color="000000" w:sz="4"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20</w:t>
            </w:r>
            <w:r/>
          </w:p>
        </w:tc>
        <w:tc>
          <w:tcPr>
            <w:tcBorders>
              <w:top w:val="none" w:color="000000" w:sz="4" w:space="0"/>
              <w:left w:val="singl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干蹄筋</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新鲜，无异味</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single" w:color="000000" w:sz="4" w:space="0"/>
              <w:left w:val="single" w:color="000000" w:sz="8" w:space="0"/>
              <w:bottom w:val="single" w:color="000000" w:sz="4" w:space="0"/>
              <w:right w:val="single" w:color="000000" w:sz="4"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21</w:t>
            </w:r>
            <w:r/>
          </w:p>
        </w:tc>
        <w:tc>
          <w:tcPr>
            <w:tcBorders>
              <w:top w:val="none" w:color="000000" w:sz="4" w:space="0"/>
              <w:left w:val="singl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牛腩</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新鲜，无异味</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Borders>
              <w:top w:val="single" w:color="000000" w:sz="4" w:space="0"/>
              <w:left w:val="single" w:color="000000" w:sz="8" w:space="0"/>
              <w:bottom w:val="single" w:color="000000" w:sz="4" w:space="0"/>
              <w:right w:val="single" w:color="000000" w:sz="4"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22</w:t>
            </w:r>
            <w:r/>
          </w:p>
        </w:tc>
        <w:tc>
          <w:tcPr>
            <w:tcBorders>
              <w:top w:val="none" w:color="000000" w:sz="4" w:space="0"/>
              <w:left w:val="singl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牛腱</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新鲜，无异</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sz w:val="24"/>
                <w:szCs w:val="24"/>
              </w:rPr>
            </w:pPr>
            <w:r>
              <w:rPr>
                <w:rFonts w:hint="eastAsia" w:ascii="宋体" w:hAnsi="宋体" w:cs="仿宋"/>
                <w:sz w:val="24"/>
                <w:szCs w:val="24"/>
              </w:rPr>
              <w:t xml:space="preserve">、</w:t>
            </w:r>
            <w:r/>
          </w:p>
        </w:tc>
        <w:tc>
          <w:tcPr>
            <w:tcBorders>
              <w:top w:val="single" w:color="000000" w:sz="4" w:space="0"/>
              <w:left w:val="single" w:color="000000" w:sz="8" w:space="0"/>
              <w:bottom w:val="single" w:color="000000" w:sz="4" w:space="0"/>
              <w:right w:val="single" w:color="000000" w:sz="4"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23</w:t>
            </w:r>
            <w:r/>
          </w:p>
        </w:tc>
        <w:tc>
          <w:tcPr>
            <w:tcBorders>
              <w:top w:val="none" w:color="000000" w:sz="4" w:space="0"/>
              <w:left w:val="singl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牛肉卷</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新鲜，无异</w:t>
            </w:r>
            <w:r/>
          </w:p>
        </w:tc>
      </w:tr>
      <w:tr>
        <w:trPr>
          <w:trHeight w:val="300"/>
        </w:trPr>
        <w:tc>
          <w:tcPr>
            <w:tcBorders>
              <w:top w:val="none" w:color="000000" w:sz="4" w:space="0"/>
              <w:left w:val="single" w:color="000000" w:sz="8" w:space="0"/>
              <w:bottom w:val="none" w:color="000000" w:sz="4" w:space="0"/>
              <w:right w:val="single" w:color="000000" w:sz="8" w:space="0"/>
            </w:tcBorders>
            <w:tcW w:w="499" w:type="dxa"/>
            <w:vAlign w:val="center"/>
            <w:vMerge w:val="continue"/>
            <w:textDirection w:val="lrTb"/>
            <w:noWrap w:val="false"/>
          </w:tcPr>
          <w:p>
            <w:pPr>
              <w:jc w:val="left"/>
              <w:spacing w:line="360" w:lineRule="auto"/>
              <w:widowControl/>
              <w:rPr>
                <w:rFonts w:ascii="宋体" w:hAnsi="宋体" w:cs="仿宋"/>
                <w:sz w:val="24"/>
                <w:szCs w:val="24"/>
              </w:rPr>
            </w:pPr>
            <w:r>
              <w:rPr>
                <w:rFonts w:ascii="宋体" w:hAnsi="宋体" w:cs="仿宋"/>
                <w:sz w:val="24"/>
                <w:szCs w:val="24"/>
              </w:rPr>
            </w:r>
            <w:r/>
          </w:p>
        </w:tc>
        <w:tc>
          <w:tcPr>
            <w:tcBorders>
              <w:top w:val="single" w:color="000000" w:sz="4" w:space="0"/>
              <w:left w:val="single" w:color="000000" w:sz="8" w:space="0"/>
              <w:bottom w:val="single" w:color="000000" w:sz="4" w:space="0"/>
              <w:right w:val="single" w:color="000000" w:sz="4" w:space="0"/>
            </w:tcBorders>
            <w:tcW w:w="639"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24</w:t>
            </w:r>
            <w:r/>
          </w:p>
        </w:tc>
        <w:tc>
          <w:tcPr>
            <w:tcBorders>
              <w:top w:val="none" w:color="000000" w:sz="4" w:space="0"/>
              <w:left w:val="single" w:color="000000" w:sz="4" w:space="0"/>
              <w:bottom w:val="single" w:color="000000" w:sz="8" w:space="0"/>
              <w:right w:val="single" w:color="000000" w:sz="8" w:space="0"/>
            </w:tcBorders>
            <w:tcW w:w="255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羔羊卷</w:t>
            </w:r>
            <w:r/>
          </w:p>
        </w:tc>
        <w:tc>
          <w:tcPr>
            <w:tcBorders>
              <w:top w:val="none" w:color="000000" w:sz="4" w:space="0"/>
              <w:left w:val="none" w:color="000000" w:sz="4" w:space="0"/>
              <w:bottom w:val="single" w:color="000000" w:sz="8" w:space="0"/>
              <w:right w:val="single" w:color="000000" w:sz="8" w:space="0"/>
            </w:tcBorders>
            <w:tcW w:w="127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112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51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新鲜，无异味</w:t>
            </w:r>
            <w:r/>
          </w:p>
        </w:tc>
      </w:tr>
    </w:tbl>
    <w:p>
      <w:pPr>
        <w:pStyle w:val="722"/>
        <w:ind w:firstLine="480"/>
        <w:spacing w:line="360" w:lineRule="auto"/>
        <w:rPr>
          <w:rFonts w:ascii="宋体" w:hAnsi="宋体" w:eastAsia="宋体" w:cs="仿宋"/>
          <w:sz w:val="24"/>
          <w:szCs w:val="24"/>
          <w:lang w:bidi="mn-Mong-CN"/>
        </w:rPr>
      </w:pPr>
      <w:r>
        <w:rPr>
          <w:rFonts w:ascii="宋体" w:hAnsi="宋体" w:eastAsia="宋体" w:cs="仿宋"/>
          <w:sz w:val="24"/>
          <w:szCs w:val="24"/>
          <w:lang w:bidi="mn-Mong-CN"/>
        </w:rPr>
      </w:r>
      <w:r/>
    </w:p>
    <w:p>
      <w:pPr>
        <w:ind w:firstLine="482"/>
        <w:spacing w:line="360" w:lineRule="exact"/>
        <w:rPr>
          <w:rFonts w:ascii="宋体" w:hAnsi="宋体" w:cs="仿宋"/>
          <w:color w:val="000000"/>
          <w:sz w:val="24"/>
          <w:szCs w:val="24"/>
        </w:rPr>
      </w:pPr>
      <w:r>
        <w:rPr>
          <w:rFonts w:hint="eastAsia" w:ascii="宋体" w:hAnsi="宋体" w:cs="仿宋"/>
          <w:b/>
          <w:bCs/>
          <w:color w:val="000000"/>
          <w:sz w:val="24"/>
          <w:szCs w:val="24"/>
        </w:rPr>
        <w:t xml:space="preserve">（2）蔬菜；粮食（含面制品）；禽蛋类；豆制品、奶制品（含牛奶、酸奶等）、水果等。</w:t>
      </w:r>
      <w:r/>
    </w:p>
    <w:p>
      <w:pPr>
        <w:ind w:firstLine="482"/>
        <w:jc w:val="center"/>
        <w:spacing w:line="360" w:lineRule="auto"/>
        <w:rPr>
          <w:rFonts w:ascii="宋体" w:hAnsi="宋体" w:cs="仿宋"/>
          <w:sz w:val="24"/>
          <w:szCs w:val="24"/>
        </w:rPr>
      </w:pPr>
      <w:r>
        <w:rPr>
          <w:rFonts w:hint="eastAsia" w:ascii="宋体" w:hAnsi="宋体" w:cs="仿宋"/>
          <w:b/>
          <w:bCs/>
          <w:sz w:val="24"/>
          <w:szCs w:val="24"/>
        </w:rPr>
        <w:t xml:space="preserve">蔬菜类（包含但不限于）</w:t>
      </w:r>
      <w:r/>
    </w:p>
    <w:tbl>
      <w:tblPr>
        <w:tblStyle w:val="721"/>
        <w:tblW w:w="9045"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1542"/>
        <w:gridCol w:w="1746"/>
        <w:gridCol w:w="4092"/>
      </w:tblGrid>
      <w:tr>
        <w:trPr>
          <w:trHeight w:val="479"/>
        </w:trPr>
        <w:tc>
          <w:tcPr>
            <w:tcW w:w="1665" w:type="dxa"/>
            <w:textDirection w:val="lrTb"/>
            <w:noWrap w:val="false"/>
          </w:tcPr>
          <w:p>
            <w:pPr>
              <w:jc w:val="center"/>
              <w:spacing w:line="360" w:lineRule="auto"/>
              <w:rPr>
                <w:rFonts w:ascii="宋体" w:hAnsi="宋体" w:cs="仿宋"/>
                <w:b/>
                <w:bCs/>
                <w:sz w:val="24"/>
                <w:szCs w:val="24"/>
              </w:rPr>
            </w:pPr>
            <w:r>
              <w:rPr>
                <w:rFonts w:hint="eastAsia" w:ascii="宋体" w:hAnsi="宋体" w:cs="仿宋"/>
                <w:b/>
                <w:bCs/>
                <w:sz w:val="24"/>
                <w:szCs w:val="24"/>
              </w:rPr>
              <w:t xml:space="preserve">序号</w:t>
            </w:r>
            <w:r/>
          </w:p>
        </w:tc>
        <w:tc>
          <w:tcPr>
            <w:tcW w:w="1542" w:type="dxa"/>
            <w:textDirection w:val="lrTb"/>
            <w:noWrap w:val="false"/>
          </w:tcPr>
          <w:p>
            <w:pPr>
              <w:jc w:val="center"/>
              <w:spacing w:line="360" w:lineRule="auto"/>
              <w:rPr>
                <w:rFonts w:ascii="宋体" w:hAnsi="宋体" w:cs="仿宋"/>
                <w:b/>
                <w:bCs/>
                <w:sz w:val="24"/>
                <w:szCs w:val="24"/>
              </w:rPr>
            </w:pPr>
            <w:r>
              <w:rPr>
                <w:rFonts w:hint="eastAsia" w:ascii="宋体" w:hAnsi="宋体" w:cs="仿宋"/>
                <w:b/>
                <w:bCs/>
                <w:sz w:val="24"/>
                <w:szCs w:val="24"/>
              </w:rPr>
              <w:t xml:space="preserve">品名</w:t>
            </w:r>
            <w:r/>
          </w:p>
        </w:tc>
        <w:tc>
          <w:tcPr>
            <w:tcW w:w="1746" w:type="dxa"/>
            <w:textDirection w:val="lrTb"/>
            <w:noWrap w:val="false"/>
          </w:tcPr>
          <w:p>
            <w:pPr>
              <w:jc w:val="center"/>
              <w:spacing w:line="360" w:lineRule="auto"/>
              <w:rPr>
                <w:rFonts w:ascii="宋体" w:hAnsi="宋体" w:cs="仿宋"/>
                <w:b/>
                <w:bCs/>
                <w:sz w:val="24"/>
                <w:szCs w:val="24"/>
              </w:rPr>
            </w:pPr>
            <w:r>
              <w:rPr>
                <w:rFonts w:hint="eastAsia" w:ascii="宋体" w:hAnsi="宋体" w:cs="仿宋"/>
                <w:b/>
                <w:bCs/>
                <w:sz w:val="24"/>
                <w:szCs w:val="24"/>
              </w:rPr>
              <w:t xml:space="preserve">单位/规格</w:t>
            </w:r>
            <w:r/>
          </w:p>
        </w:tc>
        <w:tc>
          <w:tcPr>
            <w:tcW w:w="4092" w:type="dxa"/>
            <w:textDirection w:val="lrTb"/>
            <w:noWrap w:val="false"/>
          </w:tcPr>
          <w:p>
            <w:pPr>
              <w:jc w:val="center"/>
              <w:spacing w:line="360" w:lineRule="auto"/>
              <w:rPr>
                <w:rFonts w:ascii="宋体" w:hAnsi="宋体" w:cs="仿宋"/>
                <w:b/>
                <w:bCs/>
                <w:sz w:val="24"/>
                <w:szCs w:val="24"/>
              </w:rPr>
            </w:pPr>
            <w:r>
              <w:rPr>
                <w:rFonts w:hint="eastAsia" w:ascii="宋体" w:hAnsi="宋体" w:cs="仿宋"/>
                <w:b/>
                <w:bCs/>
                <w:sz w:val="24"/>
                <w:szCs w:val="24"/>
              </w:rPr>
              <w:t xml:space="preserve">要求</w:t>
            </w:r>
            <w:r/>
          </w:p>
        </w:tc>
      </w:tr>
      <w:tr>
        <w:trPr>
          <w:trHeight w:val="503"/>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青菜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无烂叶，黄叶</w:t>
            </w:r>
            <w:r/>
          </w:p>
        </w:tc>
      </w:tr>
      <w:tr>
        <w:trPr>
          <w:trHeight w:val="503"/>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2</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包菜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无烂叶，烂心</w:t>
            </w:r>
            <w:r/>
          </w:p>
        </w:tc>
      </w:tr>
      <w:tr>
        <w:trPr>
          <w:trHeight w:val="479"/>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3</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白菜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无烂叶，烂心</w:t>
            </w:r>
            <w:r/>
          </w:p>
        </w:tc>
      </w:tr>
      <w:tr>
        <w:trPr>
          <w:trHeight w:val="479"/>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4</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菠菜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无烂叶</w:t>
            </w:r>
            <w:r/>
          </w:p>
        </w:tc>
      </w:tr>
      <w:tr>
        <w:trPr>
          <w:trHeight w:val="503"/>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5</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生菜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无烂叶</w:t>
            </w:r>
            <w:r/>
          </w:p>
        </w:tc>
      </w:tr>
      <w:tr>
        <w:trPr>
          <w:trHeight w:val="479"/>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6</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细菜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无烂叶，黄叶</w:t>
            </w:r>
            <w:r/>
          </w:p>
        </w:tc>
      </w:tr>
      <w:tr>
        <w:trPr>
          <w:trHeight w:val="479"/>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7</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西芹</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新鲜，无叶</w:t>
            </w:r>
            <w:r/>
          </w:p>
        </w:tc>
      </w:tr>
      <w:tr>
        <w:trPr>
          <w:trHeight w:val="479"/>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8</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净莴苣</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新鲜，无叶</w:t>
            </w:r>
            <w:r/>
          </w:p>
        </w:tc>
      </w:tr>
      <w:tr>
        <w:trPr>
          <w:trHeight w:val="479"/>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9</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娃娃菜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w:t>
            </w:r>
            <w:r/>
          </w:p>
        </w:tc>
      </w:tr>
      <w:tr>
        <w:trPr>
          <w:trHeight w:val="503"/>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10</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净茭白</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w:t>
            </w:r>
            <w:r/>
          </w:p>
        </w:tc>
      </w:tr>
      <w:tr>
        <w:trPr>
          <w:trHeight w:val="503"/>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11</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球葱</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w:t>
            </w:r>
            <w:r/>
          </w:p>
        </w:tc>
      </w:tr>
      <w:tr>
        <w:trPr>
          <w:trHeight w:val="510"/>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12</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冬瓜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无烂心</w:t>
            </w:r>
            <w:r/>
          </w:p>
        </w:tc>
      </w:tr>
      <w:tr>
        <w:trPr>
          <w:trHeight w:val="503"/>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13</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番茄</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w:t>
            </w:r>
            <w:r/>
          </w:p>
        </w:tc>
      </w:tr>
      <w:tr>
        <w:trPr>
          <w:trHeight w:val="479"/>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14</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生姜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503"/>
        </w:trPr>
        <w:tc>
          <w:tcPr>
            <w:tcW w:w="166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15</w:t>
            </w:r>
            <w:r/>
          </w:p>
        </w:tc>
        <w:tc>
          <w:tcPr>
            <w:tcW w:w="154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新土豆</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92"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新鲜，无烂心</w:t>
            </w:r>
            <w:r/>
          </w:p>
        </w:tc>
      </w:tr>
    </w:tbl>
    <w:p>
      <w:pPr>
        <w:spacing w:line="360" w:lineRule="auto"/>
        <w:rPr>
          <w:rFonts w:ascii="宋体" w:hAnsi="宋体" w:cs="仿宋"/>
          <w:sz w:val="24"/>
          <w:szCs w:val="24"/>
        </w:rPr>
      </w:pPr>
      <w:r>
        <w:rPr>
          <w:rFonts w:hint="eastAsia" w:ascii="宋体" w:hAnsi="宋体" w:cs="仿宋"/>
          <w:sz w:val="24"/>
          <w:szCs w:val="24"/>
        </w:rPr>
        <w:t xml:space="preserve">                    </w:t>
      </w:r>
      <w:r/>
    </w:p>
    <w:p>
      <w:pPr>
        <w:jc w:val="center"/>
        <w:spacing w:line="360" w:lineRule="auto"/>
        <w:rPr>
          <w:rFonts w:ascii="宋体" w:hAnsi="宋体" w:cs="仿宋"/>
          <w:sz w:val="24"/>
          <w:szCs w:val="24"/>
        </w:rPr>
      </w:pPr>
      <w:r>
        <w:rPr>
          <w:rFonts w:hint="eastAsia" w:ascii="宋体" w:hAnsi="宋体" w:cs="仿宋"/>
          <w:b/>
          <w:bCs/>
          <w:sz w:val="24"/>
          <w:szCs w:val="24"/>
        </w:rPr>
        <w:t xml:space="preserve">水果类（包含但不限于）</w:t>
      </w:r>
      <w:r/>
    </w:p>
    <w:tbl>
      <w:tblPr>
        <w:tblStyle w:val="721"/>
        <w:tblW w:w="9054"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4"/>
        <w:gridCol w:w="1568"/>
        <w:gridCol w:w="1746"/>
        <w:gridCol w:w="4056"/>
      </w:tblGrid>
      <w:tr>
        <w:trPr>
          <w:trHeight w:val="503"/>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b/>
                <w:bCs/>
                <w:sz w:val="24"/>
                <w:szCs w:val="24"/>
              </w:rPr>
              <w:t xml:space="preserve">序号</w:t>
            </w:r>
            <w:r/>
          </w:p>
        </w:tc>
        <w:tc>
          <w:tcPr>
            <w:tcW w:w="1568" w:type="dxa"/>
            <w:textDirection w:val="lrTb"/>
            <w:noWrap w:val="false"/>
          </w:tcPr>
          <w:p>
            <w:pPr>
              <w:jc w:val="center"/>
              <w:spacing w:line="360" w:lineRule="auto"/>
              <w:rPr>
                <w:rFonts w:ascii="宋体" w:hAnsi="宋体" w:cs="仿宋"/>
                <w:sz w:val="24"/>
                <w:szCs w:val="24"/>
              </w:rPr>
            </w:pPr>
            <w:r>
              <w:rPr>
                <w:rFonts w:hint="eastAsia" w:ascii="宋体" w:hAnsi="宋体" w:cs="仿宋"/>
                <w:b/>
                <w:bCs/>
                <w:sz w:val="24"/>
                <w:szCs w:val="24"/>
              </w:rPr>
              <w:t xml:space="preserve">品名</w:t>
            </w:r>
            <w:r/>
          </w:p>
        </w:tc>
        <w:tc>
          <w:tcPr>
            <w:tcW w:w="1746" w:type="dxa"/>
            <w:textDirection w:val="lrTb"/>
            <w:noWrap w:val="false"/>
          </w:tcPr>
          <w:p>
            <w:pPr>
              <w:jc w:val="center"/>
              <w:spacing w:line="360" w:lineRule="auto"/>
              <w:rPr>
                <w:rFonts w:ascii="宋体" w:hAnsi="宋体" w:cs="仿宋"/>
                <w:sz w:val="24"/>
                <w:szCs w:val="24"/>
              </w:rPr>
            </w:pPr>
            <w:r>
              <w:rPr>
                <w:rFonts w:hint="eastAsia" w:ascii="宋体" w:hAnsi="宋体" w:cs="仿宋"/>
                <w:b/>
                <w:bCs/>
                <w:sz w:val="24"/>
                <w:szCs w:val="24"/>
              </w:rPr>
              <w:t xml:space="preserve">单位/规格</w:t>
            </w:r>
            <w:r/>
          </w:p>
        </w:tc>
        <w:tc>
          <w:tcPr>
            <w:tcW w:w="4056" w:type="dxa"/>
            <w:textDirection w:val="lrTb"/>
            <w:noWrap w:val="false"/>
          </w:tcPr>
          <w:p>
            <w:pPr>
              <w:jc w:val="center"/>
              <w:spacing w:line="360" w:lineRule="auto"/>
              <w:rPr>
                <w:rFonts w:ascii="宋体" w:hAnsi="宋体" w:cs="仿宋"/>
                <w:sz w:val="24"/>
                <w:szCs w:val="24"/>
              </w:rPr>
            </w:pPr>
            <w:r>
              <w:rPr>
                <w:rFonts w:hint="eastAsia" w:ascii="宋体" w:hAnsi="宋体" w:cs="仿宋"/>
                <w:b/>
                <w:bCs/>
                <w:sz w:val="24"/>
                <w:szCs w:val="24"/>
              </w:rPr>
              <w:t xml:space="preserve">要求</w:t>
            </w:r>
            <w:r/>
          </w:p>
        </w:tc>
      </w:tr>
      <w:tr>
        <w:trPr>
          <w:trHeight w:val="503"/>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苹果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新鲜，无烂心</w:t>
            </w:r>
            <w:r/>
          </w:p>
        </w:tc>
      </w:tr>
      <w:tr>
        <w:trPr>
          <w:trHeight w:val="479"/>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2</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香蕉</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新鲜无黑斑</w:t>
            </w:r>
            <w:r/>
          </w:p>
        </w:tc>
      </w:tr>
      <w:tr>
        <w:trPr>
          <w:trHeight w:val="503"/>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3</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水果黄瓜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新鲜，整洁</w:t>
            </w:r>
            <w:r/>
          </w:p>
        </w:tc>
      </w:tr>
      <w:tr>
        <w:trPr>
          <w:trHeight w:val="479"/>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4</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黑布林</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新鲜，无损</w:t>
            </w:r>
            <w:r/>
          </w:p>
        </w:tc>
      </w:tr>
      <w:tr>
        <w:trPr>
          <w:trHeight w:val="503"/>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5</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黄油桃</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新鲜，无损</w:t>
            </w:r>
            <w:r/>
          </w:p>
        </w:tc>
      </w:tr>
      <w:tr>
        <w:trPr>
          <w:trHeight w:val="503"/>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6</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新疆香梨</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新鲜，无损</w:t>
            </w:r>
            <w:r/>
          </w:p>
        </w:tc>
      </w:tr>
      <w:tr>
        <w:trPr>
          <w:trHeight w:val="503"/>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7</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西瓜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新鲜，无损</w:t>
            </w:r>
            <w:r/>
          </w:p>
        </w:tc>
      </w:tr>
      <w:tr>
        <w:trPr>
          <w:trHeight w:val="503"/>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8</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哈密瓜</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新鲜，无损</w:t>
            </w:r>
            <w:r/>
          </w:p>
        </w:tc>
      </w:tr>
      <w:tr>
        <w:trPr>
          <w:trHeight w:val="503"/>
        </w:trPr>
        <w:tc>
          <w:tcPr>
            <w:tcW w:w="168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9</w:t>
            </w:r>
            <w:r/>
          </w:p>
        </w:tc>
        <w:tc>
          <w:tcPr>
            <w:tcW w:w="1568"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赣南脐橙</w:t>
            </w:r>
            <w:r/>
          </w:p>
        </w:tc>
        <w:tc>
          <w:tcPr>
            <w:tcW w:w="174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斤</w:t>
            </w:r>
            <w:r/>
          </w:p>
        </w:tc>
        <w:tc>
          <w:tcPr>
            <w:tcW w:w="4056"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新鲜，无损</w:t>
            </w:r>
            <w:r/>
          </w:p>
        </w:tc>
      </w:tr>
    </w:tbl>
    <w:p>
      <w:pPr>
        <w:pStyle w:val="722"/>
        <w:jc w:val="center"/>
        <w:spacing w:line="360" w:lineRule="auto"/>
        <w:rPr>
          <w:rFonts w:ascii="宋体" w:hAnsi="宋体" w:eastAsia="宋体" w:cs="仿宋"/>
          <w:b/>
          <w:bCs/>
          <w:sz w:val="24"/>
          <w:szCs w:val="24"/>
        </w:rPr>
      </w:pPr>
      <w:r>
        <w:rPr>
          <w:rFonts w:ascii="宋体" w:hAnsi="宋体" w:eastAsia="宋体" w:cs="仿宋"/>
          <w:b/>
          <w:bCs/>
          <w:sz w:val="24"/>
          <w:szCs w:val="24"/>
        </w:rPr>
      </w:r>
      <w:r/>
    </w:p>
    <w:p>
      <w:pPr>
        <w:pStyle w:val="722"/>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豆制品（包含但不限于）</w:t>
      </w:r>
      <w:r/>
    </w:p>
    <w:tbl>
      <w:tblPr>
        <w:tblStyle w:val="721"/>
        <w:tblW w:w="9192" w:type="dxa"/>
        <w:tblInd w:w="-12" w:type="dxa"/>
        <w:tblLayout w:type="fixed"/>
        <w:tblCellMar>
          <w:left w:w="108" w:type="dxa"/>
          <w:top w:w="0" w:type="dxa"/>
          <w:right w:w="108" w:type="dxa"/>
          <w:bottom w:w="0" w:type="dxa"/>
        </w:tblCellMar>
        <w:tblLook w:val="04A0" w:firstRow="1" w:lastRow="0" w:firstColumn="1" w:lastColumn="0" w:noHBand="0" w:noVBand="1"/>
      </w:tblPr>
      <w:tblGrid>
        <w:gridCol w:w="982"/>
        <w:gridCol w:w="2312"/>
        <w:gridCol w:w="1717"/>
        <w:gridCol w:w="4181"/>
      </w:tblGrid>
      <w:tr>
        <w:trPr>
          <w:trHeight w:val="327"/>
        </w:trPr>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品名</w:t>
            </w:r>
            <w:r/>
          </w:p>
        </w:tc>
        <w:tc>
          <w:tcPr>
            <w:tcBorders>
              <w:top w:val="single" w:color="000000" w:sz="8"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规格</w:t>
            </w:r>
            <w:r/>
          </w:p>
        </w:tc>
        <w:tc>
          <w:tcPr>
            <w:tcBorders>
              <w:top w:val="single" w:color="000000" w:sz="8" w:space="0"/>
              <w:left w:val="none" w:color="000000" w:sz="4" w:space="0"/>
              <w:bottom w:val="single" w:color="000000" w:sz="8" w:space="0"/>
              <w:right w:val="single" w:color="000000" w:sz="8" w:space="0"/>
            </w:tcBorders>
            <w:tcW w:w="4181"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备注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雪雪白豆腐</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盒</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2</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素鸡</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3</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嫩豆腐</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4</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薄百叶素肠</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中百叶</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6</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红茶干</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7</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水面筋</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8</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小油豆腐</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9</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百叶结</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10</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老豆腐</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11</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粉皮</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540"/>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12</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百叶丝</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525"/>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13</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香干丝</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r>
        <w:trPr>
          <w:trHeight w:val="600"/>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14</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油面筋</w:t>
            </w:r>
            <w:r/>
          </w:p>
        </w:tc>
        <w:tc>
          <w:tcPr>
            <w:tcBorders>
              <w:top w:val="none" w:color="000000" w:sz="4" w:space="0"/>
              <w:left w:val="none" w:color="000000" w:sz="4" w:space="0"/>
              <w:bottom w:val="single" w:color="000000" w:sz="8" w:space="0"/>
              <w:right w:val="single" w:color="000000" w:sz="8" w:space="0"/>
            </w:tcBorders>
            <w:tcW w:w="1717"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181"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无损，无杂质</w:t>
            </w:r>
            <w:r/>
          </w:p>
        </w:tc>
      </w:tr>
    </w:tbl>
    <w:p>
      <w:pPr>
        <w:jc w:val="center"/>
        <w:spacing w:line="360" w:lineRule="auto"/>
        <w:rPr>
          <w:rFonts w:ascii="宋体" w:hAnsi="宋体" w:cs="仿宋"/>
          <w:b/>
          <w:bCs/>
          <w:sz w:val="24"/>
          <w:szCs w:val="24"/>
        </w:rPr>
      </w:pPr>
      <w:r>
        <w:rPr>
          <w:rFonts w:ascii="宋体" w:hAnsi="宋体" w:cs="仿宋"/>
          <w:b/>
          <w:bCs/>
          <w:sz w:val="24"/>
          <w:szCs w:val="24"/>
        </w:rPr>
      </w:r>
      <w:r/>
    </w:p>
    <w:p>
      <w:pPr>
        <w:jc w:val="center"/>
        <w:spacing w:line="360" w:lineRule="auto"/>
        <w:rPr>
          <w:rFonts w:ascii="宋体" w:hAnsi="宋体" w:cs="仿宋"/>
          <w:b/>
          <w:bCs/>
          <w:sz w:val="24"/>
          <w:szCs w:val="24"/>
        </w:rPr>
      </w:pPr>
      <w:r>
        <w:rPr>
          <w:rFonts w:hint="eastAsia" w:ascii="宋体" w:hAnsi="宋体" w:cs="仿宋"/>
          <w:b/>
          <w:bCs/>
          <w:sz w:val="24"/>
          <w:szCs w:val="24"/>
        </w:rPr>
        <w:t xml:space="preserve">禽蛋类（包含但不限于）</w:t>
      </w:r>
      <w:r/>
    </w:p>
    <w:tbl>
      <w:tblPr>
        <w:tblStyle w:val="721"/>
        <w:tblW w:w="9198" w:type="dxa"/>
        <w:tblInd w:w="-15" w:type="dxa"/>
        <w:tblLayout w:type="fixed"/>
        <w:tblCellMar>
          <w:left w:w="108" w:type="dxa"/>
          <w:top w:w="0" w:type="dxa"/>
          <w:right w:w="108" w:type="dxa"/>
          <w:bottom w:w="0" w:type="dxa"/>
        </w:tblCellMar>
        <w:tblLook w:val="04A0" w:firstRow="1" w:lastRow="0" w:firstColumn="1" w:lastColumn="0" w:noHBand="0" w:noVBand="1"/>
      </w:tblPr>
      <w:tblGrid>
        <w:gridCol w:w="993"/>
        <w:gridCol w:w="2295"/>
        <w:gridCol w:w="1575"/>
        <w:gridCol w:w="2040"/>
        <w:gridCol w:w="2295"/>
      </w:tblGrid>
      <w:tr>
        <w:trPr>
          <w:trHeight w:val="390"/>
        </w:trPr>
        <w:tc>
          <w:tcPr>
            <w:tcBorders>
              <w:top w:val="single" w:color="000000" w:sz="8"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2295"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品名</w:t>
            </w:r>
            <w:r/>
          </w:p>
        </w:tc>
        <w:tc>
          <w:tcPr>
            <w:tcBorders>
              <w:top w:val="single" w:color="000000" w:sz="8" w:space="0"/>
              <w:left w:val="none" w:color="000000" w:sz="4" w:space="0"/>
              <w:bottom w:val="single" w:color="000000" w:sz="8" w:space="0"/>
              <w:right w:val="single" w:color="000000" w:sz="8" w:space="0"/>
            </w:tcBorders>
            <w:tcW w:w="1575"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规格</w:t>
            </w:r>
            <w:r/>
          </w:p>
        </w:tc>
        <w:tc>
          <w:tcPr>
            <w:tcBorders>
              <w:top w:val="single" w:color="000000" w:sz="8" w:space="0"/>
              <w:left w:val="none" w:color="000000" w:sz="4" w:space="0"/>
              <w:bottom w:val="single" w:color="000000" w:sz="8" w:space="0"/>
              <w:right w:val="single" w:color="000000" w:sz="8" w:space="0"/>
            </w:tcBorders>
            <w:tcW w:w="2040" w:type="dxa"/>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箱规</w:t>
            </w:r>
            <w:r/>
          </w:p>
        </w:tc>
        <w:tc>
          <w:tcPr>
            <w:tcBorders>
              <w:top w:val="single" w:color="000000" w:sz="8" w:space="0"/>
              <w:left w:val="none" w:color="000000" w:sz="4" w:space="0"/>
              <w:bottom w:val="single" w:color="000000" w:sz="8" w:space="0"/>
              <w:right w:val="single" w:color="000000" w:sz="8" w:space="0"/>
            </w:tcBorders>
            <w:tcW w:w="2295"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备注</w:t>
            </w:r>
            <w:r/>
          </w:p>
        </w:tc>
      </w:tr>
      <w:tr>
        <w:trPr>
          <w:trHeight w:val="300"/>
        </w:trPr>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1</w:t>
            </w:r>
            <w:r/>
          </w:p>
        </w:tc>
        <w:tc>
          <w:tcPr>
            <w:tcBorders>
              <w:top w:val="none" w:color="000000" w:sz="4" w:space="0"/>
              <w:left w:val="none" w:color="000000" w:sz="4" w:space="0"/>
              <w:bottom w:val="single" w:color="000000" w:sz="8" w:space="0"/>
              <w:right w:val="single" w:color="000000" w:sz="8" w:space="0"/>
            </w:tcBorders>
            <w:tcW w:w="229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鸡蛋</w:t>
            </w:r>
            <w:r/>
          </w:p>
        </w:tc>
        <w:tc>
          <w:tcPr>
            <w:tcBorders>
              <w:top w:val="none" w:color="000000" w:sz="4" w:space="0"/>
              <w:left w:val="none" w:color="000000" w:sz="4" w:space="0"/>
              <w:bottom w:val="single" w:color="000000" w:sz="8" w:space="0"/>
              <w:right w:val="single" w:color="000000" w:sz="8" w:space="0"/>
            </w:tcBorders>
            <w:tcW w:w="157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2040" w:type="dxa"/>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g</w:t>
            </w:r>
            <w:r/>
          </w:p>
        </w:tc>
        <w:tc>
          <w:tcPr>
            <w:tcBorders>
              <w:top w:val="none" w:color="000000" w:sz="4" w:space="0"/>
              <w:left w:val="none" w:color="000000" w:sz="4" w:space="0"/>
              <w:bottom w:val="single" w:color="000000" w:sz="8" w:space="0"/>
              <w:right w:val="single" w:color="000000" w:sz="8" w:space="0"/>
            </w:tcBorders>
            <w:tcW w:w="229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新鲜无破损</w:t>
            </w:r>
            <w:r/>
          </w:p>
        </w:tc>
      </w:tr>
      <w:tr>
        <w:trPr>
          <w:trHeight w:val="300"/>
        </w:trPr>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2</w:t>
            </w:r>
            <w:r/>
          </w:p>
        </w:tc>
        <w:tc>
          <w:tcPr>
            <w:tcBorders>
              <w:top w:val="none" w:color="000000" w:sz="4" w:space="0"/>
              <w:left w:val="none" w:color="000000" w:sz="4" w:space="0"/>
              <w:bottom w:val="single" w:color="000000" w:sz="8" w:space="0"/>
              <w:right w:val="single" w:color="000000" w:sz="8" w:space="0"/>
            </w:tcBorders>
            <w:tcW w:w="229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鸭蛋</w:t>
            </w:r>
            <w:r/>
          </w:p>
        </w:tc>
        <w:tc>
          <w:tcPr>
            <w:tcBorders>
              <w:top w:val="none" w:color="000000" w:sz="4" w:space="0"/>
              <w:left w:val="none" w:color="000000" w:sz="4" w:space="0"/>
              <w:bottom w:val="single" w:color="000000" w:sz="8" w:space="0"/>
              <w:right w:val="single" w:color="000000" w:sz="8" w:space="0"/>
            </w:tcBorders>
            <w:tcW w:w="157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2040" w:type="dxa"/>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g</w:t>
            </w:r>
            <w:r/>
          </w:p>
        </w:tc>
        <w:tc>
          <w:tcPr>
            <w:tcBorders>
              <w:top w:val="none" w:color="000000" w:sz="4" w:space="0"/>
              <w:left w:val="none" w:color="000000" w:sz="4" w:space="0"/>
              <w:bottom w:val="single" w:color="000000" w:sz="8" w:space="0"/>
              <w:right w:val="single" w:color="000000" w:sz="8" w:space="0"/>
            </w:tcBorders>
            <w:tcW w:w="229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新鲜无破损</w:t>
            </w:r>
            <w:r/>
          </w:p>
        </w:tc>
      </w:tr>
      <w:tr>
        <w:trPr>
          <w:trHeight w:val="300"/>
        </w:trPr>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3</w:t>
            </w:r>
            <w:r/>
          </w:p>
        </w:tc>
        <w:tc>
          <w:tcPr>
            <w:tcBorders>
              <w:top w:val="none" w:color="000000" w:sz="4" w:space="0"/>
              <w:left w:val="none" w:color="000000" w:sz="4" w:space="0"/>
              <w:bottom w:val="single" w:color="000000" w:sz="8" w:space="0"/>
              <w:right w:val="single" w:color="000000" w:sz="8" w:space="0"/>
            </w:tcBorders>
            <w:tcW w:w="229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鸽蛋</w:t>
            </w:r>
            <w:r/>
          </w:p>
        </w:tc>
        <w:tc>
          <w:tcPr>
            <w:tcBorders>
              <w:top w:val="none" w:color="000000" w:sz="4" w:space="0"/>
              <w:left w:val="none" w:color="000000" w:sz="4" w:space="0"/>
              <w:bottom w:val="single" w:color="000000" w:sz="8" w:space="0"/>
              <w:right w:val="single" w:color="000000" w:sz="8" w:space="0"/>
            </w:tcBorders>
            <w:tcW w:w="157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500g</w:t>
            </w:r>
            <w:r/>
          </w:p>
        </w:tc>
        <w:tc>
          <w:tcPr>
            <w:tcBorders>
              <w:top w:val="none" w:color="000000" w:sz="4" w:space="0"/>
              <w:left w:val="none" w:color="000000" w:sz="4" w:space="0"/>
              <w:bottom w:val="single" w:color="000000" w:sz="8" w:space="0"/>
              <w:right w:val="single" w:color="000000" w:sz="8" w:space="0"/>
            </w:tcBorders>
            <w:tcW w:w="2040" w:type="dxa"/>
            <w:textDirection w:val="lrTb"/>
            <w:noWrap w:val="false"/>
          </w:tcPr>
          <w:p>
            <w:pPr>
              <w:jc w:val="center"/>
              <w:spacing w:line="360" w:lineRule="auto"/>
              <w:widowControl/>
              <w:rPr>
                <w:rFonts w:ascii="宋体" w:hAnsi="宋体" w:cs="仿宋"/>
                <w:bCs/>
                <w:sz w:val="24"/>
                <w:szCs w:val="24"/>
              </w:rPr>
            </w:pPr>
            <w:r>
              <w:rPr>
                <w:rFonts w:hint="eastAsia" w:ascii="宋体" w:hAnsi="宋体" w:cs="仿宋"/>
                <w:bCs/>
                <w:sz w:val="24"/>
                <w:szCs w:val="24"/>
              </w:rPr>
              <w:t xml:space="preserve">g</w:t>
            </w:r>
            <w:r/>
          </w:p>
        </w:tc>
        <w:tc>
          <w:tcPr>
            <w:tcBorders>
              <w:top w:val="none" w:color="000000" w:sz="4" w:space="0"/>
              <w:left w:val="none" w:color="000000" w:sz="4" w:space="0"/>
              <w:bottom w:val="single" w:color="000000" w:sz="8" w:space="0"/>
              <w:right w:val="single" w:color="000000" w:sz="8" w:space="0"/>
            </w:tcBorders>
            <w:tcW w:w="2295"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新鲜无破损</w:t>
            </w:r>
            <w:r/>
          </w:p>
        </w:tc>
      </w:tr>
    </w:tbl>
    <w:p>
      <w:pPr>
        <w:pStyle w:val="722"/>
        <w:jc w:val="center"/>
        <w:spacing w:line="360" w:lineRule="auto"/>
        <w:rPr>
          <w:rFonts w:ascii="宋体" w:hAnsi="宋体" w:eastAsia="宋体" w:cs="仿宋"/>
          <w:b/>
          <w:bCs/>
          <w:sz w:val="24"/>
          <w:szCs w:val="24"/>
        </w:rPr>
      </w:pPr>
      <w:r>
        <w:rPr>
          <w:rFonts w:ascii="宋体" w:hAnsi="宋体" w:eastAsia="宋体" w:cs="仿宋"/>
          <w:b/>
          <w:bCs/>
          <w:sz w:val="24"/>
          <w:szCs w:val="24"/>
        </w:rPr>
      </w:r>
      <w:r/>
    </w:p>
    <w:p>
      <w:pPr>
        <w:pStyle w:val="722"/>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面制品（包含但不限于）</w:t>
      </w:r>
      <w:r/>
    </w:p>
    <w:tbl>
      <w:tblPr>
        <w:tblStyle w:val="721"/>
        <w:tblW w:w="9180" w:type="dxa"/>
        <w:tblInd w:w="-12" w:type="dxa"/>
        <w:tblLayout w:type="fixed"/>
        <w:tblCellMar>
          <w:left w:w="108" w:type="dxa"/>
          <w:top w:w="0" w:type="dxa"/>
          <w:right w:w="108" w:type="dxa"/>
          <w:bottom w:w="0" w:type="dxa"/>
        </w:tblCellMar>
        <w:tblLook w:val="04A0" w:firstRow="1" w:lastRow="0" w:firstColumn="1" w:lastColumn="0" w:noHBand="0" w:noVBand="1"/>
      </w:tblPr>
      <w:tblGrid>
        <w:gridCol w:w="982"/>
        <w:gridCol w:w="2312"/>
        <w:gridCol w:w="1571"/>
        <w:gridCol w:w="4315"/>
      </w:tblGrid>
      <w:tr>
        <w:trPr>
          <w:trHeight w:val="327"/>
        </w:trPr>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品名</w:t>
            </w:r>
            <w:r/>
          </w:p>
        </w:tc>
        <w:tc>
          <w:tcPr>
            <w:tcBorders>
              <w:top w:val="single" w:color="000000" w:sz="8"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规格</w:t>
            </w:r>
            <w:r/>
          </w:p>
        </w:tc>
        <w:tc>
          <w:tcPr>
            <w:tcBorders>
              <w:top w:val="single" w:color="000000" w:sz="8" w:space="0"/>
              <w:left w:val="none" w:color="000000" w:sz="4" w:space="0"/>
              <w:bottom w:val="single" w:color="000000" w:sz="8" w:space="0"/>
              <w:right w:val="single" w:color="000000" w:sz="8" w:space="0"/>
            </w:tcBorders>
            <w:tcW w:w="4315"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要求</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面条</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2</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干面条</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3</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拉面</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4</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馄饨皮</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饺子皮</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6</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炒面</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7</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宁波年糕</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8</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手指年糕</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9</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五彩小圆子</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10</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河粉</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r>
        <w:trPr>
          <w:trHeight w:val="639"/>
        </w:trPr>
        <w:tc>
          <w:tcPr>
            <w:tcBorders>
              <w:top w:val="none" w:color="000000" w:sz="4" w:space="0"/>
              <w:left w:val="single" w:color="000000" w:sz="8" w:space="0"/>
              <w:bottom w:val="single" w:color="000000" w:sz="8" w:space="0"/>
              <w:right w:val="single" w:color="000000" w:sz="8" w:space="0"/>
            </w:tcBorders>
            <w:tcW w:w="98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11</w:t>
            </w:r>
            <w:r/>
          </w:p>
        </w:tc>
        <w:tc>
          <w:tcPr>
            <w:tcBorders>
              <w:top w:val="none" w:color="000000" w:sz="4" w:space="0"/>
              <w:left w:val="none" w:color="000000" w:sz="4" w:space="0"/>
              <w:bottom w:val="single" w:color="000000" w:sz="8" w:space="0"/>
              <w:right w:val="single" w:color="000000" w:sz="8" w:space="0"/>
            </w:tcBorders>
            <w:tcW w:w="2312"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凉粉</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斤</w:t>
            </w:r>
            <w:r/>
          </w:p>
        </w:tc>
        <w:tc>
          <w:tcPr>
            <w:tcBorders>
              <w:top w:val="none" w:color="000000" w:sz="4" w:space="0"/>
              <w:left w:val="none" w:color="000000" w:sz="4" w:space="0"/>
              <w:bottom w:val="single" w:color="000000" w:sz="8" w:space="0"/>
              <w:right w:val="single" w:color="000000" w:sz="8" w:space="0"/>
            </w:tcBorders>
            <w:tcW w:w="4315" w:type="dxa"/>
            <w:vAlign w:val="center"/>
            <w:textDirection w:val="lrTb"/>
            <w:noWrap w:val="false"/>
          </w:tcPr>
          <w:p>
            <w:pPr>
              <w:widowControl/>
              <w:rPr>
                <w:rFonts w:ascii="宋体" w:hAnsi="宋体" w:cs="仿宋"/>
                <w:sz w:val="24"/>
                <w:szCs w:val="24"/>
              </w:rPr>
            </w:pPr>
            <w:r>
              <w:rPr>
                <w:rFonts w:hint="eastAsia" w:ascii="宋体" w:hAnsi="宋体" w:cs="仿宋"/>
                <w:sz w:val="24"/>
                <w:szCs w:val="24"/>
              </w:rPr>
              <w:t xml:space="preserve">符合要求并且无损、无杂质</w:t>
            </w:r>
            <w:r/>
          </w:p>
        </w:tc>
      </w:tr>
    </w:tbl>
    <w:p>
      <w:pPr>
        <w:jc w:val="center"/>
        <w:spacing w:line="360" w:lineRule="auto"/>
        <w:rPr>
          <w:rFonts w:hint="eastAsia" w:ascii="宋体" w:hAnsi="宋体" w:cs="仿宋"/>
          <w:sz w:val="24"/>
          <w:szCs w:val="24"/>
        </w:rPr>
      </w:pPr>
      <w:r>
        <w:rPr>
          <w:rFonts w:hint="eastAsia" w:ascii="宋体" w:hAnsi="宋体" w:cs="仿宋"/>
          <w:sz w:val="24"/>
          <w:szCs w:val="24"/>
        </w:rPr>
        <w:t xml:space="preserve">                   </w:t>
      </w:r>
      <w:r/>
    </w:p>
    <w:p>
      <w:pPr>
        <w:jc w:val="center"/>
        <w:spacing w:line="360" w:lineRule="auto"/>
        <w:rPr>
          <w:rFonts w:ascii="宋体" w:hAnsi="宋体" w:cs="仿宋"/>
          <w:sz w:val="24"/>
          <w:szCs w:val="24"/>
        </w:rPr>
      </w:pPr>
      <w:r>
        <w:rPr>
          <w:rFonts w:hint="eastAsia" w:ascii="宋体" w:hAnsi="宋体" w:cs="仿宋"/>
          <w:b/>
          <w:bCs/>
          <w:sz w:val="24"/>
          <w:szCs w:val="24"/>
        </w:rPr>
        <w:t xml:space="preserve">奶制品类（包含但不限于）</w:t>
      </w:r>
      <w:r/>
    </w:p>
    <w:tbl>
      <w:tblPr>
        <w:tblStyle w:val="721"/>
        <w:tblW w:w="9594" w:type="dxa"/>
        <w:tblInd w:w="-426" w:type="dxa"/>
        <w:tblLayout w:type="fixed"/>
        <w:tblCellMar>
          <w:left w:w="108" w:type="dxa"/>
          <w:top w:w="0" w:type="dxa"/>
          <w:right w:w="108" w:type="dxa"/>
          <w:bottom w:w="0" w:type="dxa"/>
        </w:tblCellMar>
        <w:tblLook w:val="04A0" w:firstRow="1" w:lastRow="0" w:firstColumn="1" w:lastColumn="0" w:noHBand="0" w:noVBand="1"/>
      </w:tblPr>
      <w:tblGrid>
        <w:gridCol w:w="618"/>
        <w:gridCol w:w="1116"/>
        <w:gridCol w:w="1334"/>
        <w:gridCol w:w="1020"/>
        <w:gridCol w:w="1120"/>
        <w:gridCol w:w="1120"/>
        <w:gridCol w:w="3266"/>
      </w:tblGrid>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品名</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规格</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参考品牌</w:t>
            </w:r>
            <w:r/>
          </w:p>
        </w:tc>
        <w:tc>
          <w:tcPr>
            <w:tcBorders>
              <w:top w:val="single" w:color="000000" w:sz="4" w:space="0"/>
              <w:left w:val="non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要求</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41"/>
              <w:ind w:firstLine="480"/>
              <w:rPr>
                <w:rFonts w:ascii="宋体" w:hAnsi="宋体" w:cs="仿宋"/>
                <w:sz w:val="24"/>
                <w:szCs w:val="24"/>
              </w:rPr>
            </w:pPr>
            <w:r>
              <w:rPr>
                <w:rFonts w:hint="eastAsia" w:ascii="宋体" w:hAnsi="宋体"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杯装酸奶 </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100g*8杯/板</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板</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50</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畅优或不低于该档次</w:t>
            </w:r>
            <w:r/>
          </w:p>
        </w:tc>
        <w:tc>
          <w:tcPr>
            <w:tcBorders>
              <w:top w:val="single" w:color="000000" w:sz="4" w:space="0"/>
              <w:left w:val="none" w:color="000000" w:sz="4" w:space="0"/>
              <w:bottom w:val="single" w:color="000000" w:sz="4" w:space="0"/>
              <w:right w:val="single" w:color="000000" w:sz="4" w:space="0"/>
            </w:tcBorders>
            <w:tcW w:w="3266"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储存方式2-6度冷藏，保质期≥10天，原味植物乳杆菌风味发酵乳，无添加，严禁临期。</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41"/>
              <w:ind w:firstLine="480"/>
              <w:rPr>
                <w:rFonts w:ascii="宋体" w:hAnsi="宋体" w:cs="仿宋"/>
                <w:sz w:val="24"/>
                <w:szCs w:val="24"/>
              </w:rPr>
            </w:pPr>
            <w:r>
              <w:rPr>
                <w:rFonts w:hint="eastAsia" w:ascii="宋体" w:hAnsi="宋体"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低脂无糖酸奶</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100g*8盒/板 </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板</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300</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光明或不低于该档次</w:t>
            </w:r>
            <w:r/>
          </w:p>
        </w:tc>
        <w:tc>
          <w:tcPr>
            <w:tcBorders>
              <w:top w:val="single" w:color="000000" w:sz="4" w:space="0"/>
              <w:left w:val="none" w:color="000000" w:sz="4" w:space="0"/>
              <w:bottom w:val="single" w:color="000000" w:sz="4" w:space="0"/>
              <w:right w:val="single" w:color="000000" w:sz="4" w:space="0"/>
            </w:tcBorders>
            <w:tcW w:w="3266"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储存方式2-6度冷藏，保质期≥18天，益生菌风味发酵乳，产品标准号：GB19302，严禁临期。</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41"/>
              <w:ind w:firstLine="480"/>
              <w:rPr>
                <w:rFonts w:ascii="宋体" w:hAnsi="宋体" w:cs="仿宋"/>
                <w:sz w:val="24"/>
                <w:szCs w:val="24"/>
              </w:rPr>
            </w:pPr>
            <w:r>
              <w:rPr>
                <w:rFonts w:hint="eastAsia" w:ascii="宋体" w:hAnsi="宋体"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风味酸牛奶</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980g</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盒</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50</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光明或不低于该档次</w:t>
            </w:r>
            <w:r/>
          </w:p>
        </w:tc>
        <w:tc>
          <w:tcPr>
            <w:tcBorders>
              <w:top w:val="single" w:color="000000" w:sz="4" w:space="0"/>
              <w:left w:val="none" w:color="000000" w:sz="4" w:space="0"/>
              <w:bottom w:val="single" w:color="000000" w:sz="4" w:space="0"/>
              <w:right w:val="single" w:color="000000" w:sz="4" w:space="0"/>
            </w:tcBorders>
            <w:tcW w:w="3266"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储存方式2-6度冷藏，保质期：14天，产品为益生菌风味原味发酵乳酸菌低温酸牛奶产品标准号：GB19302，严禁临期。</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41"/>
              <w:ind w:firstLine="480"/>
              <w:rPr>
                <w:rFonts w:ascii="宋体" w:hAnsi="宋体" w:cs="仿宋"/>
                <w:sz w:val="24"/>
                <w:szCs w:val="24"/>
              </w:rPr>
            </w:pPr>
            <w:r>
              <w:rPr>
                <w:rFonts w:hint="eastAsia" w:ascii="宋体" w:hAnsi="宋体"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盒装酸奶（1） </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100g*8盒/板 </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板</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50</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光明或不低于该档次</w:t>
            </w:r>
            <w:r/>
          </w:p>
        </w:tc>
        <w:tc>
          <w:tcPr>
            <w:tcBorders>
              <w:top w:val="single" w:color="000000" w:sz="4" w:space="0"/>
              <w:left w:val="none" w:color="000000" w:sz="4" w:space="0"/>
              <w:bottom w:val="single" w:color="000000" w:sz="4" w:space="0"/>
              <w:right w:val="single" w:color="000000" w:sz="4" w:space="0"/>
            </w:tcBorders>
            <w:tcW w:w="3266"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储存方式2-6度冷藏，保质期：18天，产品为超高温灭菌乳，配料为生牛乳，产品标准号为：GB19302，非脂乳固体≥8.1%，每100ml含优质乳蛋白≥3.2克严禁临期。</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41"/>
              <w:ind w:firstLine="480"/>
              <w:rPr>
                <w:rFonts w:ascii="宋体" w:hAnsi="宋体" w:cs="仿宋"/>
                <w:sz w:val="24"/>
                <w:szCs w:val="24"/>
              </w:rPr>
            </w:pPr>
            <w:r>
              <w:rPr>
                <w:rFonts w:hint="eastAsia" w:ascii="宋体" w:hAnsi="宋体"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纯牛奶 （2）</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250g*12盒/箱</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箱</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30</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sz w:val="24"/>
                <w:szCs w:val="24"/>
              </w:rPr>
            </w:pPr>
            <w:r>
              <w:rPr>
                <w:rFonts w:hint="eastAsia" w:ascii="宋体" w:hAnsi="宋体" w:cs="仿宋"/>
                <w:sz w:val="24"/>
                <w:szCs w:val="24"/>
              </w:rPr>
              <w:t xml:space="preserve">特仑苏或不低于该档次</w:t>
            </w:r>
            <w:r/>
          </w:p>
        </w:tc>
        <w:tc>
          <w:tcPr>
            <w:tcBorders>
              <w:top w:val="single" w:color="000000" w:sz="4" w:space="0"/>
              <w:left w:val="none" w:color="000000" w:sz="4" w:space="0"/>
              <w:bottom w:val="single" w:color="000000" w:sz="4" w:space="0"/>
              <w:right w:val="single" w:color="000000" w:sz="4" w:space="0"/>
            </w:tcBorders>
            <w:tcW w:w="3266" w:type="dxa"/>
            <w:vAlign w:val="center"/>
            <w:textDirection w:val="lrTb"/>
            <w:noWrap w:val="false"/>
          </w:tcPr>
          <w:p>
            <w:pPr>
              <w:jc w:val="left"/>
              <w:widowControl/>
              <w:rPr>
                <w:rFonts w:ascii="宋体" w:hAnsi="宋体" w:cs="仿宋"/>
                <w:color w:val="000000"/>
                <w:sz w:val="24"/>
                <w:szCs w:val="24"/>
              </w:rPr>
            </w:pPr>
            <w:r>
              <w:rPr>
                <w:rFonts w:hint="eastAsia" w:ascii="宋体" w:hAnsi="宋体" w:cs="仿宋"/>
                <w:sz w:val="24"/>
                <w:szCs w:val="24"/>
              </w:rPr>
              <w:t xml:space="preserve">储存方法:常温密闭保存，保质期：6个月，配料：生牛乳，保加利亚乳杆菌，嗜热链球菌，包装完整无破损。</w:t>
            </w:r>
            <w:r>
              <w:rPr>
                <w:rFonts w:hint="eastAsia" w:ascii="宋体" w:hAnsi="宋体" w:cs="仿宋"/>
                <w:color w:val="000000"/>
                <w:sz w:val="24"/>
                <w:szCs w:val="24"/>
              </w:rPr>
              <w:t xml:space="preserve">严禁临期。</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741"/>
              <w:ind w:firstLine="480"/>
              <w:rPr>
                <w:rFonts w:ascii="宋体" w:hAnsi="宋体" w:cs="仿宋"/>
                <w:sz w:val="24"/>
                <w:szCs w:val="24"/>
              </w:rPr>
            </w:pPr>
            <w:r>
              <w:rPr>
                <w:rFonts w:hint="eastAsia" w:ascii="宋体" w:hAnsi="宋体"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纯牛奶 （3）</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250ml/盒</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盒</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400</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sz w:val="24"/>
                <w:szCs w:val="24"/>
              </w:rPr>
            </w:pPr>
            <w:r>
              <w:rPr>
                <w:rFonts w:hint="eastAsia" w:ascii="宋体" w:hAnsi="宋体" w:cs="仿宋"/>
                <w:sz w:val="24"/>
                <w:szCs w:val="24"/>
              </w:rPr>
              <w:t xml:space="preserve">伊利或不低于该档次</w:t>
            </w:r>
            <w:r/>
          </w:p>
        </w:tc>
        <w:tc>
          <w:tcPr>
            <w:tcBorders>
              <w:top w:val="single" w:color="000000" w:sz="4" w:space="0"/>
              <w:left w:val="none" w:color="000000" w:sz="4" w:space="0"/>
              <w:bottom w:val="single" w:color="000000" w:sz="4" w:space="0"/>
              <w:right w:val="single" w:color="000000" w:sz="4" w:space="0"/>
            </w:tcBorders>
            <w:tcW w:w="3266" w:type="dxa"/>
            <w:vAlign w:val="center"/>
            <w:textDirection w:val="lrTb"/>
            <w:noWrap w:val="false"/>
          </w:tcPr>
          <w:p>
            <w:pPr>
              <w:jc w:val="left"/>
              <w:widowControl/>
              <w:rPr>
                <w:rFonts w:ascii="宋体" w:hAnsi="宋体" w:cs="仿宋"/>
                <w:color w:val="000000"/>
                <w:sz w:val="24"/>
                <w:szCs w:val="24"/>
              </w:rPr>
            </w:pPr>
            <w:r>
              <w:rPr>
                <w:rFonts w:hint="eastAsia" w:ascii="宋体" w:hAnsi="宋体" w:cs="仿宋"/>
                <w:sz w:val="24"/>
                <w:szCs w:val="24"/>
              </w:rPr>
              <w:t xml:space="preserve">储存方法:常温密闭保存，保质期：6个月，产品为超高温灭菌乳，配料为生牛乳，产品标准号：GB19646，包装完整无破损。</w:t>
            </w:r>
            <w:r>
              <w:rPr>
                <w:rFonts w:hint="eastAsia" w:ascii="宋体" w:hAnsi="宋体" w:cs="仿宋"/>
                <w:color w:val="000000"/>
                <w:sz w:val="24"/>
                <w:szCs w:val="24"/>
              </w:rPr>
              <w:t xml:space="preserve">严禁临期。</w:t>
            </w:r>
            <w:r/>
          </w:p>
        </w:tc>
      </w:tr>
    </w:tbl>
    <w:p>
      <w:pPr>
        <w:jc w:val="center"/>
        <w:spacing w:line="440" w:lineRule="exact"/>
        <w:widowControl/>
        <w:rPr>
          <w:rFonts w:ascii="宋体" w:hAnsi="宋体" w:cs="仿宋"/>
          <w:b/>
          <w:bCs/>
          <w:sz w:val="24"/>
          <w:szCs w:val="24"/>
        </w:rPr>
      </w:pPr>
      <w:r>
        <w:rPr>
          <w:rFonts w:ascii="宋体" w:hAnsi="宋体" w:cs="仿宋"/>
          <w:b/>
          <w:bCs/>
          <w:sz w:val="24"/>
          <w:szCs w:val="24"/>
        </w:rPr>
      </w:r>
      <w:r/>
    </w:p>
    <w:p>
      <w:pPr>
        <w:jc w:val="center"/>
        <w:spacing w:line="440" w:lineRule="exact"/>
        <w:widowControl/>
        <w:rPr>
          <w:rFonts w:ascii="宋体" w:hAnsi="宋体" w:cs="仿宋"/>
          <w:b/>
          <w:bCs/>
          <w:color w:val="ff0000"/>
          <w:sz w:val="24"/>
          <w:szCs w:val="24"/>
        </w:rPr>
      </w:pPr>
      <w:r>
        <w:rPr>
          <w:rFonts w:hint="eastAsia" w:ascii="宋体" w:hAnsi="宋体" w:cs="仿宋"/>
          <w:b/>
          <w:bCs/>
          <w:sz w:val="24"/>
          <w:szCs w:val="24"/>
        </w:rPr>
        <w:t xml:space="preserve">饮料类（包含但不限于）</w:t>
      </w:r>
      <w:r/>
    </w:p>
    <w:tbl>
      <w:tblPr>
        <w:tblStyle w:val="721"/>
        <w:tblW w:w="9585" w:type="dxa"/>
        <w:tblInd w:w="-426" w:type="dxa"/>
        <w:tblLayout w:type="fixed"/>
        <w:tblCellMar>
          <w:left w:w="108" w:type="dxa"/>
          <w:top w:w="0" w:type="dxa"/>
          <w:right w:w="108" w:type="dxa"/>
          <w:bottom w:w="0" w:type="dxa"/>
        </w:tblCellMar>
        <w:tblLook w:val="04A0" w:firstRow="1" w:lastRow="0" w:firstColumn="1" w:lastColumn="0" w:noHBand="0" w:noVBand="1"/>
      </w:tblPr>
      <w:tblGrid>
        <w:gridCol w:w="618"/>
        <w:gridCol w:w="1116"/>
        <w:gridCol w:w="1334"/>
        <w:gridCol w:w="1020"/>
        <w:gridCol w:w="1120"/>
        <w:gridCol w:w="1120"/>
        <w:gridCol w:w="3257"/>
      </w:tblGrid>
      <w:tr>
        <w:trPr>
          <w:trHeight w:val="7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品名</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规格</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参考品牌</w:t>
            </w:r>
            <w:r/>
          </w:p>
        </w:tc>
        <w:tc>
          <w:tcPr>
            <w:tcBorders>
              <w:top w:val="single" w:color="000000" w:sz="4" w:space="0"/>
              <w:left w:val="none" w:color="000000" w:sz="4" w:space="0"/>
              <w:bottom w:val="single" w:color="000000" w:sz="4" w:space="0"/>
              <w:right w:val="single" w:color="000000" w:sz="4" w:space="0"/>
            </w:tcBorders>
            <w:tcW w:w="3257"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要求</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生榨椰子汁</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仿宋"/>
                <w:b/>
                <w:bCs/>
                <w:sz w:val="24"/>
                <w:szCs w:val="24"/>
                <w:lang w:eastAsia="zh-CN"/>
              </w:rPr>
            </w:pPr>
            <w:r>
              <w:rPr>
                <w:rFonts w:hint="eastAsia" w:ascii="宋体" w:hAnsi="宋体" w:cs="仿宋"/>
                <w:sz w:val="24"/>
                <w:szCs w:val="24"/>
              </w:rPr>
              <w:t xml:space="preserve">1.25</w:t>
            </w:r>
            <w:r>
              <w:rPr>
                <w:rFonts w:hint="eastAsia" w:ascii="宋体" w:hAnsi="宋体" w:cs="仿宋"/>
                <w:sz w:val="24"/>
                <w:szCs w:val="24"/>
                <w:lang w:eastAsia="zh-CN"/>
              </w:rPr>
              <w:t xml:space="preserve">kg</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瓶</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80</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特种兵或不低于该档次</w:t>
            </w:r>
            <w:r/>
          </w:p>
        </w:tc>
        <w:tc>
          <w:tcPr>
            <w:tcBorders>
              <w:top w:val="single" w:color="000000" w:sz="4" w:space="0"/>
              <w:left w:val="none" w:color="000000" w:sz="4" w:space="0"/>
              <w:bottom w:val="single" w:color="000000" w:sz="4" w:space="0"/>
              <w:right w:val="single" w:color="000000" w:sz="4" w:space="0"/>
            </w:tcBorders>
            <w:tcW w:w="3257"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产品标准号：QB/T2300无变质，配料：水，鲜椰肉汁，白砂糖，无破损，包装完整</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碳酸饮料1</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1250ml </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瓶</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168</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可口可乐或不低于该档次</w:t>
            </w:r>
            <w:r/>
          </w:p>
        </w:tc>
        <w:tc>
          <w:tcPr>
            <w:tcBorders>
              <w:top w:val="single" w:color="000000" w:sz="4" w:space="0"/>
              <w:left w:val="none" w:color="000000" w:sz="4" w:space="0"/>
              <w:bottom w:val="single" w:color="000000" w:sz="4" w:space="0"/>
              <w:right w:val="single" w:color="000000" w:sz="4" w:space="0"/>
            </w:tcBorders>
            <w:tcW w:w="3257"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配料：水，果葡糖浆，白砂糖，食品添加剂（二氧化碳，焦糖色，白砂糖，磷酸咖啡因），食用香精，无变质，无破损，包装完整</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碳酸饮料2</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1250ml </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瓶</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100</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雪碧或不低于该档次</w:t>
            </w:r>
            <w:r/>
          </w:p>
        </w:tc>
        <w:tc>
          <w:tcPr>
            <w:tcBorders>
              <w:top w:val="single" w:color="000000" w:sz="4" w:space="0"/>
              <w:left w:val="none" w:color="000000" w:sz="4" w:space="0"/>
              <w:bottom w:val="single" w:color="000000" w:sz="4" w:space="0"/>
              <w:right w:val="single" w:color="000000" w:sz="4" w:space="0"/>
            </w:tcBorders>
            <w:tcW w:w="3257"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配料：水，果葡糖浆，白砂糖，食品添加剂（二氧化碳，柠檬酸，柠檬酸钠，苯甲酸钠），食用香精，无变质，无破损，包装完整</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橙汁 </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1L</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盒</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36</w:t>
            </w:r>
            <w:r/>
          </w:p>
        </w:tc>
        <w:tc>
          <w:tcPr>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left"/>
              <w:widowControl/>
              <w:rPr>
                <w:rFonts w:ascii="宋体" w:hAnsi="宋体" w:cs="仿宋"/>
                <w:sz w:val="24"/>
                <w:szCs w:val="24"/>
              </w:rPr>
            </w:pPr>
            <w:r>
              <w:rPr>
                <w:rFonts w:hint="eastAsia" w:ascii="宋体" w:hAnsi="宋体" w:cs="仿宋"/>
                <w:sz w:val="24"/>
                <w:szCs w:val="24"/>
              </w:rPr>
              <w:t xml:space="preserve">汇源或不低于该档次</w:t>
            </w:r>
            <w:r/>
          </w:p>
        </w:tc>
        <w:tc>
          <w:tcPr>
            <w:tcBorders>
              <w:top w:val="single" w:color="000000" w:sz="4" w:space="0"/>
              <w:left w:val="none" w:color="000000" w:sz="4" w:space="0"/>
              <w:bottom w:val="single" w:color="000000" w:sz="4" w:space="0"/>
              <w:right w:val="single" w:color="000000" w:sz="4" w:space="0"/>
            </w:tcBorders>
            <w:tcW w:w="3257" w:type="dxa"/>
            <w:vAlign w:val="center"/>
            <w:textDirection w:val="lrTb"/>
            <w:noWrap w:val="false"/>
          </w:tcPr>
          <w:p>
            <w:pPr>
              <w:jc w:val="left"/>
              <w:widowControl/>
              <w:rPr>
                <w:rFonts w:ascii="宋体" w:hAnsi="宋体" w:cs="仿宋"/>
                <w:color w:val="000000"/>
                <w:sz w:val="24"/>
                <w:szCs w:val="24"/>
              </w:rPr>
            </w:pPr>
            <w:r>
              <w:rPr>
                <w:rFonts w:hint="eastAsia" w:ascii="宋体" w:hAnsi="宋体" w:cs="仿宋"/>
                <w:color w:val="000000"/>
                <w:sz w:val="24"/>
                <w:szCs w:val="24"/>
              </w:rPr>
              <w:t xml:space="preserve">配料：浓缩橙汁，水，无变质，无破损，包装完整</w:t>
            </w:r>
            <w:r/>
          </w:p>
        </w:tc>
      </w:tr>
    </w:tbl>
    <w:p>
      <w:pPr>
        <w:jc w:val="center"/>
        <w:spacing w:line="360" w:lineRule="auto"/>
        <w:rPr>
          <w:rFonts w:ascii="宋体" w:hAnsi="宋体" w:cs="仿宋"/>
          <w:b/>
          <w:bCs/>
          <w:sz w:val="24"/>
          <w:szCs w:val="24"/>
        </w:rPr>
      </w:pPr>
      <w:r>
        <w:rPr>
          <w:rFonts w:ascii="宋体" w:hAnsi="宋体" w:cs="仿宋"/>
          <w:b/>
          <w:bCs/>
          <w:sz w:val="24"/>
          <w:szCs w:val="24"/>
        </w:rPr>
      </w:r>
      <w:r/>
    </w:p>
    <w:p>
      <w:pPr>
        <w:jc w:val="center"/>
        <w:spacing w:line="360" w:lineRule="auto"/>
        <w:rPr>
          <w:rFonts w:ascii="宋体" w:hAnsi="宋体" w:cs="仿宋"/>
          <w:b/>
          <w:bCs/>
          <w:sz w:val="24"/>
          <w:szCs w:val="24"/>
        </w:rPr>
      </w:pPr>
      <w:r>
        <w:rPr>
          <w:rFonts w:hint="eastAsia" w:ascii="宋体" w:hAnsi="宋体" w:cs="仿宋"/>
          <w:b/>
          <w:bCs/>
          <w:sz w:val="24"/>
          <w:szCs w:val="24"/>
        </w:rPr>
        <w:t xml:space="preserve">粮食类（包含但不限于）</w:t>
      </w:r>
      <w:r/>
    </w:p>
    <w:tbl>
      <w:tblPr>
        <w:tblStyle w:val="721"/>
        <w:tblW w:w="9606" w:type="dxa"/>
        <w:tblInd w:w="-426" w:type="dxa"/>
        <w:tblLayout w:type="fixed"/>
        <w:tblCellMar>
          <w:left w:w="108" w:type="dxa"/>
          <w:top w:w="0" w:type="dxa"/>
          <w:right w:w="108" w:type="dxa"/>
          <w:bottom w:w="0" w:type="dxa"/>
        </w:tblCellMar>
        <w:tblLook w:val="04A0" w:firstRow="1" w:lastRow="0" w:firstColumn="1" w:lastColumn="0" w:noHBand="0" w:noVBand="1"/>
      </w:tblPr>
      <w:tblGrid>
        <w:gridCol w:w="618"/>
        <w:gridCol w:w="1476"/>
        <w:gridCol w:w="1275"/>
        <w:gridCol w:w="2145"/>
        <w:gridCol w:w="4092"/>
      </w:tblGrid>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品名</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计价单位</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规格</w:t>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参考品牌</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大米</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包</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　</w:t>
            </w:r>
            <w:r>
              <w:rPr>
                <w:rFonts w:hint="eastAsia" w:ascii="宋体" w:hAnsi="宋体" w:cs="仿宋"/>
                <w:bCs/>
                <w:sz w:val="24"/>
                <w:szCs w:val="24"/>
              </w:rPr>
              <w:t xml:space="preserve">50斤/包</w:t>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一级粳米，符合GB1354-2009具有QS食品质量安全认证</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糯米 </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斤</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　　</w:t>
            </w:r>
            <w:r>
              <w:rPr>
                <w:rFonts w:hint="eastAsia" w:ascii="宋体" w:hAnsi="宋体" w:cs="仿宋"/>
                <w:bCs/>
                <w:sz w:val="24"/>
                <w:szCs w:val="24"/>
              </w:rPr>
              <w:t xml:space="preserve">50斤/包</w:t>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jc w:val="left"/>
              <w:widowControl/>
              <w:rPr>
                <w:rFonts w:ascii="宋体" w:hAnsi="宋体" w:cs="仿宋"/>
                <w:sz w:val="24"/>
                <w:szCs w:val="24"/>
              </w:rPr>
            </w:pPr>
            <w:r>
              <w:rPr>
                <w:rFonts w:hint="eastAsia" w:ascii="宋体" w:hAnsi="宋体" w:cs="仿宋"/>
                <w:sz w:val="24"/>
                <w:szCs w:val="24"/>
              </w:rPr>
              <w:t xml:space="preserve">江苏、一级，无受潮，无发霉，无变质，包装完好</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小米 </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斤　</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left"/>
              <w:widowControl/>
              <w:rPr>
                <w:rFonts w:ascii="宋体" w:hAnsi="宋体" w:cs="仿宋"/>
                <w:b/>
                <w:bCs/>
                <w:sz w:val="24"/>
                <w:szCs w:val="24"/>
              </w:rPr>
            </w:pPr>
            <w:r>
              <w:rPr>
                <w:rFonts w:hint="eastAsia" w:ascii="宋体" w:hAnsi="宋体" w:cs="仿宋"/>
                <w:sz w:val="24"/>
                <w:szCs w:val="24"/>
              </w:rPr>
              <w:t xml:space="preserve">　　</w:t>
            </w:r>
            <w:r>
              <w:rPr>
                <w:rFonts w:hint="eastAsia" w:ascii="宋体" w:hAnsi="宋体" w:cs="仿宋"/>
                <w:bCs/>
                <w:sz w:val="24"/>
                <w:szCs w:val="24"/>
              </w:rPr>
              <w:t xml:space="preserve">50斤/包</w:t>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jc w:val="left"/>
              <w:widowControl/>
              <w:rPr>
                <w:rFonts w:ascii="宋体" w:hAnsi="宋体" w:cs="仿宋"/>
                <w:sz w:val="24"/>
                <w:szCs w:val="24"/>
              </w:rPr>
            </w:pPr>
            <w:r>
              <w:rPr>
                <w:rFonts w:hint="eastAsia" w:ascii="宋体" w:hAnsi="宋体" w:cs="仿宋"/>
                <w:color w:val="000000"/>
                <w:sz w:val="24"/>
                <w:szCs w:val="24"/>
              </w:rPr>
              <w:t xml:space="preserve">一级，GB/T11766，无受潮，无发霉，无变质，包装完好</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馒头面粉</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包</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　</w:t>
            </w:r>
            <w:r>
              <w:rPr>
                <w:rFonts w:hint="eastAsia" w:ascii="宋体" w:hAnsi="宋体" w:cs="仿宋"/>
                <w:bCs/>
                <w:sz w:val="24"/>
                <w:szCs w:val="24"/>
              </w:rPr>
              <w:t xml:space="preserve">50斤/包</w:t>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pStyle w:val="741"/>
              <w:ind w:left="0" w:firstLine="0"/>
              <w:jc w:val="left"/>
              <w:rPr>
                <w:rFonts w:ascii="宋体" w:hAnsi="宋体" w:cs="仿宋"/>
                <w:sz w:val="24"/>
                <w:szCs w:val="24"/>
              </w:rPr>
            </w:pPr>
            <w:r>
              <w:rPr>
                <w:rFonts w:hint="eastAsia" w:ascii="宋体" w:hAnsi="宋体" w:cs="仿宋"/>
                <w:color w:val="000000"/>
                <w:sz w:val="24"/>
                <w:szCs w:val="24"/>
              </w:rPr>
              <w:t xml:space="preserve">国家GB1355-1986小麦粉特制一等或雪霞牌或不低于同等档次。</w:t>
            </w:r>
            <w:r/>
          </w:p>
        </w:tc>
      </w:tr>
      <w:tr>
        <w:trPr>
          <w:trHeight w:val="115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面包粉</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包</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center"/>
              <w:widowControl/>
              <w:rPr>
                <w:rFonts w:ascii="宋体" w:hAnsi="宋体" w:cs="仿宋"/>
                <w:b/>
                <w:bCs/>
                <w:sz w:val="24"/>
                <w:szCs w:val="24"/>
              </w:rPr>
            </w:pPr>
            <w:r>
              <w:rPr>
                <w:rFonts w:hint="eastAsia" w:ascii="宋体" w:hAnsi="宋体" w:cs="仿宋"/>
                <w:color w:val="000000"/>
                <w:sz w:val="24"/>
                <w:szCs w:val="24"/>
              </w:rPr>
              <w:t xml:space="preserve">布袋22.7</w:t>
            </w:r>
            <w:r>
              <w:rPr>
                <w:rFonts w:hint="eastAsia" w:ascii="宋体" w:hAnsi="宋体" w:cs="仿宋"/>
                <w:color w:val="000000"/>
                <w:sz w:val="24"/>
                <w:szCs w:val="24"/>
                <w:lang w:eastAsia="zh-CN"/>
              </w:rPr>
              <w:t xml:space="preserve">kg</w:t>
            </w:r>
            <w:r>
              <w:rPr>
                <w:rFonts w:hint="eastAsia" w:ascii="宋体" w:hAnsi="宋体" w:cs="仿宋"/>
                <w:color w:val="000000"/>
                <w:sz w:val="24"/>
                <w:szCs w:val="24"/>
              </w:rPr>
              <w:t xml:space="preserve">/袋</w:t>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jc w:val="left"/>
              <w:widowControl/>
              <w:rPr>
                <w:rFonts w:ascii="宋体" w:hAnsi="宋体" w:cs="仿宋"/>
                <w:sz w:val="24"/>
                <w:szCs w:val="24"/>
              </w:rPr>
            </w:pPr>
            <w:r>
              <w:rPr>
                <w:rFonts w:ascii="宋体" w:hAnsi="宋体" w:cs="仿宋"/>
                <w:sz w:val="24"/>
                <w:szCs w:val="24"/>
              </w:rPr>
            </w:r>
            <w:r/>
          </w:p>
          <w:p>
            <w:pPr>
              <w:pStyle w:val="741"/>
              <w:ind w:left="0" w:firstLine="0"/>
              <w:jc w:val="left"/>
              <w:rPr>
                <w:rFonts w:ascii="宋体" w:hAnsi="宋体" w:cs="仿宋"/>
                <w:sz w:val="24"/>
                <w:szCs w:val="24"/>
              </w:rPr>
            </w:pPr>
            <w:r>
              <w:rPr>
                <w:rFonts w:hint="eastAsia" w:ascii="宋体" w:hAnsi="宋体" w:cs="仿宋"/>
                <w:color w:val="000000"/>
                <w:sz w:val="24"/>
                <w:szCs w:val="24"/>
              </w:rPr>
              <w:t xml:space="preserve">参考品牌金像/五得利/三星或不低于同等档次</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油条粉</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包</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center"/>
              <w:widowControl/>
              <w:rPr>
                <w:rFonts w:ascii="宋体" w:hAnsi="宋体" w:cs="仿宋"/>
                <w:b/>
                <w:bCs/>
                <w:sz w:val="24"/>
                <w:szCs w:val="24"/>
              </w:rPr>
            </w:pPr>
            <w:r>
              <w:rPr>
                <w:rFonts w:hint="eastAsia" w:ascii="宋体" w:hAnsi="宋体" w:cs="仿宋"/>
                <w:sz w:val="24"/>
                <w:szCs w:val="24"/>
              </w:rPr>
              <w:t xml:space="preserve">　</w:t>
            </w:r>
            <w:r>
              <w:rPr>
                <w:rFonts w:hint="eastAsia" w:ascii="宋体" w:hAnsi="宋体" w:cs="仿宋"/>
                <w:bCs/>
                <w:sz w:val="24"/>
                <w:szCs w:val="24"/>
              </w:rPr>
              <w:t xml:space="preserve">50斤/包</w:t>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pStyle w:val="741"/>
              <w:ind w:left="0" w:firstLine="0"/>
              <w:jc w:val="left"/>
              <w:rPr>
                <w:rFonts w:ascii="宋体" w:hAnsi="宋体" w:cs="仿宋"/>
                <w:sz w:val="24"/>
                <w:szCs w:val="24"/>
              </w:rPr>
            </w:pPr>
            <w:r>
              <w:rPr>
                <w:rFonts w:hint="eastAsia" w:ascii="宋体" w:hAnsi="宋体" w:cs="仿宋"/>
                <w:color w:val="000000"/>
                <w:sz w:val="24"/>
                <w:szCs w:val="24"/>
              </w:rPr>
              <w:t xml:space="preserve">参考品牌五得利/三星或不低于同等档次</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绿豆</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sz w:val="24"/>
                <w:szCs w:val="24"/>
              </w:rPr>
            </w:pPr>
            <w:r>
              <w:rPr>
                <w:rFonts w:hint="eastAsia" w:ascii="宋体" w:hAnsi="宋体" w:cs="仿宋"/>
                <w:b/>
                <w:bCs/>
                <w:sz w:val="24"/>
                <w:szCs w:val="24"/>
              </w:rPr>
              <w:t xml:space="preserve">斤</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center"/>
              <w:widowControl/>
              <w:rPr>
                <w:rFonts w:ascii="宋体" w:hAnsi="宋体" w:cs="仿宋"/>
                <w:b/>
                <w:bCs/>
                <w:sz w:val="24"/>
                <w:szCs w:val="24"/>
              </w:rPr>
            </w:pPr>
            <w:r>
              <w:rPr>
                <w:rFonts w:ascii="宋体" w:hAnsi="宋体" w:cs="仿宋"/>
                <w:b/>
                <w:bCs/>
                <w:sz w:val="24"/>
                <w:szCs w:val="24"/>
              </w:rPr>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jc w:val="left"/>
              <w:widowControl/>
              <w:rPr>
                <w:rFonts w:ascii="宋体" w:hAnsi="宋体" w:cs="仿宋"/>
                <w:sz w:val="24"/>
                <w:szCs w:val="24"/>
              </w:rPr>
            </w:pPr>
            <w:r>
              <w:rPr>
                <w:rFonts w:hint="eastAsia" w:ascii="宋体" w:hAnsi="宋体" w:cs="仿宋"/>
                <w:sz w:val="24"/>
                <w:szCs w:val="24"/>
              </w:rPr>
              <w:t xml:space="preserve">一级，无受潮，无发霉，无变质，包装完好</w:t>
            </w:r>
            <w:r/>
          </w:p>
        </w:tc>
      </w:tr>
      <w:tr>
        <w:trPr>
          <w:trHeight w:val="93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ascii="宋体" w:hAnsi="宋体" w:cs="仿宋"/>
                <w:color w:val="000000"/>
                <w:sz w:val="24"/>
                <w:szCs w:val="24"/>
              </w:rPr>
            </w:pPr>
            <w:r>
              <w:rPr>
                <w:rFonts w:hint="eastAsia" w:ascii="宋体" w:hAnsi="宋体" w:cs="仿宋"/>
                <w:color w:val="000000"/>
                <w:sz w:val="24"/>
                <w:szCs w:val="24"/>
              </w:rPr>
              <w:t xml:space="preserve">8</w:t>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jc w:val="center"/>
              <w:widowControl/>
              <w:rPr>
                <w:rFonts w:ascii="宋体" w:hAnsi="宋体" w:cs="仿宋"/>
                <w:color w:val="000000"/>
                <w:sz w:val="24"/>
                <w:szCs w:val="24"/>
              </w:rPr>
            </w:pPr>
            <w:r>
              <w:rPr>
                <w:rFonts w:hint="eastAsia" w:ascii="宋体" w:hAnsi="宋体" w:cs="仿宋"/>
                <w:color w:val="000000"/>
                <w:sz w:val="24"/>
                <w:szCs w:val="24"/>
              </w:rPr>
              <w:t xml:space="preserve">黄豆</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仿宋"/>
                <w:b/>
                <w:bCs/>
                <w:color w:val="000000"/>
                <w:sz w:val="24"/>
                <w:szCs w:val="24"/>
              </w:rPr>
            </w:pPr>
            <w:r>
              <w:rPr>
                <w:rFonts w:hint="eastAsia" w:ascii="宋体" w:hAnsi="宋体" w:cs="仿宋"/>
                <w:b/>
                <w:bCs/>
                <w:color w:val="000000"/>
                <w:sz w:val="24"/>
                <w:szCs w:val="24"/>
              </w:rPr>
              <w:t xml:space="preserve">斤</w:t>
            </w:r>
            <w:r/>
          </w:p>
        </w:tc>
        <w:tc>
          <w:tcPr>
            <w:tcBorders>
              <w:top w:val="single" w:color="000000" w:sz="4" w:space="0"/>
              <w:left w:val="none" w:color="000000" w:sz="4" w:space="0"/>
              <w:bottom w:val="single" w:color="000000" w:sz="4" w:space="0"/>
              <w:right w:val="single" w:color="000000" w:sz="4" w:space="0"/>
            </w:tcBorders>
            <w:tcW w:w="2145" w:type="dxa"/>
            <w:vAlign w:val="center"/>
            <w:textDirection w:val="lrTb"/>
            <w:noWrap w:val="false"/>
          </w:tcPr>
          <w:p>
            <w:pPr>
              <w:jc w:val="center"/>
              <w:widowControl/>
              <w:rPr>
                <w:rFonts w:ascii="宋体" w:hAnsi="宋体" w:cs="仿宋"/>
                <w:b/>
                <w:bCs/>
                <w:color w:val="000000"/>
                <w:sz w:val="24"/>
                <w:szCs w:val="24"/>
              </w:rPr>
            </w:pPr>
            <w:r>
              <w:rPr>
                <w:rFonts w:hint="eastAsia" w:ascii="宋体" w:hAnsi="宋体" w:cs="仿宋"/>
                <w:b/>
                <w:bCs/>
                <w:color w:val="000000"/>
                <w:sz w:val="24"/>
                <w:szCs w:val="24"/>
              </w:rPr>
              <w:t xml:space="preserve">斤</w:t>
            </w:r>
            <w:r/>
          </w:p>
        </w:tc>
        <w:tc>
          <w:tcPr>
            <w:tcBorders>
              <w:top w:val="single" w:color="000000" w:sz="4" w:space="0"/>
              <w:left w:val="none" w:color="000000" w:sz="4" w:space="0"/>
              <w:bottom w:val="single" w:color="000000" w:sz="4" w:space="0"/>
              <w:right w:val="single" w:color="000000" w:sz="4" w:space="0"/>
            </w:tcBorders>
            <w:tcW w:w="4092" w:type="dxa"/>
            <w:vAlign w:val="center"/>
            <w:textDirection w:val="lrTb"/>
            <w:noWrap w:val="false"/>
          </w:tcPr>
          <w:p>
            <w:pPr>
              <w:jc w:val="left"/>
              <w:widowControl/>
              <w:rPr>
                <w:rFonts w:ascii="宋体" w:hAnsi="宋体" w:cs="仿宋"/>
                <w:color w:val="000000"/>
                <w:sz w:val="24"/>
                <w:szCs w:val="24"/>
              </w:rPr>
            </w:pPr>
            <w:r>
              <w:rPr>
                <w:rFonts w:hint="eastAsia" w:ascii="宋体" w:hAnsi="宋体" w:cs="仿宋"/>
                <w:color w:val="000000"/>
                <w:sz w:val="24"/>
                <w:szCs w:val="24"/>
              </w:rPr>
              <w:t xml:space="preserve">一级，无受潮，无发霉，无变质，包装完好</w:t>
            </w:r>
            <w:r/>
          </w:p>
        </w:tc>
      </w:tr>
    </w:tbl>
    <w:p>
      <w:pPr>
        <w:pStyle w:val="722"/>
        <w:ind w:firstLine="480"/>
        <w:spacing w:line="360" w:lineRule="auto"/>
        <w:rPr>
          <w:rFonts w:ascii="宋体" w:hAnsi="宋体" w:eastAsia="宋体" w:cs="仿宋"/>
          <w:sz w:val="24"/>
          <w:szCs w:val="24"/>
          <w:lang w:bidi="mn-Mong-CN"/>
        </w:rPr>
      </w:pPr>
      <w:r>
        <w:rPr>
          <w:rFonts w:ascii="宋体" w:hAnsi="宋体" w:eastAsia="宋体" w:cs="仿宋"/>
          <w:sz w:val="24"/>
          <w:szCs w:val="24"/>
          <w:lang w:bidi="mn-Mong-CN"/>
        </w:rPr>
      </w:r>
      <w:r/>
    </w:p>
    <w:p>
      <w:pPr>
        <w:jc w:val="left"/>
        <w:spacing w:line="360" w:lineRule="exact"/>
        <w:rPr>
          <w:rFonts w:ascii="宋体" w:hAnsi="宋体" w:cs="仿宋"/>
          <w:b/>
          <w:bCs/>
          <w:color w:val="000000"/>
          <w:sz w:val="24"/>
          <w:szCs w:val="24"/>
        </w:rPr>
      </w:pPr>
      <w:r>
        <w:rPr>
          <w:rFonts w:hint="eastAsia" w:ascii="宋体" w:hAnsi="宋体" w:cs="仿宋"/>
          <w:b/>
          <w:bCs/>
          <w:color w:val="000000"/>
          <w:sz w:val="24"/>
          <w:szCs w:val="24"/>
        </w:rPr>
        <w:t xml:space="preserve">（3）水产品（含冷冻品）、食用油、调料等。</w:t>
      </w:r>
      <w:r/>
    </w:p>
    <w:p>
      <w:pPr>
        <w:ind w:firstLine="482"/>
        <w:spacing w:line="360" w:lineRule="auto"/>
        <w:widowControl/>
        <w:rPr>
          <w:rFonts w:ascii="宋体" w:hAnsi="宋体" w:cs="仿宋"/>
          <w:b/>
          <w:bCs/>
          <w:color w:val="000000"/>
          <w:sz w:val="24"/>
          <w:szCs w:val="24"/>
        </w:rPr>
      </w:pPr>
      <w:r>
        <w:rPr>
          <w:rFonts w:ascii="宋体" w:hAnsi="宋体" w:cs="仿宋"/>
          <w:b/>
          <w:bCs/>
          <w:color w:val="000000"/>
          <w:sz w:val="24"/>
          <w:szCs w:val="24"/>
        </w:rPr>
      </w:r>
      <w:r/>
    </w:p>
    <w:p>
      <w:pPr>
        <w:jc w:val="center"/>
        <w:spacing w:line="360" w:lineRule="auto"/>
        <w:rPr>
          <w:rFonts w:ascii="宋体" w:hAnsi="宋体" w:cs="仿宋"/>
          <w:b/>
          <w:bCs/>
          <w:sz w:val="24"/>
          <w:szCs w:val="24"/>
        </w:rPr>
      </w:pPr>
      <w:r>
        <w:rPr>
          <w:rFonts w:hint="eastAsia" w:ascii="宋体" w:hAnsi="宋体" w:cs="仿宋"/>
          <w:b/>
          <w:bCs/>
          <w:sz w:val="24"/>
          <w:szCs w:val="24"/>
        </w:rPr>
        <w:t xml:space="preserve">水产类（包含但不限于）</w:t>
      </w:r>
      <w:r/>
    </w:p>
    <w:tbl>
      <w:tblPr>
        <w:tblStyle w:val="721"/>
        <w:tblW w:w="9297" w:type="dxa"/>
        <w:tblInd w:w="-459" w:type="dxa"/>
        <w:tblLayout w:type="fixed"/>
        <w:tblCellMar>
          <w:left w:w="108" w:type="dxa"/>
          <w:top w:w="0" w:type="dxa"/>
          <w:right w:w="108" w:type="dxa"/>
          <w:bottom w:w="0" w:type="dxa"/>
        </w:tblCellMar>
        <w:tblLook w:val="04A0" w:firstRow="1" w:lastRow="0" w:firstColumn="1" w:lastColumn="0" w:noHBand="0" w:noVBand="1"/>
      </w:tblPr>
      <w:tblGrid>
        <w:gridCol w:w="1264"/>
        <w:gridCol w:w="860"/>
        <w:gridCol w:w="1278"/>
        <w:gridCol w:w="2222"/>
        <w:gridCol w:w="1300"/>
        <w:gridCol w:w="2373"/>
      </w:tblGrid>
      <w:tr>
        <w:trPr>
          <w:trHeight w:val="1050"/>
        </w:trPr>
        <w:tc>
          <w:tcPr>
            <w:tcBorders>
              <w:top w:val="single" w:color="000000" w:sz="8" w:space="0"/>
              <w:left w:val="single" w:color="000000" w:sz="8" w:space="0"/>
              <w:bottom w:val="none" w:color="000000" w:sz="4" w:space="0"/>
              <w:right w:val="single" w:color="000000" w:sz="8" w:space="0"/>
            </w:tcBorders>
            <w:tcW w:w="1264" w:type="dxa"/>
            <w:vAlign w:val="center"/>
            <w:vMerge w:val="restart"/>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水产品</w:t>
            </w:r>
            <w:r/>
          </w:p>
        </w:tc>
        <w:tc>
          <w:tcPr>
            <w:tcBorders>
              <w:top w:val="single" w:color="000000" w:sz="8" w:space="0"/>
              <w:left w:val="single" w:color="000000" w:sz="8"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品名</w:t>
            </w:r>
            <w:r/>
          </w:p>
        </w:tc>
        <w:tc>
          <w:tcPr>
            <w:tcBorders>
              <w:top w:val="single" w:color="000000" w:sz="8" w:space="0"/>
              <w:left w:val="single" w:color="000000" w:sz="8"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规格</w:t>
            </w:r>
            <w:r/>
          </w:p>
        </w:tc>
        <w:tc>
          <w:tcPr>
            <w:tcBorders>
              <w:top w:val="single" w:color="000000" w:sz="8"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单位</w:t>
            </w:r>
            <w:r/>
          </w:p>
        </w:tc>
        <w:tc>
          <w:tcPr>
            <w:tcBorders>
              <w:top w:val="single" w:color="000000" w:sz="8" w:space="0"/>
              <w:left w:val="single" w:color="000000" w:sz="8" w:space="0"/>
              <w:bottom w:val="single" w:color="000000" w:sz="8" w:space="0"/>
              <w:right w:val="single" w:color="000000" w:sz="8" w:space="0"/>
            </w:tcBorders>
            <w:tcW w:w="2373" w:type="dxa"/>
            <w:vAlign w:val="center"/>
            <w:textDirection w:val="lrTb"/>
            <w:noWrap w:val="false"/>
          </w:tcPr>
          <w:p>
            <w:pPr>
              <w:jc w:val="center"/>
              <w:spacing w:line="360" w:lineRule="auto"/>
              <w:widowControl/>
              <w:rPr>
                <w:rFonts w:ascii="宋体" w:hAnsi="宋体" w:cs="仿宋"/>
                <w:b/>
                <w:bCs/>
                <w:sz w:val="24"/>
                <w:szCs w:val="24"/>
              </w:rPr>
            </w:pPr>
            <w:r>
              <w:rPr>
                <w:rFonts w:hint="eastAsia" w:ascii="宋体" w:hAnsi="宋体" w:cs="仿宋"/>
                <w:b/>
                <w:bCs/>
                <w:sz w:val="24"/>
                <w:szCs w:val="24"/>
              </w:rPr>
              <w:t xml:space="preserve">要求</w:t>
            </w:r>
            <w:r/>
          </w:p>
        </w:tc>
      </w:tr>
      <w:tr>
        <w:trPr>
          <w:trHeight w:val="52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小鲫鱼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0.5斤-0.6斤/条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鲜活、加冰、充氧</w:t>
            </w:r>
            <w:r/>
          </w:p>
        </w:tc>
      </w:tr>
      <w:tr>
        <w:trPr>
          <w:trHeight w:val="52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大鲫鱼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0.7斤-0.8斤/条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鲜活、加冰、充氧</w:t>
            </w:r>
            <w:r/>
          </w:p>
        </w:tc>
      </w:tr>
      <w:tr>
        <w:trPr>
          <w:trHeight w:val="52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草鱼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7斤/条以上</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鲜活、加冰、充氧</w:t>
            </w:r>
            <w:r/>
          </w:p>
        </w:tc>
      </w:tr>
      <w:tr>
        <w:trPr>
          <w:trHeight w:val="52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4</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鳊鱼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1斤-1.2斤/条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鲜活、加冰、充氧</w:t>
            </w:r>
            <w:r/>
          </w:p>
        </w:tc>
      </w:tr>
      <w:tr>
        <w:trPr>
          <w:trHeight w:val="52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小鲈鱼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1斤-1.2斤/条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52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6</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大鲈鱼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1.5斤/条以上</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52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7</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银鱼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5CM /条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52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8</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甲鱼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1斤-1.5斤/只</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9</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黑鱼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0.8斤-1.2斤/条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480"/>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10</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中白鱼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11</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大白鱼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1.5斤/条以上</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12</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鳜鱼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1.5斤-2斤/条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13</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翁公鱼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0.25斤/条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14</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花鲢</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5斤/条左右</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15</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白鲢</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3斤/条左右</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16</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大河虾</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5CM/只 以上</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17</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中河虾</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3--4CM/只 </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18</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大</w:t>
            </w:r>
            <w:r>
              <w:rPr>
                <w:rFonts w:hint="eastAsia" w:ascii="宋体" w:hAnsi="宋体" w:cs="仿宋"/>
                <w:sz w:val="24"/>
                <w:szCs w:val="24"/>
                <w:lang w:eastAsia="zh-CN"/>
              </w:rPr>
              <w:t xml:space="preserve">基围虾</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30-40只/斤</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19</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中</w:t>
            </w:r>
            <w:r>
              <w:rPr>
                <w:rFonts w:hint="eastAsia" w:ascii="宋体" w:hAnsi="宋体" w:cs="仿宋"/>
                <w:sz w:val="24"/>
                <w:szCs w:val="24"/>
                <w:lang w:eastAsia="zh-CN"/>
              </w:rPr>
              <w:t xml:space="preserve">基围虾</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50-60只/斤</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20</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台湾草虾</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10-15只/斤</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21</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牛蛙</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0.6-0.8斤/只</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22</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黄鳝</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1斤(4-5条)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23</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带鱼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0.5-0.6斤/条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r>
        <w:trPr>
          <w:trHeight w:val="285"/>
        </w:trPr>
        <w:tc>
          <w:tcPr>
            <w:tcBorders>
              <w:top w:val="single" w:color="000000" w:sz="8" w:space="0"/>
              <w:left w:val="single" w:color="000000" w:sz="8" w:space="0"/>
              <w:bottom w:val="none" w:color="000000" w:sz="4" w:space="0"/>
              <w:right w:val="single" w:color="000000" w:sz="8" w:space="0"/>
            </w:tcBorders>
            <w:tcW w:w="1264" w:type="dxa"/>
            <w:vAlign w:val="center"/>
            <w:vMerge w:val="continue"/>
            <w:textDirection w:val="lrTb"/>
            <w:noWrap w:val="false"/>
          </w:tcPr>
          <w:p>
            <w:pPr>
              <w:jc w:val="left"/>
              <w:spacing w:line="360" w:lineRule="auto"/>
              <w:widowControl/>
              <w:rPr>
                <w:rFonts w:ascii="宋体" w:hAnsi="宋体" w:cs="仿宋"/>
                <w:b/>
                <w:bCs/>
                <w:sz w:val="24"/>
                <w:szCs w:val="24"/>
              </w:rPr>
            </w:pPr>
            <w:r>
              <w:rPr>
                <w:rFonts w:ascii="宋体" w:hAnsi="宋体" w:cs="仿宋"/>
                <w:b/>
                <w:bCs/>
                <w:sz w:val="24"/>
                <w:szCs w:val="24"/>
              </w:rPr>
            </w:r>
            <w:r/>
          </w:p>
        </w:tc>
        <w:tc>
          <w:tcPr>
            <w:tcBorders>
              <w:top w:val="none" w:color="000000" w:sz="4" w:space="0"/>
              <w:left w:val="none" w:color="000000" w:sz="4" w:space="0"/>
              <w:bottom w:val="single" w:color="000000" w:sz="8" w:space="0"/>
              <w:right w:val="single" w:color="000000" w:sz="8" w:space="0"/>
            </w:tcBorders>
            <w:tcW w:w="86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24</w:t>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小黄鱼</w:t>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0.3-0.4斤/条</w:t>
            </w:r>
            <w:r/>
          </w:p>
        </w:tc>
        <w:tc>
          <w:tcPr>
            <w:tcBorders>
              <w:top w:val="none" w:color="000000" w:sz="4" w:space="0"/>
              <w:left w:val="none" w:color="000000" w:sz="4" w:space="0"/>
              <w:bottom w:val="single" w:color="000000" w:sz="8" w:space="0"/>
              <w:right w:val="single" w:color="000000" w:sz="8" w:space="0"/>
            </w:tcBorders>
            <w:tcW w:w="1300" w:type="dxa"/>
            <w:vAlign w:val="center"/>
            <w:textDirection w:val="lrTb"/>
            <w:noWrap w:val="false"/>
          </w:tcPr>
          <w:p>
            <w:pPr>
              <w:jc w:val="center"/>
              <w:spacing w:line="360" w:lineRule="auto"/>
              <w:widowControl/>
              <w:rPr>
                <w:rFonts w:ascii="宋体" w:hAnsi="宋体" w:cs="仿宋"/>
                <w:sz w:val="24"/>
                <w:szCs w:val="24"/>
              </w:rPr>
            </w:pPr>
            <w:r>
              <w:rPr>
                <w:rFonts w:hint="eastAsia" w:ascii="宋体" w:hAnsi="宋体" w:cs="仿宋"/>
                <w:sz w:val="24"/>
                <w:szCs w:val="24"/>
              </w:rPr>
              <w:t xml:space="preserve">1斤</w:t>
            </w:r>
            <w:r/>
          </w:p>
        </w:tc>
        <w:tc>
          <w:tcPr>
            <w:tcBorders>
              <w:top w:val="none" w:color="000000" w:sz="4" w:space="0"/>
              <w:left w:val="none" w:color="000000" w:sz="4" w:space="0"/>
              <w:bottom w:val="single" w:color="000000" w:sz="8" w:space="0"/>
              <w:right w:val="single" w:color="000000" w:sz="8" w:space="0"/>
            </w:tcBorders>
            <w:tcW w:w="2373" w:type="dxa"/>
            <w:textDirection w:val="lrTb"/>
            <w:noWrap w:val="false"/>
          </w:tcPr>
          <w:p>
            <w:pPr>
              <w:rPr>
                <w:sz w:val="24"/>
                <w:szCs w:val="24"/>
              </w:rPr>
            </w:pPr>
            <w:r>
              <w:rPr>
                <w:rFonts w:hint="eastAsia" w:ascii="宋体" w:hAnsi="宋体" w:cs="仿宋"/>
                <w:sz w:val="24"/>
                <w:szCs w:val="24"/>
              </w:rPr>
              <w:t xml:space="preserve">鲜活、加冰、充氧</w:t>
            </w:r>
            <w:r/>
          </w:p>
        </w:tc>
      </w:tr>
    </w:tbl>
    <w:p>
      <w:pPr>
        <w:spacing w:line="360" w:lineRule="auto"/>
        <w:rPr>
          <w:rFonts w:ascii="宋体" w:hAnsi="宋体" w:cs="仿宋"/>
          <w:sz w:val="24"/>
          <w:szCs w:val="24"/>
        </w:rPr>
      </w:pPr>
      <w:r>
        <w:rPr>
          <w:rFonts w:hint="eastAsia" w:ascii="宋体" w:hAnsi="宋体" w:cs="仿宋"/>
          <w:sz w:val="24"/>
          <w:szCs w:val="24"/>
        </w:rPr>
        <w:t xml:space="preserve">                  </w:t>
      </w:r>
      <w:r/>
    </w:p>
    <w:p>
      <w:pPr>
        <w:jc w:val="center"/>
        <w:spacing w:line="360" w:lineRule="auto"/>
        <w:rPr>
          <w:rFonts w:ascii="宋体" w:hAnsi="宋体" w:cs="仿宋"/>
          <w:b/>
          <w:bCs/>
          <w:sz w:val="24"/>
          <w:szCs w:val="24"/>
        </w:rPr>
      </w:pPr>
      <w:r>
        <w:rPr>
          <w:rFonts w:hint="eastAsia" w:ascii="宋体" w:hAnsi="宋体" w:cs="仿宋"/>
          <w:b/>
          <w:bCs/>
          <w:sz w:val="24"/>
          <w:szCs w:val="24"/>
        </w:rPr>
        <w:t xml:space="preserve">南北货类（包含但不限于）</w:t>
      </w:r>
      <w:r/>
    </w:p>
    <w:tbl>
      <w:tblPr>
        <w:tblStyle w:val="721"/>
        <w:tblW w:w="88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3304"/>
        <w:gridCol w:w="3855"/>
      </w:tblGrid>
      <w:tr>
        <w:trPr>
          <w:trHeight w:val="493"/>
        </w:trPr>
        <w:tc>
          <w:tcPr>
            <w:tcW w:w="1704" w:type="dxa"/>
            <w:textDirection w:val="lrTb"/>
            <w:noWrap w:val="false"/>
          </w:tcPr>
          <w:p>
            <w:pPr>
              <w:jc w:val="center"/>
              <w:spacing w:line="360" w:lineRule="auto"/>
              <w:rPr>
                <w:rFonts w:ascii="宋体" w:hAnsi="宋体" w:cs="仿宋"/>
                <w:b/>
                <w:bCs/>
                <w:sz w:val="24"/>
                <w:szCs w:val="24"/>
              </w:rPr>
            </w:pPr>
            <w:r>
              <w:rPr>
                <w:rFonts w:hint="eastAsia" w:ascii="宋体" w:hAnsi="宋体" w:cs="仿宋"/>
                <w:b/>
                <w:bCs/>
                <w:sz w:val="24"/>
                <w:szCs w:val="24"/>
              </w:rPr>
              <w:t xml:space="preserve">序号</w:t>
            </w:r>
            <w:r/>
          </w:p>
        </w:tc>
        <w:tc>
          <w:tcPr>
            <w:tcW w:w="3304" w:type="dxa"/>
            <w:textDirection w:val="lrTb"/>
            <w:noWrap w:val="false"/>
          </w:tcPr>
          <w:p>
            <w:pPr>
              <w:jc w:val="center"/>
              <w:spacing w:line="360" w:lineRule="auto"/>
              <w:rPr>
                <w:rFonts w:ascii="宋体" w:hAnsi="宋体" w:cs="仿宋"/>
                <w:b/>
                <w:bCs/>
                <w:sz w:val="24"/>
                <w:szCs w:val="24"/>
              </w:rPr>
            </w:pPr>
            <w:r>
              <w:rPr>
                <w:rFonts w:hint="eastAsia" w:ascii="宋体" w:hAnsi="宋体" w:cs="仿宋"/>
                <w:b/>
                <w:bCs/>
                <w:sz w:val="24"/>
                <w:szCs w:val="24"/>
              </w:rPr>
              <w:t xml:space="preserve">品名</w:t>
            </w:r>
            <w:r/>
          </w:p>
        </w:tc>
        <w:tc>
          <w:tcPr>
            <w:tcW w:w="3855" w:type="dxa"/>
            <w:textDirection w:val="lrTb"/>
            <w:noWrap w:val="false"/>
          </w:tcPr>
          <w:p>
            <w:pPr>
              <w:jc w:val="center"/>
              <w:spacing w:line="360" w:lineRule="auto"/>
              <w:rPr>
                <w:rFonts w:ascii="宋体" w:hAnsi="宋体" w:cs="仿宋"/>
                <w:b/>
                <w:bCs/>
                <w:sz w:val="24"/>
                <w:szCs w:val="24"/>
              </w:rPr>
            </w:pPr>
            <w:r>
              <w:rPr>
                <w:rFonts w:hint="eastAsia" w:ascii="宋体" w:hAnsi="宋体" w:cs="仿宋"/>
                <w:b/>
                <w:bCs/>
                <w:sz w:val="24"/>
                <w:szCs w:val="24"/>
              </w:rPr>
              <w:t xml:space="preserve">单位</w:t>
            </w:r>
            <w:r/>
          </w:p>
        </w:tc>
      </w:tr>
      <w:tr>
        <w:trPr>
          <w:trHeight w:val="518"/>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香菇</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250G/包</w:t>
            </w:r>
            <w:r/>
          </w:p>
        </w:tc>
      </w:tr>
      <w:tr>
        <w:trPr>
          <w:trHeight w:val="518"/>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2</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黑木耳</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250G/包</w:t>
            </w:r>
            <w:r/>
          </w:p>
        </w:tc>
      </w:tr>
      <w:tr>
        <w:trPr>
          <w:trHeight w:val="493"/>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3</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抹茶粉</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500G/包</w:t>
            </w:r>
            <w:r/>
          </w:p>
        </w:tc>
      </w:tr>
      <w:tr>
        <w:trPr>
          <w:trHeight w:val="518"/>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4</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蜜蜜红豆</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500G/袋</w:t>
            </w:r>
            <w:r/>
          </w:p>
        </w:tc>
      </w:tr>
      <w:tr>
        <w:trPr>
          <w:trHeight w:val="518"/>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5</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梅干菜</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250G/包</w:t>
            </w:r>
            <w:r/>
          </w:p>
        </w:tc>
      </w:tr>
      <w:tr>
        <w:trPr>
          <w:trHeight w:val="518"/>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6</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豆沙</w:t>
            </w:r>
            <w:r/>
          </w:p>
        </w:tc>
        <w:tc>
          <w:tcPr>
            <w:tcW w:w="3855" w:type="dxa"/>
            <w:textDirection w:val="lrTb"/>
            <w:noWrap w:val="false"/>
          </w:tcPr>
          <w:p>
            <w:pPr>
              <w:jc w:val="center"/>
              <w:spacing w:line="360" w:lineRule="auto"/>
              <w:rPr>
                <w:rFonts w:hint="eastAsia" w:ascii="宋体" w:hAnsi="宋体" w:eastAsia="宋体" w:cs="仿宋"/>
                <w:sz w:val="24"/>
                <w:szCs w:val="24"/>
                <w:lang w:eastAsia="zh-CN"/>
              </w:rPr>
            </w:pPr>
            <w:r>
              <w:rPr>
                <w:rFonts w:hint="eastAsia" w:ascii="宋体" w:hAnsi="宋体" w:cs="仿宋"/>
                <w:sz w:val="24"/>
                <w:szCs w:val="24"/>
              </w:rPr>
              <w:t xml:space="preserve">2</w:t>
            </w:r>
            <w:r>
              <w:rPr>
                <w:rFonts w:hint="eastAsia" w:ascii="宋体" w:hAnsi="宋体" w:cs="仿宋"/>
                <w:sz w:val="24"/>
                <w:szCs w:val="24"/>
                <w:lang w:eastAsia="zh-CN"/>
              </w:rPr>
              <w:t xml:space="preserve">kg</w:t>
            </w:r>
            <w:r/>
          </w:p>
        </w:tc>
      </w:tr>
      <w:tr>
        <w:trPr>
          <w:trHeight w:val="518"/>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7</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燕麦片</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斤</w:t>
            </w:r>
            <w:r/>
          </w:p>
        </w:tc>
      </w:tr>
      <w:tr>
        <w:trPr>
          <w:trHeight w:val="518"/>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8</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花生</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斤</w:t>
            </w:r>
            <w:r/>
          </w:p>
        </w:tc>
      </w:tr>
      <w:tr>
        <w:trPr>
          <w:trHeight w:val="518"/>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9</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红豆</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斤</w:t>
            </w:r>
            <w:r/>
          </w:p>
        </w:tc>
      </w:tr>
      <w:tr>
        <w:trPr>
          <w:trHeight w:val="493"/>
        </w:trPr>
        <w:tc>
          <w:tcPr>
            <w:tcW w:w="17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10</w:t>
            </w:r>
            <w:r/>
          </w:p>
        </w:tc>
        <w:tc>
          <w:tcPr>
            <w:tcW w:w="3304"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黑米粉</w:t>
            </w:r>
            <w:r/>
          </w:p>
        </w:tc>
        <w:tc>
          <w:tcPr>
            <w:tcW w:w="385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斤</w:t>
            </w:r>
            <w:r/>
          </w:p>
        </w:tc>
      </w:tr>
    </w:tbl>
    <w:p>
      <w:pPr>
        <w:spacing w:line="360" w:lineRule="auto"/>
        <w:rPr>
          <w:rFonts w:ascii="宋体" w:hAnsi="宋体" w:cs="仿宋"/>
          <w:b/>
          <w:bCs/>
          <w:sz w:val="24"/>
          <w:szCs w:val="24"/>
        </w:rPr>
      </w:pPr>
      <w:r>
        <w:rPr>
          <w:rFonts w:hint="eastAsia" w:ascii="宋体" w:hAnsi="宋体" w:cs="仿宋"/>
          <w:sz w:val="24"/>
          <w:szCs w:val="24"/>
        </w:rPr>
        <w:t xml:space="preserve">                     </w:t>
      </w:r>
      <w:r>
        <w:rPr>
          <w:rFonts w:hint="eastAsia" w:ascii="宋体" w:hAnsi="宋体" w:cs="仿宋"/>
          <w:b/>
          <w:bCs/>
          <w:sz w:val="24"/>
          <w:szCs w:val="24"/>
        </w:rPr>
        <w:t xml:space="preserve"> </w:t>
      </w:r>
      <w:r/>
    </w:p>
    <w:p>
      <w:pPr>
        <w:jc w:val="center"/>
        <w:spacing w:line="360" w:lineRule="auto"/>
        <w:rPr>
          <w:rFonts w:ascii="宋体" w:hAnsi="宋体" w:cs="仿宋"/>
          <w:b/>
          <w:bCs/>
          <w:sz w:val="24"/>
          <w:szCs w:val="24"/>
        </w:rPr>
      </w:pPr>
      <w:r>
        <w:rPr>
          <w:rFonts w:hint="eastAsia" w:ascii="宋体" w:hAnsi="宋体" w:cs="仿宋"/>
          <w:b/>
          <w:bCs/>
          <w:sz w:val="24"/>
          <w:szCs w:val="24"/>
        </w:rPr>
        <w:t xml:space="preserve">调味品（包含但不限于）</w:t>
      </w:r>
      <w:r/>
    </w:p>
    <w:tbl>
      <w:tblPr>
        <w:tblStyle w:val="721"/>
        <w:tblW w:w="8931" w:type="dxa"/>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1941"/>
        <w:gridCol w:w="1800"/>
        <w:gridCol w:w="3495"/>
      </w:tblGrid>
      <w:tr>
        <w:trPr>
          <w:trHeight w:val="503"/>
        </w:trPr>
        <w:tc>
          <w:tcPr>
            <w:tcW w:w="1695" w:type="dxa"/>
            <w:textDirection w:val="lrTb"/>
            <w:noWrap w:val="false"/>
          </w:tcPr>
          <w:p>
            <w:pPr>
              <w:jc w:val="center"/>
              <w:spacing w:line="360" w:lineRule="auto"/>
              <w:rPr>
                <w:rFonts w:ascii="宋体" w:hAnsi="宋体" w:cs="仿宋"/>
                <w:b/>
                <w:bCs/>
                <w:sz w:val="24"/>
                <w:szCs w:val="24"/>
              </w:rPr>
            </w:pPr>
            <w:r>
              <w:rPr>
                <w:rFonts w:hint="eastAsia" w:ascii="宋体" w:hAnsi="宋体" w:cs="仿宋"/>
                <w:b/>
                <w:bCs/>
                <w:sz w:val="24"/>
                <w:szCs w:val="24"/>
              </w:rPr>
              <w:t xml:space="preserve">序号</w:t>
            </w:r>
            <w:r/>
          </w:p>
        </w:tc>
        <w:tc>
          <w:tcPr>
            <w:tcW w:w="1941" w:type="dxa"/>
            <w:textDirection w:val="lrTb"/>
            <w:noWrap w:val="false"/>
          </w:tcPr>
          <w:p>
            <w:pPr>
              <w:spacing w:line="360" w:lineRule="auto"/>
              <w:rPr>
                <w:rFonts w:ascii="宋体" w:hAnsi="宋体" w:cs="仿宋"/>
                <w:b/>
                <w:bCs/>
                <w:sz w:val="24"/>
                <w:szCs w:val="24"/>
              </w:rPr>
            </w:pPr>
            <w:r>
              <w:rPr>
                <w:rFonts w:hint="eastAsia" w:ascii="宋体" w:hAnsi="宋体" w:cs="仿宋"/>
                <w:b/>
                <w:bCs/>
                <w:sz w:val="24"/>
                <w:szCs w:val="24"/>
              </w:rPr>
              <w:t xml:space="preserve">品名</w:t>
            </w:r>
            <w:r/>
          </w:p>
        </w:tc>
        <w:tc>
          <w:tcPr>
            <w:tcW w:w="1800" w:type="dxa"/>
            <w:textDirection w:val="lrTb"/>
            <w:noWrap w:val="false"/>
          </w:tcPr>
          <w:p>
            <w:pPr>
              <w:spacing w:line="360" w:lineRule="auto"/>
              <w:rPr>
                <w:rFonts w:ascii="宋体" w:hAnsi="宋体" w:cs="仿宋"/>
                <w:b/>
                <w:bCs/>
                <w:sz w:val="24"/>
                <w:szCs w:val="24"/>
              </w:rPr>
            </w:pPr>
            <w:r>
              <w:rPr>
                <w:rFonts w:hint="eastAsia" w:ascii="宋体" w:hAnsi="宋体" w:cs="仿宋"/>
                <w:b/>
                <w:bCs/>
                <w:sz w:val="24"/>
                <w:szCs w:val="24"/>
              </w:rPr>
              <w:t xml:space="preserve">单位</w:t>
            </w:r>
            <w:r/>
          </w:p>
        </w:tc>
        <w:tc>
          <w:tcPr>
            <w:tcW w:w="3495" w:type="dxa"/>
            <w:textDirection w:val="lrTb"/>
            <w:noWrap w:val="false"/>
          </w:tcPr>
          <w:p>
            <w:pPr>
              <w:spacing w:line="360" w:lineRule="auto"/>
              <w:rPr>
                <w:rFonts w:ascii="宋体" w:hAnsi="宋体" w:cs="仿宋"/>
                <w:b/>
                <w:bCs/>
                <w:sz w:val="24"/>
                <w:szCs w:val="24"/>
              </w:rPr>
            </w:pPr>
            <w:r>
              <w:rPr>
                <w:rFonts w:hint="eastAsia" w:ascii="宋体" w:hAnsi="宋体" w:cs="仿宋"/>
                <w:b/>
                <w:bCs/>
                <w:sz w:val="24"/>
                <w:szCs w:val="24"/>
              </w:rPr>
              <w:t xml:space="preserve">要求</w:t>
            </w:r>
            <w:r/>
          </w:p>
        </w:tc>
      </w:tr>
      <w:tr>
        <w:trPr>
          <w:trHeight w:val="503"/>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食盐</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250g/包</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503"/>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2</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绵白糖</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50</w:t>
            </w:r>
            <w:r>
              <w:rPr>
                <w:rFonts w:hint="eastAsia" w:ascii="宋体" w:hAnsi="宋体" w:cs="仿宋"/>
                <w:sz w:val="24"/>
                <w:szCs w:val="24"/>
                <w:lang w:eastAsia="zh-CN"/>
              </w:rPr>
              <w:t xml:space="preserve">kg</w:t>
            </w:r>
            <w:r>
              <w:rPr>
                <w:rFonts w:hint="eastAsia" w:ascii="宋体" w:hAnsi="宋体" w:cs="仿宋"/>
                <w:sz w:val="24"/>
                <w:szCs w:val="24"/>
              </w:rPr>
              <w:t xml:space="preserve">/包</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479"/>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3</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老抽</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350ml/包</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479"/>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4</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生抽</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1.9L/瓶</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503"/>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5</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料酒</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490ml/包</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479"/>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6</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陈醋</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500ml/瓶</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479"/>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7</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鸡精</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2.5</w:t>
            </w:r>
            <w:r>
              <w:rPr>
                <w:rFonts w:hint="eastAsia" w:ascii="宋体" w:hAnsi="宋体" w:cs="仿宋"/>
                <w:sz w:val="24"/>
                <w:szCs w:val="24"/>
                <w:lang w:eastAsia="zh-CN"/>
              </w:rPr>
              <w:t xml:space="preserve">kg</w:t>
            </w:r>
            <w:r>
              <w:rPr>
                <w:rFonts w:hint="eastAsia" w:ascii="宋体" w:hAnsi="宋体" w:cs="仿宋"/>
                <w:sz w:val="24"/>
                <w:szCs w:val="24"/>
              </w:rPr>
              <w:t xml:space="preserve">/包</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479"/>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8</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味精</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1000g/包</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479"/>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9</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麻油</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450ml/瓶</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503"/>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10</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蒸鱼豉油</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1.75L/瓶</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503"/>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11</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蚝油</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700ml/瓶</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479"/>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12</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白醋</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500ml/瓶</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r>
        <w:trPr>
          <w:trHeight w:val="479"/>
        </w:trPr>
        <w:tc>
          <w:tcPr>
            <w:tcW w:w="1695"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13</w:t>
            </w:r>
            <w:r/>
          </w:p>
        </w:tc>
        <w:tc>
          <w:tcPr>
            <w:tcW w:w="1941" w:type="dxa"/>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食用油</w:t>
            </w:r>
            <w:r/>
          </w:p>
        </w:tc>
        <w:tc>
          <w:tcPr>
            <w:tcW w:w="1800"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5升/桶</w:t>
            </w:r>
            <w:r/>
          </w:p>
        </w:tc>
        <w:tc>
          <w:tcPr>
            <w:tcW w:w="3495" w:type="dxa"/>
            <w:textDirection w:val="lrTb"/>
            <w:noWrap w:val="false"/>
          </w:tcPr>
          <w:p>
            <w:pPr>
              <w:spacing w:line="360" w:lineRule="auto"/>
              <w:rPr>
                <w:rFonts w:ascii="宋体" w:hAnsi="宋体" w:cs="仿宋"/>
                <w:sz w:val="24"/>
                <w:szCs w:val="24"/>
              </w:rPr>
            </w:pPr>
            <w:r>
              <w:rPr>
                <w:rFonts w:hint="eastAsia" w:ascii="宋体" w:hAnsi="宋体" w:cs="仿宋"/>
                <w:sz w:val="24"/>
                <w:szCs w:val="24"/>
              </w:rPr>
              <w:t xml:space="preserve">整洁，无损</w:t>
            </w:r>
            <w:r/>
          </w:p>
        </w:tc>
      </w:tr>
    </w:tbl>
    <w:p>
      <w:pPr>
        <w:spacing w:line="360" w:lineRule="auto"/>
        <w:rPr>
          <w:rFonts w:ascii="宋体" w:hAnsi="宋体" w:cs="仿宋"/>
          <w:sz w:val="24"/>
          <w:szCs w:val="24"/>
        </w:rPr>
      </w:pPr>
      <w:r>
        <w:rPr>
          <w:rFonts w:hint="eastAsia" w:ascii="宋体" w:hAnsi="宋体" w:cs="仿宋"/>
          <w:b/>
          <w:bCs/>
          <w:sz w:val="24"/>
          <w:szCs w:val="24"/>
        </w:rPr>
        <w:t xml:space="preserve">* 特别说明：中标单位明确具体负责应急及零星采购食材任务人员及车辆，采购清单为全食材的采购。（此项作为符合性要求，须提供人员有效期内的健康证、近3个月（不含投标当月）中任意一个月社保、劳动合同及公司车辆购置证明或租赁协议</w:t>
      </w:r>
      <w:r>
        <w:rPr>
          <w:rFonts w:hint="eastAsia" w:ascii="宋体" w:hAnsi="宋体" w:cs="仿宋"/>
          <w:sz w:val="24"/>
          <w:szCs w:val="24"/>
        </w:rPr>
        <w:t xml:space="preserve">）。</w:t>
      </w:r>
      <w:r/>
    </w:p>
    <w:p>
      <w:pPr>
        <w:ind w:firstLine="482"/>
        <w:spacing w:line="360" w:lineRule="auto"/>
        <w:widowControl/>
        <w:rPr>
          <w:rFonts w:ascii="宋体" w:hAnsi="宋体" w:cs="仿宋"/>
          <w:b/>
          <w:bCs/>
          <w:color w:val="000000"/>
          <w:sz w:val="24"/>
          <w:szCs w:val="24"/>
        </w:rPr>
      </w:pPr>
      <w:r>
        <w:rPr>
          <w:rFonts w:hint="eastAsia" w:ascii="宋体" w:hAnsi="宋体" w:cs="仿宋"/>
          <w:b/>
          <w:bCs/>
          <w:color w:val="000000"/>
          <w:sz w:val="24"/>
          <w:szCs w:val="24"/>
        </w:rPr>
        <w:t xml:space="preserve">7、订、送货时间：</w:t>
      </w:r>
      <w:r/>
    </w:p>
    <w:p>
      <w:pPr>
        <w:ind w:firstLine="480"/>
        <w:jc w:val="left"/>
        <w:spacing w:line="360" w:lineRule="auto"/>
        <w:rPr>
          <w:rFonts w:ascii="宋体" w:hAnsi="宋体" w:cs="仿宋"/>
          <w:color w:val="000000"/>
          <w:sz w:val="24"/>
          <w:szCs w:val="24"/>
        </w:rPr>
      </w:pPr>
      <w:r>
        <w:rPr>
          <w:rFonts w:hint="eastAsia" w:ascii="宋体" w:hAnsi="宋体" w:cs="仿宋"/>
          <w:color w:val="000000"/>
          <w:sz w:val="24"/>
          <w:szCs w:val="24"/>
        </w:rPr>
        <w:t xml:space="preserve">采购方在供应日前一天15时之前，通过微信或电话形式向中标单位</w:t>
      </w:r>
      <w:r>
        <w:rPr>
          <w:rFonts w:hint="eastAsia" w:ascii="宋体" w:hAnsi="宋体" w:cs="仿宋"/>
          <w:color w:val="000000"/>
          <w:sz w:val="24"/>
          <w:szCs w:val="24"/>
          <w:lang w:eastAsia="zh-CN"/>
        </w:rPr>
        <w:t xml:space="preserve">预订</w:t>
      </w:r>
      <w:r>
        <w:rPr>
          <w:rFonts w:hint="eastAsia" w:ascii="宋体" w:hAnsi="宋体" w:cs="仿宋"/>
          <w:color w:val="000000"/>
          <w:sz w:val="24"/>
          <w:szCs w:val="24"/>
        </w:rPr>
        <w:t xml:space="preserve">第二天所需的品种、规格、数量等订货信息。如采购方需改变订单内容，须在当天19时前向中标单位提出（特殊情况除外）。中标单位在每日7时将货物免费送到采购方指定位置，如遇特殊不可抗拒因素中标单位需提前与采购方沟通并提供备用方案，确保不影响采购方的日常开餐。</w:t>
      </w:r>
      <w:r/>
    </w:p>
    <w:p>
      <w:pPr>
        <w:ind w:firstLine="482"/>
        <w:spacing w:line="360" w:lineRule="auto"/>
        <w:widowControl/>
        <w:rPr>
          <w:rFonts w:ascii="宋体" w:hAnsi="宋体" w:cs="仿宋"/>
          <w:b/>
          <w:bCs/>
          <w:color w:val="000000"/>
          <w:sz w:val="24"/>
          <w:szCs w:val="24"/>
        </w:rPr>
      </w:pPr>
      <w:r>
        <w:rPr>
          <w:rFonts w:hint="eastAsia" w:ascii="宋体" w:hAnsi="宋体" w:cs="仿宋"/>
          <w:b/>
          <w:bCs/>
          <w:color w:val="000000"/>
          <w:sz w:val="24"/>
          <w:szCs w:val="24"/>
        </w:rPr>
        <w:t xml:space="preserve">8、验货要求：</w:t>
      </w:r>
      <w:r>
        <w:rPr>
          <w:rFonts w:hint="eastAsia" w:ascii="宋体" w:hAnsi="宋体" w:cs="仿宋"/>
          <w:color w:val="000000"/>
          <w:sz w:val="24"/>
          <w:szCs w:val="24"/>
        </w:rPr>
        <w:t xml:space="preserve">供应商所供产品须附产品合格证明，采购方收到货物后由采购方验货人员现场对所供商品的品种、数量、质量、规格当场进行初步验收，并以实际验货数量、重量为准，双方在送货清单签字后各持一份，月底作为结账凭证。如遇市场缺货，中标单位无法提供采购方要求的商品，经采购方同意后，中标单位可以更换类似商品，未经采购方允许不得更换。</w:t>
      </w:r>
      <w:r/>
    </w:p>
    <w:p>
      <w:pPr>
        <w:ind w:firstLine="482"/>
        <w:spacing w:line="360" w:lineRule="auto"/>
        <w:widowControl/>
        <w:rPr>
          <w:rFonts w:ascii="宋体" w:hAnsi="宋体" w:cs="仿宋"/>
          <w:b/>
          <w:bCs/>
          <w:color w:val="000000"/>
          <w:sz w:val="24"/>
          <w:szCs w:val="24"/>
        </w:rPr>
      </w:pPr>
      <w:r>
        <w:rPr>
          <w:rFonts w:hint="eastAsia" w:ascii="宋体" w:hAnsi="宋体" w:cs="仿宋"/>
          <w:b/>
          <w:bCs/>
          <w:color w:val="000000"/>
          <w:sz w:val="24"/>
          <w:szCs w:val="24"/>
        </w:rPr>
        <w:t xml:space="preserve">9、付款方式：双方按30天为货款结算期，结算日期为上月的26日至本月的25日，经双方核对当期清单无误后中标单位开具正规发票，采购方在收到发票后于15个工作日内，以转账的方式支付给中标单位当期所供商品全部货款（因退货、价格等问题造成的发票调整导致汇款不及时由中标方承担）。</w:t>
      </w:r>
      <w:r/>
    </w:p>
    <w:p>
      <w:pPr>
        <w:ind w:firstLine="482"/>
        <w:spacing w:line="360" w:lineRule="auto"/>
        <w:widowControl/>
        <w:rPr>
          <w:rFonts w:ascii="宋体" w:hAnsi="宋体" w:cs="仿宋"/>
          <w:color w:val="000000"/>
          <w:sz w:val="24"/>
          <w:szCs w:val="24"/>
        </w:rPr>
      </w:pPr>
      <w:r>
        <w:rPr>
          <w:rFonts w:hint="eastAsia" w:ascii="宋体" w:hAnsi="宋体" w:cs="仿宋"/>
          <w:b/>
          <w:bCs/>
          <w:color w:val="000000"/>
          <w:sz w:val="24"/>
          <w:szCs w:val="24"/>
        </w:rPr>
        <w:t xml:space="preserve">根据苏财购〔2020〕52号《关于做好政府采购支持企业发展有关事项的通知》的精神，合同中约定</w:t>
      </w:r>
      <w:r>
        <w:rPr>
          <w:rFonts w:hint="eastAsia" w:ascii="宋体" w:hAnsi="宋体" w:cs="仿宋"/>
          <w:b/>
          <w:bCs/>
          <w:color w:val="000000"/>
          <w:sz w:val="24"/>
          <w:szCs w:val="24"/>
        </w:rPr>
        <w:t xml:space="preserve">在财政部门审核确认后支付合同金额30%的预付款。本采购项目按照采购人主管财政部门的规定以及本采购项目供货的特殊性，付款根据财政资金的实际支付程序执行。结算采用以下方式：按无锡市发展和改革委员会官网专题专栏中民生价费近期公示价格的平均价格*投标时折扣率*实际数量进行结算，如遇网站上没有该食品，则按无锡市天惠超市的价格*投标时折扣率*实际数量结算，如遇无锡市发展和改革委员会官网及无锡市天惠超市均没有该类食品，乙方应提前通知甲方，经双方协商后进行调整确认，原则上按寻找到的其他市场价格*投标时折扣率*实际数量结算。</w:t>
      </w:r>
      <w:r/>
    </w:p>
    <w:p>
      <w:pPr>
        <w:ind w:firstLine="482"/>
        <w:spacing w:line="360" w:lineRule="auto"/>
        <w:widowControl/>
        <w:rPr>
          <w:rFonts w:ascii="宋体" w:hAnsi="宋体" w:cs="仿宋"/>
          <w:color w:val="000000"/>
          <w:sz w:val="24"/>
          <w:szCs w:val="24"/>
        </w:rPr>
      </w:pPr>
      <w:r>
        <w:rPr>
          <w:rFonts w:hint="eastAsia" w:ascii="宋体" w:hAnsi="宋体" w:cs="仿宋"/>
          <w:b/>
          <w:bCs/>
          <w:color w:val="000000"/>
          <w:sz w:val="24"/>
          <w:szCs w:val="24"/>
        </w:rPr>
        <w:t xml:space="preserve">10、质量要求</w:t>
      </w:r>
      <w:r>
        <w:rPr>
          <w:rFonts w:hint="eastAsia" w:ascii="宋体" w:hAnsi="宋体" w:cs="仿宋"/>
          <w:color w:val="000000"/>
          <w:sz w:val="24"/>
          <w:szCs w:val="24"/>
        </w:rPr>
        <w:t xml:space="preserve">：本项目需执行的国家相关标准、行业标准、地方标准或者其他标准、规范，《中华人民共和国食品安全法</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食品生产通用卫生规范</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餐饮服务食品安全操作规范</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餐饮业和集体用餐配送单位卫生规范</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国家食品卫生标准》和《动物检疫法》等其他法律法规以及江苏省和无锡市行业主管部门颁布的相关文件规定，如</w:t>
      </w:r>
      <w:r>
        <w:rPr>
          <w:rFonts w:hint="eastAsia" w:ascii="宋体" w:hAnsi="宋体" w:cs="仿宋"/>
          <w:color w:val="000000"/>
          <w:sz w:val="24"/>
          <w:szCs w:val="24"/>
          <w:lang w:eastAsia="zh-CN"/>
        </w:rPr>
        <w:t xml:space="preserve">地方性法规</w:t>
      </w:r>
      <w:r>
        <w:rPr>
          <w:rFonts w:hint="eastAsia" w:ascii="宋体" w:hAnsi="宋体" w:cs="仿宋"/>
          <w:color w:val="000000"/>
          <w:sz w:val="24"/>
          <w:szCs w:val="24"/>
        </w:rPr>
        <w:t xml:space="preserve">与国家法规相抵触，按国家法规执行。</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肉类（新鲜肉类及其冻品）：猪肉、牛肉、鲜(冻)鸡鸭、鸡副产品等必须具有《动物或动物产品分销信息凭证》、《动物检疫合格证》和《肉品品质检验合格证》。冷冻品类需有出厂日期、品质优良、包装完好、无异味、无病毒，在保质期内。配送公司须提供产品合格证明文件，动物产品提供《动物或动物产品分销信息凭证》或《动物检疫合格证》。使用冷鲜肉品牌产品，质量必须符合GB9959.1-2001标准，配送所需的生猪应由规模养殖场提供经农业部门检测、检疫合格的鲜活健康猪源，经定点屠宰厂屠宰加工并检验合格；配送工具必须符合卫生要求，不得与</w:t>
      </w:r>
      <w:r>
        <w:rPr>
          <w:rFonts w:hint="eastAsia" w:ascii="宋体" w:hAnsi="宋体" w:cs="仿宋"/>
          <w:color w:val="000000"/>
          <w:sz w:val="24"/>
          <w:szCs w:val="24"/>
          <w:lang w:eastAsia="zh-CN"/>
        </w:rPr>
        <w:t xml:space="preserve">其他货物</w:t>
      </w:r>
      <w:r>
        <w:rPr>
          <w:rFonts w:hint="eastAsia" w:ascii="宋体" w:hAnsi="宋体" w:cs="仿宋"/>
          <w:color w:val="000000"/>
          <w:sz w:val="24"/>
          <w:szCs w:val="24"/>
        </w:rPr>
        <w:t xml:space="preserve">混装，防止肉品二次污染。</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蔬菜类（非转基因、无公害蔬菜）：新鲜嫩绿、无黄叶、无菜虫，必须通过农药残留成分测试，蔬菜不带根、不带泥，符合食品卫生要求。必须符合GB18406.1-2001 农产品安全质量无公害蔬菜安全要求，对蔬菜中有害物质严格控制在标准规定范围之内。</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蛋类：无公害禽蛋，新鲜，无变质，无臭蛋。禽蛋等新鲜蛋类必须符合</w:t>
      </w:r>
      <w:r>
        <w:rPr>
          <w:sz w:val="24"/>
          <w:szCs w:val="24"/>
        </w:rPr>
        <w:fldChar w:fldCharType="begin"/>
      </w:r>
      <w:r>
        <w:rPr>
          <w:sz w:val="24"/>
          <w:szCs w:val="24"/>
        </w:rPr>
        <w:instrText xml:space="preserve"> HYPERLINK "http://down.foodmate.net/standard/sort/3/48415.html" \o "http://down.foodmate.net/standard/sort/3/48415.html" </w:instrText>
      </w:r>
      <w:r>
        <w:rPr>
          <w:sz w:val="24"/>
          <w:szCs w:val="24"/>
        </w:rPr>
        <w:fldChar w:fldCharType="separate"/>
      </w:r>
      <w:r>
        <w:rPr>
          <w:rFonts w:hint="eastAsia" w:ascii="宋体" w:hAnsi="宋体" w:cs="仿宋"/>
          <w:color w:val="000000"/>
          <w:sz w:val="24"/>
          <w:szCs w:val="24"/>
        </w:rPr>
        <w:t xml:space="preserve">GB2749-2015标准。</w:t>
      </w:r>
      <w:r>
        <w:rPr>
          <w:rFonts w:hint="eastAsia" w:ascii="宋体" w:hAnsi="宋体" w:cs="宋体"/>
          <w:color w:val="000000"/>
          <w:sz w:val="24"/>
          <w:szCs w:val="24"/>
        </w:rPr>
        <w:t xml:space="preserve"> </w:t>
      </w:r>
      <w:r>
        <w:rPr>
          <w:rFonts w:hint="eastAsia" w:ascii="宋体" w:hAnsi="宋体" w:cs="宋体"/>
          <w:color w:val="000000"/>
          <w:sz w:val="24"/>
          <w:szCs w:val="24"/>
        </w:rPr>
        <w:fldChar w:fldCharType="end"/>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水果类：须为非转基因产品，个头均匀，无斑点，无破损，果实成熟新鲜，味道纯正。</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水产及其冻品类：肉质新鲜，无病毒，不含有害物质，鲜鱼类必须生猛</w:t>
      </w:r>
      <w:r>
        <w:rPr>
          <w:rFonts w:hint="eastAsia" w:ascii="宋体" w:hAnsi="宋体" w:cs="仿宋"/>
          <w:color w:val="000000"/>
          <w:sz w:val="24"/>
          <w:szCs w:val="24"/>
        </w:rPr>
        <w:t xml:space="preserve">鲜活（杀好的鱼重量按：鱼+鱼内脏的重量计重）。必须符合GB2733-2005《鲜、冻动物性水产品卫生标准》、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包装箱要注明产品名称、生产厂家、厂址、须有出厂日期，保质期，品质优良，包装完好，无异味，无毒无害。</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食用油：非转基因食用油。必须符合国家《中华人民共和国食品安全法》品质标准，包装规范、有QS标志，符合相关国家标准。</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南北货及调味品类：必须符合国家《中华人民共和国食品安全法》品质标准，包装规范、有QS标志，符合相关国家标准。投标商供货品种必须是品牌产品并具有注册商标，产品以及包装符合国家食品安全规定。</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投标人严禁提供：①无品名、产地、厂名、生产日期、保质期及中文标识及原料说明的定型包装食品（除非定型包装食品）；②超过保质期限或不符合食品标签规定的定型包装食品；③腐败变质、油脂酸败、霉变、生虫、污秽不洁、混有异物或者</w:t>
      </w:r>
      <w:r>
        <w:rPr>
          <w:rFonts w:hint="eastAsia" w:ascii="宋体" w:hAnsi="宋体" w:cs="仿宋"/>
          <w:color w:val="000000"/>
          <w:sz w:val="24"/>
          <w:szCs w:val="24"/>
          <w:lang w:eastAsia="zh-CN"/>
        </w:rPr>
        <w:t xml:space="preserve">其他</w:t>
      </w:r>
      <w:r>
        <w:rPr>
          <w:rFonts w:hint="eastAsia" w:ascii="宋体" w:hAnsi="宋体" w:cs="仿宋"/>
          <w:color w:val="000000"/>
          <w:sz w:val="24"/>
          <w:szCs w:val="24"/>
        </w:rPr>
        <w:t xml:space="preserve">感官性状异常，含有毒、有害物质或者被有毒、有害物质污染，可能对人体健康有害的食品；④</w:t>
      </w:r>
      <w:r>
        <w:rPr>
          <w:rFonts w:hint="eastAsia" w:ascii="宋体" w:hAnsi="宋体" w:cs="仿宋"/>
          <w:color w:val="000000"/>
          <w:sz w:val="24"/>
          <w:szCs w:val="24"/>
          <w:lang w:eastAsia="zh-CN"/>
        </w:rPr>
        <w:t xml:space="preserve">其他不</w:t>
      </w:r>
      <w:r>
        <w:rPr>
          <w:rFonts w:hint="eastAsia" w:ascii="宋体" w:hAnsi="宋体" w:cs="仿宋"/>
          <w:color w:val="000000"/>
          <w:sz w:val="24"/>
          <w:szCs w:val="24"/>
        </w:rPr>
        <w:t xml:space="preserve">符合食品卫生标准和要求的食品。</w:t>
      </w:r>
      <w:r/>
    </w:p>
    <w:p>
      <w:pPr>
        <w:ind w:firstLine="482"/>
        <w:spacing w:line="360" w:lineRule="auto"/>
        <w:widowControl/>
        <w:rPr>
          <w:rFonts w:ascii="宋体" w:hAnsi="宋体" w:cs="仿宋"/>
          <w:color w:val="000000"/>
          <w:sz w:val="24"/>
          <w:szCs w:val="24"/>
        </w:rPr>
      </w:pPr>
      <w:r>
        <w:rPr>
          <w:rFonts w:hint="eastAsia" w:ascii="宋体" w:hAnsi="宋体" w:cs="仿宋"/>
          <w:b/>
          <w:bCs/>
          <w:color w:val="000000"/>
          <w:sz w:val="24"/>
          <w:szCs w:val="24"/>
        </w:rPr>
        <w:t xml:space="preserve">11、安全要求</w:t>
      </w:r>
      <w:r>
        <w:rPr>
          <w:rFonts w:hint="eastAsia" w:ascii="宋体" w:hAnsi="宋体" w:cs="仿宋"/>
          <w:color w:val="000000"/>
          <w:sz w:val="24"/>
          <w:szCs w:val="24"/>
        </w:rPr>
        <w:t xml:space="preserve">：安全要求应满足国家相关法律法规的要求。投标供应商中标后必须提供相关商品合格的相关资料给采购方。</w:t>
      </w:r>
      <w:r/>
    </w:p>
    <w:p>
      <w:pPr>
        <w:ind w:firstLine="482"/>
        <w:spacing w:line="360" w:lineRule="auto"/>
        <w:widowControl/>
        <w:rPr>
          <w:rFonts w:ascii="宋体" w:hAnsi="宋体" w:cs="仿宋"/>
          <w:color w:val="000000"/>
          <w:sz w:val="24"/>
          <w:szCs w:val="24"/>
        </w:rPr>
      </w:pPr>
      <w:r>
        <w:rPr>
          <w:rFonts w:hint="eastAsia" w:ascii="宋体" w:hAnsi="宋体" w:cs="仿宋"/>
          <w:b/>
          <w:bCs/>
          <w:color w:val="000000"/>
          <w:sz w:val="24"/>
          <w:szCs w:val="24"/>
        </w:rPr>
        <w:t xml:space="preserve">12、保密要求</w:t>
      </w:r>
      <w:r>
        <w:rPr>
          <w:rFonts w:hint="eastAsia" w:ascii="宋体" w:hAnsi="宋体" w:cs="仿宋"/>
          <w:color w:val="000000"/>
          <w:sz w:val="24"/>
          <w:szCs w:val="24"/>
        </w:rPr>
        <w:t xml:space="preserve">：供应商中标后须与采购方签订保密协议。在供货期间，不得将供货的实际数量及供货地点泄露给其他企业或者个人，进入送货单位时须遵守保密规定和相关规章制度。供应商必须指派相对固定的人员完成货物配送服务，并需将配送人员的详细资料报采购单位备案，货物配送人员必须遵纪守法、品行良好。如需要更换配送人员，必须事先通知采购单位并将其个人资料送采购单位审批，审批合格者并经采购单位同意后才能更换。如供应商货物配送人员违反采购单位保密要求或有服务态度恶劣、品行不端等不良行为的，采购单位有权要求供应商更换配送人员。</w:t>
      </w:r>
      <w:r/>
    </w:p>
    <w:p>
      <w:pPr>
        <w:ind w:firstLine="482"/>
        <w:spacing w:line="360" w:lineRule="auto"/>
        <w:widowControl/>
        <w:rPr>
          <w:rFonts w:ascii="宋体" w:hAnsi="宋体" w:cs="仿宋"/>
          <w:color w:val="000000"/>
          <w:sz w:val="24"/>
          <w:szCs w:val="24"/>
        </w:rPr>
      </w:pPr>
      <w:r>
        <w:rPr>
          <w:rFonts w:hint="eastAsia" w:ascii="宋体" w:hAnsi="宋体" w:cs="仿宋"/>
          <w:b/>
          <w:bCs/>
          <w:color w:val="000000"/>
          <w:sz w:val="24"/>
          <w:szCs w:val="24"/>
        </w:rPr>
        <w:t xml:space="preserve">13、服务要求</w:t>
      </w:r>
      <w:r>
        <w:rPr>
          <w:rFonts w:hint="eastAsia" w:ascii="宋体" w:hAnsi="宋体" w:cs="仿宋"/>
          <w:color w:val="000000"/>
          <w:sz w:val="24"/>
          <w:szCs w:val="24"/>
        </w:rPr>
        <w:t xml:space="preserve">：</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①供货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采购人将根据考核细则对供应商的供货及服务情况进行考核打分。</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②由于公安的特殊性，可能会出现临时性的送货现象，供货商不得以任何理由拒绝送货，一旦影响到采购人的正常运转，供货商应承担相应的经济赔偿。若遇某商品缺货，需更换品种，须经采购人同意方可更换。 </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③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④供应商不得延迟送货，供货商取得招标单位同意的延迟送货除外。</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⑤供货商不能满足供货要求，有终止合约意向时，应提前1个月通知采购人，在采购人同意后，双方约定终止合同时间。</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⑥采购人有权随时对经考核不合格供应商予以淘汰并列入黑名单，三年内不得参与采购人食堂招标项目，供货商须无条件接受。</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⑦服务本项目人员必须经卫生防疫部门健康检查及卫生知识培训，并持《健康证》上岗。</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⑧具有长期供货能力。</w:t>
      </w:r>
      <w:r/>
    </w:p>
    <w:p>
      <w:pPr>
        <w:ind w:firstLine="482"/>
        <w:spacing w:line="360" w:lineRule="auto"/>
        <w:widowControl/>
        <w:rPr>
          <w:rFonts w:ascii="宋体" w:hAnsi="宋体" w:cs="仿宋"/>
          <w:b/>
          <w:bCs/>
          <w:color w:val="000000"/>
          <w:sz w:val="24"/>
          <w:szCs w:val="24"/>
        </w:rPr>
      </w:pPr>
      <w:r>
        <w:rPr>
          <w:rFonts w:hint="eastAsia" w:ascii="宋体" w:hAnsi="宋体" w:cs="仿宋"/>
          <w:b/>
          <w:bCs/>
          <w:color w:val="000000"/>
          <w:sz w:val="24"/>
          <w:szCs w:val="24"/>
        </w:rPr>
        <w:t xml:space="preserve">14、供货价格:</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所有货物按无锡市发展和改革委员会官网专题专栏中民生价费近期公示价格的平均价格*投标时折扣率*实际数量进行结算，如遇网站上没有该食品，则按无锡市天惠超市的价格*投标时折扣率*实际数量结算，如遇无锡市发展和改革委员会官网及无锡市天惠超市均没有该类食品，乙方应提前通知甲方，经双方协商后进行调整确认，原则上按寻找到的其他市场价格*投标时折扣率*实际数量结算。</w:t>
      </w:r>
      <w:r/>
    </w:p>
    <w:p>
      <w:pPr>
        <w:ind w:firstLine="482"/>
        <w:spacing w:line="360" w:lineRule="auto"/>
        <w:widowControl/>
        <w:rPr>
          <w:rFonts w:ascii="宋体" w:hAnsi="宋体" w:cs="仿宋"/>
          <w:b/>
          <w:bCs/>
          <w:color w:val="000000"/>
          <w:sz w:val="24"/>
          <w:szCs w:val="24"/>
        </w:rPr>
      </w:pPr>
      <w:r>
        <w:rPr>
          <w:rFonts w:hint="eastAsia" w:ascii="宋体" w:hAnsi="宋体" w:cs="仿宋"/>
          <w:b/>
          <w:bCs/>
          <w:color w:val="000000"/>
          <w:sz w:val="24"/>
          <w:szCs w:val="24"/>
        </w:rPr>
        <w:t xml:space="preserve">15、有关说明：</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①报价包括设备，材料，运杂， 税收，规定办理的保险等全部费用。</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②供应商中标后须与采购方签订廉洁承诺书。双方不得以任何理由或理由，接受或赠送礼金、购物卡、有价证券和各类物品；不得接受或邀请对方吃喝、旅游及进出娱乐场所。乙方在合同执行过程中贿赂甲方人员，一经查实，甲方有权终止合同，由此对甲方造成的损失以及所发生的一切费用均由乙方承担。</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 ③供货全程须保障供货人员和采购人人员、设施设备的安全，如果在供货过程中造成了采购人物品的损坏或遗失，由中标单位负责照价全额赔偿。中标单位在供货过程发生的人员、货物等意外情况及人身伤害的由中标单位负全责。供货后及时处理供货产生的垃圾，保持周围环境的整洁。</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④因知识产权引起的纠纷由中标单位承担一切责任。 </w:t>
      </w:r>
      <w:r/>
    </w:p>
    <w:p>
      <w:pPr>
        <w:ind w:firstLine="482"/>
        <w:jc w:val="left"/>
        <w:spacing w:line="360" w:lineRule="auto"/>
        <w:rPr>
          <w:rFonts w:ascii="宋体" w:hAnsi="宋体" w:cs="仿宋"/>
          <w:b/>
          <w:bCs/>
          <w:color w:val="000000"/>
          <w:sz w:val="24"/>
          <w:szCs w:val="24"/>
        </w:rPr>
      </w:pPr>
      <w:r>
        <w:rPr>
          <w:rFonts w:hint="eastAsia" w:ascii="宋体" w:hAnsi="宋体" w:cs="仿宋"/>
          <w:b/>
          <w:bCs/>
          <w:color w:val="000000"/>
          <w:sz w:val="24"/>
          <w:szCs w:val="24"/>
        </w:rPr>
        <w:t xml:space="preserve">（二）其他说明：</w:t>
      </w:r>
      <w:r/>
    </w:p>
    <w:p>
      <w:pPr>
        <w:ind w:firstLine="482"/>
        <w:spacing w:line="360" w:lineRule="auto"/>
        <w:widowControl/>
        <w:rPr>
          <w:rFonts w:ascii="宋体" w:hAnsi="宋体" w:cs="仿宋"/>
          <w:b/>
          <w:bCs/>
          <w:color w:val="000000"/>
          <w:sz w:val="24"/>
          <w:szCs w:val="24"/>
          <w:lang w:val="zh-CN"/>
        </w:rPr>
      </w:pPr>
      <w:r>
        <w:rPr>
          <w:rFonts w:hint="eastAsia" w:ascii="宋体" w:hAnsi="宋体" w:cs="仿宋"/>
          <w:b/>
          <w:bCs/>
          <w:color w:val="000000"/>
          <w:sz w:val="24"/>
          <w:szCs w:val="24"/>
        </w:rPr>
        <w:t xml:space="preserve">1、</w:t>
      </w:r>
      <w:r>
        <w:rPr>
          <w:rFonts w:hint="eastAsia" w:ascii="宋体" w:hAnsi="宋体" w:cs="仿宋"/>
          <w:b/>
          <w:bCs/>
          <w:color w:val="000000"/>
          <w:sz w:val="24"/>
          <w:szCs w:val="24"/>
          <w:lang w:val="zh-CN"/>
        </w:rPr>
        <w:t xml:space="preserve"> 服务质量考核</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（1）合同签订后，采购人采取按月考核的方式对中标单位进</w:t>
      </w:r>
      <w:r>
        <w:rPr>
          <w:rFonts w:hint="eastAsia" w:ascii="宋体" w:hAnsi="宋体" w:cs="仿宋"/>
          <w:color w:val="000000"/>
          <w:sz w:val="24"/>
          <w:szCs w:val="24"/>
        </w:rPr>
        <w:t xml:space="preserve">行考核，每月内不定期抽查不少于2次，取平均值为当月的最终考核结果。评分采用100分制，具体考核如下：85-89分，扣1000元；80-84分扣2000元；75-79分扣5000元，70-74扣7000元；70分以下，约谈中标单位负责人，并商议扣款金额数量。涉事问题整改至合格（整改期限由采购人视具体问题与中标单位协商制定），若整改超期或整改后仍不合格的，扣除当月食材费用的10%。若连续两次考核分数未满70分且采购人对中标单位服务不满意的，合同无条件终止。扣款金额由甲方根据每月考核结果在乙方食材费用中直接扣除。</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（2）对因上述原因终止合同而造成中标单位的直接损失和间接损失，采购人不给予补偿和赔偿。</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（3）具体考评细则如下表：</w:t>
      </w:r>
      <w:r/>
    </w:p>
    <w:tbl>
      <w:tblPr>
        <w:tblStyle w:val="721"/>
        <w:tblW w:w="87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840"/>
        <w:gridCol w:w="990"/>
        <w:gridCol w:w="4973"/>
      </w:tblGrid>
      <w:tr>
        <w:trPr>
          <w:jc w:val="center"/>
        </w:trPr>
        <w:tc>
          <w:tcPr>
            <w:tcW w:w="961"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序号</w:t>
            </w:r>
            <w:r/>
          </w:p>
        </w:tc>
        <w:tc>
          <w:tcPr>
            <w:tcW w:w="1840" w:type="dxa"/>
            <w:vAlign w:val="center"/>
            <w:textDirection w:val="lrTb"/>
            <w:noWrap w:val="false"/>
          </w:tcPr>
          <w:p>
            <w:pPr>
              <w:ind w:firstLine="33"/>
              <w:jc w:val="center"/>
              <w:spacing w:line="360" w:lineRule="auto"/>
              <w:rPr>
                <w:rFonts w:ascii="宋体" w:hAnsi="宋体" w:cs="仿宋"/>
                <w:sz w:val="24"/>
                <w:szCs w:val="24"/>
              </w:rPr>
            </w:pPr>
            <w:r>
              <w:rPr>
                <w:rFonts w:hint="eastAsia" w:ascii="宋体" w:hAnsi="宋体" w:cs="仿宋"/>
                <w:sz w:val="24"/>
                <w:szCs w:val="24"/>
              </w:rPr>
              <w:t xml:space="preserve">项目名称</w:t>
            </w:r>
            <w:r/>
          </w:p>
        </w:tc>
        <w:tc>
          <w:tcPr>
            <w:tcW w:w="990"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分值</w:t>
            </w:r>
            <w:r/>
          </w:p>
        </w:tc>
        <w:tc>
          <w:tcPr>
            <w:tcW w:w="4973"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评价内容</w:t>
            </w:r>
            <w:r/>
          </w:p>
        </w:tc>
      </w:tr>
      <w:tr>
        <w:trPr>
          <w:jc w:val="center"/>
          <w:trHeight w:val="751"/>
        </w:trPr>
        <w:tc>
          <w:tcPr>
            <w:tcW w:w="961"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1</w:t>
            </w:r>
            <w:r/>
          </w:p>
        </w:tc>
        <w:tc>
          <w:tcPr>
            <w:tcW w:w="1840" w:type="dxa"/>
            <w:vAlign w:val="center"/>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交货率</w:t>
            </w:r>
            <w:r/>
          </w:p>
        </w:tc>
        <w:tc>
          <w:tcPr>
            <w:tcW w:w="990"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25</w:t>
            </w:r>
            <w:r/>
          </w:p>
        </w:tc>
        <w:tc>
          <w:tcPr>
            <w:tcW w:w="4973" w:type="dxa"/>
            <w:vAlign w:val="center"/>
            <w:textDirection w:val="lrTb"/>
            <w:noWrap w:val="false"/>
          </w:tcPr>
          <w:p>
            <w:pPr>
              <w:ind w:firstLine="27"/>
              <w:jc w:val="left"/>
              <w:spacing w:line="360" w:lineRule="auto"/>
              <w:rPr>
                <w:rFonts w:ascii="宋体" w:hAnsi="宋体" w:cs="仿宋"/>
                <w:sz w:val="24"/>
                <w:szCs w:val="24"/>
              </w:rPr>
            </w:pPr>
            <w:r>
              <w:rPr>
                <w:rFonts w:hint="eastAsia" w:ascii="宋体" w:hAnsi="宋体" w:cs="仿宋"/>
                <w:sz w:val="24"/>
                <w:szCs w:val="24"/>
              </w:rPr>
              <w:t xml:space="preserve">每天早6：00-7：00，配送产品至指定地点。</w:t>
            </w:r>
            <w:r/>
          </w:p>
          <w:p>
            <w:pPr>
              <w:ind w:firstLine="27"/>
              <w:jc w:val="left"/>
              <w:spacing w:line="360" w:lineRule="auto"/>
              <w:rPr>
                <w:rFonts w:ascii="宋体" w:hAnsi="宋体" w:cs="仿宋"/>
                <w:sz w:val="24"/>
                <w:szCs w:val="24"/>
              </w:rPr>
            </w:pPr>
            <w:r>
              <w:rPr>
                <w:rFonts w:hint="eastAsia" w:ascii="宋体" w:hAnsi="宋体" w:cs="仿宋"/>
                <w:sz w:val="24"/>
                <w:szCs w:val="24"/>
              </w:rPr>
              <w:t xml:space="preserve">每延误一批次，扣分如下：</w:t>
            </w:r>
            <w:r/>
          </w:p>
          <w:p>
            <w:pPr>
              <w:ind w:firstLine="27"/>
              <w:jc w:val="left"/>
              <w:spacing w:line="360" w:lineRule="auto"/>
              <w:rPr>
                <w:rFonts w:ascii="宋体" w:hAnsi="宋体" w:cs="仿宋"/>
                <w:sz w:val="24"/>
                <w:szCs w:val="24"/>
              </w:rPr>
            </w:pPr>
            <w:r>
              <w:rPr>
                <w:rFonts w:hint="eastAsia" w:ascii="宋体" w:hAnsi="宋体" w:cs="仿宋"/>
                <w:sz w:val="24"/>
                <w:szCs w:val="24"/>
              </w:rPr>
              <w:t xml:space="preserve">1）配送时间7：15-7：45，扣2分。</w:t>
            </w:r>
            <w:r/>
          </w:p>
          <w:p>
            <w:pPr>
              <w:ind w:firstLine="27"/>
              <w:jc w:val="left"/>
              <w:spacing w:line="360" w:lineRule="auto"/>
              <w:rPr>
                <w:rFonts w:ascii="宋体" w:hAnsi="宋体" w:cs="仿宋"/>
                <w:sz w:val="24"/>
                <w:szCs w:val="24"/>
              </w:rPr>
            </w:pPr>
            <w:r>
              <w:rPr>
                <w:rFonts w:hint="eastAsia" w:ascii="宋体" w:hAnsi="宋体" w:cs="仿宋"/>
                <w:sz w:val="24"/>
                <w:szCs w:val="24"/>
              </w:rPr>
              <w:t xml:space="preserve">2）配送时间7：45-8：05，扣4分。</w:t>
            </w:r>
            <w:r/>
          </w:p>
          <w:p>
            <w:pPr>
              <w:ind w:firstLine="27"/>
              <w:jc w:val="left"/>
              <w:spacing w:line="360" w:lineRule="auto"/>
              <w:rPr>
                <w:rFonts w:ascii="宋体" w:hAnsi="宋体" w:cs="仿宋"/>
                <w:sz w:val="24"/>
                <w:szCs w:val="24"/>
              </w:rPr>
            </w:pPr>
            <w:r>
              <w:rPr>
                <w:rFonts w:hint="eastAsia" w:ascii="宋体" w:hAnsi="宋体" w:cs="仿宋"/>
                <w:sz w:val="24"/>
                <w:szCs w:val="24"/>
              </w:rPr>
              <w:t xml:space="preserve">3）配送时间8：10-9：45，扣10分。</w:t>
            </w:r>
            <w:r/>
          </w:p>
          <w:p>
            <w:pPr>
              <w:ind w:firstLine="27"/>
              <w:jc w:val="left"/>
              <w:spacing w:line="360" w:lineRule="auto"/>
              <w:rPr>
                <w:rFonts w:ascii="宋体" w:hAnsi="宋体" w:cs="仿宋"/>
                <w:sz w:val="24"/>
                <w:szCs w:val="24"/>
              </w:rPr>
            </w:pPr>
            <w:r>
              <w:rPr>
                <w:rFonts w:hint="eastAsia" w:ascii="宋体" w:hAnsi="宋体" w:cs="仿宋"/>
                <w:sz w:val="24"/>
                <w:szCs w:val="24"/>
              </w:rPr>
              <w:t xml:space="preserve">4）因恶劣天气供货方未做好预案，或由于供货方自身原因，未在9点45分之前将产品配送到指定地点，严重影响食堂开餐，则一次性扣25分。</w:t>
            </w:r>
            <w:r/>
          </w:p>
        </w:tc>
      </w:tr>
      <w:tr>
        <w:trPr>
          <w:jc w:val="center"/>
          <w:trHeight w:val="285"/>
        </w:trPr>
        <w:tc>
          <w:tcPr>
            <w:tcW w:w="961"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2</w:t>
            </w:r>
            <w:r/>
          </w:p>
        </w:tc>
        <w:tc>
          <w:tcPr>
            <w:tcW w:w="1840" w:type="dxa"/>
            <w:vAlign w:val="center"/>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产品质量</w:t>
            </w:r>
            <w:r/>
          </w:p>
        </w:tc>
        <w:tc>
          <w:tcPr>
            <w:tcW w:w="990"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25</w:t>
            </w:r>
            <w:r/>
          </w:p>
        </w:tc>
        <w:tc>
          <w:tcPr>
            <w:tcW w:w="4973" w:type="dxa"/>
            <w:vAlign w:val="center"/>
            <w:textDirection w:val="lrTb"/>
            <w:noWrap w:val="false"/>
          </w:tcPr>
          <w:p>
            <w:pPr>
              <w:ind w:firstLine="27"/>
              <w:jc w:val="left"/>
              <w:spacing w:line="360" w:lineRule="auto"/>
              <w:rPr>
                <w:rFonts w:ascii="宋体" w:hAnsi="宋体" w:cs="仿宋"/>
                <w:sz w:val="24"/>
                <w:szCs w:val="24"/>
              </w:rPr>
            </w:pPr>
            <w:r>
              <w:rPr>
                <w:rFonts w:hint="eastAsia" w:ascii="宋体" w:hAnsi="宋体" w:cs="仿宋"/>
                <w:sz w:val="24"/>
                <w:szCs w:val="24"/>
              </w:rPr>
              <w:t xml:space="preserve">1、除产品质量不符合食材配送清单中对各类产品的具体要求外，还出现诸如牛奶类产品胀包、有沉淀物；粮油类产品封装不完好、有沉淀物；果蔬类产品带有泥沙、腐叶等；肉、畜、禽类产品以次充好等情况。</w:t>
            </w:r>
            <w:r/>
          </w:p>
          <w:p>
            <w:pPr>
              <w:ind w:firstLine="27"/>
              <w:jc w:val="left"/>
              <w:spacing w:line="360" w:lineRule="auto"/>
              <w:rPr>
                <w:rFonts w:ascii="宋体" w:hAnsi="宋体" w:cs="仿宋"/>
                <w:sz w:val="24"/>
                <w:szCs w:val="24"/>
              </w:rPr>
            </w:pPr>
            <w:r>
              <w:rPr>
                <w:rFonts w:hint="eastAsia" w:ascii="宋体" w:hAnsi="宋体" w:cs="仿宋"/>
                <w:sz w:val="24"/>
                <w:szCs w:val="24"/>
              </w:rPr>
              <w:t xml:space="preserve">每出现一次，扣分如下：</w:t>
            </w:r>
            <w:r/>
          </w:p>
          <w:p>
            <w:pPr>
              <w:numPr>
                <w:ilvl w:val="0"/>
                <w:numId w:val="2"/>
              </w:numPr>
              <w:ind w:left="570"/>
              <w:jc w:val="left"/>
              <w:spacing w:line="360" w:lineRule="auto"/>
              <w:rPr>
                <w:rFonts w:ascii="宋体" w:hAnsi="宋体" w:cs="仿宋"/>
                <w:sz w:val="24"/>
                <w:szCs w:val="24"/>
              </w:rPr>
            </w:pPr>
            <w:r>
              <w:rPr>
                <w:rFonts w:hint="eastAsia" w:ascii="宋体" w:hAnsi="宋体" w:cs="仿宋"/>
                <w:sz w:val="24"/>
                <w:szCs w:val="24"/>
              </w:rPr>
              <w:t xml:space="preserve">在30分钟内，调换合格的，扣2分；</w:t>
            </w:r>
            <w:r/>
          </w:p>
          <w:p>
            <w:pPr>
              <w:numPr>
                <w:ilvl w:val="0"/>
                <w:numId w:val="2"/>
              </w:numPr>
              <w:ind w:left="570"/>
              <w:jc w:val="left"/>
              <w:spacing w:line="360" w:lineRule="auto"/>
              <w:rPr>
                <w:rFonts w:ascii="宋体" w:hAnsi="宋体" w:cs="仿宋"/>
                <w:sz w:val="24"/>
                <w:szCs w:val="24"/>
              </w:rPr>
            </w:pPr>
            <w:r>
              <w:rPr>
                <w:rFonts w:hint="eastAsia" w:ascii="宋体" w:hAnsi="宋体" w:cs="仿宋"/>
                <w:sz w:val="24"/>
                <w:szCs w:val="24"/>
              </w:rPr>
              <w:t xml:space="preserve">在30分钟至60分钟，调换合格的，扣3分；</w:t>
            </w:r>
            <w:r/>
          </w:p>
          <w:p>
            <w:pPr>
              <w:numPr>
                <w:ilvl w:val="0"/>
                <w:numId w:val="2"/>
              </w:numPr>
              <w:ind w:left="570"/>
              <w:jc w:val="left"/>
              <w:spacing w:line="360" w:lineRule="auto"/>
              <w:rPr>
                <w:rFonts w:ascii="宋体" w:hAnsi="宋体" w:cs="仿宋"/>
                <w:sz w:val="24"/>
                <w:szCs w:val="24"/>
              </w:rPr>
            </w:pPr>
            <w:r>
              <w:rPr>
                <w:rFonts w:hint="eastAsia" w:ascii="宋体" w:hAnsi="宋体" w:cs="仿宋"/>
                <w:sz w:val="24"/>
                <w:szCs w:val="24"/>
              </w:rPr>
              <w:t xml:space="preserve">若在120分钟内无法更换合格的，扣10分；</w:t>
            </w:r>
            <w:r/>
          </w:p>
          <w:p>
            <w:pPr>
              <w:ind w:left="-333"/>
              <w:jc w:val="left"/>
              <w:spacing w:line="360" w:lineRule="auto"/>
              <w:rPr>
                <w:rFonts w:ascii="宋体" w:hAnsi="宋体" w:cs="仿宋"/>
                <w:sz w:val="24"/>
                <w:szCs w:val="24"/>
              </w:rPr>
            </w:pPr>
            <w:r>
              <w:rPr>
                <w:rFonts w:hint="eastAsia" w:ascii="宋体" w:hAnsi="宋体" w:cs="仿宋"/>
                <w:sz w:val="24"/>
                <w:szCs w:val="24"/>
              </w:rPr>
              <w:t xml:space="preserve">送 2、送检商品经质检部门判定不合格的，扣10分。</w:t>
            </w:r>
            <w:r/>
          </w:p>
        </w:tc>
      </w:tr>
      <w:tr>
        <w:trPr>
          <w:jc w:val="center"/>
          <w:trHeight w:val="751"/>
        </w:trPr>
        <w:tc>
          <w:tcPr>
            <w:tcW w:w="961"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3</w:t>
            </w:r>
            <w:r/>
          </w:p>
        </w:tc>
        <w:tc>
          <w:tcPr>
            <w:tcW w:w="1840" w:type="dxa"/>
            <w:vAlign w:val="center"/>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服务质量</w:t>
            </w:r>
            <w:r/>
          </w:p>
        </w:tc>
        <w:tc>
          <w:tcPr>
            <w:tcW w:w="990"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25</w:t>
            </w:r>
            <w:r/>
          </w:p>
        </w:tc>
        <w:tc>
          <w:tcPr>
            <w:tcW w:w="4973" w:type="dxa"/>
            <w:vAlign w:val="center"/>
            <w:textDirection w:val="lrTb"/>
            <w:noWrap w:val="false"/>
          </w:tcPr>
          <w:p>
            <w:pPr>
              <w:ind w:firstLine="27"/>
              <w:jc w:val="left"/>
              <w:spacing w:line="360" w:lineRule="auto"/>
              <w:rPr>
                <w:rFonts w:ascii="宋体" w:hAnsi="宋体" w:cs="仿宋"/>
                <w:sz w:val="24"/>
                <w:szCs w:val="24"/>
              </w:rPr>
            </w:pPr>
            <w:r>
              <w:rPr>
                <w:rFonts w:hint="eastAsia" w:ascii="宋体" w:hAnsi="宋体" w:cs="仿宋"/>
                <w:sz w:val="24"/>
                <w:szCs w:val="24"/>
              </w:rPr>
              <w:t xml:space="preserve">严格遵守本标书中对供货方的要求，认真履行其服务承诺。能够及时有效</w:t>
            </w:r>
            <w:r>
              <w:rPr>
                <w:rFonts w:hint="eastAsia" w:ascii="宋体" w:hAnsi="宋体" w:cs="仿宋"/>
                <w:sz w:val="24"/>
                <w:szCs w:val="24"/>
                <w:lang w:eastAsia="zh-CN"/>
              </w:rPr>
              <w:t xml:space="preserve">地</w:t>
            </w:r>
            <w:r>
              <w:rPr>
                <w:rFonts w:hint="eastAsia" w:ascii="宋体" w:hAnsi="宋体" w:cs="仿宋"/>
                <w:sz w:val="24"/>
                <w:szCs w:val="24"/>
              </w:rPr>
              <w:t xml:space="preserve">应对临时增加供货量、按要求更换菜品等突发情况，且保证临时采购菜品的质量、送达时间以及价格的合理性；对于采购方提出的改进意见，应及时整改落实。</w:t>
            </w:r>
            <w:r/>
          </w:p>
          <w:p>
            <w:pPr>
              <w:ind w:firstLine="27"/>
              <w:jc w:val="left"/>
              <w:spacing w:line="360" w:lineRule="auto"/>
              <w:rPr>
                <w:rFonts w:ascii="宋体" w:hAnsi="宋体" w:cs="仿宋"/>
                <w:sz w:val="24"/>
                <w:szCs w:val="24"/>
              </w:rPr>
            </w:pPr>
            <w:r>
              <w:rPr>
                <w:rFonts w:hint="eastAsia" w:ascii="宋体" w:hAnsi="宋体" w:cs="仿宋"/>
                <w:sz w:val="24"/>
                <w:szCs w:val="24"/>
              </w:rPr>
              <w:t xml:space="preserve">每出现1次不满意，扣3分。</w:t>
            </w:r>
            <w:r/>
          </w:p>
        </w:tc>
      </w:tr>
      <w:tr>
        <w:trPr>
          <w:jc w:val="center"/>
          <w:trHeight w:val="751"/>
        </w:trPr>
        <w:tc>
          <w:tcPr>
            <w:tcW w:w="961"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4</w:t>
            </w:r>
            <w:r/>
          </w:p>
        </w:tc>
        <w:tc>
          <w:tcPr>
            <w:tcW w:w="1840" w:type="dxa"/>
            <w:vAlign w:val="center"/>
            <w:textDirection w:val="lrTb"/>
            <w:noWrap w:val="false"/>
          </w:tcPr>
          <w:p>
            <w:pPr>
              <w:jc w:val="center"/>
              <w:spacing w:line="360" w:lineRule="auto"/>
              <w:rPr>
                <w:rFonts w:ascii="宋体" w:hAnsi="宋体" w:cs="仿宋"/>
                <w:sz w:val="24"/>
                <w:szCs w:val="24"/>
              </w:rPr>
            </w:pPr>
            <w:r>
              <w:rPr>
                <w:rFonts w:hint="eastAsia" w:ascii="宋体" w:hAnsi="宋体" w:cs="仿宋"/>
                <w:sz w:val="24"/>
                <w:szCs w:val="24"/>
              </w:rPr>
              <w:t xml:space="preserve">产品供货价格</w:t>
            </w:r>
            <w:r/>
          </w:p>
        </w:tc>
        <w:tc>
          <w:tcPr>
            <w:tcW w:w="990"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25</w:t>
            </w:r>
            <w:r/>
          </w:p>
        </w:tc>
        <w:tc>
          <w:tcPr>
            <w:tcW w:w="4973" w:type="dxa"/>
            <w:vAlign w:val="center"/>
            <w:textDirection w:val="lrTb"/>
            <w:noWrap w:val="false"/>
          </w:tcPr>
          <w:p>
            <w:pPr>
              <w:ind w:firstLine="27"/>
              <w:jc w:val="left"/>
              <w:spacing w:line="360" w:lineRule="auto"/>
              <w:rPr>
                <w:rFonts w:ascii="宋体" w:hAnsi="宋体" w:cs="仿宋"/>
                <w:sz w:val="24"/>
                <w:szCs w:val="24"/>
              </w:rPr>
            </w:pPr>
            <w:r>
              <w:rPr>
                <w:rFonts w:hint="eastAsia" w:ascii="宋体" w:hAnsi="宋体" w:cs="仿宋"/>
                <w:sz w:val="24"/>
                <w:szCs w:val="24"/>
              </w:rPr>
              <w:t xml:space="preserve">如发生供货价高于报价文件承诺的优惠价，或高于市场一般价格的情况，每出现1次扣3分。</w:t>
            </w:r>
            <w:r/>
          </w:p>
        </w:tc>
      </w:tr>
      <w:tr>
        <w:trPr>
          <w:jc w:val="center"/>
          <w:trHeight w:val="496"/>
        </w:trPr>
        <w:tc>
          <w:tcPr>
            <w:gridSpan w:val="2"/>
            <w:tcW w:w="2801" w:type="dxa"/>
            <w:vAlign w:val="center"/>
            <w:textDirection w:val="lrTb"/>
            <w:noWrap w:val="false"/>
          </w:tcPr>
          <w:p>
            <w:pPr>
              <w:ind w:firstLine="420"/>
              <w:spacing w:line="360" w:lineRule="auto"/>
              <w:rPr>
                <w:rFonts w:ascii="宋体" w:hAnsi="宋体" w:cs="仿宋"/>
                <w:sz w:val="24"/>
                <w:szCs w:val="24"/>
              </w:rPr>
            </w:pPr>
            <w:r>
              <w:rPr>
                <w:rFonts w:hint="eastAsia" w:ascii="宋体" w:hAnsi="宋体" w:cs="仿宋"/>
                <w:sz w:val="24"/>
                <w:szCs w:val="24"/>
              </w:rPr>
              <w:t xml:space="preserve">合计</w:t>
            </w:r>
            <w:r/>
          </w:p>
        </w:tc>
        <w:tc>
          <w:tcPr>
            <w:tcW w:w="990" w:type="dxa"/>
            <w:vAlign w:val="center"/>
            <w:textDirection w:val="lrTb"/>
            <w:noWrap w:val="false"/>
          </w:tcPr>
          <w:p>
            <w:pPr>
              <w:ind w:firstLine="27"/>
              <w:jc w:val="center"/>
              <w:spacing w:line="360" w:lineRule="auto"/>
              <w:rPr>
                <w:rFonts w:ascii="宋体" w:hAnsi="宋体" w:cs="仿宋"/>
                <w:sz w:val="24"/>
                <w:szCs w:val="24"/>
              </w:rPr>
            </w:pPr>
            <w:r>
              <w:rPr>
                <w:rFonts w:hint="eastAsia" w:ascii="宋体" w:hAnsi="宋体" w:cs="仿宋"/>
                <w:sz w:val="24"/>
                <w:szCs w:val="24"/>
              </w:rPr>
              <w:t xml:space="preserve">100分</w:t>
            </w:r>
            <w:r/>
          </w:p>
        </w:tc>
        <w:tc>
          <w:tcPr>
            <w:tcW w:w="4973" w:type="dxa"/>
            <w:vAlign w:val="center"/>
            <w:textDirection w:val="lrTb"/>
            <w:noWrap w:val="false"/>
          </w:tcPr>
          <w:p>
            <w:pPr>
              <w:ind w:firstLine="27"/>
              <w:spacing w:line="360" w:lineRule="auto"/>
              <w:rPr>
                <w:rFonts w:ascii="宋体" w:hAnsi="宋体" w:cs="仿宋"/>
                <w:sz w:val="24"/>
                <w:szCs w:val="24"/>
              </w:rPr>
            </w:pPr>
            <w:r>
              <w:rPr>
                <w:rFonts w:ascii="宋体" w:hAnsi="宋体" w:cs="仿宋"/>
                <w:sz w:val="24"/>
                <w:szCs w:val="24"/>
              </w:rPr>
            </w:r>
            <w:r/>
          </w:p>
        </w:tc>
      </w:tr>
    </w:tbl>
    <w:p>
      <w:pPr>
        <w:ind w:firstLine="482"/>
        <w:spacing w:line="360" w:lineRule="auto"/>
        <w:widowControl/>
        <w:rPr>
          <w:rFonts w:ascii="宋体" w:hAnsi="宋体" w:cs="仿宋"/>
          <w:b/>
          <w:color w:val="000000"/>
          <w:sz w:val="24"/>
          <w:szCs w:val="24"/>
        </w:rPr>
      </w:pPr>
      <w:r>
        <w:rPr>
          <w:rFonts w:ascii="宋体" w:hAnsi="宋体" w:cs="仿宋"/>
          <w:b/>
          <w:color w:val="000000"/>
          <w:sz w:val="24"/>
          <w:szCs w:val="24"/>
        </w:rPr>
      </w:r>
      <w:r/>
    </w:p>
    <w:p>
      <w:pPr>
        <w:pStyle w:val="722"/>
        <w:ind w:firstLine="482"/>
        <w:spacing w:line="360" w:lineRule="auto"/>
        <w:rPr>
          <w:rFonts w:ascii="宋体" w:hAnsi="宋体" w:eastAsia="宋体" w:cs="仿宋"/>
          <w:b/>
          <w:bCs/>
          <w:sz w:val="24"/>
          <w:szCs w:val="24"/>
          <w:lang w:bidi="mn-Mong-CN"/>
        </w:rPr>
      </w:pPr>
      <w:r>
        <w:rPr>
          <w:rFonts w:hint="eastAsia" w:ascii="宋体" w:hAnsi="宋体" w:eastAsia="宋体" w:cs="仿宋"/>
          <w:b/>
          <w:bCs/>
          <w:sz w:val="24"/>
          <w:szCs w:val="24"/>
          <w:lang w:bidi="mn-Mong-CN"/>
        </w:rPr>
        <w:t xml:space="preserve">2、所有食材供应及配送价格包括产品本身、包装、运输、配送、人工、保险、利润、税金、政策性文件规定及合同包含的所有风险、责任等各项应有费用。</w:t>
      </w:r>
      <w:r/>
    </w:p>
    <w:p>
      <w:pPr>
        <w:pStyle w:val="722"/>
        <w:ind w:firstLine="482"/>
        <w:spacing w:line="360" w:lineRule="auto"/>
        <w:rPr>
          <w:rFonts w:ascii="宋体" w:hAnsi="宋体" w:eastAsia="宋体" w:cs="仿宋"/>
          <w:b/>
          <w:bCs/>
          <w:sz w:val="24"/>
          <w:szCs w:val="24"/>
          <w:lang w:bidi="mn-Mong-CN"/>
        </w:rPr>
      </w:pPr>
      <w:r>
        <w:rPr>
          <w:rFonts w:hint="eastAsia" w:ascii="宋体" w:hAnsi="宋体" w:eastAsia="宋体" w:cs="仿宋"/>
          <w:b/>
          <w:bCs/>
          <w:sz w:val="24"/>
          <w:szCs w:val="24"/>
          <w:lang w:bidi="mn-Mong-CN"/>
        </w:rPr>
        <w:t xml:space="preserve">3、投标</w:t>
      </w:r>
      <w:r>
        <w:rPr>
          <w:rFonts w:hint="eastAsia" w:ascii="宋体" w:hAnsi="宋体" w:eastAsia="宋体" w:cs="仿宋"/>
          <w:b/>
          <w:bCs/>
          <w:sz w:val="24"/>
          <w:szCs w:val="24"/>
          <w:lang w:val="en-US" w:eastAsia="zh-CN" w:bidi="mn-Mong-CN"/>
        </w:rPr>
        <w:t xml:space="preserve">优惠</w:t>
      </w:r>
      <w:r>
        <w:rPr>
          <w:rFonts w:hint="eastAsia" w:ascii="宋体" w:hAnsi="宋体" w:eastAsia="宋体" w:cs="仿宋"/>
          <w:b/>
          <w:bCs/>
          <w:sz w:val="24"/>
          <w:szCs w:val="24"/>
          <w:lang w:bidi="mn-Mong-CN"/>
        </w:rPr>
        <w:t xml:space="preserve">率按百分比报价，保留小数点后两位。</w:t>
      </w:r>
      <w:r/>
    </w:p>
    <w:p>
      <w:pPr>
        <w:pStyle w:val="722"/>
        <w:ind w:firstLine="482"/>
        <w:spacing w:line="360" w:lineRule="auto"/>
        <w:rPr>
          <w:rFonts w:ascii="宋体" w:hAnsi="宋体" w:eastAsia="宋体" w:cs="仿宋"/>
          <w:bCs/>
          <w:color w:val="000000"/>
          <w:sz w:val="24"/>
          <w:szCs w:val="24"/>
        </w:rPr>
      </w:pPr>
      <w:r>
        <w:rPr>
          <w:rFonts w:hint="eastAsia" w:ascii="宋体" w:hAnsi="宋体" w:eastAsia="宋体" w:cs="仿宋"/>
          <w:b/>
          <w:bCs/>
          <w:sz w:val="24"/>
          <w:szCs w:val="24"/>
          <w:lang w:bidi="mn-Mong-CN"/>
        </w:rPr>
        <w:t xml:space="preserve">4、投标人投标时食材类别的</w:t>
      </w:r>
      <w:r>
        <w:rPr>
          <w:rFonts w:hint="eastAsia" w:ascii="宋体" w:hAnsi="宋体" w:eastAsia="宋体" w:cs="仿宋"/>
          <w:b/>
          <w:bCs/>
          <w:sz w:val="24"/>
          <w:szCs w:val="24"/>
          <w:lang w:val="en-US" w:eastAsia="zh-CN" w:bidi="mn-Mong-CN"/>
        </w:rPr>
        <w:t xml:space="preserve">优惠</w:t>
      </w:r>
      <w:r>
        <w:rPr>
          <w:rFonts w:hint="eastAsia" w:ascii="宋体" w:hAnsi="宋体" w:eastAsia="宋体" w:cs="仿宋"/>
          <w:b/>
          <w:bCs/>
          <w:sz w:val="24"/>
          <w:szCs w:val="24"/>
          <w:lang w:bidi="mn-Mong-CN"/>
        </w:rPr>
        <w:t xml:space="preserve">率应相等，如不相等，作无效投标处理。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eastAsia="zh-CN"/>
        </w:rPr>
      </w:r>
      <w:r/>
    </w:p>
    <w:p>
      <w:pPr>
        <w:pStyle w:val="951"/>
        <w:spacing w:line="360" w:lineRule="auto"/>
        <w:rPr>
          <w:rFonts w:hint="eastAsia"/>
          <w:highlight w:val="none"/>
          <w:lang w:eastAsia="zh-CN"/>
        </w:rPr>
      </w:pPr>
      <w:r>
        <w:rPr>
          <w:rFonts w:hint="eastAsia"/>
          <w:highlight w:val="none"/>
          <w:lang w:eastAsia="zh-CN"/>
        </w:rPr>
      </w:r>
      <w:r/>
    </w:p>
    <w:p>
      <w:pPr>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r>
      <w:r/>
    </w:p>
    <w:p>
      <w:pPr>
        <w:ind w:firstLine="643"/>
        <w:jc w:val="center"/>
        <w:spacing w:line="360" w:lineRule="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宋体" w:hAnsi="宋体" w:eastAsia="宋体" w:cs="宋体"/>
          <w:b/>
          <w:bCs/>
          <w:color w:val="000000"/>
          <w:sz w:val="32"/>
          <w:szCs w:val="32"/>
          <w:highlight w:val="none"/>
        </w:rPr>
        <w:t xml:space="preserve">四．合同书</w:t>
      </w:r>
      <w:bookmarkStart w:id="775" w:name="五．合同条款"/>
      <w:r/>
      <w:bookmarkEnd w:id="775"/>
      <w:r>
        <w:rPr>
          <w:rFonts w:hint="eastAsia" w:ascii="宋体" w:hAnsi="宋体" w:eastAsia="宋体" w:cs="宋体"/>
          <w:b/>
          <w:bCs/>
          <w:color w:val="000000"/>
          <w:sz w:val="32"/>
          <w:szCs w:val="32"/>
          <w:highlight w:val="none"/>
        </w:rPr>
        <w:t xml:space="preserve">格式</w:t>
      </w:r>
      <w:r/>
    </w:p>
    <w:p>
      <w:pPr>
        <w:ind w:firstLine="56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  无锡市公安局</w:t>
      </w:r>
      <w:r/>
    </w:p>
    <w:p>
      <w:pPr>
        <w:ind w:firstLine="56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ind w:firstLine="56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 </w:t>
      </w:r>
      <w:r/>
    </w:p>
    <w:p>
      <w:pPr>
        <w:ind w:firstLine="56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 :</w:t>
      </w:r>
      <w:r/>
    </w:p>
    <w:p>
      <w:pPr>
        <w:ind w:firstLine="56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ind w:firstLine="560"/>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统一社会信用代码：</w:t>
      </w:r>
      <w:r/>
    </w:p>
    <w:p>
      <w:pPr>
        <w:ind w:firstLine="56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bCs/>
          <w:color w:val="000000"/>
          <w:sz w:val="24"/>
          <w:highlight w:val="none"/>
          <w:lang w:eastAsia="zh-CN"/>
        </w:rPr>
        <w:t xml:space="preserve">无锡市公安局水上分局2025、2026年食堂食材采购</w:t>
      </w:r>
      <w:r>
        <w:rPr>
          <w:rFonts w:hint="eastAsia" w:ascii="宋体" w:hAnsi="宋体" w:eastAsia="宋体" w:cs="宋体"/>
          <w:sz w:val="24"/>
          <w:szCs w:val="24"/>
          <w:highlight w:val="none"/>
        </w:rPr>
        <w:t xml:space="preserve">安全运行，经甲方公开招标，由乙方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eastAsia="zh-CN"/>
        </w:rPr>
        <w:t xml:space="preserve">单位）</w:t>
      </w:r>
      <w:r>
        <w:rPr>
          <w:rFonts w:hint="eastAsia" w:ascii="宋体" w:hAnsi="宋体" w:eastAsia="宋体" w:cs="宋体"/>
          <w:sz w:val="24"/>
          <w:szCs w:val="24"/>
          <w:highlight w:val="none"/>
        </w:rPr>
        <w:t xml:space="preserve">服务</w:t>
      </w:r>
      <w:r>
        <w:rPr>
          <w:rFonts w:hint="eastAsia" w:ascii="宋体" w:hAnsi="宋体"/>
          <w:bCs/>
          <w:color w:val="000000"/>
          <w:sz w:val="24"/>
          <w:highlight w:val="none"/>
          <w:lang w:eastAsia="zh-CN"/>
        </w:rPr>
        <w:t xml:space="preserve">无锡市公安局水上分局2025、2026年食堂食材采购</w:t>
      </w:r>
      <w:r>
        <w:rPr>
          <w:rFonts w:hint="eastAsia" w:ascii="宋体" w:hAnsi="宋体" w:eastAsia="宋体" w:cs="宋体"/>
          <w:sz w:val="24"/>
          <w:szCs w:val="24"/>
          <w:highlight w:val="none"/>
        </w:rPr>
        <w:t xml:space="preserve">的配供。经双方友好协商，特订立以下合同供双方共同遵照执行。</w:t>
      </w:r>
      <w:r/>
    </w:p>
    <w:p>
      <w:pPr>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一、合同期限：</w:t>
      </w:r>
      <w:r/>
    </w:p>
    <w:p>
      <w:pPr>
        <w:ind w:firstLine="84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二、费用及支付方式：</w:t>
      </w:r>
      <w:r/>
    </w:p>
    <w:p>
      <w:pPr>
        <w:ind w:firstLine="482"/>
        <w:spacing w:line="360" w:lineRule="auto"/>
        <w:widowControl/>
        <w:rPr>
          <w:rFonts w:ascii="宋体" w:hAnsi="宋体" w:cs="仿宋"/>
          <w:b/>
          <w:bCs/>
          <w:color w:val="000000"/>
          <w:sz w:val="24"/>
          <w:szCs w:val="24"/>
        </w:rPr>
      </w:pPr>
      <w:r>
        <w:rPr>
          <w:rFonts w:hint="eastAsia" w:ascii="宋体" w:hAnsi="宋体" w:eastAsia="宋体" w:cs="宋体"/>
          <w:sz w:val="24"/>
          <w:szCs w:val="24"/>
          <w:highlight w:val="none"/>
        </w:rPr>
        <w:t xml:space="preserve">付款方式：</w:t>
      </w:r>
      <w:r>
        <w:rPr>
          <w:rFonts w:hint="eastAsia" w:ascii="宋体" w:hAnsi="宋体" w:cs="仿宋"/>
          <w:b/>
          <w:bCs/>
          <w:color w:val="000000"/>
          <w:sz w:val="24"/>
          <w:szCs w:val="24"/>
        </w:rPr>
        <w:t xml:space="preserve">双方按30天为货款结算期，结算日期为上月的26日至本月的25日，经双方核对当期清单无误后中标单位开具正规发票，采购方在收到发票后于15个工作日内，以转账的方式支付给中标单位当期所供商品全部货款（因退货、价格等问题造成的发票调整导致汇款不及时由中标方承担）。</w:t>
      </w:r>
      <w:r/>
    </w:p>
    <w:p>
      <w:pPr>
        <w:ind w:firstLine="562"/>
        <w:jc w:val="left"/>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cs="仿宋"/>
          <w:b/>
          <w:bCs/>
          <w:color w:val="000000"/>
          <w:sz w:val="24"/>
          <w:szCs w:val="24"/>
        </w:rPr>
        <w:t xml:space="preserve">根据苏财购〔2020〕52号《关于做好政府采购支持企业发展有关事项的通知》的精神，合同中约定</w:t>
      </w:r>
      <w:r>
        <w:rPr>
          <w:rFonts w:hint="eastAsia" w:ascii="宋体" w:hAnsi="宋体" w:cs="仿宋"/>
          <w:b/>
          <w:bCs/>
          <w:color w:val="000000"/>
          <w:sz w:val="24"/>
          <w:szCs w:val="24"/>
        </w:rPr>
        <w:t xml:space="preserve">在财政部门审核确认后支付合同金额30%的预付款。本采购项目按照采购人主管财政部门的规定以及本采购项目供货的特殊性，付款根据财政资金的实际支付程序执行。结算采用以下方式：按无锡市发展和改革委员会官网专题专栏中民生价费近期公示价格的平均价格*投标时折扣率*实际数量进行结算，如遇网站上没有该食品，则按无锡市天惠超市的价格*投标时折扣率*实际数量结算，如遇无锡市发展和改革委员会官网及无锡市天惠超市均没有该类食品，乙方应提前通知甲方，经双方协商后进行调整确认，原则上按寻找到的其他市场价格*投标时折扣率*实际数量结算。</w:t>
      </w:r>
      <w:r/>
    </w:p>
    <w:p>
      <w:pPr>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、质量标准</w:t>
      </w:r>
      <w:r>
        <w:rPr>
          <w:rFonts w:hint="eastAsia" w:ascii="宋体" w:hAnsi="宋体" w:eastAsia="宋体" w:cs="宋体"/>
          <w:b/>
          <w:bCs/>
          <w:sz w:val="24"/>
          <w:szCs w:val="24"/>
          <w:highlight w:val="none"/>
          <w:lang w:eastAsia="zh-CN"/>
        </w:rPr>
        <w:t xml:space="preserve">及要求</w:t>
      </w:r>
      <w:r>
        <w:rPr>
          <w:rFonts w:hint="eastAsia" w:ascii="宋体" w:hAnsi="宋体" w:eastAsia="宋体" w:cs="宋体"/>
          <w:b/>
          <w:bCs/>
          <w:sz w:val="24"/>
          <w:szCs w:val="24"/>
          <w:highlight w:val="none"/>
        </w:rPr>
        <w:t xml:space="preserve">：</w:t>
      </w:r>
      <w:r/>
    </w:p>
    <w:p>
      <w:pPr>
        <w:ind w:firstLine="482"/>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本项目需执行的国家相关标准、行业标准、地方标准或者其他标准、规范，《中华人民共和国食品安全法</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食品生产通用卫生规范</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餐饮服务食品安全操作规范</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餐饮业和集体用餐配送单位卫生规范</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国家食品卫生标准》和《动物检疫法》等其他法律法规以及江苏省和无锡市行业主管部门颁布的相关文件规定，如</w:t>
      </w:r>
      <w:r>
        <w:rPr>
          <w:rFonts w:hint="eastAsia" w:ascii="宋体" w:hAnsi="宋体" w:cs="仿宋"/>
          <w:color w:val="000000"/>
          <w:sz w:val="24"/>
          <w:szCs w:val="24"/>
          <w:lang w:eastAsia="zh-CN"/>
        </w:rPr>
        <w:t xml:space="preserve">地方性法规</w:t>
      </w:r>
      <w:r>
        <w:rPr>
          <w:rFonts w:hint="eastAsia" w:ascii="宋体" w:hAnsi="宋体" w:cs="仿宋"/>
          <w:color w:val="000000"/>
          <w:sz w:val="24"/>
          <w:szCs w:val="24"/>
        </w:rPr>
        <w:t xml:space="preserve">与国家法规相抵触，按国家法规执行。</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肉类（新鲜肉类及其冻品）：猪肉、牛肉、鲜(冻)鸡鸭、鸡副产品等必须具有《动物或动物产品分销信息凭证</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动物检疫合格证》和《肉品品质检验合格证》。冷冻品类需有出厂日期、品质优良、包装完好、无异味、无病毒，在保质期内。配送公司须提供产品合格证明文件，动物产品提供《动物或动物产品分销信息凭证》或《动物检疫合格证》。使用冷鲜肉品牌产品，质量必须符合GB9959.1-2001标准，配送所需的生猪应由规模养殖场提供经农业部门检测、检疫合格的鲜活健康猪源，经定点屠宰厂屠宰加工并检验合格；配送工具必须符合卫生要求，不得与</w:t>
      </w:r>
      <w:r>
        <w:rPr>
          <w:rFonts w:hint="eastAsia" w:ascii="宋体" w:hAnsi="宋体" w:cs="仿宋"/>
          <w:color w:val="000000"/>
          <w:sz w:val="24"/>
          <w:szCs w:val="24"/>
          <w:lang w:eastAsia="zh-CN"/>
        </w:rPr>
        <w:t xml:space="preserve">其他货物</w:t>
      </w:r>
      <w:r>
        <w:rPr>
          <w:rFonts w:hint="eastAsia" w:ascii="宋体" w:hAnsi="宋体" w:cs="仿宋"/>
          <w:color w:val="000000"/>
          <w:sz w:val="24"/>
          <w:szCs w:val="24"/>
        </w:rPr>
        <w:t xml:space="preserve">混装，防止肉品二次污染。</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蔬菜类（非转基因、无公害蔬菜）：新鲜嫩绿、无黄叶、无菜虫，必须通过农药残留成分测试，蔬菜不带根、不带泥，符合食品卫生要求。必须符合GB18406.1-2001 农产品安全质量无公害蔬菜安全要求，对蔬菜中有害物质严格控制在标准规定范围之内。</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蛋类：无公害禽蛋，新鲜，无变质，无臭蛋。禽蛋等新鲜蛋类必须符合</w:t>
      </w:r>
      <w:r>
        <w:rPr>
          <w:sz w:val="24"/>
          <w:szCs w:val="24"/>
        </w:rPr>
        <w:fldChar w:fldCharType="begin"/>
      </w:r>
      <w:r>
        <w:rPr>
          <w:sz w:val="24"/>
          <w:szCs w:val="24"/>
        </w:rPr>
        <w:instrText xml:space="preserve"> HYPERLINK "http://down.foodmate.net/standard/sort/3/48415.html" \o "http://down.foodmate.net/standard/sort/3/48415.html" </w:instrText>
      </w:r>
      <w:r>
        <w:rPr>
          <w:sz w:val="24"/>
          <w:szCs w:val="24"/>
        </w:rPr>
        <w:fldChar w:fldCharType="separate"/>
      </w:r>
      <w:r>
        <w:rPr>
          <w:rFonts w:hint="eastAsia" w:ascii="宋体" w:hAnsi="宋体" w:cs="仿宋"/>
          <w:color w:val="000000"/>
          <w:sz w:val="24"/>
          <w:szCs w:val="24"/>
        </w:rPr>
        <w:t xml:space="preserve">GB2749-2015标准。</w:t>
      </w:r>
      <w:r>
        <w:rPr>
          <w:rFonts w:hint="eastAsia" w:ascii="宋体" w:hAnsi="宋体" w:cs="宋体"/>
          <w:color w:val="000000"/>
          <w:sz w:val="24"/>
          <w:szCs w:val="24"/>
        </w:rPr>
        <w:t xml:space="preserve"> </w:t>
      </w:r>
      <w:r>
        <w:rPr>
          <w:rFonts w:hint="eastAsia" w:ascii="宋体" w:hAnsi="宋体" w:cs="宋体"/>
          <w:color w:val="000000"/>
          <w:sz w:val="24"/>
          <w:szCs w:val="24"/>
        </w:rPr>
        <w:fldChar w:fldCharType="end"/>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水果类：须为非转基因产品，个头均匀，无斑点，无破损，果实成熟新鲜，味道纯正。</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水产及其冻品类：肉质新鲜，无病毒，不含有害物质，鲜鱼类必须生猛</w:t>
      </w:r>
      <w:r>
        <w:rPr>
          <w:rFonts w:hint="eastAsia" w:ascii="宋体" w:hAnsi="宋体" w:cs="仿宋"/>
          <w:color w:val="000000"/>
          <w:sz w:val="24"/>
          <w:szCs w:val="24"/>
        </w:rPr>
        <w:t xml:space="preserve">鲜活（杀好的鱼重量按：鱼+鱼内脏的重量计重）。必须符合GB2733-2005《鲜、冻动物性水产品卫生标准》、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包装箱要注明产品名称、生产厂家、厂址、须有出厂日期，保质期，品质优良，包装完好，无异味，无毒无害。</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食用油：非转基因食用油。必须符合国家《中华人民共和国食品安全法》品质标准，包装规范、有QS标志，符合相关国家标准。</w:t>
      </w:r>
      <w:r/>
    </w:p>
    <w:p>
      <w:pPr>
        <w:ind w:firstLine="480"/>
        <w:spacing w:line="360" w:lineRule="auto"/>
        <w:widowControl/>
        <w:rPr>
          <w:rFonts w:ascii="宋体" w:hAnsi="宋体" w:cs="仿宋"/>
          <w:color w:val="000000"/>
          <w:sz w:val="24"/>
          <w:szCs w:val="24"/>
        </w:rPr>
      </w:pPr>
      <w:r>
        <w:rPr>
          <w:rFonts w:hint="eastAsia" w:ascii="宋体" w:hAnsi="宋体" w:cs="仿宋"/>
          <w:color w:val="000000"/>
          <w:sz w:val="24"/>
          <w:szCs w:val="24"/>
        </w:rPr>
        <w:t xml:space="preserve">南北货及调味品类：必须符合国家《中华人民共和国食品安全法》品质标准，包装规范、有QS标志，符合相关国家标准。投标商供货品种必须是品牌产品并具有注册商标，产品以及包装符合国家食品安全规定。</w:t>
      </w:r>
      <w:r/>
    </w:p>
    <w:p>
      <w:pPr>
        <w:pStyle w:val="976"/>
        <w:ind w:left="0" w:firstLine="480"/>
        <w:keepLines w:val="0"/>
        <w:keepNext w:val="0"/>
        <w:pageBreakBefore w:val="0"/>
        <w:spacing w:before="0" w:beforeAutospacing="0" w:after="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cs="仿宋"/>
          <w:color w:val="000000"/>
          <w:sz w:val="24"/>
          <w:szCs w:val="24"/>
        </w:rPr>
        <w:t xml:space="preserve">投标人严禁提供：①无品名、产地、厂名、生产日期、保质期及中文标识及原料说明的定型包装食品（除非定型包装食品）；②超过保质期限或不符合食品标签规定的定型包装食品；③腐败变质、油脂酸败、霉变、生虫、污秽不洁、混有异物或者</w:t>
      </w:r>
      <w:r>
        <w:rPr>
          <w:rFonts w:hint="eastAsia" w:cs="仿宋"/>
          <w:color w:val="000000"/>
          <w:sz w:val="24"/>
          <w:szCs w:val="24"/>
          <w:lang w:eastAsia="zh-CN"/>
        </w:rPr>
        <w:t xml:space="preserve">其他</w:t>
      </w:r>
      <w:r>
        <w:rPr>
          <w:rFonts w:hint="eastAsia" w:ascii="宋体" w:hAnsi="宋体" w:cs="仿宋"/>
          <w:color w:val="000000"/>
          <w:sz w:val="24"/>
          <w:szCs w:val="24"/>
        </w:rPr>
        <w:t xml:space="preserve">感官性状异常，含有毒、有害物质或者被有毒、有害物质污染，可能对人体健康有害的食品；④</w:t>
      </w:r>
      <w:r>
        <w:rPr>
          <w:rFonts w:hint="eastAsia" w:cs="仿宋"/>
          <w:color w:val="000000"/>
          <w:sz w:val="24"/>
          <w:szCs w:val="24"/>
          <w:lang w:eastAsia="zh-CN"/>
        </w:rPr>
        <w:t xml:space="preserve">其他不</w:t>
      </w:r>
      <w:r>
        <w:rPr>
          <w:rFonts w:hint="eastAsia" w:ascii="宋体" w:hAnsi="宋体" w:cs="仿宋"/>
          <w:color w:val="000000"/>
          <w:sz w:val="24"/>
          <w:szCs w:val="24"/>
        </w:rPr>
        <w:t xml:space="preserve">符合食品卫生标准和要求的食品。</w:t>
      </w:r>
      <w:r/>
    </w:p>
    <w:p>
      <w:pPr>
        <w:jc w:val="left"/>
        <w:keepLines w:val="0"/>
        <w:keepNext w:val="0"/>
        <w:pageBreakBefore w:val="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、供货价格的核定</w:t>
      </w:r>
      <w:r/>
    </w:p>
    <w:p>
      <w:pPr>
        <w:pStyle w:val="976"/>
        <w:ind w:firstLine="391"/>
        <w:keepLines w:val="0"/>
        <w:keepNext w:val="0"/>
        <w:pageBreakBefore w:val="0"/>
        <w:spacing w:before="0" w:beforeAutospacing="0" w:after="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采购人每月两次对食材单价进行核价</w:t>
      </w:r>
      <w:r>
        <w:rPr>
          <w:rFonts w:hint="eastAsia" w:ascii="宋体" w:hAnsi="宋体" w:eastAsia="宋体" w:cs="宋体"/>
          <w:color w:val="000000"/>
          <w:sz w:val="24"/>
          <w:szCs w:val="24"/>
          <w:highlight w:val="none"/>
          <w:lang w:val="en-US" w:eastAsia="zh-CN"/>
        </w:rPr>
        <w:t xml:space="preserve">抽查</w:t>
      </w:r>
      <w:r>
        <w:rPr>
          <w:rFonts w:hint="eastAsia" w:ascii="宋体" w:hAnsi="宋体" w:eastAsia="宋体" w:cs="宋体"/>
          <w:color w:val="000000"/>
          <w:sz w:val="24"/>
          <w:szCs w:val="24"/>
          <w:highlight w:val="none"/>
        </w:rPr>
        <w:t xml:space="preserve">。如发生供货价高于报价文件承诺的优惠价，按照考评细则进行扣分。如自行提价被食堂管理及采购人员市场调查发现同品种质量的商品连续2次，每次2个以上品种高于市场价，</w:t>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方有权单方立即终止合同。</w:t>
      </w:r>
      <w:r/>
    </w:p>
    <w:p>
      <w:pPr>
        <w:jc w:val="left"/>
        <w:keepLines w:val="0"/>
        <w:keepNext w:val="0"/>
        <w:pageBreakBefore w:val="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、甲方每日需求的上报方式及流程</w:t>
      </w:r>
      <w:r/>
    </w:p>
    <w:p>
      <w:pPr>
        <w:ind w:firstLine="56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方在供应日前一天15时之前，通过微信或电话形式向中标单位</w:t>
      </w:r>
      <w:r>
        <w:rPr>
          <w:rFonts w:hint="eastAsia" w:ascii="宋体" w:hAnsi="宋体" w:cs="宋体"/>
          <w:color w:val="000000"/>
          <w:sz w:val="24"/>
          <w:szCs w:val="24"/>
          <w:highlight w:val="none"/>
          <w:lang w:eastAsia="zh-CN"/>
        </w:rPr>
        <w:t xml:space="preserve">预订</w:t>
      </w:r>
      <w:r>
        <w:rPr>
          <w:rFonts w:hint="eastAsia" w:ascii="宋体" w:hAnsi="宋体" w:eastAsia="宋体" w:cs="宋体"/>
          <w:color w:val="000000"/>
          <w:sz w:val="24"/>
          <w:szCs w:val="24"/>
          <w:highlight w:val="none"/>
        </w:rPr>
        <w:t xml:space="preserve">第二天所需的品种、规格、数量等订货信息。</w:t>
      </w:r>
      <w:r/>
    </w:p>
    <w:p>
      <w:pPr>
        <w:ind w:firstLine="56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2、乙方收到配送</w:t>
      </w:r>
      <w:r>
        <w:rPr>
          <w:rFonts w:hint="eastAsia" w:ascii="宋体" w:hAnsi="宋体" w:eastAsia="宋体" w:cs="宋体"/>
          <w:color w:val="000000"/>
          <w:sz w:val="24"/>
          <w:szCs w:val="24"/>
          <w:highlight w:val="none"/>
          <w:lang w:eastAsia="zh-CN"/>
        </w:rPr>
        <w:t xml:space="preserve">清单</w:t>
      </w:r>
      <w:r>
        <w:rPr>
          <w:rFonts w:hint="eastAsia" w:ascii="宋体" w:hAnsi="宋体" w:eastAsia="宋体" w:cs="宋体"/>
          <w:color w:val="000000"/>
          <w:sz w:val="24"/>
          <w:szCs w:val="24"/>
          <w:highlight w:val="none"/>
        </w:rPr>
        <w:t xml:space="preserve">后，应进行确认。如在收到后一小时内不进行确认也不表示异议的，视为确认。</w:t>
      </w:r>
      <w:r/>
    </w:p>
    <w:p>
      <w:pPr>
        <w:ind w:left="0" w:right="0" w:firstLine="56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3、如采购方需改变订单内容，须在当天19时前向中标单位提出。</w:t>
      </w:r>
      <w:r>
        <w:rPr>
          <w:rFonts w:hint="eastAsia" w:ascii="宋体" w:hAnsi="宋体" w:eastAsia="宋体" w:cs="宋体"/>
          <w:color w:val="000000"/>
          <w:sz w:val="24"/>
          <w:szCs w:val="24"/>
          <w:highlight w:val="none"/>
          <w:lang w:eastAsia="zh-CN"/>
        </w:rPr>
        <w:t xml:space="preserve">如遇特殊情况</w:t>
      </w:r>
      <w:r>
        <w:rPr>
          <w:rFonts w:hint="eastAsia" w:ascii="宋体" w:hAnsi="宋体" w:eastAsia="宋体" w:cs="宋体"/>
          <w:color w:val="000000"/>
          <w:sz w:val="24"/>
          <w:szCs w:val="24"/>
          <w:highlight w:val="none"/>
        </w:rPr>
        <w:t xml:space="preserve">甲方在发出配送通知后的次日7:00前有权调整</w:t>
      </w:r>
      <w:r>
        <w:rPr>
          <w:rFonts w:hint="eastAsia" w:ascii="宋体" w:hAnsi="宋体" w:eastAsia="宋体" w:cs="宋体"/>
          <w:color w:val="000000"/>
          <w:sz w:val="24"/>
          <w:szCs w:val="24"/>
          <w:highlight w:val="none"/>
          <w:lang w:eastAsia="zh-CN"/>
        </w:rPr>
        <w:t xml:space="preserve">部分商品的品种和</w:t>
      </w:r>
      <w:r>
        <w:rPr>
          <w:rFonts w:hint="eastAsia" w:ascii="宋体" w:hAnsi="宋体" w:eastAsia="宋体" w:cs="宋体"/>
          <w:color w:val="000000"/>
          <w:sz w:val="24"/>
          <w:szCs w:val="24"/>
          <w:highlight w:val="none"/>
        </w:rPr>
        <w:t xml:space="preserve">数量，乙方应按调整后的品种和数量供货，</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按实际供货</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品种和数量进行结算。</w:t>
      </w:r>
      <w:r/>
    </w:p>
    <w:p>
      <w:pPr>
        <w:pStyle w:val="987"/>
        <w:ind w:left="0" w:right="0"/>
        <w:keepLines w:val="0"/>
        <w:keepNext w:val="0"/>
        <w:pageBreakBefore w:val="0"/>
        <w:spacing w:line="360" w:lineRule="auto"/>
        <w:shd w:val="clear" w:color="auto" w:fill="auto"/>
        <w:widowControl w:val="off"/>
        <w:tabs>
          <w:tab w:val="left" w:pos="90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TW" w:eastAsia="zh-TW"/>
        </w:rPr>
        <w:t xml:space="preserve">、甲方临时要求补货的，乙方除有正当理由外，均应满足甲方的需求，并按要求</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按时送</w:t>
      </w:r>
      <w:r>
        <w:rPr>
          <w:rFonts w:hint="eastAsia" w:ascii="宋体" w:hAnsi="宋体" w:eastAsia="宋体" w:cs="宋体"/>
          <w:color w:val="000000"/>
          <w:sz w:val="24"/>
          <w:szCs w:val="24"/>
          <w:highlight w:val="none"/>
          <w:lang w:val="zh-TW" w:eastAsia="zh-CN"/>
        </w:rPr>
        <w:t xml:space="preserve">达</w:t>
      </w:r>
      <w:r>
        <w:rPr>
          <w:rFonts w:hint="eastAsia" w:ascii="宋体" w:hAnsi="宋体" w:eastAsia="宋体" w:cs="宋体"/>
          <w:color w:val="000000"/>
          <w:sz w:val="24"/>
          <w:szCs w:val="24"/>
          <w:highlight w:val="none"/>
          <w:lang w:val="zh-TW" w:eastAsia="zh-TW"/>
        </w:rPr>
        <w:t xml:space="preserve">。</w:t>
      </w:r>
      <w:r/>
    </w:p>
    <w:p>
      <w:pPr>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、产品的包装要求</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1、乙方应根据甲方的分装要求(地点、品种、数量)进行分装。</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2、盛装容器必须使用食品专用袋、白色编织袋、竹筐、塑料筐、网袋、纸箱。</w:t>
      </w:r>
      <w:r/>
    </w:p>
    <w:p>
      <w:pPr>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、配送时间要求</w:t>
      </w:r>
      <w:r/>
    </w:p>
    <w:p>
      <w:pPr>
        <w:ind w:left="1" w:firstLine="557"/>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1、乙方应于甲方通知配送的次日上午6点前将甲方所需产品送至甲方的指定地点并完成卸货。</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2、如遇特殊情况甲方需调整配送时间，乙方应无条件配合。</w:t>
      </w:r>
      <w:r/>
    </w:p>
    <w:p>
      <w:pPr>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八</w:t>
      </w:r>
      <w:r>
        <w:rPr>
          <w:rFonts w:hint="eastAsia" w:ascii="宋体" w:hAnsi="宋体" w:eastAsia="宋体" w:cs="宋体"/>
          <w:b/>
          <w:bCs/>
          <w:color w:val="000000"/>
          <w:sz w:val="24"/>
          <w:szCs w:val="24"/>
          <w:highlight w:val="none"/>
        </w:rPr>
        <w:t xml:space="preserve">、验收地点、验收方式要求</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1、验收地点:甲方指定送货地点。</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2、验收方式:由甲方食堂采购员到场验收。称量、验收后签字确认。</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3、甲方严格按照《质量标准表》进行品种、质量验收。</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4、产品数量以验收合格的产品的净重为准，并以此作为结算依据。</w:t>
      </w:r>
      <w:r/>
    </w:p>
    <w:p>
      <w:pPr>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九</w:t>
      </w:r>
      <w:r>
        <w:rPr>
          <w:rFonts w:hint="eastAsia" w:ascii="宋体" w:hAnsi="宋体" w:eastAsia="宋体" w:cs="宋体"/>
          <w:b/>
          <w:bCs/>
          <w:color w:val="000000"/>
          <w:sz w:val="24"/>
          <w:szCs w:val="24"/>
          <w:highlight w:val="none"/>
        </w:rPr>
        <w:t xml:space="preserve">、违约责任</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、甲方临时要求补货，乙方无正当理由拒绝甲方的补货要求，或接受了补货要求但未按时送货的，乙方应赔偿甲方因此遭受的所有损失。</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、在本合同履行过程中，因不可抗力事件导致其中任何一方不能履行合同，应立即通知对方且说明缘由。双方通过友好协商，确定是否继续履行合同并根据情况可部分或全部免于承担违约责任。</w:t>
      </w:r>
      <w:r/>
    </w:p>
    <w:p>
      <w:pPr>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十、争议解决方式：</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甲乙双方因履行本合同发生纠纷时，应当协商解决；协商不成的，任何一方均有权向甲方所在地人民法院提起诉讼。</w:t>
      </w:r>
      <w:r/>
    </w:p>
    <w:p>
      <w:pPr>
        <w:pStyle w:val="976"/>
        <w:ind w:firstLine="0"/>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、试供期</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1、试供期为30天，即试供期</w:t>
      </w:r>
      <w:r>
        <w:rPr>
          <w:rFonts w:hint="eastAsia" w:ascii="宋体" w:hAnsi="宋体" w:eastAsia="宋体" w:cs="宋体"/>
          <w:color w:val="000000"/>
          <w:sz w:val="24"/>
          <w:szCs w:val="24"/>
          <w:highlight w:val="none"/>
          <w:lang w:val="en-US" w:eastAsia="zh-CN"/>
        </w:rPr>
        <w:t xml:space="preserve">合同签订生效后以采购方通知供货日期起30天。具体供货日期以采购方通知为准。</w:t>
      </w:r>
      <w:r>
        <w:rPr>
          <w:rFonts w:hint="eastAsia" w:ascii="宋体" w:hAnsi="宋体" w:eastAsia="宋体" w:cs="宋体"/>
          <w:color w:val="000000"/>
          <w:sz w:val="24"/>
          <w:szCs w:val="24"/>
          <w:highlight w:val="none"/>
        </w:rPr>
        <w:t xml:space="preserve">试供期内甲方主要考察乙方货物质量、服务、信誉等方面。</w:t>
      </w:r>
      <w:r/>
    </w:p>
    <w:p>
      <w:pPr>
        <w:pStyle w:val="976"/>
        <w:ind w:firstLine="560"/>
        <w:keepLines w:val="0"/>
        <w:keepNext w:val="0"/>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2、试供期满且经甲方综合考察认为合格的，合同继续执行；若试供期间出现质量、服务等难以磨合的问题的，甲乙双方均可终止合同，甲方有权选择本项目下一中标候选人进行替补。</w:t>
      </w:r>
      <w:r/>
    </w:p>
    <w:p>
      <w:pPr>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、其他事项：</w:t>
      </w:r>
      <w:r/>
    </w:p>
    <w:p>
      <w:pPr>
        <w:ind w:firstLine="56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1、甲、乙双方就本采购项目所涉及的招标书、投标书中的相关条款要求和服务承诺内容均视作本合同的一部分，与本合同具有同等法律效力。若该等条款与本合同内容相冲突的，以本合同内容为准。</w:t>
      </w:r>
      <w:r/>
    </w:p>
    <w:p>
      <w:pPr>
        <w:pStyle w:val="976"/>
        <w:keepLines w:val="0"/>
        <w:keepNext w:val="0"/>
        <w:pageBreakBefore w:val="0"/>
        <w:spacing w:before="0" w:beforeAutospacing="0" w:after="0" w:afterAutospacing="0"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2、乙方不能满足供货要求，有终止合约意向时，应提前1个月通知甲方，在甲方同意后，双方约定终止合同时间，期间由此产生的不良后果由乙方自行承担。</w:t>
      </w:r>
      <w:r/>
    </w:p>
    <w:p>
      <w:pPr>
        <w:pStyle w:val="976"/>
        <w:keepLines w:val="0"/>
        <w:keepNext w:val="0"/>
        <w:pageBreakBefore w:val="0"/>
        <w:spacing w:before="0" w:beforeAutospacing="0" w:after="0" w:afterAutospacing="0"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甲方将不定期地组织专人对乙方所供货物的质量报送质检部门抽检，若发现货物质量检测结果与招标文件或投标响应文件质量标准不符的，甲方有权在考核中扣分，累计发生2次以上的解除合同。并列入黑名单，并</w:t>
      </w:r>
      <w:r>
        <w:rPr>
          <w:rFonts w:hint="eastAsia" w:cs="宋体"/>
          <w:color w:val="000000"/>
          <w:sz w:val="24"/>
          <w:szCs w:val="24"/>
          <w:highlight w:val="none"/>
          <w:lang w:val="en-US" w:eastAsia="zh-CN" w:bidi="ar-SA"/>
        </w:rPr>
        <w:t xml:space="preserve">终止</w:t>
      </w:r>
      <w:r>
        <w:rPr>
          <w:rFonts w:hint="eastAsia" w:ascii="宋体" w:hAnsi="宋体" w:eastAsia="宋体" w:cs="宋体"/>
          <w:color w:val="000000"/>
          <w:sz w:val="24"/>
          <w:szCs w:val="24"/>
          <w:highlight w:val="none"/>
          <w:lang w:val="en-US" w:eastAsia="zh-CN" w:bidi="ar-SA"/>
        </w:rPr>
        <w:t xml:space="preserve">合同，五年内不得参与甲方食堂招标项目，乙方须无条件接受。    </w:t>
      </w:r>
      <w:r/>
    </w:p>
    <w:p>
      <w:pPr>
        <w:pStyle w:val="987"/>
        <w:ind w:left="0" w:firstLine="0"/>
        <w:keepLines w:val="0"/>
        <w:keepNext w:val="0"/>
        <w:pageBreakBefore w:val="0"/>
        <w:spacing w:line="360" w:lineRule="auto"/>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4、乙方服务人员必须经卫生防疫部门健康检查及卫生知识培训，并持《健康证》上岗。</w:t>
      </w:r>
      <w:r/>
    </w:p>
    <w:p>
      <w:pPr>
        <w:ind w:firstLine="5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本合同未尽事宜，双方协商解决。</w:t>
      </w:r>
      <w:r/>
    </w:p>
    <w:p>
      <w:pPr>
        <w:ind w:firstLine="5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本合同自甲、乙双方签字（盖章）之日起生效。</w:t>
      </w:r>
      <w:r/>
    </w:p>
    <w:p>
      <w:pPr>
        <w:ind w:firstLine="56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本合同一式六份，甲方三份、乙方二份、见证方一份，具有同等法律效力。</w:t>
      </w:r>
      <w:r/>
    </w:p>
    <w:p>
      <w:pPr>
        <w:pStyle w:val="976"/>
        <w:ind w:firstLine="56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ind w:firstLine="56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ind w:firstLine="56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 </w:t>
      </w:r>
      <w:r/>
    </w:p>
    <w:p>
      <w:pPr>
        <w:pStyle w:val="976"/>
        <w:ind w:firstLine="56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甲方代表（签字）：　　　　　   　         乙方代表（签字）： </w:t>
      </w:r>
      <w:r/>
    </w:p>
    <w:p>
      <w:pPr>
        <w:pStyle w:val="976"/>
        <w:ind w:firstLine="56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签约时间：  年  月   日　　　      日期：  年  月   日</w:t>
      </w:r>
      <w:r/>
    </w:p>
    <w:p>
      <w:pPr>
        <w:jc w:val="left"/>
        <w:spacing w:line="360" w:lineRule="auto"/>
        <w:rPr>
          <w:rFonts w:hint="eastAsia" w:ascii="黑体" w:hAnsi="黑体" w:eastAsia="黑体" w:cs="黑体"/>
          <w:b/>
          <w:color w:val="000000"/>
          <w:sz w:val="32"/>
          <w:szCs w:val="32"/>
          <w:highlight w:val="none"/>
        </w:rPr>
        <w:outlineLvl w:val="0"/>
      </w:pPr>
      <w:r>
        <w:rPr>
          <w:rFonts w:hint="eastAsia" w:ascii="黑体" w:hAnsi="黑体" w:eastAsia="黑体" w:cs="黑体"/>
          <w:b/>
          <w:color w:val="000000"/>
          <w:sz w:val="32"/>
          <w:szCs w:val="32"/>
          <w:highlight w:val="none"/>
        </w:rPr>
      </w:r>
      <w:r/>
    </w:p>
    <w:p>
      <w:pPr>
        <w:jc w:val="left"/>
        <w:spacing w:line="360" w:lineRule="auto"/>
        <w:rPr>
          <w:rFonts w:hint="eastAsia" w:ascii="黑体" w:hAnsi="黑体" w:eastAsia="黑体" w:cs="黑体"/>
          <w:b/>
          <w:color w:val="000000"/>
          <w:sz w:val="32"/>
          <w:szCs w:val="32"/>
          <w:highlight w:val="none"/>
        </w:rPr>
        <w:outlineLvl w:val="0"/>
      </w:pPr>
      <w:r>
        <w:rPr>
          <w:rFonts w:hint="eastAsia" w:ascii="黑体" w:hAnsi="黑体" w:eastAsia="黑体" w:cs="黑体"/>
          <w:b/>
          <w:color w:val="000000"/>
          <w:sz w:val="32"/>
          <w:szCs w:val="32"/>
          <w:highlight w:val="none"/>
        </w:rPr>
        <w:br w:type="page" w:clear="all"/>
      </w:r>
      <w:r>
        <w:rPr>
          <w:rFonts w:hint="eastAsia" w:ascii="黑体" w:hAnsi="黑体" w:eastAsia="黑体" w:cs="黑体"/>
          <w:b/>
          <w:color w:val="000000"/>
          <w:sz w:val="32"/>
          <w:szCs w:val="32"/>
          <w:highlight w:val="none"/>
        </w:rPr>
        <w:t xml:space="preserve">五．投标文件格式</w:t>
      </w:r>
      <w:r/>
    </w:p>
    <w:p>
      <w:pPr>
        <w:jc w:val="center"/>
        <w:spacing w:line="360" w:lineRule="auto"/>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jc w:val="center"/>
        <w:spacing w:line="360" w:lineRule="auto"/>
        <w:rPr>
          <w:rFonts w:hint="eastAsia" w:ascii="黑体" w:eastAsia="黑体"/>
          <w:b/>
          <w:bCs/>
          <w:color w:val="000000"/>
          <w:sz w:val="28"/>
          <w:szCs w:val="28"/>
          <w:highlight w:val="none"/>
        </w:rPr>
      </w:pPr>
      <w:r>
        <w:rPr>
          <w:rFonts w:hint="eastAsia" w:ascii="黑体" w:eastAsia="黑体"/>
          <w:b/>
          <w:bCs/>
          <w:color w:val="000000"/>
          <w:sz w:val="28"/>
          <w:szCs w:val="28"/>
          <w:highlight w:val="none"/>
          <w:lang w:eastAsia="zh-CN"/>
        </w:rPr>
        <w:t xml:space="preserve">（一）</w:t>
      </w:r>
      <w:r>
        <w:rPr>
          <w:rFonts w:hint="eastAsia" w:ascii="黑体" w:eastAsia="黑体"/>
          <w:b/>
          <w:bCs/>
          <w:color w:val="000000"/>
          <w:sz w:val="28"/>
          <w:szCs w:val="28"/>
          <w:highlight w:val="none"/>
        </w:rPr>
        <w:t xml:space="preserve">封面格式：</w:t>
      </w:r>
      <w:r/>
    </w:p>
    <w:p>
      <w:pPr>
        <w:jc w:val="center"/>
        <w:spacing w:line="360" w:lineRule="auto"/>
        <w:rPr>
          <w:rFonts w:hint="eastAsia" w:ascii="黑体" w:eastAsia="黑体"/>
          <w:b/>
          <w:bCs/>
          <w:color w:val="000000"/>
          <w:sz w:val="28"/>
          <w:szCs w:val="28"/>
          <w:highlight w:val="none"/>
        </w:rPr>
      </w:pPr>
      <w:r>
        <w:rPr>
          <w:rFonts w:hint="eastAsia" w:ascii="黑体" w:eastAsia="黑体"/>
          <w:b/>
          <w:bCs/>
          <w:color w:val="000000"/>
          <w:sz w:val="28"/>
          <w:szCs w:val="28"/>
          <w:highlight w:val="none"/>
        </w:rPr>
      </w:r>
      <w:r/>
    </w:p>
    <w:p>
      <w:pPr>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 公开招标</w:t>
      </w:r>
      <w:r/>
    </w:p>
    <w:p>
      <w:pPr>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投标文件</w:t>
      </w:r>
      <w:r/>
    </w:p>
    <w:p>
      <w:pPr>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36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rPr>
        <w:t xml:space="preserve">项目名称：</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 xml:space="preserve">                            </w:t>
      </w:r>
      <w:r/>
    </w:p>
    <w:p>
      <w:pPr>
        <w:spacing w:line="36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r>
      <w:r/>
    </w:p>
    <w:p>
      <w:pPr>
        <w:spacing w:line="36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rPr>
        <w:t xml:space="preserve">投标文件内容：</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 xml:space="preserve">                   </w:t>
      </w:r>
      <w:r/>
    </w:p>
    <w:p>
      <w:pPr>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60" w:lineRule="auto"/>
        <w:rPr>
          <w:rFonts w:hint="eastAsia"/>
          <w:color w:val="000000"/>
          <w:sz w:val="28"/>
          <w:szCs w:val="28"/>
          <w:highlight w:val="none"/>
        </w:rPr>
      </w:pPr>
      <w:r>
        <w:rPr>
          <w:rFonts w:hint="eastAsia" w:ascii="宋体" w:hAnsi="宋体"/>
          <w:b/>
          <w:bCs/>
          <w:color w:val="000000"/>
          <w:sz w:val="28"/>
          <w:szCs w:val="28"/>
          <w:highlight w:val="none"/>
          <w:u w:val="single"/>
        </w:rPr>
        <w:t xml:space="preserve">     </w:t>
      </w:r>
      <w:r>
        <w:rPr>
          <w:rFonts w:hint="eastAsia" w:ascii="宋体" w:hAnsi="宋体"/>
          <w:b/>
          <w:bCs/>
          <w:color w:val="000000"/>
          <w:sz w:val="28"/>
          <w:szCs w:val="28"/>
          <w:highlight w:val="none"/>
        </w:rPr>
        <w:t xml:space="preserve">年</w:t>
      </w:r>
      <w:r>
        <w:rPr>
          <w:rFonts w:ascii="宋体" w:hAnsi="宋体"/>
          <w:b/>
          <w:bCs/>
          <w:color w:val="000000"/>
          <w:sz w:val="28"/>
          <w:szCs w:val="28"/>
          <w:highlight w:val="none"/>
          <w:u w:val="single"/>
        </w:rPr>
        <w:t xml:space="preserve"> </w:t>
      </w:r>
      <w:r>
        <w:rPr>
          <w:rFonts w:hint="eastAsia" w:ascii="宋体" w:hAnsi="宋体"/>
          <w:b/>
          <w:bCs/>
          <w:color w:val="000000"/>
          <w:sz w:val="28"/>
          <w:szCs w:val="28"/>
          <w:highlight w:val="none"/>
          <w:u w:val="single"/>
        </w:rPr>
        <w:t xml:space="preserve">   </w:t>
      </w:r>
      <w:r>
        <w:rPr>
          <w:rFonts w:hint="eastAsia" w:ascii="宋体" w:hAnsi="宋体"/>
          <w:b/>
          <w:bCs/>
          <w:color w:val="000000"/>
          <w:sz w:val="28"/>
          <w:szCs w:val="28"/>
          <w:highlight w:val="none"/>
        </w:rPr>
        <w:t xml:space="preserve">月</w:t>
      </w:r>
      <w:r>
        <w:rPr>
          <w:rFonts w:ascii="宋体" w:hAnsi="宋体"/>
          <w:b/>
          <w:bCs/>
          <w:color w:val="000000"/>
          <w:sz w:val="28"/>
          <w:szCs w:val="28"/>
          <w:highlight w:val="none"/>
          <w:u w:val="single"/>
        </w:rPr>
        <w:t xml:space="preserve"> </w:t>
      </w:r>
      <w:r>
        <w:rPr>
          <w:rFonts w:hint="eastAsia" w:ascii="宋体" w:hAnsi="宋体"/>
          <w:b/>
          <w:bCs/>
          <w:color w:val="000000"/>
          <w:sz w:val="28"/>
          <w:szCs w:val="28"/>
          <w:highlight w:val="none"/>
          <w:u w:val="single"/>
        </w:rPr>
        <w:t xml:space="preserve">  </w:t>
      </w:r>
      <w:r>
        <w:rPr>
          <w:rFonts w:hint="eastAsia" w:ascii="宋体" w:hAnsi="宋体"/>
          <w:b/>
          <w:bCs/>
          <w:color w:val="000000"/>
          <w:sz w:val="28"/>
          <w:szCs w:val="28"/>
          <w:highlight w:val="none"/>
        </w:rPr>
        <w:t xml:space="preserve">日</w:t>
      </w:r>
      <w:r>
        <w:rPr>
          <w:rFonts w:hint="eastAsia" w:ascii="宋体" w:hAnsi="宋体"/>
          <w:b/>
          <w:bCs/>
          <w:color w:val="000000"/>
          <w:sz w:val="28"/>
          <w:szCs w:val="28"/>
          <w:highlight w:val="none"/>
          <w:u w:val="single"/>
        </w:rPr>
        <w:t xml:space="preserve">    </w:t>
      </w:r>
      <w:r>
        <w:rPr>
          <w:rFonts w:hint="eastAsia" w:ascii="宋体" w:hAnsi="宋体"/>
          <w:b/>
          <w:bCs/>
          <w:color w:val="000000"/>
          <w:sz w:val="28"/>
          <w:szCs w:val="28"/>
          <w:highlight w:val="none"/>
        </w:rPr>
        <w:t xml:space="preserve">时</w:t>
      </w:r>
      <w:r>
        <w:rPr>
          <w:rFonts w:hint="eastAsia" w:ascii="宋体" w:hAnsi="宋体"/>
          <w:b/>
          <w:bCs/>
          <w:color w:val="000000"/>
          <w:sz w:val="28"/>
          <w:szCs w:val="28"/>
          <w:highlight w:val="none"/>
          <w:u w:val="single"/>
        </w:rPr>
        <w:t xml:space="preserve">     </w:t>
      </w:r>
      <w:r>
        <w:rPr>
          <w:rFonts w:hint="eastAsia" w:ascii="宋体" w:hAnsi="宋体"/>
          <w:b/>
          <w:bCs/>
          <w:color w:val="000000"/>
          <w:sz w:val="28"/>
          <w:szCs w:val="28"/>
          <w:highlight w:val="none"/>
        </w:rPr>
        <w:t xml:space="preserve">分</w:t>
      </w:r>
      <w:r>
        <w:rPr>
          <w:rFonts w:hint="eastAsia"/>
          <w:color w:val="000000"/>
          <w:sz w:val="28"/>
          <w:szCs w:val="28"/>
          <w:highlight w:val="none"/>
        </w:rPr>
        <w:t xml:space="preserve">开标，此时间以前不得开封；</w:t>
      </w:r>
      <w:r/>
    </w:p>
    <w:p>
      <w:pP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36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rPr>
        <w:t xml:space="preserve">投标供应商：</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 xml:space="preserve">                   （盖公章）</w:t>
      </w:r>
      <w:r/>
    </w:p>
    <w:p>
      <w:pPr>
        <w:spacing w:line="36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r>
      <w:r/>
    </w:p>
    <w:p>
      <w:pP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法定代表人或</w:t>
      </w:r>
      <w:r/>
    </w:p>
    <w:p>
      <w:pPr>
        <w:spacing w:line="36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rPr>
        <w:t xml:space="preserve">其委托代理人：</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rPr>
        <w:tab/>
      </w:r>
      <w:r>
        <w:rPr>
          <w:rFonts w:hint="eastAsia" w:ascii="宋体" w:hAnsi="宋体"/>
          <w:b/>
          <w:color w:val="000000"/>
          <w:sz w:val="28"/>
          <w:szCs w:val="28"/>
          <w:highlight w:val="none"/>
          <w:u w:val="single"/>
        </w:rPr>
        <w:t xml:space="preserve">          （签字或盖章）</w:t>
      </w:r>
      <w:r/>
    </w:p>
    <w:p>
      <w:pPr>
        <w:spacing w:line="36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r>
      <w:r/>
    </w:p>
    <w:p>
      <w:pP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日  期：</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 年</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 月</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rPr>
        <w:t xml:space="preserve">日</w:t>
      </w:r>
      <w:r/>
    </w:p>
    <w:p>
      <w:pPr>
        <w:spacing w:line="360" w:lineRule="auto"/>
        <w:rPr>
          <w:rFonts w:hint="eastAsia" w:ascii="宋体" w:hAnsi="宋体"/>
          <w:bCs/>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t xml:space="preserve">附件1：                         </w:t>
      </w:r>
      <w:r>
        <w:rPr>
          <w:rFonts w:hint="eastAsia" w:ascii="宋体" w:hAnsi="宋体"/>
          <w:bCs/>
          <w:color w:val="000000"/>
          <w:sz w:val="24"/>
          <w:highlight w:val="none"/>
        </w:rPr>
        <w:t xml:space="preserve">投标函（格式）：</w:t>
      </w:r>
      <w:r/>
    </w:p>
    <w:p>
      <w:pPr>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致</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eastAsia="zh-CN"/>
        </w:rPr>
        <w:t xml:space="preserve">采购人</w:t>
      </w:r>
      <w:r>
        <w:rPr>
          <w:rFonts w:hint="eastAsia" w:ascii="宋体" w:hAnsi="宋体" w:cs="宋体"/>
          <w:b/>
          <w:color w:val="000000"/>
          <w:sz w:val="24"/>
          <w:highlight w:val="none"/>
          <w:u w:val="single"/>
        </w:rPr>
        <w:t xml:space="preserve">）</w:t>
      </w:r>
      <w:r>
        <w:rPr>
          <w:rFonts w:hint="eastAsia" w:ascii="宋体" w:hAnsi="宋体"/>
          <w:bCs/>
          <w:color w:val="000000"/>
          <w:sz w:val="24"/>
          <w:highlight w:val="none"/>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我方收到贵单位编号     -  招标文件，经仔细阅读和研究，我方决定参加此次</w:t>
      </w:r>
      <w:r>
        <w:rPr>
          <w:rFonts w:hint="eastAsia" w:ascii="宋体" w:hAnsi="宋体"/>
          <w:bCs/>
          <w:color w:val="000000"/>
          <w:sz w:val="24"/>
          <w:highlight w:val="none"/>
          <w:lang w:eastAsia="zh-CN"/>
        </w:rPr>
        <w:t xml:space="preserve">无锡市公安局水上分局2025、2026年食堂食材采购</w:t>
      </w:r>
      <w:r>
        <w:rPr>
          <w:rFonts w:hint="eastAsia" w:ascii="宋体" w:hAnsi="宋体"/>
          <w:bCs/>
          <w:color w:val="000000"/>
          <w:sz w:val="24"/>
          <w:highlight w:val="none"/>
        </w:rPr>
        <w:t xml:space="preserve">的投标。</w:t>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我方愿意按照招标文件的一切要求，提供本项目的投标，投标总价见《开标一览表》。</w:t>
      </w:r>
      <w:r/>
    </w:p>
    <w:p>
      <w:pPr>
        <w:numPr>
          <w:ilvl w:val="0"/>
          <w:numId w:val="2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4"/>
          <w:rFonts w:hint="eastAsia"/>
          <w:bCs/>
          <w:color w:val="000000"/>
          <w:highlight w:val="none"/>
        </w:rPr>
      </w:pPr>
      <w:r>
        <w:rPr>
          <w:rFonts w:hint="eastAsia" w:ascii="宋体" w:hAnsi="宋体"/>
          <w:bCs/>
          <w:color w:val="000000"/>
          <w:sz w:val="24"/>
          <w:highlight w:val="none"/>
        </w:rPr>
        <w:t xml:space="preserve">我方愿意提供</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采购代理</w:t>
      </w:r>
      <w:r>
        <w:rPr>
          <w:rFonts w:hint="eastAsia" w:ascii="宋体" w:hAnsi="宋体" w:cs="宋体"/>
          <w:color w:val="000000"/>
          <w:sz w:val="24"/>
          <w:highlight w:val="none"/>
        </w:rPr>
        <w:t xml:space="preserve">机构</w:t>
      </w:r>
      <w:r>
        <w:rPr>
          <w:rFonts w:hint="eastAsia" w:ascii="宋体" w:hAnsi="宋体"/>
          <w:bCs/>
          <w:color w:val="000000"/>
          <w:sz w:val="24"/>
          <w:highlight w:val="none"/>
        </w:rPr>
        <w:t xml:space="preserve">在招标文件中要求的文件、资料（具体内容如下）</w:t>
      </w:r>
      <w:r>
        <w:rPr>
          <w:rStyle w:val="994"/>
          <w:rFonts w:hint="eastAsia"/>
          <w:color w:val="000000"/>
          <w:highlight w:val="none"/>
        </w:rPr>
        <w:t xml:space="preserve">：</w:t>
      </w:r>
      <w:r/>
    </w:p>
    <w:p>
      <w:pPr>
        <w:numPr>
          <w:ilvl w:val="2"/>
          <w:numId w:val="22"/>
        </w:numPr>
        <w:ind w:left="0" w:firstLine="525"/>
        <w:spacing w:line="360" w:lineRule="auto"/>
        <w:tabs>
          <w:tab w:val="left" w:pos="945" w:leader="none"/>
          <w:tab w:val="left" w:pos="1575" w:leader="none"/>
        </w:tabs>
        <w:rPr>
          <w:rFonts w:hint="eastAsia" w:ascii="宋体" w:hAnsi="宋体"/>
          <w:bCs/>
          <w:color w:val="000000"/>
          <w:sz w:val="24"/>
          <w:highlight w:val="none"/>
        </w:rPr>
      </w:pPr>
      <w:r>
        <w:rPr>
          <w:rFonts w:hint="eastAsia" w:ascii="宋体" w:hAnsi="宋体"/>
          <w:bCs/>
          <w:color w:val="000000"/>
          <w:sz w:val="24"/>
          <w:highlight w:val="none"/>
        </w:rPr>
        <w:t xml:space="preserve">证明文件</w:t>
      </w:r>
      <w:r/>
    </w:p>
    <w:p>
      <w:pPr>
        <w:ind w:left="709"/>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（1）资格、资信证明文件；</w:t>
      </w:r>
      <w:r>
        <w:rPr>
          <w:rFonts w:hint="eastAsia" w:ascii="宋体" w:hAnsi="宋体"/>
          <w:bCs/>
          <w:color w:val="000000"/>
          <w:sz w:val="24"/>
          <w:highlight w:val="none"/>
        </w:rPr>
        <w:t xml:space="preserve">（</w:t>
      </w:r>
      <w:r>
        <w:rPr>
          <w:rFonts w:hint="eastAsia" w:ascii="宋体" w:hAnsi="宋体"/>
          <w:b/>
          <w:bCs/>
          <w:color w:val="000000"/>
          <w:sz w:val="24"/>
          <w:highlight w:val="none"/>
        </w:rPr>
        <w:t xml:space="preserve">扫描后上传，身份证应为正、反面</w:t>
      </w:r>
      <w:r>
        <w:rPr>
          <w:rFonts w:hint="eastAsia" w:ascii="宋体" w:hAnsi="宋体"/>
          <w:bCs/>
          <w:color w:val="000000"/>
          <w:sz w:val="24"/>
          <w:highlight w:val="none"/>
        </w:rPr>
        <w:t xml:space="preserve">）</w:t>
      </w:r>
      <w:r/>
    </w:p>
    <w:p>
      <w:pPr>
        <w:numPr>
          <w:ilvl w:val="0"/>
          <w:numId w:val="23"/>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关于资格的声明函</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（格式见附件）；</w:t>
      </w:r>
      <w:r/>
    </w:p>
    <w:p>
      <w:pPr>
        <w:numPr>
          <w:ilvl w:val="0"/>
          <w:numId w:val="23"/>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投标供应商法定代表人授权委托书</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（法定代表人亲自参与投标的除外，格式见附件）；</w:t>
      </w:r>
      <w:r/>
    </w:p>
    <w:p>
      <w:pPr>
        <w:numPr>
          <w:ilvl w:val="0"/>
          <w:numId w:val="23"/>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投标供应商法定代表人身份证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及被授权代表身份证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p>
    <w:p>
      <w:pPr>
        <w:numPr>
          <w:ilvl w:val="0"/>
          <w:numId w:val="23"/>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具有独立承担民事责任能力的投标供应商营业执照副本或相关部门的登记证明文件</w:t>
      </w:r>
      <w:r>
        <w:rPr>
          <w:rFonts w:hint="eastAsia" w:ascii="宋体" w:hAnsi="宋体" w:cs="宋体"/>
          <w:bCs/>
          <w:color w:val="000000"/>
          <w:sz w:val="24"/>
          <w:highlight w:val="none"/>
          <w:lang w:eastAsia="zh-CN"/>
        </w:rPr>
        <w:t xml:space="preserve">；</w:t>
      </w:r>
      <w:r/>
    </w:p>
    <w:p>
      <w:pPr>
        <w:numPr>
          <w:ilvl w:val="0"/>
          <w:numId w:val="23"/>
        </w:numPr>
        <w:spacing w:after="120" w:line="360" w:lineRule="auto"/>
        <w:tabs>
          <w:tab w:val="left" w:pos="1365" w:leader="none"/>
        </w:tabs>
        <w:rPr>
          <w:rFonts w:ascii="宋体" w:hAnsi="宋体" w:cs="宋体"/>
          <w:bCs/>
          <w:color w:val="000000"/>
          <w:sz w:val="24"/>
          <w:highlight w:val="none"/>
        </w:rPr>
      </w:pPr>
      <w:r>
        <w:rPr>
          <w:rFonts w:hint="eastAsia" w:ascii="宋体" w:hAnsi="宋体" w:eastAsia="宋体" w:cs="宋体"/>
          <w:bCs/>
          <w:color w:val="000000"/>
          <w:sz w:val="24"/>
          <w:highlight w:val="none"/>
          <w:lang w:val="en-US" w:eastAsia="zh-CN"/>
        </w:rPr>
        <w:t xml:space="preserve">投标人</w:t>
      </w:r>
      <w:r>
        <w:rPr>
          <w:rFonts w:hint="eastAsia" w:ascii="宋体" w:hAnsi="宋体" w:eastAsia="宋体" w:cs="宋体"/>
          <w:bCs/>
          <w:color w:val="000000"/>
          <w:sz w:val="24"/>
          <w:highlight w:val="none"/>
          <w:lang w:eastAsia="zh-CN"/>
        </w:rPr>
        <w:t xml:space="preserve">具备管理部门核发的有效期内的食品经营许可证</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p>
    <w:p>
      <w:pPr>
        <w:numPr>
          <w:ilvl w:val="0"/>
          <w:numId w:val="23"/>
        </w:numPr>
        <w:spacing w:after="120" w:line="360" w:lineRule="auto"/>
        <w:tabs>
          <w:tab w:val="left" w:pos="1365"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的依法缴纳税收的相关材料（提供相关主管部门证明或银行代扣证明）</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p>
    <w:p>
      <w:pPr>
        <w:numPr>
          <w:ilvl w:val="0"/>
          <w:numId w:val="23"/>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的依法缴纳社会保障资金的相关材料（提供相关主管部门证明或银行代扣证明）</w:t>
      </w:r>
      <w:r>
        <w:rPr>
          <w:rFonts w:hint="eastAsia" w:ascii="宋体"/>
          <w:color w:val="000000"/>
          <w:sz w:val="24"/>
          <w:highlight w:val="none"/>
        </w:rPr>
        <w:t xml:space="preserve">原件扫描件</w:t>
      </w:r>
      <w:r>
        <w:rPr>
          <w:rFonts w:hint="eastAsia" w:ascii="宋体" w:hAnsi="宋体" w:cs="宋体"/>
          <w:bCs/>
          <w:color w:val="000000"/>
          <w:sz w:val="24"/>
          <w:highlight w:val="none"/>
        </w:rPr>
        <w:t xml:space="preserve">；</w:t>
      </w:r>
      <w:r/>
    </w:p>
    <w:p>
      <w:pPr>
        <w:numPr>
          <w:ilvl w:val="0"/>
          <w:numId w:val="23"/>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报价供应商近三个月中任意一个月份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不含投标当月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的财务状况报告（资产负债表、利润表）或由会计师事务所出具的</w:t>
      </w:r>
      <w:r>
        <w:rPr>
          <w:rFonts w:hint="eastAsia" w:ascii="宋体" w:hAnsi="宋体" w:cs="宋体"/>
          <w:bCs/>
          <w:color w:val="000000"/>
          <w:sz w:val="24"/>
          <w:highlight w:val="none"/>
          <w:lang w:val="en-US" w:eastAsia="zh-CN"/>
        </w:rPr>
        <w:t xml:space="preserve">2023年度</w:t>
      </w:r>
      <w:r>
        <w:rPr>
          <w:rFonts w:hint="eastAsia" w:ascii="宋体" w:hAnsi="宋体" w:cs="宋体"/>
          <w:bCs/>
          <w:color w:val="000000"/>
          <w:sz w:val="24"/>
          <w:highlight w:val="none"/>
        </w:rPr>
        <w:t xml:space="preserve">审计报告</w:t>
      </w:r>
      <w:r>
        <w:rPr>
          <w:rFonts w:hint="eastAsia" w:ascii="宋体"/>
          <w:color w:val="000000"/>
          <w:sz w:val="24"/>
          <w:highlight w:val="none"/>
        </w:rPr>
        <w:t xml:space="preserve">原件扫描件</w:t>
      </w:r>
      <w:r>
        <w:rPr>
          <w:rFonts w:hint="eastAsia" w:ascii="宋体" w:hAnsi="宋体" w:cs="宋体"/>
          <w:bCs/>
          <w:color w:val="000000"/>
          <w:sz w:val="24"/>
          <w:highlight w:val="none"/>
          <w:lang w:eastAsia="zh-CN"/>
        </w:rPr>
        <w:t xml:space="preserve">；</w:t>
      </w:r>
      <w:r/>
    </w:p>
    <w:p>
      <w:pPr>
        <w:numPr>
          <w:ilvl w:val="0"/>
          <w:numId w:val="23"/>
        </w:numPr>
        <w:spacing w:after="120" w:line="360" w:lineRule="auto"/>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承诺书原件扫描件（格式见附件）</w:t>
      </w:r>
      <w:r>
        <w:rPr>
          <w:rFonts w:hint="eastAsia" w:ascii="宋体" w:hAnsi="宋体" w:cs="宋体"/>
          <w:bCs/>
          <w:color w:val="000000"/>
          <w:sz w:val="24"/>
          <w:highlight w:val="none"/>
          <w:lang w:eastAsia="zh-CN"/>
        </w:rPr>
        <w:t xml:space="preserve">；</w:t>
      </w:r>
      <w:r/>
    </w:p>
    <w:p>
      <w:pPr>
        <w:numPr>
          <w:ilvl w:val="0"/>
          <w:numId w:val="23"/>
        </w:numPr>
        <w:spacing w:after="120"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中小企业声明函原件扫描件（格式见附件）</w:t>
      </w:r>
      <w:r>
        <w:rPr>
          <w:rFonts w:hint="eastAsia" w:ascii="宋体" w:hAnsi="宋体" w:cs="宋体"/>
          <w:bCs/>
          <w:color w:val="000000"/>
          <w:sz w:val="24"/>
          <w:highlight w:val="none"/>
          <w:lang w:eastAsia="zh-CN"/>
        </w:rPr>
        <w:t xml:space="preserve">。</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细目报价表我方同意按招标文件中的规定，本投标文件投标的有效期限为开标之日起90天。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如果我方的投标文件被接受，我方将履行招标文件中规定的每一项要求，按期、按质、按量，完成交货任务。</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我方认为贵单位有权决定中标者。</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highlight w:val="none"/>
        </w:rPr>
        <w:t xml:space="preserve">和</w:t>
      </w:r>
      <w:r>
        <w:rPr>
          <w:rFonts w:hint="eastAsia" w:ascii="宋体" w:hAnsi="宋体"/>
          <w:bCs/>
          <w:color w:val="000000"/>
          <w:sz w:val="24"/>
          <w:highlight w:val="none"/>
        </w:rPr>
        <w:t xml:space="preserve">合同条款履行自己的全部责任。在合同履行过程中，双方如有争议，同意由普信国际工程咨询有限公司协调解决，并按相关法规和有关文件规定处理。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我方认可并遵守招标文件的所有规定，放弃对招标文件提出质疑的权利。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如果我方被确定为中标供应商，我方愿意在见证合同时按招标文件的规定</w:t>
      </w:r>
      <w:r>
        <w:rPr>
          <w:rFonts w:hint="eastAsia" w:ascii="宋体" w:hAnsi="宋体"/>
          <w:bCs/>
          <w:color w:val="000000"/>
          <w:sz w:val="24"/>
          <w:highlight w:val="none"/>
          <w:lang w:eastAsia="zh-CN"/>
        </w:rPr>
        <w:t xml:space="preserve">缴纳</w:t>
      </w:r>
      <w:r>
        <w:rPr>
          <w:rFonts w:hint="eastAsia" w:ascii="宋体" w:hAnsi="宋体"/>
          <w:bCs/>
          <w:color w:val="000000"/>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投标人（盖章）：     </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法定代表人或法定代表人授权代表签字或盖章：</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电话：                              传真：</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通讯地址：                          邮编：</w:t>
      </w:r>
      <w:r/>
    </w:p>
    <w:p>
      <w:pPr>
        <w:spacing w:line="360" w:lineRule="auto"/>
        <w:rPr>
          <w:rFonts w:hint="eastAsia" w:ascii="宋体" w:hAnsi="宋体"/>
          <w:bCs/>
          <w:color w:val="000000"/>
          <w:sz w:val="24"/>
          <w:highlight w:val="none"/>
        </w:rPr>
        <w:outlineLvl w:val="0"/>
      </w:pPr>
      <w:r>
        <w:rPr>
          <w:rFonts w:ascii="宋体" w:hAnsi="宋体"/>
          <w:color w:val="000000"/>
          <w:sz w:val="24"/>
          <w:highlight w:val="none"/>
        </w:rPr>
        <w:br w:type="page" w:clear="all"/>
      </w:r>
      <w:r>
        <w:rPr>
          <w:rFonts w:hint="eastAsia" w:ascii="宋体" w:hAnsi="宋体"/>
          <w:bCs/>
          <w:color w:val="000000"/>
          <w:sz w:val="24"/>
          <w:highlight w:val="none"/>
        </w:rPr>
        <w:t xml:space="preserve">附件2（投标人）关于资格的声明函（格式）：</w:t>
      </w:r>
      <w:r/>
    </w:p>
    <w:p>
      <w:pPr>
        <w:jc w:val="cente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t xml:space="preserve">关于资格的声明函</w:t>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p>
    <w:p>
      <w:pPr>
        <w:jc w:val="center"/>
        <w:spacing w:line="360" w:lineRule="auto"/>
        <w:tabs>
          <w:tab w:val="left" w:pos="6300" w:leader="none"/>
        </w:tabs>
        <w:rPr>
          <w:rFonts w:hint="eastAsia" w:ascii="宋体" w:hAnsi="宋体"/>
          <w:bCs/>
          <w:color w:val="000000"/>
          <w:sz w:val="24"/>
          <w:highlight w:val="none"/>
        </w:rPr>
      </w:pPr>
      <w:r>
        <w:rPr>
          <w:rFonts w:hint="eastAsia" w:ascii="宋体" w:hAnsi="宋体"/>
          <w:bCs/>
          <w:color w:val="000000"/>
          <w:sz w:val="24"/>
          <w:highlight w:val="none"/>
        </w:rPr>
        <w:t xml:space="preserve">            日期：</w:t>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致</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eastAsia="zh-CN"/>
        </w:rPr>
        <w:t xml:space="preserve">采购人</w:t>
      </w:r>
      <w:r>
        <w:rPr>
          <w:rFonts w:hint="eastAsia" w:ascii="宋体" w:hAnsi="宋体" w:cs="宋体"/>
          <w:b/>
          <w:color w:val="000000"/>
          <w:sz w:val="24"/>
          <w:highlight w:val="none"/>
          <w:u w:val="single"/>
        </w:rPr>
        <w:t xml:space="preserve">）</w:t>
      </w:r>
      <w:r>
        <w:rPr>
          <w:rFonts w:hint="eastAsia" w:ascii="宋体" w:hAnsi="宋体"/>
          <w:bCs/>
          <w:color w:val="000000"/>
          <w:sz w:val="24"/>
          <w:highlight w:val="none"/>
        </w:rPr>
        <w:t xml:space="preserve">：</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我公司在参加政府采购活动前三年内在经营活动中没有重大违法记录。</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我公司（单位）愿针对本次项目进行投标，投标文件中所有关于投标资格的文件、证明、陈述均是真实的、准确的。若有违背，我公司（单位）           愿意承担由此而产生的一切后果。</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336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投标人（盖章）：</w:t>
      </w:r>
      <w:r/>
    </w:p>
    <w:p>
      <w:pPr>
        <w:ind w:firstLine="420"/>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t xml:space="preserve">                           法定代表人（签字或盖章）：</w:t>
      </w:r>
      <w:r/>
    </w:p>
    <w:p>
      <w:pPr>
        <w:pStyle w:val="895"/>
        <w:spacing w:line="360" w:lineRule="auto"/>
        <w:rPr>
          <w:rFonts w:ascii="宋体" w:hAnsi="宋体" w:eastAsia="宋体"/>
          <w:color w:val="000000"/>
          <w:sz w:val="24"/>
          <w:szCs w:val="24"/>
          <w:highlight w:val="none"/>
        </w:rPr>
      </w:pPr>
      <w:r>
        <w:rPr>
          <w:rFonts w:hint="eastAsia" w:ascii="宋体" w:hAnsi="宋体" w:eastAsia="宋体"/>
          <w:color w:val="000000"/>
          <w:sz w:val="44"/>
          <w:szCs w:val="44"/>
          <w:highlight w:val="none"/>
        </w:rPr>
        <w:br w:type="page" w:clear="all"/>
      </w:r>
      <w:r>
        <w:rPr>
          <w:rFonts w:hint="eastAsia" w:ascii="宋体" w:hAnsi="宋体" w:eastAsia="宋体"/>
          <w:b w:val="0"/>
          <w:color w:val="000000"/>
          <w:sz w:val="24"/>
          <w:szCs w:val="24"/>
          <w:highlight w:val="none"/>
        </w:rPr>
        <w:t xml:space="preserve">（2）投标单位情况表</w:t>
      </w:r>
      <w:r/>
    </w:p>
    <w:p>
      <w:pPr>
        <w:pStyle w:val="915"/>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投标单位情况表</w:t>
      </w:r>
      <w:r/>
    </w:p>
    <w:p>
      <w:pPr>
        <w:pStyle w:val="915"/>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单位名称（盖章）</w:t>
      </w:r>
      <w:r/>
    </w:p>
    <w:tbl>
      <w:tblPr>
        <w:tblStyle w:val="721"/>
        <w:tblW w:w="92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p>
        </w:tc>
        <w:tc>
          <w:tcPr>
            <w:tcW w:w="2005"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461"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成立日期</w:t>
            </w:r>
            <w:r/>
          </w:p>
        </w:tc>
        <w:tc>
          <w:tcPr>
            <w:gridSpan w:val="2"/>
            <w:tcW w:w="3292"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企业地址</w:t>
            </w:r>
            <w:r/>
          </w:p>
        </w:tc>
        <w:tc>
          <w:tcPr>
            <w:tcW w:w="2005"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461"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注册资本</w:t>
            </w:r>
            <w:r/>
          </w:p>
        </w:tc>
        <w:tc>
          <w:tcPr>
            <w:gridSpan w:val="2"/>
            <w:tcW w:w="3292" w:type="dxa"/>
            <w:vAlign w:val="top"/>
            <w:textDirection w:val="lrTb"/>
            <w:noWrap w:val="false"/>
          </w:tcPr>
          <w:p>
            <w:pPr>
              <w:pStyle w:val="915"/>
              <w:ind w:firstLine="21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万元</w:t>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经营范围</w:t>
            </w:r>
            <w:r/>
          </w:p>
        </w:tc>
        <w:tc>
          <w:tcPr>
            <w:gridSpan w:val="4"/>
            <w:tcW w:w="6758"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职工人数</w:t>
            </w:r>
            <w:r/>
          </w:p>
        </w:tc>
        <w:tc>
          <w:tcPr>
            <w:tcW w:w="2005"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gridSpan w:val="2"/>
            <w:tcW w:w="3517"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其中：有中高级以上职称的人数</w:t>
            </w:r>
            <w:r/>
          </w:p>
        </w:tc>
        <w:tc>
          <w:tcPr>
            <w:tcW w:w="1236"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510" w:type="dxa"/>
            <w:vAlign w:val="center"/>
            <w:textDirection w:val="lrTb"/>
            <w:noWrap w:val="false"/>
          </w:tcPr>
          <w:p>
            <w:pPr>
              <w:pStyle w:val="915"/>
              <w:ind w:firstLine="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资产总计</w:t>
            </w:r>
            <w:r/>
          </w:p>
        </w:tc>
        <w:tc>
          <w:tcPr>
            <w:tcW w:w="2005" w:type="dxa"/>
            <w:vAlign w:val="center"/>
            <w:textDirection w:val="lrTb"/>
            <w:noWrap w:val="false"/>
          </w:tcPr>
          <w:p>
            <w:pPr>
              <w:pStyle w:val="915"/>
              <w:ind w:firstLine="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万元</w:t>
            </w:r>
            <w:r/>
          </w:p>
        </w:tc>
        <w:tc>
          <w:tcPr>
            <w:tcW w:w="1461" w:type="dxa"/>
            <w:vAlign w:val="center"/>
            <w:textDirection w:val="lrTb"/>
            <w:noWrap w:val="false"/>
          </w:tcPr>
          <w:p>
            <w:pPr>
              <w:pStyle w:val="915"/>
              <w:ind w:firstLine="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净资产</w:t>
            </w:r>
            <w:r/>
          </w:p>
        </w:tc>
        <w:tc>
          <w:tcPr>
            <w:gridSpan w:val="2"/>
            <w:tcW w:w="3292" w:type="dxa"/>
            <w:vAlign w:val="center"/>
            <w:textDirection w:val="lrTb"/>
            <w:noWrap w:val="false"/>
          </w:tcPr>
          <w:p>
            <w:pPr>
              <w:pStyle w:val="915"/>
              <w:ind w:firstLine="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万元</w:t>
            </w:r>
            <w:r/>
          </w:p>
        </w:tc>
      </w:tr>
      <w:tr>
        <w:trPr>
          <w:cantSplit/>
        </w:trPr>
        <w:tc>
          <w:tcPr>
            <w:tcW w:w="2510" w:type="dxa"/>
            <w:vAlign w:val="center"/>
            <w:textDirection w:val="lrTb"/>
            <w:noWrap w:val="false"/>
          </w:tcPr>
          <w:p>
            <w:pPr>
              <w:pStyle w:val="915"/>
              <w:ind w:firstLine="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股东权益</w:t>
            </w:r>
            <w:r/>
          </w:p>
        </w:tc>
        <w:tc>
          <w:tcPr>
            <w:tcW w:w="2005" w:type="dxa"/>
            <w:vAlign w:val="center"/>
            <w:textDirection w:val="lrTb"/>
            <w:noWrap w:val="false"/>
          </w:tcPr>
          <w:p>
            <w:pPr>
              <w:pStyle w:val="915"/>
              <w:ind w:firstLine="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万元</w:t>
            </w:r>
            <w:r/>
          </w:p>
        </w:tc>
        <w:tc>
          <w:tcPr>
            <w:tcW w:w="1461" w:type="dxa"/>
            <w:vAlign w:val="center"/>
            <w:textDirection w:val="lrTb"/>
            <w:noWrap w:val="false"/>
          </w:tcPr>
          <w:p>
            <w:pPr>
              <w:pStyle w:val="915"/>
              <w:ind w:firstLine="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销售收入</w:t>
            </w:r>
            <w:r/>
          </w:p>
        </w:tc>
        <w:tc>
          <w:tcPr>
            <w:gridSpan w:val="2"/>
            <w:tcW w:w="3292" w:type="dxa"/>
            <w:vAlign w:val="center"/>
            <w:textDirection w:val="lrTb"/>
            <w:noWrap w:val="false"/>
          </w:tcPr>
          <w:p>
            <w:pPr>
              <w:pStyle w:val="915"/>
              <w:ind w:firstLine="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实现利润</w:t>
            </w:r>
            <w:r/>
          </w:p>
        </w:tc>
        <w:tc>
          <w:tcPr>
            <w:tcW w:w="2005"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p>
        </w:tc>
        <w:tc>
          <w:tcPr>
            <w:tcW w:w="1461"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gridSpan w:val="2"/>
            <w:tcW w:w="3292"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营业面积（含厂房面积）</w:t>
            </w:r>
            <w:r/>
          </w:p>
        </w:tc>
        <w:tc>
          <w:tcPr>
            <w:tcW w:w="2005" w:type="dxa"/>
            <w:vAlign w:val="center"/>
            <w:textDirection w:val="lrTb"/>
            <w:noWrap w:val="false"/>
          </w:tcPr>
          <w:p>
            <w:pPr>
              <w:pStyle w:val="915"/>
              <w:ind w:firstLine="0"/>
              <w:jc w:val="both"/>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平方米</w:t>
            </w:r>
            <w:r/>
          </w:p>
        </w:tc>
        <w:tc>
          <w:tcPr>
            <w:tcW w:w="1461"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w:t>
            </w:r>
            <w:r/>
          </w:p>
        </w:tc>
        <w:tc>
          <w:tcPr>
            <w:gridSpan w:val="2"/>
            <w:tcW w:w="3292"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平方米</w:t>
            </w:r>
            <w:r/>
          </w:p>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平方米</w:t>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p>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gridSpan w:val="4"/>
            <w:tcW w:w="6758"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p>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c>
          <w:tcPr>
            <w:gridSpan w:val="4"/>
            <w:tcW w:w="6758"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p>
        </w:tc>
        <w:tc>
          <w:tcPr>
            <w:gridSpan w:val="4"/>
            <w:tcW w:w="6758"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近三年来受行业主管部门考核评价及业主评价意见</w:t>
            </w:r>
            <w:r/>
          </w:p>
        </w:tc>
        <w:tc>
          <w:tcPr>
            <w:gridSpan w:val="4"/>
            <w:tcW w:w="6758"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最近3年内有无因违纪或是其他原因被投诉或起诉的情况及说明</w:t>
            </w:r>
            <w:r/>
          </w:p>
        </w:tc>
        <w:tc>
          <w:tcPr>
            <w:gridSpan w:val="4"/>
            <w:tcW w:w="6758" w:type="dxa"/>
            <w:vAlign w:val="top"/>
            <w:textDirection w:val="lrTb"/>
            <w:noWrap w:val="false"/>
          </w:tcPr>
          <w:p>
            <w:pPr>
              <w:pStyle w:val="915"/>
              <w:ind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（包括解决方式和结果）</w:t>
            </w:r>
            <w:r/>
          </w:p>
        </w:tc>
      </w:tr>
      <w:tr>
        <w:trPr>
          <w:cantSplit/>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年内主要负责人有无因经济犯罪被司法机关追究的情况及说明</w:t>
            </w:r>
            <w:r/>
          </w:p>
        </w:tc>
        <w:tc>
          <w:tcPr>
            <w:gridSpan w:val="4"/>
            <w:tcW w:w="6758"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560"/>
        </w:trPr>
        <w:tc>
          <w:tcPr>
            <w:tcW w:w="2510" w:type="dxa"/>
            <w:vAlign w:val="top"/>
            <w:textDirection w:val="lrTb"/>
            <w:noWrap w:val="false"/>
          </w:tcPr>
          <w:p>
            <w:pPr>
              <w:pStyle w:val="915"/>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p>
        </w:tc>
        <w:tc>
          <w:tcPr>
            <w:gridSpan w:val="4"/>
            <w:tcW w:w="6758" w:type="dxa"/>
            <w:vAlign w:val="top"/>
            <w:textDirection w:val="lrTb"/>
            <w:noWrap w:val="false"/>
          </w:tcPr>
          <w:p>
            <w:pPr>
              <w:pStyle w:val="915"/>
              <w:ind w:firstLine="0"/>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930"/>
        <w:spacing w:line="360" w:lineRule="auto"/>
        <w:rPr>
          <w:rFonts w:hint="eastAsia"/>
          <w:color w:val="000000"/>
          <w:sz w:val="24"/>
          <w:szCs w:val="24"/>
          <w:highlight w:val="none"/>
        </w:rPr>
      </w:pPr>
      <w:r>
        <w:rPr>
          <w:rFonts w:hint="eastAsia"/>
          <w:color w:val="000000"/>
          <w:sz w:val="24"/>
          <w:szCs w:val="24"/>
          <w:highlight w:val="none"/>
        </w:rPr>
      </w:r>
      <w:r/>
    </w:p>
    <w:p>
      <w:pPr>
        <w:spacing w:line="360" w:lineRule="auto"/>
        <w:rPr>
          <w:rFonts w:hint="eastAsia" w:ascii="宋体" w:hAnsi="宋体"/>
          <w:color w:val="000000"/>
          <w:sz w:val="24"/>
          <w:highlight w:val="none"/>
        </w:rPr>
        <w:outlineLvl w:val="0"/>
      </w:pPr>
      <w:r>
        <w:rPr>
          <w:rFonts w:ascii="宋体" w:hAnsi="宋体"/>
          <w:bCs/>
          <w:color w:val="000000"/>
          <w:sz w:val="24"/>
          <w:highlight w:val="none"/>
        </w:rPr>
        <w:br w:type="page" w:clear="all"/>
      </w:r>
      <w:r>
        <w:rPr>
          <w:rFonts w:hint="eastAsia" w:ascii="宋体" w:hAnsi="宋体"/>
          <w:bCs/>
          <w:color w:val="000000"/>
          <w:sz w:val="24"/>
          <w:highlight w:val="none"/>
        </w:rPr>
        <w:t xml:space="preserve">附件3法定代表人授权委托书（格式）</w:t>
      </w:r>
      <w:r/>
    </w:p>
    <w:p>
      <w:pPr>
        <w:jc w:val="cente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t xml:space="preserve">法定代表人授权委托书</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日期：</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致</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eastAsia="zh-CN"/>
        </w:rPr>
        <w:t xml:space="preserve">采购人</w:t>
      </w:r>
      <w:r>
        <w:rPr>
          <w:rFonts w:hint="eastAsia" w:ascii="宋体" w:hAnsi="宋体" w:cs="宋体"/>
          <w:b/>
          <w:color w:val="000000"/>
          <w:sz w:val="24"/>
          <w:highlight w:val="none"/>
          <w:u w:val="single"/>
        </w:rPr>
        <w:t xml:space="preserve">）</w:t>
      </w:r>
      <w:r>
        <w:rPr>
          <w:rFonts w:hint="eastAsia" w:ascii="宋体" w:hAnsi="宋体"/>
          <w:bCs/>
          <w:color w:val="000000"/>
          <w:sz w:val="24"/>
          <w:highlight w:val="none"/>
        </w:rPr>
        <w:t xml:space="preserve">：</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系中华人民共和国合法企业，特授权       代表我公司（单位）全权办理针对本项目的投标，参与评审、签约等具体工作，并签署全部有关的文件、协议及合同。</w:t>
      </w:r>
      <w:r/>
    </w:p>
    <w:p>
      <w:pPr>
        <w:ind w:firstLine="525"/>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我公司（单位）对被授权人的签名负全部责任。</w:t>
      </w:r>
      <w:r/>
    </w:p>
    <w:p>
      <w:pPr>
        <w:ind w:firstLine="523"/>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被授权人情况：</w:t>
      </w:r>
      <w:r/>
    </w:p>
    <w:p>
      <w:pPr>
        <w:ind w:firstLine="525"/>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姓名：         性别：       年龄：       职务：</w:t>
      </w:r>
      <w:r/>
    </w:p>
    <w:p>
      <w:pPr>
        <w:ind w:firstLine="525"/>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身份证号码：                电话：</w:t>
      </w:r>
      <w:r/>
    </w:p>
    <w:p>
      <w:pPr>
        <w:ind w:firstLine="525"/>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通讯地址：</w:t>
      </w:r>
      <w:r/>
    </w:p>
    <w:p>
      <w:pPr>
        <w:ind w:firstLine="525"/>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被授权人签名：                单位名称（盖章）：</w:t>
      </w:r>
      <w:r/>
    </w:p>
    <w:p>
      <w:pPr>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r/>
    </w:p>
    <w:p>
      <w:pPr>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2981325</wp:posOffset>
                </wp:positionH>
                <wp:positionV relativeFrom="paragraph">
                  <wp:posOffset>198120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4.8pt;mso-position-horizontal:absolute;mso-position-vertical-relative:text;margin-top:15.6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198120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2pt;mso-position-horizontal:absolute;mso-position-vertical-relative:text;margin-top:15.6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ff0000"/>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color w:val="000000"/>
          <w:sz w:val="24"/>
          <w:highlight w:val="none"/>
        </w:rPr>
        <w:outlineLvl w:val="0"/>
      </w:pPr>
      <w:r>
        <w:rPr>
          <w:rFonts w:ascii="宋体" w:hAnsi="宋体"/>
          <w:bCs/>
          <w:color w:val="000000"/>
          <w:sz w:val="24"/>
          <w:highlight w:val="none"/>
        </w:rPr>
        <w:br w:type="page" w:clear="all"/>
      </w:r>
      <w:r>
        <w:rPr>
          <w:rFonts w:hint="eastAsia" w:ascii="宋体" w:hAnsi="宋体"/>
          <w:bCs/>
          <w:color w:val="000000"/>
          <w:sz w:val="24"/>
          <w:highlight w:val="none"/>
        </w:rPr>
        <w:t xml:space="preserve">附件4  承诺书（格式）</w:t>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承诺书一（格式）</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（投标人名称）在此承诺：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 本公司（单位）</w:t>
      </w:r>
      <w:r>
        <w:rPr>
          <w:rFonts w:hint="eastAsia" w:ascii="宋体" w:hAnsi="宋体" w:cs="宋体"/>
          <w:bCs/>
          <w:color w:val="000000"/>
          <w:sz w:val="24"/>
          <w:highlight w:val="none"/>
        </w:rPr>
        <w:t xml:space="preserve">对本项目（项目编号：      ）所提供的货物均为原厂全新合格品，提供的服务符合采购文件要求；</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本公司（单位）</w:t>
      </w:r>
      <w:r>
        <w:rPr>
          <w:rFonts w:hint="eastAsia" w:ascii="宋体" w:hAnsi="宋体" w:cs="宋体"/>
          <w:bCs/>
          <w:color w:val="000000"/>
          <w:sz w:val="24"/>
          <w:highlight w:val="none"/>
        </w:rPr>
        <w:t xml:space="preserve">具备履行合同所必需的设备和专业技术能力；</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 </w:t>
      </w:r>
      <w:r>
        <w:rPr>
          <w:rFonts w:hint="eastAsia" w:ascii="宋体" w:hAnsi="宋体" w:cs="宋体"/>
          <w:color w:val="000000"/>
          <w:sz w:val="24"/>
          <w:highlight w:val="none"/>
        </w:rPr>
        <w:t xml:space="preserve">本公司未被“</w:t>
      </w:r>
      <w:r>
        <w:rPr>
          <w:rFonts w:hint="eastAsia" w:ascii="宋体" w:hAnsi="宋体" w:cs="宋体"/>
          <w:bCs/>
          <w:color w:val="000000"/>
          <w:sz w:val="24"/>
          <w:highlight w:val="none"/>
        </w:rPr>
        <w:t xml:space="preserve">信用中国</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网站（</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"http://www.creditchina.gov.cn" </w:instrText>
      </w:r>
      <w:r>
        <w:rPr>
          <w:rFonts w:hint="eastAsia" w:ascii="宋体" w:hAnsi="宋体" w:cs="宋体"/>
          <w:color w:val="000000"/>
          <w:sz w:val="24"/>
          <w:highlight w:val="none"/>
        </w:rPr>
        <w:fldChar w:fldCharType="separate"/>
      </w:r>
      <w:r>
        <w:rPr>
          <w:rStyle w:val="996"/>
          <w:rFonts w:hint="eastAsia" w:ascii="宋体" w:hAnsi="宋体" w:cs="宋体"/>
          <w:bCs/>
          <w:color w:val="000000"/>
          <w:sz w:val="24"/>
          <w:highlight w:val="none"/>
        </w:rPr>
        <w:t xml:space="preserve">www.creditchina.gov.cn</w: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中国政府采购网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www.ccgp.gov.cn</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如违背上述承诺，本公司</w:t>
      </w:r>
      <w:r>
        <w:rPr>
          <w:rFonts w:hint="eastAsia" w:ascii="宋体" w:hAnsi="宋体" w:cs="宋体"/>
          <w:color w:val="000000"/>
          <w:sz w:val="24"/>
          <w:highlight w:val="none"/>
        </w:rPr>
        <w:t xml:space="preserve">（单位）</w:t>
      </w:r>
      <w:r>
        <w:rPr>
          <w:rFonts w:hint="eastAsia" w:ascii="宋体" w:hAnsi="宋体" w:cs="宋体"/>
          <w:bCs/>
          <w:color w:val="000000"/>
          <w:sz w:val="24"/>
          <w:highlight w:val="none"/>
        </w:rPr>
        <w:t xml:space="preserve">将承担一切法律责任。</w:t>
      </w:r>
      <w:r/>
    </w:p>
    <w:p>
      <w:pPr>
        <w:ind w:firstLine="48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firstLine="516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p>
    <w:p>
      <w:pPr>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（签字和盖章）          </w:t>
      </w:r>
      <w:r/>
    </w:p>
    <w:p>
      <w:pPr>
        <w:jc w:val="left"/>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年    月    日</w:t>
      </w:r>
      <w:r/>
    </w:p>
    <w:p>
      <w:pPr>
        <w:jc w:val="left"/>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br w:type="page" w:clear="all"/>
      </w:r>
      <w:r>
        <w:rPr>
          <w:rFonts w:hint="eastAsia" w:ascii="宋体" w:hAnsi="宋体"/>
          <w:bCs/>
          <w:color w:val="000000"/>
          <w:sz w:val="24"/>
          <w:highlight w:val="none"/>
        </w:rPr>
        <w:t xml:space="preserve">附件5中小企业声明函（格式）：</w:t>
      </w:r>
      <w:r/>
    </w:p>
    <w:p>
      <w:pPr>
        <w:pStyle w:val="930"/>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中小企业声明函</w:t>
      </w:r>
      <w:r/>
    </w:p>
    <w:p>
      <w:pPr>
        <w:ind w:firstLine="480"/>
        <w:jc w:val="left"/>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本公司（联合体）郑重声明，根据《政府采购促进中小企业发展管理办法》（财库﹝2020﹞46 号）的规定，本公司（联合体）参加</w:t>
      </w:r>
      <w:r>
        <w:rPr>
          <w:rFonts w:hint="eastAsia" w:ascii="宋体" w:hAnsi="宋体" w:cs="宋体"/>
          <w:bCs/>
          <w:color w:val="000000"/>
          <w:sz w:val="24"/>
          <w:highlight w:val="none"/>
          <w:u w:val="single"/>
        </w:rPr>
        <w:t xml:space="preserve">（单位名称）</w:t>
      </w:r>
      <w:r>
        <w:rPr>
          <w:rFonts w:hint="eastAsia" w:ascii="宋体" w:hAnsi="宋体" w:cs="宋体"/>
          <w:bCs/>
          <w:color w:val="000000"/>
          <w:sz w:val="24"/>
          <w:highlight w:val="none"/>
        </w:rPr>
        <w:t xml:space="preserve">的</w:t>
      </w:r>
      <w:r>
        <w:rPr>
          <w:rFonts w:hint="eastAsia" w:ascii="宋体" w:hAnsi="宋体" w:cs="宋体"/>
          <w:bCs/>
          <w:color w:val="000000"/>
          <w:sz w:val="24"/>
          <w:highlight w:val="none"/>
          <w:u w:val="single"/>
        </w:rPr>
        <w:t xml:space="preserve">（项目名称）</w:t>
      </w:r>
      <w:r>
        <w:rPr>
          <w:rFonts w:hint="eastAsia" w:ascii="宋体" w:hAnsi="宋体" w:cs="宋体"/>
          <w:bCs/>
          <w:color w:val="000000"/>
          <w:sz w:val="24"/>
          <w:highlight w:val="none"/>
        </w:rPr>
        <w:t xml:space="preserve">采购活动，提供的货物全部由符合政策要求的中小企业制造。相关企业（含联合体中的中小企业、签订分包意向协议的中小企业） 的具体情况如下：</w:t>
      </w:r>
      <w:r/>
    </w:p>
    <w:p>
      <w:pPr>
        <w:jc w:val="left"/>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1.</w:t>
      </w:r>
      <w:r>
        <w:rPr>
          <w:rFonts w:hint="eastAsia" w:ascii="宋体" w:hAnsi="宋体" w:cs="宋体"/>
          <w:bCs/>
          <w:color w:val="000000"/>
          <w:sz w:val="24"/>
          <w:highlight w:val="none"/>
          <w:u w:val="single"/>
        </w:rPr>
        <w:t xml:space="preserve">（ 标 的 名 称 ）</w:t>
      </w:r>
      <w:r>
        <w:rPr>
          <w:rFonts w:hint="eastAsia" w:ascii="宋体" w:hAnsi="宋体" w:cs="宋体"/>
          <w:bCs/>
          <w:color w:val="000000"/>
          <w:sz w:val="24"/>
          <w:highlight w:val="none"/>
        </w:rPr>
        <w:t xml:space="preserve"> ， 属 于 </w:t>
      </w:r>
      <w:r>
        <w:rPr>
          <w:rFonts w:hint="eastAsia" w:ascii="宋体" w:hAnsi="宋体" w:cs="宋体"/>
          <w:bCs/>
          <w:color w:val="000000"/>
          <w:sz w:val="24"/>
          <w:highlight w:val="none"/>
          <w:u w:val="single"/>
        </w:rPr>
        <w:t xml:space="preserve">（ 采 购 文 件 中 明 确 的 所 属 行 业 ） </w:t>
      </w:r>
      <w:r>
        <w:rPr>
          <w:rFonts w:hint="eastAsia" w:ascii="宋体" w:hAnsi="宋体" w:cs="宋体"/>
          <w:bCs/>
          <w:color w:val="000000"/>
          <w:sz w:val="24"/>
          <w:highlight w:val="none"/>
        </w:rPr>
        <w:t xml:space="preserve">行业；制造商为</w:t>
      </w:r>
      <w:r>
        <w:rPr>
          <w:rFonts w:hint="eastAsia" w:ascii="宋体" w:hAnsi="宋体" w:cs="宋体"/>
          <w:bCs/>
          <w:color w:val="000000"/>
          <w:sz w:val="24"/>
          <w:highlight w:val="none"/>
          <w:u w:val="single"/>
        </w:rPr>
        <w:t xml:space="preserve">（企业名称）</w:t>
      </w:r>
      <w:r>
        <w:rPr>
          <w:rFonts w:hint="eastAsia" w:ascii="宋体" w:hAnsi="宋体" w:cs="宋体"/>
          <w:bCs/>
          <w:color w:val="000000"/>
          <w:sz w:val="24"/>
          <w:highlight w:val="none"/>
        </w:rPr>
        <w:t xml:space="preserve">，从业人员</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人，营业收入为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tab/>
      </w:r>
      <w:r>
        <w:rPr>
          <w:rFonts w:hint="eastAsia" w:ascii="宋体" w:hAnsi="宋体" w:cs="宋体"/>
          <w:bCs/>
          <w:color w:val="000000"/>
          <w:sz w:val="24"/>
          <w:highlight w:val="none"/>
        </w:rPr>
        <w:t xml:space="preserve">万元，资产总额为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tab/>
      </w:r>
      <w:r>
        <w:rPr>
          <w:rFonts w:hint="eastAsia" w:ascii="宋体" w:hAnsi="宋体" w:cs="宋体"/>
          <w:bCs/>
          <w:color w:val="000000"/>
          <w:sz w:val="24"/>
          <w:highlight w:val="none"/>
        </w:rPr>
        <w:t xml:space="preserve">万元，属于（中型企业、小型企业、微型企业）；</w:t>
      </w:r>
      <w:r/>
    </w:p>
    <w:p>
      <w:pPr>
        <w:jc w:val="left"/>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2.</w:t>
      </w:r>
      <w:r>
        <w:rPr>
          <w:rFonts w:hint="eastAsia" w:ascii="宋体" w:hAnsi="宋体" w:cs="宋体"/>
          <w:bCs/>
          <w:color w:val="000000"/>
          <w:sz w:val="24"/>
          <w:highlight w:val="none"/>
          <w:u w:val="single"/>
        </w:rPr>
        <w:t xml:space="preserve">（ 标 的 名 称 ）</w:t>
      </w:r>
      <w:r>
        <w:rPr>
          <w:rFonts w:hint="eastAsia" w:ascii="宋体" w:hAnsi="宋体" w:cs="宋体"/>
          <w:bCs/>
          <w:color w:val="000000"/>
          <w:sz w:val="24"/>
          <w:highlight w:val="none"/>
        </w:rPr>
        <w:t xml:space="preserve"> ， 属 于 </w:t>
      </w:r>
      <w:r>
        <w:rPr>
          <w:rFonts w:hint="eastAsia" w:ascii="宋体" w:hAnsi="宋体" w:cs="宋体"/>
          <w:bCs/>
          <w:color w:val="000000"/>
          <w:sz w:val="24"/>
          <w:highlight w:val="none"/>
          <w:u w:val="single"/>
        </w:rPr>
        <w:t xml:space="preserve">（ 采 购 文 件 中 明 确 的 所 属 行 业 ） </w:t>
      </w:r>
      <w:r>
        <w:rPr>
          <w:rFonts w:hint="eastAsia" w:ascii="宋体" w:hAnsi="宋体" w:cs="宋体"/>
          <w:bCs/>
          <w:color w:val="000000"/>
          <w:sz w:val="24"/>
          <w:highlight w:val="none"/>
        </w:rPr>
        <w:t xml:space="preserve">行业；制造商为</w:t>
      </w:r>
      <w:r>
        <w:rPr>
          <w:rFonts w:hint="eastAsia" w:ascii="宋体" w:hAnsi="宋体" w:cs="宋体"/>
          <w:bCs/>
          <w:color w:val="000000"/>
          <w:sz w:val="24"/>
          <w:highlight w:val="none"/>
          <w:u w:val="single"/>
        </w:rPr>
        <w:t xml:space="preserve">（企业名称）</w:t>
      </w:r>
      <w:r>
        <w:rPr>
          <w:rFonts w:hint="eastAsia" w:ascii="宋体" w:hAnsi="宋体" w:cs="宋体"/>
          <w:bCs/>
          <w:color w:val="000000"/>
          <w:sz w:val="24"/>
          <w:highlight w:val="none"/>
        </w:rPr>
        <w:t xml:space="preserve">，从业人员</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人，营业收入为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tab/>
      </w:r>
      <w:r>
        <w:rPr>
          <w:rFonts w:hint="eastAsia" w:ascii="宋体" w:hAnsi="宋体" w:cs="宋体"/>
          <w:bCs/>
          <w:color w:val="000000"/>
          <w:sz w:val="24"/>
          <w:highlight w:val="none"/>
        </w:rPr>
        <w:t xml:space="preserve">万元，资产总额为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tab/>
      </w:r>
      <w:r>
        <w:rPr>
          <w:rFonts w:hint="eastAsia" w:ascii="宋体" w:hAnsi="宋体" w:cs="宋体"/>
          <w:bCs/>
          <w:color w:val="000000"/>
          <w:sz w:val="24"/>
          <w:highlight w:val="none"/>
        </w:rPr>
        <w:t xml:space="preserve">万元，属于（中型企业、小型企业、微型企业）；</w:t>
      </w:r>
      <w:r/>
    </w:p>
    <w:p>
      <w:pPr>
        <w:jc w:val="left"/>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w:t>
      </w:r>
      <w:r/>
    </w:p>
    <w:p>
      <w:pPr>
        <w:ind w:firstLine="720"/>
        <w:jc w:val="left"/>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以上企业，不属于大企业的分支机构，不存在控股股东为大企业的情形，也不存在与大企业的负责人为同一人的情形。</w:t>
      </w:r>
      <w:r/>
    </w:p>
    <w:p>
      <w:pPr>
        <w:ind w:firstLine="720"/>
        <w:jc w:val="left"/>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本企业对上述声明内容的真实性负责。如有虚假，将依法承担相应责任。</w:t>
      </w:r>
      <w:r/>
    </w:p>
    <w:p>
      <w:pPr>
        <w:pStyle w:val="93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30"/>
        <w:spacing w:line="360" w:lineRule="auto"/>
        <w:rPr>
          <w:rFonts w:hint="eastAsia" w:ascii="宋体" w:hAnsi="Arial" w:eastAsia="宋体"/>
          <w:color w:val="000000"/>
          <w:sz w:val="24"/>
          <w:szCs w:val="24"/>
          <w:highlight w:val="none"/>
        </w:rPr>
      </w:pPr>
      <w:r>
        <w:rPr>
          <w:rFonts w:hint="eastAsia" w:ascii="宋体" w:hAnsi="Arial" w:eastAsia="宋体"/>
          <w:color w:val="000000"/>
          <w:sz w:val="24"/>
          <w:szCs w:val="24"/>
          <w:highlight w:val="none"/>
        </w:rPr>
        <w:t xml:space="preserve">注：1.从业人员、营业收入、资产总额填报上一年度数据，无上一年度数据的新成立企业可不填报。</w:t>
      </w:r>
      <w:r/>
    </w:p>
    <w:p>
      <w:pPr>
        <w:pStyle w:val="930"/>
        <w:ind w:left="357"/>
        <w:spacing w:line="360" w:lineRule="auto"/>
        <w:rPr>
          <w:rFonts w:ascii="宋体" w:hAnsi="Arial" w:eastAsia="宋体"/>
          <w:color w:val="000000"/>
          <w:sz w:val="24"/>
          <w:szCs w:val="24"/>
          <w:highlight w:val="none"/>
        </w:rPr>
      </w:pPr>
      <w:r>
        <w:rPr>
          <w:rFonts w:hint="eastAsia" w:ascii="宋体" w:hAnsi="Arial" w:eastAsia="宋体"/>
          <w:color w:val="000000"/>
          <w:sz w:val="24"/>
          <w:szCs w:val="24"/>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jc w:val="center"/>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jc w:val="center"/>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企业名称（盖章）：</w:t>
      </w:r>
      <w:r/>
    </w:p>
    <w:p>
      <w:pPr>
        <w:jc w:val="center"/>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jc w:val="center"/>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日　　　　　　期：</w:t>
      </w:r>
      <w:r/>
    </w:p>
    <w:p>
      <w:pPr>
        <w:spacing w:line="360" w:lineRule="auto"/>
        <w:rPr>
          <w:rFonts w:hint="eastAsia" w:hAnsi="宋体"/>
          <w:bCs/>
          <w:color w:val="000000"/>
          <w:sz w:val="24"/>
          <w:highlight w:val="none"/>
        </w:rPr>
        <w:outlineLvl w:val="0"/>
      </w:pPr>
      <w:r>
        <w:rPr>
          <w:rFonts w:hint="eastAsia" w:ascii="Calibri" w:hAnsi="宋体"/>
          <w:bCs/>
          <w:color w:val="000000"/>
          <w:sz w:val="24"/>
          <w:highlight w:val="none"/>
        </w:rPr>
        <w:t xml:space="preserve">附件6 </w:t>
      </w:r>
      <w:r>
        <w:rPr>
          <w:rFonts w:hint="eastAsia" w:hAnsi="宋体"/>
          <w:bCs/>
          <w:color w:val="000000"/>
          <w:sz w:val="24"/>
          <w:highlight w:val="none"/>
        </w:rPr>
        <w:t xml:space="preserve">残疾人福利性单位声明函（格式）</w:t>
      </w:r>
      <w:r/>
    </w:p>
    <w:p>
      <w:pPr>
        <w:ind w:firstLine="360"/>
        <w:jc w:val="center"/>
        <w:spacing w:line="360" w:lineRule="auto"/>
        <w:rPr>
          <w:rFonts w:hint="eastAsia" w:hAnsi="宋体"/>
          <w:bCs/>
          <w:color w:val="000000"/>
          <w:sz w:val="24"/>
          <w:highlight w:val="none"/>
        </w:rPr>
        <w:outlineLvl w:val="0"/>
      </w:pPr>
      <w:r>
        <w:rPr>
          <w:rFonts w:hint="eastAsia" w:hAnsi="宋体"/>
          <w:bCs/>
          <w:color w:val="000000"/>
          <w:sz w:val="24"/>
          <w:highlight w:val="none"/>
        </w:rPr>
        <w:t xml:space="preserve">残疾人福利性单位声明函</w:t>
      </w:r>
      <w:r/>
    </w:p>
    <w:p>
      <w:pPr>
        <w:ind w:firstLine="600"/>
        <w:spacing w:line="360" w:lineRule="auto"/>
        <w:rPr>
          <w:rFonts w:hint="eastAsia" w:hAnsi="宋体" w:cs="宋体"/>
          <w:bCs/>
          <w:color w:val="000000"/>
          <w:sz w:val="24"/>
          <w:highlight w:val="none"/>
          <w:u w:val="single"/>
        </w:rPr>
        <w:outlineLvl w:val="0"/>
      </w:pPr>
      <w:r>
        <w:rPr>
          <w:rFonts w:hint="eastAsia" w:hAnsi="宋体"/>
          <w:bCs/>
          <w:color w:val="000000"/>
          <w:sz w:val="24"/>
          <w:highlight w:val="none"/>
        </w:rPr>
        <w:t xml:space="preserve">本公司郑重承诺，根据</w:t>
      </w:r>
      <w:r>
        <w:rPr>
          <w:rFonts w:hint="eastAsia" w:ascii="宋体" w:hAnsi="宋体" w:cs="宋体"/>
          <w:bCs/>
          <w:color w:val="000000"/>
          <w:sz w:val="24"/>
          <w:highlight w:val="none"/>
        </w:rPr>
        <w:t xml:space="preserve">《</w:t>
      </w:r>
      <w:r>
        <w:rPr>
          <w:rFonts w:hint="eastAsia" w:hAnsi="宋体" w:cs="宋体"/>
          <w:color w:val="000000"/>
          <w:sz w:val="24"/>
          <w:highlight w:val="none"/>
        </w:rPr>
        <w:t xml:space="preserve">财政部司法部中国残疾人联合会关于促进残疾人就业政府采购政策的通知</w:t>
      </w:r>
      <w:r>
        <w:rPr>
          <w:rFonts w:hint="eastAsia" w:ascii="宋体" w:hAnsi="宋体" w:cs="宋体"/>
          <w:color w:val="000000"/>
          <w:sz w:val="24"/>
          <w:highlight w:val="none"/>
        </w:rPr>
        <w:t xml:space="preserve">》</w:t>
      </w:r>
      <w:r>
        <w:rPr>
          <w:rFonts w:hint="eastAsia" w:hAnsi="宋体" w:cs="宋体"/>
          <w:color w:val="000000"/>
          <w:sz w:val="24"/>
          <w:highlight w:val="none"/>
        </w:rPr>
        <w:t xml:space="preserve">（财库（2017）141号）</w:t>
      </w:r>
      <w:r>
        <w:rPr>
          <w:rFonts w:hint="eastAsia" w:hAnsi="宋体" w:cs="宋体"/>
          <w:bCs/>
          <w:color w:val="000000"/>
          <w:sz w:val="24"/>
          <w:highlight w:val="none"/>
        </w:rPr>
        <w:t xml:space="preserve">的规定，本单位为符合条件的残疾人福利性单位，且本单位参加</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 单位的 </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ind w:firstLine="360"/>
        <w:jc w:val="left"/>
        <w:spacing w:line="360" w:lineRule="auto"/>
        <w:rPr>
          <w:rFonts w:hint="eastAsia" w:hAnsi="宋体"/>
          <w:bCs/>
          <w:color w:val="000000"/>
          <w:sz w:val="24"/>
          <w:highlight w:val="none"/>
        </w:rPr>
        <w:outlineLvl w:val="0"/>
      </w:pPr>
      <w:r>
        <w:rPr>
          <w:rFonts w:hint="eastAsia" w:hAnsi="宋体"/>
          <w:bCs/>
          <w:color w:val="000000"/>
          <w:sz w:val="24"/>
          <w:highlight w:val="none"/>
        </w:rPr>
      </w:r>
      <w:r/>
    </w:p>
    <w:p>
      <w:pPr>
        <w:ind w:firstLine="720"/>
        <w:spacing w:line="360" w:lineRule="auto"/>
        <w:rPr>
          <w:rFonts w:hint="eastAsia" w:hAnsi="宋体" w:cs="宋体"/>
          <w:bCs/>
          <w:color w:val="000000"/>
          <w:sz w:val="24"/>
          <w:highlight w:val="none"/>
        </w:rPr>
        <w:outlineLvl w:val="0"/>
      </w:pPr>
      <w:r>
        <w:rPr>
          <w:rFonts w:hint="eastAsia" w:hAnsi="宋体" w:cs="宋体"/>
          <w:bCs/>
          <w:color w:val="000000"/>
          <w:sz w:val="24"/>
          <w:highlight w:val="none"/>
        </w:rPr>
        <w:t xml:space="preserve">本公司对上述声明的真实性负责。如有虚假，将依法承担相应责任。</w:t>
      </w:r>
      <w:r/>
    </w:p>
    <w:p>
      <w:pPr>
        <w:ind w:firstLine="360"/>
        <w:jc w:val="center"/>
        <w:spacing w:line="360" w:lineRule="auto"/>
        <w:rPr>
          <w:rFonts w:hAnsi="宋体"/>
          <w:bCs/>
          <w:color w:val="000000"/>
          <w:sz w:val="24"/>
          <w:highlight w:val="none"/>
        </w:rPr>
        <w:outlineLvl w:val="0"/>
      </w:pPr>
      <w:r>
        <w:rPr>
          <w:rFonts w:hAnsi="宋体"/>
          <w:bCs/>
          <w:color w:val="000000"/>
          <w:sz w:val="24"/>
          <w:highlight w:val="none"/>
        </w:rPr>
      </w:r>
      <w:r/>
    </w:p>
    <w:p>
      <w:pPr>
        <w:ind w:firstLine="4800"/>
        <w:spacing w:line="360" w:lineRule="auto"/>
        <w:tabs>
          <w:tab w:val="left" w:pos="4116" w:leader="none"/>
        </w:tabs>
        <w:rPr>
          <w:rFonts w:hint="eastAsia" w:hAnsi="宋体"/>
          <w:bCs/>
          <w:color w:val="000000"/>
          <w:sz w:val="24"/>
          <w:highlight w:val="none"/>
        </w:rPr>
      </w:pPr>
      <w:r>
        <w:rPr>
          <w:rFonts w:hint="eastAsia" w:hAnsi="宋体"/>
          <w:bCs/>
          <w:color w:val="000000"/>
          <w:sz w:val="24"/>
          <w:highlight w:val="none"/>
        </w:rPr>
        <w:tab/>
      </w:r>
      <w:r/>
    </w:p>
    <w:p>
      <w:pPr>
        <w:ind w:firstLine="4800"/>
        <w:spacing w:line="360" w:lineRule="auto"/>
        <w:tabs>
          <w:tab w:val="left" w:pos="4116" w:leader="none"/>
        </w:tabs>
        <w:rPr>
          <w:rFonts w:hint="eastAsia" w:hAnsi="宋体"/>
          <w:bCs/>
          <w:color w:val="000000"/>
          <w:sz w:val="24"/>
          <w:highlight w:val="none"/>
        </w:rPr>
      </w:pPr>
      <w:r>
        <w:rPr>
          <w:rFonts w:hint="eastAsia" w:hAnsi="宋体"/>
          <w:bCs/>
          <w:color w:val="000000"/>
          <w:sz w:val="24"/>
          <w:highlight w:val="none"/>
        </w:rPr>
      </w:r>
      <w:r/>
    </w:p>
    <w:p>
      <w:pPr>
        <w:ind w:firstLine="6000"/>
        <w:spacing w:line="360" w:lineRule="auto"/>
        <w:tabs>
          <w:tab w:val="left" w:pos="4116" w:leader="none"/>
        </w:tabs>
        <w:rPr>
          <w:rFonts w:hAnsi="宋体"/>
          <w:bCs/>
          <w:color w:val="000000"/>
          <w:sz w:val="24"/>
          <w:highlight w:val="none"/>
        </w:rPr>
      </w:pPr>
      <w:r>
        <w:rPr>
          <w:rFonts w:hint="eastAsia" w:hAnsi="宋体"/>
          <w:bCs/>
          <w:color w:val="000000"/>
          <w:sz w:val="24"/>
          <w:highlight w:val="none"/>
        </w:rPr>
        <w:t xml:space="preserve">企业名称（盖章）：</w:t>
      </w:r>
      <w:r/>
    </w:p>
    <w:p>
      <w:pPr>
        <w:ind w:firstLine="4800"/>
        <w:spacing w:line="360" w:lineRule="auto"/>
        <w:rPr>
          <w:rFonts w:hAnsi="宋体"/>
          <w:bCs/>
          <w:color w:val="000000"/>
          <w:sz w:val="24"/>
          <w:highlight w:val="none"/>
        </w:rPr>
      </w:pPr>
      <w:r>
        <w:rPr>
          <w:rFonts w:hAnsi="宋体"/>
          <w:bCs/>
          <w:color w:val="000000"/>
          <w:sz w:val="24"/>
          <w:highlight w:val="none"/>
        </w:rPr>
      </w:r>
      <w:r/>
    </w:p>
    <w:p>
      <w:pPr>
        <w:ind w:firstLine="6000"/>
        <w:spacing w:line="360" w:lineRule="auto"/>
        <w:rPr>
          <w:rFonts w:hint="eastAsia" w:hAnsi="宋体"/>
          <w:bCs/>
          <w:color w:val="000000"/>
          <w:sz w:val="24"/>
          <w:highlight w:val="none"/>
        </w:rPr>
      </w:pPr>
      <w:r>
        <w:rPr>
          <w:rFonts w:hint="eastAsia" w:hAnsi="宋体"/>
          <w:bCs/>
          <w:color w:val="000000"/>
          <w:sz w:val="24"/>
          <w:highlight w:val="none"/>
        </w:rPr>
        <w:t xml:space="preserve">日　　　　　　期：</w:t>
      </w:r>
      <w:r/>
    </w:p>
    <w:p>
      <w:pPr>
        <w:ind w:firstLine="480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ind w:firstLine="480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hAnsi="宋体"/>
          <w:bCs/>
          <w:color w:val="000000"/>
          <w:sz w:val="24"/>
          <w:highlight w:val="none"/>
        </w:rPr>
        <w:outlineLvl w:val="0"/>
      </w:pPr>
      <w:r>
        <w:rPr>
          <w:rFonts w:hint="eastAsia"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附件7开标一览表（格式）： </w:t>
      </w:r>
      <w:r/>
    </w:p>
    <w:p>
      <w:pPr>
        <w:jc w:val="center"/>
        <w:spacing w:line="360" w:lineRule="auto"/>
        <w:rPr>
          <w:rFonts w:hint="eastAsia" w:ascii="黑体" w:eastAsia="黑体"/>
          <w:bCs/>
          <w:color w:val="000000"/>
          <w:sz w:val="24"/>
          <w:highlight w:val="none"/>
        </w:rPr>
        <w:outlineLvl w:val="0"/>
      </w:pPr>
      <w:r>
        <w:rPr>
          <w:rFonts w:hint="eastAsia" w:ascii="黑体" w:eastAsia="黑体"/>
          <w:bCs/>
          <w:color w:val="000000"/>
          <w:sz w:val="24"/>
          <w:highlight w:val="none"/>
        </w:rPr>
        <w:t xml:space="preserve">开标一览表 </w:t>
      </w:r>
      <w:r/>
    </w:p>
    <w:p>
      <w:pPr>
        <w:spacing w:line="360" w:lineRule="auto"/>
        <w:rPr>
          <w:rFonts w:hint="eastAsia" w:ascii="黑体" w:eastAsia="黑体"/>
          <w:bCs/>
          <w:color w:val="000000"/>
          <w:sz w:val="24"/>
          <w:highlight w:val="none"/>
        </w:rPr>
      </w:pPr>
      <w:r>
        <w:rPr>
          <w:rFonts w:hint="eastAsia" w:ascii="黑体" w:eastAsia="黑体"/>
          <w:bCs/>
          <w:color w:val="000000"/>
          <w:sz w:val="24"/>
          <w:highlight w:val="none"/>
        </w:rPr>
      </w:r>
      <w:r/>
    </w:p>
    <w:p>
      <w:pPr>
        <w:spacing w:line="360" w:lineRule="auto"/>
        <w:rPr>
          <w:rFonts w:ascii="宋体" w:hAnsi="宋体"/>
          <w:color w:val="000000"/>
          <w:sz w:val="24"/>
          <w:highlight w:val="none"/>
          <w:u w:val="single"/>
        </w:rPr>
      </w:pP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项目名称：</w:t>
      </w:r>
      <w:r>
        <w:rPr>
          <w:rFonts w:ascii="宋体" w:hAnsi="宋体"/>
          <w:color w:val="000000"/>
          <w:sz w:val="24"/>
          <w:highlight w:val="none"/>
          <w:u w:val="single"/>
        </w:rPr>
        <w:t xml:space="preserve">___________________</w:t>
      </w:r>
      <w:r>
        <w:rPr>
          <w:rFonts w:ascii="宋体" w:hAnsi="宋体"/>
          <w:color w:val="000000"/>
          <w:sz w:val="24"/>
          <w:highlight w:val="none"/>
        </w:rPr>
        <w:t xml:space="preserve"> </w:t>
      </w:r>
      <w:r>
        <w:rPr>
          <w:rFonts w:hint="eastAsia" w:ascii="宋体" w:hAnsi="宋体"/>
          <w:color w:val="000000"/>
          <w:sz w:val="24"/>
          <w:highlight w:val="none"/>
          <w:lang w:val="en-US" w:eastAsia="zh-CN"/>
        </w:rPr>
        <w:t xml:space="preserve">采购编号</w:t>
      </w:r>
      <w:r>
        <w:rPr>
          <w:rFonts w:hint="eastAsia" w:ascii="宋体" w:hAnsi="宋体"/>
          <w:color w:val="000000"/>
          <w:sz w:val="24"/>
          <w:highlight w:val="none"/>
        </w:rPr>
        <w:t xml:space="preserve">：</w:t>
      </w:r>
      <w:r>
        <w:rPr>
          <w:rFonts w:ascii="宋体" w:hAnsi="宋体"/>
          <w:color w:val="000000"/>
          <w:sz w:val="24"/>
          <w:highlight w:val="none"/>
          <w:u w:val="single"/>
        </w:rPr>
        <w:t xml:space="preserve">___________________</w:t>
      </w:r>
      <w:r/>
    </w:p>
    <w:tbl>
      <w:tblPr>
        <w:tblStyle w:val="721"/>
        <w:tblW w:w="907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5670"/>
        <w:gridCol w:w="1701"/>
      </w:tblGrid>
      <w:tr>
        <w:trPr>
          <w:cantSplit/>
          <w:trHeight w:val="267"/>
        </w:trPr>
        <w:tc>
          <w:tcPr>
            <w:tcW w:w="1701"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项目名称</w:t>
            </w:r>
            <w:r/>
          </w:p>
        </w:tc>
        <w:tc>
          <w:tcPr>
            <w:gridSpan w:val="2"/>
            <w:tcW w:w="7371"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373"/>
        </w:trPr>
        <w:tc>
          <w:tcPr>
            <w:tcW w:w="1701" w:type="dxa"/>
            <w:vAlign w:val="center"/>
            <w:textDirection w:val="lrTb"/>
            <w:noWrap w:val="false"/>
          </w:tcPr>
          <w:p>
            <w:pPr>
              <w:jc w:val="center"/>
              <w:spacing w:line="40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食材类别</w:t>
            </w:r>
            <w:r/>
          </w:p>
        </w:tc>
        <w:tc>
          <w:tcPr>
            <w:tcW w:w="5670"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bidi="en-US"/>
                <w14:textFill>
                  <w14:solidFill>
                    <w14:schemeClr w14:val="tx1"/>
                  </w14:solidFill>
                </w14:textFill>
              </w:rPr>
              <w:t xml:space="preserve">质量标准</w:t>
            </w:r>
            <w:r/>
          </w:p>
        </w:tc>
        <w:tc>
          <w:tcPr>
            <w:tcW w:w="1701"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bidi="en-US"/>
                <w14:textFill>
                  <w14:solidFill>
                    <w14:schemeClr w14:val="tx1"/>
                  </w14:solidFill>
                </w14:textFill>
              </w:rPr>
              <w:t xml:space="preserve">投标</w:t>
            </w:r>
            <w:r>
              <w:rPr>
                <w:rFonts w:hint="eastAsia" w:ascii="宋体" w:hAnsi="宋体"/>
                <w:b/>
                <w:color w:val="000000" w:themeColor="text1"/>
                <w:sz w:val="24"/>
                <w:szCs w:val="24"/>
                <w:highlight w:val="none"/>
                <w:lang w:val="en-US" w:eastAsia="zh-CN" w:bidi="en-US"/>
                <w14:textFill>
                  <w14:solidFill>
                    <w14:schemeClr w14:val="tx1"/>
                  </w14:solidFill>
                </w14:textFill>
              </w:rPr>
              <w:t xml:space="preserve">优惠</w:t>
            </w:r>
            <w:r>
              <w:rPr>
                <w:rFonts w:hint="eastAsia" w:ascii="宋体" w:hAnsi="宋体"/>
                <w:b/>
                <w:color w:val="000000" w:themeColor="text1"/>
                <w:sz w:val="24"/>
                <w:szCs w:val="24"/>
                <w:highlight w:val="none"/>
                <w:lang w:bidi="en-US"/>
                <w14:textFill>
                  <w14:solidFill>
                    <w14:schemeClr w14:val="tx1"/>
                  </w14:solidFill>
                </w14:textFill>
              </w:rPr>
              <w:t xml:space="preserve">率</w:t>
            </w:r>
            <w:r/>
          </w:p>
        </w:tc>
      </w:tr>
      <w:tr>
        <w:trPr>
          <w:cantSplit/>
          <w:trHeight w:val="367"/>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1701" w:type="dxa"/>
            <w:vAlign w:val="center"/>
            <w:vMerge w:val="restart"/>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525"/>
        </w:trPr>
        <w:tc>
          <w:tcPr>
            <w:tcW w:w="1701"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服务期限：</w:t>
            </w:r>
            <w:r/>
          </w:p>
        </w:tc>
        <w:tc>
          <w:tcPr>
            <w:gridSpan w:val="2"/>
            <w:tcW w:w="7371" w:type="dxa"/>
            <w:vAlign w:val="center"/>
            <w:textDirection w:val="lrTb"/>
            <w:noWrap w:val="false"/>
          </w:tcPr>
          <w:p>
            <w:pP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67"/>
        </w:trPr>
        <w:tc>
          <w:tcPr>
            <w:tcW w:w="1701" w:type="dxa"/>
            <w:vAlign w:val="center"/>
            <w:textDirection w:val="lrTb"/>
            <w:noWrap w:val="false"/>
          </w:tcPr>
          <w:p>
            <w:pPr>
              <w:jc w:val="center"/>
              <w:spacing w:line="34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服务质量：</w:t>
            </w:r>
            <w:r/>
          </w:p>
        </w:tc>
        <w:tc>
          <w:tcPr>
            <w:gridSpan w:val="2"/>
            <w:tcW w:w="7371" w:type="dxa"/>
            <w:vAlign w:val="center"/>
            <w:textDirection w:val="lrTb"/>
            <w:noWrap w:val="false"/>
          </w:tcPr>
          <w:p>
            <w:pPr>
              <w:spacing w:line="34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bl>
    <w:p>
      <w:pPr>
        <w:ind w:left="851" w:hanging="851"/>
        <w:spacing w:line="360" w:lineRule="auto"/>
        <w:rPr>
          <w:rFonts w:ascii="宋体"/>
          <w:bCs/>
          <w:color w:val="000000"/>
          <w:sz w:val="24"/>
          <w:highlight w:val="none"/>
          <w:u w:val="single"/>
        </w:rPr>
      </w:pPr>
      <w:r>
        <w:rPr>
          <w:rFonts w:ascii="宋体"/>
          <w:bCs/>
          <w:color w:val="000000"/>
          <w:sz w:val="24"/>
          <w:highlight w:val="none"/>
        </w:rPr>
        <w:t xml:space="preserve">    </w:t>
      </w:r>
      <w:r>
        <w:rPr>
          <w:rFonts w:hint="eastAsia" w:ascii="宋体"/>
          <w:bCs/>
          <w:color w:val="000000"/>
          <w:sz w:val="24"/>
          <w:highlight w:val="none"/>
        </w:rPr>
        <w:t xml:space="preserve">投标单位全称（盖章）：</w:t>
      </w:r>
      <w:r>
        <w:rPr>
          <w:rFonts w:ascii="宋体"/>
          <w:bCs/>
          <w:color w:val="000000"/>
          <w:sz w:val="24"/>
          <w:highlight w:val="none"/>
          <w:u w:val="single"/>
        </w:rPr>
        <w:t xml:space="preserve">                     </w:t>
      </w:r>
      <w:r/>
    </w:p>
    <w:p>
      <w:pPr>
        <w:ind w:left="851" w:hanging="851"/>
        <w:spacing w:line="360" w:lineRule="auto"/>
        <w:rPr>
          <w:rFonts w:ascii="宋体"/>
          <w:bCs/>
          <w:color w:val="000000"/>
          <w:sz w:val="24"/>
          <w:highlight w:val="none"/>
          <w:u w:val="single"/>
        </w:rPr>
      </w:pPr>
      <w:r>
        <w:rPr>
          <w:rFonts w:ascii="宋体"/>
          <w:bCs/>
          <w:color w:val="000000"/>
          <w:sz w:val="24"/>
          <w:highlight w:val="none"/>
        </w:rPr>
        <w:t xml:space="preserve">    </w:t>
      </w:r>
      <w:r>
        <w:rPr>
          <w:rFonts w:hint="eastAsia" w:ascii="宋体"/>
          <w:bCs/>
          <w:color w:val="000000"/>
          <w:sz w:val="24"/>
          <w:highlight w:val="none"/>
        </w:rPr>
        <w:t xml:space="preserve">授</w:t>
      </w:r>
      <w:r>
        <w:rPr>
          <w:rFonts w:ascii="宋体"/>
          <w:bCs/>
          <w:color w:val="000000"/>
          <w:sz w:val="24"/>
          <w:highlight w:val="none"/>
        </w:rPr>
        <w:t xml:space="preserve"> </w:t>
      </w:r>
      <w:r>
        <w:rPr>
          <w:rFonts w:hint="eastAsia" w:ascii="宋体"/>
          <w:bCs/>
          <w:color w:val="000000"/>
          <w:sz w:val="24"/>
          <w:highlight w:val="none"/>
        </w:rPr>
        <w:t xml:space="preserve">权</w:t>
      </w:r>
      <w:r>
        <w:rPr>
          <w:rFonts w:ascii="宋体"/>
          <w:bCs/>
          <w:color w:val="000000"/>
          <w:sz w:val="24"/>
          <w:highlight w:val="none"/>
        </w:rPr>
        <w:t xml:space="preserve"> </w:t>
      </w:r>
      <w:r>
        <w:rPr>
          <w:rFonts w:hint="eastAsia" w:ascii="宋体"/>
          <w:bCs/>
          <w:color w:val="000000"/>
          <w:sz w:val="24"/>
          <w:highlight w:val="none"/>
        </w:rPr>
        <w:t xml:space="preserve">代</w:t>
      </w:r>
      <w:r>
        <w:rPr>
          <w:rFonts w:ascii="宋体"/>
          <w:bCs/>
          <w:color w:val="000000"/>
          <w:sz w:val="24"/>
          <w:highlight w:val="none"/>
        </w:rPr>
        <w:t xml:space="preserve"> </w:t>
      </w:r>
      <w:r>
        <w:rPr>
          <w:rFonts w:hint="eastAsia" w:ascii="宋体"/>
          <w:bCs/>
          <w:color w:val="000000"/>
          <w:sz w:val="24"/>
          <w:highlight w:val="none"/>
        </w:rPr>
        <w:t xml:space="preserve">表（签字）：</w:t>
      </w:r>
      <w:r>
        <w:rPr>
          <w:rFonts w:ascii="宋体"/>
          <w:bCs/>
          <w:color w:val="000000"/>
          <w:sz w:val="24"/>
          <w:highlight w:val="none"/>
          <w:u w:val="single"/>
        </w:rPr>
        <w:t xml:space="preserve">                      </w:t>
      </w:r>
      <w:r/>
    </w:p>
    <w:p>
      <w:pPr>
        <w:jc w:val="left"/>
        <w:spacing w:line="360" w:lineRule="auto"/>
        <w:rPr>
          <w:color w:val="000000"/>
          <w:sz w:val="24"/>
          <w:highlight w:val="none"/>
        </w:rPr>
      </w:pPr>
      <w:r>
        <w:rPr>
          <w:rFonts w:ascii="宋体"/>
          <w:bCs/>
          <w:color w:val="000000"/>
          <w:sz w:val="24"/>
          <w:highlight w:val="none"/>
        </w:rPr>
        <w:t xml:space="preserve">    </w:t>
      </w:r>
      <w:r>
        <w:rPr>
          <w:rFonts w:hint="eastAsia" w:ascii="宋体"/>
          <w:bCs/>
          <w:color w:val="000000"/>
          <w:sz w:val="24"/>
          <w:highlight w:val="none"/>
        </w:rPr>
        <w:t xml:space="preserve">日</w:t>
      </w:r>
      <w:r>
        <w:rPr>
          <w:rFonts w:ascii="宋体"/>
          <w:bCs/>
          <w:color w:val="000000"/>
          <w:sz w:val="24"/>
          <w:highlight w:val="none"/>
        </w:rPr>
        <w:t xml:space="preserve">              </w:t>
      </w:r>
      <w:r>
        <w:rPr>
          <w:rFonts w:hint="eastAsia" w:ascii="宋体"/>
          <w:bCs/>
          <w:color w:val="000000"/>
          <w:sz w:val="24"/>
          <w:highlight w:val="none"/>
        </w:rPr>
        <w:t xml:space="preserve">期：</w:t>
      </w:r>
      <w:r>
        <w:rPr>
          <w:rFonts w:ascii="宋体"/>
          <w:bCs/>
          <w:color w:val="000000"/>
          <w:sz w:val="24"/>
          <w:highlight w:val="none"/>
          <w:u w:val="single"/>
        </w:rPr>
        <w:t xml:space="preserve">                      </w:t>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numPr>
          <w:ilvl w:val="0"/>
          <w:numId w:val="0"/>
        </w:numPr>
        <w:rPr>
          <w:rFonts w:hint="eastAsia" w:hAnsi="宋体"/>
          <w:b/>
          <w:color w:val="000000"/>
          <w:sz w:val="24"/>
          <w:highlight w:val="none"/>
        </w:rPr>
      </w:pPr>
      <w:r>
        <w:rPr>
          <w:rFonts w:hint="eastAsia" w:ascii="宋体" w:hAnsi="宋体"/>
          <w:b/>
          <w:color w:val="000000" w:themeColor="text1"/>
          <w:sz w:val="24"/>
          <w:highlight w:val="none"/>
          <w:lang w:val="en-US" w:eastAsia="zh-CN"/>
          <w14:textFill>
            <w14:solidFill>
              <w14:schemeClr w14:val="tx1"/>
            </w14:solidFill>
          </w14:textFill>
        </w:rPr>
        <w:t xml:space="preserve">*注：投标优惠率=1-投标折扣率（例：打九折即折扣率=90%、优惠率=1-90%=10%）</w:t>
      </w:r>
      <w:r/>
    </w:p>
    <w:p>
      <w:pPr>
        <w:spacing w:line="360" w:lineRule="auto"/>
        <w:rPr>
          <w:rFonts w:hint="eastAsia" w:ascii="宋体" w:hAnsi="宋体" w:cs="宋体"/>
          <w:bCs/>
          <w:color w:val="000000"/>
          <w:sz w:val="24"/>
          <w:highlight w:val="none"/>
        </w:rPr>
        <w:outlineLvl w:val="0"/>
      </w:pPr>
      <w:r>
        <w:rPr>
          <w:rFonts w:ascii="宋体" w:hAnsi="宋体"/>
          <w:color w:val="000000"/>
          <w:sz w:val="24"/>
          <w:highlight w:val="none"/>
        </w:rPr>
        <w:br w:type="page" w:clear="all"/>
      </w:r>
      <w:r>
        <w:rPr>
          <w:rFonts w:hint="eastAsia" w:ascii="宋体" w:hAnsi="宋体"/>
          <w:bCs/>
          <w:color w:val="000000"/>
          <w:sz w:val="24"/>
          <w:highlight w:val="none"/>
        </w:rPr>
        <w:t xml:space="preserve">附件8</w:t>
      </w:r>
      <w:r>
        <w:rPr>
          <w:rFonts w:hint="eastAsia" w:ascii="宋体" w:hAnsi="宋体"/>
          <w:bCs/>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投标报价明细表（格</w:t>
      </w:r>
      <w:r>
        <w:rPr>
          <w:rFonts w:hint="eastAsia" w:ascii="宋体" w:hAnsi="宋体" w:cs="宋体"/>
          <w:bCs/>
          <w:color w:val="000000"/>
          <w:sz w:val="24"/>
          <w:highlight w:val="none"/>
        </w:rPr>
        <w:t xml:space="preserve">式）</w:t>
      </w:r>
      <w:r/>
    </w:p>
    <w:p>
      <w:pPr>
        <w:spacing w:line="360" w:lineRule="auto"/>
        <w:rPr>
          <w:rFonts w:hint="eastAsia" w:hAnsi="宋体"/>
          <w:bCs/>
          <w:color w:val="000000"/>
          <w:sz w:val="24"/>
          <w:highlight w:val="none"/>
        </w:rPr>
      </w:pPr>
      <w:r>
        <w:rPr>
          <w:rFonts w:hint="eastAsia" w:hAnsi="宋体"/>
          <w:bCs/>
          <w:color w:val="000000"/>
          <w:sz w:val="24"/>
          <w:highlight w:val="none"/>
        </w:rPr>
        <w:t xml:space="preserve">投标供应商名称（盖章）                                  政府采购编号：</w:t>
      </w:r>
      <w:r/>
    </w:p>
    <w:p>
      <w:pPr>
        <w:spacing w:line="360" w:lineRule="auto"/>
        <w:rPr>
          <w:rFonts w:hint="eastAsia" w:hAnsi="宋体"/>
          <w:bCs/>
          <w:color w:val="000000"/>
          <w:sz w:val="24"/>
          <w:highlight w:val="none"/>
        </w:rPr>
      </w:pPr>
      <w:r>
        <w:rPr>
          <w:rFonts w:hint="eastAsia" w:hAnsi="宋体"/>
          <w:bCs/>
          <w:color w:val="000000"/>
          <w:sz w:val="24"/>
          <w:highlight w:val="none"/>
        </w:rPr>
        <w:t xml:space="preserve">授 权 代 表（签字）： </w:t>
      </w:r>
      <w:r>
        <w:rPr>
          <w:rFonts w:hint="eastAsia" w:hAnsi="宋体"/>
          <w:bCs/>
          <w:color w:val="000000"/>
          <w:sz w:val="24"/>
          <w:highlight w:val="none"/>
          <w:u w:val="single"/>
        </w:rPr>
        <w:t xml:space="preserve">              </w:t>
      </w:r>
      <w:r>
        <w:rPr>
          <w:rFonts w:hint="eastAsia" w:hAnsi="宋体"/>
          <w:bCs/>
          <w:color w:val="000000"/>
          <w:sz w:val="24"/>
          <w:highlight w:val="none"/>
        </w:rPr>
        <w:t xml:space="preserve">       </w:t>
      </w:r>
      <w:r/>
    </w:p>
    <w:tbl>
      <w:tblPr>
        <w:tblStyle w:val="721"/>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83"/>
        <w:gridCol w:w="2390"/>
        <w:gridCol w:w="2577"/>
        <w:gridCol w:w="2668"/>
      </w:tblGrid>
      <w:tr>
        <w:trPr>
          <w:cantSplit/>
          <w:jc w:val="center"/>
          <w:trHeight w:val="560"/>
        </w:trPr>
        <w:tc>
          <w:tcPr>
            <w:tcMar>
              <w:left w:w="15" w:type="dxa"/>
              <w:top w:w="15" w:type="dxa"/>
              <w:right w:w="15" w:type="dxa"/>
              <w:bottom w:w="0" w:type="dxa"/>
            </w:tcMa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序号</w:t>
            </w:r>
            <w:r/>
          </w:p>
        </w:tc>
        <w:tc>
          <w:tcPr>
            <w:tcMar>
              <w:left w:w="15" w:type="dxa"/>
              <w:top w:w="15" w:type="dxa"/>
              <w:right w:w="15" w:type="dxa"/>
              <w:bottom w:w="0" w:type="dxa"/>
            </w:tcMa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品名</w:t>
            </w:r>
            <w:r/>
          </w:p>
        </w:tc>
        <w:tc>
          <w:tcPr>
            <w:tcMar>
              <w:left w:w="15" w:type="dxa"/>
              <w:top w:w="15" w:type="dxa"/>
              <w:right w:w="15" w:type="dxa"/>
              <w:bottom w:w="0" w:type="dxa"/>
            </w:tcMa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规格</w:t>
            </w:r>
            <w:r/>
          </w:p>
        </w:tc>
        <w:tc>
          <w:tcPr>
            <w:tcW w:w="2668" w:type="dxa"/>
            <w:vAlign w:val="center"/>
            <w:textDirection w:val="lrTb"/>
            <w:noWrap w:val="false"/>
          </w:tcPr>
          <w:p>
            <w:pPr>
              <w:jc w:val="center"/>
              <w:rPr>
                <w:rFonts w:hint="eastAsia" w:ascii="宋体" w:hAnsi="宋体" w:eastAsia="宋体"/>
                <w:color w:val="000000" w:themeColor="text1"/>
                <w:sz w:val="18"/>
                <w:highlight w:val="none"/>
                <w:lang w:eastAsia="zh-CN"/>
                <w14:textFill>
                  <w14:solidFill>
                    <w14:schemeClr w14:val="tx1"/>
                  </w14:solidFill>
                </w14:textFill>
              </w:rPr>
            </w:pPr>
            <w:r>
              <w:rPr>
                <w:rFonts w:hint="eastAsia" w:ascii="宋体" w:hAnsi="宋体"/>
                <w:color w:val="000000" w:themeColor="text1"/>
                <w:sz w:val="18"/>
                <w:highlight w:val="none"/>
                <w:lang w:val="en-US" w:eastAsia="zh-CN"/>
                <w14:textFill>
                  <w14:solidFill>
                    <w14:schemeClr w14:val="tx1"/>
                  </w14:solidFill>
                </w14:textFill>
              </w:rPr>
              <w:t xml:space="preserve">优惠</w:t>
            </w:r>
            <w:r>
              <w:rPr>
                <w:rFonts w:hint="eastAsia" w:ascii="宋体" w:hAnsi="宋体"/>
                <w:color w:val="000000" w:themeColor="text1"/>
                <w:sz w:val="18"/>
                <w:highlight w:val="none"/>
                <w14:textFill>
                  <w14:solidFill>
                    <w14:schemeClr w14:val="tx1"/>
                  </w14:solidFill>
                </w14:textFill>
              </w:rPr>
              <w:t xml:space="preserve">率</w:t>
            </w:r>
            <w:r/>
          </w:p>
        </w:tc>
      </w:tr>
      <w:tr>
        <w:trPr>
          <w:cantSplit/>
          <w:jc w:val="center"/>
          <w:trHeight w:val="770"/>
        </w:trPr>
        <w:tc>
          <w:tcPr>
            <w:tcMar>
              <w:left w:w="15" w:type="dxa"/>
              <w:top w:w="15" w:type="dxa"/>
              <w:right w:w="15" w:type="dxa"/>
              <w:bottom w:w="0" w:type="dxa"/>
            </w:tcMa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1</w:t>
            </w:r>
            <w:r/>
          </w:p>
        </w:tc>
        <w:tc>
          <w:tcPr>
            <w:tcMar>
              <w:left w:w="15" w:type="dxa"/>
              <w:top w:w="15" w:type="dxa"/>
              <w:right w:w="15" w:type="dxa"/>
              <w:bottom w:w="0" w:type="dxa"/>
            </w:tcMa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Mar>
              <w:left w:w="15" w:type="dxa"/>
              <w:top w:w="15" w:type="dxa"/>
              <w:right w:w="15" w:type="dxa"/>
              <w:bottom w:w="0" w:type="dxa"/>
            </w:tcMa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vAlign w:val="center"/>
            <w:textDirection w:val="lrTb"/>
            <w:noWrap w:val="false"/>
          </w:tcPr>
          <w:p>
            <w:pPr>
              <w:jc w:val="cente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596"/>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2</w:t>
            </w:r>
            <w:r/>
          </w:p>
        </w:tc>
        <w:tc>
          <w:tcP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596"/>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3</w:t>
            </w:r>
            <w:r/>
          </w:p>
        </w:tc>
        <w:tc>
          <w:tcP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596"/>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4</w:t>
            </w:r>
            <w:r/>
          </w:p>
        </w:tc>
        <w:tc>
          <w:tcP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596"/>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5</w:t>
            </w:r>
            <w:r/>
          </w:p>
        </w:tc>
        <w:tc>
          <w:tcPr>
            <w:tcW w:w="2390"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577"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jc w:val="center"/>
          <w:trHeight w:val="634"/>
        </w:trPr>
        <w:tc>
          <w:tcPr>
            <w:tcW w:w="883" w:type="dxa"/>
            <w:vAlign w:val="center"/>
            <w:textDirection w:val="lrTb"/>
            <w:noWrap w:val="false"/>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w:t>
            </w:r>
            <w:r/>
          </w:p>
        </w:tc>
        <w:tc>
          <w:tcPr>
            <w:tcW w:w="2390"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W w:w="2577"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W w:w="2668" w:type="dxa"/>
            <w:textDirection w:val="lrTb"/>
            <w:noWrap w:val="false"/>
          </w:tcPr>
          <w:p>
            <w:pPr>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bl>
    <w:p>
      <w:pPr>
        <w:spacing w:line="360" w:lineRule="auto"/>
        <w:rPr>
          <w:rFonts w:hAnsi="宋体"/>
          <w:bCs/>
          <w:color w:val="000000"/>
          <w:sz w:val="24"/>
          <w:highlight w:val="none"/>
        </w:rPr>
        <w:outlineLvl w:val="0"/>
      </w:pPr>
      <w:r>
        <w:rPr>
          <w:rFonts w:hAnsi="宋体"/>
          <w:bCs/>
          <w:color w:val="000000"/>
          <w:sz w:val="24"/>
          <w:highlight w:val="none"/>
        </w:rPr>
      </w:r>
      <w:r/>
    </w:p>
    <w:p>
      <w:pPr>
        <w:ind w:firstLine="361"/>
        <w:spacing w:line="360" w:lineRule="auto"/>
        <w:rPr>
          <w:rFonts w:hAnsi="宋体"/>
          <w:bCs/>
          <w:color w:val="000000"/>
          <w:sz w:val="24"/>
          <w:highlight w:val="none"/>
        </w:rPr>
        <w:outlineLvl w:val="0"/>
      </w:pPr>
      <w:r>
        <w:rPr>
          <w:rFonts w:hint="eastAsia" w:hAnsi="宋体"/>
          <w:b/>
          <w:color w:val="000000"/>
          <w:sz w:val="24"/>
          <w:highlight w:val="none"/>
        </w:rPr>
        <w:t xml:space="preserve">注：</w:t>
      </w:r>
      <w:r>
        <w:rPr>
          <w:rFonts w:hint="eastAsia" w:hAnsi="宋体"/>
          <w:bCs/>
          <w:color w:val="000000"/>
          <w:sz w:val="24"/>
          <w:highlight w:val="none"/>
        </w:rPr>
        <w:t xml:space="preserve">（1）报价人应当根据“项目技术要求和有关说明”的内容在上表中详细填写，包含但不限于以上内容，请各供应商自行补充完善；</w:t>
      </w:r>
      <w:r/>
    </w:p>
    <w:p>
      <w:pPr>
        <w:ind w:firstLine="360"/>
        <w:spacing w:line="360" w:lineRule="auto"/>
        <w:rPr>
          <w:rFonts w:hAnsi="宋体"/>
          <w:bCs/>
          <w:color w:val="000000"/>
          <w:sz w:val="24"/>
          <w:highlight w:val="none"/>
        </w:rPr>
        <w:outlineLvl w:val="0"/>
      </w:pPr>
      <w:r>
        <w:rPr>
          <w:rFonts w:hint="eastAsia" w:hAnsi="宋体"/>
          <w:bCs/>
          <w:color w:val="000000"/>
          <w:sz w:val="24"/>
          <w:highlight w:val="none"/>
        </w:rPr>
        <w:t xml:space="preserve">（2）表格不够可自行延长；</w:t>
      </w:r>
      <w:r/>
    </w:p>
    <w:p>
      <w:pPr>
        <w:spacing w:line="360" w:lineRule="auto"/>
        <w:rPr>
          <w:rFonts w:hint="eastAsia" w:hAnsi="宋体"/>
          <w:bCs/>
          <w:color w:val="000000"/>
          <w:sz w:val="24"/>
          <w:highlight w:val="none"/>
        </w:rPr>
      </w:pPr>
      <w:r>
        <w:rPr>
          <w:rFonts w:hint="eastAsia" w:hAnsi="宋体"/>
          <w:bCs/>
          <w:color w:val="000000"/>
          <w:sz w:val="24"/>
          <w:highlight w:val="none"/>
        </w:rPr>
        <w:t xml:space="preserve"> </w:t>
      </w:r>
      <w:r>
        <w:rPr>
          <w:rFonts w:hAnsi="宋体"/>
          <w:bCs/>
          <w:color w:val="000000"/>
          <w:sz w:val="24"/>
          <w:highlight w:val="none"/>
        </w:rPr>
        <w:t xml:space="preserve">  </w:t>
      </w:r>
      <w:r>
        <w:rPr>
          <w:rFonts w:hint="eastAsia" w:hAnsi="宋体"/>
          <w:bCs/>
          <w:color w:val="000000"/>
          <w:sz w:val="24"/>
          <w:highlight w:val="none"/>
        </w:rPr>
        <w:t xml:space="preserve">（3）本表所填内容和附件中列表</w:t>
      </w:r>
      <w:r>
        <w:rPr>
          <w:rFonts w:hint="eastAsia" w:hAnsi="宋体"/>
          <w:bCs/>
          <w:color w:val="000000"/>
          <w:sz w:val="24"/>
          <w:highlight w:val="none"/>
          <w:lang w:eastAsia="zh-CN"/>
        </w:rPr>
        <w:t xml:space="preserve">内容</w:t>
      </w:r>
      <w:r>
        <w:rPr>
          <w:rFonts w:hint="eastAsia" w:hAnsi="宋体"/>
          <w:bCs/>
          <w:color w:val="000000"/>
          <w:sz w:val="24"/>
          <w:highlight w:val="none"/>
        </w:rPr>
        <w:t xml:space="preserve">不冲突，请供应商认真填写本表及附件列表。</w:t>
      </w:r>
      <w:r/>
    </w:p>
    <w:p>
      <w:pPr>
        <w:ind w:firstLine="360"/>
        <w:spacing w:line="360" w:lineRule="auto"/>
        <w:rPr>
          <w:rFonts w:hint="eastAsia" w:hAnsi="宋体"/>
          <w:bCs/>
          <w:color w:val="000000"/>
          <w:sz w:val="24"/>
          <w:highlight w:val="none"/>
        </w:rPr>
      </w:pPr>
      <w:r>
        <w:rPr>
          <w:rFonts w:hint="eastAsia" w:hAnsi="宋体"/>
          <w:bCs/>
          <w:color w:val="000000"/>
          <w:sz w:val="24"/>
          <w:highlight w:val="none"/>
        </w:rPr>
        <w:t xml:space="preserve">（4）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ind w:firstLine="360"/>
        <w:spacing w:line="360" w:lineRule="auto"/>
        <w:rPr>
          <w:rFonts w:hint="eastAsia" w:ascii="Times New Roman" w:hAnsi="宋体" w:eastAsia="宋体" w:cs="Times New Roman"/>
          <w:bCs/>
          <w:color w:val="000000"/>
          <w:sz w:val="24"/>
          <w:highlight w:val="none"/>
        </w:rPr>
      </w:pPr>
      <w:r>
        <w:rPr>
          <w:rFonts w:hint="eastAsia" w:ascii="Times New Roman" w:hAnsi="宋体" w:eastAsia="宋体" w:cs="Times New Roman"/>
          <w:bCs/>
          <w:color w:val="000000"/>
          <w:sz w:val="24"/>
          <w:highlight w:val="none"/>
        </w:rPr>
        <w:t xml:space="preserve">（5）有效报价折扣率的范围：报价折扣率≤100%，供应商的折扣率不得超过此范围，否则按无效投标处理。所有品目投标折扣率必须为同一值，在合同执行期间折扣率是固定值。</w:t>
      </w:r>
      <w:r>
        <w:rPr>
          <w:rFonts w:hint="eastAsia" w:ascii="宋体" w:hAnsi="宋体"/>
          <w:b/>
          <w:color w:val="000000" w:themeColor="text1"/>
          <w:sz w:val="24"/>
          <w:highlight w:val="none"/>
          <w:lang w:val="en-US" w:eastAsia="zh-CN"/>
          <w14:textFill>
            <w14:solidFill>
              <w14:schemeClr w14:val="tx1"/>
            </w14:solidFill>
          </w14:textFill>
        </w:rPr>
        <w:t xml:space="preserve">投标优惠率=1-投标折扣率（例：打九折即折扣率=90%、优惠率=1-90%=10%）</w:t>
      </w:r>
      <w:r/>
    </w:p>
    <w:p>
      <w:pPr>
        <w:ind w:firstLine="360"/>
        <w:spacing w:line="360" w:lineRule="auto"/>
        <w:rPr>
          <w:rFonts w:hint="eastAsia" w:hAnsi="宋体"/>
          <w:bCs/>
          <w:color w:val="000000"/>
          <w:sz w:val="24"/>
          <w:highlight w:val="none"/>
        </w:rPr>
      </w:pPr>
      <w:r>
        <w:rPr>
          <w:rFonts w:hint="eastAsia" w:hAnsi="宋体"/>
          <w:bCs/>
          <w:color w:val="000000"/>
          <w:sz w:val="24"/>
          <w:highlight w:val="none"/>
        </w:rPr>
      </w:r>
      <w:r/>
    </w:p>
    <w:p>
      <w:pPr>
        <w:rPr>
          <w:rFonts w:hint="eastAsia" w:ascii="宋体" w:hAnsi="宋体"/>
          <w:b/>
          <w:color w:val="000000"/>
          <w:sz w:val="24"/>
          <w:highlight w:val="none"/>
        </w:rPr>
      </w:pPr>
      <w:r>
        <w:rPr>
          <w:rFonts w:hint="eastAsia" w:ascii="宋体" w:hAnsi="宋体"/>
          <w:b/>
          <w:color w:val="000000"/>
          <w:sz w:val="24"/>
          <w:highlight w:val="none"/>
        </w:rPr>
        <w:br w:type="page" w:clear="all"/>
      </w:r>
      <w:r/>
    </w:p>
    <w:p>
      <w:pPr>
        <w:ind w:firstLine="422"/>
        <w:spacing w:line="360" w:lineRule="auto"/>
        <w:rPr>
          <w:rFonts w:hint="eastAsia" w:ascii="宋体" w:hAnsi="宋体"/>
          <w:bCs/>
          <w:color w:val="000000"/>
          <w:sz w:val="24"/>
          <w:highlight w:val="none"/>
        </w:rPr>
        <w:outlineLvl w:val="0"/>
      </w:pPr>
      <w:r>
        <w:rPr>
          <w:rFonts w:hint="eastAsia" w:ascii="宋体" w:hAnsi="宋体"/>
          <w:b/>
          <w:color w:val="000000"/>
          <w:sz w:val="24"/>
          <w:highlight w:val="none"/>
        </w:rPr>
        <w:t xml:space="preserve">附件9 </w:t>
      </w:r>
      <w:r>
        <w:rPr>
          <w:rFonts w:hint="eastAsia" w:ascii="宋体" w:hAnsi="宋体" w:cs="宋体"/>
          <w:b/>
          <w:color w:val="000000"/>
          <w:sz w:val="24"/>
          <w:highlight w:val="none"/>
        </w:rPr>
        <w:t xml:space="preserve">偏离表</w:t>
      </w:r>
      <w:r/>
    </w:p>
    <w:p>
      <w:pPr>
        <w:jc w:val="center"/>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采购项目编号：</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237"/>
        <w:gridCol w:w="2053"/>
        <w:gridCol w:w="1960"/>
        <w:gridCol w:w="1299"/>
      </w:tblGrid>
      <w:tr>
        <w:trPr>
          <w:cantSplit/>
          <w:jc w:val="center"/>
          <w:trHeight w:val="575"/>
        </w:trPr>
        <w:tc>
          <w:tcPr>
            <w:tcW w:w="98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2237"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参数要求</w:t>
            </w:r>
            <w:r/>
          </w:p>
        </w:tc>
        <w:tc>
          <w:tcPr>
            <w:tcW w:w="2053" w:type="dxa"/>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投标响应</w:t>
            </w:r>
            <w:r>
              <w:rPr>
                <w:rFonts w:hint="eastAsia" w:ascii="宋体" w:hAnsi="宋体" w:cs="宋体"/>
                <w:color w:val="000000"/>
                <w:sz w:val="24"/>
                <w:highlight w:val="none"/>
                <w:lang w:val="en-US" w:eastAsia="zh-CN"/>
              </w:rPr>
              <w:t xml:space="preserve">参数</w:t>
            </w:r>
            <w:r/>
          </w:p>
        </w:tc>
        <w:tc>
          <w:tcPr>
            <w:tcW w:w="1960"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无偏离（负偏离/正偏离）</w:t>
            </w:r>
            <w:r/>
          </w:p>
        </w:tc>
        <w:tc>
          <w:tcPr>
            <w:tcW w:w="129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原因</w:t>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37"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3"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0"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9"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37"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3"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0"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9"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37"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3"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0"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9"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37"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3"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0"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9"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37"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3"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0"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9"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37"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3"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0"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9"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37"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3"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0"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9"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jc w:val="center"/>
          <w:trHeight w:val="640"/>
        </w:trPr>
        <w:tc>
          <w:tcPr>
            <w:tcW w:w="984"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37"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53"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0"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9" w:type="dxa"/>
            <w:vAlign w:val="top"/>
            <w:textDirection w:val="lrTb"/>
            <w:noWrap w:val="false"/>
          </w:tcPr>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420"/>
        <w:spacing w:line="360" w:lineRule="auto"/>
        <w:rPr>
          <w:rFonts w:ascii="宋体" w:hAnsi="宋体"/>
          <w:bCs/>
          <w:color w:val="000000"/>
          <w:sz w:val="24"/>
          <w:highlight w:val="none"/>
        </w:rPr>
        <w:outlineLvl w:val="0"/>
      </w:pPr>
      <w:r>
        <w:rPr>
          <w:rFonts w:hint="eastAsia" w:ascii="宋体" w:hAnsi="宋体"/>
          <w:bCs/>
          <w:color w:val="000000"/>
          <w:sz w:val="24"/>
          <w:highlight w:val="none"/>
        </w:rPr>
        <w:t xml:space="preserve">注：（</w:t>
      </w:r>
      <w:r>
        <w:rPr>
          <w:rFonts w:ascii="宋体" w:hAnsi="宋体"/>
          <w:bCs/>
          <w:color w:val="000000"/>
          <w:sz w:val="24"/>
          <w:highlight w:val="none"/>
        </w:rPr>
        <w:t xml:space="preserve">1</w:t>
      </w:r>
      <w:r>
        <w:rPr>
          <w:rFonts w:hint="eastAsia" w:ascii="宋体" w:hAnsi="宋体"/>
          <w:bCs/>
          <w:color w:val="000000"/>
          <w:sz w:val="24"/>
          <w:highlight w:val="none"/>
        </w:rPr>
        <w:t xml:space="preserve">）本表不得删除；</w:t>
      </w:r>
      <w:r/>
    </w:p>
    <w:p>
      <w:pPr>
        <w:ind w:firstLine="420"/>
        <w:spacing w:line="360" w:lineRule="auto"/>
        <w:rPr>
          <w:rFonts w:hint="eastAsia" w:ascii="宋体" w:hAnsi="宋体"/>
          <w:bCs/>
          <w:color w:val="000000"/>
          <w:sz w:val="24"/>
          <w:highlight w:val="none"/>
        </w:rPr>
        <w:outlineLvl w:val="0"/>
      </w:pPr>
      <w:r>
        <w:rPr>
          <w:rFonts w:ascii="宋体" w:hAnsi="宋体"/>
          <w:bCs/>
          <w:color w:val="000000"/>
          <w:sz w:val="24"/>
          <w:highlight w:val="none"/>
        </w:rPr>
        <w:t xml:space="preserve">   </w:t>
      </w:r>
      <w:r>
        <w:rPr>
          <w:rFonts w:hint="eastAsia" w:ascii="宋体" w:hAnsi="宋体"/>
          <w:bCs/>
          <w:color w:val="000000"/>
          <w:sz w:val="24"/>
          <w:highlight w:val="none"/>
        </w:rPr>
        <w:t xml:space="preserve">（</w:t>
      </w:r>
      <w:r>
        <w:rPr>
          <w:rFonts w:ascii="宋体" w:hAnsi="宋体"/>
          <w:bCs/>
          <w:color w:val="000000"/>
          <w:sz w:val="24"/>
          <w:highlight w:val="none"/>
        </w:rPr>
        <w:t xml:space="preserve">2</w:t>
      </w:r>
      <w:r>
        <w:rPr>
          <w:rFonts w:hint="eastAsia" w:ascii="宋体" w:hAnsi="宋体"/>
          <w:bCs/>
          <w:color w:val="000000"/>
          <w:sz w:val="24"/>
          <w:highlight w:val="none"/>
        </w:rPr>
        <w:t xml:space="preserve">）如无任何技术偏离，请于本表 “偏离说明”中注明“无偏离”；</w:t>
      </w:r>
      <w:r/>
    </w:p>
    <w:p>
      <w:pPr>
        <w:ind w:firstLine="420"/>
        <w:spacing w:line="360" w:lineRule="auto"/>
        <w:rPr>
          <w:rFonts w:ascii="宋体"/>
          <w:bCs/>
          <w:color w:val="000000"/>
          <w:sz w:val="24"/>
          <w:highlight w:val="none"/>
        </w:rPr>
        <w:outlineLvl w:val="0"/>
      </w:pPr>
      <w:r>
        <w:rPr>
          <w:rFonts w:hint="eastAsia" w:ascii="宋体" w:hAnsi="宋体"/>
          <w:bCs/>
          <w:color w:val="000000"/>
          <w:sz w:val="24"/>
          <w:highlight w:val="none"/>
        </w:rPr>
        <w:t xml:space="preserve">   （3）如有技术偏离项，请于本表中列明偏离内容，如需要可自行延长，其余无偏离内容不须赘述。</w:t>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sectPr>
      <w:headerReference w:type="default" r:id="rId9"/>
      <w:footerReference w:type="default" r:id="rId10"/>
      <w:footnotePr/>
      <w:endnotePr/>
      <w:type w:val="nextPage"/>
      <w:pgSz w:w="11906" w:h="16838" w:orient="portrait"/>
      <w:pgMar w:top="1240" w:right="1440" w:bottom="1318"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libri">
    <w:panose1 w:val="020F0502020204030204"/>
  </w:font>
  <w:font w:name="微软雅黑">
    <w:panose1 w:val="020B0503020204020204"/>
  </w:font>
  <w:font w:name="Cambria">
    <w:panose1 w:val="02040503050406030204"/>
  </w:font>
  <w:font w:name="Adobe 仿宋 Std R">
    <w:panose1 w:val="020B0503020202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rFonts w:hint="eastAsia"/>
      </w:rPr>
      <w:t xml:space="preserve">-</w:t>
    </w:r>
    <w:r>
      <w:fldChar w:fldCharType="begin"/>
    </w:r>
    <w:r>
      <w:instrText xml:space="preserve"> PAGE   \* MERGEFORMAT </w:instrText>
    </w:r>
    <w:r>
      <w:fldChar w:fldCharType="separate"/>
    </w:r>
    <w:r>
      <w:t xml:space="preserve">26</w:t>
    </w:r>
    <w:r>
      <w:fldChar w:fldCharType="end"/>
    </w:r>
    <w:r>
      <w:rPr>
        <w:rFonts w:hint="eastAsia"/>
      </w:rPr>
      <w:t xml:space="preserve">-</w:t>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lang w:val="en-US"/>
      </w:rPr>
      <w:pBdr>
        <w:bottom w:val="none" w:color="000000" w:sz="0" w:space="1"/>
      </w:pBdr>
    </w:pP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07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103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943"/>
      <w:isLgl w:val="false"/>
      <w:suff w:val="tab"/>
      <w:lvlText w:val=""/>
      <w:lvlJc w:val="left"/>
      <w:pPr>
        <w:ind w:left="570" w:hanging="360"/>
        <w:tabs>
          <w:tab w:val="left" w:pos="2040" w:leader="none"/>
        </w:tabs>
      </w:pPr>
      <w:rPr>
        <w:rFonts w:ascii="Wingdings" w:hAnsi="Wingdings"/>
      </w:rPr>
    </w:lvl>
    <w:lvl w:ilvl="1">
      <w:start w:val="1"/>
      <w:numFmt w:val="bullet"/>
      <w:isLgl w:val="false"/>
      <w:suff w:val="tab"/>
      <w:lvlText w:val="o"/>
      <w:lvlJc w:val="left"/>
      <w:pPr>
        <w:ind w:left="-30" w:hanging="360"/>
      </w:pPr>
      <w:rPr>
        <w:rFonts w:hint="default" w:ascii="Courier New" w:hAnsi="Courier New" w:eastAsia="Courier New" w:cs="Courier New"/>
      </w:rPr>
    </w:lvl>
    <w:lvl w:ilvl="2">
      <w:start w:val="1"/>
      <w:numFmt w:val="bullet"/>
      <w:isLgl w:val="false"/>
      <w:suff w:val="tab"/>
      <w:lvlText w:val="§"/>
      <w:lvlJc w:val="left"/>
      <w:pPr>
        <w:ind w:left="690" w:hanging="360"/>
      </w:pPr>
      <w:rPr>
        <w:rFonts w:hint="default" w:ascii="Wingdings" w:hAnsi="Wingdings" w:eastAsia="Wingdings" w:cs="Wingdings"/>
      </w:rPr>
    </w:lvl>
    <w:lvl w:ilvl="3">
      <w:start w:val="1"/>
      <w:numFmt w:val="bullet"/>
      <w:isLgl w:val="false"/>
      <w:suff w:val="tab"/>
      <w:lvlText w:val="·"/>
      <w:lvlJc w:val="left"/>
      <w:pPr>
        <w:ind w:left="1410" w:hanging="360"/>
      </w:pPr>
      <w:rPr>
        <w:rFonts w:hint="default" w:ascii="Symbol" w:hAnsi="Symbol" w:eastAsia="Symbol" w:cs="Symbol"/>
      </w:rPr>
    </w:lvl>
    <w:lvl w:ilvl="4">
      <w:start w:val="1"/>
      <w:numFmt w:val="bullet"/>
      <w:isLgl w:val="false"/>
      <w:suff w:val="tab"/>
      <w:lvlText w:val="o"/>
      <w:lvlJc w:val="left"/>
      <w:pPr>
        <w:ind w:left="2130" w:hanging="360"/>
      </w:pPr>
      <w:rPr>
        <w:rFonts w:hint="default" w:ascii="Courier New" w:hAnsi="Courier New" w:eastAsia="Courier New" w:cs="Courier New"/>
      </w:rPr>
    </w:lvl>
    <w:lvl w:ilvl="5">
      <w:start w:val="1"/>
      <w:numFmt w:val="bullet"/>
      <w:isLgl w:val="false"/>
      <w:suff w:val="tab"/>
      <w:lvlText w:val="§"/>
      <w:lvlJc w:val="left"/>
      <w:pPr>
        <w:ind w:left="2850" w:hanging="360"/>
      </w:pPr>
      <w:rPr>
        <w:rFonts w:hint="default" w:ascii="Wingdings" w:hAnsi="Wingdings" w:eastAsia="Wingdings" w:cs="Wingdings"/>
      </w:rPr>
    </w:lvl>
    <w:lvl w:ilvl="6">
      <w:start w:val="1"/>
      <w:numFmt w:val="bullet"/>
      <w:isLgl w:val="false"/>
      <w:suff w:val="tab"/>
      <w:lvlText w:val="·"/>
      <w:lvlJc w:val="left"/>
      <w:pPr>
        <w:ind w:left="3570" w:hanging="360"/>
      </w:pPr>
      <w:rPr>
        <w:rFonts w:hint="default" w:ascii="Symbol" w:hAnsi="Symbol" w:eastAsia="Symbol" w:cs="Symbol"/>
      </w:rPr>
    </w:lvl>
    <w:lvl w:ilvl="7">
      <w:start w:val="1"/>
      <w:numFmt w:val="bullet"/>
      <w:isLgl w:val="false"/>
      <w:suff w:val="tab"/>
      <w:lvlText w:val="o"/>
      <w:lvlJc w:val="left"/>
      <w:pPr>
        <w:ind w:left="4290" w:hanging="360"/>
      </w:pPr>
      <w:rPr>
        <w:rFonts w:hint="default" w:ascii="Courier New" w:hAnsi="Courier New" w:eastAsia="Courier New" w:cs="Courier New"/>
      </w:rPr>
    </w:lvl>
    <w:lvl w:ilvl="8">
      <w:start w:val="1"/>
      <w:numFmt w:val="bullet"/>
      <w:isLgl w:val="false"/>
      <w:suff w:val="tab"/>
      <w:lvlText w:val="§"/>
      <w:lvlJc w:val="left"/>
      <w:pPr>
        <w:ind w:left="501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93"/>
      <w:isLgl w:val="false"/>
      <w:suff w:val="tab"/>
      <w:lvlText w:val="第%1部分"/>
      <w:lvlJc w:val="left"/>
      <w:pPr>
        <w:ind w:left="425" w:hanging="425"/>
        <w:tabs>
          <w:tab w:val="left" w:pos="1800" w:leader="none"/>
        </w:tabs>
      </w:pPr>
      <w:rPr>
        <w:rFonts w:hint="eastAsia"/>
      </w:rPr>
    </w:lvl>
    <w:lvl w:ilvl="1">
      <w:start w:val="1"/>
      <w:numFmt w:val="decimal"/>
      <w:pStyle w:val="894"/>
      <w:isLgl w:val="false"/>
      <w:suff w:val="tab"/>
      <w:lvlText w:val="%1.%2"/>
      <w:lvlJc w:val="left"/>
      <w:pPr>
        <w:ind w:left="567" w:hanging="567"/>
        <w:tabs>
          <w:tab w:val="left" w:pos="567" w:leader="none"/>
        </w:tabs>
      </w:pPr>
      <w:rPr>
        <w:rFonts w:hint="eastAsia"/>
      </w:rPr>
    </w:lvl>
    <w:lvl w:ilvl="2">
      <w:start w:val="1"/>
      <w:numFmt w:val="decimal"/>
      <w:pStyle w:val="1072"/>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96"/>
      <w:isLgl w:val="false"/>
      <w:suff w:val="tab"/>
      <w:lvlText w:val="%1.%2.%3.%4.%5"/>
      <w:lvlJc w:val="left"/>
      <w:pPr>
        <w:ind w:left="992" w:hanging="992"/>
        <w:tabs>
          <w:tab w:val="left" w:pos="1080" w:leader="none"/>
        </w:tabs>
      </w:pPr>
      <w:rPr>
        <w:rFonts w:hint="eastAsia"/>
      </w:rPr>
    </w:lvl>
    <w:lvl w:ilvl="5">
      <w:start w:val="1"/>
      <w:numFmt w:val="decimal"/>
      <w:pStyle w:val="89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943" w:hanging="420"/>
      </w:pPr>
      <w:rPr>
        <w:rFonts w:hint="eastAsia"/>
      </w:rPr>
    </w:lvl>
    <w:lvl w:ilvl="1">
      <w:start w:val="1"/>
      <w:numFmt w:val="lowerLetter"/>
      <w:isLgl w:val="false"/>
      <w:suff w:val="tab"/>
      <w:lvlText w:val="%2)"/>
      <w:lvlJc w:val="left"/>
      <w:pPr>
        <w:ind w:left="1363" w:hanging="420"/>
      </w:pPr>
    </w:lvl>
    <w:lvl w:ilvl="2">
      <w:start w:val="1"/>
      <w:numFmt w:val="lowerRoman"/>
      <w:isLgl w:val="false"/>
      <w:suff w:val="tab"/>
      <w:lvlText w:val="%3."/>
      <w:lvlJc w:val="right"/>
      <w:pPr>
        <w:ind w:left="1783" w:hanging="420"/>
      </w:pPr>
    </w:lvl>
    <w:lvl w:ilvl="3">
      <w:start w:val="1"/>
      <w:numFmt w:val="decimal"/>
      <w:isLgl w:val="false"/>
      <w:suff w:val="tab"/>
      <w:lvlText w:val="%4."/>
      <w:lvlJc w:val="left"/>
      <w:pPr>
        <w:ind w:left="2203" w:hanging="420"/>
      </w:pPr>
    </w:lvl>
    <w:lvl w:ilvl="4">
      <w:start w:val="1"/>
      <w:numFmt w:val="lowerLetter"/>
      <w:isLgl w:val="false"/>
      <w:suff w:val="tab"/>
      <w:lvlText w:val="%5)"/>
      <w:lvlJc w:val="left"/>
      <w:pPr>
        <w:ind w:left="2623" w:hanging="420"/>
      </w:pPr>
    </w:lvl>
    <w:lvl w:ilvl="5">
      <w:start w:val="1"/>
      <w:numFmt w:val="lowerRoman"/>
      <w:isLgl w:val="false"/>
      <w:suff w:val="tab"/>
      <w:lvlText w:val="%6."/>
      <w:lvlJc w:val="right"/>
      <w:pPr>
        <w:ind w:left="3043" w:hanging="420"/>
      </w:pPr>
    </w:lvl>
    <w:lvl w:ilvl="6">
      <w:start w:val="1"/>
      <w:numFmt w:val="decimal"/>
      <w:isLgl w:val="false"/>
      <w:suff w:val="tab"/>
      <w:lvlText w:val="%7."/>
      <w:lvlJc w:val="left"/>
      <w:pPr>
        <w:ind w:left="3463" w:hanging="420"/>
      </w:pPr>
    </w:lvl>
    <w:lvl w:ilvl="7">
      <w:start w:val="1"/>
      <w:numFmt w:val="lowerLetter"/>
      <w:isLgl w:val="false"/>
      <w:suff w:val="tab"/>
      <w:lvlText w:val="%8)"/>
      <w:lvlJc w:val="left"/>
      <w:pPr>
        <w:ind w:left="3883" w:hanging="420"/>
      </w:pPr>
    </w:lvl>
    <w:lvl w:ilvl="8">
      <w:start w:val="1"/>
      <w:numFmt w:val="lowerRoman"/>
      <w:isLgl w:val="false"/>
      <w:suff w:val="tab"/>
      <w:lvlText w:val="%9."/>
      <w:lvlJc w:val="right"/>
      <w:pPr>
        <w:ind w:left="4303" w:hanging="420"/>
      </w:pPr>
    </w:lvl>
  </w:abstractNum>
  <w:abstractNum w:abstractNumId="10">
    <w:multiLevelType w:val="hybridMultilevel"/>
    <w:lvl w:ilvl="0">
      <w:start w:val="1"/>
      <w:numFmt w:val="decimal"/>
      <w:pStyle w:val="109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7"/>
      <w:numFmt w:val="japaneseCounting"/>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4">
    <w:multiLevelType w:val="hybridMultilevel"/>
    <w:lvl w:ilvl="0">
      <w:start w:val="1"/>
      <w:numFmt w:val="decimal"/>
      <w:isLgl w:val="false"/>
      <w:suff w:val="nothing"/>
      <w:lvlText w:val="%1）"/>
      <w:lvlJc w:val="left"/>
      <w:pPr>
        <w:ind w:left="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16">
    <w:multiLevelType w:val="hybridMultilevel"/>
    <w:lvl w:ilvl="0">
      <w:start w:val="1"/>
      <w:numFmt w:val="japaneseCounting"/>
      <w:isLgl w:val="false"/>
      <w:suff w:val="tab"/>
      <w:lvlText w:val="（%1）"/>
      <w:lvlJc w:val="left"/>
      <w:pPr>
        <w:ind w:left="1138" w:hanging="855"/>
        <w:tabs>
          <w:tab w:val="left" w:pos="1138" w:leader="none"/>
        </w:tabs>
      </w:pPr>
      <w:rPr>
        <w:rFonts w:hint="eastAsia"/>
      </w:rPr>
    </w:lvl>
    <w:lvl w:ilvl="1">
      <w:start w:val="3"/>
      <w:numFmt w:val="decimal"/>
      <w:isLgl w:val="false"/>
      <w:suff w:val="tab"/>
      <w:lvlText w:val="%2."/>
      <w:lvlJc w:val="left"/>
      <w:pPr>
        <w:ind w:left="1408" w:hanging="705"/>
        <w:tabs>
          <w:tab w:val="left" w:pos="1408" w:leader="none"/>
        </w:tabs>
      </w:pPr>
    </w:lvl>
    <w:lvl w:ilvl="2">
      <w:start w:val="1"/>
      <w:numFmt w:val="decimal"/>
      <w:isLgl w:val="false"/>
      <w:suff w:val="tab"/>
      <w:lvlText w:val="%3."/>
      <w:lvlJc w:val="left"/>
      <w:pPr>
        <w:ind w:left="2023" w:hanging="900"/>
        <w:tabs>
          <w:tab w:val="left" w:pos="2023" w:leader="none"/>
        </w:tabs>
      </w:pPr>
      <w:rPr>
        <w:rFonts w:hint="eastAsia"/>
      </w:rPr>
    </w:lvl>
    <w:lvl w:ilvl="3">
      <w:start w:val="1"/>
      <w:numFmt w:val="decimal"/>
      <w:isLgl w:val="false"/>
      <w:suff w:val="tab"/>
      <w:lvlText w:val="（%4）"/>
      <w:lvlJc w:val="left"/>
      <w:pPr>
        <w:ind w:left="2263" w:hanging="720"/>
        <w:tabs>
          <w:tab w:val="left" w:pos="2263" w:leader="none"/>
        </w:tabs>
      </w:pPr>
      <w:rPr>
        <w:rFonts w:hint="eastAsia" w:ascii="宋体" w:hAnsi="宋体" w:eastAsia="宋体"/>
        <w:sz w:val="24"/>
        <w:szCs w:val="24"/>
      </w:rPr>
    </w:lvl>
    <w:lvl w:ilvl="4">
      <w:start w:val="1"/>
      <w:numFmt w:val="lowerLetter"/>
      <w:isLgl w:val="false"/>
      <w:suff w:val="tab"/>
      <w:lvlText w:val="%5."/>
      <w:lvlJc w:val="left"/>
      <w:pPr>
        <w:ind w:left="2323" w:hanging="360"/>
        <w:tabs>
          <w:tab w:val="left" w:pos="2323" w:leader="none"/>
        </w:tabs>
      </w:pPr>
      <w:rPr>
        <w:rFonts w:hint="eastAsia"/>
      </w:rPr>
    </w:lvl>
    <w:lvl w:ilvl="5">
      <w:start w:val="1"/>
      <w:numFmt w:val="decimal"/>
      <w:isLgl w:val="false"/>
      <w:suff w:val="tab"/>
      <w:lvlText w:val="%6．"/>
      <w:lvlJc w:val="left"/>
      <w:pPr>
        <w:ind w:left="3103" w:hanging="720"/>
        <w:tabs>
          <w:tab w:val="left" w:pos="3103" w:leader="none"/>
        </w:tabs>
      </w:pPr>
      <w:rPr>
        <w:rFonts w:hint="eastAsia"/>
      </w:rPr>
    </w:lvl>
    <w:lvl w:ilvl="6">
      <w:start w:val="1"/>
      <w:numFmt w:val="decimal"/>
      <w:isLgl w:val="false"/>
      <w:suff w:val="tab"/>
      <w:lvlText w:val="%7."/>
      <w:lvlJc w:val="left"/>
      <w:pPr>
        <w:ind w:left="3223" w:hanging="420"/>
        <w:tabs>
          <w:tab w:val="left" w:pos="3223" w:leader="none"/>
        </w:tabs>
      </w:pPr>
    </w:lvl>
    <w:lvl w:ilvl="7">
      <w:start w:val="1"/>
      <w:numFmt w:val="lowerLetter"/>
      <w:isLgl w:val="false"/>
      <w:suff w:val="tab"/>
      <w:lvlText w:val="%8)"/>
      <w:lvlJc w:val="left"/>
      <w:pPr>
        <w:ind w:left="3643" w:hanging="420"/>
        <w:tabs>
          <w:tab w:val="left" w:pos="3643" w:leader="none"/>
        </w:tabs>
      </w:pPr>
    </w:lvl>
    <w:lvl w:ilvl="8">
      <w:start w:val="1"/>
      <w:numFmt w:val="lowerRoman"/>
      <w:isLgl w:val="false"/>
      <w:suff w:val="tab"/>
      <w:lvlText w:val="%9."/>
      <w:lvlJc w:val="right"/>
      <w:pPr>
        <w:ind w:left="4063" w:hanging="420"/>
        <w:tabs>
          <w:tab w:val="left" w:pos="4063" w:leader="none"/>
        </w:tabs>
      </w:pPr>
    </w:lvl>
  </w:abstractNum>
  <w:abstractNum w:abstractNumId="17">
    <w:multiLevelType w:val="hybridMultilevel"/>
    <w:lvl w:ilvl="0">
      <w:start w:val="1"/>
      <w:numFmt w:val="decimal"/>
      <w:isLgl w:val="false"/>
      <w:suff w:val="tab"/>
      <w:lvlText w:val="（%1）"/>
      <w:lvlJc w:val="left"/>
      <w:pPr>
        <w:ind w:left="1080" w:hanging="1080"/>
      </w:pPr>
    </w:lvl>
    <w:lvl w:ilvl="1">
      <w:start w:val="1"/>
      <w:numFmt w:val="decimal"/>
      <w:isLgl w:val="false"/>
      <w:suff w:val="tab"/>
      <w:lvlText w:val="%2."/>
      <w:lvlJc w:val="left"/>
      <w:pPr>
        <w:ind w:left="780" w:hanging="360"/>
      </w:pPr>
      <w:rPr>
        <w:color w:val="000000"/>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pStyle w:val="95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0">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2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lvl>
    <w:lvl w:ilvl="7">
      <w:start w:val="1"/>
      <w:numFmt w:val="decimalEnclosedCircle"/>
      <w:isLgl w:val="false"/>
      <w:suff w:val="tab"/>
      <w:lvlText w:val="%8"/>
      <w:lvlJc w:val="left"/>
      <w:pPr>
        <w:ind w:left="3300" w:hanging="360"/>
        <w:tabs>
          <w:tab w:val="left" w:pos="330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decimal"/>
      <w:isLgl w:val="false"/>
      <w:suff w:val="tab"/>
      <w:lvlText w:val="%1)"/>
      <w:lvlJc w:val="left"/>
      <w:pPr>
        <w:ind w:left="1129" w:hanging="420"/>
      </w:pPr>
      <w:rPr>
        <w:rFonts w:hint="eastAsia"/>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num w:numId="1">
    <w:abstractNumId w:val="8"/>
  </w:num>
  <w:num w:numId="2">
    <w:abstractNumId w:val="5"/>
  </w:num>
  <w:num w:numId="3">
    <w:abstractNumId w:val="19"/>
  </w:num>
  <w:num w:numId="4">
    <w:abstractNumId w:val="3"/>
  </w:num>
  <w:num w:numId="5">
    <w:abstractNumId w:val="2"/>
  </w:num>
  <w:num w:numId="6">
    <w:abstractNumId w:val="10"/>
  </w:num>
  <w:num w:numId="7">
    <w:abstractNumId w:val="14"/>
  </w:num>
  <w:num w:numId="8">
    <w:abstractNumId w:val="21"/>
  </w:num>
  <w:num w:numId="9">
    <w:abstractNumId w:val="9"/>
  </w:num>
  <w:num w:numId="10">
    <w:abstractNumId w:val="0"/>
  </w:num>
  <w:num w:numId="11">
    <w:abstractNumId w:val="15"/>
  </w:num>
  <w:num w:numId="12">
    <w:abstractNumId w:val="20"/>
  </w:num>
  <w:num w:numId="13">
    <w:abstractNumId w:val="4"/>
  </w:num>
  <w:num w:numId="14">
    <w:abstractNumId w:val="18"/>
  </w:num>
  <w:num w:numId="15">
    <w:abstractNumId w:val="11"/>
  </w:num>
  <w:num w:numId="16">
    <w:abstractNumId w:val="1"/>
  </w:num>
  <w:num w:numId="17">
    <w:abstractNumId w:val="13"/>
  </w:num>
  <w:num w:numId="18">
    <w:abstractNumId w:val="7"/>
  </w:num>
  <w:num w:numId="19">
    <w:abstractNumId w:val="6"/>
  </w:num>
  <w:num w:numId="20">
    <w:abstractNumId w:val="17"/>
  </w:num>
  <w:num w:numId="21">
    <w:abstractNumId w:val="12"/>
  </w:num>
  <w:num w:numId="22">
    <w:abstractNumId w:val="16"/>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11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746"/>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47"/>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48"/>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49"/>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1"/>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3"/>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4"/>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w:basedOn w:val="710"/>
    <w:uiPriority w:val="0"/>
    <w:unhideWhenUsed/>
    <w:qFormat/>
    <w:pPr>
      <w:spacing w:after="120"/>
    </w:pPr>
    <w:rPr>
      <w:rFonts w:asciiTheme="minorHAnsi" w:hAnsiTheme="minorHAnsi" w:eastAsiaTheme="minorEastAsia" w:cstheme="minorBidi"/>
      <w:szCs w:val="22"/>
    </w:rPr>
  </w:style>
  <w:style w:type="paragraph" w:styleId="723">
    <w:name w:val="toc 7"/>
    <w:basedOn w:val="710"/>
    <w:next w:val="710"/>
    <w:uiPriority w:val="39"/>
    <w:unhideWhenUsed/>
    <w:qFormat/>
    <w:pPr>
      <w:ind w:left="1701" w:right="0" w:firstLine="0"/>
      <w:spacing w:after="57"/>
    </w:pPr>
  </w:style>
  <w:style w:type="paragraph" w:styleId="724">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Body Text Indent"/>
    <w:basedOn w:val="710"/>
    <w:uiPriority w:val="0"/>
    <w:unhideWhenUsed/>
    <w:qFormat/>
    <w:pPr>
      <w:ind w:left="420"/>
      <w:spacing w:after="120"/>
    </w:pPr>
  </w:style>
  <w:style w:type="paragraph" w:styleId="726">
    <w:name w:val="toc 5"/>
    <w:basedOn w:val="710"/>
    <w:next w:val="710"/>
    <w:uiPriority w:val="39"/>
    <w:unhideWhenUsed/>
    <w:qFormat/>
    <w:pPr>
      <w:ind w:left="1134" w:right="0" w:firstLine="0"/>
      <w:spacing w:after="57"/>
    </w:pPr>
  </w:style>
  <w:style w:type="paragraph" w:styleId="727">
    <w:name w:val="toc 3"/>
    <w:basedOn w:val="710"/>
    <w:next w:val="710"/>
    <w:uiPriority w:val="39"/>
    <w:unhideWhenUsed/>
    <w:qFormat/>
    <w:pPr>
      <w:ind w:left="567" w:right="0" w:firstLine="0"/>
      <w:spacing w:after="57"/>
    </w:pPr>
  </w:style>
  <w:style w:type="paragraph" w:styleId="728">
    <w:name w:val="toc 8"/>
    <w:basedOn w:val="710"/>
    <w:next w:val="710"/>
    <w:uiPriority w:val="39"/>
    <w:unhideWhenUsed/>
    <w:qFormat/>
    <w:pPr>
      <w:ind w:left="1984" w:right="0" w:firstLine="0"/>
      <w:spacing w:after="57"/>
    </w:pPr>
  </w:style>
  <w:style w:type="paragraph" w:styleId="729">
    <w:name w:val="endnote text"/>
    <w:basedOn w:val="710"/>
    <w:link w:val="891"/>
    <w:uiPriority w:val="99"/>
    <w:semiHidden/>
    <w:unhideWhenUsed/>
    <w:qFormat/>
    <w:pPr>
      <w:spacing w:after="0" w:line="240" w:lineRule="auto"/>
    </w:pPr>
    <w:rPr>
      <w:sz w:val="20"/>
    </w:rPr>
  </w:style>
  <w:style w:type="paragraph" w:styleId="730">
    <w:name w:val="Footer"/>
    <w:basedOn w:val="710"/>
    <w:link w:val="764"/>
    <w:uiPriority w:val="99"/>
    <w:unhideWhenUsed/>
    <w:qFormat/>
    <w:pPr>
      <w:spacing w:after="0" w:line="240" w:lineRule="auto"/>
      <w:tabs>
        <w:tab w:val="center" w:pos="7143" w:leader="none"/>
        <w:tab w:val="right" w:pos="14287" w:leader="none"/>
      </w:tabs>
    </w:pPr>
  </w:style>
  <w:style w:type="paragraph" w:styleId="731">
    <w:name w:val="Header"/>
    <w:basedOn w:val="710"/>
    <w:link w:val="762"/>
    <w:uiPriority w:val="99"/>
    <w:unhideWhenUsed/>
    <w:qFormat/>
    <w:pPr>
      <w:spacing w:after="0" w:line="240" w:lineRule="auto"/>
      <w:tabs>
        <w:tab w:val="center" w:pos="7143" w:leader="none"/>
        <w:tab w:val="right" w:pos="14287" w:leader="none"/>
      </w:tabs>
    </w:pPr>
  </w:style>
  <w:style w:type="paragraph" w:styleId="732">
    <w:name w:val="toc 1"/>
    <w:basedOn w:val="710"/>
    <w:next w:val="710"/>
    <w:uiPriority w:val="39"/>
    <w:unhideWhenUsed/>
    <w:qFormat/>
    <w:pPr>
      <w:ind w:left="0" w:right="0" w:firstLine="0"/>
      <w:spacing w:after="57"/>
    </w:pPr>
  </w:style>
  <w:style w:type="paragraph" w:styleId="733">
    <w:name w:val="toc 4"/>
    <w:basedOn w:val="710"/>
    <w:next w:val="710"/>
    <w:uiPriority w:val="39"/>
    <w:unhideWhenUsed/>
    <w:qFormat/>
    <w:pPr>
      <w:ind w:left="850" w:right="0" w:firstLine="0"/>
      <w:spacing w:after="57"/>
    </w:pPr>
  </w:style>
  <w:style w:type="paragraph" w:styleId="734">
    <w:name w:val="Subtitle"/>
    <w:basedOn w:val="710"/>
    <w:next w:val="710"/>
    <w:link w:val="757"/>
    <w:uiPriority w:val="11"/>
    <w:qFormat/>
    <w:pPr>
      <w:spacing w:before="200" w:after="200"/>
    </w:pPr>
    <w:rPr>
      <w:sz w:val="24"/>
      <w:szCs w:val="24"/>
    </w:rPr>
  </w:style>
  <w:style w:type="paragraph" w:styleId="735">
    <w:name w:val="footnote text"/>
    <w:basedOn w:val="710"/>
    <w:link w:val="890"/>
    <w:uiPriority w:val="99"/>
    <w:semiHidden/>
    <w:unhideWhenUsed/>
    <w:pPr>
      <w:spacing w:after="40" w:line="240" w:lineRule="auto"/>
    </w:pPr>
    <w:rPr>
      <w:sz w:val="18"/>
    </w:rPr>
  </w:style>
  <w:style w:type="paragraph" w:styleId="736">
    <w:name w:val="toc 6"/>
    <w:basedOn w:val="710"/>
    <w:next w:val="710"/>
    <w:uiPriority w:val="39"/>
    <w:unhideWhenUsed/>
    <w:qFormat/>
    <w:pPr>
      <w:ind w:left="1417" w:right="0" w:firstLine="0"/>
      <w:spacing w:after="57"/>
    </w:pPr>
  </w:style>
  <w:style w:type="paragraph" w:styleId="737">
    <w:name w:val="table of figures"/>
    <w:basedOn w:val="710"/>
    <w:next w:val="710"/>
    <w:uiPriority w:val="99"/>
    <w:unhideWhenUsed/>
    <w:qFormat/>
    <w:pPr>
      <w:spacing w:after="0" w:afterAutospacing="0"/>
    </w:pPr>
  </w:style>
  <w:style w:type="paragraph" w:styleId="738">
    <w:name w:val="toc 2"/>
    <w:basedOn w:val="710"/>
    <w:next w:val="710"/>
    <w:uiPriority w:val="39"/>
    <w:unhideWhenUsed/>
    <w:qFormat/>
    <w:pPr>
      <w:ind w:left="283" w:right="0" w:firstLine="0"/>
      <w:spacing w:after="57"/>
    </w:pPr>
  </w:style>
  <w:style w:type="paragraph" w:styleId="739">
    <w:name w:val="toc 9"/>
    <w:basedOn w:val="710"/>
    <w:next w:val="710"/>
    <w:uiPriority w:val="39"/>
    <w:unhideWhenUsed/>
    <w:qFormat/>
    <w:pPr>
      <w:ind w:left="2268" w:right="0" w:firstLine="0"/>
      <w:spacing w:after="57"/>
    </w:pPr>
  </w:style>
  <w:style w:type="paragraph" w:styleId="740">
    <w:name w:val="Title"/>
    <w:basedOn w:val="710"/>
    <w:next w:val="710"/>
    <w:link w:val="756"/>
    <w:uiPriority w:val="10"/>
    <w:qFormat/>
    <w:pPr>
      <w:contextualSpacing/>
      <w:spacing w:before="300" w:after="200"/>
    </w:pPr>
    <w:rPr>
      <w:sz w:val="48"/>
      <w:szCs w:val="48"/>
    </w:rPr>
  </w:style>
  <w:style w:type="paragraph" w:styleId="741">
    <w:name w:val="Body Text First Indent 2"/>
    <w:basedOn w:val="725"/>
    <w:uiPriority w:val="0"/>
    <w:unhideWhenUsed/>
    <w:qFormat/>
    <w:pPr>
      <w:ind w:firstLine="420"/>
    </w:p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Heading 1 Char"/>
    <w:link w:val="711"/>
    <w:uiPriority w:val="9"/>
    <w:qFormat/>
    <w:rPr>
      <w:rFonts w:ascii="Arial" w:hAnsi="Arial" w:eastAsia="Arial" w:cs="Arial"/>
      <w:sz w:val="40"/>
      <w:szCs w:val="40"/>
    </w:rPr>
  </w:style>
  <w:style w:type="character" w:styleId="747" w:customStyle="1">
    <w:name w:val="Heading 2 Char"/>
    <w:link w:val="712"/>
    <w:uiPriority w:val="9"/>
    <w:qFormat/>
    <w:rPr>
      <w:rFonts w:ascii="Arial" w:hAnsi="Arial" w:eastAsia="Arial" w:cs="Arial"/>
      <w:sz w:val="34"/>
    </w:rPr>
  </w:style>
  <w:style w:type="character" w:styleId="748" w:customStyle="1">
    <w:name w:val="Heading 3 Char"/>
    <w:link w:val="713"/>
    <w:uiPriority w:val="9"/>
    <w:qFormat/>
    <w:rPr>
      <w:rFonts w:ascii="Arial" w:hAnsi="Arial" w:eastAsia="Arial" w:cs="Arial"/>
      <w:sz w:val="30"/>
      <w:szCs w:val="30"/>
    </w:rPr>
  </w:style>
  <w:style w:type="character" w:styleId="749" w:customStyle="1">
    <w:name w:val="Heading 4 Char"/>
    <w:link w:val="714"/>
    <w:uiPriority w:val="9"/>
    <w:qFormat/>
    <w:rPr>
      <w:rFonts w:ascii="Arial" w:hAnsi="Arial" w:eastAsia="Arial" w:cs="Arial"/>
      <w:b/>
      <w:bCs/>
      <w:sz w:val="26"/>
      <w:szCs w:val="26"/>
    </w:rPr>
  </w:style>
  <w:style w:type="character" w:styleId="750" w:customStyle="1">
    <w:name w:val="Heading 5 Char"/>
    <w:link w:val="715"/>
    <w:uiPriority w:val="9"/>
    <w:qFormat/>
    <w:rPr>
      <w:rFonts w:ascii="Arial" w:hAnsi="Arial" w:eastAsia="Arial" w:cs="Arial"/>
      <w:b/>
      <w:bCs/>
      <w:sz w:val="24"/>
      <w:szCs w:val="24"/>
    </w:rPr>
  </w:style>
  <w:style w:type="character" w:styleId="751" w:customStyle="1">
    <w:name w:val="Heading 6 Char"/>
    <w:link w:val="716"/>
    <w:uiPriority w:val="9"/>
    <w:qFormat/>
    <w:rPr>
      <w:rFonts w:ascii="Arial" w:hAnsi="Arial" w:eastAsia="Arial" w:cs="Arial"/>
      <w:b/>
      <w:bCs/>
      <w:sz w:val="22"/>
      <w:szCs w:val="22"/>
    </w:rPr>
  </w:style>
  <w:style w:type="character" w:styleId="752" w:customStyle="1">
    <w:name w:val="Heading 7 Char"/>
    <w:link w:val="717"/>
    <w:uiPriority w:val="9"/>
    <w:qFormat/>
    <w:rPr>
      <w:rFonts w:ascii="Arial" w:hAnsi="Arial" w:eastAsia="Arial" w:cs="Arial"/>
      <w:b/>
      <w:bCs/>
      <w:i/>
      <w:iCs/>
      <w:sz w:val="22"/>
      <w:szCs w:val="22"/>
    </w:rPr>
  </w:style>
  <w:style w:type="character" w:styleId="753" w:customStyle="1">
    <w:name w:val="Heading 8 Char"/>
    <w:link w:val="718"/>
    <w:uiPriority w:val="9"/>
    <w:qFormat/>
    <w:rPr>
      <w:rFonts w:ascii="Arial" w:hAnsi="Arial" w:eastAsia="Arial" w:cs="Arial"/>
      <w:i/>
      <w:iCs/>
      <w:sz w:val="22"/>
      <w:szCs w:val="22"/>
    </w:rPr>
  </w:style>
  <w:style w:type="character" w:styleId="754" w:customStyle="1">
    <w:name w:val="Heading 9 Char"/>
    <w:link w:val="719"/>
    <w:uiPriority w:val="9"/>
    <w:qFormat/>
    <w:rPr>
      <w:rFonts w:ascii="Arial" w:hAnsi="Arial" w:eastAsia="Arial" w:cs="Arial"/>
      <w:i/>
      <w:iCs/>
      <w:sz w:val="21"/>
      <w:szCs w:val="21"/>
    </w:r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40"/>
    <w:uiPriority w:val="10"/>
    <w:qFormat/>
    <w:rPr>
      <w:sz w:val="48"/>
      <w:szCs w:val="48"/>
    </w:rPr>
  </w:style>
  <w:style w:type="character" w:styleId="757" w:customStyle="1">
    <w:name w:val="Subtitle Char"/>
    <w:link w:val="734"/>
    <w:uiPriority w:val="11"/>
    <w:qFormat/>
    <w:rPr>
      <w:sz w:val="24"/>
      <w:szCs w:val="24"/>
    </w:rPr>
  </w:style>
  <w:style w:type="paragraph" w:styleId="758">
    <w:name w:val="Quote"/>
    <w:basedOn w:val="710"/>
    <w:next w:val="710"/>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10"/>
    <w:next w:val="710"/>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31"/>
    <w:uiPriority w:val="99"/>
    <w:qFormat/>
  </w:style>
  <w:style w:type="character" w:styleId="763" w:customStyle="1">
    <w:name w:val="Footer Char"/>
    <w:link w:val="730"/>
    <w:uiPriority w:val="99"/>
    <w:qFormat/>
  </w:style>
  <w:style w:type="character" w:styleId="764" w:customStyle="1">
    <w:name w:val="Caption Char"/>
    <w:link w:val="730"/>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5"/>
    <w:uiPriority w:val="99"/>
    <w:qFormat/>
    <w:rPr>
      <w:sz w:val="18"/>
    </w:rPr>
  </w:style>
  <w:style w:type="character" w:styleId="891" w:customStyle="1">
    <w:name w:val="Endnote Text Char"/>
    <w:link w:val="729"/>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
    <w:basedOn w:val="710"/>
    <w:next w:val="710"/>
    <w:link w:val="904"/>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894" w:customStyle="1">
    <w:name w:val="标题 21"/>
    <w:basedOn w:val="710"/>
    <w:next w:val="710"/>
    <w:link w:val="905"/>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95" w:customStyle="1">
    <w:name w:val="标题 31"/>
    <w:basedOn w:val="710"/>
    <w:next w:val="710"/>
    <w:link w:val="906"/>
    <w:uiPriority w:val="0"/>
    <w:qFormat/>
    <w:pPr>
      <w:keepLines/>
      <w:keepNext/>
      <w:spacing w:before="260" w:after="260" w:line="416" w:lineRule="auto"/>
      <w:outlineLvl w:val="2"/>
    </w:pPr>
    <w:rPr>
      <w:rFonts w:ascii="黑体" w:eastAsia="黑体"/>
      <w:b/>
      <w:bCs/>
      <w:sz w:val="32"/>
      <w:szCs w:val="32"/>
    </w:rPr>
  </w:style>
  <w:style w:type="paragraph" w:styleId="896" w:customStyle="1">
    <w:name w:val="标题 41"/>
    <w:basedOn w:val="710"/>
    <w:next w:val="710"/>
    <w:link w:val="90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97" w:customStyle="1">
    <w:name w:val="标题 51"/>
    <w:basedOn w:val="710"/>
    <w:next w:val="710"/>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898" w:customStyle="1">
    <w:name w:val="标题 61"/>
    <w:basedOn w:val="710"/>
    <w:next w:val="710"/>
    <w:link w:val="908"/>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99" w:customStyle="1">
    <w:name w:val="标题 71"/>
    <w:basedOn w:val="710"/>
    <w:next w:val="710"/>
    <w:link w:val="909"/>
    <w:uiPriority w:val="0"/>
    <w:qFormat/>
    <w:pPr>
      <w:ind w:left="1296" w:hanging="1296"/>
      <w:keepLines/>
      <w:keepNext/>
      <w:spacing w:before="240" w:after="64" w:line="320" w:lineRule="atLeast"/>
      <w:tabs>
        <w:tab w:val="left" w:pos="1296" w:leader="none"/>
      </w:tabs>
      <w:outlineLvl w:val="6"/>
    </w:pPr>
    <w:rPr>
      <w:b/>
      <w:sz w:val="24"/>
    </w:rPr>
  </w:style>
  <w:style w:type="paragraph" w:styleId="900" w:customStyle="1">
    <w:name w:val="标题 81"/>
    <w:basedOn w:val="710"/>
    <w:next w:val="710"/>
    <w:link w:val="91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01" w:customStyle="1">
    <w:name w:val="标题 91"/>
    <w:basedOn w:val="710"/>
    <w:next w:val="710"/>
    <w:link w:val="911"/>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02" w:customStyle="1">
    <w:name w:val="默认段落字体1"/>
    <w:link w:val="710"/>
    <w:uiPriority w:val="0"/>
    <w:qFormat/>
  </w:style>
  <w:style w:type="table" w:styleId="903" w:customStyle="1">
    <w:name w:val="普通表格1"/>
    <w:uiPriority w:val="99"/>
    <w:unhideWhenUsed/>
    <w:qFormat/>
    <w:tblPr/>
  </w:style>
  <w:style w:type="character" w:styleId="904" w:customStyle="1">
    <w:name w:val="标题 1 Char"/>
    <w:link w:val="893"/>
    <w:uiPriority w:val="0"/>
    <w:qFormat/>
    <w:rPr>
      <w:rFonts w:ascii="黑体" w:eastAsia="黑体"/>
      <w:b/>
      <w:bCs/>
      <w:sz w:val="44"/>
      <w:szCs w:val="44"/>
    </w:rPr>
  </w:style>
  <w:style w:type="character" w:styleId="905" w:customStyle="1">
    <w:name w:val="标题 2 Char"/>
    <w:link w:val="894"/>
    <w:uiPriority w:val="0"/>
    <w:qFormat/>
    <w:rPr>
      <w:rFonts w:ascii="Arial" w:hAnsi="Arial" w:eastAsia="黑体"/>
      <w:b/>
      <w:bCs/>
      <w:sz w:val="32"/>
      <w:szCs w:val="32"/>
    </w:rPr>
  </w:style>
  <w:style w:type="character" w:styleId="906" w:customStyle="1">
    <w:name w:val="标题 3 Char"/>
    <w:link w:val="895"/>
    <w:uiPriority w:val="0"/>
    <w:qFormat/>
    <w:rPr>
      <w:rFonts w:ascii="黑体" w:eastAsia="黑体"/>
      <w:b/>
      <w:bCs/>
      <w:sz w:val="32"/>
      <w:szCs w:val="32"/>
      <w:lang w:val="en-US" w:eastAsia="zh-CN" w:bidi="ar-SA"/>
    </w:rPr>
  </w:style>
  <w:style w:type="character" w:styleId="907" w:customStyle="1">
    <w:name w:val="标题 4 Char"/>
    <w:link w:val="896"/>
    <w:uiPriority w:val="0"/>
    <w:qFormat/>
    <w:rPr>
      <w:rFonts w:ascii="Arial" w:hAnsi="Arial" w:eastAsia="黑体"/>
      <w:b/>
      <w:bCs/>
      <w:sz w:val="28"/>
      <w:szCs w:val="28"/>
    </w:rPr>
  </w:style>
  <w:style w:type="character" w:styleId="908" w:customStyle="1">
    <w:name w:val="标题 6 Char"/>
    <w:link w:val="898"/>
    <w:uiPriority w:val="0"/>
    <w:qFormat/>
    <w:rPr>
      <w:rFonts w:ascii="Arial" w:hAnsi="Arial" w:eastAsia="黑体"/>
      <w:b/>
      <w:sz w:val="24"/>
      <w:szCs w:val="24"/>
    </w:rPr>
  </w:style>
  <w:style w:type="character" w:styleId="909" w:customStyle="1">
    <w:name w:val="标题 7 Char"/>
    <w:link w:val="899"/>
    <w:uiPriority w:val="0"/>
    <w:qFormat/>
    <w:rPr>
      <w:b/>
      <w:sz w:val="24"/>
      <w:szCs w:val="24"/>
    </w:rPr>
  </w:style>
  <w:style w:type="character" w:styleId="910" w:customStyle="1">
    <w:name w:val="标题 8 Char"/>
    <w:link w:val="900"/>
    <w:uiPriority w:val="0"/>
    <w:qFormat/>
    <w:rPr>
      <w:rFonts w:ascii="Arial" w:hAnsi="Arial" w:eastAsia="黑体"/>
      <w:sz w:val="24"/>
      <w:szCs w:val="24"/>
    </w:rPr>
  </w:style>
  <w:style w:type="character" w:styleId="911" w:customStyle="1">
    <w:name w:val="标题 9 Char"/>
    <w:link w:val="901"/>
    <w:uiPriority w:val="0"/>
    <w:qFormat/>
    <w:rPr>
      <w:rFonts w:ascii="Arial" w:hAnsi="Arial" w:eastAsia="黑体"/>
      <w:sz w:val="21"/>
      <w:szCs w:val="24"/>
    </w:rPr>
  </w:style>
  <w:style w:type="paragraph" w:styleId="912" w:customStyle="1">
    <w:name w:val="列表 31"/>
    <w:basedOn w:val="710"/>
    <w:uiPriority w:val="0"/>
    <w:qFormat/>
    <w:pPr>
      <w:ind w:left="1260" w:hanging="420"/>
    </w:pPr>
    <w:rPr>
      <w:rFonts w:hAnsi="宋体"/>
      <w:color w:val="000000"/>
      <w:spacing w:val="-8"/>
      <w:szCs w:val="20"/>
    </w:rPr>
  </w:style>
  <w:style w:type="paragraph" w:styleId="913" w:customStyle="1">
    <w:name w:val="目录 71"/>
    <w:basedOn w:val="710"/>
    <w:next w:val="710"/>
    <w:uiPriority w:val="0"/>
    <w:qFormat/>
    <w:pPr>
      <w:ind w:left="1260" w:firstLine="420"/>
      <w:jc w:val="left"/>
      <w:spacing w:line="288" w:lineRule="auto"/>
    </w:pPr>
    <w:rPr>
      <w:sz w:val="18"/>
      <w:szCs w:val="18"/>
    </w:rPr>
  </w:style>
  <w:style w:type="paragraph" w:styleId="914" w:customStyle="1">
    <w:name w:val="索引 81"/>
    <w:basedOn w:val="710"/>
    <w:next w:val="710"/>
    <w:uiPriority w:val="0"/>
    <w:qFormat/>
    <w:pPr>
      <w:ind w:left="1400"/>
    </w:pPr>
    <w:rPr>
      <w:szCs w:val="20"/>
    </w:rPr>
  </w:style>
  <w:style w:type="paragraph" w:styleId="915" w:customStyle="1">
    <w:name w:val="正文缩进1"/>
    <w:basedOn w:val="710"/>
    <w:link w:val="916"/>
    <w:uiPriority w:val="0"/>
    <w:qFormat/>
    <w:pPr>
      <w:ind w:firstLine="420"/>
      <w:jc w:val="left"/>
      <w:widowControl/>
    </w:pPr>
    <w:rPr>
      <w:sz w:val="20"/>
      <w:szCs w:val="20"/>
    </w:rPr>
  </w:style>
  <w:style w:type="character" w:styleId="916" w:customStyle="1">
    <w:name w:val="正文缩进 Char"/>
    <w:link w:val="915"/>
    <w:uiPriority w:val="0"/>
    <w:qFormat/>
    <w:rPr>
      <w:rFonts w:eastAsia="宋体"/>
      <w:lang w:val="en-US" w:eastAsia="zh-CN" w:bidi="ar-SA"/>
    </w:rPr>
  </w:style>
  <w:style w:type="paragraph" w:styleId="917" w:customStyle="1">
    <w:name w:val="题注1"/>
    <w:basedOn w:val="710"/>
    <w:next w:val="710"/>
    <w:uiPriority w:val="0"/>
    <w:qFormat/>
    <w:rPr>
      <w:rFonts w:ascii="Arial" w:hAnsi="Arial" w:eastAsia="黑体" w:cs="Arial"/>
      <w:sz w:val="20"/>
      <w:szCs w:val="20"/>
    </w:rPr>
  </w:style>
  <w:style w:type="paragraph" w:styleId="918" w:customStyle="1">
    <w:name w:val="索引 51"/>
    <w:basedOn w:val="710"/>
    <w:next w:val="710"/>
    <w:uiPriority w:val="0"/>
    <w:qFormat/>
    <w:pPr>
      <w:ind w:left="800"/>
    </w:pPr>
    <w:rPr>
      <w:szCs w:val="20"/>
    </w:rPr>
  </w:style>
  <w:style w:type="paragraph" w:styleId="919" w:customStyle="1">
    <w:name w:val="列表项目符号1"/>
    <w:basedOn w:val="710"/>
    <w:uiPriority w:val="0"/>
    <w:qFormat/>
    <w:pPr>
      <w:ind w:left="360" w:firstLine="200"/>
      <w:tabs>
        <w:tab w:val="left" w:pos="360" w:leader="none"/>
      </w:tabs>
    </w:pPr>
    <w:rPr>
      <w:rFonts w:hAnsi="宋体"/>
      <w:color w:val="000000"/>
      <w:spacing w:val="-8"/>
      <w:szCs w:val="20"/>
    </w:rPr>
  </w:style>
  <w:style w:type="paragraph" w:styleId="920" w:customStyle="1">
    <w:name w:val="文档结构图1"/>
    <w:basedOn w:val="710"/>
    <w:link w:val="921"/>
    <w:uiPriority w:val="0"/>
    <w:qFormat/>
    <w:pPr>
      <w:shd w:val="clear" w:color="auto" w:fill="000080"/>
    </w:pPr>
  </w:style>
  <w:style w:type="character" w:styleId="921" w:customStyle="1">
    <w:name w:val="文档结构图 Char"/>
    <w:link w:val="920"/>
    <w:uiPriority w:val="0"/>
    <w:qFormat/>
    <w:rPr>
      <w:rFonts w:eastAsia="宋体"/>
      <w:sz w:val="21"/>
      <w:szCs w:val="24"/>
      <w:lang w:val="en-US" w:eastAsia="zh-CN" w:bidi="ar-SA"/>
    </w:rPr>
  </w:style>
  <w:style w:type="paragraph" w:styleId="922" w:customStyle="1">
    <w:name w:val="批注文字1"/>
    <w:basedOn w:val="710"/>
    <w:link w:val="923"/>
    <w:uiPriority w:val="0"/>
    <w:qFormat/>
    <w:pPr>
      <w:jc w:val="left"/>
    </w:pPr>
  </w:style>
  <w:style w:type="character" w:styleId="923" w:customStyle="1">
    <w:name w:val="批注文字 Char"/>
    <w:link w:val="922"/>
    <w:uiPriority w:val="0"/>
    <w:qFormat/>
    <w:rPr>
      <w:sz w:val="21"/>
      <w:szCs w:val="24"/>
    </w:rPr>
  </w:style>
  <w:style w:type="paragraph" w:styleId="924" w:customStyle="1">
    <w:name w:val="索引 61"/>
    <w:basedOn w:val="710"/>
    <w:next w:val="710"/>
    <w:uiPriority w:val="0"/>
    <w:qFormat/>
    <w:pPr>
      <w:ind w:left="1000"/>
    </w:pPr>
    <w:rPr>
      <w:szCs w:val="20"/>
    </w:rPr>
  </w:style>
  <w:style w:type="paragraph" w:styleId="925" w:customStyle="1">
    <w:name w:val="称呼1"/>
    <w:basedOn w:val="710"/>
    <w:next w:val="710"/>
    <w:link w:val="926"/>
    <w:uiPriority w:val="0"/>
    <w:qFormat/>
    <w:pPr>
      <w:ind w:firstLine="420"/>
      <w:spacing w:after="20" w:line="288" w:lineRule="auto"/>
    </w:pPr>
    <w:rPr>
      <w:sz w:val="28"/>
    </w:rPr>
  </w:style>
  <w:style w:type="character" w:styleId="926" w:customStyle="1">
    <w:name w:val="称呼 Char"/>
    <w:link w:val="925"/>
    <w:uiPriority w:val="0"/>
    <w:qFormat/>
    <w:rPr>
      <w:sz w:val="28"/>
      <w:szCs w:val="24"/>
    </w:rPr>
  </w:style>
  <w:style w:type="paragraph" w:styleId="927" w:customStyle="1">
    <w:name w:val="正文文本 31"/>
    <w:basedOn w:val="710"/>
    <w:uiPriority w:val="0"/>
    <w:qFormat/>
    <w:pPr>
      <w:jc w:val="center"/>
      <w:spacing w:after="20" w:line="288" w:lineRule="auto"/>
    </w:pPr>
    <w:rPr>
      <w:sz w:val="24"/>
      <w:szCs w:val="24"/>
    </w:rPr>
  </w:style>
  <w:style w:type="paragraph" w:styleId="928" w:customStyle="1">
    <w:name w:val="结束语1"/>
    <w:basedOn w:val="710"/>
    <w:link w:val="929"/>
    <w:uiPriority w:val="0"/>
    <w:qFormat/>
    <w:pPr>
      <w:ind w:left="100" w:firstLine="420"/>
      <w:spacing w:after="20" w:line="288" w:lineRule="auto"/>
    </w:pPr>
    <w:rPr>
      <w:sz w:val="28"/>
    </w:rPr>
  </w:style>
  <w:style w:type="character" w:styleId="929" w:customStyle="1">
    <w:name w:val="结束语 Char"/>
    <w:link w:val="928"/>
    <w:uiPriority w:val="0"/>
    <w:qFormat/>
    <w:rPr>
      <w:sz w:val="28"/>
      <w:szCs w:val="24"/>
    </w:rPr>
  </w:style>
  <w:style w:type="paragraph" w:styleId="930" w:customStyle="1">
    <w:name w:val="正文文本1"/>
    <w:basedOn w:val="710"/>
    <w:uiPriority w:val="0"/>
    <w:qFormat/>
    <w:rPr>
      <w:rFonts w:ascii="仿宋_GB2312" w:eastAsia="仿宋_GB2312"/>
      <w:sz w:val="28"/>
      <w:szCs w:val="20"/>
    </w:rPr>
  </w:style>
  <w:style w:type="paragraph" w:styleId="931" w:customStyle="1">
    <w:name w:val="正文文本缩进1"/>
    <w:basedOn w:val="710"/>
    <w:next w:val="932"/>
    <w:link w:val="933"/>
    <w:uiPriority w:val="0"/>
    <w:pPr>
      <w:ind w:left="156"/>
      <w:spacing w:line="300" w:lineRule="auto"/>
      <w:widowControl/>
    </w:pPr>
    <w:rPr>
      <w:rFonts w:ascii="仿宋_GB2312" w:eastAsia="仿宋_GB2312"/>
      <w:sz w:val="28"/>
      <w:szCs w:val="20"/>
    </w:rPr>
  </w:style>
  <w:style w:type="paragraph" w:styleId="932" w:customStyle="1">
    <w:name w:val="寄信人地址1"/>
    <w:basedOn w:val="710"/>
    <w:uiPriority w:val="0"/>
    <w:unhideWhenUsed/>
    <w:qFormat/>
    <w:rPr>
      <w:rFonts w:ascii="Arial" w:hAnsi="Arial"/>
    </w:rPr>
  </w:style>
  <w:style w:type="character" w:styleId="933" w:customStyle="1">
    <w:name w:val="正文文本缩进 Char"/>
    <w:link w:val="931"/>
    <w:uiPriority w:val="0"/>
    <w:rPr>
      <w:rFonts w:ascii="仿宋_GB2312" w:eastAsia="仿宋_GB2312"/>
      <w:sz w:val="28"/>
      <w:lang w:val="en-US" w:eastAsia="zh-CN" w:bidi="ar-SA"/>
    </w:rPr>
  </w:style>
  <w:style w:type="paragraph" w:styleId="934" w:customStyle="1">
    <w:name w:val="列表 21"/>
    <w:basedOn w:val="710"/>
    <w:uiPriority w:val="0"/>
    <w:pPr>
      <w:ind w:left="840" w:hanging="420"/>
    </w:pPr>
    <w:rPr>
      <w:rFonts w:hAnsi="宋体"/>
      <w:color w:val="000000"/>
      <w:spacing w:val="-8"/>
      <w:szCs w:val="20"/>
    </w:rPr>
  </w:style>
  <w:style w:type="paragraph" w:styleId="935" w:customStyle="1">
    <w:name w:val="列表接续1"/>
    <w:basedOn w:val="710"/>
    <w:uiPriority w:val="0"/>
    <w:pPr>
      <w:ind w:left="420" w:firstLine="448"/>
      <w:spacing w:after="120"/>
    </w:pPr>
    <w:rPr>
      <w:rFonts w:hAnsi="宋体"/>
      <w:color w:val="000000"/>
      <w:spacing w:val="-8"/>
      <w:szCs w:val="20"/>
    </w:rPr>
  </w:style>
  <w:style w:type="paragraph" w:styleId="936" w:customStyle="1">
    <w:name w:val="文本块1"/>
    <w:basedOn w:val="710"/>
    <w:uiPriority w:val="0"/>
    <w:qFormat/>
    <w:pPr>
      <w:ind w:left="420" w:right="33"/>
      <w:jc w:val="left"/>
    </w:pPr>
    <w:rPr>
      <w:sz w:val="24"/>
      <w:szCs w:val="20"/>
    </w:rPr>
  </w:style>
  <w:style w:type="paragraph" w:styleId="937" w:customStyle="1">
    <w:name w:val="列表项目符号 21"/>
    <w:basedOn w:val="710"/>
    <w:uiPriority w:val="0"/>
    <w:qFormat/>
    <w:pPr>
      <w:ind w:left="780" w:firstLine="200"/>
      <w:tabs>
        <w:tab w:val="left" w:pos="780" w:leader="none"/>
      </w:tabs>
    </w:pPr>
    <w:rPr>
      <w:rFonts w:hAnsi="宋体"/>
      <w:color w:val="000000"/>
      <w:spacing w:val="-8"/>
      <w:szCs w:val="20"/>
    </w:rPr>
  </w:style>
  <w:style w:type="paragraph" w:styleId="938" w:customStyle="1">
    <w:name w:val="索引 41"/>
    <w:basedOn w:val="710"/>
    <w:next w:val="710"/>
    <w:uiPriority w:val="0"/>
    <w:qFormat/>
    <w:pPr>
      <w:ind w:left="600"/>
    </w:pPr>
    <w:rPr>
      <w:szCs w:val="20"/>
    </w:rPr>
  </w:style>
  <w:style w:type="paragraph" w:styleId="939" w:customStyle="1">
    <w:name w:val="目录 51"/>
    <w:basedOn w:val="710"/>
    <w:next w:val="710"/>
    <w:uiPriority w:val="0"/>
    <w:qFormat/>
    <w:pPr>
      <w:ind w:left="840" w:firstLine="420"/>
      <w:jc w:val="left"/>
      <w:spacing w:line="288" w:lineRule="auto"/>
    </w:pPr>
    <w:rPr>
      <w:sz w:val="18"/>
      <w:szCs w:val="18"/>
    </w:rPr>
  </w:style>
  <w:style w:type="paragraph" w:styleId="940" w:customStyle="1">
    <w:name w:val="目录 31"/>
    <w:basedOn w:val="710"/>
    <w:next w:val="710"/>
    <w:uiPriority w:val="0"/>
    <w:qFormat/>
    <w:pPr>
      <w:ind w:left="420" w:firstLine="420"/>
      <w:jc w:val="left"/>
      <w:spacing w:line="288" w:lineRule="auto"/>
    </w:pPr>
    <w:rPr>
      <w:iCs/>
      <w:sz w:val="20"/>
      <w:szCs w:val="20"/>
    </w:rPr>
  </w:style>
  <w:style w:type="paragraph" w:styleId="941" w:customStyle="1">
    <w:name w:val="纯文本1"/>
    <w:basedOn w:val="710"/>
    <w:link w:val="942"/>
    <w:uiPriority w:val="0"/>
    <w:qFormat/>
    <w:rPr>
      <w:rFonts w:ascii="宋体" w:hAnsi="Courier New"/>
      <w:szCs w:val="21"/>
    </w:rPr>
  </w:style>
  <w:style w:type="character" w:styleId="942" w:customStyle="1">
    <w:name w:val="纯文本 Char"/>
    <w:link w:val="941"/>
    <w:uiPriority w:val="0"/>
    <w:qFormat/>
    <w:rPr>
      <w:rFonts w:ascii="宋体" w:hAnsi="Courier New"/>
      <w:sz w:val="21"/>
      <w:szCs w:val="21"/>
    </w:rPr>
  </w:style>
  <w:style w:type="paragraph" w:styleId="943" w:customStyle="1">
    <w:name w:val="列表项目符号 51"/>
    <w:basedOn w:val="710"/>
    <w:uiPriority w:val="0"/>
    <w:qFormat/>
    <w:pPr>
      <w:numPr>
        <w:ilvl w:val="0"/>
        <w:numId w:val="2"/>
      </w:numPr>
      <w:spacing w:line="360" w:lineRule="exact"/>
      <w:widowControl/>
    </w:pPr>
    <w:rPr>
      <w:rFonts w:eastAsia="楷体_GB2312"/>
      <w:sz w:val="24"/>
      <w:szCs w:val="20"/>
    </w:rPr>
  </w:style>
  <w:style w:type="paragraph" w:styleId="944" w:customStyle="1">
    <w:name w:val="目录 81"/>
    <w:basedOn w:val="710"/>
    <w:next w:val="710"/>
    <w:uiPriority w:val="0"/>
    <w:pPr>
      <w:ind w:left="1470" w:firstLine="420"/>
      <w:jc w:val="left"/>
      <w:spacing w:line="288" w:lineRule="auto"/>
    </w:pPr>
    <w:rPr>
      <w:sz w:val="18"/>
      <w:szCs w:val="18"/>
    </w:rPr>
  </w:style>
  <w:style w:type="paragraph" w:styleId="945" w:customStyle="1">
    <w:name w:val="索引 31"/>
    <w:basedOn w:val="710"/>
    <w:next w:val="710"/>
    <w:uiPriority w:val="0"/>
    <w:qFormat/>
    <w:pPr>
      <w:ind w:left="400"/>
    </w:pPr>
    <w:rPr>
      <w:szCs w:val="20"/>
    </w:rPr>
  </w:style>
  <w:style w:type="paragraph" w:styleId="946" w:customStyle="1">
    <w:name w:val="日期1"/>
    <w:basedOn w:val="710"/>
    <w:next w:val="710"/>
    <w:uiPriority w:val="0"/>
    <w:pPr>
      <w:ind w:left="100"/>
    </w:pPr>
    <w:rPr>
      <w:rFonts w:ascii="楷体_GB2312" w:eastAsia="楷体_GB2312"/>
      <w:b/>
      <w:sz w:val="28"/>
    </w:rPr>
  </w:style>
  <w:style w:type="paragraph" w:styleId="947" w:customStyle="1">
    <w:name w:val="正文文本缩进 21"/>
    <w:basedOn w:val="710"/>
    <w:link w:val="948"/>
    <w:uiPriority w:val="0"/>
    <w:pPr>
      <w:ind w:firstLine="559"/>
      <w:spacing w:line="400" w:lineRule="exact"/>
      <w:tabs>
        <w:tab w:val="left" w:pos="0" w:leader="none"/>
        <w:tab w:val="left" w:pos="1134" w:leader="none"/>
      </w:tabs>
    </w:pPr>
    <w:rPr>
      <w:rFonts w:ascii="楷体_GB2312" w:eastAsia="楷体_GB2312"/>
      <w:sz w:val="24"/>
    </w:rPr>
  </w:style>
  <w:style w:type="character" w:styleId="948" w:customStyle="1">
    <w:name w:val="正文文本缩进 2 Char"/>
    <w:link w:val="947"/>
    <w:uiPriority w:val="0"/>
    <w:rPr>
      <w:rFonts w:ascii="楷体_GB2312" w:eastAsia="楷体_GB2312"/>
      <w:sz w:val="24"/>
      <w:szCs w:val="24"/>
      <w:lang w:val="en-US" w:eastAsia="zh-CN" w:bidi="ar-SA"/>
    </w:rPr>
  </w:style>
  <w:style w:type="paragraph" w:styleId="949" w:customStyle="1">
    <w:name w:val="批注框文本1"/>
    <w:basedOn w:val="710"/>
    <w:link w:val="950"/>
    <w:uiPriority w:val="0"/>
    <w:qFormat/>
    <w:rPr>
      <w:sz w:val="18"/>
      <w:szCs w:val="18"/>
    </w:rPr>
  </w:style>
  <w:style w:type="character" w:styleId="950" w:customStyle="1">
    <w:name w:val="批注框文本 Char"/>
    <w:link w:val="949"/>
    <w:uiPriority w:val="0"/>
    <w:rPr>
      <w:sz w:val="18"/>
      <w:szCs w:val="18"/>
    </w:rPr>
  </w:style>
  <w:style w:type="paragraph" w:styleId="951" w:customStyle="1">
    <w:name w:val="页脚1"/>
    <w:basedOn w:val="710"/>
    <w:next w:val="952"/>
    <w:link w:val="953"/>
    <w:uiPriority w:val="0"/>
    <w:pPr>
      <w:jc w:val="left"/>
      <w:tabs>
        <w:tab w:val="center" w:pos="4153" w:leader="none"/>
        <w:tab w:val="right" w:pos="8306" w:leader="none"/>
      </w:tabs>
    </w:pPr>
    <w:rPr>
      <w:sz w:val="18"/>
      <w:szCs w:val="18"/>
    </w:rPr>
  </w:style>
  <w:style w:type="paragraph" w:styleId="952" w:customStyle="1">
    <w:name w:val="明显引用"/>
    <w:basedOn w:val="710"/>
    <w:next w:val="710"/>
    <w:uiPriority w:val="0"/>
    <w:qFormat/>
    <w:pPr>
      <w:ind w:left="936" w:right="936"/>
      <w:spacing w:before="200" w:after="280"/>
      <w:pBdr>
        <w:bottom w:val="single" w:color="4F81BD" w:sz="4" w:space="4"/>
      </w:pBdr>
    </w:pPr>
    <w:rPr>
      <w:b/>
      <w:bCs/>
      <w:i/>
      <w:iCs/>
      <w:color w:val="4f81bd"/>
      <w:szCs w:val="22"/>
    </w:rPr>
  </w:style>
  <w:style w:type="character" w:styleId="953" w:customStyle="1">
    <w:name w:val="页脚 Char"/>
    <w:link w:val="951"/>
    <w:uiPriority w:val="0"/>
    <w:qFormat/>
    <w:rPr>
      <w:sz w:val="18"/>
      <w:szCs w:val="18"/>
    </w:rPr>
  </w:style>
  <w:style w:type="paragraph" w:styleId="954" w:customStyle="1">
    <w:name w:val="页眉11"/>
    <w:basedOn w:val="710"/>
    <w:link w:val="955"/>
    <w:uiPriority w:val="0"/>
    <w:qFormat/>
    <w:pPr>
      <w:jc w:val="center"/>
      <w:tabs>
        <w:tab w:val="center" w:pos="4153" w:leader="none"/>
        <w:tab w:val="right" w:pos="8306" w:leader="none"/>
      </w:tabs>
      <w:pBdr>
        <w:bottom w:val="single" w:color="000000" w:sz="6" w:space="1"/>
      </w:pBdr>
    </w:pPr>
    <w:rPr>
      <w:sz w:val="18"/>
      <w:szCs w:val="18"/>
    </w:rPr>
  </w:style>
  <w:style w:type="character" w:styleId="955" w:customStyle="1">
    <w:name w:val="页眉 Char"/>
    <w:link w:val="954"/>
    <w:uiPriority w:val="0"/>
    <w:qFormat/>
    <w:rPr>
      <w:sz w:val="18"/>
      <w:szCs w:val="18"/>
    </w:rPr>
  </w:style>
  <w:style w:type="paragraph" w:styleId="956" w:customStyle="1">
    <w:name w:val="目录 11"/>
    <w:basedOn w:val="710"/>
    <w:next w:val="710"/>
    <w:link w:val="957"/>
    <w:uiPriority w:val="0"/>
    <w:qFormat/>
    <w:pPr>
      <w:spacing w:before="120" w:after="120" w:line="288" w:lineRule="auto"/>
      <w:tabs>
        <w:tab w:val="right" w:pos="8296" w:leader="dot"/>
      </w:tabs>
    </w:pPr>
    <w:rPr>
      <w:rFonts w:ascii="黑体" w:hAnsi="宋体" w:eastAsia="黑体"/>
      <w:caps/>
      <w:sz w:val="30"/>
      <w:szCs w:val="30"/>
    </w:rPr>
  </w:style>
  <w:style w:type="character" w:styleId="957" w:customStyle="1">
    <w:name w:val="目录 1 Char"/>
    <w:link w:val="956"/>
    <w:uiPriority w:val="0"/>
    <w:qFormat/>
    <w:rPr>
      <w:rFonts w:ascii="黑体" w:hAnsi="宋体" w:eastAsia="黑体"/>
      <w:caps/>
      <w:sz w:val="30"/>
      <w:szCs w:val="30"/>
      <w:lang w:val="en-US" w:eastAsia="zh-CN" w:bidi="ar-SA"/>
    </w:rPr>
  </w:style>
  <w:style w:type="paragraph" w:styleId="958" w:customStyle="1">
    <w:name w:val="目录 41"/>
    <w:basedOn w:val="710"/>
    <w:next w:val="710"/>
    <w:uiPriority w:val="0"/>
    <w:qFormat/>
    <w:pPr>
      <w:ind w:left="630" w:firstLine="420"/>
      <w:jc w:val="left"/>
      <w:spacing w:line="288" w:lineRule="auto"/>
    </w:pPr>
    <w:rPr>
      <w:sz w:val="18"/>
      <w:szCs w:val="18"/>
    </w:rPr>
  </w:style>
  <w:style w:type="paragraph" w:styleId="959" w:customStyle="1">
    <w:name w:val="列表1"/>
    <w:basedOn w:val="710"/>
    <w:uiPriority w:val="0"/>
    <w:qFormat/>
    <w:pPr>
      <w:numPr>
        <w:ilvl w:val="0"/>
        <w:numId w:val="3"/>
      </w:numPr>
      <w:spacing w:after="20" w:line="288" w:lineRule="auto"/>
    </w:pPr>
    <w:rPr>
      <w:szCs w:val="20"/>
      <w:lang w:val="en-GB"/>
    </w:rPr>
  </w:style>
  <w:style w:type="paragraph" w:styleId="960" w:customStyle="1">
    <w:name w:val="脚注文本1"/>
    <w:basedOn w:val="710"/>
    <w:next w:val="918"/>
    <w:link w:val="961"/>
    <w:uiPriority w:val="0"/>
    <w:qFormat/>
    <w:pPr>
      <w:ind w:firstLine="425"/>
      <w:jc w:val="left"/>
      <w:spacing w:after="60" w:line="360" w:lineRule="exact"/>
    </w:pPr>
    <w:rPr>
      <w:sz w:val="18"/>
      <w:szCs w:val="18"/>
    </w:rPr>
  </w:style>
  <w:style w:type="character" w:styleId="961" w:customStyle="1">
    <w:name w:val="脚注文本 Char"/>
    <w:link w:val="960"/>
    <w:uiPriority w:val="0"/>
    <w:rPr>
      <w:sz w:val="18"/>
      <w:szCs w:val="18"/>
    </w:rPr>
  </w:style>
  <w:style w:type="paragraph" w:styleId="962" w:customStyle="1">
    <w:name w:val="目录 61"/>
    <w:basedOn w:val="710"/>
    <w:next w:val="710"/>
    <w:uiPriority w:val="0"/>
    <w:qFormat/>
    <w:pPr>
      <w:ind w:left="1050" w:firstLine="420"/>
      <w:jc w:val="left"/>
      <w:spacing w:line="288" w:lineRule="auto"/>
    </w:pPr>
    <w:rPr>
      <w:sz w:val="18"/>
      <w:szCs w:val="18"/>
    </w:rPr>
  </w:style>
  <w:style w:type="paragraph" w:styleId="963" w:customStyle="1">
    <w:name w:val="列表 51"/>
    <w:basedOn w:val="710"/>
    <w:uiPriority w:val="0"/>
    <w:qFormat/>
    <w:pPr>
      <w:ind w:left="2100" w:hanging="420"/>
    </w:pPr>
    <w:rPr>
      <w:rFonts w:hAnsi="宋体"/>
      <w:color w:val="000000"/>
      <w:spacing w:val="-8"/>
      <w:szCs w:val="20"/>
    </w:rPr>
  </w:style>
  <w:style w:type="paragraph" w:styleId="964" w:customStyle="1">
    <w:name w:val="正文文本缩进 31"/>
    <w:basedOn w:val="710"/>
    <w:uiPriority w:val="0"/>
    <w:pPr>
      <w:ind w:firstLine="698"/>
      <w:jc w:val="left"/>
      <w:spacing w:line="360" w:lineRule="auto"/>
    </w:pPr>
    <w:rPr>
      <w:rFonts w:ascii="仿宋_GB2312" w:eastAsia="仿宋_GB2312"/>
      <w:sz w:val="32"/>
      <w:szCs w:val="20"/>
    </w:rPr>
  </w:style>
  <w:style w:type="paragraph" w:styleId="965" w:customStyle="1">
    <w:name w:val="索引 71"/>
    <w:basedOn w:val="710"/>
    <w:next w:val="710"/>
    <w:uiPriority w:val="0"/>
    <w:qFormat/>
    <w:pPr>
      <w:ind w:left="1200"/>
    </w:pPr>
    <w:rPr>
      <w:szCs w:val="20"/>
    </w:rPr>
  </w:style>
  <w:style w:type="paragraph" w:styleId="966" w:customStyle="1">
    <w:name w:val="索引 91"/>
    <w:basedOn w:val="710"/>
    <w:next w:val="710"/>
    <w:uiPriority w:val="0"/>
    <w:qFormat/>
    <w:pPr>
      <w:ind w:left="1600"/>
    </w:pPr>
    <w:rPr>
      <w:szCs w:val="20"/>
    </w:rPr>
  </w:style>
  <w:style w:type="paragraph" w:styleId="967" w:customStyle="1">
    <w:name w:val="目录 21"/>
    <w:basedOn w:val="710"/>
    <w:next w:val="710"/>
    <w:uiPriority w:val="0"/>
    <w:qFormat/>
    <w:pPr>
      <w:ind w:left="210" w:firstLine="420"/>
      <w:jc w:val="left"/>
      <w:spacing w:line="288" w:lineRule="auto"/>
    </w:pPr>
    <w:rPr>
      <w:smallCaps/>
      <w:sz w:val="20"/>
      <w:szCs w:val="20"/>
    </w:rPr>
  </w:style>
  <w:style w:type="paragraph" w:styleId="968" w:customStyle="1">
    <w:name w:val="目录 91"/>
    <w:basedOn w:val="710"/>
    <w:next w:val="710"/>
    <w:uiPriority w:val="0"/>
    <w:qFormat/>
    <w:pPr>
      <w:ind w:left="1680" w:firstLine="420"/>
      <w:jc w:val="left"/>
      <w:spacing w:line="288" w:lineRule="auto"/>
    </w:pPr>
    <w:rPr>
      <w:sz w:val="18"/>
      <w:szCs w:val="18"/>
    </w:rPr>
  </w:style>
  <w:style w:type="paragraph" w:styleId="969" w:customStyle="1">
    <w:name w:val="正文文本 21"/>
    <w:basedOn w:val="710"/>
    <w:link w:val="970"/>
    <w:uiPriority w:val="0"/>
    <w:qFormat/>
    <w:pPr>
      <w:ind w:firstLine="420"/>
      <w:spacing w:after="20" w:line="720" w:lineRule="auto"/>
    </w:pPr>
    <w:rPr>
      <w:sz w:val="30"/>
    </w:rPr>
  </w:style>
  <w:style w:type="character" w:styleId="970" w:customStyle="1">
    <w:name w:val="正文文本 2 Char"/>
    <w:link w:val="969"/>
    <w:uiPriority w:val="0"/>
    <w:qFormat/>
    <w:rPr>
      <w:sz w:val="30"/>
      <w:szCs w:val="24"/>
    </w:rPr>
  </w:style>
  <w:style w:type="paragraph" w:styleId="971" w:customStyle="1">
    <w:name w:val="列表 41"/>
    <w:basedOn w:val="710"/>
    <w:uiPriority w:val="0"/>
    <w:qFormat/>
    <w:pPr>
      <w:ind w:left="1680" w:hanging="420"/>
    </w:pPr>
    <w:rPr>
      <w:rFonts w:hAnsi="宋体"/>
      <w:color w:val="000000"/>
      <w:spacing w:val="-8"/>
      <w:szCs w:val="20"/>
    </w:rPr>
  </w:style>
  <w:style w:type="paragraph" w:styleId="972" w:customStyle="1">
    <w:name w:val="列表接续 21"/>
    <w:basedOn w:val="710"/>
    <w:uiPriority w:val="0"/>
    <w:qFormat/>
    <w:pPr>
      <w:ind w:left="840" w:firstLine="448"/>
      <w:spacing w:after="120"/>
    </w:pPr>
    <w:rPr>
      <w:rFonts w:hAnsi="宋体"/>
      <w:color w:val="000000"/>
      <w:spacing w:val="-8"/>
      <w:szCs w:val="20"/>
    </w:rPr>
  </w:style>
  <w:style w:type="paragraph" w:styleId="973" w:customStyle="1">
    <w:name w:val="信息标题1"/>
    <w:basedOn w:val="930"/>
    <w:uiPriority w:val="0"/>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974" w:customStyle="1">
    <w:name w:val="HTML 预设格式1"/>
    <w:basedOn w:val="710"/>
    <w:link w:val="975"/>
    <w:uiPriority w:val="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5" w:customStyle="1">
    <w:name w:val="HTML 预设格式 Char"/>
    <w:link w:val="974"/>
    <w:uiPriority w:val="0"/>
    <w:rPr>
      <w:rFonts w:ascii="黑体" w:hAnsi="Courier New" w:eastAsia="黑体"/>
    </w:rPr>
  </w:style>
  <w:style w:type="paragraph" w:styleId="976" w:customStyle="1">
    <w:name w:val="普通(网站)1"/>
    <w:basedOn w:val="710"/>
    <w:link w:val="977"/>
    <w:uiPriority w:val="0"/>
    <w:qFormat/>
    <w:pPr>
      <w:ind w:firstLine="420"/>
      <w:jc w:val="left"/>
      <w:spacing w:before="100" w:beforeAutospacing="1" w:after="100" w:afterAutospacing="1" w:line="288" w:lineRule="auto"/>
      <w:widowControl/>
    </w:pPr>
    <w:rPr>
      <w:rFonts w:ascii="宋体" w:hAnsi="宋体"/>
      <w:sz w:val="24"/>
    </w:rPr>
  </w:style>
  <w:style w:type="character" w:styleId="977" w:customStyle="1">
    <w:name w:val="普通(网站) Char"/>
    <w:link w:val="976"/>
    <w:uiPriority w:val="0"/>
    <w:qFormat/>
    <w:rPr>
      <w:rFonts w:ascii="宋体" w:hAnsi="宋体"/>
      <w:sz w:val="24"/>
      <w:szCs w:val="24"/>
    </w:rPr>
  </w:style>
  <w:style w:type="paragraph" w:styleId="978" w:customStyle="1">
    <w:name w:val="列表接续 31"/>
    <w:basedOn w:val="710"/>
    <w:uiPriority w:val="0"/>
    <w:qFormat/>
    <w:pPr>
      <w:ind w:left="1260" w:firstLine="448"/>
      <w:spacing w:after="120"/>
    </w:pPr>
    <w:rPr>
      <w:rFonts w:hAnsi="宋体"/>
      <w:color w:val="000000"/>
      <w:spacing w:val="-8"/>
      <w:szCs w:val="20"/>
    </w:rPr>
  </w:style>
  <w:style w:type="paragraph" w:styleId="979" w:customStyle="1">
    <w:name w:val="索引 11"/>
    <w:basedOn w:val="710"/>
    <w:next w:val="710"/>
    <w:uiPriority w:val="0"/>
    <w:rPr>
      <w:szCs w:val="20"/>
    </w:rPr>
  </w:style>
  <w:style w:type="paragraph" w:styleId="980" w:customStyle="1">
    <w:name w:val="索引 21"/>
    <w:basedOn w:val="710"/>
    <w:next w:val="710"/>
    <w:uiPriority w:val="0"/>
    <w:qFormat/>
    <w:pPr>
      <w:ind w:left="200"/>
    </w:pPr>
    <w:rPr>
      <w:szCs w:val="20"/>
    </w:rPr>
  </w:style>
  <w:style w:type="paragraph" w:styleId="981" w:customStyle="1">
    <w:name w:val="标题1"/>
    <w:basedOn w:val="710"/>
    <w:link w:val="982"/>
    <w:uiPriority w:val="0"/>
    <w:qFormat/>
    <w:pPr>
      <w:ind w:firstLine="420"/>
      <w:jc w:val="center"/>
      <w:spacing w:before="240" w:after="60" w:line="288" w:lineRule="auto"/>
      <w:outlineLvl w:val="0"/>
    </w:pPr>
    <w:rPr>
      <w:rFonts w:ascii="Arial" w:hAnsi="Arial"/>
      <w:b/>
      <w:bCs/>
      <w:sz w:val="32"/>
      <w:szCs w:val="32"/>
    </w:rPr>
  </w:style>
  <w:style w:type="character" w:styleId="982" w:customStyle="1">
    <w:name w:val="标题 Char"/>
    <w:link w:val="981"/>
    <w:uiPriority w:val="0"/>
    <w:qFormat/>
    <w:rPr>
      <w:rFonts w:ascii="Arial" w:hAnsi="Arial" w:cs="Arial"/>
      <w:b/>
      <w:bCs/>
      <w:sz w:val="32"/>
      <w:szCs w:val="32"/>
    </w:rPr>
  </w:style>
  <w:style w:type="paragraph" w:styleId="983" w:customStyle="1">
    <w:name w:val="批注主题1"/>
    <w:basedOn w:val="922"/>
    <w:next w:val="922"/>
    <w:link w:val="984"/>
    <w:uiPriority w:val="0"/>
    <w:rPr>
      <w:b/>
      <w:bCs/>
    </w:rPr>
  </w:style>
  <w:style w:type="character" w:styleId="984" w:customStyle="1">
    <w:name w:val="批注主题 Char"/>
    <w:link w:val="983"/>
    <w:uiPriority w:val="0"/>
    <w:qFormat/>
    <w:rPr>
      <w:b/>
      <w:bCs/>
      <w:sz w:val="21"/>
      <w:szCs w:val="24"/>
    </w:rPr>
  </w:style>
  <w:style w:type="paragraph" w:styleId="985" w:customStyle="1">
    <w:name w:val="正文首行缩进1"/>
    <w:basedOn w:val="930"/>
    <w:link w:val="986"/>
    <w:uiPriority w:val="0"/>
    <w:pPr>
      <w:ind w:firstLine="420"/>
      <w:spacing w:after="120"/>
    </w:pPr>
    <w:rPr>
      <w:color w:val="000000"/>
      <w:spacing w:val="-8"/>
      <w:sz w:val="21"/>
    </w:rPr>
  </w:style>
  <w:style w:type="character" w:styleId="986" w:customStyle="1">
    <w:name w:val="正文首行缩进 Char"/>
    <w:link w:val="985"/>
    <w:uiPriority w:val="0"/>
    <w:rPr>
      <w:rFonts w:ascii="仿宋_GB2312" w:eastAsia="仿宋_GB2312"/>
      <w:color w:val="000000"/>
      <w:spacing w:val="-8"/>
      <w:sz w:val="21"/>
      <w:lang w:bidi="ar-SA"/>
    </w:rPr>
  </w:style>
  <w:style w:type="paragraph" w:styleId="987" w:customStyle="1">
    <w:name w:val="正文首行缩进 21"/>
    <w:basedOn w:val="931"/>
    <w:next w:val="710"/>
    <w:uiPriority w:val="0"/>
    <w:qFormat/>
    <w:pPr>
      <w:ind w:left="0" w:firstLine="210"/>
      <w:spacing w:after="120" w:line="240" w:lineRule="auto"/>
      <w:widowControl w:val="off"/>
    </w:pPr>
    <w:rPr>
      <w:rFonts w:hAnsi="宋体"/>
      <w:color w:val="000000"/>
      <w:spacing w:val="-8"/>
      <w:sz w:val="21"/>
    </w:rPr>
  </w:style>
  <w:style w:type="table" w:styleId="988" w:customStyle="1">
    <w:name w:val="网格型1"/>
    <w:basedOn w:val="903"/>
    <w:uiPriority w:val="0"/>
    <w:qFormat/>
    <w:tblPr/>
  </w:style>
  <w:style w:type="character" w:styleId="989" w:customStyle="1">
    <w:name w:val="要点1"/>
    <w:link w:val="710"/>
    <w:uiPriority w:val="0"/>
    <w:qFormat/>
    <w:rPr>
      <w:b/>
      <w:bCs/>
    </w:rPr>
  </w:style>
  <w:style w:type="character" w:styleId="990" w:customStyle="1">
    <w:name w:val="页码1"/>
    <w:link w:val="710"/>
    <w:uiPriority w:val="0"/>
    <w:qFormat/>
  </w:style>
  <w:style w:type="character" w:styleId="991" w:customStyle="1">
    <w:name w:val="已访问的超链接1"/>
    <w:link w:val="710"/>
    <w:uiPriority w:val="0"/>
    <w:qFormat/>
    <w:rPr>
      <w:color w:val="000000"/>
      <w:u w:val="none"/>
    </w:rPr>
  </w:style>
  <w:style w:type="character" w:styleId="992" w:customStyle="1">
    <w:name w:val="强调1"/>
    <w:link w:val="710"/>
    <w:uiPriority w:val="0"/>
    <w:qFormat/>
    <w:rPr>
      <w:i/>
    </w:rPr>
  </w:style>
  <w:style w:type="character" w:styleId="993" w:customStyle="1">
    <w:name w:val="HTML 定义1"/>
    <w:basedOn w:val="902"/>
    <w:link w:val="710"/>
    <w:uiPriority w:val="99"/>
    <w:unhideWhenUsed/>
  </w:style>
  <w:style w:type="character" w:styleId="994" w:customStyle="1">
    <w:name w:val="HTML 打字机1"/>
    <w:link w:val="710"/>
    <w:uiPriority w:val="0"/>
    <w:rPr>
      <w:rFonts w:ascii="宋体" w:hAnsi="宋体" w:eastAsia="宋体" w:cs="宋体"/>
      <w:sz w:val="24"/>
      <w:szCs w:val="24"/>
    </w:rPr>
  </w:style>
  <w:style w:type="character" w:styleId="995" w:customStyle="1">
    <w:name w:val="HTML 变量1"/>
    <w:basedOn w:val="902"/>
    <w:link w:val="710"/>
    <w:uiPriority w:val="99"/>
    <w:unhideWhenUsed/>
    <w:qFormat/>
  </w:style>
  <w:style w:type="character" w:styleId="996" w:customStyle="1">
    <w:name w:val="超链接1"/>
    <w:basedOn w:val="902"/>
    <w:link w:val="710"/>
    <w:uiPriority w:val="0"/>
    <w:qFormat/>
    <w:rPr>
      <w:color w:val="0033cc"/>
      <w:u w:val="single"/>
    </w:rPr>
  </w:style>
  <w:style w:type="character" w:styleId="997" w:customStyle="1">
    <w:name w:val="HTML 代码1"/>
    <w:link w:val="710"/>
    <w:uiPriority w:val="99"/>
    <w:unhideWhenUsed/>
    <w:rPr>
      <w:rFonts w:ascii="Courier New" w:hAnsi="Courier New"/>
      <w:sz w:val="20"/>
    </w:rPr>
  </w:style>
  <w:style w:type="character" w:styleId="998" w:customStyle="1">
    <w:name w:val="批注引用1"/>
    <w:link w:val="710"/>
    <w:uiPriority w:val="0"/>
    <w:qFormat/>
    <w:rPr>
      <w:sz w:val="21"/>
      <w:szCs w:val="21"/>
    </w:rPr>
  </w:style>
  <w:style w:type="character" w:styleId="999" w:customStyle="1">
    <w:name w:val="HTML 引文1"/>
    <w:basedOn w:val="902"/>
    <w:link w:val="710"/>
    <w:uiPriority w:val="99"/>
    <w:unhideWhenUsed/>
  </w:style>
  <w:style w:type="character" w:styleId="1000" w:customStyle="1">
    <w:name w:val="脚注引用1"/>
    <w:link w:val="710"/>
    <w:uiPriority w:val="0"/>
    <w:qFormat/>
    <w:rPr>
      <w:rFonts w:ascii="宋体" w:hAnsi="宋体" w:eastAsia="宋体"/>
      <w:vertAlign w:val="superscript"/>
    </w:rPr>
  </w:style>
  <w:style w:type="character" w:styleId="1001" w:customStyle="1">
    <w:name w:val="HTML 键盘1"/>
    <w:basedOn w:val="902"/>
    <w:link w:val="710"/>
    <w:uiPriority w:val="99"/>
    <w:unhideWhenUsed/>
    <w:qFormat/>
    <w:rPr>
      <w:rFonts w:hint="eastAsia" w:ascii="Arial" w:hAnsi="Arial" w:cs="Arial"/>
      <w:sz w:val="20"/>
    </w:rPr>
  </w:style>
  <w:style w:type="character" w:styleId="1002" w:customStyle="1">
    <w:name w:val="HTML 样本1"/>
    <w:basedOn w:val="902"/>
    <w:link w:val="710"/>
    <w:uiPriority w:val="99"/>
    <w:unhideWhenUsed/>
    <w:qFormat/>
    <w:rPr>
      <w:rFonts w:ascii="Arial" w:hAnsi="Arial" w:cs="Arial"/>
    </w:rPr>
  </w:style>
  <w:style w:type="paragraph" w:styleId="1003" w:customStyle="1">
    <w:name w:val="样式 表格正文 + 两端对齐"/>
    <w:basedOn w:val="710"/>
    <w:next w:val="1004"/>
    <w:uiPriority w:val="99"/>
    <w:qFormat/>
    <w:pPr>
      <w:spacing w:line="300" w:lineRule="auto"/>
    </w:pPr>
  </w:style>
  <w:style w:type="paragraph" w:styleId="1004" w:customStyle="1">
    <w:name w:val="正文1"/>
    <w:basedOn w:val="920"/>
    <w:next w:val="710"/>
    <w:uiPriority w:val="0"/>
    <w:qFormat/>
    <w:pPr>
      <w:contextualSpacing/>
      <w:ind w:firstLine="200"/>
      <w:spacing w:before="120" w:after="120" w:line="180" w:lineRule="auto"/>
    </w:pPr>
    <w:rPr>
      <w:rFonts w:eastAsia="Adobe 仿宋 Std R"/>
      <w:sz w:val="21"/>
      <w:szCs w:val="21"/>
      <w:lang w:val="en-US" w:eastAsia="zh-CN" w:bidi="ar-SA"/>
    </w:rPr>
  </w:style>
  <w:style w:type="paragraph" w:styleId="1005" w:customStyle="1">
    <w:name w:val="_Style 1"/>
    <w:basedOn w:val="710"/>
    <w:uiPriority w:val="0"/>
    <w:qFormat/>
    <w:pPr>
      <w:ind w:firstLine="420"/>
      <w:spacing w:line="360" w:lineRule="auto"/>
    </w:pPr>
    <w:rPr>
      <w:rFonts w:ascii="Calibri" w:hAnsi="Calibri"/>
      <w:sz w:val="24"/>
      <w:szCs w:val="22"/>
    </w:rPr>
  </w:style>
  <w:style w:type="paragraph" w:styleId="100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07" w:customStyle="1">
    <w:name w:val="Char Char Char Char Char Char Char Char Char Char"/>
    <w:link w:val="710"/>
    <w:uiPriority w:val="0"/>
    <w:qFormat/>
    <w:rPr>
      <w:rFonts w:eastAsia="宋体"/>
      <w:b/>
      <w:bCs/>
      <w:sz w:val="32"/>
      <w:szCs w:val="44"/>
      <w:lang w:val="en-US" w:eastAsia="zh-CN" w:bidi="ar-SA"/>
    </w:rPr>
  </w:style>
  <w:style w:type="character" w:styleId="1008" w:customStyle="1">
    <w:name w:val=" Char Char28"/>
    <w:link w:val="710"/>
    <w:uiPriority w:val="0"/>
    <w:qFormat/>
    <w:rPr>
      <w:rFonts w:ascii="黑体" w:eastAsia="黑体"/>
      <w:b/>
      <w:bCs/>
      <w:sz w:val="32"/>
      <w:szCs w:val="32"/>
    </w:rPr>
  </w:style>
  <w:style w:type="character" w:styleId="1009" w:customStyle="1">
    <w:name w:val="普通正文 Char Char"/>
    <w:link w:val="1010"/>
    <w:uiPriority w:val="0"/>
    <w:qFormat/>
    <w:rPr>
      <w:rFonts w:ascii="Arial" w:hAnsi="Arial"/>
      <w:sz w:val="24"/>
      <w:szCs w:val="24"/>
      <w:lang w:bidi="ar-SA"/>
    </w:rPr>
  </w:style>
  <w:style w:type="paragraph" w:styleId="1010" w:customStyle="1">
    <w:name w:val="普通正文"/>
    <w:basedOn w:val="710"/>
    <w:link w:val="1009"/>
    <w:uiPriority w:val="0"/>
    <w:qFormat/>
    <w:pPr>
      <w:ind w:firstLine="480"/>
      <w:spacing w:before="120" w:after="120" w:line="500" w:lineRule="exact"/>
    </w:pPr>
    <w:rPr>
      <w:rFonts w:ascii="Arial" w:hAnsi="Arial"/>
      <w:sz w:val="24"/>
    </w:rPr>
  </w:style>
  <w:style w:type="character" w:styleId="1011" w:customStyle="1">
    <w:name w:val="Char Char4"/>
    <w:link w:val="710"/>
    <w:uiPriority w:val="0"/>
    <w:rPr>
      <w:sz w:val="18"/>
      <w:szCs w:val="18"/>
    </w:rPr>
  </w:style>
  <w:style w:type="character" w:styleId="1012" w:customStyle="1">
    <w:name w:val="Char Char Char Char Char Char Char Char Char Char Char Char Char"/>
    <w:link w:val="710"/>
    <w:uiPriority w:val="0"/>
    <w:rPr>
      <w:rFonts w:eastAsia="宋体"/>
      <w:b/>
      <w:bCs/>
      <w:sz w:val="32"/>
      <w:szCs w:val="44"/>
      <w:lang w:val="en-US" w:eastAsia="zh-CN" w:bidi="ar-SA"/>
    </w:rPr>
  </w:style>
  <w:style w:type="character" w:styleId="1013" w:customStyle="1">
    <w:name w:val="正文 + 宋体 Char"/>
    <w:link w:val="1014"/>
    <w:uiPriority w:val="0"/>
    <w:rPr>
      <w:rFonts w:ascii="新宋体" w:hAnsi="宋体" w:eastAsia="黑体"/>
      <w:b/>
      <w:bCs/>
      <w:sz w:val="28"/>
      <w:szCs w:val="28"/>
      <w:lang w:bidi="ar-SA"/>
    </w:rPr>
  </w:style>
  <w:style w:type="paragraph" w:styleId="1014" w:customStyle="1">
    <w:name w:val="正文 + 宋体"/>
    <w:basedOn w:val="893"/>
    <w:link w:val="1013"/>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015" w:customStyle="1">
    <w:name w:val=" Char Char24"/>
    <w:link w:val="710"/>
    <w:uiPriority w:val="0"/>
    <w:qFormat/>
    <w:rPr>
      <w:rFonts w:ascii="Arial" w:hAnsi="Arial" w:eastAsia="黑体"/>
      <w:sz w:val="24"/>
      <w:szCs w:val="24"/>
    </w:rPr>
  </w:style>
  <w:style w:type="character" w:styleId="1016" w:customStyle="1">
    <w:name w:val="style331"/>
    <w:link w:val="710"/>
    <w:uiPriority w:val="0"/>
    <w:qFormat/>
    <w:rPr>
      <w:color w:val="9900ff"/>
      <w:sz w:val="18"/>
      <w:szCs w:val="18"/>
    </w:rPr>
  </w:style>
  <w:style w:type="character" w:styleId="1017" w:customStyle="1">
    <w:name w:val=" Char Char23"/>
    <w:link w:val="710"/>
    <w:uiPriority w:val="0"/>
    <w:qFormat/>
    <w:rPr>
      <w:rFonts w:ascii="Arial" w:hAnsi="Arial" w:eastAsia="黑体"/>
      <w:sz w:val="21"/>
      <w:szCs w:val="24"/>
    </w:rPr>
  </w:style>
  <w:style w:type="character" w:styleId="1018" w:customStyle="1">
    <w:name w:val="+正文 Char3"/>
    <w:link w:val="1019"/>
    <w:uiPriority w:val="0"/>
    <w:rPr>
      <w:sz w:val="24"/>
      <w:szCs w:val="28"/>
      <w:lang w:bidi="ar-SA"/>
    </w:rPr>
  </w:style>
  <w:style w:type="paragraph" w:styleId="1019" w:customStyle="1">
    <w:name w:val="+正文"/>
    <w:basedOn w:val="710"/>
    <w:link w:val="1018"/>
    <w:uiPriority w:val="0"/>
    <w:qFormat/>
    <w:pPr>
      <w:ind w:firstLine="200"/>
      <w:spacing w:line="360" w:lineRule="auto"/>
    </w:pPr>
    <w:rPr>
      <w:sz w:val="24"/>
      <w:szCs w:val="28"/>
    </w:rPr>
  </w:style>
  <w:style w:type="character" w:styleId="1020" w:customStyle="1">
    <w:name w:val="Char Char9"/>
    <w:link w:val="710"/>
    <w:uiPriority w:val="0"/>
    <w:rPr>
      <w:rFonts w:ascii="Cambria" w:hAnsi="Cambria" w:eastAsia="宋体" w:cs="Times New Roman"/>
      <w:b/>
      <w:bCs/>
      <w:sz w:val="32"/>
      <w:szCs w:val="32"/>
    </w:rPr>
  </w:style>
  <w:style w:type="character" w:styleId="1021" w:customStyle="1">
    <w:name w:val="文档结构图 Char Char"/>
    <w:link w:val="710"/>
    <w:uiPriority w:val="0"/>
    <w:qFormat/>
    <w:rPr>
      <w:rFonts w:ascii="宋体"/>
      <w:sz w:val="18"/>
      <w:szCs w:val="18"/>
    </w:rPr>
  </w:style>
  <w:style w:type="character" w:styleId="1022" w:customStyle="1">
    <w:name w:val="表格正文 Char Char"/>
    <w:link w:val="1023"/>
    <w:uiPriority w:val="0"/>
    <w:qFormat/>
    <w:rPr>
      <w:sz w:val="21"/>
      <w:szCs w:val="24"/>
    </w:rPr>
  </w:style>
  <w:style w:type="paragraph" w:styleId="1023" w:customStyle="1">
    <w:name w:val="表格正文"/>
    <w:basedOn w:val="710"/>
    <w:link w:val="1022"/>
    <w:uiPriority w:val="0"/>
    <w:qFormat/>
  </w:style>
  <w:style w:type="character" w:styleId="1024" w:customStyle="1">
    <w:name w:val="Char Char14"/>
    <w:link w:val="710"/>
    <w:uiPriority w:val="0"/>
    <w:rPr>
      <w:rFonts w:ascii="楷体_GB2312" w:hAnsi="Arial" w:eastAsia="楷体_GB2312" w:cs="Times New Roman"/>
      <w:sz w:val="28"/>
      <w:szCs w:val="24"/>
    </w:rPr>
  </w:style>
  <w:style w:type="character" w:styleId="1025" w:customStyle="1">
    <w:name w:val="l15 Char Char"/>
    <w:link w:val="1026"/>
    <w:uiPriority w:val="0"/>
    <w:qFormat/>
    <w:rPr>
      <w:color w:val="000000"/>
      <w:sz w:val="23"/>
      <w:szCs w:val="23"/>
    </w:rPr>
  </w:style>
  <w:style w:type="paragraph" w:styleId="1026" w:customStyle="1">
    <w:name w:val="l15"/>
    <w:basedOn w:val="710"/>
    <w:link w:val="1025"/>
    <w:uiPriority w:val="0"/>
    <w:qFormat/>
    <w:pPr>
      <w:jc w:val="left"/>
      <w:spacing w:before="100" w:beforeAutospacing="1" w:after="100" w:afterAutospacing="1" w:line="300" w:lineRule="atLeast"/>
      <w:widowControl/>
    </w:pPr>
    <w:rPr>
      <w:color w:val="000000"/>
      <w:sz w:val="23"/>
      <w:szCs w:val="23"/>
    </w:rPr>
  </w:style>
  <w:style w:type="character" w:styleId="1027" w:customStyle="1">
    <w:name w:val=" Char Char26"/>
    <w:link w:val="710"/>
    <w:uiPriority w:val="0"/>
    <w:qFormat/>
    <w:rPr>
      <w:rFonts w:ascii="Arial" w:hAnsi="Arial" w:eastAsia="黑体"/>
      <w:b/>
      <w:sz w:val="24"/>
      <w:szCs w:val="24"/>
    </w:rPr>
  </w:style>
  <w:style w:type="character" w:styleId="1028" w:customStyle="1">
    <w:name w:val="普通(Web)1 Char"/>
    <w:link w:val="710"/>
    <w:uiPriority w:val="0"/>
    <w:qFormat/>
    <w:rPr>
      <w:rFonts w:ascii="宋体" w:hAnsi="宋体"/>
      <w:sz w:val="24"/>
      <w:szCs w:val="24"/>
    </w:rPr>
  </w:style>
  <w:style w:type="character" w:styleId="1029" w:customStyle="1">
    <w:name w:val="一般文字 字元 Char"/>
    <w:link w:val="710"/>
    <w:uiPriority w:val="0"/>
    <w:qFormat/>
    <w:rPr>
      <w:rFonts w:ascii="宋体" w:hAnsi="Courier New" w:eastAsia="宋体"/>
      <w:sz w:val="21"/>
      <w:lang w:val="en-US" w:eastAsia="zh-CN" w:bidi="ar-SA"/>
    </w:rPr>
  </w:style>
  <w:style w:type="character" w:styleId="1030" w:customStyle="1">
    <w:name w:val="Char Char7"/>
    <w:link w:val="710"/>
    <w:uiPriority w:val="0"/>
    <w:qFormat/>
    <w:rPr>
      <w:rFonts w:ascii="Times New Roman" w:hAnsi="Times New Roman" w:eastAsia="宋体" w:cs="Times New Roman"/>
      <w:b/>
      <w:bCs/>
      <w:szCs w:val="21"/>
    </w:rPr>
  </w:style>
  <w:style w:type="character" w:styleId="1031" w:customStyle="1">
    <w:name w:val="font"/>
    <w:link w:val="710"/>
    <w:uiPriority w:val="0"/>
    <w:qFormat/>
  </w:style>
  <w:style w:type="character" w:styleId="1032" w:customStyle="1">
    <w:name w:val="tw4winTerm"/>
    <w:link w:val="710"/>
    <w:uiPriority w:val="0"/>
    <w:qFormat/>
    <w:rPr>
      <w:color w:val="0000ff"/>
    </w:rPr>
  </w:style>
  <w:style w:type="character" w:styleId="1033" w:customStyle="1">
    <w:name w:val=" Char Char17"/>
    <w:link w:val="710"/>
    <w:uiPriority w:val="0"/>
    <w:qFormat/>
    <w:rPr>
      <w:rFonts w:ascii="黑体" w:hAnsi="Courier New" w:eastAsia="黑体"/>
    </w:rPr>
  </w:style>
  <w:style w:type="character" w:styleId="1034" w:customStyle="1">
    <w:name w:val="text_list1"/>
    <w:link w:val="710"/>
    <w:uiPriority w:val="0"/>
    <w:qFormat/>
    <w:rPr>
      <w:rFonts w:ascii="Arial" w:hAnsi="Arial" w:cs="Arial"/>
      <w:color w:val="000000"/>
      <w:spacing w:val="272"/>
      <w:sz w:val="16"/>
      <w:szCs w:val="16"/>
    </w:rPr>
  </w:style>
  <w:style w:type="character" w:styleId="1035" w:customStyle="1">
    <w:name w:val="Para head"/>
    <w:link w:val="710"/>
    <w:uiPriority w:val="0"/>
    <w:qFormat/>
    <w:rPr>
      <w:rFonts w:ascii="Arial" w:hAnsi="Arial" w:eastAsia="Times New Roman"/>
      <w:sz w:val="20"/>
    </w:rPr>
  </w:style>
  <w:style w:type="character" w:styleId="1036" w:customStyle="1">
    <w:name w:val=" Char Char Char"/>
    <w:link w:val="1037"/>
    <w:uiPriority w:val="0"/>
    <w:qFormat/>
    <w:rPr>
      <w:sz w:val="24"/>
      <w:szCs w:val="24"/>
    </w:rPr>
  </w:style>
  <w:style w:type="paragraph" w:styleId="1037" w:customStyle="1">
    <w:name w:val=" Char"/>
    <w:basedOn w:val="710"/>
    <w:link w:val="1036"/>
    <w:uiPriority w:val="0"/>
    <w:qFormat/>
    <w:pPr>
      <w:numPr>
        <w:ilvl w:val="0"/>
        <w:numId w:val="4"/>
      </w:numPr>
      <w:tabs>
        <w:tab w:val="left" w:pos="1080" w:leader="none"/>
      </w:tabs>
    </w:pPr>
    <w:rPr>
      <w:sz w:val="24"/>
    </w:rPr>
  </w:style>
  <w:style w:type="character" w:styleId="1038" w:customStyle="1">
    <w:name w:val="样式 三号 下划线"/>
    <w:link w:val="710"/>
    <w:uiPriority w:val="0"/>
    <w:qFormat/>
    <w:rPr>
      <w:sz w:val="28"/>
      <w:u w:val="single"/>
    </w:rPr>
  </w:style>
  <w:style w:type="character" w:styleId="1039" w:customStyle="1">
    <w:name w:val="apple-converted-space"/>
    <w:link w:val="710"/>
    <w:uiPriority w:val="0"/>
  </w:style>
  <w:style w:type="character" w:styleId="1040" w:customStyle="1">
    <w:name w:val="itm1"/>
    <w:link w:val="710"/>
    <w:uiPriority w:val="0"/>
    <w:qFormat/>
    <w:rPr>
      <w:rFonts w:hint="eastAsia" w:ascii="宋体" w:hAnsi="宋体" w:eastAsia="宋体"/>
      <w:sz w:val="21"/>
      <w:szCs w:val="21"/>
    </w:rPr>
  </w:style>
  <w:style w:type="character" w:styleId="1041" w:customStyle="1">
    <w:name w:val="Char Char15"/>
    <w:link w:val="710"/>
    <w:uiPriority w:val="0"/>
    <w:qFormat/>
    <w:rPr>
      <w:rFonts w:ascii="仿宋_GB2312" w:hAnsi="Times New Roman" w:eastAsia="宋体" w:cs="Times New Roman"/>
      <w:sz w:val="24"/>
      <w:szCs w:val="24"/>
      <w:shd w:val="clear" w:color="auto" w:fill="000080"/>
    </w:rPr>
  </w:style>
  <w:style w:type="character" w:styleId="1042" w:customStyle="1">
    <w:name w:val=" Char Char25"/>
    <w:link w:val="710"/>
    <w:uiPriority w:val="0"/>
    <w:qFormat/>
    <w:rPr>
      <w:b/>
      <w:sz w:val="24"/>
      <w:szCs w:val="24"/>
    </w:rPr>
  </w:style>
  <w:style w:type="character" w:styleId="1043" w:customStyle="1">
    <w:name w:val="正文文本 Char Char"/>
    <w:link w:val="710"/>
    <w:uiPriority w:val="0"/>
    <w:rPr>
      <w:rFonts w:ascii="楷体_GB2312" w:hAnsi="Arial" w:eastAsia="楷体_GB2312" w:cs="Times New Roman"/>
      <w:sz w:val="28"/>
      <w:szCs w:val="28"/>
    </w:rPr>
  </w:style>
  <w:style w:type="character" w:styleId="1044" w:customStyle="1">
    <w:name w:val="apple-style-span"/>
    <w:link w:val="710"/>
    <w:uiPriority w:val="0"/>
    <w:qFormat/>
  </w:style>
  <w:style w:type="character" w:styleId="1045" w:customStyle="1">
    <w:name w:val="表格 Char Char"/>
    <w:link w:val="1046"/>
    <w:uiPriority w:val="0"/>
    <w:rPr>
      <w:rFonts w:eastAsia="宋体"/>
      <w:sz w:val="21"/>
      <w:szCs w:val="21"/>
      <w:lang w:val="en-US" w:eastAsia="zh-CN" w:bidi="ar-SA"/>
    </w:rPr>
  </w:style>
  <w:style w:type="paragraph" w:styleId="1046" w:customStyle="1">
    <w:name w:val="表格"/>
    <w:basedOn w:val="710"/>
    <w:link w:val="1045"/>
    <w:uiPriority w:val="0"/>
    <w:qFormat/>
    <w:pPr>
      <w:jc w:val="center"/>
    </w:pPr>
    <w:rPr>
      <w:szCs w:val="21"/>
    </w:rPr>
  </w:style>
  <w:style w:type="character" w:styleId="1047" w:customStyle="1">
    <w:name w:val="Char Char13"/>
    <w:link w:val="710"/>
    <w:uiPriority w:val="0"/>
    <w:rPr>
      <w:rFonts w:ascii="仿宋_GB2312" w:hAnsi="Times New Roman" w:eastAsia="宋体" w:cs="Times New Roman"/>
      <w:sz w:val="18"/>
      <w:szCs w:val="18"/>
    </w:rPr>
  </w:style>
  <w:style w:type="character" w:styleId="1048" w:customStyle="1">
    <w:name w:val="b"/>
    <w:link w:val="710"/>
    <w:uiPriority w:val="0"/>
    <w:qFormat/>
  </w:style>
  <w:style w:type="character" w:styleId="1049" w:customStyle="1">
    <w:name w:val=" Char Char19"/>
    <w:link w:val="710"/>
    <w:uiPriority w:val="0"/>
    <w:qFormat/>
    <w:rPr>
      <w:rFonts w:ascii="Arial" w:hAnsi="Arial" w:cs="Arial"/>
      <w:b/>
      <w:bCs/>
      <w:sz w:val="32"/>
      <w:szCs w:val="32"/>
    </w:rPr>
  </w:style>
  <w:style w:type="character" w:styleId="1050" w:customStyle="1">
    <w:name w:val="Char Char8"/>
    <w:link w:val="710"/>
    <w:uiPriority w:val="0"/>
    <w:rPr>
      <w:rFonts w:ascii="Times New Roman" w:hAnsi="Times New Roman"/>
      <w:b/>
      <w:bCs/>
      <w:sz w:val="44"/>
      <w:szCs w:val="44"/>
    </w:rPr>
  </w:style>
  <w:style w:type="character" w:styleId="1051" w:customStyle="1">
    <w:name w:val="标题 311"/>
    <w:link w:val="710"/>
    <w:uiPriority w:val="0"/>
    <w:rPr>
      <w:rFonts w:hint="eastAsia" w:ascii="黑体" w:hAnsi="ˎ̥" w:eastAsia="黑体"/>
      <w:sz w:val="28"/>
    </w:rPr>
  </w:style>
  <w:style w:type="character" w:styleId="1052" w:customStyle="1">
    <w:name w:val="unnamed21"/>
    <w:link w:val="710"/>
    <w:uiPriority w:val="0"/>
    <w:qFormat/>
    <w:rPr>
      <w:b/>
      <w:bCs/>
      <w:color w:val="ff6600"/>
      <w:sz w:val="21"/>
      <w:szCs w:val="21"/>
      <w:u w:val="none"/>
    </w:rPr>
  </w:style>
  <w:style w:type="paragraph" w:styleId="1053" w:customStyle="1">
    <w:name w:val="表头"/>
    <w:basedOn w:val="710"/>
    <w:uiPriority w:val="0"/>
    <w:qFormat/>
    <w:pPr>
      <w:jc w:val="center"/>
      <w:spacing w:line="320" w:lineRule="atLeast"/>
    </w:pPr>
    <w:rPr>
      <w:rFonts w:eastAsia="黑体"/>
      <w:spacing w:val="-10"/>
      <w:szCs w:val="20"/>
    </w:rPr>
  </w:style>
  <w:style w:type="paragraph" w:styleId="1054" w:customStyle="1">
    <w:name w:val="p0"/>
    <w:basedOn w:val="710"/>
    <w:uiPriority w:val="0"/>
    <w:pPr>
      <w:widowControl/>
    </w:pPr>
    <w:rPr>
      <w:rFonts w:ascii="Calibri" w:hAnsi="Calibri" w:cs="宋体"/>
      <w:szCs w:val="21"/>
    </w:rPr>
  </w:style>
  <w:style w:type="paragraph" w:styleId="1055" w:customStyle="1">
    <w:name w:val="xl49"/>
    <w:basedOn w:val="710"/>
    <w:uiPriority w:val="0"/>
    <w:pPr>
      <w:jc w:val="center"/>
      <w:spacing w:before="100" w:beforeAutospacing="1" w:after="100" w:afterAutospacing="1"/>
      <w:widowControl/>
    </w:pPr>
    <w:rPr>
      <w:rFonts w:ascii="宋体" w:hAnsi="宋体"/>
      <w:b/>
      <w:bCs/>
      <w:color w:val="000000"/>
      <w:sz w:val="40"/>
      <w:szCs w:val="40"/>
    </w:rPr>
  </w:style>
  <w:style w:type="paragraph" w:styleId="1056" w:customStyle="1">
    <w:name w:val="样式 标题 1 + 加粗"/>
    <w:basedOn w:val="893"/>
    <w:uiPriority w:val="0"/>
    <w:qFormat/>
    <w:pPr>
      <w:numPr>
        <w:ilvl w:val="0"/>
        <w:numId w:val="0"/>
      </w:numPr>
      <w:spacing w:before="120" w:after="120" w:line="240" w:lineRule="auto"/>
      <w:widowControl/>
      <w:tabs>
        <w:tab w:val="clear" w:pos="1800" w:leader="none"/>
      </w:tabs>
    </w:pPr>
    <w:rPr>
      <w:rFonts w:ascii="新宋体" w:hAnsi="宋体"/>
      <w:sz w:val="28"/>
      <w:szCs w:val="28"/>
    </w:rPr>
  </w:style>
  <w:style w:type="paragraph" w:styleId="1057" w:customStyle="1">
    <w:name w:val="xl36"/>
    <w:basedOn w:val="710"/>
    <w:uiPriority w:val="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58" w:customStyle="1">
    <w:name w:val="标题2"/>
    <w:basedOn w:val="894"/>
    <w:next w:val="710"/>
    <w:uiPriority w:val="0"/>
    <w:pPr>
      <w:numPr>
        <w:ilvl w:val="1"/>
        <w:numId w:val="0"/>
      </w:numPr>
      <w:ind w:firstLine="448"/>
      <w:jc w:val="left"/>
      <w:spacing w:before="120" w:after="120" w:line="360" w:lineRule="auto"/>
    </w:pPr>
    <w:rPr>
      <w:b w:val="0"/>
      <w:bCs w:val="0"/>
      <w:color w:val="000000"/>
      <w:spacing w:val="-8"/>
      <w:sz w:val="24"/>
      <w:szCs w:val="20"/>
    </w:rPr>
  </w:style>
  <w:style w:type="paragraph" w:styleId="1059" w:customStyle="1">
    <w:name w:val="Char Char Char Char Char Char Char Char Char Char Char"/>
    <w:basedOn w:val="920"/>
    <w:uiPriority w:val="0"/>
    <w:pPr>
      <w:ind w:firstLine="420"/>
    </w:pPr>
    <w:rPr>
      <w:rFonts w:hAnsi="宋体"/>
      <w:color w:val="000000"/>
      <w:spacing w:val="-8"/>
      <w:szCs w:val="20"/>
      <w:shd w:val="clear" w:color="auto" w:fill="000080"/>
    </w:rPr>
  </w:style>
  <w:style w:type="paragraph" w:styleId="1060" w:customStyle="1">
    <w:name w:val="列表_名词"/>
    <w:basedOn w:val="1061"/>
    <w:uiPriority w:val="0"/>
    <w:pPr>
      <w:ind w:left="2745" w:hanging="420"/>
      <w:tabs>
        <w:tab w:val="left" w:pos="2745" w:leader="none"/>
      </w:tabs>
    </w:pPr>
  </w:style>
  <w:style w:type="paragraph" w:styleId="1061" w:customStyle="1">
    <w:name w:val="名词解释11"/>
    <w:basedOn w:val="1062"/>
    <w:uiPriority w:val="0"/>
    <w:pPr>
      <w:ind w:firstLine="0"/>
      <w:spacing w:after="0"/>
    </w:pPr>
  </w:style>
  <w:style w:type="paragraph" w:styleId="1062" w:customStyle="1">
    <w:name w:val="名词解释"/>
    <w:basedOn w:val="710"/>
    <w:uiPriority w:val="0"/>
    <w:pPr>
      <w:ind w:left="2325" w:hanging="2325"/>
      <w:spacing w:after="20" w:line="288" w:lineRule="auto"/>
    </w:pPr>
    <w:rPr>
      <w:szCs w:val="20"/>
    </w:rPr>
  </w:style>
  <w:style w:type="paragraph" w:styleId="1063" w:customStyle="1">
    <w:name w:val="菲页2"/>
    <w:basedOn w:val="895"/>
    <w:uiPriority w:val="0"/>
    <w:pPr>
      <w:ind w:left="720" w:hanging="720"/>
      <w:jc w:val="center"/>
      <w:spacing w:before="120" w:after="120" w:line="360" w:lineRule="auto"/>
      <w:widowControl/>
    </w:pPr>
    <w:rPr>
      <w:rFonts w:hAnsi="宋体"/>
      <w:b w:val="0"/>
      <w:bCs w:val="0"/>
      <w:sz w:val="44"/>
      <w:szCs w:val="20"/>
    </w:rPr>
  </w:style>
  <w:style w:type="paragraph" w:styleId="1064" w:customStyle="1">
    <w:name w:val="Char Char Char Char Char Char"/>
    <w:basedOn w:val="710"/>
    <w:uiPriority w:val="0"/>
    <w:pPr>
      <w:jc w:val="left"/>
      <w:spacing w:after="160" w:line="240" w:lineRule="exact"/>
      <w:widowControl/>
    </w:pPr>
    <w:rPr>
      <w:rFonts w:ascii="黑体" w:hAnsi="Verdana" w:eastAsia="黑体"/>
      <w:sz w:val="32"/>
      <w:szCs w:val="32"/>
    </w:rPr>
  </w:style>
  <w:style w:type="paragraph" w:styleId="1065" w:customStyle="1">
    <w:name w:val="Preformatted"/>
    <w:basedOn w:val="710"/>
    <w:uiPriority w:val="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66" w:customStyle="1">
    <w:name w:val="重点"/>
    <w:basedOn w:val="710"/>
    <w:uiPriority w:val="0"/>
    <w:pPr>
      <w:ind w:firstLine="420"/>
      <w:spacing w:after="20" w:line="288" w:lineRule="auto"/>
      <w:shd w:val="pct10" w:color="auto" w:fill="auto"/>
    </w:pPr>
    <w:rPr>
      <w:rFonts w:eastAsia="黑体"/>
      <w:b/>
    </w:rPr>
  </w:style>
  <w:style w:type="paragraph" w:styleId="1067" w:customStyle="1">
    <w:name w:val="font5"/>
    <w:basedOn w:val="710"/>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列出段落"/>
    <w:basedOn w:val="710"/>
    <w:uiPriority w:val="99"/>
    <w:qFormat/>
    <w:pPr>
      <w:ind w:firstLine="420"/>
    </w:pPr>
    <w:rPr>
      <w:rFonts w:ascii="Calibri" w:hAnsi="Calibri"/>
      <w:szCs w:val="22"/>
    </w:rPr>
  </w:style>
  <w:style w:type="paragraph" w:styleId="1069" w:customStyle="1">
    <w:name w:val="ÕýÎÄ"/>
    <w:uiPriority w:val="0"/>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70" w:customStyle="1">
    <w:name w:val="章标题"/>
    <w:next w:val="710"/>
    <w:uiPriority w:val="0"/>
    <w:qFormat/>
    <w:pPr>
      <w:numPr>
        <w:ilvl w:val="1"/>
        <w:numId w:val="5"/>
      </w:numPr>
      <w:jc w:val="both"/>
      <w:spacing w:before="156" w:after="156"/>
      <w:outlineLvl w:val="1"/>
    </w:pPr>
    <w:rPr>
      <w:rFonts w:hint="default" w:ascii="黑体" w:hAnsi="Times New Roman" w:eastAsia="黑体" w:cs="Times New Roman"/>
      <w:sz w:val="21"/>
      <w:lang w:val="en-US" w:eastAsia="zh-CN" w:bidi="ar-SA"/>
    </w:rPr>
  </w:style>
  <w:style w:type="paragraph" w:styleId="1071" w:customStyle="1">
    <w:name w:val="whs5"/>
    <w:basedOn w:val="710"/>
    <w:uiPriority w:val="0"/>
    <w:pPr>
      <w:ind w:left="115" w:right="130" w:firstLine="448"/>
      <w:widowControl/>
    </w:pPr>
    <w:rPr>
      <w:rFonts w:hAnsi="宋体"/>
      <w:color w:val="000000"/>
      <w:spacing w:val="-8"/>
      <w:sz w:val="18"/>
      <w:szCs w:val="18"/>
      <w:lang w:eastAsia="en-US"/>
    </w:rPr>
  </w:style>
  <w:style w:type="paragraph" w:styleId="1072" w:customStyle="1">
    <w:name w:val="样式一"/>
    <w:basedOn w:val="710"/>
    <w:uiPriority w:val="0"/>
    <w:pPr>
      <w:numPr>
        <w:ilvl w:val="2"/>
        <w:numId w:val="1"/>
      </w:numPr>
      <w:spacing w:before="100" w:after="100" w:line="360" w:lineRule="exact"/>
    </w:pPr>
    <w:rPr>
      <w:rFonts w:ascii="宋体" w:hAnsi="宋体" w:eastAsia="黑体"/>
      <w:sz w:val="24"/>
      <w:szCs w:val="20"/>
      <w:lang w:val="en-GB"/>
    </w:rPr>
  </w:style>
  <w:style w:type="paragraph" w:styleId="1073" w:customStyle="1">
    <w:name w:val="Char Char Char Char Char Char Char Char Char Char Char Char Char Char Char Char"/>
    <w:basedOn w:val="710"/>
    <w:uiPriority w:val="0"/>
    <w:pPr>
      <w:tabs>
        <w:tab w:val="left" w:pos="360" w:leader="none"/>
      </w:tabs>
    </w:pPr>
    <w:rPr>
      <w:sz w:val="24"/>
    </w:rPr>
  </w:style>
  <w:style w:type="paragraph" w:styleId="1074" w:customStyle="1">
    <w:name w:val="xl71"/>
    <w:basedOn w:val="710"/>
    <w:uiPriority w:val="0"/>
    <w:pPr>
      <w:jc w:val="center"/>
      <w:spacing w:before="100" w:beforeAutospacing="1" w:after="100" w:afterAutospacing="1"/>
      <w:widowControl/>
    </w:pPr>
    <w:rPr>
      <w:rFonts w:ascii="微软雅黑" w:hAnsi="微软雅黑" w:eastAsia="微软雅黑" w:cs="宋体"/>
      <w:sz w:val="13"/>
      <w:szCs w:val="13"/>
    </w:rPr>
  </w:style>
  <w:style w:type="paragraph" w:styleId="1075" w:customStyle="1">
    <w:name w:val="函数注释1"/>
    <w:basedOn w:val="710"/>
    <w:uiPriority w:val="0"/>
    <w:qFormat/>
    <w:pPr>
      <w:ind w:left="1678" w:right="210" w:hanging="1049"/>
      <w:jc w:val="left"/>
      <w:spacing w:after="20" w:line="320" w:lineRule="exact"/>
    </w:pPr>
    <w:rPr>
      <w:szCs w:val="20"/>
    </w:rPr>
  </w:style>
  <w:style w:type="paragraph" w:styleId="1076" w:customStyle="1">
    <w:name w:val="样式3"/>
    <w:basedOn w:val="941"/>
    <w:uiPriority w:val="0"/>
    <w:qFormat/>
    <w:pPr>
      <w:ind w:firstLine="448"/>
    </w:pPr>
    <w:rPr>
      <w:rFonts w:cs="Courier New"/>
      <w:color w:val="000000"/>
      <w:spacing w:val="-8"/>
    </w:rPr>
  </w:style>
  <w:style w:type="paragraph" w:styleId="1077"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xl64"/>
    <w:basedOn w:val="710"/>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79" w:customStyle="1">
    <w:name w:val="列出段落1"/>
    <w:basedOn w:val="710"/>
    <w:uiPriority w:val="0"/>
    <w:qFormat/>
    <w:pPr>
      <w:ind w:firstLine="420"/>
    </w:pPr>
    <w:rPr>
      <w:rFonts w:ascii="Calibri" w:hAnsi="Calibri"/>
      <w:color w:val="000000"/>
      <w:spacing w:val="-8"/>
      <w:szCs w:val="22"/>
    </w:rPr>
  </w:style>
  <w:style w:type="paragraph" w:styleId="1080" w:customStyle="1">
    <w:name w:val="目录"/>
    <w:basedOn w:val="710"/>
    <w:next w:val="710"/>
    <w:uiPriority w:val="0"/>
    <w:pPr>
      <w:ind w:firstLine="420"/>
      <w:jc w:val="center"/>
      <w:spacing w:before="360" w:after="360" w:line="360" w:lineRule="auto"/>
    </w:pPr>
    <w:rPr>
      <w:b/>
      <w:spacing w:val="200"/>
      <w:sz w:val="36"/>
      <w:szCs w:val="20"/>
    </w:rPr>
  </w:style>
  <w:style w:type="paragraph" w:styleId="1081" w:customStyle="1">
    <w:name w:val="程序代码"/>
    <w:basedOn w:val="710"/>
    <w:uiPriority w:val="0"/>
    <w:pPr>
      <w:ind w:left="839" w:firstLine="420"/>
      <w:spacing w:after="20" w:line="288" w:lineRule="auto"/>
    </w:pPr>
    <w:rPr>
      <w:rFonts w:eastAsia="仿宋_GB2312"/>
    </w:rPr>
  </w:style>
  <w:style w:type="paragraph" w:styleId="1082" w:customStyle="1">
    <w:name w:val="标准式样"/>
    <w:basedOn w:val="967"/>
    <w:uiPriority w:val="0"/>
  </w:style>
  <w:style w:type="paragraph" w:styleId="1083" w:customStyle="1">
    <w:name w:val="Char Char Char Char Char Char Char1 Char"/>
    <w:basedOn w:val="710"/>
    <w:uiPriority w:val="0"/>
    <w:qFormat/>
    <w:rPr>
      <w:rFonts w:ascii="Tahoma" w:hAnsi="Tahoma"/>
      <w:sz w:val="24"/>
      <w:szCs w:val="20"/>
    </w:rPr>
  </w:style>
  <w:style w:type="paragraph" w:styleId="1084" w:customStyle="1">
    <w:name w:val="xl46"/>
    <w:basedOn w:val="710"/>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85" w:customStyle="1">
    <w:name w:val="正文1)"/>
    <w:basedOn w:val="710"/>
    <w:uiPriority w:val="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86" w:customStyle="1">
    <w:name w:val="Char Char Char1 Char Char Char"/>
    <w:basedOn w:val="710"/>
    <w:uiPriority w:val="0"/>
    <w:pPr>
      <w:ind w:firstLine="200"/>
    </w:pPr>
    <w:rPr>
      <w:rFonts w:ascii="Tahoma" w:hAnsi="Tahoma"/>
      <w:sz w:val="24"/>
      <w:szCs w:val="20"/>
    </w:rPr>
  </w:style>
  <w:style w:type="paragraph" w:styleId="1087" w:customStyle="1">
    <w:name w:val="xl28"/>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8" w:customStyle="1">
    <w:name w:val="页眉1"/>
    <w:basedOn w:val="710"/>
    <w:uiPriority w:val="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89" w:customStyle="1">
    <w:name w:val="xl48"/>
    <w:basedOn w:val="710"/>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90" w:customStyle="1">
    <w:name w:val="简介正文"/>
    <w:basedOn w:val="710"/>
    <w:uiPriority w:val="0"/>
    <w:pPr>
      <w:numPr>
        <w:ilvl w:val="0"/>
        <w:numId w:val="6"/>
      </w:numPr>
      <w:ind w:left="1701" w:hanging="1701"/>
      <w:spacing w:after="20" w:line="520" w:lineRule="exact"/>
      <w:tabs>
        <w:tab w:val="clear" w:pos="425" w:leader="none"/>
      </w:tabs>
    </w:pPr>
    <w:rPr>
      <w:sz w:val="24"/>
      <w:szCs w:val="20"/>
    </w:rPr>
  </w:style>
  <w:style w:type="paragraph" w:styleId="1091" w:customStyle="1">
    <w:name w:val="xl43"/>
    <w:basedOn w:val="710"/>
    <w:uiPriority w:val="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92" w:customStyle="1">
    <w:name w:val=" Char Char Char Char1"/>
    <w:basedOn w:val="710"/>
    <w:uiPriority w:val="0"/>
  </w:style>
  <w:style w:type="paragraph" w:styleId="1093" w:customStyle="1">
    <w:name w:val="菲页(卷)"/>
    <w:basedOn w:val="893"/>
    <w:next w:val="1094"/>
    <w:uiPriority w:val="0"/>
    <w:pPr>
      <w:ind w:left="432" w:hanging="432"/>
      <w:keepLines w:val="0"/>
      <w:spacing w:before="0" w:after="0" w:line="240" w:lineRule="auto"/>
      <w:widowControl/>
      <w:outlineLvl w:val="1"/>
    </w:pPr>
    <w:rPr>
      <w:b w:val="0"/>
      <w:bCs w:val="0"/>
      <w:sz w:val="52"/>
      <w:szCs w:val="20"/>
    </w:rPr>
  </w:style>
  <w:style w:type="paragraph" w:styleId="1094"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95" w:customStyle="1">
    <w:name w:val="正文(缩进)"/>
    <w:basedOn w:val="710"/>
    <w:uiPriority w:val="0"/>
    <w:pPr>
      <w:ind w:firstLine="200"/>
      <w:spacing w:line="360" w:lineRule="auto"/>
      <w:widowControl/>
    </w:pPr>
    <w:rPr>
      <w:rFonts w:eastAsia="仿宋_GB2312"/>
      <w:sz w:val="24"/>
      <w:szCs w:val="20"/>
    </w:rPr>
  </w:style>
  <w:style w:type="paragraph" w:styleId="1096" w:customStyle="1">
    <w:name w:val="xl42"/>
    <w:basedOn w:val="71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97" w:customStyle="1">
    <w:name w:val="Char1"/>
    <w:basedOn w:val="710"/>
    <w:uiPriority w:val="0"/>
    <w:qFormat/>
    <w:pPr>
      <w:ind w:firstLine="448"/>
    </w:pPr>
    <w:rPr>
      <w:rFonts w:ascii="宋体" w:hAnsi="宋体" w:eastAsia="仿宋_GB2312"/>
      <w:b/>
      <w:color w:val="000000"/>
      <w:spacing w:val="-8"/>
      <w:sz w:val="32"/>
      <w:szCs w:val="32"/>
    </w:rPr>
  </w:style>
  <w:style w:type="paragraph" w:styleId="1098" w:customStyle="1">
    <w:name w:val="xl69"/>
    <w:basedOn w:val="710"/>
    <w:uiPriority w:val="0"/>
    <w:pPr>
      <w:jc w:val="center"/>
      <w:spacing w:before="100" w:beforeAutospacing="1" w:after="100" w:afterAutospacing="1"/>
      <w:widowControl/>
    </w:pPr>
    <w:rPr>
      <w:rFonts w:ascii="微软雅黑" w:hAnsi="微软雅黑" w:eastAsia="微软雅黑" w:cs="宋体"/>
      <w:sz w:val="13"/>
      <w:szCs w:val="13"/>
    </w:rPr>
  </w:style>
  <w:style w:type="paragraph" w:styleId="1099" w:customStyle="1">
    <w:name w:val="xl38"/>
    <w:basedOn w:val="710"/>
    <w:uiPriority w:val="0"/>
    <w:pPr>
      <w:jc w:val="center"/>
      <w:spacing w:before="100" w:beforeAutospacing="1" w:after="100" w:afterAutospacing="1"/>
      <w:widowControl/>
    </w:pPr>
    <w:rPr>
      <w:rFonts w:hint="eastAsia" w:ascii="隶书" w:hAnsi="宋体" w:eastAsia="隶书"/>
      <w:b/>
      <w:bCs/>
      <w:sz w:val="48"/>
      <w:szCs w:val="48"/>
    </w:rPr>
  </w:style>
  <w:style w:type="paragraph" w:styleId="1100" w:customStyle="1">
    <w:name w:val="函数注释2"/>
    <w:basedOn w:val="710"/>
    <w:uiPriority w:val="0"/>
    <w:pPr>
      <w:ind w:left="1680" w:firstLine="420"/>
      <w:spacing w:after="20" w:line="288" w:lineRule="auto"/>
    </w:pPr>
  </w:style>
  <w:style w:type="paragraph" w:styleId="1101" w:customStyle="1">
    <w:name w:val="xl39"/>
    <w:basedOn w:val="710"/>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02" w:customStyle="1">
    <w:name w:val="样式2"/>
    <w:basedOn w:val="895"/>
    <w:uiPriority w:val="0"/>
    <w:pPr>
      <w:ind w:firstLine="448"/>
      <w:spacing w:before="0" w:after="0"/>
    </w:pPr>
    <w:rPr>
      <w:rFonts w:ascii="Times New Roman" w:hAnsi="宋体" w:eastAsia="宋体"/>
      <w:color w:val="000000"/>
      <w:spacing w:val="-8"/>
      <w:sz w:val="24"/>
    </w:rPr>
  </w:style>
  <w:style w:type="paragraph" w:styleId="1103" w:customStyle="1">
    <w:name w:val="附录1层"/>
    <w:basedOn w:val="710"/>
    <w:next w:val="710"/>
    <w:uiPriority w:val="0"/>
    <w:pPr>
      <w:ind w:firstLine="448"/>
      <w:jc w:val="center"/>
      <w:spacing w:line="440" w:lineRule="exact"/>
    </w:pPr>
    <w:rPr>
      <w:rFonts w:ascii="黑体" w:hAnsi="宋体" w:eastAsia="黑体"/>
      <w:color w:val="000000"/>
      <w:spacing w:val="-8"/>
      <w:sz w:val="24"/>
      <w:szCs w:val="20"/>
    </w:rPr>
  </w:style>
  <w:style w:type="paragraph" w:styleId="1104" w:customStyle="1">
    <w:name w:val="Char Char Char Char"/>
    <w:basedOn w:val="710"/>
    <w:uiPriority w:val="0"/>
    <w:rPr>
      <w:rFonts w:ascii="Tahoma" w:hAnsi="Tahoma"/>
      <w:sz w:val="24"/>
      <w:szCs w:val="20"/>
    </w:rPr>
  </w:style>
  <w:style w:type="paragraph" w:styleId="1105" w:customStyle="1">
    <w:name w:val="xl22"/>
    <w:basedOn w:val="710"/>
    <w:uiPriority w:val="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06" w:customStyle="1">
    <w:name w:val="xl74"/>
    <w:basedOn w:val="71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07" w:customStyle="1">
    <w:name w:val="并列项-点"/>
    <w:basedOn w:val="710"/>
    <w:uiPriority w:val="0"/>
    <w:pPr>
      <w:ind w:left="851" w:hanging="284"/>
      <w:spacing w:before="120" w:line="360" w:lineRule="auto"/>
      <w:widowControl/>
      <w:tabs>
        <w:tab w:val="left" w:pos="851" w:leader="none"/>
        <w:tab w:val="left" w:pos="927" w:leader="none"/>
      </w:tabs>
    </w:pPr>
    <w:rPr>
      <w:sz w:val="24"/>
      <w:szCs w:val="20"/>
    </w:rPr>
  </w:style>
  <w:style w:type="paragraph" w:styleId="1108" w:customStyle="1">
    <w:name w:val="xl27"/>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9" w:customStyle="1">
    <w:name w:val="目录文字"/>
    <w:basedOn w:val="710"/>
    <w:uiPriority w:val="0"/>
    <w:pPr>
      <w:jc w:val="left"/>
      <w:spacing w:line="480" w:lineRule="auto"/>
      <w:widowControl/>
    </w:pPr>
    <w:rPr>
      <w:rFonts w:ascii="宋体" w:hAnsi="宋体"/>
      <w:sz w:val="24"/>
      <w:szCs w:val="20"/>
    </w:rPr>
  </w:style>
  <w:style w:type="paragraph" w:styleId="1110" w:customStyle="1">
    <w:name w:val="xl34"/>
    <w:basedOn w:val="710"/>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1" w:customStyle="1">
    <w:name w:val="复选框1"/>
    <w:basedOn w:val="710"/>
    <w:uiPriority w:val="0"/>
    <w:pPr>
      <w:ind w:firstLine="448"/>
      <w:spacing w:before="360" w:after="360"/>
      <w:widowControl/>
    </w:pPr>
    <w:rPr>
      <w:rFonts w:hAnsi="宋体"/>
      <w:color w:val="000000"/>
      <w:spacing w:val="-8"/>
      <w:sz w:val="20"/>
      <w:szCs w:val="20"/>
    </w:rPr>
  </w:style>
  <w:style w:type="paragraph" w:styleId="1112" w:customStyle="1">
    <w:name w:val="xl70"/>
    <w:basedOn w:val="71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13" w:customStyle="1">
    <w:name w:val="列表2"/>
    <w:basedOn w:val="710"/>
    <w:uiPriority w:val="0"/>
    <w:qFormat/>
    <w:pPr>
      <w:ind w:left="1469" w:hanging="420"/>
      <w:spacing w:after="20" w:line="288" w:lineRule="auto"/>
      <w:tabs>
        <w:tab w:val="left" w:pos="1470" w:leader="none"/>
      </w:tabs>
    </w:pPr>
  </w:style>
  <w:style w:type="paragraph" w:styleId="1114" w:customStyle="1">
    <w:name w:val="表中"/>
    <w:basedOn w:val="710"/>
    <w:uiPriority w:val="0"/>
    <w:pPr>
      <w:jc w:val="center"/>
      <w:spacing w:line="360" w:lineRule="atLeast"/>
    </w:pPr>
    <w:rPr>
      <w:szCs w:val="20"/>
    </w:rPr>
  </w:style>
  <w:style w:type="paragraph" w:styleId="1115" w:customStyle="1">
    <w:name w:val="xl26"/>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6" w:customStyle="1">
    <w:name w:val="xl41"/>
    <w:basedOn w:val="710"/>
    <w:uiPriority w:val="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17" w:customStyle="1">
    <w:name w:val="表蕊"/>
    <w:basedOn w:val="710"/>
    <w:uiPriority w:val="0"/>
    <w:pPr>
      <w:jc w:val="left"/>
      <w:spacing w:line="320" w:lineRule="atLeast"/>
    </w:pPr>
    <w:rPr>
      <w:rFonts w:eastAsia="楷体_GB2312"/>
      <w:spacing w:val="-10"/>
      <w:szCs w:val="20"/>
    </w:rPr>
  </w:style>
  <w:style w:type="paragraph" w:styleId="1118" w:customStyle="1">
    <w:name w:val="产品型号"/>
    <w:basedOn w:val="710"/>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19" w:customStyle="1">
    <w:name w:val="xl37"/>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20" w:customStyle="1">
    <w:name w:val="xl44"/>
    <w:basedOn w:val="710"/>
    <w:uiPriority w:val="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21" w:customStyle="1">
    <w:name w:val="Javis"/>
    <w:basedOn w:val="710"/>
    <w:uiPriority w:val="0"/>
    <w:pPr>
      <w:ind w:right="210"/>
    </w:pPr>
    <w:rPr>
      <w:rFonts w:cs="宋体"/>
      <w:sz w:val="24"/>
      <w:szCs w:val="20"/>
    </w:rPr>
  </w:style>
  <w:style w:type="paragraph" w:styleId="1122" w:customStyle="1">
    <w:name w:val="标准文字"/>
    <w:basedOn w:val="710"/>
    <w:uiPriority w:val="0"/>
    <w:pPr>
      <w:ind w:firstLine="420"/>
      <w:spacing w:after="20" w:line="360" w:lineRule="auto"/>
    </w:pPr>
  </w:style>
  <w:style w:type="paragraph" w:styleId="1123" w:customStyle="1">
    <w:name w:val="xl63"/>
    <w:basedOn w:val="710"/>
    <w:uiPriority w:val="0"/>
    <w:pPr>
      <w:jc w:val="left"/>
      <w:spacing w:before="100" w:beforeAutospacing="1" w:after="100" w:afterAutospacing="1"/>
      <w:widowControl/>
    </w:pPr>
    <w:rPr>
      <w:rFonts w:ascii="微软雅黑" w:hAnsi="微软雅黑" w:eastAsia="微软雅黑" w:cs="宋体"/>
      <w:sz w:val="13"/>
      <w:szCs w:val="13"/>
    </w:rPr>
  </w:style>
  <w:style w:type="paragraph" w:styleId="1124" w:customStyle="1">
    <w:name w:val="xl67"/>
    <w:basedOn w:val="71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25" w:customStyle="1">
    <w:name w:val="table_lines"/>
    <w:basedOn w:val="710"/>
    <w:uiPriority w:val="0"/>
    <w:qFormat/>
    <w:pPr>
      <w:jc w:val="left"/>
      <w:widowControl/>
    </w:pPr>
    <w:rPr>
      <w:sz w:val="20"/>
      <w:szCs w:val="20"/>
      <w:lang w:val="de-DE" w:eastAsia="de-DE"/>
    </w:rPr>
  </w:style>
  <w:style w:type="paragraph" w:styleId="1126" w:customStyle="1">
    <w:name w:val="图形"/>
    <w:basedOn w:val="710"/>
    <w:uiPriority w:val="0"/>
    <w:pPr>
      <w:ind w:firstLine="420"/>
      <w:jc w:val="center"/>
      <w:spacing w:after="20" w:line="288" w:lineRule="auto"/>
    </w:pPr>
  </w:style>
  <w:style w:type="paragraph" w:styleId="1127">
    <w:name w:val="List Paragraph"/>
    <w:basedOn w:val="710"/>
    <w:uiPriority w:val="0"/>
    <w:qFormat/>
    <w:pPr>
      <w:ind w:firstLine="420"/>
    </w:pPr>
    <w:rPr>
      <w:rFonts w:ascii="Calibri" w:hAnsi="Calibri" w:cs="Calibri"/>
      <w:szCs w:val="21"/>
    </w:rPr>
  </w:style>
  <w:style w:type="paragraph" w:styleId="1128" w:customStyle="1">
    <w:name w:val="xl52"/>
    <w:basedOn w:val="710"/>
    <w:uiPriority w:val="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9" w:customStyle="1">
    <w:name w:val="菲页1"/>
    <w:basedOn w:val="894"/>
    <w:uiPriority w:val="0"/>
    <w:qFormat/>
    <w:pPr>
      <w:numPr>
        <w:ilvl w:val="1"/>
        <w:numId w:val="0"/>
      </w:numPr>
      <w:jc w:val="center"/>
      <w:widowControl/>
    </w:pPr>
    <w:rPr>
      <w:rFonts w:ascii="黑体" w:hAnsi="宋体"/>
      <w:b w:val="0"/>
      <w:bCs w:val="0"/>
      <w:sz w:val="52"/>
      <w:szCs w:val="20"/>
    </w:rPr>
  </w:style>
  <w:style w:type="paragraph" w:styleId="1130" w:customStyle="1">
    <w:name w:val="xl29"/>
    <w:basedOn w:val="710"/>
    <w:uiPriority w:val="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1" w:customStyle="1">
    <w:name w:val="xl50"/>
    <w:basedOn w:val="710"/>
    <w:uiPriority w:val="0"/>
    <w:pPr>
      <w:jc w:val="center"/>
      <w:spacing w:before="100" w:beforeAutospacing="1" w:after="100" w:afterAutospacing="1"/>
      <w:widowControl/>
    </w:pPr>
    <w:rPr>
      <w:rFonts w:ascii="宋体" w:hAnsi="宋体"/>
      <w:b/>
      <w:bCs/>
      <w:sz w:val="40"/>
      <w:szCs w:val="40"/>
    </w:rPr>
  </w:style>
  <w:style w:type="paragraph" w:styleId="1132" w:customStyle="1">
    <w:name w:val="xl68"/>
    <w:basedOn w:val="71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3" w:customStyle="1">
    <w:name w:val="办公自动化专用正文"/>
    <w:basedOn w:val="710"/>
    <w:uiPriority w:val="0"/>
    <w:pPr>
      <w:ind w:firstLine="624"/>
      <w:spacing w:line="500" w:lineRule="atLeast"/>
    </w:pPr>
    <w:rPr>
      <w:rFonts w:hAnsi="宋体" w:eastAsia="楷体_GB2312"/>
      <w:color w:val="000000"/>
      <w:spacing w:val="-8"/>
      <w:sz w:val="32"/>
      <w:szCs w:val="20"/>
    </w:rPr>
  </w:style>
  <w:style w:type="paragraph" w:styleId="1134" w:customStyle="1">
    <w:name w:val="样式1"/>
    <w:basedOn w:val="710"/>
    <w:uiPriority w:val="0"/>
    <w:pPr>
      <w:spacing w:before="120" w:after="120" w:line="300" w:lineRule="auto"/>
    </w:pPr>
    <w:rPr>
      <w:rFonts w:ascii="宋体" w:hAnsi="宋体"/>
      <w:b/>
      <w:sz w:val="24"/>
      <w:szCs w:val="20"/>
    </w:rPr>
  </w:style>
  <w:style w:type="paragraph" w:styleId="1135" w:customStyle="1">
    <w:name w:val="回信地址"/>
    <w:basedOn w:val="710"/>
    <w:uiPriority w:val="0"/>
    <w:pPr>
      <w:ind w:right="-120" w:firstLine="420"/>
      <w:jc w:val="left"/>
      <w:keepLines/>
      <w:spacing w:after="20" w:line="200" w:lineRule="atLeast"/>
      <w:widowControl/>
    </w:pPr>
    <w:rPr>
      <w:sz w:val="16"/>
      <w:szCs w:val="20"/>
    </w:rPr>
  </w:style>
  <w:style w:type="paragraph" w:styleId="1136" w:customStyle="1">
    <w:name w:val="xl3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7" w:customStyle="1">
    <w:name w:val="xl23"/>
    <w:basedOn w:val="710"/>
    <w:uiPriority w:val="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8" w:customStyle="1">
    <w:name w:val="xl65"/>
    <w:basedOn w:val="71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9" w:customStyle="1">
    <w:name w:val="xl24"/>
    <w:basedOn w:val="710"/>
    <w:uiPriority w:val="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0" w:customStyle="1">
    <w:name w:val="font7"/>
    <w:basedOn w:val="710"/>
    <w:uiPriority w:val="0"/>
    <w:pPr>
      <w:ind w:firstLine="420"/>
      <w:jc w:val="left"/>
      <w:spacing w:before="100" w:beforeAutospacing="1" w:after="100" w:afterAutospacing="1" w:line="288" w:lineRule="auto"/>
      <w:widowControl/>
    </w:pPr>
    <w:rPr>
      <w:b/>
      <w:bCs/>
      <w:sz w:val="24"/>
    </w:rPr>
  </w:style>
  <w:style w:type="paragraph" w:styleId="1141" w:customStyle="1">
    <w:name w:val="xl40"/>
    <w:basedOn w:val="71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2" w:customStyle="1">
    <w:name w:val="List Paragraph[858D7CFB-ED40-4347-BF05-701D383B685F][858D7CFB-ED40-4347-BF05-701D383B685F]"/>
    <w:basedOn w:val="710"/>
    <w:uiPriority w:val="0"/>
    <w:pPr>
      <w:ind w:firstLine="420"/>
    </w:pPr>
    <w:rPr>
      <w:rFonts w:ascii="Calibri" w:hAnsi="Calibri"/>
      <w:color w:val="000000"/>
      <w:spacing w:val="-8"/>
      <w:szCs w:val="22"/>
    </w:rPr>
  </w:style>
  <w:style w:type="paragraph" w:styleId="1143" w:customStyle="1">
    <w:name w:val="样式 标题 2标题 2 Char Char + (西文) 仿宋_GB2312"/>
    <w:basedOn w:val="894"/>
    <w:uiPriority w:val="0"/>
    <w:pPr>
      <w:numPr>
        <w:ilvl w:val="1"/>
        <w:numId w:val="0"/>
      </w:numPr>
      <w:ind w:right="-226" w:firstLine="448"/>
      <w:spacing w:before="120" w:after="120" w:line="500" w:lineRule="exact"/>
    </w:pPr>
    <w:rPr>
      <w:rFonts w:ascii="仿宋_GB2312" w:hAnsi="仿宋_GB2312"/>
      <w:color w:val="000000"/>
      <w:spacing w:val="-8"/>
      <w:sz w:val="28"/>
      <w:szCs w:val="28"/>
    </w:rPr>
  </w:style>
  <w:style w:type="paragraph" w:styleId="1144" w:customStyle="1">
    <w:name w:val="xl72"/>
    <w:basedOn w:val="710"/>
    <w:uiPriority w:val="0"/>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45" w:customStyle="1">
    <w:name w:val="xl51"/>
    <w:basedOn w:val="71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6" w:customStyle="1">
    <w:name w:val="二级目录"/>
    <w:next w:val="710"/>
    <w:uiPriority w:val="0"/>
    <w:qFormat/>
    <w:pPr>
      <w:ind w:left="425" w:hanging="425"/>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147" w:customStyle="1">
    <w:name w:val="样式 小四 段前: 5 磅 段后: 5 磅 首行缩进:  2 字符"/>
    <w:basedOn w:val="710"/>
    <w:uiPriority w:val="0"/>
    <w:pPr>
      <w:spacing w:line="360" w:lineRule="auto"/>
    </w:pPr>
    <w:rPr>
      <w:rFonts w:ascii="宋体" w:hAnsi="宋体"/>
      <w:szCs w:val="21"/>
    </w:rPr>
  </w:style>
  <w:style w:type="paragraph" w:styleId="1148" w:customStyle="1">
    <w:name w:val="xl66"/>
    <w:basedOn w:val="71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9" w:customStyle="1">
    <w:name w:val="表格文字"/>
    <w:basedOn w:val="710"/>
    <w:uiPriority w:val="0"/>
    <w:pPr>
      <w:jc w:val="left"/>
      <w:spacing w:line="288" w:lineRule="auto"/>
    </w:pPr>
    <w:rPr>
      <w:szCs w:val="20"/>
    </w:rPr>
  </w:style>
  <w:style w:type="paragraph" w:styleId="1150" w:customStyle="1">
    <w:name w:val="xl35"/>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1" w:customStyle="1">
    <w:name w:val="xl45"/>
    <w:basedOn w:val="710"/>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2" w:customStyle="1">
    <w:name w:val="表格标题"/>
    <w:basedOn w:val="710"/>
    <w:uiPriority w:val="0"/>
    <w:pPr>
      <w:jc w:val="center"/>
      <w:spacing w:before="120" w:line="400" w:lineRule="exact"/>
    </w:pPr>
    <w:rPr>
      <w:rFonts w:eastAsia="文鼎CS中宋"/>
      <w:spacing w:val="8"/>
      <w:sz w:val="24"/>
      <w:szCs w:val="20"/>
    </w:rPr>
  </w:style>
  <w:style w:type="paragraph" w:styleId="1153" w:customStyle="1">
    <w:name w:val="Char"/>
    <w:basedOn w:val="710"/>
    <w:uiPriority w:val="0"/>
    <w:rPr>
      <w:rFonts w:ascii="仿宋_GB2312" w:eastAsia="仿宋_GB2312"/>
      <w:b/>
      <w:sz w:val="32"/>
      <w:szCs w:val="32"/>
    </w:rPr>
  </w:style>
  <w:style w:type="paragraph" w:styleId="1154" w:customStyle="1">
    <w:name w:val="文档标签"/>
    <w:next w:val="710"/>
    <w:uiPriority w:val="0"/>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55" w:customStyle="1">
    <w:name w:val="xl2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6" w:customStyle="1">
    <w:name w:val="text"/>
    <w:basedOn w:val="710"/>
    <w:uiPriority w:val="0"/>
    <w:qFormat/>
    <w:pPr>
      <w:ind w:left="1098" w:hanging="2"/>
      <w:spacing w:before="312" w:after="60" w:line="264" w:lineRule="auto"/>
      <w:widowControl/>
      <w:tabs>
        <w:tab w:val="left" w:pos="1020" w:leader="none"/>
        <w:tab w:val="left" w:pos="1090" w:leader="none"/>
      </w:tabs>
    </w:pPr>
    <w:rPr>
      <w:sz w:val="24"/>
    </w:rPr>
  </w:style>
  <w:style w:type="paragraph" w:styleId="1157" w:customStyle="1">
    <w:name w:val="xl73"/>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8" w:customStyle="1">
    <w:name w:val="样式 标题 3 + (西文) 宋体 黑色"/>
    <w:basedOn w:val="895"/>
    <w:uiPriority w:val="0"/>
    <w:qFormat/>
    <w:pPr>
      <w:ind w:right="-94" w:firstLine="448"/>
      <w:spacing w:before="156" w:after="156" w:line="415" w:lineRule="auto"/>
    </w:pPr>
    <w:rPr>
      <w:rFonts w:ascii="宋体" w:hAnsi="宋体"/>
      <w:b w:val="0"/>
      <w:bCs w:val="0"/>
      <w:color w:val="000000"/>
      <w:spacing w:val="-8"/>
      <w:sz w:val="28"/>
      <w:szCs w:val="21"/>
    </w:rPr>
  </w:style>
  <w:style w:type="paragraph" w:styleId="1159" w:customStyle="1">
    <w:name w:val="xl47"/>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60" w:customStyle="1">
    <w:name w:val="xl3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1" w:customStyle="1">
    <w:name w:val="样式 纯文本 + 楷体_GB2312 小四 行距: 固定值 20 磅1"/>
    <w:basedOn w:val="941"/>
    <w:uiPriority w:val="0"/>
    <w:qFormat/>
    <w:pPr>
      <w:ind w:firstLine="200"/>
      <w:spacing w:line="400" w:lineRule="exact"/>
    </w:pPr>
    <w:rPr>
      <w:rFonts w:ascii="楷体_GB2312" w:eastAsia="楷体_GB2312"/>
      <w:sz w:val="24"/>
      <w:szCs w:val="20"/>
    </w:rPr>
  </w:style>
  <w:style w:type="paragraph" w:styleId="1162" w:customStyle="1">
    <w:name w:val=" Char Char Char Char Char Char Char Char Char Char1"/>
    <w:basedOn w:val="710"/>
    <w:uiPriority w:val="0"/>
    <w:qFormat/>
    <w:pPr>
      <w:ind w:left="425" w:hanging="425"/>
      <w:tabs>
        <w:tab w:val="left" w:pos="425" w:leader="none"/>
      </w:tabs>
    </w:pPr>
    <w:rPr>
      <w:sz w:val="28"/>
      <w:szCs w:val="20"/>
    </w:rPr>
  </w:style>
  <w:style w:type="paragraph" w:styleId="1163" w:customStyle="1">
    <w:name w:val="标题0"/>
    <w:basedOn w:val="981"/>
    <w:next w:val="981"/>
    <w:uiPriority w:val="0"/>
    <w:qFormat/>
    <w:rPr>
      <w:sz w:val="52"/>
    </w:rPr>
  </w:style>
  <w:style w:type="paragraph" w:styleId="1164"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165" w:customStyle="1">
    <w:name w:val="font0"/>
    <w:basedOn w:val="710"/>
    <w:uiPriority w:val="0"/>
    <w:qFormat/>
    <w:pPr>
      <w:jc w:val="left"/>
      <w:spacing w:before="100" w:beforeAutospacing="1" w:after="100" w:afterAutospacing="1"/>
      <w:widowControl/>
    </w:pPr>
    <w:rPr>
      <w:rFonts w:hint="eastAsia" w:ascii="宋体" w:hAnsi="宋体"/>
      <w:sz w:val="18"/>
      <w:szCs w:val="18"/>
    </w:rPr>
  </w:style>
  <w:style w:type="paragraph" w:styleId="1166" w:customStyle="1">
    <w:name w:val="yyn"/>
    <w:basedOn w:val="710"/>
    <w:uiPriority w:val="0"/>
    <w:qFormat/>
    <w:pPr>
      <w:ind w:right="562" w:firstLine="576"/>
      <w:keepNext/>
      <w:spacing w:line="360" w:lineRule="auto"/>
      <w:widowControl/>
    </w:pPr>
    <w:rPr>
      <w:rFonts w:ascii="宋体"/>
      <w:sz w:val="28"/>
      <w:szCs w:val="20"/>
    </w:rPr>
  </w:style>
  <w:style w:type="paragraph" w:styleId="1167" w:customStyle="1">
    <w:name w:val="xl30"/>
    <w:basedOn w:val="71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68" w:customStyle="1">
    <w:name w:val="xl3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9" w:customStyle="1">
    <w:name w:val="font6"/>
    <w:basedOn w:val="710"/>
    <w:uiPriority w:val="0"/>
    <w:qFormat/>
    <w:pPr>
      <w:ind w:firstLine="420"/>
      <w:jc w:val="left"/>
      <w:spacing w:before="100" w:beforeAutospacing="1" w:after="100" w:afterAutospacing="1" w:line="288" w:lineRule="auto"/>
      <w:widowControl/>
    </w:pPr>
    <w:rPr>
      <w:sz w:val="24"/>
    </w:rPr>
  </w:style>
  <w:style w:type="paragraph" w:styleId="1170" w:customStyle="1">
    <w:name w:val="04-正文"/>
    <w:basedOn w:val="710"/>
    <w:uiPriority w:val="0"/>
    <w:qFormat/>
    <w:pPr>
      <w:ind w:firstLine="482"/>
      <w:spacing w:line="360" w:lineRule="auto"/>
    </w:pPr>
    <w:rPr>
      <w:rFonts w:ascii="宋体" w:hAnsi="宋体"/>
      <w:sz w:val="24"/>
      <w:szCs w:val="24"/>
    </w:rPr>
  </w:style>
  <w:style w:type="paragraph" w:styleId="1171" w:customStyle="1">
    <w:name w:val="普通文字"/>
    <w:basedOn w:val="710"/>
    <w:next w:val="710"/>
    <w:uiPriority w:val="0"/>
    <w:qFormat/>
    <w:rPr>
      <w:rFonts w:ascii="宋体"/>
      <w:sz w:val="24"/>
      <w:szCs w:val="20"/>
      <w:u w:val="none"/>
    </w:rPr>
  </w:style>
  <w:style w:type="paragraph" w:styleId="1172" w:customStyle="1">
    <w:name w:val="Andy_正文"/>
    <w:basedOn w:val="710"/>
    <w:uiPriority w:val="0"/>
    <w:qFormat/>
    <w:pPr>
      <w:ind w:firstLine="480"/>
      <w:spacing w:line="360" w:lineRule="auto"/>
    </w:pPr>
    <w:rPr>
      <w:rFonts w:ascii="Calibri" w:hAnsi="Calibri" w:eastAsia="宋体"/>
      <w:sz w:val="24"/>
      <w:szCs w:val="24"/>
    </w:rPr>
  </w:style>
  <w:style w:type="paragraph" w:styleId="1173" w:customStyle="1">
    <w:name w:val="List Paragraph2"/>
    <w:basedOn w:val="710"/>
    <w:uiPriority w:val="0"/>
    <w:qFormat/>
    <w:pPr>
      <w:ind w:firstLine="420"/>
    </w:pPr>
    <w:rPr>
      <w:rFonts w:ascii="Calibri"/>
      <w:szCs w:val="21"/>
    </w:rPr>
  </w:style>
  <w:style w:type="character" w:styleId="1174" w:customStyle="1">
    <w:name w:val="页眉 字符1"/>
    <w:link w:val="710"/>
    <w:uiPriority w:val="0"/>
    <w:qFormat/>
    <w:rPr>
      <w:rFonts w:ascii="Times New Roman" w:hAnsi="Times New Roman" w:eastAsia="宋体" w:cs="Times New Roman"/>
      <w:sz w:val="18"/>
      <w:szCs w:val="18"/>
    </w:rPr>
  </w:style>
  <w:style w:type="character" w:styleId="1175" w:customStyle="1">
    <w:name w:val="tit12"/>
    <w:link w:val="710"/>
    <w:uiPriority w:val="0"/>
    <w:qFormat/>
    <w:rPr>
      <w:color w:val="db2200"/>
    </w:rPr>
  </w:style>
  <w:style w:type="character" w:styleId="1176" w:customStyle="1">
    <w:name w:val="more6"/>
    <w:link w:val="710"/>
    <w:uiPriority w:val="0"/>
    <w:qFormat/>
  </w:style>
  <w:style w:type="character" w:styleId="1177" w:customStyle="1">
    <w:name w:val="font21"/>
    <w:basedOn w:val="902"/>
    <w:link w:val="710"/>
    <w:uiPriority w:val="0"/>
    <w:qFormat/>
    <w:rPr>
      <w:rFonts w:ascii="Arial" w:hAnsi="Arial" w:cs="Arial"/>
      <w:color w:val="000000"/>
      <w:sz w:val="24"/>
      <w:szCs w:val="24"/>
      <w:u w:val="none"/>
    </w:rPr>
  </w:style>
  <w:style w:type="character" w:styleId="1178" w:customStyle="1">
    <w:name w:val="font11"/>
    <w:basedOn w:val="902"/>
    <w:link w:val="710"/>
    <w:uiPriority w:val="0"/>
    <w:qFormat/>
    <w:rPr>
      <w:rFonts w:hint="eastAsia" w:ascii="宋体" w:hAnsi="宋体" w:eastAsia="宋体" w:cs="宋体"/>
      <w:color w:val="000000"/>
      <w:sz w:val="20"/>
      <w:szCs w:val="20"/>
      <w:u w:val="none"/>
    </w:rPr>
  </w:style>
  <w:style w:type="character" w:styleId="1179" w:customStyle="1">
    <w:name w:val="font31"/>
    <w:basedOn w:val="902"/>
    <w:link w:val="710"/>
    <w:uiPriority w:val="0"/>
    <w:qFormat/>
    <w:rPr>
      <w:rFonts w:hint="eastAsia" w:ascii="宋体" w:hAnsi="宋体" w:eastAsia="宋体" w:cs="宋体"/>
      <w:color w:val="000000"/>
      <w:sz w:val="20"/>
      <w:szCs w:val="20"/>
      <w:u w:val="none"/>
    </w:rPr>
  </w:style>
  <w:style w:type="character" w:styleId="1180" w:customStyle="1">
    <w:name w:val="font41"/>
    <w:basedOn w:val="902"/>
    <w:link w:val="710"/>
    <w:uiPriority w:val="0"/>
    <w:qFormat/>
    <w:rPr>
      <w:rFonts w:ascii="Arial" w:hAnsi="Arial" w:cs="Arial"/>
      <w:color w:val="000000"/>
      <w:sz w:val="20"/>
      <w:szCs w:val="20"/>
      <w:u w:val="none"/>
    </w:rPr>
  </w:style>
  <w:style w:type="paragraph" w:styleId="1181" w:customStyle="1">
    <w:name w:val="Fließtext"/>
    <w:basedOn w:val="710"/>
    <w:uiPriority w:val="99"/>
    <w:qFormat/>
  </w:style>
  <w:style w:type="character" w:styleId="1182" w:customStyle="1">
    <w:name w:val="font51"/>
    <w:basedOn w:val="902"/>
    <w:link w:val="710"/>
    <w:uiPriority w:val="0"/>
    <w:qFormat/>
    <w:rPr>
      <w:rFonts w:ascii="宋体" w:hAnsi="宋体" w:eastAsia="宋体" w:cs="宋体"/>
      <w:color w:val="000000"/>
      <w:sz w:val="20"/>
      <w:szCs w:val="20"/>
      <w:u w:val="none"/>
    </w:rPr>
  </w:style>
  <w:style w:type="character" w:styleId="1183" w:customStyle="1">
    <w:name w:val="a-desc"/>
    <w:basedOn w:val="902"/>
    <w:link w:val="710"/>
    <w:uiPriority w:val="0"/>
    <w:qFormat/>
    <w:rPr>
      <w:color w:val="315efb"/>
    </w:rPr>
  </w:style>
  <w:style w:type="character" w:styleId="1184" w:customStyle="1">
    <w:name w:val="new-icon"/>
    <w:basedOn w:val="902"/>
    <w:link w:val="710"/>
    <w:uiPriority w:val="0"/>
    <w:qFormat/>
  </w:style>
  <w:style w:type="character" w:styleId="1185" w:customStyle="1">
    <w:name w:val="new-icon1"/>
    <w:basedOn w:val="902"/>
    <w:link w:val="710"/>
    <w:uiPriority w:val="0"/>
    <w:qFormat/>
  </w:style>
  <w:style w:type="character" w:styleId="1186" w:customStyle="1">
    <w:name w:val="num"/>
    <w:basedOn w:val="902"/>
    <w:link w:val="710"/>
    <w:uiPriority w:val="0"/>
    <w:qFormat/>
    <w:rPr>
      <w:b/>
      <w:bCs/>
      <w:color w:val="ff7800"/>
    </w:rPr>
  </w:style>
  <w:style w:type="paragraph" w:styleId="1187"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王圆逸</cp:lastModifiedBy>
  <cp:revision>8</cp:revision>
  <dcterms:created xsi:type="dcterms:W3CDTF">2022-10-17T07:13:00Z</dcterms:created>
  <dcterms:modified xsi:type="dcterms:W3CDTF">2024-12-12T02:50:54Z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116FD54801924826A1AAB84096F34F55_13</vt:lpwstr>
  </property>
</Properties>
</file>