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92" w:rightChars="-44"/>
        <w:jc w:val="center"/>
        <w:rPr>
          <w:rFonts w:hint="eastAsia" w:ascii="宋体" w:hAnsi="宋体" w:eastAsia="宋体" w:cs="宋体"/>
          <w:bCs/>
          <w:color w:val="000000"/>
          <w:sz w:val="84"/>
        </w:rPr>
      </w:pPr>
    </w:p>
    <w:p>
      <w:pPr>
        <w:spacing w:line="360" w:lineRule="auto"/>
        <w:ind w:right="-92" w:rightChars="-44"/>
        <w:jc w:val="center"/>
        <w:rPr>
          <w:rFonts w:hint="eastAsia" w:ascii="宋体" w:hAnsi="宋体" w:eastAsia="宋体" w:cs="宋体"/>
          <w:bCs/>
          <w:color w:val="000000"/>
          <w:sz w:val="84"/>
        </w:rPr>
      </w:pPr>
      <w:r>
        <w:rPr>
          <w:rFonts w:hint="eastAsia" w:ascii="宋体" w:hAnsi="宋体" w:eastAsia="宋体" w:cs="宋体"/>
          <w:bCs/>
          <w:color w:val="000000"/>
          <w:sz w:val="84"/>
        </w:rPr>
        <w:t>招 标 文 件</w:t>
      </w:r>
    </w:p>
    <w:p>
      <w:pPr>
        <w:spacing w:line="360" w:lineRule="auto"/>
        <w:ind w:right="-92" w:rightChars="-44"/>
        <w:jc w:val="both"/>
        <w:rPr>
          <w:rFonts w:hint="eastAsia" w:ascii="宋体" w:hAnsi="宋体" w:eastAsia="宋体" w:cs="宋体"/>
          <w:color w:val="000000"/>
          <w:sz w:val="32"/>
        </w:rPr>
      </w:pPr>
    </w:p>
    <w:p>
      <w:pPr>
        <w:pStyle w:val="21"/>
        <w:rPr>
          <w:rFonts w:hint="eastAsia" w:ascii="宋体" w:hAnsi="宋体" w:eastAsia="宋体" w:cs="宋体"/>
          <w:color w:val="000000"/>
          <w:sz w:val="32"/>
        </w:rPr>
      </w:pPr>
    </w:p>
    <w:p>
      <w:pPr>
        <w:pStyle w:val="21"/>
        <w:rPr>
          <w:rFonts w:hint="eastAsia" w:ascii="宋体" w:hAnsi="宋体" w:eastAsia="宋体" w:cs="宋体"/>
          <w:color w:val="000000"/>
          <w:sz w:val="32"/>
        </w:rPr>
      </w:pPr>
    </w:p>
    <w:p>
      <w:pPr>
        <w:pStyle w:val="21"/>
        <w:rPr>
          <w:rFonts w:hint="eastAsia" w:ascii="宋体" w:hAnsi="宋体" w:eastAsia="宋体" w:cs="宋体"/>
          <w:color w:val="000000"/>
          <w:sz w:val="32"/>
        </w:rPr>
      </w:pPr>
    </w:p>
    <w:p>
      <w:pPr>
        <w:pStyle w:val="21"/>
        <w:rPr>
          <w:rFonts w:hint="eastAsia" w:ascii="宋体" w:hAnsi="宋体" w:eastAsia="宋体" w:cs="宋体"/>
          <w:color w:val="000000"/>
          <w:sz w:val="32"/>
        </w:rPr>
      </w:pPr>
    </w:p>
    <w:p>
      <w:pPr>
        <w:spacing w:line="360" w:lineRule="auto"/>
        <w:ind w:right="-92" w:rightChars="-44"/>
        <w:jc w:val="center"/>
        <w:rPr>
          <w:rFonts w:hint="eastAsia" w:ascii="宋体" w:hAnsi="宋体" w:eastAsia="宋体" w:cs="宋体"/>
          <w:color w:val="000000"/>
          <w:sz w:val="28"/>
          <w:szCs w:val="21"/>
          <w:lang w:val="en-US" w:eastAsia="zh-CN"/>
        </w:rPr>
      </w:pPr>
      <w:r>
        <w:rPr>
          <w:rFonts w:hint="eastAsia" w:ascii="宋体" w:hAnsi="宋体" w:eastAsia="宋体" w:cs="宋体"/>
          <w:color w:val="000000"/>
          <w:sz w:val="28"/>
          <w:szCs w:val="21"/>
        </w:rPr>
        <w:t>项目</w:t>
      </w:r>
      <w:r>
        <w:rPr>
          <w:rFonts w:hint="eastAsia" w:ascii="宋体" w:hAnsi="宋体" w:eastAsia="宋体" w:cs="宋体"/>
          <w:color w:val="000000"/>
          <w:sz w:val="28"/>
          <w:szCs w:val="21"/>
          <w:lang w:val="en-US" w:eastAsia="zh-CN"/>
        </w:rPr>
        <w:t>名称</w:t>
      </w:r>
      <w:r>
        <w:rPr>
          <w:rFonts w:hint="eastAsia" w:ascii="宋体" w:hAnsi="宋体" w:eastAsia="宋体" w:cs="宋体"/>
          <w:color w:val="000000"/>
          <w:sz w:val="28"/>
          <w:szCs w:val="21"/>
        </w:rPr>
        <w:t>：大桥中心卫生院新建卫生综合楼智能化建设项目</w:t>
      </w:r>
    </w:p>
    <w:p>
      <w:pPr>
        <w:spacing w:line="360" w:lineRule="auto"/>
        <w:ind w:right="-92" w:rightChars="-44"/>
        <w:jc w:val="center"/>
        <w:rPr>
          <w:rFonts w:hint="eastAsia" w:ascii="宋体" w:hAnsi="宋体" w:eastAsia="宋体" w:cs="宋体"/>
          <w:color w:val="000000"/>
          <w:sz w:val="28"/>
          <w:szCs w:val="21"/>
        </w:rPr>
      </w:pPr>
    </w:p>
    <w:p>
      <w:pPr>
        <w:spacing w:line="360" w:lineRule="auto"/>
        <w:ind w:right="-92" w:rightChars="-44"/>
        <w:jc w:val="center"/>
        <w:rPr>
          <w:rFonts w:hint="eastAsia" w:ascii="宋体" w:hAnsi="宋体" w:eastAsia="宋体" w:cs="宋体"/>
          <w:color w:val="000000"/>
          <w:sz w:val="28"/>
          <w:szCs w:val="21"/>
          <w:lang w:val="en-US" w:eastAsia="zh-CN"/>
        </w:rPr>
      </w:pPr>
      <w:r>
        <w:rPr>
          <w:rFonts w:hint="eastAsia" w:ascii="宋体" w:hAnsi="宋体" w:eastAsia="宋体" w:cs="宋体"/>
          <w:color w:val="000000"/>
          <w:sz w:val="28"/>
          <w:szCs w:val="21"/>
          <w:lang w:val="en-US" w:eastAsia="zh-CN"/>
        </w:rPr>
        <w:t>项目编号：JSZC-320904-JZCG-G2024-0007</w:t>
      </w: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spacing w:line="360" w:lineRule="auto"/>
        <w:ind w:right="-92" w:rightChars="-44"/>
        <w:jc w:val="center"/>
        <w:rPr>
          <w:rFonts w:hint="eastAsia" w:ascii="宋体" w:hAnsi="宋体" w:eastAsia="宋体" w:cs="宋体"/>
          <w:bCs/>
          <w:color w:val="000000"/>
          <w:sz w:val="36"/>
          <w:szCs w:val="36"/>
        </w:rPr>
      </w:pPr>
      <w:r>
        <w:rPr>
          <w:rFonts w:hint="eastAsia" w:ascii="宋体" w:hAnsi="宋体" w:eastAsia="宋体" w:cs="宋体"/>
          <w:bCs/>
          <w:color w:val="000000"/>
          <w:spacing w:val="15"/>
          <w:sz w:val="36"/>
          <w:szCs w:val="36"/>
        </w:rPr>
        <w:t>（</w:t>
      </w:r>
      <w:r>
        <w:rPr>
          <w:rFonts w:hint="eastAsia" w:ascii="宋体" w:hAnsi="宋体" w:eastAsia="宋体" w:cs="宋体"/>
          <w:bCs/>
          <w:color w:val="000000"/>
          <w:spacing w:val="15"/>
          <w:sz w:val="36"/>
          <w:szCs w:val="36"/>
          <w:lang w:eastAsia="zh-CN"/>
        </w:rPr>
        <w:t>盐城市大丰区大桥中心卫生院</w:t>
      </w:r>
      <w:r>
        <w:rPr>
          <w:rFonts w:hint="eastAsia" w:ascii="宋体" w:hAnsi="宋体" w:eastAsia="宋体" w:cs="宋体"/>
          <w:bCs/>
          <w:color w:val="000000"/>
          <w:spacing w:val="15"/>
          <w:sz w:val="36"/>
          <w:szCs w:val="36"/>
        </w:rPr>
        <w:t>）</w:t>
      </w:r>
    </w:p>
    <w:p>
      <w:pPr>
        <w:spacing w:line="360" w:lineRule="auto"/>
        <w:ind w:right="-92" w:rightChars="-44"/>
        <w:jc w:val="center"/>
        <w:rPr>
          <w:rFonts w:hint="eastAsia" w:ascii="宋体" w:hAnsi="宋体" w:eastAsia="宋体" w:cs="宋体"/>
          <w:color w:val="000000"/>
          <w:sz w:val="36"/>
          <w:szCs w:val="36"/>
        </w:rPr>
      </w:pPr>
      <w:r>
        <w:rPr>
          <w:rFonts w:hint="eastAsia" w:ascii="宋体" w:hAnsi="宋体" w:eastAsia="宋体" w:cs="宋体"/>
          <w:color w:val="000000"/>
          <w:sz w:val="36"/>
          <w:szCs w:val="36"/>
        </w:rPr>
        <w:t>202</w:t>
      </w:r>
      <w:r>
        <w:rPr>
          <w:rFonts w:hint="eastAsia" w:ascii="宋体" w:hAnsi="宋体" w:eastAsia="宋体" w:cs="宋体"/>
          <w:color w:val="000000"/>
          <w:sz w:val="36"/>
          <w:szCs w:val="36"/>
          <w:lang w:val="en-US" w:eastAsia="zh-CN"/>
        </w:rPr>
        <w:t>4</w:t>
      </w:r>
      <w:r>
        <w:rPr>
          <w:rFonts w:hint="eastAsia" w:ascii="宋体" w:hAnsi="宋体" w:eastAsia="宋体" w:cs="宋体"/>
          <w:color w:val="000000"/>
          <w:sz w:val="36"/>
          <w:szCs w:val="36"/>
        </w:rPr>
        <w:t>年</w:t>
      </w:r>
      <w:r>
        <w:rPr>
          <w:rFonts w:hint="eastAsia" w:ascii="宋体" w:hAnsi="宋体" w:eastAsia="宋体" w:cs="宋体"/>
          <w:color w:val="000000"/>
          <w:sz w:val="36"/>
          <w:szCs w:val="36"/>
          <w:lang w:val="en-US" w:eastAsia="zh-CN"/>
        </w:rPr>
        <w:t>3</w:t>
      </w:r>
      <w:r>
        <w:rPr>
          <w:rFonts w:hint="eastAsia" w:ascii="宋体" w:hAnsi="宋体" w:eastAsia="宋体" w:cs="宋体"/>
          <w:color w:val="000000"/>
          <w:sz w:val="36"/>
          <w:szCs w:val="36"/>
        </w:rPr>
        <w:t>月</w:t>
      </w:r>
    </w:p>
    <w:p>
      <w:pPr>
        <w:spacing w:line="360" w:lineRule="auto"/>
        <w:jc w:val="center"/>
        <w:rPr>
          <w:rFonts w:hint="eastAsia" w:ascii="宋体" w:hAnsi="宋体" w:eastAsia="宋体" w:cs="宋体"/>
          <w:color w:val="000000"/>
          <w:sz w:val="36"/>
          <w:szCs w:val="36"/>
        </w:rPr>
      </w:pPr>
    </w:p>
    <w:p>
      <w:pPr>
        <w:rPr>
          <w:rFonts w:hint="eastAsia" w:ascii="宋体" w:hAnsi="宋体" w:eastAsia="宋体" w:cs="宋体"/>
          <w:color w:val="000000"/>
        </w:rPr>
      </w:pPr>
    </w:p>
    <w:p>
      <w:pPr>
        <w:pStyle w:val="21"/>
        <w:rPr>
          <w:rFonts w:hint="eastAsia" w:ascii="宋体" w:hAnsi="宋体" w:eastAsia="宋体" w:cs="宋体"/>
        </w:rPr>
        <w:sectPr>
          <w:pgSz w:w="11906" w:h="16838"/>
          <w:pgMar w:top="1440" w:right="1134" w:bottom="1440" w:left="1134" w:header="851" w:footer="992" w:gutter="0"/>
          <w:cols w:space="720" w:num="1"/>
          <w:docGrid w:type="lines" w:linePitch="312" w:charSpace="0"/>
        </w:sectPr>
      </w:pPr>
    </w:p>
    <w:p>
      <w:pPr>
        <w:pStyle w:val="21"/>
        <w:rPr>
          <w:rFonts w:hint="eastAsia" w:ascii="宋体" w:hAnsi="宋体" w:eastAsia="宋体" w:cs="宋体"/>
        </w:rPr>
      </w:pPr>
    </w:p>
    <w:p>
      <w:pPr>
        <w:spacing w:line="360" w:lineRule="auto"/>
        <w:ind w:right="-92" w:rightChars="-44"/>
        <w:jc w:val="center"/>
        <w:rPr>
          <w:rFonts w:hint="eastAsia" w:ascii="宋体" w:hAnsi="宋体" w:eastAsia="宋体" w:cs="宋体"/>
          <w:b/>
          <w:color w:val="000000"/>
          <w:sz w:val="44"/>
          <w:szCs w:val="44"/>
        </w:rPr>
      </w:pPr>
      <w:r>
        <w:rPr>
          <w:rFonts w:hint="eastAsia" w:ascii="宋体" w:hAnsi="宋体" w:eastAsia="宋体" w:cs="宋体"/>
          <w:b/>
          <w:color w:val="000000"/>
          <w:sz w:val="44"/>
          <w:szCs w:val="44"/>
        </w:rPr>
        <w:t>第一章  招标公告</w:t>
      </w:r>
    </w:p>
    <w:p>
      <w:pPr>
        <w:pBdr>
          <w:top w:val="single" w:color="auto" w:sz="4" w:space="1"/>
          <w:left w:val="single" w:color="auto" w:sz="4" w:space="4"/>
          <w:bottom w:val="single" w:color="auto" w:sz="4" w:space="1"/>
          <w:right w:val="single" w:color="auto" w:sz="4" w:space="4"/>
        </w:pBdr>
        <w:spacing w:line="560" w:lineRule="exact"/>
        <w:ind w:right="-92" w:rightChars="-44"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项目概况</w:t>
      </w:r>
    </w:p>
    <w:p>
      <w:pPr>
        <w:pBdr>
          <w:top w:val="single" w:color="auto" w:sz="4" w:space="1"/>
          <w:left w:val="single" w:color="auto" w:sz="4" w:space="4"/>
          <w:bottom w:val="single" w:color="auto" w:sz="4" w:space="1"/>
          <w:right w:val="single" w:color="auto" w:sz="4" w:space="4"/>
        </w:pBdr>
        <w:spacing w:line="560" w:lineRule="exact"/>
        <w:ind w:right="-92" w:rightChars="-44"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u w:val="single"/>
          <w:lang w:eastAsia="zh-CN"/>
        </w:rPr>
        <w:t>大桥中心卫生院新建卫生综合楼智能化建设项目</w:t>
      </w:r>
      <w:r>
        <w:rPr>
          <w:rFonts w:hint="eastAsia" w:ascii="宋体" w:hAnsi="宋体" w:eastAsia="宋体" w:cs="宋体"/>
          <w:color w:val="000000"/>
          <w:sz w:val="24"/>
          <w:szCs w:val="24"/>
        </w:rPr>
        <w:t>的潜在投标人应在</w:t>
      </w:r>
      <w:r>
        <w:rPr>
          <w:rFonts w:hint="eastAsia" w:ascii="宋体" w:hAnsi="宋体" w:eastAsia="宋体" w:cs="宋体"/>
          <w:color w:val="000000"/>
          <w:sz w:val="24"/>
          <w:szCs w:val="24"/>
          <w:u w:val="single"/>
        </w:rPr>
        <w:t>江苏政府采购网</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、盐城市政府采购网</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获取招标文件，并于</w:t>
      </w:r>
      <w:r>
        <w:rPr>
          <w:rFonts w:hint="eastAsia" w:ascii="宋体" w:hAnsi="宋体" w:eastAsia="宋体" w:cs="宋体"/>
          <w:color w:val="000000"/>
          <w:sz w:val="24"/>
          <w:szCs w:val="24"/>
          <w:u w:val="single"/>
        </w:rPr>
        <w:t>202</w:t>
      </w:r>
      <w:r>
        <w:rPr>
          <w:rFonts w:hint="eastAsia" w:ascii="宋体" w:hAnsi="宋体" w:eastAsia="宋体" w:cs="宋体"/>
          <w:color w:val="000000"/>
          <w:sz w:val="24"/>
          <w:szCs w:val="24"/>
          <w:u w:val="single"/>
          <w:lang w:val="en-US" w:eastAsia="zh-CN"/>
        </w:rPr>
        <w:t>4</w:t>
      </w:r>
      <w:r>
        <w:rPr>
          <w:rFonts w:hint="eastAsia" w:ascii="宋体" w:hAnsi="宋体" w:eastAsia="宋体" w:cs="宋体"/>
          <w:color w:val="000000"/>
          <w:sz w:val="24"/>
          <w:szCs w:val="24"/>
          <w:u w:val="single"/>
        </w:rPr>
        <w:t>年</w:t>
      </w:r>
      <w:r>
        <w:rPr>
          <w:rFonts w:hint="eastAsia" w:ascii="宋体" w:hAnsi="宋体" w:eastAsia="宋体" w:cs="宋体"/>
          <w:color w:val="000000"/>
          <w:sz w:val="24"/>
          <w:szCs w:val="24"/>
          <w:u w:val="single"/>
          <w:lang w:val="en-US" w:eastAsia="zh-CN"/>
        </w:rPr>
        <w:t>3</w:t>
      </w:r>
      <w:r>
        <w:rPr>
          <w:rFonts w:hint="eastAsia" w:ascii="宋体" w:hAnsi="宋体" w:eastAsia="宋体" w:cs="宋体"/>
          <w:color w:val="000000"/>
          <w:sz w:val="24"/>
          <w:szCs w:val="24"/>
          <w:u w:val="single"/>
        </w:rPr>
        <w:t>月</w:t>
      </w:r>
      <w:r>
        <w:rPr>
          <w:rFonts w:hint="eastAsia" w:ascii="宋体" w:hAnsi="宋体" w:eastAsia="宋体" w:cs="宋体"/>
          <w:color w:val="000000"/>
          <w:sz w:val="24"/>
          <w:szCs w:val="24"/>
          <w:u w:val="single"/>
          <w:lang w:val="en-US" w:eastAsia="zh-CN"/>
        </w:rPr>
        <w:t xml:space="preserve"> 18 </w:t>
      </w:r>
      <w:r>
        <w:rPr>
          <w:rFonts w:hint="eastAsia" w:ascii="宋体" w:hAnsi="宋体" w:eastAsia="宋体" w:cs="宋体"/>
          <w:color w:val="000000"/>
          <w:sz w:val="24"/>
          <w:szCs w:val="24"/>
          <w:u w:val="single"/>
        </w:rPr>
        <w:t>日</w:t>
      </w:r>
      <w:r>
        <w:rPr>
          <w:rFonts w:hint="eastAsia" w:ascii="宋体" w:hAnsi="宋体" w:eastAsia="宋体" w:cs="宋体"/>
          <w:color w:val="000000"/>
          <w:sz w:val="24"/>
          <w:szCs w:val="24"/>
          <w:u w:val="single"/>
          <w:lang w:val="en-US" w:eastAsia="zh-CN"/>
        </w:rPr>
        <w:t>10</w:t>
      </w:r>
      <w:r>
        <w:rPr>
          <w:rFonts w:hint="eastAsia" w:ascii="宋体" w:hAnsi="宋体" w:eastAsia="宋体" w:cs="宋体"/>
          <w:color w:val="000000"/>
          <w:sz w:val="24"/>
          <w:szCs w:val="24"/>
          <w:u w:val="single"/>
        </w:rPr>
        <w:t>时</w:t>
      </w:r>
      <w:r>
        <w:rPr>
          <w:rFonts w:hint="eastAsia" w:ascii="宋体" w:hAnsi="宋体" w:eastAsia="宋体" w:cs="宋体"/>
          <w:color w:val="000000"/>
          <w:sz w:val="24"/>
          <w:szCs w:val="24"/>
          <w:u w:val="single"/>
          <w:lang w:val="en-US" w:eastAsia="zh-CN"/>
        </w:rPr>
        <w:t>00</w:t>
      </w:r>
      <w:r>
        <w:rPr>
          <w:rFonts w:hint="eastAsia" w:ascii="宋体" w:hAnsi="宋体" w:eastAsia="宋体" w:cs="宋体"/>
          <w:color w:val="000000"/>
          <w:sz w:val="24"/>
          <w:szCs w:val="24"/>
          <w:u w:val="single"/>
        </w:rPr>
        <w:t>分</w:t>
      </w:r>
      <w:r>
        <w:rPr>
          <w:rFonts w:hint="eastAsia" w:ascii="宋体" w:hAnsi="宋体" w:eastAsia="宋体" w:cs="宋体"/>
          <w:color w:val="000000"/>
          <w:sz w:val="24"/>
          <w:szCs w:val="24"/>
          <w:u w:val="single"/>
          <w:lang w:val="en-US" w:eastAsia="zh-CN"/>
        </w:rPr>
        <w:t>00</w:t>
      </w:r>
      <w:r>
        <w:rPr>
          <w:rFonts w:hint="eastAsia" w:ascii="宋体" w:hAnsi="宋体" w:eastAsia="宋体" w:cs="宋体"/>
          <w:color w:val="000000"/>
          <w:sz w:val="24"/>
          <w:szCs w:val="24"/>
          <w:u w:val="single"/>
        </w:rPr>
        <w:t>秒</w:t>
      </w:r>
      <w:r>
        <w:rPr>
          <w:rFonts w:hint="eastAsia" w:ascii="宋体" w:hAnsi="宋体" w:eastAsia="宋体" w:cs="宋体"/>
          <w:bCs/>
          <w:color w:val="000000"/>
          <w:sz w:val="24"/>
          <w:szCs w:val="24"/>
        </w:rPr>
        <w:t>（北京时间）前递交投标文件</w:t>
      </w:r>
      <w:r>
        <w:rPr>
          <w:rFonts w:hint="eastAsia" w:ascii="宋体" w:hAnsi="宋体" w:eastAsia="宋体" w:cs="宋体"/>
          <w:color w:val="000000"/>
          <w:sz w:val="24"/>
          <w:szCs w:val="24"/>
        </w:rPr>
        <w:t>。</w:t>
      </w:r>
    </w:p>
    <w:p>
      <w:pPr>
        <w:pStyle w:val="3"/>
        <w:tabs>
          <w:tab w:val="left" w:pos="0"/>
          <w:tab w:val="left" w:pos="3165"/>
          <w:tab w:val="center" w:pos="4153"/>
        </w:tabs>
        <w:autoSpaceDE w:val="0"/>
        <w:autoSpaceDN w:val="0"/>
        <w:adjustRightInd w:val="0"/>
        <w:spacing w:line="560" w:lineRule="exact"/>
        <w:ind w:firstLine="482" w:firstLineChars="200"/>
        <w:jc w:val="left"/>
        <w:rPr>
          <w:rFonts w:hint="eastAsia" w:ascii="宋体" w:hAnsi="宋体" w:eastAsia="宋体" w:cs="宋体"/>
          <w:b/>
          <w:bCs/>
          <w:color w:val="000000"/>
          <w:sz w:val="24"/>
          <w:szCs w:val="24"/>
        </w:rPr>
      </w:pPr>
      <w:bookmarkStart w:id="0" w:name="_Toc35393621"/>
      <w:bookmarkStart w:id="1" w:name="_Toc35393790"/>
      <w:bookmarkStart w:id="2" w:name="_Toc28359002"/>
      <w:bookmarkStart w:id="3" w:name="_Toc28203"/>
      <w:bookmarkStart w:id="4" w:name="_Toc28359079"/>
      <w:bookmarkStart w:id="5" w:name="_Toc332"/>
      <w:bookmarkStart w:id="6" w:name="_Hlk24379207"/>
      <w:r>
        <w:rPr>
          <w:rFonts w:hint="eastAsia" w:ascii="宋体" w:hAnsi="宋体" w:eastAsia="宋体" w:cs="宋体"/>
          <w:b/>
          <w:bCs/>
          <w:color w:val="000000"/>
          <w:sz w:val="24"/>
          <w:szCs w:val="24"/>
        </w:rPr>
        <w:t>一、项目基本情况</w:t>
      </w:r>
      <w:bookmarkEnd w:id="0"/>
      <w:bookmarkEnd w:id="1"/>
      <w:bookmarkEnd w:id="2"/>
      <w:bookmarkEnd w:id="3"/>
      <w:bookmarkEnd w:id="4"/>
      <w:bookmarkEnd w:id="5"/>
    </w:p>
    <w:p>
      <w:pPr>
        <w:spacing w:line="560" w:lineRule="exact"/>
        <w:ind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1、项目编号：</w:t>
      </w:r>
      <w:r>
        <w:rPr>
          <w:rFonts w:hint="eastAsia" w:ascii="宋体" w:hAnsi="宋体" w:eastAsia="宋体" w:cs="宋体"/>
          <w:color w:val="000000"/>
          <w:sz w:val="28"/>
          <w:szCs w:val="21"/>
          <w:lang w:val="en-US" w:eastAsia="zh-CN"/>
        </w:rPr>
        <w:t>JSZC-320904-JZCG-G2024-0007</w:t>
      </w:r>
    </w:p>
    <w:p>
      <w:pPr>
        <w:spacing w:line="5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2、项目名称：</w:t>
      </w:r>
      <w:r>
        <w:rPr>
          <w:rFonts w:hint="eastAsia" w:ascii="宋体" w:hAnsi="宋体" w:eastAsia="宋体" w:cs="宋体"/>
          <w:color w:val="000000"/>
          <w:sz w:val="24"/>
          <w:szCs w:val="24"/>
          <w:lang w:eastAsia="zh-CN"/>
        </w:rPr>
        <w:t>大桥中心卫生院新建卫生综合楼智能化建设项目</w:t>
      </w:r>
    </w:p>
    <w:bookmarkEnd w:id="6"/>
    <w:p>
      <w:pPr>
        <w:spacing w:line="5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3、预算金额：</w:t>
      </w:r>
      <w:r>
        <w:rPr>
          <w:rFonts w:hint="eastAsia" w:ascii="宋体" w:hAnsi="宋体" w:eastAsia="宋体" w:cs="宋体"/>
          <w:color w:val="000000"/>
          <w:sz w:val="24"/>
          <w:szCs w:val="24"/>
          <w:lang w:val="en-US" w:eastAsia="zh-CN"/>
        </w:rPr>
        <w:t>200</w:t>
      </w:r>
      <w:r>
        <w:rPr>
          <w:rFonts w:hint="eastAsia" w:ascii="宋体" w:hAnsi="宋体" w:eastAsia="宋体" w:cs="宋体"/>
          <w:color w:val="000000"/>
          <w:sz w:val="24"/>
          <w:szCs w:val="24"/>
        </w:rPr>
        <w:t>万元</w:t>
      </w:r>
    </w:p>
    <w:p>
      <w:pPr>
        <w:spacing w:line="5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4、最高限价：</w:t>
      </w:r>
      <w:r>
        <w:rPr>
          <w:rFonts w:hint="eastAsia" w:ascii="宋体" w:hAnsi="宋体" w:eastAsia="宋体" w:cs="宋体"/>
          <w:color w:val="000000"/>
          <w:sz w:val="24"/>
          <w:szCs w:val="24"/>
          <w:lang w:val="en-US" w:eastAsia="zh-CN"/>
        </w:rPr>
        <w:t>200</w:t>
      </w:r>
      <w:r>
        <w:rPr>
          <w:rFonts w:hint="eastAsia" w:ascii="宋体" w:hAnsi="宋体" w:eastAsia="宋体" w:cs="宋体"/>
          <w:color w:val="000000"/>
          <w:sz w:val="24"/>
          <w:szCs w:val="24"/>
        </w:rPr>
        <w:t>万元</w:t>
      </w:r>
    </w:p>
    <w:p>
      <w:pPr>
        <w:widowControl/>
        <w:spacing w:line="480" w:lineRule="exact"/>
        <w:ind w:firstLine="480" w:firstLineChars="200"/>
        <w:jc w:val="left"/>
        <w:textAlignment w:val="auto"/>
        <w:rPr>
          <w:rFonts w:hint="eastAsia" w:ascii="宋体" w:hAnsi="宋体" w:eastAsia="宋体" w:cs="宋体"/>
          <w:color w:val="000000"/>
          <w:sz w:val="24"/>
          <w:szCs w:val="24"/>
          <w:u w:val="single"/>
          <w:lang w:val="en-US" w:eastAsia="zh-CN"/>
        </w:rPr>
      </w:pPr>
      <w:r>
        <w:rPr>
          <w:rFonts w:hint="eastAsia" w:ascii="宋体" w:hAnsi="宋体" w:eastAsia="宋体" w:cs="宋体"/>
          <w:color w:val="000000"/>
          <w:sz w:val="24"/>
          <w:szCs w:val="24"/>
        </w:rPr>
        <w:t>5、采购需求：</w:t>
      </w:r>
      <w:r>
        <w:rPr>
          <w:rFonts w:hint="eastAsia" w:ascii="宋体" w:hAnsi="宋体" w:eastAsia="宋体" w:cs="宋体"/>
          <w:color w:val="000000"/>
          <w:sz w:val="24"/>
          <w:szCs w:val="24"/>
          <w:lang w:eastAsia="zh-CN"/>
        </w:rPr>
        <w:t>大桥中心卫生院新建卫生综合楼智能化建设项目；包含综合布线系统、监控系统、网络及安全系统、</w:t>
      </w:r>
      <w:r>
        <w:rPr>
          <w:rFonts w:hint="eastAsia" w:ascii="宋体" w:hAnsi="宋体" w:eastAsia="宋体" w:cs="宋体"/>
          <w:color w:val="000000"/>
          <w:sz w:val="24"/>
          <w:szCs w:val="24"/>
          <w:lang w:val="en-US" w:eastAsia="zh-CN"/>
        </w:rPr>
        <w:t>等保测评、</w:t>
      </w:r>
      <w:r>
        <w:rPr>
          <w:rFonts w:hint="eastAsia" w:ascii="宋体" w:hAnsi="宋体" w:eastAsia="宋体" w:cs="宋体"/>
          <w:color w:val="000000"/>
          <w:sz w:val="24"/>
          <w:szCs w:val="24"/>
          <w:lang w:eastAsia="zh-CN"/>
        </w:rPr>
        <w:t>信息发布系统、呼叫系统、有线电视系统、会议系统（示教室）、应急广播系统、弱电管道系统。详见本项目采购需求</w:t>
      </w:r>
      <w:r>
        <w:rPr>
          <w:rFonts w:hint="eastAsia" w:ascii="宋体" w:hAnsi="宋体" w:eastAsia="宋体" w:cs="宋体"/>
          <w:color w:val="000000"/>
          <w:sz w:val="24"/>
          <w:szCs w:val="24"/>
          <w:lang w:val="en-US" w:eastAsia="zh-CN"/>
        </w:rPr>
        <w:t>。</w:t>
      </w:r>
    </w:p>
    <w:p>
      <w:pPr>
        <w:spacing w:line="56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合同履行期限</w:t>
      </w:r>
      <w:r>
        <w:rPr>
          <w:rFonts w:hint="eastAsia" w:ascii="宋体" w:hAnsi="宋体" w:eastAsia="宋体" w:cs="宋体"/>
          <w:color w:val="auto"/>
          <w:sz w:val="24"/>
          <w:szCs w:val="24"/>
        </w:rPr>
        <w:t>：</w:t>
      </w:r>
      <w:r>
        <w:rPr>
          <w:rFonts w:hint="eastAsia" w:ascii="宋体" w:hAnsi="宋体" w:eastAsia="宋体" w:cs="宋体"/>
          <w:color w:val="000000"/>
          <w:sz w:val="24"/>
          <w:szCs w:val="24"/>
          <w:lang w:eastAsia="zh-CN"/>
        </w:rPr>
        <w:t>自合同签订之日起</w:t>
      </w:r>
      <w:r>
        <w:rPr>
          <w:rFonts w:hint="eastAsia" w:ascii="宋体" w:hAnsi="宋体" w:eastAsia="宋体" w:cs="宋体"/>
          <w:color w:val="000000"/>
          <w:sz w:val="24"/>
          <w:szCs w:val="24"/>
          <w:lang w:val="en-US" w:eastAsia="zh-CN"/>
        </w:rPr>
        <w:t>30</w:t>
      </w:r>
      <w:r>
        <w:rPr>
          <w:rFonts w:hint="eastAsia" w:ascii="宋体" w:hAnsi="宋体" w:eastAsia="宋体" w:cs="宋体"/>
          <w:color w:val="000000"/>
          <w:sz w:val="24"/>
          <w:szCs w:val="24"/>
          <w:lang w:eastAsia="zh-CN"/>
        </w:rPr>
        <w:t>日历天全部安装完成并经采购人经验收合格。</w:t>
      </w:r>
    </w:p>
    <w:p>
      <w:pPr>
        <w:spacing w:line="560" w:lineRule="exact"/>
        <w:ind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7、</w:t>
      </w:r>
      <w:r>
        <w:rPr>
          <w:rFonts w:hint="eastAsia" w:ascii="宋体" w:hAnsi="宋体" w:eastAsia="宋体" w:cs="宋体"/>
          <w:color w:val="000000"/>
          <w:sz w:val="24"/>
          <w:szCs w:val="24"/>
          <w:lang w:val="en-US" w:eastAsia="zh-CN"/>
        </w:rPr>
        <w:t>质保期：三年</w:t>
      </w:r>
    </w:p>
    <w:p>
      <w:pPr>
        <w:spacing w:line="5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资金来源：财政资金</w:t>
      </w:r>
    </w:p>
    <w:p>
      <w:pPr>
        <w:spacing w:line="560" w:lineRule="exact"/>
        <w:ind w:firstLine="480" w:firstLineChars="200"/>
        <w:jc w:val="left"/>
        <w:rPr>
          <w:rFonts w:hint="eastAsia" w:ascii="宋体" w:hAnsi="宋体" w:eastAsia="宋体" w:cs="宋体"/>
          <w:u w:val="single"/>
        </w:rPr>
      </w:pP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质量标准：相关质量验收规范合格标准，确保通过相关有关部门的审查，所有设备、材料质量等级符合招标文件中技术需求、国家现行的相关规范标准及有关部门最新颁布的相应的最新标准。为方便投标，投标文件编制时在开标一览表中可直接填写“合格”。</w:t>
      </w:r>
    </w:p>
    <w:p>
      <w:pPr>
        <w:spacing w:line="560" w:lineRule="exact"/>
        <w:ind w:firstLine="420" w:firstLineChars="200"/>
        <w:jc w:val="left"/>
        <w:rPr>
          <w:rFonts w:hint="eastAsia" w:ascii="宋体" w:hAnsi="宋体" w:eastAsia="宋体" w:cs="宋体"/>
          <w:color w:val="000000"/>
          <w:sz w:val="24"/>
          <w:szCs w:val="24"/>
        </w:rPr>
      </w:pPr>
      <w:r>
        <w:rPr>
          <w:rFonts w:hint="eastAsia" w:ascii="宋体" w:hAnsi="宋体" w:eastAsia="宋体" w:cs="宋体"/>
          <w:u w:val="none"/>
          <w:lang w:val="en-US" w:eastAsia="zh-CN"/>
        </w:rPr>
        <w:t>10、</w:t>
      </w:r>
      <w:r>
        <w:rPr>
          <w:rFonts w:hint="eastAsia" w:ascii="宋体" w:hAnsi="宋体" w:eastAsia="宋体" w:cs="宋体"/>
          <w:color w:val="000000"/>
          <w:sz w:val="24"/>
          <w:szCs w:val="24"/>
        </w:rPr>
        <w:t>本项目不接受联合体投标。</w:t>
      </w:r>
    </w:p>
    <w:p>
      <w:pPr>
        <w:pStyle w:val="3"/>
        <w:tabs>
          <w:tab w:val="left" w:pos="0"/>
          <w:tab w:val="left" w:pos="3165"/>
          <w:tab w:val="center" w:pos="4153"/>
        </w:tabs>
        <w:autoSpaceDE w:val="0"/>
        <w:autoSpaceDN w:val="0"/>
        <w:adjustRightInd w:val="0"/>
        <w:spacing w:line="560" w:lineRule="exact"/>
        <w:ind w:firstLine="482" w:firstLineChars="200"/>
        <w:jc w:val="left"/>
        <w:rPr>
          <w:rFonts w:hint="eastAsia" w:ascii="宋体" w:hAnsi="宋体" w:eastAsia="宋体" w:cs="宋体"/>
          <w:b/>
          <w:bCs/>
          <w:color w:val="000000"/>
          <w:sz w:val="24"/>
          <w:szCs w:val="24"/>
        </w:rPr>
      </w:pPr>
      <w:bookmarkStart w:id="7" w:name="_Toc28359003"/>
      <w:bookmarkStart w:id="8" w:name="_Toc28359080"/>
      <w:bookmarkStart w:id="9" w:name="_Toc2757"/>
      <w:bookmarkStart w:id="10" w:name="_Toc30894"/>
      <w:bookmarkStart w:id="11" w:name="_Toc35393622"/>
      <w:bookmarkStart w:id="12" w:name="_Toc35393791"/>
      <w:r>
        <w:rPr>
          <w:rFonts w:hint="eastAsia" w:ascii="宋体" w:hAnsi="宋体" w:eastAsia="宋体" w:cs="宋体"/>
          <w:b/>
          <w:bCs/>
          <w:color w:val="000000"/>
          <w:sz w:val="24"/>
          <w:szCs w:val="24"/>
        </w:rPr>
        <w:t>二、申请人的资格要求：</w:t>
      </w:r>
      <w:bookmarkEnd w:id="7"/>
      <w:bookmarkEnd w:id="8"/>
      <w:bookmarkEnd w:id="9"/>
      <w:bookmarkEnd w:id="10"/>
      <w:bookmarkEnd w:id="11"/>
      <w:bookmarkEnd w:id="12"/>
    </w:p>
    <w:p>
      <w:pPr>
        <w:spacing w:line="560" w:lineRule="exact"/>
        <w:ind w:firstLine="480" w:firstLineChars="200"/>
        <w:jc w:val="left"/>
        <w:rPr>
          <w:rFonts w:hint="eastAsia" w:ascii="宋体" w:hAnsi="宋体" w:eastAsia="宋体" w:cs="宋体"/>
          <w:color w:val="000000"/>
          <w:sz w:val="24"/>
          <w:szCs w:val="24"/>
        </w:rPr>
      </w:pPr>
      <w:bookmarkStart w:id="13" w:name="_Toc28359004"/>
      <w:bookmarkStart w:id="14" w:name="_Toc35393623"/>
      <w:bookmarkStart w:id="15" w:name="_Toc35393792"/>
      <w:bookmarkStart w:id="16" w:name="_Toc28359081"/>
      <w:r>
        <w:rPr>
          <w:rFonts w:hint="eastAsia" w:ascii="宋体" w:hAnsi="宋体" w:eastAsia="宋体" w:cs="宋体"/>
          <w:color w:val="000000"/>
          <w:sz w:val="24"/>
          <w:szCs w:val="24"/>
        </w:rPr>
        <w:t>1、满足《中华人民共和国政府采购法》第二十二条规定，并提供下列材料：</w:t>
      </w:r>
    </w:p>
    <w:p>
      <w:pPr>
        <w:spacing w:line="5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（1）法人或者其他组织的营业执照等证明文件。</w:t>
      </w:r>
    </w:p>
    <w:p>
      <w:pPr>
        <w:spacing w:line="5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（2）上一年度的财务报表（成立不满一年不需提供）。</w:t>
      </w:r>
    </w:p>
    <w:p>
      <w:pPr>
        <w:spacing w:line="5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（3）依法缴纳税收和社会保障资金的相关材料。</w:t>
      </w:r>
    </w:p>
    <w:p>
      <w:pPr>
        <w:spacing w:line="560" w:lineRule="exact"/>
        <w:ind w:firstLine="480" w:firstLineChars="200"/>
        <w:jc w:val="left"/>
        <w:rPr>
          <w:rFonts w:hint="eastAsia" w:ascii="宋体" w:hAnsi="宋体" w:eastAsia="宋体" w:cs="宋体"/>
          <w:iCs/>
          <w:color w:val="000000"/>
          <w:sz w:val="24"/>
          <w:szCs w:val="24"/>
        </w:rPr>
      </w:pPr>
      <w:r>
        <w:rPr>
          <w:rFonts w:hint="eastAsia" w:ascii="宋体" w:hAnsi="宋体" w:eastAsia="宋体" w:cs="宋体"/>
          <w:color w:val="000000"/>
          <w:sz w:val="24"/>
          <w:szCs w:val="24"/>
        </w:rPr>
        <w:t>（4）参加政府采购活动前3年内在经营活动中没有重大违法记录的书面声</w:t>
      </w:r>
      <w:r>
        <w:rPr>
          <w:rFonts w:hint="eastAsia" w:ascii="宋体" w:hAnsi="宋体" w:eastAsia="宋体" w:cs="宋体"/>
          <w:iCs/>
          <w:color w:val="000000"/>
          <w:sz w:val="24"/>
          <w:szCs w:val="24"/>
        </w:rPr>
        <w:t>明。</w:t>
      </w:r>
    </w:p>
    <w:p>
      <w:pPr>
        <w:spacing w:line="560" w:lineRule="exact"/>
        <w:ind w:firstLine="480" w:firstLineChars="200"/>
        <w:jc w:val="left"/>
        <w:rPr>
          <w:rFonts w:hint="eastAsia" w:ascii="宋体" w:hAnsi="宋体" w:eastAsia="宋体" w:cs="宋体"/>
          <w:iCs/>
          <w:color w:val="000000"/>
          <w:sz w:val="24"/>
          <w:szCs w:val="24"/>
        </w:rPr>
      </w:pPr>
      <w:r>
        <w:rPr>
          <w:rFonts w:hint="eastAsia" w:ascii="宋体" w:hAnsi="宋体" w:eastAsia="宋体" w:cs="宋体"/>
          <w:iCs/>
          <w:color w:val="000000"/>
          <w:sz w:val="24"/>
          <w:szCs w:val="24"/>
        </w:rPr>
        <w:t>（5）具备履行合同所必需的设备和专业技术能力的书面声明。</w:t>
      </w:r>
    </w:p>
    <w:p>
      <w:pPr>
        <w:spacing w:line="5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2、落实政府采购政策需满足的资格要求：</w:t>
      </w:r>
    </w:p>
    <w:tbl>
      <w:tblPr>
        <w:tblStyle w:val="18"/>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902"/>
        <w:gridCol w:w="4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ind w:right="-92" w:rightChars="-44"/>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3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ind w:right="-92" w:rightChars="-44"/>
              <w:jc w:val="center"/>
              <w:rPr>
                <w:rFonts w:hint="eastAsia" w:ascii="宋体" w:hAnsi="宋体" w:eastAsia="宋体" w:cs="宋体"/>
                <w:color w:val="000000"/>
                <w:sz w:val="24"/>
                <w:szCs w:val="24"/>
              </w:rPr>
            </w:pPr>
            <w:r>
              <w:rPr>
                <w:rFonts w:hint="eastAsia" w:ascii="宋体" w:hAnsi="宋体" w:eastAsia="宋体" w:cs="宋体"/>
                <w:color w:val="000000"/>
                <w:sz w:val="24"/>
                <w:szCs w:val="24"/>
              </w:rPr>
              <w:t>政策名称</w:t>
            </w:r>
          </w:p>
        </w:tc>
        <w:tc>
          <w:tcPr>
            <w:tcW w:w="42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ind w:right="-92" w:rightChars="-44"/>
              <w:jc w:val="center"/>
              <w:rPr>
                <w:rFonts w:hint="eastAsia" w:ascii="宋体" w:hAnsi="宋体" w:eastAsia="宋体" w:cs="宋体"/>
                <w:color w:val="000000"/>
                <w:sz w:val="24"/>
                <w:szCs w:val="24"/>
              </w:rPr>
            </w:pPr>
            <w:r>
              <w:rPr>
                <w:rFonts w:hint="eastAsia" w:ascii="宋体" w:hAnsi="宋体" w:eastAsia="宋体" w:cs="宋体"/>
                <w:color w:val="000000"/>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ind w:right="-92" w:rightChars="-44"/>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3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ind w:right="-92" w:rightChars="-44"/>
              <w:jc w:val="center"/>
              <w:rPr>
                <w:rFonts w:hint="eastAsia" w:ascii="宋体" w:hAnsi="宋体" w:eastAsia="宋体" w:cs="宋体"/>
                <w:color w:val="000000"/>
                <w:sz w:val="24"/>
                <w:szCs w:val="24"/>
              </w:rPr>
            </w:pPr>
            <w:r>
              <w:rPr>
                <w:rFonts w:hint="eastAsia" w:ascii="宋体" w:hAnsi="宋体" w:eastAsia="宋体" w:cs="宋体"/>
                <w:color w:val="000000"/>
                <w:sz w:val="24"/>
                <w:szCs w:val="24"/>
              </w:rPr>
              <w:t>政府采购促进中小企业发展</w:t>
            </w:r>
          </w:p>
        </w:tc>
        <w:tc>
          <w:tcPr>
            <w:tcW w:w="42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ind w:right="-92" w:rightChars="-44"/>
              <w:jc w:val="center"/>
              <w:rPr>
                <w:rFonts w:hint="eastAsia" w:ascii="宋体" w:hAnsi="宋体" w:eastAsia="宋体" w:cs="宋体"/>
                <w:color w:val="000000"/>
                <w:sz w:val="24"/>
                <w:szCs w:val="24"/>
              </w:rPr>
            </w:pPr>
            <w:r>
              <w:rPr>
                <w:rFonts w:hint="eastAsia" w:ascii="宋体" w:hAnsi="宋体" w:eastAsia="宋体" w:cs="宋体"/>
                <w:color w:val="000000"/>
                <w:sz w:val="24"/>
                <w:szCs w:val="24"/>
              </w:rPr>
              <w:t>提供材料详见招标文件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ind w:right="-92" w:rightChars="-44"/>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3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ind w:right="-92" w:rightChars="-44"/>
              <w:jc w:val="center"/>
              <w:rPr>
                <w:rFonts w:hint="eastAsia" w:ascii="宋体" w:hAnsi="宋体" w:eastAsia="宋体" w:cs="宋体"/>
                <w:color w:val="000000"/>
                <w:sz w:val="24"/>
                <w:szCs w:val="24"/>
              </w:rPr>
            </w:pPr>
            <w:r>
              <w:rPr>
                <w:rFonts w:hint="eastAsia" w:ascii="宋体" w:hAnsi="宋体" w:eastAsia="宋体" w:cs="宋体"/>
                <w:color w:val="000000"/>
                <w:sz w:val="24"/>
                <w:szCs w:val="24"/>
              </w:rPr>
              <w:t>政府采购支持监狱企业发展</w:t>
            </w:r>
          </w:p>
        </w:tc>
        <w:tc>
          <w:tcPr>
            <w:tcW w:w="42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ind w:right="-92" w:rightChars="-44"/>
              <w:jc w:val="center"/>
              <w:rPr>
                <w:rFonts w:hint="eastAsia" w:ascii="宋体" w:hAnsi="宋体" w:eastAsia="宋体" w:cs="宋体"/>
                <w:color w:val="000000"/>
                <w:sz w:val="24"/>
                <w:szCs w:val="24"/>
              </w:rPr>
            </w:pPr>
            <w:r>
              <w:rPr>
                <w:rFonts w:hint="eastAsia" w:ascii="宋体" w:hAnsi="宋体" w:eastAsia="宋体" w:cs="宋体"/>
                <w:color w:val="000000"/>
                <w:sz w:val="24"/>
                <w:szCs w:val="24"/>
              </w:rPr>
              <w:t>提供材料详见招标文件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ind w:right="-92" w:rightChars="-44"/>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3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ind w:right="-92" w:rightChars="-44"/>
              <w:jc w:val="center"/>
              <w:rPr>
                <w:rFonts w:hint="eastAsia" w:ascii="宋体" w:hAnsi="宋体" w:eastAsia="宋体" w:cs="宋体"/>
                <w:color w:val="000000"/>
                <w:sz w:val="24"/>
                <w:szCs w:val="24"/>
              </w:rPr>
            </w:pPr>
            <w:r>
              <w:rPr>
                <w:rFonts w:hint="eastAsia" w:ascii="宋体" w:hAnsi="宋体" w:eastAsia="宋体" w:cs="宋体"/>
                <w:color w:val="000000"/>
                <w:sz w:val="24"/>
                <w:szCs w:val="24"/>
              </w:rPr>
              <w:t>政府采购促进残疾人就业</w:t>
            </w:r>
          </w:p>
        </w:tc>
        <w:tc>
          <w:tcPr>
            <w:tcW w:w="42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ind w:right="-92" w:rightChars="-44"/>
              <w:jc w:val="center"/>
              <w:rPr>
                <w:rFonts w:hint="eastAsia" w:ascii="宋体" w:hAnsi="宋体" w:eastAsia="宋体" w:cs="宋体"/>
                <w:color w:val="000000"/>
                <w:sz w:val="24"/>
                <w:szCs w:val="24"/>
              </w:rPr>
            </w:pPr>
            <w:r>
              <w:rPr>
                <w:rFonts w:hint="eastAsia" w:ascii="宋体" w:hAnsi="宋体" w:eastAsia="宋体" w:cs="宋体"/>
                <w:color w:val="000000"/>
                <w:sz w:val="24"/>
                <w:szCs w:val="24"/>
              </w:rPr>
              <w:t>提供材料详见招标文件</w:t>
            </w:r>
          </w:p>
        </w:tc>
      </w:tr>
    </w:tbl>
    <w:p>
      <w:pPr>
        <w:spacing w:line="560" w:lineRule="exact"/>
        <w:ind w:firstLine="480" w:firstLineChars="200"/>
        <w:jc w:val="left"/>
        <w:rPr>
          <w:rFonts w:hint="eastAsia" w:ascii="宋体" w:hAnsi="宋体" w:eastAsia="宋体" w:cs="宋体"/>
          <w:iCs/>
          <w:color w:val="000000"/>
          <w:sz w:val="24"/>
          <w:szCs w:val="24"/>
        </w:rPr>
      </w:pPr>
      <w:r>
        <w:rPr>
          <w:rFonts w:hint="eastAsia" w:ascii="宋体" w:hAnsi="宋体" w:eastAsia="宋体" w:cs="宋体"/>
          <w:b w:val="0"/>
          <w:bCs w:val="0"/>
          <w:iCs/>
          <w:color w:val="000000"/>
          <w:sz w:val="24"/>
          <w:szCs w:val="24"/>
        </w:rPr>
        <w:t>3、本项目的特定资格要求</w:t>
      </w:r>
      <w:r>
        <w:rPr>
          <w:rFonts w:hint="eastAsia" w:ascii="宋体" w:hAnsi="宋体" w:eastAsia="宋体" w:cs="宋体"/>
          <w:iCs/>
          <w:color w:val="000000"/>
          <w:sz w:val="24"/>
          <w:szCs w:val="24"/>
        </w:rPr>
        <w:t>：</w:t>
      </w:r>
    </w:p>
    <w:p>
      <w:pPr>
        <w:pStyle w:val="3"/>
        <w:tabs>
          <w:tab w:val="left" w:pos="0"/>
          <w:tab w:val="left" w:pos="3165"/>
          <w:tab w:val="center" w:pos="4153"/>
        </w:tabs>
        <w:autoSpaceDE w:val="0"/>
        <w:autoSpaceDN w:val="0"/>
        <w:adjustRightInd w:val="0"/>
        <w:spacing w:line="560" w:lineRule="exact"/>
        <w:ind w:firstLine="480" w:firstLineChars="200"/>
        <w:jc w:val="left"/>
        <w:rPr>
          <w:rFonts w:hint="eastAsia" w:ascii="宋体" w:hAnsi="宋体" w:eastAsia="宋体" w:cs="宋体"/>
          <w:iCs/>
          <w:color w:val="000000"/>
          <w:kern w:val="2"/>
          <w:sz w:val="24"/>
          <w:szCs w:val="24"/>
          <w:lang w:val="en-US" w:eastAsia="zh-CN" w:bidi="ar-SA"/>
        </w:rPr>
      </w:pPr>
      <w:bookmarkStart w:id="17" w:name="_Toc20702"/>
      <w:bookmarkStart w:id="18" w:name="_Toc7098"/>
      <w:r>
        <w:rPr>
          <w:rFonts w:hint="eastAsia" w:ascii="宋体" w:hAnsi="宋体" w:eastAsia="宋体" w:cs="宋体"/>
          <w:iCs/>
          <w:color w:val="000000"/>
          <w:kern w:val="2"/>
          <w:sz w:val="24"/>
          <w:szCs w:val="24"/>
          <w:lang w:val="en-US" w:eastAsia="zh-CN" w:bidi="ar-SA"/>
        </w:rPr>
        <w:t>（1）未被“信用中国”网站（www.creditchina.gov.cn）列入失信被执行人、重大税收违法案件当事人名单、政府采购严重失信行为记录名单。</w:t>
      </w:r>
    </w:p>
    <w:p>
      <w:pPr>
        <w:pStyle w:val="3"/>
        <w:tabs>
          <w:tab w:val="left" w:pos="0"/>
          <w:tab w:val="left" w:pos="3165"/>
          <w:tab w:val="center" w:pos="4153"/>
        </w:tabs>
        <w:autoSpaceDE w:val="0"/>
        <w:autoSpaceDN w:val="0"/>
        <w:adjustRightInd w:val="0"/>
        <w:spacing w:line="560" w:lineRule="exact"/>
        <w:ind w:firstLine="480" w:firstLineChars="200"/>
        <w:jc w:val="left"/>
        <w:rPr>
          <w:rFonts w:hint="eastAsia" w:ascii="宋体" w:hAnsi="宋体" w:eastAsia="宋体" w:cs="宋体"/>
          <w:iCs/>
          <w:color w:val="000000"/>
          <w:kern w:val="2"/>
          <w:sz w:val="24"/>
          <w:szCs w:val="24"/>
          <w:lang w:val="en-US" w:eastAsia="zh-CN" w:bidi="ar-SA"/>
        </w:rPr>
      </w:pPr>
      <w:r>
        <w:rPr>
          <w:rFonts w:hint="eastAsia" w:ascii="宋体" w:hAnsi="宋体" w:eastAsia="宋体" w:cs="宋体"/>
          <w:iCs/>
          <w:color w:val="000000"/>
          <w:kern w:val="2"/>
          <w:sz w:val="24"/>
          <w:szCs w:val="24"/>
          <w:lang w:val="en-US" w:eastAsia="zh-CN" w:bidi="ar-SA"/>
        </w:rPr>
        <w:t>（2）投标人单位负责人为同一人或者存在直接控股、管理关系的不同投标人，不得参加同一标段投标活动；</w:t>
      </w:r>
    </w:p>
    <w:p>
      <w:pPr>
        <w:pStyle w:val="3"/>
        <w:tabs>
          <w:tab w:val="left" w:pos="0"/>
          <w:tab w:val="left" w:pos="3165"/>
          <w:tab w:val="center" w:pos="4153"/>
        </w:tabs>
        <w:autoSpaceDE w:val="0"/>
        <w:autoSpaceDN w:val="0"/>
        <w:adjustRightInd w:val="0"/>
        <w:spacing w:line="560" w:lineRule="exact"/>
        <w:ind w:firstLine="480" w:firstLineChars="200"/>
        <w:jc w:val="left"/>
        <w:rPr>
          <w:rFonts w:hint="eastAsia" w:ascii="宋体" w:hAnsi="宋体" w:eastAsia="宋体" w:cs="宋体"/>
          <w:iCs/>
          <w:color w:val="000000"/>
          <w:kern w:val="2"/>
          <w:sz w:val="24"/>
          <w:szCs w:val="24"/>
          <w:lang w:val="en-US" w:eastAsia="zh-CN" w:bidi="ar-SA"/>
        </w:rPr>
      </w:pPr>
      <w:r>
        <w:rPr>
          <w:rFonts w:hint="eastAsia" w:ascii="宋体" w:hAnsi="宋体" w:eastAsia="宋体" w:cs="宋体"/>
          <w:iCs/>
          <w:color w:val="000000"/>
          <w:kern w:val="2"/>
          <w:sz w:val="24"/>
          <w:szCs w:val="24"/>
          <w:lang w:val="en-US" w:eastAsia="zh-CN" w:bidi="ar-SA"/>
        </w:rPr>
        <w:t>（3）未被列入“信用中国”网站（www.creditchina.gov.cn）失信被执行人名单、重大税收违法案件当事人名单和中国政府采购网（www.ccgp.gov.cn）政府采购严重违法失信行为记录名单。</w:t>
      </w:r>
    </w:p>
    <w:p>
      <w:pPr>
        <w:pStyle w:val="3"/>
        <w:tabs>
          <w:tab w:val="left" w:pos="0"/>
          <w:tab w:val="left" w:pos="3165"/>
          <w:tab w:val="center" w:pos="4153"/>
        </w:tabs>
        <w:autoSpaceDE w:val="0"/>
        <w:autoSpaceDN w:val="0"/>
        <w:adjustRightInd w:val="0"/>
        <w:spacing w:line="560" w:lineRule="exact"/>
        <w:ind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三、获取招标文件</w:t>
      </w:r>
      <w:bookmarkEnd w:id="13"/>
      <w:bookmarkEnd w:id="14"/>
      <w:bookmarkEnd w:id="15"/>
      <w:bookmarkEnd w:id="16"/>
      <w:bookmarkEnd w:id="17"/>
      <w:bookmarkEnd w:id="18"/>
    </w:p>
    <w:p>
      <w:pPr>
        <w:spacing w:line="560" w:lineRule="exact"/>
        <w:ind w:firstLine="480" w:firstLineChars="20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1、时间：</w:t>
      </w:r>
      <w:r>
        <w:rPr>
          <w:rFonts w:hint="eastAsia" w:ascii="宋体" w:hAnsi="宋体" w:eastAsia="宋体" w:cs="宋体"/>
          <w:iCs/>
          <w:color w:val="000000"/>
          <w:sz w:val="24"/>
          <w:szCs w:val="24"/>
        </w:rPr>
        <w:t>自公告发布之日起</w:t>
      </w:r>
      <w:r>
        <w:rPr>
          <w:rFonts w:hint="eastAsia" w:ascii="宋体" w:hAnsi="宋体" w:eastAsia="宋体" w:cs="宋体"/>
          <w:iCs/>
          <w:color w:val="000000"/>
          <w:sz w:val="24"/>
          <w:szCs w:val="24"/>
          <w:lang w:val="en-US" w:eastAsia="zh-CN"/>
        </w:rPr>
        <w:t>至投标截止之时止</w:t>
      </w:r>
      <w:bookmarkStart w:id="78" w:name="_GoBack"/>
      <w:bookmarkEnd w:id="78"/>
      <w:r>
        <w:rPr>
          <w:rFonts w:hint="eastAsia" w:ascii="宋体" w:hAnsi="宋体" w:eastAsia="宋体" w:cs="宋体"/>
          <w:color w:val="000000"/>
          <w:sz w:val="24"/>
          <w:szCs w:val="24"/>
          <w:lang w:val="en-US" w:eastAsia="zh-CN"/>
        </w:rPr>
        <w:t>。</w:t>
      </w:r>
    </w:p>
    <w:p>
      <w:pPr>
        <w:spacing w:line="5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2、地点：“苏采云”政府采购交易系统网上开标大厅。</w:t>
      </w:r>
    </w:p>
    <w:p>
      <w:pPr>
        <w:spacing w:line="5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3、方式：在“江苏政府采购网”自行免费下载招标文件。</w:t>
      </w:r>
    </w:p>
    <w:p>
      <w:pPr>
        <w:widowControl/>
        <w:shd w:val="clear" w:color="auto" w:fill="FFFFFF"/>
        <w:spacing w:line="5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4、售价：免费</w:t>
      </w:r>
    </w:p>
    <w:p>
      <w:pPr>
        <w:widowControl/>
        <w:shd w:val="clear" w:color="auto" w:fill="FFFFFF"/>
        <w:spacing w:line="560" w:lineRule="exact"/>
        <w:ind w:firstLine="480" w:firstLineChars="200"/>
        <w:jc w:val="left"/>
        <w:rPr>
          <w:rFonts w:hint="eastAsia" w:ascii="宋体" w:hAnsi="宋体" w:eastAsia="宋体" w:cs="宋体"/>
          <w:color w:val="000000"/>
          <w:sz w:val="24"/>
          <w:szCs w:val="24"/>
        </w:rPr>
      </w:pPr>
      <w:bookmarkStart w:id="19" w:name="_Toc42249797"/>
      <w:bookmarkStart w:id="20" w:name="_Toc42249844"/>
      <w:bookmarkStart w:id="21" w:name="QLCZYSX_1"/>
      <w:r>
        <w:rPr>
          <w:rFonts w:hint="eastAsia" w:ascii="宋体" w:hAnsi="宋体" w:eastAsia="宋体" w:cs="宋体"/>
          <w:color w:val="000000"/>
          <w:sz w:val="24"/>
          <w:szCs w:val="24"/>
        </w:rPr>
        <w:t>5、注意事项：</w:t>
      </w:r>
    </w:p>
    <w:bookmarkEnd w:id="19"/>
    <w:bookmarkEnd w:id="20"/>
    <w:bookmarkEnd w:id="21"/>
    <w:p>
      <w:pPr>
        <w:pStyle w:val="3"/>
        <w:tabs>
          <w:tab w:val="left" w:pos="0"/>
          <w:tab w:val="left" w:pos="3165"/>
          <w:tab w:val="center" w:pos="4153"/>
        </w:tabs>
        <w:autoSpaceDE w:val="0"/>
        <w:autoSpaceDN w:val="0"/>
        <w:adjustRightInd w:val="0"/>
        <w:spacing w:line="560" w:lineRule="exact"/>
        <w:ind w:firstLine="480" w:firstLineChars="200"/>
        <w:jc w:val="left"/>
        <w:rPr>
          <w:rFonts w:hint="eastAsia" w:ascii="宋体" w:hAnsi="宋体" w:eastAsia="宋体" w:cs="宋体"/>
          <w:color w:val="000000"/>
          <w:kern w:val="2"/>
          <w:sz w:val="24"/>
          <w:szCs w:val="24"/>
          <w:lang w:val="en-US" w:eastAsia="zh-CN" w:bidi="ar-SA"/>
        </w:rPr>
      </w:pPr>
      <w:bookmarkStart w:id="22" w:name="_Toc28359082"/>
      <w:bookmarkStart w:id="23" w:name="_Toc28359005"/>
      <w:bookmarkStart w:id="24" w:name="_Toc35393624"/>
      <w:bookmarkStart w:id="25" w:name="_Toc20333"/>
      <w:bookmarkStart w:id="26" w:name="_Toc35393793"/>
      <w:bookmarkStart w:id="27" w:name="_Toc5556"/>
      <w:r>
        <w:rPr>
          <w:rFonts w:hint="eastAsia" w:ascii="宋体" w:hAnsi="宋体" w:eastAsia="宋体" w:cs="宋体"/>
          <w:color w:val="000000"/>
          <w:kern w:val="2"/>
          <w:sz w:val="24"/>
          <w:szCs w:val="24"/>
          <w:lang w:val="en-US" w:eastAsia="zh-CN" w:bidi="ar-SA"/>
        </w:rPr>
        <w:t>1、首先在江苏省政府采购管理交易系统（苏采云）首页入口进行供应商注册：注册用户后使用用户密码登录，填写供应商单位详情并提交，待审核通过入库成为“正式供应商”后，按系统提示绑定CA，即可在线参与采购投标活动。</w:t>
      </w:r>
    </w:p>
    <w:p>
      <w:pPr>
        <w:pStyle w:val="3"/>
        <w:tabs>
          <w:tab w:val="left" w:pos="0"/>
          <w:tab w:val="left" w:pos="3165"/>
          <w:tab w:val="center" w:pos="4153"/>
        </w:tabs>
        <w:autoSpaceDE w:val="0"/>
        <w:autoSpaceDN w:val="0"/>
        <w:adjustRightInd w:val="0"/>
        <w:spacing w:line="56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2、政务CA及方正签章相关安装软件，可在苏采云平台首页的【苏采云控件驱动</w:t>
      </w:r>
    </w:p>
    <w:p>
      <w:pPr>
        <w:pStyle w:val="3"/>
        <w:tabs>
          <w:tab w:val="left" w:pos="0"/>
          <w:tab w:val="left" w:pos="3165"/>
          <w:tab w:val="center" w:pos="4153"/>
        </w:tabs>
        <w:autoSpaceDE w:val="0"/>
        <w:autoSpaceDN w:val="0"/>
        <w:adjustRightInd w:val="0"/>
        <w:spacing w:line="56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下载】-【政务CA、方正签章控件驱动安装包及安装说明】下载获取。</w:t>
      </w:r>
    </w:p>
    <w:p>
      <w:pPr>
        <w:pStyle w:val="3"/>
        <w:tabs>
          <w:tab w:val="left" w:pos="0"/>
          <w:tab w:val="left" w:pos="3165"/>
          <w:tab w:val="center" w:pos="4153"/>
        </w:tabs>
        <w:autoSpaceDE w:val="0"/>
        <w:autoSpaceDN w:val="0"/>
        <w:adjustRightInd w:val="0"/>
        <w:spacing w:line="56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3、有关本次招标的事项若存在变动或修改，敬请及时关注江苏政府采购网、盐城市政府采购网发布的更正公告。</w:t>
      </w:r>
    </w:p>
    <w:p>
      <w:pPr>
        <w:pStyle w:val="3"/>
        <w:tabs>
          <w:tab w:val="left" w:pos="0"/>
          <w:tab w:val="left" w:pos="3165"/>
          <w:tab w:val="center" w:pos="4153"/>
        </w:tabs>
        <w:autoSpaceDE w:val="0"/>
        <w:autoSpaceDN w:val="0"/>
        <w:adjustRightInd w:val="0"/>
        <w:spacing w:line="56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4、本项目采取“全流程电子化不见面”开标模式，开标当日无需投标单位授权代表到达开标现场。</w:t>
      </w:r>
    </w:p>
    <w:p>
      <w:pPr>
        <w:pStyle w:val="3"/>
        <w:tabs>
          <w:tab w:val="left" w:pos="0"/>
          <w:tab w:val="left" w:pos="3165"/>
          <w:tab w:val="center" w:pos="4153"/>
        </w:tabs>
        <w:autoSpaceDE w:val="0"/>
        <w:autoSpaceDN w:val="0"/>
        <w:adjustRightInd w:val="0"/>
        <w:spacing w:line="56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各投标人须在开标前使用“验证CA”功能验证本地计算机的控件环境是否正常（电脑需配备摄像头、麦克风和音响，用于保障不见面交易能够完成相关视频对话、演示），并且在开评标过程中不可随意更换电脑，必须使用验证成功的电脑进行操作，否则造成相应后果由投标人自行承担。</w:t>
      </w:r>
    </w:p>
    <w:p>
      <w:pPr>
        <w:pStyle w:val="3"/>
        <w:tabs>
          <w:tab w:val="left" w:pos="0"/>
          <w:tab w:val="left" w:pos="3165"/>
          <w:tab w:val="center" w:pos="4153"/>
        </w:tabs>
        <w:autoSpaceDE w:val="0"/>
        <w:autoSpaceDN w:val="0"/>
        <w:adjustRightInd w:val="0"/>
        <w:spacing w:line="56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如潜在投标人未按上述要求操作，将自行承担所产生的风险。</w:t>
      </w:r>
    </w:p>
    <w:p>
      <w:pPr>
        <w:pStyle w:val="3"/>
        <w:tabs>
          <w:tab w:val="left" w:pos="0"/>
          <w:tab w:val="left" w:pos="3165"/>
          <w:tab w:val="center" w:pos="4153"/>
        </w:tabs>
        <w:autoSpaceDE w:val="0"/>
        <w:autoSpaceDN w:val="0"/>
        <w:adjustRightInd w:val="0"/>
        <w:spacing w:line="560" w:lineRule="exact"/>
        <w:ind w:firstLine="482" w:firstLineChars="200"/>
        <w:jc w:val="left"/>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四、提交投标文件</w:t>
      </w:r>
      <w:bookmarkEnd w:id="22"/>
      <w:bookmarkEnd w:id="23"/>
      <w:r>
        <w:rPr>
          <w:rFonts w:hint="eastAsia" w:ascii="宋体" w:hAnsi="宋体" w:eastAsia="宋体" w:cs="宋体"/>
          <w:b/>
          <w:bCs/>
          <w:color w:val="000000"/>
          <w:kern w:val="2"/>
          <w:sz w:val="24"/>
          <w:szCs w:val="24"/>
          <w:lang w:val="en-US" w:eastAsia="zh-CN" w:bidi="ar-SA"/>
        </w:rPr>
        <w:t>截止时间、开标时间和地点</w:t>
      </w:r>
      <w:bookmarkEnd w:id="24"/>
      <w:bookmarkEnd w:id="25"/>
      <w:bookmarkEnd w:id="26"/>
      <w:bookmarkEnd w:id="27"/>
    </w:p>
    <w:p>
      <w:pPr>
        <w:spacing w:line="560" w:lineRule="exact"/>
        <w:ind w:firstLine="480" w:firstLineChars="200"/>
        <w:jc w:val="left"/>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1、提交投标文件截止时间、开标时间：202</w:t>
      </w:r>
      <w:r>
        <w:rPr>
          <w:rFonts w:hint="eastAsia" w:ascii="宋体" w:hAnsi="宋体" w:eastAsia="宋体" w:cs="宋体"/>
          <w:bCs/>
          <w:color w:val="000000"/>
          <w:sz w:val="24"/>
          <w:szCs w:val="24"/>
          <w:lang w:val="en-US" w:eastAsia="zh-CN"/>
        </w:rPr>
        <w:t>4</w:t>
      </w:r>
      <w:r>
        <w:rPr>
          <w:rFonts w:hint="eastAsia" w:ascii="宋体" w:hAnsi="宋体" w:eastAsia="宋体" w:cs="宋体"/>
          <w:bCs/>
          <w:color w:val="000000"/>
          <w:sz w:val="24"/>
          <w:szCs w:val="24"/>
        </w:rPr>
        <w:t>年</w:t>
      </w:r>
      <w:r>
        <w:rPr>
          <w:rFonts w:hint="eastAsia" w:ascii="宋体" w:hAnsi="宋体" w:eastAsia="宋体" w:cs="宋体"/>
          <w:bCs/>
          <w:color w:val="000000"/>
          <w:sz w:val="24"/>
          <w:szCs w:val="24"/>
          <w:u w:val="single"/>
          <w:lang w:val="en-US" w:eastAsia="zh-CN"/>
        </w:rPr>
        <w:t xml:space="preserve"> 3 </w:t>
      </w:r>
      <w:r>
        <w:rPr>
          <w:rFonts w:hint="eastAsia" w:ascii="宋体" w:hAnsi="宋体" w:eastAsia="宋体" w:cs="宋体"/>
          <w:bCs/>
          <w:color w:val="000000"/>
          <w:sz w:val="24"/>
          <w:szCs w:val="24"/>
        </w:rPr>
        <w:t>月</w:t>
      </w:r>
      <w:r>
        <w:rPr>
          <w:rFonts w:hint="eastAsia" w:ascii="宋体" w:hAnsi="宋体" w:eastAsia="宋体" w:cs="宋体"/>
          <w:bCs/>
          <w:color w:val="000000"/>
          <w:sz w:val="24"/>
          <w:szCs w:val="24"/>
          <w:u w:val="single"/>
          <w:lang w:val="en-US" w:eastAsia="zh-CN"/>
        </w:rPr>
        <w:t xml:space="preserve"> 18 </w:t>
      </w:r>
      <w:r>
        <w:rPr>
          <w:rFonts w:hint="eastAsia" w:ascii="宋体" w:hAnsi="宋体" w:eastAsia="宋体" w:cs="宋体"/>
          <w:bCs/>
          <w:color w:val="000000"/>
          <w:sz w:val="24"/>
          <w:szCs w:val="24"/>
        </w:rPr>
        <w:t>日</w:t>
      </w:r>
      <w:r>
        <w:rPr>
          <w:rFonts w:hint="eastAsia" w:ascii="宋体" w:hAnsi="宋体" w:eastAsia="宋体" w:cs="宋体"/>
          <w:bCs/>
          <w:color w:val="000000"/>
          <w:sz w:val="24"/>
          <w:szCs w:val="24"/>
          <w:lang w:val="en-US" w:eastAsia="zh-CN"/>
        </w:rPr>
        <w:t xml:space="preserve"> </w:t>
      </w:r>
      <w:r>
        <w:rPr>
          <w:rFonts w:hint="eastAsia" w:ascii="宋体" w:hAnsi="宋体" w:eastAsia="宋体" w:cs="宋体"/>
          <w:bCs/>
          <w:color w:val="000000"/>
          <w:sz w:val="24"/>
          <w:szCs w:val="24"/>
          <w:u w:val="single"/>
          <w:lang w:val="en-US" w:eastAsia="zh-CN"/>
        </w:rPr>
        <w:t>10:00</w:t>
      </w:r>
      <w:r>
        <w:rPr>
          <w:rFonts w:hint="eastAsia" w:ascii="宋体" w:hAnsi="宋体" w:eastAsia="宋体" w:cs="宋体"/>
          <w:bCs/>
          <w:color w:val="000000"/>
          <w:sz w:val="24"/>
          <w:szCs w:val="24"/>
          <w:u w:val="none"/>
          <w:lang w:val="en-US" w:eastAsia="zh-CN"/>
        </w:rPr>
        <w:t>分</w:t>
      </w:r>
      <w:r>
        <w:rPr>
          <w:rFonts w:hint="eastAsia" w:ascii="宋体" w:hAnsi="宋体" w:eastAsia="宋体" w:cs="宋体"/>
          <w:bCs/>
          <w:color w:val="000000"/>
          <w:sz w:val="24"/>
          <w:szCs w:val="24"/>
        </w:rPr>
        <w:t>（北京时间）</w:t>
      </w:r>
    </w:p>
    <w:p>
      <w:pPr>
        <w:widowControl/>
        <w:shd w:val="clear" w:color="auto" w:fill="FFFFFF"/>
        <w:spacing w:line="560" w:lineRule="exact"/>
        <w:ind w:firstLine="480" w:firstLineChars="200"/>
        <w:jc w:val="left"/>
        <w:rPr>
          <w:rFonts w:hint="eastAsia" w:ascii="宋体" w:hAnsi="宋体" w:eastAsia="宋体" w:cs="宋体"/>
          <w:bCs/>
          <w:color w:val="000000"/>
          <w:sz w:val="24"/>
          <w:szCs w:val="24"/>
          <w:u w:val="single"/>
        </w:rPr>
      </w:pPr>
      <w:r>
        <w:rPr>
          <w:rFonts w:hint="eastAsia" w:ascii="宋体" w:hAnsi="宋体" w:eastAsia="宋体" w:cs="宋体"/>
          <w:color w:val="000000"/>
          <w:sz w:val="24"/>
          <w:szCs w:val="24"/>
        </w:rPr>
        <w:t>2、地点：苏采云系统不见面开标大厅。</w:t>
      </w:r>
    </w:p>
    <w:p>
      <w:pPr>
        <w:pStyle w:val="3"/>
        <w:tabs>
          <w:tab w:val="left" w:pos="0"/>
          <w:tab w:val="left" w:pos="3165"/>
          <w:tab w:val="center" w:pos="4153"/>
        </w:tabs>
        <w:autoSpaceDE w:val="0"/>
        <w:autoSpaceDN w:val="0"/>
        <w:adjustRightInd w:val="0"/>
        <w:spacing w:line="560" w:lineRule="exact"/>
        <w:ind w:firstLine="482" w:firstLineChars="200"/>
        <w:jc w:val="left"/>
        <w:rPr>
          <w:rFonts w:hint="eastAsia" w:ascii="宋体" w:hAnsi="宋体" w:eastAsia="宋体" w:cs="宋体"/>
          <w:b/>
          <w:bCs/>
          <w:color w:val="000000"/>
          <w:sz w:val="24"/>
          <w:szCs w:val="24"/>
        </w:rPr>
      </w:pPr>
      <w:bookmarkStart w:id="28" w:name="_Toc29825"/>
      <w:bookmarkStart w:id="29" w:name="_Toc28359084"/>
      <w:bookmarkStart w:id="30" w:name="_Toc14527"/>
      <w:bookmarkStart w:id="31" w:name="_Toc28359007"/>
      <w:bookmarkStart w:id="32" w:name="_Toc35393794"/>
      <w:bookmarkStart w:id="33" w:name="_Toc35393625"/>
      <w:r>
        <w:rPr>
          <w:rFonts w:hint="eastAsia" w:ascii="宋体" w:hAnsi="宋体" w:eastAsia="宋体" w:cs="宋体"/>
          <w:b/>
          <w:bCs/>
          <w:color w:val="000000"/>
          <w:sz w:val="24"/>
          <w:szCs w:val="24"/>
        </w:rPr>
        <w:t>五、公告期限</w:t>
      </w:r>
      <w:bookmarkEnd w:id="28"/>
      <w:bookmarkEnd w:id="29"/>
      <w:bookmarkEnd w:id="30"/>
      <w:bookmarkEnd w:id="31"/>
      <w:bookmarkEnd w:id="32"/>
      <w:bookmarkEnd w:id="33"/>
    </w:p>
    <w:p>
      <w:pPr>
        <w:spacing w:line="5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自本公告发布之日起5个工作日。</w:t>
      </w:r>
    </w:p>
    <w:p>
      <w:pPr>
        <w:pStyle w:val="3"/>
        <w:tabs>
          <w:tab w:val="left" w:pos="0"/>
          <w:tab w:val="left" w:pos="3165"/>
          <w:tab w:val="center" w:pos="4153"/>
        </w:tabs>
        <w:autoSpaceDE w:val="0"/>
        <w:autoSpaceDN w:val="0"/>
        <w:adjustRightInd w:val="0"/>
        <w:spacing w:line="560" w:lineRule="exact"/>
        <w:ind w:firstLine="482" w:firstLineChars="200"/>
        <w:jc w:val="left"/>
        <w:rPr>
          <w:rFonts w:hint="eastAsia" w:ascii="宋体" w:hAnsi="宋体" w:eastAsia="宋体" w:cs="宋体"/>
          <w:b/>
          <w:bCs/>
          <w:color w:val="000000"/>
          <w:sz w:val="24"/>
          <w:szCs w:val="24"/>
        </w:rPr>
      </w:pPr>
      <w:bookmarkStart w:id="34" w:name="_Toc16554"/>
      <w:bookmarkStart w:id="35" w:name="_Toc5671"/>
      <w:bookmarkStart w:id="36" w:name="_Toc35393795"/>
      <w:bookmarkStart w:id="37" w:name="_Toc35393626"/>
      <w:r>
        <w:rPr>
          <w:rFonts w:hint="eastAsia" w:ascii="宋体" w:hAnsi="宋体" w:eastAsia="宋体" w:cs="宋体"/>
          <w:b/>
          <w:bCs/>
          <w:color w:val="000000"/>
          <w:sz w:val="24"/>
          <w:szCs w:val="24"/>
        </w:rPr>
        <w:t>六、其他补充事宜</w:t>
      </w:r>
      <w:bookmarkEnd w:id="34"/>
      <w:bookmarkEnd w:id="35"/>
      <w:bookmarkEnd w:id="36"/>
      <w:bookmarkEnd w:id="37"/>
    </w:p>
    <w:p>
      <w:pPr>
        <w:widowControl/>
        <w:shd w:val="clear" w:color="auto" w:fill="FFFFFF"/>
        <w:spacing w:line="560" w:lineRule="exact"/>
        <w:ind w:firstLine="480" w:firstLineChars="200"/>
        <w:jc w:val="left"/>
        <w:rPr>
          <w:rFonts w:hint="eastAsia" w:ascii="宋体" w:hAnsi="宋体" w:eastAsia="宋体" w:cs="宋体"/>
          <w:color w:val="000000"/>
          <w:sz w:val="24"/>
          <w:szCs w:val="24"/>
        </w:rPr>
      </w:pPr>
      <w:bookmarkStart w:id="38" w:name="_Toc35393627"/>
      <w:bookmarkStart w:id="39" w:name="_Toc35393796"/>
      <w:bookmarkStart w:id="40" w:name="_Toc28359008"/>
      <w:bookmarkStart w:id="41" w:name="_Toc28359085"/>
      <w:r>
        <w:rPr>
          <w:rFonts w:hint="eastAsia" w:ascii="宋体" w:hAnsi="宋体" w:eastAsia="宋体" w:cs="宋体"/>
          <w:color w:val="000000"/>
          <w:sz w:val="24"/>
          <w:szCs w:val="24"/>
        </w:rPr>
        <w:t>1、电子投标文件一份(通过系统提交)；纸质投标文件正本一份，副本四份（评审结束后由中标候选人邮寄至采购人，未中标单位不需要提供）。</w:t>
      </w:r>
    </w:p>
    <w:p>
      <w:pPr>
        <w:widowControl/>
        <w:shd w:val="clear" w:color="auto" w:fill="FFFFFF"/>
        <w:spacing w:line="5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 根据省财政厅《关于更换全省政府采购交易系统CA数字证书和电子签章的通知》（苏财购〔2023〕101号），“苏采云”政府采购交易系统（以下简称苏采云系统）的CA数字证书、电子签章已更换为江苏省电子政务证书认证中心CA和方正国际软件（北京）有限公司电子签章。如果投标人通过苏采云系统参与政府采购项目，需要更换CA数字证书和电子签章。具体办理指南和操作手册见链接：http://www.ccgp-jiangsu.gov.cn/jiangsu/zlxz/ee/ee3a4bc5a3454aa2b0d9312230633ce9.html。</w:t>
      </w:r>
    </w:p>
    <w:p>
      <w:pPr>
        <w:widowControl/>
        <w:shd w:val="clear" w:color="auto" w:fill="FFFFFF"/>
        <w:spacing w:line="5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领取CA和办理电子签章（请至盐城市亭湖区政务服务中心二楼226CA办理窗口办理（联系电话：15051556883），具体联系方式见《苏采云系统供应商操作手册》（以下简称《操作手册》））、进行注册并按《操作手册》要求制作、上传电子投标文件。</w:t>
      </w:r>
    </w:p>
    <w:p>
      <w:pPr>
        <w:widowControl/>
        <w:shd w:val="clear" w:color="auto" w:fill="FFFFFF"/>
        <w:spacing w:line="5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 有关本次招标的事项若存在变动或修改，敬请及时关注盐城市大丰区公共资源交易中心在“江苏政府采购网”发布的更正公告。</w:t>
      </w:r>
    </w:p>
    <w:p>
      <w:pPr>
        <w:widowControl/>
        <w:shd w:val="clear" w:color="auto" w:fill="FFFFFF"/>
        <w:spacing w:line="5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4. 投标人在使用系统进行投标的过程中如遇到涉及“苏采云”系统使用的任何问题，应在工作日上午9：00-11：30下午13：30-17：30期间致电技术支持热线咨询，联系电话：0519-86722805、0519-86617173。</w:t>
      </w:r>
    </w:p>
    <w:p>
      <w:pPr>
        <w:widowControl/>
        <w:shd w:val="clear" w:color="auto" w:fill="FFFFFF"/>
        <w:spacing w:line="5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5、本项目不收取投标保证金。</w:t>
      </w:r>
    </w:p>
    <w:p>
      <w:pPr>
        <w:widowControl/>
        <w:shd w:val="clear" w:color="auto" w:fill="FFFFFF"/>
        <w:spacing w:line="560" w:lineRule="exact"/>
        <w:ind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七、对本次招标提出询问，请按以下方式联系。</w:t>
      </w:r>
      <w:bookmarkEnd w:id="38"/>
      <w:bookmarkEnd w:id="39"/>
      <w:bookmarkEnd w:id="40"/>
      <w:bookmarkEnd w:id="41"/>
      <w:bookmarkStart w:id="42" w:name="_Toc35393637"/>
      <w:bookmarkStart w:id="43" w:name="_Toc28359096"/>
      <w:bookmarkStart w:id="44" w:name="_Toc35393806"/>
      <w:bookmarkStart w:id="45" w:name="_Toc28359019"/>
    </w:p>
    <w:bookmarkEnd w:id="42"/>
    <w:bookmarkEnd w:id="43"/>
    <w:bookmarkEnd w:id="44"/>
    <w:bookmarkEnd w:id="45"/>
    <w:p>
      <w:pPr>
        <w:widowControl/>
        <w:shd w:val="clear" w:color="auto" w:fill="FFFFFF"/>
        <w:spacing w:line="5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1、采购人信息</w:t>
      </w:r>
    </w:p>
    <w:p>
      <w:pPr>
        <w:spacing w:line="560" w:lineRule="exact"/>
        <w:ind w:firstLine="480" w:firstLineChars="200"/>
        <w:jc w:val="left"/>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eastAsia="zh-CN"/>
        </w:rPr>
        <w:t>名    称：盐城市大丰区大桥中心卫生院</w:t>
      </w:r>
    </w:p>
    <w:p>
      <w:pPr>
        <w:spacing w:line="560" w:lineRule="exact"/>
        <w:ind w:firstLine="480" w:firstLineChars="200"/>
        <w:jc w:val="left"/>
        <w:rPr>
          <w:rFonts w:hint="eastAsia" w:ascii="宋体" w:hAnsi="宋体" w:eastAsia="宋体" w:cs="宋体"/>
          <w:bCs/>
          <w:color w:val="000000"/>
          <w:sz w:val="24"/>
          <w:szCs w:val="24"/>
          <w:lang w:val="en-US" w:eastAsia="zh-CN"/>
        </w:rPr>
      </w:pPr>
      <w:bookmarkStart w:id="46" w:name="_Toc35393808"/>
      <w:bookmarkStart w:id="47" w:name="_Toc35393639"/>
      <w:bookmarkStart w:id="48" w:name="_Toc28359098"/>
      <w:bookmarkStart w:id="49" w:name="_Toc28359021"/>
      <w:r>
        <w:rPr>
          <w:rFonts w:hint="eastAsia" w:ascii="宋体" w:hAnsi="宋体" w:eastAsia="宋体" w:cs="宋体"/>
          <w:bCs/>
          <w:color w:val="000000"/>
          <w:sz w:val="24"/>
          <w:szCs w:val="24"/>
          <w:lang w:eastAsia="zh-CN"/>
        </w:rPr>
        <w:t>联系地址：</w:t>
      </w:r>
      <w:r>
        <w:rPr>
          <w:rFonts w:hint="eastAsia" w:ascii="宋体" w:hAnsi="宋体" w:eastAsia="宋体" w:cs="宋体"/>
          <w:bCs/>
          <w:color w:val="000000"/>
          <w:sz w:val="24"/>
          <w:szCs w:val="24"/>
          <w:lang w:val="en-US" w:eastAsia="zh-CN"/>
        </w:rPr>
        <w:t>大桥镇闸西路108号</w:t>
      </w:r>
    </w:p>
    <w:p>
      <w:pPr>
        <w:spacing w:line="560" w:lineRule="exact"/>
        <w:ind w:firstLine="480" w:firstLineChars="200"/>
        <w:jc w:val="left"/>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eastAsia="zh-CN"/>
        </w:rPr>
        <w:t>联 系 人：</w:t>
      </w:r>
      <w:r>
        <w:rPr>
          <w:rFonts w:hint="eastAsia" w:ascii="宋体" w:hAnsi="宋体" w:eastAsia="宋体" w:cs="宋体"/>
          <w:bCs/>
          <w:color w:val="000000"/>
          <w:sz w:val="24"/>
          <w:szCs w:val="24"/>
          <w:lang w:val="en-US" w:eastAsia="zh-CN"/>
        </w:rPr>
        <w:t>徐小兵</w:t>
      </w:r>
    </w:p>
    <w:p>
      <w:pPr>
        <w:spacing w:line="560" w:lineRule="exact"/>
        <w:ind w:firstLine="480" w:firstLineChars="200"/>
        <w:jc w:val="left"/>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电    话：13485276297</w:t>
      </w:r>
      <w:r>
        <w:rPr>
          <w:rFonts w:hint="eastAsia" w:ascii="宋体" w:hAnsi="宋体" w:eastAsia="宋体" w:cs="宋体"/>
          <w:bCs/>
          <w:color w:val="000000"/>
          <w:sz w:val="24"/>
          <w:szCs w:val="24"/>
          <w:lang w:val="en-US" w:eastAsia="zh-CN"/>
        </w:rPr>
        <w:tab/>
      </w:r>
    </w:p>
    <w:p>
      <w:pPr>
        <w:spacing w:line="560" w:lineRule="exact"/>
        <w:ind w:firstLine="480" w:firstLineChars="200"/>
        <w:jc w:val="left"/>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eastAsia="zh-CN"/>
        </w:rPr>
        <w:t>2、项目联系方式</w:t>
      </w:r>
      <w:bookmarkEnd w:id="46"/>
      <w:bookmarkEnd w:id="47"/>
      <w:bookmarkEnd w:id="48"/>
      <w:bookmarkEnd w:id="49"/>
    </w:p>
    <w:p>
      <w:pPr>
        <w:spacing w:line="560" w:lineRule="exact"/>
        <w:ind w:firstLine="480" w:firstLineChars="200"/>
        <w:jc w:val="left"/>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eastAsia="zh-CN"/>
        </w:rPr>
        <w:t>项目联系人：</w:t>
      </w:r>
      <w:r>
        <w:rPr>
          <w:rFonts w:hint="eastAsia" w:ascii="宋体" w:hAnsi="宋体" w:eastAsia="宋体" w:cs="宋体"/>
          <w:bCs/>
          <w:color w:val="000000"/>
          <w:sz w:val="24"/>
          <w:szCs w:val="24"/>
          <w:lang w:val="en-US" w:eastAsia="zh-CN"/>
        </w:rPr>
        <w:t>杨海华</w:t>
      </w:r>
    </w:p>
    <w:p>
      <w:pPr>
        <w:spacing w:line="560" w:lineRule="exact"/>
        <w:ind w:firstLine="480" w:firstLineChars="200"/>
        <w:jc w:val="left"/>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eastAsia="zh-CN"/>
        </w:rPr>
        <w:t>电　　话：</w:t>
      </w:r>
      <w:r>
        <w:rPr>
          <w:rFonts w:hint="eastAsia" w:ascii="宋体" w:hAnsi="宋体" w:eastAsia="宋体" w:cs="宋体"/>
          <w:bCs/>
          <w:color w:val="000000"/>
          <w:sz w:val="24"/>
          <w:szCs w:val="24"/>
          <w:lang w:val="en-US" w:eastAsia="zh-CN"/>
        </w:rPr>
        <w:t>17768208868</w:t>
      </w:r>
    </w:p>
    <w:p>
      <w:pPr>
        <w:spacing w:line="560" w:lineRule="exact"/>
        <w:ind w:firstLine="480" w:firstLineChars="200"/>
        <w:jc w:val="left"/>
        <w:rPr>
          <w:rFonts w:hint="eastAsia" w:ascii="宋体" w:hAnsi="宋体" w:eastAsia="宋体" w:cs="宋体"/>
          <w:bCs/>
          <w:color w:val="000000"/>
          <w:sz w:val="24"/>
          <w:szCs w:val="24"/>
          <w:lang w:val="en-US" w:eastAsia="zh-CN"/>
        </w:rPr>
      </w:pPr>
    </w:p>
    <w:p>
      <w:pPr>
        <w:snapToGrid w:val="0"/>
        <w:spacing w:line="360" w:lineRule="auto"/>
        <w:ind w:firstLine="720" w:firstLineChars="300"/>
        <w:rPr>
          <w:rFonts w:hint="eastAsia" w:ascii="宋体" w:hAnsi="宋体" w:eastAsia="宋体" w:cs="宋体"/>
          <w:color w:val="000000"/>
          <w:sz w:val="24"/>
          <w:szCs w:val="24"/>
          <w:u w:val="single"/>
        </w:rPr>
      </w:pPr>
    </w:p>
    <w:p>
      <w:pPr>
        <w:widowControl/>
        <w:spacing w:line="360" w:lineRule="auto"/>
        <w:jc w:val="left"/>
        <w:rPr>
          <w:rFonts w:hint="eastAsia" w:ascii="宋体" w:hAnsi="宋体" w:eastAsia="宋体" w:cs="宋体"/>
          <w:color w:val="000000"/>
          <w:sz w:val="28"/>
          <w:szCs w:val="28"/>
        </w:rPr>
      </w:pPr>
    </w:p>
    <w:p>
      <w:pPr>
        <w:jc w:val="center"/>
        <w:rPr>
          <w:rFonts w:hint="eastAsia" w:ascii="宋体" w:hAnsi="宋体" w:eastAsia="宋体" w:cs="宋体"/>
          <w:b/>
          <w:bCs/>
          <w:color w:val="000000"/>
        </w:rPr>
      </w:pPr>
      <w:r>
        <w:rPr>
          <w:rFonts w:hint="eastAsia" w:ascii="宋体" w:hAnsi="宋体" w:eastAsia="宋体" w:cs="宋体"/>
          <w:b/>
          <w:color w:val="000000"/>
          <w:sz w:val="44"/>
          <w:szCs w:val="44"/>
        </w:rPr>
        <w:t>第二章  投标人须知</w:t>
      </w:r>
    </w:p>
    <w:p>
      <w:pPr>
        <w:pStyle w:val="5"/>
        <w:pageBreakBefore w:val="0"/>
        <w:kinsoku/>
        <w:wordWrap/>
        <w:overflowPunct/>
        <w:topLinePunct w:val="0"/>
        <w:autoSpaceDE/>
        <w:autoSpaceDN/>
        <w:bidi w:val="0"/>
        <w:adjustRightInd/>
        <w:spacing w:before="0" w:after="0" w:line="360" w:lineRule="auto"/>
        <w:ind w:firstLine="48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一、总则</w:t>
      </w:r>
    </w:p>
    <w:p>
      <w:pPr>
        <w:pStyle w:val="6"/>
        <w:pageBreakBefore w:val="0"/>
        <w:kinsoku/>
        <w:wordWrap/>
        <w:overflowPunct/>
        <w:topLinePunct w:val="0"/>
        <w:autoSpaceDE/>
        <w:autoSpaceDN/>
        <w:bidi w:val="0"/>
        <w:adjustRightInd/>
        <w:spacing w:before="0" w:after="0"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1、招标方式</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 本次招标采取公开招标方式，本招标文件仅适用于招标公告中所述项目。</w:t>
      </w:r>
    </w:p>
    <w:p>
      <w:pPr>
        <w:pStyle w:val="6"/>
        <w:pageBreakBefore w:val="0"/>
        <w:kinsoku/>
        <w:wordWrap/>
        <w:overflowPunct/>
        <w:topLinePunct w:val="0"/>
        <w:autoSpaceDE/>
        <w:autoSpaceDN/>
        <w:bidi w:val="0"/>
        <w:adjustRightInd/>
        <w:spacing w:before="0" w:after="0"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2、合格的投标人</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2.1满足招标公告中供应商的资格要求的规定。</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2.2 满足本文件实质性条款的规定。</w:t>
      </w:r>
    </w:p>
    <w:p>
      <w:pPr>
        <w:pStyle w:val="6"/>
        <w:pageBreakBefore w:val="0"/>
        <w:kinsoku/>
        <w:wordWrap/>
        <w:overflowPunct/>
        <w:topLinePunct w:val="0"/>
        <w:autoSpaceDE/>
        <w:autoSpaceDN/>
        <w:bidi w:val="0"/>
        <w:adjustRightInd/>
        <w:spacing w:before="0" w:after="0"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3、适用法律</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3.1 本次招标及由此产生的合同受中华人民共和国有关的法律法规制约和保护。</w:t>
      </w:r>
    </w:p>
    <w:p>
      <w:pPr>
        <w:pStyle w:val="6"/>
        <w:pageBreakBefore w:val="0"/>
        <w:kinsoku/>
        <w:wordWrap/>
        <w:overflowPunct/>
        <w:topLinePunct w:val="0"/>
        <w:autoSpaceDE/>
        <w:autoSpaceDN/>
        <w:bidi w:val="0"/>
        <w:adjustRightInd/>
        <w:spacing w:before="0" w:after="0"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4、投标费用</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bCs/>
          <w:color w:val="000000"/>
          <w:sz w:val="24"/>
          <w:szCs w:val="24"/>
        </w:rPr>
        <w:t>4.1</w:t>
      </w:r>
      <w:r>
        <w:rPr>
          <w:rFonts w:hint="eastAsia" w:ascii="宋体" w:hAnsi="宋体" w:eastAsia="宋体" w:cs="宋体"/>
          <w:color w:val="000000"/>
          <w:sz w:val="24"/>
          <w:szCs w:val="24"/>
        </w:rPr>
        <w:t xml:space="preserve"> 投标人应自行承担所有与参加投标有关的费用，无论投标过程中的做法和结果如何，盐城市政府采购中心（以下简称采购中心）在任何情况下均无义务和责任承担这些费用。</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4.2本次招标采购中心和采购人不收取标书工本费。</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4.3本项目前期采购需求调查咨询费用向中标单位收取，咨询费参照苏招协【2022】002号文服务类收费标准的40%计取；请投标人考虑在投标报价中。</w:t>
      </w:r>
    </w:p>
    <w:p>
      <w:pPr>
        <w:pStyle w:val="6"/>
        <w:pageBreakBefore w:val="0"/>
        <w:kinsoku/>
        <w:wordWrap/>
        <w:overflowPunct/>
        <w:topLinePunct w:val="0"/>
        <w:autoSpaceDE/>
        <w:autoSpaceDN/>
        <w:bidi w:val="0"/>
        <w:adjustRightInd/>
        <w:spacing w:before="0" w:after="0"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5、招标文件的约束力</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bCs/>
          <w:color w:val="000000"/>
          <w:sz w:val="24"/>
          <w:szCs w:val="24"/>
        </w:rPr>
        <w:t>5.1</w:t>
      </w:r>
      <w:r>
        <w:rPr>
          <w:rFonts w:hint="eastAsia" w:ascii="宋体" w:hAnsi="宋体" w:eastAsia="宋体" w:cs="宋体"/>
          <w:color w:val="000000"/>
          <w:sz w:val="24"/>
          <w:szCs w:val="24"/>
        </w:rPr>
        <w:t xml:space="preserve"> 投标人一旦参加本项目采购活动，即被认为接受了本招标文件的规定和约束，并且视为自招标公告期限届满之日起知道或应当知道自身权益是否受到了损害。</w:t>
      </w:r>
    </w:p>
    <w:p>
      <w:pPr>
        <w:pStyle w:val="6"/>
        <w:pageBreakBefore w:val="0"/>
        <w:kinsoku/>
        <w:wordWrap/>
        <w:overflowPunct/>
        <w:topLinePunct w:val="0"/>
        <w:autoSpaceDE/>
        <w:autoSpaceDN/>
        <w:bidi w:val="0"/>
        <w:adjustRightInd/>
        <w:spacing w:before="0" w:after="0"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6、招标文件的解释</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6.1 本招标文件由采购人负责解释。</w:t>
      </w:r>
    </w:p>
    <w:p>
      <w:pPr>
        <w:pStyle w:val="5"/>
        <w:pageBreakBefore w:val="0"/>
        <w:kinsoku/>
        <w:wordWrap/>
        <w:overflowPunct/>
        <w:topLinePunct w:val="0"/>
        <w:autoSpaceDE/>
        <w:autoSpaceDN/>
        <w:bidi w:val="0"/>
        <w:adjustRightInd/>
        <w:spacing w:before="0" w:after="0" w:line="360" w:lineRule="auto"/>
        <w:ind w:firstLine="48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二、招标文件</w:t>
      </w:r>
    </w:p>
    <w:p>
      <w:pPr>
        <w:pStyle w:val="6"/>
        <w:pageBreakBefore w:val="0"/>
        <w:kinsoku/>
        <w:wordWrap/>
        <w:overflowPunct/>
        <w:topLinePunct w:val="0"/>
        <w:autoSpaceDE/>
        <w:autoSpaceDN/>
        <w:bidi w:val="0"/>
        <w:adjustRightInd/>
        <w:spacing w:before="0" w:after="0"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7、招标文件构成</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bCs/>
          <w:color w:val="000000"/>
          <w:sz w:val="24"/>
          <w:szCs w:val="24"/>
        </w:rPr>
        <w:t>7.1</w:t>
      </w:r>
      <w:r>
        <w:rPr>
          <w:rFonts w:hint="eastAsia" w:ascii="宋体" w:hAnsi="宋体" w:eastAsia="宋体" w:cs="宋体"/>
          <w:color w:val="000000"/>
          <w:sz w:val="24"/>
          <w:szCs w:val="24"/>
        </w:rPr>
        <w:t xml:space="preserve"> 招标文件有以下部分组成：</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招标公告</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投标人须知</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合同条款及格式</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项目需求</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定标原则与评标标准</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投标文件格式</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请仔细检查招标文件是否齐全，如有缺漏请立即与</w:t>
      </w:r>
      <w:r>
        <w:rPr>
          <w:rFonts w:hint="eastAsia" w:ascii="宋体" w:hAnsi="宋体" w:eastAsia="宋体" w:cs="宋体"/>
          <w:color w:val="000000"/>
          <w:sz w:val="24"/>
          <w:szCs w:val="24"/>
          <w:lang w:val="en-US" w:eastAsia="zh-CN"/>
        </w:rPr>
        <w:t>招标人</w:t>
      </w:r>
      <w:r>
        <w:rPr>
          <w:rFonts w:hint="eastAsia" w:ascii="宋体" w:hAnsi="宋体" w:eastAsia="宋体" w:cs="宋体"/>
          <w:color w:val="000000"/>
          <w:sz w:val="24"/>
          <w:szCs w:val="24"/>
        </w:rPr>
        <w:t>联系解决。</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bCs/>
          <w:color w:val="000000"/>
          <w:sz w:val="24"/>
          <w:szCs w:val="24"/>
        </w:rPr>
        <w:t>7.2</w:t>
      </w:r>
      <w:r>
        <w:rPr>
          <w:rFonts w:hint="eastAsia" w:ascii="宋体" w:hAnsi="宋体" w:eastAsia="宋体" w:cs="宋体"/>
          <w:color w:val="000000"/>
          <w:sz w:val="24"/>
          <w:szCs w:val="24"/>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6"/>
        <w:pageBreakBefore w:val="0"/>
        <w:kinsoku/>
        <w:wordWrap/>
        <w:overflowPunct/>
        <w:topLinePunct w:val="0"/>
        <w:autoSpaceDE/>
        <w:autoSpaceDN/>
        <w:bidi w:val="0"/>
        <w:adjustRightInd/>
        <w:spacing w:before="0" w:after="0"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8、招标文件的询问</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bCs/>
          <w:color w:val="000000"/>
          <w:sz w:val="24"/>
          <w:szCs w:val="24"/>
        </w:rPr>
        <w:t>8.1</w:t>
      </w:r>
      <w:r>
        <w:rPr>
          <w:rFonts w:hint="eastAsia" w:ascii="宋体" w:hAnsi="宋体" w:eastAsia="宋体" w:cs="宋体"/>
          <w:color w:val="000000"/>
          <w:sz w:val="24"/>
          <w:szCs w:val="24"/>
        </w:rPr>
        <w:t xml:space="preserve"> 任何要求对招标文件进行询问的投标人，应在投标截止日期十日前按招标公告中的通讯地址，向采购人书面提出。</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8.2 澄清或者修改的内容可能影响投标文件编制的，采购人或者采购代理机构应当在投标截止时间至少15日前，以书面形式或在网上发布更正公告通知所有获取招标文件的潜在投标人；不足15日的，采购人或者采购代理机构应当顺延提交投标文件的截止时间。</w:t>
      </w:r>
    </w:p>
    <w:p>
      <w:pPr>
        <w:pStyle w:val="6"/>
        <w:pageBreakBefore w:val="0"/>
        <w:kinsoku/>
        <w:wordWrap/>
        <w:overflowPunct/>
        <w:topLinePunct w:val="0"/>
        <w:autoSpaceDE/>
        <w:autoSpaceDN/>
        <w:bidi w:val="0"/>
        <w:adjustRightInd/>
        <w:spacing w:before="0" w:after="0"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9、招标文件的修改</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bCs/>
          <w:color w:val="000000"/>
          <w:sz w:val="24"/>
          <w:szCs w:val="24"/>
        </w:rPr>
        <w:t>9.1</w:t>
      </w:r>
      <w:r>
        <w:rPr>
          <w:rFonts w:hint="eastAsia" w:ascii="宋体" w:hAnsi="宋体" w:eastAsia="宋体" w:cs="宋体"/>
          <w:color w:val="000000"/>
          <w:sz w:val="24"/>
          <w:szCs w:val="24"/>
        </w:rPr>
        <w:t xml:space="preserve"> 在投标截止时间前，采购人可以对招标文件进行修改。</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bCs/>
          <w:color w:val="000000"/>
          <w:sz w:val="24"/>
          <w:szCs w:val="24"/>
        </w:rPr>
        <w:t>9.2</w:t>
      </w:r>
      <w:r>
        <w:rPr>
          <w:rFonts w:hint="eastAsia" w:ascii="宋体" w:hAnsi="宋体" w:eastAsia="宋体" w:cs="宋体"/>
          <w:color w:val="000000"/>
          <w:sz w:val="24"/>
          <w:szCs w:val="24"/>
        </w:rPr>
        <w:t>采购人有权依法推迟投标截止日期和开标日期。</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bCs/>
          <w:color w:val="000000"/>
          <w:sz w:val="24"/>
          <w:szCs w:val="24"/>
        </w:rPr>
        <w:t>9.3</w:t>
      </w:r>
      <w:r>
        <w:rPr>
          <w:rFonts w:hint="eastAsia" w:ascii="宋体" w:hAnsi="宋体" w:eastAsia="宋体" w:cs="宋体"/>
          <w:color w:val="000000"/>
          <w:sz w:val="24"/>
          <w:szCs w:val="24"/>
        </w:rPr>
        <w:t>招标文件的澄清或者修改的内容将在江苏政府采购网、盐城市政府采购网公布，澄清或者修改的内容将作为招标文件的组成部分，并对投标人具有约束力。</w:t>
      </w:r>
    </w:p>
    <w:p>
      <w:pPr>
        <w:pStyle w:val="5"/>
        <w:pageBreakBefore w:val="0"/>
        <w:kinsoku/>
        <w:wordWrap/>
        <w:overflowPunct/>
        <w:topLinePunct w:val="0"/>
        <w:autoSpaceDE/>
        <w:autoSpaceDN/>
        <w:bidi w:val="0"/>
        <w:adjustRightInd/>
        <w:spacing w:before="0" w:after="0" w:line="360" w:lineRule="auto"/>
        <w:ind w:firstLine="48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三、投标文件的编制</w:t>
      </w:r>
    </w:p>
    <w:p>
      <w:pPr>
        <w:pStyle w:val="6"/>
        <w:pageBreakBefore w:val="0"/>
        <w:kinsoku/>
        <w:wordWrap/>
        <w:overflowPunct/>
        <w:topLinePunct w:val="0"/>
        <w:autoSpaceDE/>
        <w:autoSpaceDN/>
        <w:bidi w:val="0"/>
        <w:adjustRightInd/>
        <w:spacing w:before="0" w:after="0"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10、投标文件的语言及度量衡单位</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bCs/>
          <w:color w:val="000000"/>
          <w:sz w:val="24"/>
          <w:szCs w:val="24"/>
        </w:rPr>
        <w:t>10.1</w:t>
      </w:r>
      <w:r>
        <w:rPr>
          <w:rFonts w:hint="eastAsia" w:ascii="宋体" w:hAnsi="宋体" w:eastAsia="宋体" w:cs="宋体"/>
          <w:color w:val="000000"/>
          <w:sz w:val="24"/>
          <w:szCs w:val="24"/>
        </w:rPr>
        <w:t xml:space="preserve"> 投标人提交的投标文件以及投标人与采购人就有关投标的所有来往通知、函件和文件均应使用</w:t>
      </w:r>
      <w:r>
        <w:rPr>
          <w:rFonts w:hint="eastAsia" w:ascii="宋体" w:hAnsi="宋体" w:eastAsia="宋体" w:cs="宋体"/>
          <w:b/>
          <w:bCs/>
          <w:color w:val="000000"/>
          <w:sz w:val="24"/>
          <w:szCs w:val="24"/>
        </w:rPr>
        <w:t>简体中文</w:t>
      </w:r>
      <w:r>
        <w:rPr>
          <w:rFonts w:hint="eastAsia" w:ascii="宋体" w:hAnsi="宋体" w:eastAsia="宋体" w:cs="宋体"/>
          <w:color w:val="000000"/>
          <w:sz w:val="24"/>
          <w:szCs w:val="24"/>
        </w:rPr>
        <w:t>。</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bCs/>
          <w:color w:val="000000"/>
          <w:sz w:val="24"/>
          <w:szCs w:val="24"/>
        </w:rPr>
        <w:t>10.2</w:t>
      </w:r>
      <w:r>
        <w:rPr>
          <w:rFonts w:hint="eastAsia" w:ascii="宋体" w:hAnsi="宋体" w:eastAsia="宋体" w:cs="宋体"/>
          <w:color w:val="000000"/>
          <w:sz w:val="24"/>
          <w:szCs w:val="24"/>
        </w:rPr>
        <w:t xml:space="preserve"> 除技术性能另有规定外，投标文件所使用的度量衡单位，均须采用国家法定计量单位。</w:t>
      </w:r>
    </w:p>
    <w:p>
      <w:pPr>
        <w:pStyle w:val="6"/>
        <w:pageBreakBefore w:val="0"/>
        <w:kinsoku/>
        <w:wordWrap/>
        <w:overflowPunct/>
        <w:topLinePunct w:val="0"/>
        <w:autoSpaceDE/>
        <w:autoSpaceDN/>
        <w:bidi w:val="0"/>
        <w:adjustRightInd/>
        <w:spacing w:before="0" w:after="0" w:line="360" w:lineRule="auto"/>
        <w:ind w:firstLine="482" w:firstLineChars="200"/>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11、投标文件构成</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11.1 投标文件正、副本至少应提交（包含并不限于）以下投标材料：(请各单位根据实际情况进行调整)</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投标文件的组成</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11.1.1资信证明文件</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11.1.2资格性审查响应对照表</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color w:val="000000"/>
          <w:sz w:val="24"/>
          <w:szCs w:val="24"/>
        </w:rPr>
        <w:t>11.1.3符合性检查响应对照表</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11.1.4 投标函</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11.1.5开标一览表</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11.1.6 投标报价分</w:t>
      </w:r>
      <w:r>
        <w:rPr>
          <w:rFonts w:hint="eastAsia" w:ascii="宋体" w:hAnsi="宋体" w:eastAsia="宋体" w:cs="宋体"/>
          <w:color w:val="000000"/>
          <w:sz w:val="24"/>
          <w:szCs w:val="24"/>
          <w:lang w:val="en-US" w:eastAsia="zh-CN"/>
        </w:rPr>
        <w:t>项</w:t>
      </w:r>
      <w:r>
        <w:rPr>
          <w:rFonts w:hint="eastAsia" w:ascii="宋体" w:hAnsi="宋体" w:eastAsia="宋体" w:cs="宋体"/>
          <w:color w:val="000000"/>
          <w:sz w:val="24"/>
          <w:szCs w:val="24"/>
        </w:rPr>
        <w:t>表（详见招标文件格式）</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11.1.7</w:t>
      </w:r>
      <w:r>
        <w:rPr>
          <w:rFonts w:hint="eastAsia" w:ascii="宋体" w:hAnsi="宋体" w:eastAsia="宋体" w:cs="宋体"/>
          <w:color w:val="000000"/>
          <w:sz w:val="24"/>
          <w:szCs w:val="24"/>
        </w:rPr>
        <w:t>技术参数响应及偏离表</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rPr>
      </w:pPr>
      <w:r>
        <w:rPr>
          <w:rFonts w:hint="eastAsia" w:ascii="宋体" w:hAnsi="宋体" w:eastAsia="宋体" w:cs="宋体"/>
          <w:color w:val="000000"/>
          <w:sz w:val="24"/>
          <w:szCs w:val="24"/>
          <w:lang w:val="en-US" w:eastAsia="zh-CN"/>
        </w:rPr>
        <w:t>11.1.8</w:t>
      </w:r>
      <w:r>
        <w:rPr>
          <w:rFonts w:hint="eastAsia" w:ascii="宋体" w:hAnsi="宋体" w:eastAsia="宋体" w:cs="宋体"/>
          <w:color w:val="000000"/>
          <w:sz w:val="24"/>
          <w:szCs w:val="24"/>
        </w:rPr>
        <w:t>商务条款响应及偏离表</w:t>
      </w:r>
    </w:p>
    <w:p>
      <w:pPr>
        <w:pageBreakBefore w:val="0"/>
        <w:kinsoku/>
        <w:wordWrap/>
        <w:overflowPunct/>
        <w:topLinePunct w:val="0"/>
        <w:autoSpaceDE/>
        <w:autoSpaceDN/>
        <w:bidi w:val="0"/>
        <w:adjustRightInd/>
        <w:spacing w:line="360" w:lineRule="auto"/>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11.1.</w:t>
      </w: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招标文件中规定要求提供的证明材料和投标人认为需要提供的其他材料</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11.1.</w:t>
      </w:r>
      <w:r>
        <w:rPr>
          <w:rFonts w:hint="eastAsia" w:ascii="宋体" w:hAnsi="宋体" w:eastAsia="宋体" w:cs="宋体"/>
          <w:color w:val="000000"/>
          <w:sz w:val="24"/>
          <w:szCs w:val="24"/>
          <w:lang w:val="en-US" w:eastAsia="zh-CN"/>
        </w:rPr>
        <w:t>11</w:t>
      </w:r>
      <w:r>
        <w:rPr>
          <w:rFonts w:hint="eastAsia" w:ascii="宋体" w:hAnsi="宋体" w:eastAsia="宋体" w:cs="宋体"/>
          <w:color w:val="000000"/>
          <w:sz w:val="24"/>
          <w:szCs w:val="24"/>
        </w:rPr>
        <w:t>盐城市大丰区政府招标采购供应商承诺书</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11.2 投标人应将投标文件按顺序装订成册，并编制投标文件资料目录。</w:t>
      </w:r>
    </w:p>
    <w:p>
      <w:pPr>
        <w:pStyle w:val="6"/>
        <w:pageBreakBefore w:val="0"/>
        <w:kinsoku/>
        <w:wordWrap/>
        <w:overflowPunct/>
        <w:topLinePunct w:val="0"/>
        <w:autoSpaceDE/>
        <w:autoSpaceDN/>
        <w:bidi w:val="0"/>
        <w:adjustRightInd/>
        <w:spacing w:before="0" w:after="0" w:line="360" w:lineRule="auto"/>
        <w:ind w:firstLine="482" w:firstLineChars="200"/>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12、证明投标人资格及符合招标文件规定的文件</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12.1投标人应按要求提交资格证明文件及符合招标文件规定的文件。</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12.2投标人应提交证明其有资格参加投标和中标后有能力独立履行合同的文件。</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12.3投标人除必须具有履行合同所需提供的</w:t>
      </w:r>
      <w:r>
        <w:rPr>
          <w:rFonts w:hint="eastAsia" w:ascii="宋体" w:hAnsi="宋体" w:eastAsia="宋体" w:cs="宋体"/>
          <w:color w:val="000000"/>
          <w:sz w:val="24"/>
          <w:szCs w:val="24"/>
          <w:lang w:val="en-US" w:eastAsia="zh-CN"/>
        </w:rPr>
        <w:t>货物以及</w:t>
      </w:r>
      <w:r>
        <w:rPr>
          <w:rFonts w:hint="eastAsia" w:ascii="宋体" w:hAnsi="宋体" w:eastAsia="宋体" w:cs="宋体"/>
          <w:color w:val="000000"/>
          <w:sz w:val="24"/>
          <w:szCs w:val="24"/>
        </w:rPr>
        <w:t>服务的能力外，还必须具备相应的财务、技术方面的能力。</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12.4投标人应提交根据合同要求提供的证明产品（或服务）质量合格以及符合招标文件规定的证明文件。</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12.5</w:t>
      </w:r>
      <w:r>
        <w:rPr>
          <w:rFonts w:hint="eastAsia" w:ascii="宋体" w:hAnsi="宋体" w:eastAsia="宋体" w:cs="宋体"/>
          <w:color w:val="000000"/>
          <w:sz w:val="24"/>
          <w:szCs w:val="24"/>
        </w:rPr>
        <w:t>证明投标人所提供服务与招标文件的要求相一致的文件可以是手册、图纸、文字资料和数据</w:t>
      </w:r>
      <w:r>
        <w:rPr>
          <w:rFonts w:hint="eastAsia" w:ascii="宋体" w:hAnsi="宋体" w:eastAsia="宋体" w:cs="宋体"/>
          <w:bCs/>
          <w:color w:val="000000"/>
          <w:sz w:val="24"/>
          <w:szCs w:val="24"/>
        </w:rPr>
        <w:t>。</w:t>
      </w:r>
    </w:p>
    <w:p>
      <w:pPr>
        <w:pStyle w:val="6"/>
        <w:pageBreakBefore w:val="0"/>
        <w:kinsoku/>
        <w:wordWrap/>
        <w:overflowPunct/>
        <w:topLinePunct w:val="0"/>
        <w:autoSpaceDE/>
        <w:autoSpaceDN/>
        <w:bidi w:val="0"/>
        <w:adjustRightInd/>
        <w:spacing w:before="0" w:after="0" w:line="360" w:lineRule="auto"/>
        <w:ind w:firstLine="482" w:firstLineChars="200"/>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rPr>
        <w:t>13、</w:t>
      </w:r>
      <w:r>
        <w:rPr>
          <w:rFonts w:hint="eastAsia" w:ascii="宋体" w:hAnsi="宋体" w:eastAsia="宋体" w:cs="宋体"/>
          <w:b/>
          <w:bCs/>
          <w:color w:val="000000"/>
          <w:sz w:val="24"/>
          <w:szCs w:val="24"/>
          <w:lang w:val="en-US" w:eastAsia="zh-CN"/>
        </w:rPr>
        <w:t>报价表</w:t>
      </w:r>
    </w:p>
    <w:p>
      <w:pPr>
        <w:pStyle w:val="6"/>
        <w:pageBreakBefore w:val="0"/>
        <w:kinsoku/>
        <w:wordWrap/>
        <w:overflowPunct/>
        <w:topLinePunct w:val="0"/>
        <w:autoSpaceDE/>
        <w:autoSpaceDN/>
        <w:bidi w:val="0"/>
        <w:adjustRightInd/>
        <w:spacing w:before="0" w:after="0" w:line="360" w:lineRule="auto"/>
        <w:ind w:firstLine="480" w:firstLineChars="200"/>
        <w:rPr>
          <w:rFonts w:hint="eastAsia" w:ascii="宋体" w:hAnsi="宋体" w:eastAsia="宋体" w:cs="宋体"/>
          <w:b w:val="0"/>
          <w:bCs w:val="0"/>
          <w:color w:val="000000"/>
          <w:sz w:val="24"/>
          <w:szCs w:val="24"/>
          <w:u w:val="none"/>
          <w:lang w:val="en-US" w:eastAsia="zh-CN"/>
        </w:rPr>
      </w:pPr>
      <w:r>
        <w:rPr>
          <w:rFonts w:hint="eastAsia" w:ascii="宋体" w:hAnsi="宋体" w:eastAsia="宋体" w:cs="宋体"/>
          <w:b w:val="0"/>
          <w:bCs w:val="0"/>
          <w:color w:val="000000"/>
          <w:sz w:val="24"/>
          <w:szCs w:val="24"/>
        </w:rPr>
        <w:t xml:space="preserve">13.1 </w:t>
      </w:r>
      <w:r>
        <w:rPr>
          <w:rFonts w:hint="eastAsia" w:ascii="宋体" w:hAnsi="宋体" w:eastAsia="宋体" w:cs="宋体"/>
          <w:b w:val="0"/>
          <w:bCs w:val="0"/>
          <w:color w:val="000000"/>
          <w:sz w:val="24"/>
          <w:szCs w:val="24"/>
          <w:lang w:val="en-US" w:eastAsia="zh-CN"/>
        </w:rPr>
        <w:t>本项目设定投标报价的最高限价，最高限价为：</w:t>
      </w:r>
      <w:r>
        <w:rPr>
          <w:rFonts w:hint="eastAsia" w:ascii="宋体" w:hAnsi="宋体" w:eastAsia="宋体" w:cs="宋体"/>
          <w:b w:val="0"/>
          <w:bCs w:val="0"/>
          <w:color w:val="000000"/>
          <w:sz w:val="24"/>
          <w:szCs w:val="24"/>
          <w:u w:val="single"/>
          <w:lang w:val="en-US" w:eastAsia="zh-CN"/>
        </w:rPr>
        <w:t>200万元</w:t>
      </w:r>
      <w:r>
        <w:rPr>
          <w:rFonts w:hint="eastAsia" w:ascii="宋体" w:hAnsi="宋体" w:eastAsia="宋体" w:cs="宋体"/>
          <w:b w:val="0"/>
          <w:bCs w:val="0"/>
          <w:color w:val="000000"/>
          <w:sz w:val="24"/>
          <w:szCs w:val="24"/>
          <w:u w:val="none"/>
          <w:lang w:val="en-US" w:eastAsia="zh-CN"/>
        </w:rPr>
        <w:t>，采购人将拒绝高于最高限价的投标报价。</w:t>
      </w:r>
    </w:p>
    <w:p>
      <w:pPr>
        <w:pStyle w:val="6"/>
        <w:pageBreakBefore w:val="0"/>
        <w:kinsoku/>
        <w:wordWrap/>
        <w:overflowPunct/>
        <w:topLinePunct w:val="0"/>
        <w:autoSpaceDE/>
        <w:autoSpaceDN/>
        <w:bidi w:val="0"/>
        <w:adjustRightInd/>
        <w:spacing w:before="0" w:after="0"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b w:val="0"/>
          <w:bCs w:val="0"/>
          <w:color w:val="000000"/>
          <w:sz w:val="24"/>
          <w:szCs w:val="24"/>
        </w:rPr>
        <w:t xml:space="preserve">13.2 </w:t>
      </w:r>
      <w:r>
        <w:rPr>
          <w:rFonts w:hint="eastAsia" w:ascii="宋体" w:hAnsi="宋体" w:eastAsia="宋体" w:cs="宋体"/>
          <w:b w:val="0"/>
          <w:bCs w:val="0"/>
          <w:color w:val="000000"/>
          <w:sz w:val="24"/>
          <w:szCs w:val="24"/>
          <w:lang w:val="en-US" w:eastAsia="zh-CN"/>
        </w:rPr>
        <w:t>投标报价；投标人的报价包括但不仅限于本项目委托范围内的货款、标准附件、备品备件、专用工具、软件（含设计、开发等）及模块、包装、运输、装卸、安装、检测费（含现场检验费用及检验不合格的更换至合格为止的所有费用）、调试、使用人员培训费、试运行直至验收合格、保修、保险、利润、税金、风险费、售后服务、资金成本、不可预见费（应充分考虑所有风险、责任等）等所需的为完成本项目交付招标人使用的全部费用的价格体现。同时，除非合同条款中另有规定，否则，投标单位的报价在合同实施期间不因市场变化因素而变动。</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13.3投标人根据招标内容的要求准确报价，一经报出，不得更改。</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13.4如出现不合理的报价，经评标委员会评审其报价明显高于其市场价或低于其企业成本的，均可作废标处理。</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13.5投标报价的单位为人民币(元)。如果未能按合同、招标投标文件履约的，中止合同，履约保证金不予退还，采购人有权终止合同的履行，受托单位应承担相应的完全责任，包括赔偿因此而给本单位及第三人带来的相应损失。</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13.6 对于超出招标文件的其他临时性服务项目，由甲乙双方协商解决。</w:t>
      </w:r>
    </w:p>
    <w:p>
      <w:pPr>
        <w:pStyle w:val="6"/>
        <w:pageBreakBefore w:val="0"/>
        <w:kinsoku/>
        <w:wordWrap/>
        <w:overflowPunct/>
        <w:topLinePunct w:val="0"/>
        <w:autoSpaceDE/>
        <w:autoSpaceDN/>
        <w:bidi w:val="0"/>
        <w:adjustRightInd/>
        <w:spacing w:before="0" w:after="0" w:line="360" w:lineRule="auto"/>
        <w:ind w:firstLine="480"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13.7开标时，当投标文件中开标一览表内容与分项明细报价表内容不一致时，以开标一览表为准。</w:t>
      </w:r>
    </w:p>
    <w:p>
      <w:pPr>
        <w:pStyle w:val="6"/>
        <w:pageBreakBefore w:val="0"/>
        <w:kinsoku/>
        <w:wordWrap/>
        <w:overflowPunct/>
        <w:topLinePunct w:val="0"/>
        <w:autoSpaceDE/>
        <w:autoSpaceDN/>
        <w:bidi w:val="0"/>
        <w:adjustRightInd/>
        <w:spacing w:before="0" w:after="0" w:line="360" w:lineRule="auto"/>
        <w:ind w:firstLine="480"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投标文件的大写金额和小写金额不一致的，以大写金额为准；对不同文字文本投标的解释发生异议的，以中文文本为准。</w:t>
      </w:r>
    </w:p>
    <w:p>
      <w:pPr>
        <w:pStyle w:val="6"/>
        <w:pageBreakBefore w:val="0"/>
        <w:kinsoku/>
        <w:wordWrap/>
        <w:overflowPunct/>
        <w:topLinePunct w:val="0"/>
        <w:autoSpaceDE/>
        <w:autoSpaceDN/>
        <w:bidi w:val="0"/>
        <w:adjustRightInd/>
        <w:spacing w:before="0" w:after="0" w:line="360" w:lineRule="auto"/>
        <w:ind w:firstLine="480"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13.8投标人在报价时，价格包含一切税费，未作说明的情况下，视同包含一切税费。</w:t>
      </w:r>
    </w:p>
    <w:p>
      <w:pPr>
        <w:pStyle w:val="6"/>
        <w:pageBreakBefore w:val="0"/>
        <w:kinsoku/>
        <w:wordWrap/>
        <w:overflowPunct/>
        <w:topLinePunct w:val="0"/>
        <w:autoSpaceDE/>
        <w:autoSpaceDN/>
        <w:bidi w:val="0"/>
        <w:adjustRightInd/>
        <w:spacing w:before="0" w:after="0" w:line="360" w:lineRule="auto"/>
        <w:ind w:firstLine="480"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13.9未宣读的投标价格信息评标时不予承认。</w:t>
      </w:r>
    </w:p>
    <w:p>
      <w:pPr>
        <w:pStyle w:val="6"/>
        <w:pageBreakBefore w:val="0"/>
        <w:kinsoku/>
        <w:wordWrap/>
        <w:overflowPunct/>
        <w:topLinePunct w:val="0"/>
        <w:autoSpaceDE/>
        <w:autoSpaceDN/>
        <w:bidi w:val="0"/>
        <w:adjustRightInd/>
        <w:spacing w:before="0" w:after="0" w:line="360" w:lineRule="auto"/>
        <w:ind w:firstLine="482" w:firstLineChars="200"/>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14、技术参数响应及偏离表、商务条款响应及偏离表</w:t>
      </w:r>
    </w:p>
    <w:p>
      <w:pPr>
        <w:pStyle w:val="6"/>
        <w:pageBreakBefore w:val="0"/>
        <w:kinsoku/>
        <w:wordWrap/>
        <w:overflowPunct/>
        <w:topLinePunct w:val="0"/>
        <w:autoSpaceDE/>
        <w:autoSpaceDN/>
        <w:bidi w:val="0"/>
        <w:adjustRightInd/>
        <w:spacing w:before="0" w:after="0" w:line="360" w:lineRule="auto"/>
        <w:ind w:firstLine="480"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14.1 对招标文件中的技术与商务条款要求逐项作出响应或偏离，并说明原因；</w:t>
      </w:r>
    </w:p>
    <w:p>
      <w:pPr>
        <w:pStyle w:val="6"/>
        <w:pageBreakBefore w:val="0"/>
        <w:kinsoku/>
        <w:wordWrap/>
        <w:overflowPunct/>
        <w:topLinePunct w:val="0"/>
        <w:autoSpaceDE/>
        <w:autoSpaceDN/>
        <w:bidi w:val="0"/>
        <w:adjustRightInd/>
        <w:spacing w:before="0" w:after="0" w:line="360" w:lineRule="auto"/>
        <w:ind w:firstLine="480"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14.2 投标人认为需要的其他技术文件或说明。</w:t>
      </w:r>
    </w:p>
    <w:p>
      <w:pPr>
        <w:pStyle w:val="6"/>
        <w:pageBreakBefore w:val="0"/>
        <w:kinsoku/>
        <w:wordWrap/>
        <w:overflowPunct/>
        <w:topLinePunct w:val="0"/>
        <w:autoSpaceDE/>
        <w:autoSpaceDN/>
        <w:bidi w:val="0"/>
        <w:adjustRightInd/>
        <w:spacing w:before="0" w:after="0" w:line="360" w:lineRule="auto"/>
        <w:ind w:firstLine="482" w:firstLineChars="200"/>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15、技术方案、服务承诺及售后服务机构情况介绍</w:t>
      </w:r>
    </w:p>
    <w:p>
      <w:pPr>
        <w:pStyle w:val="6"/>
        <w:pageBreakBefore w:val="0"/>
        <w:kinsoku/>
        <w:wordWrap/>
        <w:overflowPunct/>
        <w:topLinePunct w:val="0"/>
        <w:autoSpaceDE/>
        <w:autoSpaceDN/>
        <w:bidi w:val="0"/>
        <w:adjustRightInd/>
        <w:spacing w:before="0" w:after="0" w:line="360" w:lineRule="auto"/>
        <w:ind w:firstLine="480"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15.1投标人的服务承诺应按不低于招标文件中商务要求的标准。</w:t>
      </w:r>
    </w:p>
    <w:p>
      <w:pPr>
        <w:pStyle w:val="6"/>
        <w:pageBreakBefore w:val="0"/>
        <w:kinsoku/>
        <w:wordWrap/>
        <w:overflowPunct/>
        <w:topLinePunct w:val="0"/>
        <w:autoSpaceDE/>
        <w:autoSpaceDN/>
        <w:bidi w:val="0"/>
        <w:adjustRightInd/>
        <w:spacing w:before="0" w:after="0" w:line="360" w:lineRule="auto"/>
        <w:ind w:firstLine="480"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15.2提供投标人有关服务的管理制度、售后服务机构的情况、服务人员的数量、素质、技术水平及服务的反应能力。</w:t>
      </w:r>
    </w:p>
    <w:p>
      <w:pPr>
        <w:pStyle w:val="6"/>
        <w:pageBreakBefore w:val="0"/>
        <w:kinsoku/>
        <w:wordWrap/>
        <w:overflowPunct/>
        <w:topLinePunct w:val="0"/>
        <w:autoSpaceDE/>
        <w:autoSpaceDN/>
        <w:bidi w:val="0"/>
        <w:adjustRightInd/>
        <w:spacing w:before="0" w:after="0" w:line="360" w:lineRule="auto"/>
        <w:ind w:firstLine="482" w:firstLineChars="200"/>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16、投标函和开标一览表</w:t>
      </w:r>
    </w:p>
    <w:p>
      <w:pPr>
        <w:pStyle w:val="6"/>
        <w:pageBreakBefore w:val="0"/>
        <w:kinsoku/>
        <w:wordWrap/>
        <w:overflowPunct/>
        <w:topLinePunct w:val="0"/>
        <w:autoSpaceDE/>
        <w:autoSpaceDN/>
        <w:bidi w:val="0"/>
        <w:adjustRightInd/>
        <w:spacing w:before="0" w:after="0" w:line="360" w:lineRule="auto"/>
        <w:ind w:firstLine="480"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16.1 投标人应按照招标文件中提供的格式完整、正确填写投标函、开标一览表。</w:t>
      </w:r>
    </w:p>
    <w:p>
      <w:pPr>
        <w:pStyle w:val="6"/>
        <w:pageBreakBefore w:val="0"/>
        <w:kinsoku/>
        <w:wordWrap/>
        <w:overflowPunct/>
        <w:topLinePunct w:val="0"/>
        <w:autoSpaceDE/>
        <w:autoSpaceDN/>
        <w:bidi w:val="0"/>
        <w:adjustRightInd/>
        <w:spacing w:before="0" w:after="0" w:line="360" w:lineRule="auto"/>
        <w:ind w:firstLine="480"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16.2开标一览表中的价格应与投标文件中投标配置与分项报价表中的价格一致，如不一致，不作为无效投标处理，但评标时按开标一览表中价格为准。</w:t>
      </w:r>
    </w:p>
    <w:p>
      <w:pPr>
        <w:pStyle w:val="6"/>
        <w:pageBreakBefore w:val="0"/>
        <w:kinsoku/>
        <w:wordWrap/>
        <w:overflowPunct/>
        <w:topLinePunct w:val="0"/>
        <w:autoSpaceDE/>
        <w:autoSpaceDN/>
        <w:bidi w:val="0"/>
        <w:adjustRightInd/>
        <w:spacing w:before="0" w:after="0" w:line="360" w:lineRule="auto"/>
        <w:ind w:firstLine="482" w:firstLineChars="200"/>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17、投标有效期</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color w:val="000000"/>
          <w:sz w:val="24"/>
          <w:szCs w:val="24"/>
        </w:rPr>
        <w:t>17.1</w:t>
      </w:r>
      <w:r>
        <w:rPr>
          <w:rFonts w:hint="eastAsia" w:ascii="宋体" w:hAnsi="宋体" w:eastAsia="宋体" w:cs="宋体"/>
          <w:bCs/>
          <w:color w:val="000000"/>
          <w:sz w:val="24"/>
          <w:szCs w:val="24"/>
        </w:rPr>
        <w:t xml:space="preserve"> 投标有效期为开标之日后六十（60）天。投标有效期比规定短的将被视为非响应性投标而予以拒绝。</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color w:val="000000"/>
          <w:sz w:val="24"/>
          <w:szCs w:val="24"/>
        </w:rPr>
        <w:t>17.2</w:t>
      </w:r>
      <w:r>
        <w:rPr>
          <w:rFonts w:hint="eastAsia" w:ascii="宋体" w:hAnsi="宋体" w:eastAsia="宋体" w:cs="宋体"/>
          <w:bCs/>
          <w:color w:val="000000"/>
          <w:sz w:val="24"/>
          <w:szCs w:val="24"/>
        </w:rPr>
        <w:t xml:space="preserve"> 在特殊情况下，采购人于原投标有效期满之前，可向投标人提出延长投标有效期的要求。这种要求与答复均应采用书面形式。投标人可以拒绝采购人的这一要求而放弃投标</w:t>
      </w:r>
      <w:r>
        <w:rPr>
          <w:rFonts w:hint="eastAsia" w:ascii="宋体" w:hAnsi="宋体" w:eastAsia="宋体" w:cs="宋体"/>
          <w:color w:val="000000"/>
          <w:sz w:val="24"/>
          <w:szCs w:val="24"/>
        </w:rPr>
        <w:t>。</w:t>
      </w:r>
      <w:r>
        <w:rPr>
          <w:rFonts w:hint="eastAsia" w:ascii="宋体" w:hAnsi="宋体" w:eastAsia="宋体" w:cs="宋体"/>
          <w:bCs/>
          <w:color w:val="000000"/>
          <w:sz w:val="24"/>
          <w:szCs w:val="24"/>
        </w:rPr>
        <w:t>同意延长投标有效期的投标人既不能要求也不允许修改其投标文件，</w:t>
      </w:r>
      <w:r>
        <w:rPr>
          <w:rFonts w:hint="eastAsia" w:ascii="宋体" w:hAnsi="宋体" w:eastAsia="宋体" w:cs="宋体"/>
          <w:color w:val="000000"/>
          <w:sz w:val="24"/>
          <w:szCs w:val="24"/>
        </w:rPr>
        <w:t>同时受投标有效期约束的所有权利与义务均延长至新的有效期</w:t>
      </w:r>
      <w:r>
        <w:rPr>
          <w:rFonts w:hint="eastAsia" w:ascii="宋体" w:hAnsi="宋体" w:eastAsia="宋体" w:cs="宋体"/>
          <w:bCs/>
          <w:color w:val="000000"/>
          <w:sz w:val="24"/>
          <w:szCs w:val="24"/>
        </w:rPr>
        <w:t>。</w:t>
      </w:r>
    </w:p>
    <w:p>
      <w:pPr>
        <w:pStyle w:val="6"/>
        <w:pageBreakBefore w:val="0"/>
        <w:kinsoku/>
        <w:wordWrap/>
        <w:overflowPunct/>
        <w:topLinePunct w:val="0"/>
        <w:autoSpaceDE/>
        <w:autoSpaceDN/>
        <w:bidi w:val="0"/>
        <w:adjustRightInd/>
        <w:spacing w:before="0" w:after="0" w:line="360" w:lineRule="auto"/>
        <w:ind w:firstLine="482" w:firstLineChars="200"/>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18、投标文件份数和签署</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color w:val="000000"/>
          <w:sz w:val="24"/>
          <w:szCs w:val="24"/>
        </w:rPr>
        <w:t>18.1</w:t>
      </w:r>
      <w:r>
        <w:rPr>
          <w:rFonts w:hint="eastAsia" w:ascii="宋体" w:hAnsi="宋体" w:eastAsia="宋体" w:cs="宋体"/>
          <w:bCs/>
          <w:color w:val="000000"/>
          <w:sz w:val="24"/>
          <w:szCs w:val="24"/>
        </w:rPr>
        <w:t xml:space="preserve"> 除投标人对错处做必要修改外，投标文件不得行间插字、涂改或增删。如有修改错漏处，必须由投标文件签署人签字或盖章。</w:t>
      </w:r>
    </w:p>
    <w:p>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bCs/>
          <w:color w:val="000000"/>
          <w:sz w:val="24"/>
          <w:szCs w:val="24"/>
        </w:rPr>
        <w:t>18.2</w:t>
      </w:r>
      <w:r>
        <w:rPr>
          <w:rFonts w:hint="eastAsia" w:ascii="宋体" w:hAnsi="宋体" w:eastAsia="宋体" w:cs="宋体"/>
          <w:color w:val="000000"/>
          <w:sz w:val="24"/>
          <w:szCs w:val="24"/>
        </w:rPr>
        <w:t>电子投标文件应当使用“苏采云”系统制作（http://www.ccgp-jiangsu.gov.cn/jiangsu/zlxz/ee/ee3a4bc5a3454aa2b0d9312230633ce9.html），在线通过系统提交,详见《苏采云系统供应商操作手册》，进行注册并按《苏采云系统供应商操作手册》要求制作、上传电子投标文件。以电子投标文件为准。</w:t>
      </w:r>
    </w:p>
    <w:p>
      <w:pPr>
        <w:pStyle w:val="5"/>
        <w:pageBreakBefore w:val="0"/>
        <w:kinsoku/>
        <w:wordWrap/>
        <w:overflowPunct/>
        <w:topLinePunct w:val="0"/>
        <w:autoSpaceDE/>
        <w:autoSpaceDN/>
        <w:bidi w:val="0"/>
        <w:adjustRightInd/>
        <w:spacing w:before="0" w:after="0" w:line="360" w:lineRule="auto"/>
        <w:ind w:firstLine="48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四、投标文件的递交</w:t>
      </w:r>
    </w:p>
    <w:p>
      <w:pPr>
        <w:pStyle w:val="6"/>
        <w:pageBreakBefore w:val="0"/>
        <w:kinsoku/>
        <w:wordWrap/>
        <w:overflowPunct/>
        <w:topLinePunct w:val="0"/>
        <w:autoSpaceDE/>
        <w:autoSpaceDN/>
        <w:bidi w:val="0"/>
        <w:adjustRightInd/>
        <w:spacing w:before="0" w:after="0"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19、电子投标文件的递交</w:t>
      </w:r>
    </w:p>
    <w:p>
      <w:pPr>
        <w:pStyle w:val="6"/>
        <w:pageBreakBefore w:val="0"/>
        <w:kinsoku/>
        <w:wordWrap/>
        <w:overflowPunct/>
        <w:topLinePunct w:val="0"/>
        <w:autoSpaceDE/>
        <w:autoSpaceDN/>
        <w:bidi w:val="0"/>
        <w:adjustRightInd/>
        <w:spacing w:before="0" w:after="0" w:line="360" w:lineRule="auto"/>
        <w:ind w:firstLine="480" w:firstLineChars="200"/>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19.1投标人应当按照“苏采云”系统制作要求，在投标截止时间前制作并上传电子投标文件。</w:t>
      </w:r>
    </w:p>
    <w:p>
      <w:pPr>
        <w:pStyle w:val="6"/>
        <w:pageBreakBefore w:val="0"/>
        <w:kinsoku/>
        <w:wordWrap/>
        <w:overflowPunct/>
        <w:topLinePunct w:val="0"/>
        <w:autoSpaceDE/>
        <w:autoSpaceDN/>
        <w:bidi w:val="0"/>
        <w:adjustRightInd/>
        <w:spacing w:before="0" w:after="0" w:line="360" w:lineRule="auto"/>
        <w:ind w:firstLine="480" w:firstLineChars="200"/>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19.2投标人未在规定解密时间内解密电子投标文件的，作为无效投标，不予参加开标和评审。</w:t>
      </w:r>
    </w:p>
    <w:p>
      <w:pPr>
        <w:pStyle w:val="6"/>
        <w:pageBreakBefore w:val="0"/>
        <w:kinsoku/>
        <w:wordWrap/>
        <w:overflowPunct/>
        <w:topLinePunct w:val="0"/>
        <w:autoSpaceDE/>
        <w:autoSpaceDN/>
        <w:bidi w:val="0"/>
        <w:adjustRightInd/>
        <w:spacing w:before="0" w:after="0" w:line="360" w:lineRule="auto"/>
        <w:ind w:firstLine="482" w:firstLineChars="200"/>
        <w:rPr>
          <w:rFonts w:hint="eastAsia"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20、投标截止日期</w:t>
      </w:r>
    </w:p>
    <w:p>
      <w:pPr>
        <w:pageBreakBefore w:val="0"/>
        <w:tabs>
          <w:tab w:val="left" w:pos="525"/>
          <w:tab w:val="left" w:pos="945"/>
        </w:tabs>
        <w:kinsoku/>
        <w:wordWrap/>
        <w:overflowPunct/>
        <w:topLinePunct w:val="0"/>
        <w:autoSpaceDE/>
        <w:autoSpaceDN/>
        <w:bidi w:val="0"/>
        <w:adjustRightInd/>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color w:val="000000"/>
          <w:sz w:val="24"/>
          <w:szCs w:val="24"/>
        </w:rPr>
        <w:t>20.1</w:t>
      </w:r>
      <w:r>
        <w:rPr>
          <w:rFonts w:hint="eastAsia" w:ascii="宋体" w:hAnsi="宋体" w:eastAsia="宋体" w:cs="宋体"/>
          <w:bCs/>
          <w:color w:val="000000"/>
          <w:sz w:val="24"/>
          <w:szCs w:val="24"/>
        </w:rPr>
        <w:t>投标人上传电子投标文件的时间不得迟于招标公告中规定的投标截止时间。投标人应充分考虑到网络环境、网络带宽等风险因素，如因投标人自身原因造成的电子投标文件上传不成功由投标人自行承担全部责任。</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color w:val="000000"/>
          <w:sz w:val="24"/>
          <w:szCs w:val="24"/>
        </w:rPr>
        <w:t>20.2</w:t>
      </w:r>
      <w:r>
        <w:rPr>
          <w:rFonts w:hint="eastAsia" w:ascii="宋体" w:hAnsi="宋体" w:eastAsia="宋体" w:cs="宋体"/>
          <w:bCs/>
          <w:color w:val="000000"/>
          <w:sz w:val="24"/>
          <w:szCs w:val="24"/>
        </w:rPr>
        <w:t xml:space="preserve"> 采购人有权通过修改招标文件酌情延长投标截止日期，在此情况下，投标人的所有权利和义务以及投标人受制的截止日期均应以延长后新的截止日期为准。</w:t>
      </w:r>
    </w:p>
    <w:p>
      <w:pPr>
        <w:pStyle w:val="6"/>
        <w:pageBreakBefore w:val="0"/>
        <w:kinsoku/>
        <w:wordWrap/>
        <w:overflowPunct/>
        <w:topLinePunct w:val="0"/>
        <w:autoSpaceDE/>
        <w:autoSpaceDN/>
        <w:bidi w:val="0"/>
        <w:adjustRightInd/>
        <w:spacing w:before="0" w:after="0"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21、迟交的投标文件</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color w:val="000000"/>
          <w:sz w:val="24"/>
          <w:szCs w:val="24"/>
        </w:rPr>
        <w:t>21.1</w:t>
      </w:r>
      <w:r>
        <w:rPr>
          <w:rFonts w:hint="eastAsia" w:ascii="宋体" w:hAnsi="宋体" w:eastAsia="宋体" w:cs="宋体"/>
          <w:bCs/>
          <w:color w:val="000000"/>
          <w:sz w:val="24"/>
          <w:szCs w:val="24"/>
        </w:rPr>
        <w:t xml:space="preserve"> 采购人拒绝接收在其规定的投标截止时间后递交的任何投标文件。</w:t>
      </w:r>
    </w:p>
    <w:p>
      <w:pPr>
        <w:pStyle w:val="6"/>
        <w:pageBreakBefore w:val="0"/>
        <w:kinsoku/>
        <w:wordWrap/>
        <w:overflowPunct/>
        <w:topLinePunct w:val="0"/>
        <w:autoSpaceDE/>
        <w:autoSpaceDN/>
        <w:bidi w:val="0"/>
        <w:adjustRightInd/>
        <w:spacing w:before="0" w:after="0"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22、投标文件的修改和撤回</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color w:val="000000"/>
          <w:sz w:val="24"/>
          <w:szCs w:val="24"/>
        </w:rPr>
        <w:t>22.1</w:t>
      </w:r>
      <w:r>
        <w:rPr>
          <w:rFonts w:hint="eastAsia" w:ascii="宋体" w:hAnsi="宋体" w:eastAsia="宋体" w:cs="宋体"/>
          <w:bCs/>
          <w:color w:val="000000"/>
          <w:sz w:val="24"/>
          <w:szCs w:val="24"/>
        </w:rPr>
        <w:t>投标文件的撤回</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22.1.1电子投标文件的撤回</w:t>
      </w:r>
    </w:p>
    <w:p>
      <w:pPr>
        <w:pageBreakBefore w:val="0"/>
        <w:tabs>
          <w:tab w:val="left" w:pos="525"/>
          <w:tab w:val="left" w:pos="945"/>
        </w:tabs>
        <w:kinsoku/>
        <w:wordWrap/>
        <w:overflowPunct/>
        <w:topLinePunct w:val="0"/>
        <w:autoSpaceDE/>
        <w:autoSpaceDN/>
        <w:bidi w:val="0"/>
        <w:adjustRightInd/>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投标人可在投标截止时间前，撤回其电子投标文件，具体操作方法见《</w:t>
      </w:r>
      <w:r>
        <w:rPr>
          <w:rFonts w:hint="eastAsia" w:ascii="宋体" w:hAnsi="宋体" w:eastAsia="宋体" w:cs="宋体"/>
          <w:bCs/>
          <w:color w:val="000000"/>
          <w:sz w:val="24"/>
          <w:szCs w:val="24"/>
          <w:lang w:val="en-US" w:eastAsia="zh-CN"/>
        </w:rPr>
        <w:t>苏采云</w:t>
      </w:r>
      <w:r>
        <w:rPr>
          <w:rFonts w:hint="eastAsia" w:ascii="宋体" w:hAnsi="宋体" w:eastAsia="宋体" w:cs="宋体"/>
          <w:bCs/>
          <w:color w:val="000000"/>
          <w:sz w:val="24"/>
          <w:szCs w:val="24"/>
        </w:rPr>
        <w:t>系统供应商操作手册》。</w:t>
      </w:r>
    </w:p>
    <w:p>
      <w:pPr>
        <w:pageBreakBefore w:val="0"/>
        <w:tabs>
          <w:tab w:val="left" w:pos="525"/>
          <w:tab w:val="left" w:pos="945"/>
        </w:tabs>
        <w:kinsoku/>
        <w:wordWrap/>
        <w:overflowPunct/>
        <w:topLinePunct w:val="0"/>
        <w:autoSpaceDE/>
        <w:autoSpaceDN/>
        <w:bidi w:val="0"/>
        <w:adjustRightInd/>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22.1.2投标人撤回电子投标文件，则认为其不再参与本项目投标活动。</w:t>
      </w:r>
    </w:p>
    <w:p>
      <w:pPr>
        <w:pageBreakBefore w:val="0"/>
        <w:tabs>
          <w:tab w:val="left" w:pos="525"/>
          <w:tab w:val="left" w:pos="945"/>
        </w:tabs>
        <w:kinsoku/>
        <w:wordWrap/>
        <w:overflowPunct/>
        <w:topLinePunct w:val="0"/>
        <w:autoSpaceDE/>
        <w:autoSpaceDN/>
        <w:bidi w:val="0"/>
        <w:adjustRightInd/>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22.2 投标文件的修改</w:t>
      </w:r>
    </w:p>
    <w:p>
      <w:pPr>
        <w:pageBreakBefore w:val="0"/>
        <w:tabs>
          <w:tab w:val="left" w:pos="525"/>
          <w:tab w:val="left" w:pos="945"/>
        </w:tabs>
        <w:kinsoku/>
        <w:wordWrap/>
        <w:overflowPunct/>
        <w:topLinePunct w:val="0"/>
        <w:autoSpaceDE/>
        <w:autoSpaceDN/>
        <w:bidi w:val="0"/>
        <w:adjustRightInd/>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投标人可在投标截止时间前，对其电子投标文件进行修改，具体操作方法见《</w:t>
      </w:r>
      <w:r>
        <w:rPr>
          <w:rFonts w:hint="eastAsia" w:ascii="宋体" w:hAnsi="宋体" w:eastAsia="宋体" w:cs="宋体"/>
          <w:bCs/>
          <w:color w:val="000000"/>
          <w:sz w:val="24"/>
          <w:szCs w:val="24"/>
          <w:lang w:val="en-US" w:eastAsia="zh-CN"/>
        </w:rPr>
        <w:t>苏采云</w:t>
      </w:r>
      <w:r>
        <w:rPr>
          <w:rFonts w:hint="eastAsia" w:ascii="宋体" w:hAnsi="宋体" w:eastAsia="宋体" w:cs="宋体"/>
          <w:bCs/>
          <w:color w:val="000000"/>
          <w:sz w:val="24"/>
          <w:szCs w:val="24"/>
        </w:rPr>
        <w:t>供应商操作手册》。</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color w:val="000000"/>
          <w:sz w:val="24"/>
          <w:szCs w:val="24"/>
        </w:rPr>
        <w:t>22.3</w:t>
      </w:r>
      <w:r>
        <w:rPr>
          <w:rFonts w:hint="eastAsia" w:ascii="宋体" w:hAnsi="宋体" w:eastAsia="宋体" w:cs="宋体"/>
          <w:bCs/>
          <w:color w:val="000000"/>
          <w:sz w:val="24"/>
          <w:szCs w:val="24"/>
        </w:rPr>
        <w:t xml:space="preserve"> 在投标截止时间之后，投标人不得对其电子投标文件作任何修改。</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color w:val="000000"/>
          <w:sz w:val="24"/>
          <w:szCs w:val="24"/>
        </w:rPr>
        <w:t>22.4</w:t>
      </w:r>
      <w:r>
        <w:rPr>
          <w:rFonts w:hint="eastAsia" w:ascii="宋体" w:hAnsi="宋体" w:eastAsia="宋体" w:cs="宋体"/>
          <w:bCs/>
          <w:color w:val="000000"/>
          <w:sz w:val="24"/>
          <w:szCs w:val="24"/>
        </w:rPr>
        <w:t xml:space="preserve"> 在投标截止时间至招标文件中规定的投标有效期满之间的这段时间内，投标人不得撤回其投标。</w:t>
      </w:r>
    </w:p>
    <w:p>
      <w:pPr>
        <w:pStyle w:val="5"/>
        <w:pageBreakBefore w:val="0"/>
        <w:kinsoku/>
        <w:wordWrap/>
        <w:overflowPunct/>
        <w:topLinePunct w:val="0"/>
        <w:autoSpaceDE/>
        <w:autoSpaceDN/>
        <w:bidi w:val="0"/>
        <w:adjustRightInd/>
        <w:spacing w:before="0" w:after="0" w:line="360" w:lineRule="auto"/>
        <w:ind w:firstLine="48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五、开标与评标</w:t>
      </w:r>
    </w:p>
    <w:p>
      <w:pPr>
        <w:pStyle w:val="6"/>
        <w:pageBreakBefore w:val="0"/>
        <w:kinsoku/>
        <w:wordWrap/>
        <w:overflowPunct/>
        <w:topLinePunct w:val="0"/>
        <w:autoSpaceDE/>
        <w:autoSpaceDN/>
        <w:bidi w:val="0"/>
        <w:adjustRightInd/>
        <w:spacing w:before="0" w:after="0"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23、开标</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23.1 采购人将在招标公告中规定的时间和地点组织公开开标。投标人应当按照《</w:t>
      </w:r>
      <w:r>
        <w:rPr>
          <w:rFonts w:hint="eastAsia" w:ascii="宋体" w:hAnsi="宋体" w:eastAsia="宋体" w:cs="宋体"/>
          <w:color w:val="000000"/>
          <w:sz w:val="24"/>
          <w:szCs w:val="24"/>
          <w:lang w:val="en-US" w:eastAsia="zh-CN"/>
        </w:rPr>
        <w:t>苏采云</w:t>
      </w:r>
      <w:r>
        <w:rPr>
          <w:rFonts w:hint="eastAsia" w:ascii="宋体" w:hAnsi="宋体" w:eastAsia="宋体" w:cs="宋体"/>
          <w:color w:val="000000"/>
          <w:sz w:val="24"/>
          <w:szCs w:val="24"/>
        </w:rPr>
        <w:t>系统供应商操作手册》规定，参加开标活动。</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23.2开标仪式由采购人组织。“盐城市政府采购交易管理系统”将自动对项目进行开标。</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23.3 投标人在开标过程中涉及到的投标文件解密、开标结果确认等工作，应按照《</w:t>
      </w:r>
      <w:r>
        <w:rPr>
          <w:rFonts w:hint="eastAsia" w:ascii="宋体" w:hAnsi="宋体" w:eastAsia="宋体" w:cs="宋体"/>
          <w:color w:val="000000"/>
          <w:sz w:val="24"/>
          <w:szCs w:val="24"/>
          <w:lang w:val="en-US" w:eastAsia="zh-CN"/>
        </w:rPr>
        <w:t>苏采云</w:t>
      </w:r>
      <w:r>
        <w:rPr>
          <w:rFonts w:hint="eastAsia" w:ascii="宋体" w:hAnsi="宋体" w:eastAsia="宋体" w:cs="宋体"/>
          <w:color w:val="000000"/>
          <w:sz w:val="24"/>
          <w:szCs w:val="24"/>
        </w:rPr>
        <w:t>系统供应商操作手册》规定执行。每个投标人的解密时长为6分钟，超时视同解密失败。</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23.4 投标人如果对开标过程和开标记录有疑义，应当根据《</w:t>
      </w:r>
      <w:r>
        <w:rPr>
          <w:rFonts w:hint="eastAsia" w:ascii="宋体" w:hAnsi="宋体" w:eastAsia="宋体" w:cs="宋体"/>
          <w:color w:val="000000"/>
          <w:sz w:val="24"/>
          <w:szCs w:val="24"/>
          <w:lang w:val="en-US" w:eastAsia="zh-CN"/>
        </w:rPr>
        <w:t>苏采云</w:t>
      </w:r>
      <w:r>
        <w:rPr>
          <w:rFonts w:hint="eastAsia" w:ascii="宋体" w:hAnsi="宋体" w:eastAsia="宋体" w:cs="宋体"/>
          <w:color w:val="000000"/>
          <w:sz w:val="24"/>
          <w:szCs w:val="24"/>
        </w:rPr>
        <w:t>系统供应商操作手册》规定提出，所有分包解密完成后5分钟未提出异议，视同认可开标结果。</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23.5 </w:t>
      </w:r>
      <w:r>
        <w:rPr>
          <w:rFonts w:hint="eastAsia" w:ascii="宋体" w:hAnsi="宋体" w:eastAsia="宋体" w:cs="宋体"/>
          <w:bCs/>
          <w:color w:val="000000"/>
          <w:sz w:val="24"/>
          <w:szCs w:val="24"/>
        </w:rPr>
        <w:t>投标人未参加开标的，视同认可开标结果。</w:t>
      </w:r>
    </w:p>
    <w:p>
      <w:pPr>
        <w:pStyle w:val="6"/>
        <w:pageBreakBefore w:val="0"/>
        <w:kinsoku/>
        <w:wordWrap/>
        <w:overflowPunct/>
        <w:topLinePunct w:val="0"/>
        <w:autoSpaceDE/>
        <w:autoSpaceDN/>
        <w:bidi w:val="0"/>
        <w:adjustRightInd/>
        <w:spacing w:before="0" w:after="0"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24、资格审查</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24.1依据法律法规和招标文件的规定，开标结束后，由采购人对投标文件中的资格证明文件进行审查。资格审查的结论，采购人以书面形式向评标委员会进行反馈。未通过资格审查的投标人，由采购人告知未通过资格审查的原因。</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采购人在进行资格性审查的同时，将在“信用中国”网站（www.creditchina.gov.cn）对投标人是否被列入失信被执行人、重大税收违法案件当事人名单、政府采购严重失信行为记录名单情况进行查询，以确定投标人是否具备投标资格。查询结果将以网页打印的形式留存并归档。</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接受联合体的项目，两个以上的自然人、法人或者其他组织组成一个联合体，以一个供应商的身份共同参加政府采购活动的,联合体成员存在不良信用记录的，视同联合体存在不良应用记录。</w:t>
      </w:r>
    </w:p>
    <w:p>
      <w:pPr>
        <w:pageBreakBefore w:val="0"/>
        <w:widowControl/>
        <w:kinsoku/>
        <w:wordWrap/>
        <w:overflowPunct/>
        <w:topLinePunct w:val="0"/>
        <w:autoSpaceDE/>
        <w:autoSpaceDN/>
        <w:bidi w:val="0"/>
        <w:adjustRightInd/>
        <w:spacing w:line="360" w:lineRule="auto"/>
        <w:ind w:firstLine="480" w:firstLineChars="200"/>
        <w:jc w:val="left"/>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合格投标人不足3家的，不得评标。</w:t>
      </w:r>
    </w:p>
    <w:p>
      <w:pPr>
        <w:pStyle w:val="6"/>
        <w:pageBreakBefore w:val="0"/>
        <w:kinsoku/>
        <w:wordWrap/>
        <w:overflowPunct/>
        <w:topLinePunct w:val="0"/>
        <w:autoSpaceDE/>
        <w:autoSpaceDN/>
        <w:bidi w:val="0"/>
        <w:adjustRightInd/>
        <w:spacing w:before="0" w:after="0"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25、评标委员会</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b/>
          <w:color w:val="000000"/>
          <w:sz w:val="24"/>
          <w:szCs w:val="24"/>
        </w:rPr>
      </w:pPr>
      <w:r>
        <w:rPr>
          <w:rFonts w:hint="eastAsia" w:ascii="宋体" w:hAnsi="宋体" w:eastAsia="宋体" w:cs="宋体"/>
          <w:color w:val="000000"/>
          <w:sz w:val="24"/>
          <w:szCs w:val="24"/>
        </w:rPr>
        <w:t>25.1</w:t>
      </w:r>
      <w:r>
        <w:rPr>
          <w:rFonts w:hint="eastAsia" w:ascii="宋体" w:hAnsi="宋体" w:eastAsia="宋体" w:cs="宋体"/>
          <w:b/>
          <w:color w:val="000000"/>
          <w:sz w:val="24"/>
          <w:szCs w:val="24"/>
        </w:rPr>
        <w:t xml:space="preserve"> </w:t>
      </w:r>
      <w:r>
        <w:rPr>
          <w:rFonts w:hint="eastAsia" w:ascii="宋体" w:hAnsi="宋体" w:eastAsia="宋体" w:cs="宋体"/>
          <w:color w:val="000000"/>
          <w:sz w:val="24"/>
          <w:szCs w:val="24"/>
          <w:lang w:val="en-US" w:eastAsia="zh-CN"/>
        </w:rPr>
        <w:t>开标后</w:t>
      </w:r>
      <w:r>
        <w:rPr>
          <w:rFonts w:hint="eastAsia" w:ascii="宋体" w:hAnsi="宋体" w:eastAsia="宋体" w:cs="宋体"/>
          <w:color w:val="000000"/>
          <w:sz w:val="24"/>
          <w:szCs w:val="24"/>
        </w:rPr>
        <w:t>，采购</w:t>
      </w:r>
      <w:r>
        <w:rPr>
          <w:rFonts w:hint="eastAsia" w:ascii="宋体" w:hAnsi="宋体" w:eastAsia="宋体" w:cs="宋体"/>
          <w:color w:val="000000"/>
          <w:sz w:val="24"/>
          <w:szCs w:val="24"/>
          <w:lang w:val="en-US" w:eastAsia="zh-CN"/>
        </w:rPr>
        <w:t>中心</w:t>
      </w:r>
      <w:r>
        <w:rPr>
          <w:rFonts w:hint="eastAsia" w:ascii="宋体" w:hAnsi="宋体" w:eastAsia="宋体" w:cs="宋体"/>
          <w:color w:val="000000"/>
          <w:sz w:val="24"/>
          <w:szCs w:val="24"/>
        </w:rPr>
        <w:t>将组织评标委员会（以下简称评委会）进行评标。</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25.2 评委会由采购人代表和有关技术、经济等方面的专家组成，且人员构成符合政府采购有关规定。</w:t>
      </w:r>
      <w:r>
        <w:rPr>
          <w:rFonts w:hint="eastAsia" w:ascii="宋体" w:hAnsi="宋体" w:eastAsia="宋体" w:cs="宋体"/>
          <w:b/>
          <w:color w:val="000000"/>
          <w:sz w:val="24"/>
          <w:szCs w:val="24"/>
        </w:rPr>
        <w:t xml:space="preserve">  </w:t>
      </w:r>
      <w:r>
        <w:rPr>
          <w:rFonts w:hint="eastAsia" w:ascii="宋体" w:hAnsi="宋体" w:eastAsia="宋体" w:cs="宋体"/>
          <w:color w:val="000000"/>
          <w:sz w:val="24"/>
          <w:szCs w:val="24"/>
        </w:rPr>
        <w:t xml:space="preserve">  </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25.3评委会独立工作，负责评审所有投标文件并确定中标侯选人。</w:t>
      </w:r>
    </w:p>
    <w:p>
      <w:pPr>
        <w:pStyle w:val="6"/>
        <w:pageBreakBefore w:val="0"/>
        <w:kinsoku/>
        <w:wordWrap/>
        <w:overflowPunct/>
        <w:topLinePunct w:val="0"/>
        <w:autoSpaceDE/>
        <w:autoSpaceDN/>
        <w:bidi w:val="0"/>
        <w:adjustRightInd/>
        <w:spacing w:before="0" w:after="0"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26、评标过程的保密与公正</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color w:val="000000"/>
          <w:sz w:val="24"/>
          <w:szCs w:val="24"/>
        </w:rPr>
        <w:t>26.1</w:t>
      </w:r>
      <w:r>
        <w:rPr>
          <w:rFonts w:hint="eastAsia" w:ascii="宋体" w:hAnsi="宋体" w:eastAsia="宋体" w:cs="宋体"/>
          <w:bCs/>
          <w:color w:val="000000"/>
          <w:sz w:val="24"/>
          <w:szCs w:val="24"/>
        </w:rPr>
        <w:t>凡是与审查、澄清、评价和比较投标的有关资料以及授标建议等，采购人、评委、</w:t>
      </w:r>
      <w:r>
        <w:rPr>
          <w:rFonts w:hint="eastAsia" w:ascii="宋体" w:hAnsi="宋体" w:eastAsia="宋体" w:cs="宋体"/>
          <w:bCs/>
          <w:color w:val="000000"/>
          <w:sz w:val="24"/>
          <w:szCs w:val="24"/>
          <w:lang w:val="en-US" w:eastAsia="zh-CN"/>
        </w:rPr>
        <w:t>采购中心</w:t>
      </w:r>
      <w:r>
        <w:rPr>
          <w:rFonts w:hint="eastAsia" w:ascii="宋体" w:hAnsi="宋体" w:eastAsia="宋体" w:cs="宋体"/>
          <w:bCs/>
          <w:color w:val="000000"/>
          <w:sz w:val="24"/>
          <w:szCs w:val="24"/>
        </w:rPr>
        <w:t>均不得向投标人或与评标无关的其他人员透露。</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26.2在评标过程中，投标人不得以任何行为影响评标过程，否则其投标文件将被作为无效投标文件。</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26.3采购中心和评标委员会不向未中标的投标人解释未中标原因，也不公布评标过程中的相关细节。</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26.4采用综合评分法的项目，未中标的投标人可于中标结果公告期限届满之日起通过苏采云系统查看自己的评审得分及排序情况。</w:t>
      </w:r>
    </w:p>
    <w:p>
      <w:pPr>
        <w:pageBreakBefore w:val="0"/>
        <w:numPr>
          <w:ilvl w:val="0"/>
          <w:numId w:val="1"/>
        </w:numPr>
        <w:kinsoku/>
        <w:wordWrap/>
        <w:overflowPunct/>
        <w:topLinePunct w:val="0"/>
        <w:autoSpaceDE/>
        <w:autoSpaceDN/>
        <w:bidi w:val="0"/>
        <w:adjustRightInd/>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投标的澄清</w:t>
      </w:r>
    </w:p>
    <w:p>
      <w:pPr>
        <w:pageBreakBefore w:val="0"/>
        <w:numPr>
          <w:ilvl w:val="0"/>
          <w:numId w:val="0"/>
        </w:numPr>
        <w:kinsoku/>
        <w:wordWrap/>
        <w:overflowPunct/>
        <w:topLinePunct w:val="0"/>
        <w:autoSpaceDE/>
        <w:autoSpaceDN/>
        <w:bidi w:val="0"/>
        <w:adjustRightInd/>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27.1评标期间，评委会对投标文件中含义不明确、同类问题表述不一致或者有明显文字和计算错误的内容，有权要求投标人作出必要的澄清、说明或者补正。投标人的澄清、说明或者补正不得超出投标文件的范围或者改变投标文件的实质性内容。评标委员会并非对每个投标人都做澄清要求。</w:t>
      </w:r>
    </w:p>
    <w:p>
      <w:pPr>
        <w:pageBreakBefore w:val="0"/>
        <w:numPr>
          <w:ilvl w:val="0"/>
          <w:numId w:val="0"/>
        </w:numPr>
        <w:kinsoku/>
        <w:wordWrap/>
        <w:overflowPunct/>
        <w:topLinePunct w:val="0"/>
        <w:autoSpaceDE/>
        <w:autoSpaceDN/>
        <w:bidi w:val="0"/>
        <w:adjustRightInd/>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27.2需要供应商进行澄清、说明和补正的，评委会将通过苏采云系统向供应商发出“澄清要求函”，接到“澄清要求函”的投标人应当按照要求在苏采云系统中提交“澄清响应函”并加盖CA电子公章。澄清、说明和补正的内容作为投标文件的补充部分，具体操作方式见《操作手册》。</w:t>
      </w:r>
    </w:p>
    <w:p>
      <w:pPr>
        <w:pageBreakBefore w:val="0"/>
        <w:numPr>
          <w:ilvl w:val="0"/>
          <w:numId w:val="0"/>
        </w:numPr>
        <w:kinsoku/>
        <w:wordWrap/>
        <w:overflowPunct/>
        <w:topLinePunct w:val="0"/>
        <w:autoSpaceDE/>
        <w:autoSpaceDN/>
        <w:bidi w:val="0"/>
        <w:adjustRightInd/>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27.3 接到评委会澄清、说明和补正要求的投标人如未按规定做出澄清、说明和补正，其风险由投标人自行承担。</w:t>
      </w:r>
    </w:p>
    <w:p>
      <w:pPr>
        <w:pageBreakBefore w:val="0"/>
        <w:numPr>
          <w:ilvl w:val="0"/>
          <w:numId w:val="0"/>
        </w:numPr>
        <w:kinsoku/>
        <w:wordWrap/>
        <w:overflowPunct/>
        <w:topLinePunct w:val="0"/>
        <w:autoSpaceDE/>
        <w:autoSpaceDN/>
        <w:bidi w:val="0"/>
        <w:adjustRightInd/>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28、对投标文件的评审</w:t>
      </w:r>
    </w:p>
    <w:p>
      <w:pPr>
        <w:pageBreakBefore w:val="0"/>
        <w:numPr>
          <w:ilvl w:val="0"/>
          <w:numId w:val="0"/>
        </w:numPr>
        <w:kinsoku/>
        <w:wordWrap/>
        <w:overflowPunct/>
        <w:topLinePunct w:val="0"/>
        <w:autoSpaceDE/>
        <w:autoSpaceDN/>
        <w:bidi w:val="0"/>
        <w:adjustRightInd/>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28.1投标文件初审分为资格审查和符合性审查。</w:t>
      </w:r>
    </w:p>
    <w:p>
      <w:pPr>
        <w:pageBreakBefore w:val="0"/>
        <w:numPr>
          <w:ilvl w:val="0"/>
          <w:numId w:val="0"/>
        </w:numPr>
        <w:kinsoku/>
        <w:wordWrap/>
        <w:overflowPunct/>
        <w:topLinePunct w:val="0"/>
        <w:autoSpaceDE/>
        <w:autoSpaceDN/>
        <w:bidi w:val="0"/>
        <w:adjustRightInd/>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28.1.1 资格审查：依据法律法规和招标文件的规定，由采购人对投标文件中的资格证明文件进行审查。资格审查的结论，采购人以书面形式向评委会进行反馈。</w:t>
      </w:r>
    </w:p>
    <w:p>
      <w:pPr>
        <w:pageBreakBefore w:val="0"/>
        <w:numPr>
          <w:ilvl w:val="0"/>
          <w:numId w:val="0"/>
        </w:numPr>
        <w:kinsoku/>
        <w:wordWrap/>
        <w:overflowPunct/>
        <w:topLinePunct w:val="0"/>
        <w:autoSpaceDE/>
        <w:autoSpaceDN/>
        <w:bidi w:val="0"/>
        <w:adjustRightInd/>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采购人在进行资格性审查的同时，将在“信用中国”网站（www.creditchina.gov.cn）查询投标人的信用记录，以确定投标人是否具备投标资格,查询结果留存并归档。</w:t>
      </w:r>
    </w:p>
    <w:p>
      <w:pPr>
        <w:pStyle w:val="6"/>
        <w:pageBreakBefore w:val="0"/>
        <w:kinsoku/>
        <w:wordWrap/>
        <w:overflowPunct/>
        <w:topLinePunct w:val="0"/>
        <w:autoSpaceDE/>
        <w:autoSpaceDN/>
        <w:bidi w:val="0"/>
        <w:adjustRightInd/>
        <w:spacing w:before="0" w:after="0"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接受联合体的项目，两个以上的自然人、法人或者其他组织组成一个联合体，以一个供应商的身份共同参加政府采购活动的,联合体成员存在不良信用记录的，视同联合体存在不良应用记录。</w:t>
      </w:r>
    </w:p>
    <w:p>
      <w:pPr>
        <w:pStyle w:val="6"/>
        <w:pageBreakBefore w:val="0"/>
        <w:kinsoku/>
        <w:wordWrap/>
        <w:overflowPunct/>
        <w:topLinePunct w:val="0"/>
        <w:autoSpaceDE/>
        <w:autoSpaceDN/>
        <w:bidi w:val="0"/>
        <w:adjustRightInd/>
        <w:spacing w:before="0" w:after="0"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28.1.2 符合性审查：依据招标文件的规定，由评委会从投标文件的有效性、完整性和对招标文件的响应程度进行审查，以确定是否对招标文件的实质性要求作出响应。</w:t>
      </w:r>
    </w:p>
    <w:p>
      <w:pPr>
        <w:pStyle w:val="6"/>
        <w:pageBreakBefore w:val="0"/>
        <w:kinsoku/>
        <w:wordWrap/>
        <w:overflowPunct/>
        <w:topLinePunct w:val="0"/>
        <w:autoSpaceDE/>
        <w:autoSpaceDN/>
        <w:bidi w:val="0"/>
        <w:adjustRightInd/>
        <w:spacing w:before="0" w:after="0"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28.1.3 未通过资格审查或符合性审查的投标人，采购中心将在苏采云系统中告知未通过资格审查或符合性审查的原因，评标结束后，采购中心将不再告知未通过资格审查和符合性审查的原因。</w:t>
      </w:r>
    </w:p>
    <w:p>
      <w:pPr>
        <w:pStyle w:val="6"/>
        <w:pageBreakBefore w:val="0"/>
        <w:kinsoku/>
        <w:wordWrap/>
        <w:overflowPunct/>
        <w:topLinePunct w:val="0"/>
        <w:autoSpaceDE/>
        <w:autoSpaceDN/>
        <w:bidi w:val="0"/>
        <w:adjustRightInd/>
        <w:spacing w:before="0" w:after="0"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28.2在详细评标之前，评委会将首先审查每份投标文件是否实质性响应了招标文件的要求。实质性响应的投标应该是与招标文件要求的全部条款、条件和规格相符，没有重大偏离或保留的投标。</w:t>
      </w:r>
    </w:p>
    <w:p>
      <w:pPr>
        <w:pStyle w:val="6"/>
        <w:pageBreakBefore w:val="0"/>
        <w:kinsoku/>
        <w:wordWrap/>
        <w:overflowPunct/>
        <w:topLinePunct w:val="0"/>
        <w:autoSpaceDE/>
        <w:autoSpaceDN/>
        <w:bidi w:val="0"/>
        <w:adjustRightInd/>
        <w:spacing w:before="0" w:after="0"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所谓重大偏离或保留是指与招标文件规定的实质性要求存在负偏离，或者在实质上与招标文件不一致，而且限制了合同中买方和采购中心的权利或投标人的义务，纠正这些偏离或保留将会对其他实质性响应要求的投标人的竞争地位产生不公正的影响。重大偏离的认定需经过评委会以少数服从多数的原则作出结论。评委决定投标文件的响应性只根据投标文件本身的内容，而不寻求外部的证据。</w:t>
      </w:r>
    </w:p>
    <w:p>
      <w:pPr>
        <w:pStyle w:val="6"/>
        <w:pageBreakBefore w:val="0"/>
        <w:kinsoku/>
        <w:wordWrap/>
        <w:overflowPunct/>
        <w:topLinePunct w:val="0"/>
        <w:autoSpaceDE/>
        <w:autoSpaceDN/>
        <w:bidi w:val="0"/>
        <w:adjustRightInd/>
        <w:spacing w:before="0" w:after="0"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28.3如果投标文件实质上没有响应招标文件的要求，评委会将予以拒绝，投标人不得通过修改或撤销不合要求的偏离或保留而使其投标成为实质性响应的投标。</w:t>
      </w:r>
    </w:p>
    <w:p>
      <w:pPr>
        <w:pStyle w:val="6"/>
        <w:pageBreakBefore w:val="0"/>
        <w:kinsoku/>
        <w:wordWrap/>
        <w:overflowPunct/>
        <w:topLinePunct w:val="0"/>
        <w:autoSpaceDE/>
        <w:autoSpaceDN/>
        <w:bidi w:val="0"/>
        <w:adjustRightInd/>
        <w:spacing w:before="0" w:after="0"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28.4评委会将对确定为实质性响应的投标进行进一步审核，确定其是否有计算上或累加上的算术错误，修正错误的原则如下：</w:t>
      </w:r>
    </w:p>
    <w:p>
      <w:pPr>
        <w:pStyle w:val="6"/>
        <w:pageBreakBefore w:val="0"/>
        <w:kinsoku/>
        <w:wordWrap/>
        <w:overflowPunct/>
        <w:topLinePunct w:val="0"/>
        <w:autoSpaceDE/>
        <w:autoSpaceDN/>
        <w:bidi w:val="0"/>
        <w:adjustRightInd/>
        <w:spacing w:before="0" w:after="0"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（1）投标文件中开标一览表内容与投标文件中相应内容不一致的，以开标一览表为准。</w:t>
      </w:r>
    </w:p>
    <w:p>
      <w:pPr>
        <w:pStyle w:val="6"/>
        <w:pageBreakBefore w:val="0"/>
        <w:kinsoku/>
        <w:wordWrap/>
        <w:overflowPunct/>
        <w:topLinePunct w:val="0"/>
        <w:autoSpaceDE/>
        <w:autoSpaceDN/>
        <w:bidi w:val="0"/>
        <w:adjustRightInd/>
        <w:spacing w:before="0" w:after="0"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（2）大写金额和小写金额不一致的，以大写金额为准。</w:t>
      </w:r>
    </w:p>
    <w:p>
      <w:pPr>
        <w:pStyle w:val="6"/>
        <w:pageBreakBefore w:val="0"/>
        <w:kinsoku/>
        <w:wordWrap/>
        <w:overflowPunct/>
        <w:topLinePunct w:val="0"/>
        <w:autoSpaceDE/>
        <w:autoSpaceDN/>
        <w:bidi w:val="0"/>
        <w:adjustRightInd/>
        <w:spacing w:before="0" w:after="0"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（3）单价金额小数点或者百分比有明显错位的，以开标一览表的总价为准，并修改单价。</w:t>
      </w:r>
    </w:p>
    <w:p>
      <w:pPr>
        <w:pStyle w:val="6"/>
        <w:pageBreakBefore w:val="0"/>
        <w:kinsoku/>
        <w:wordWrap/>
        <w:overflowPunct/>
        <w:topLinePunct w:val="0"/>
        <w:autoSpaceDE/>
        <w:autoSpaceDN/>
        <w:bidi w:val="0"/>
        <w:adjustRightInd/>
        <w:spacing w:before="0" w:after="0"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（4）总价金额与按单价汇总金额不一致的，以单价金额计算结果为准。</w:t>
      </w:r>
    </w:p>
    <w:p>
      <w:pPr>
        <w:pStyle w:val="6"/>
        <w:pageBreakBefore w:val="0"/>
        <w:kinsoku/>
        <w:wordWrap/>
        <w:overflowPunct/>
        <w:topLinePunct w:val="0"/>
        <w:autoSpaceDE/>
        <w:autoSpaceDN/>
        <w:bidi w:val="0"/>
        <w:adjustRightInd/>
        <w:spacing w:before="0" w:after="0"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同时出现两种以上错误的，按照前款规定的顺序修正。</w:t>
      </w:r>
    </w:p>
    <w:p>
      <w:pPr>
        <w:pStyle w:val="6"/>
        <w:pageBreakBefore w:val="0"/>
        <w:kinsoku/>
        <w:wordWrap/>
        <w:overflowPunct/>
        <w:topLinePunct w:val="0"/>
        <w:autoSpaceDE/>
        <w:autoSpaceDN/>
        <w:bidi w:val="0"/>
        <w:adjustRightInd/>
        <w:spacing w:before="0" w:after="0"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28.5 评委会将按上述修正错误的方法调整投标文件中的投标报价，并通过苏采云系统告知投标人，调整后的价格应对投标人具有约束力。如果投标人不接受修正后的价格，则其投标将被拒绝。</w:t>
      </w:r>
    </w:p>
    <w:p>
      <w:pPr>
        <w:pStyle w:val="6"/>
        <w:pageBreakBefore w:val="0"/>
        <w:kinsoku/>
        <w:wordWrap/>
        <w:overflowPunct/>
        <w:topLinePunct w:val="0"/>
        <w:autoSpaceDE/>
        <w:autoSpaceDN/>
        <w:bidi w:val="0"/>
        <w:adjustRightInd/>
        <w:spacing w:before="0" w:after="0"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28.6投标人在开、评标全过程中应保持通讯畅通，及时登录苏采云系统查阅、答复相关信息，并安排专人与采购中心及评标委员会联系。</w:t>
      </w:r>
    </w:p>
    <w:p>
      <w:pPr>
        <w:pStyle w:val="6"/>
        <w:pageBreakBefore w:val="0"/>
        <w:kinsoku/>
        <w:wordWrap/>
        <w:overflowPunct/>
        <w:topLinePunct w:val="0"/>
        <w:autoSpaceDE/>
        <w:autoSpaceDN/>
        <w:bidi w:val="0"/>
        <w:adjustRightInd/>
        <w:spacing w:before="0" w:after="0"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29、</w:t>
      </w:r>
      <w:r>
        <w:rPr>
          <w:rFonts w:hint="eastAsia" w:ascii="宋体" w:hAnsi="宋体" w:eastAsia="宋体" w:cs="宋体"/>
          <w:b/>
          <w:bCs/>
          <w:color w:val="000000"/>
          <w:sz w:val="24"/>
          <w:szCs w:val="24"/>
          <w:lang w:val="en-US" w:eastAsia="zh-CN"/>
        </w:rPr>
        <w:t>无效投标条款和废标条款</w:t>
      </w:r>
    </w:p>
    <w:p>
      <w:pPr>
        <w:pStyle w:val="6"/>
        <w:pageBreakBefore w:val="0"/>
        <w:kinsoku/>
        <w:wordWrap/>
        <w:overflowPunct/>
        <w:topLinePunct w:val="0"/>
        <w:autoSpaceDE/>
        <w:autoSpaceDN/>
        <w:bidi w:val="0"/>
        <w:adjustRightInd/>
        <w:spacing w:before="0" w:after="0"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29.1无效投标条款</w:t>
      </w:r>
    </w:p>
    <w:p>
      <w:pPr>
        <w:pStyle w:val="6"/>
        <w:pageBreakBefore w:val="0"/>
        <w:kinsoku/>
        <w:wordWrap/>
        <w:overflowPunct/>
        <w:topLinePunct w:val="0"/>
        <w:autoSpaceDE/>
        <w:autoSpaceDN/>
        <w:bidi w:val="0"/>
        <w:adjustRightInd/>
        <w:spacing w:before="0" w:after="0"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29.1.1 投标人在苏采云系统规定的时间内未成功解密电子投标文件的。</w:t>
      </w:r>
    </w:p>
    <w:p>
      <w:pPr>
        <w:pStyle w:val="6"/>
        <w:pageBreakBefore w:val="0"/>
        <w:kinsoku/>
        <w:wordWrap/>
        <w:overflowPunct/>
        <w:topLinePunct w:val="0"/>
        <w:autoSpaceDE/>
        <w:autoSpaceDN/>
        <w:bidi w:val="0"/>
        <w:adjustRightInd/>
        <w:spacing w:before="0" w:after="0"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29.1.2 投标人未按照招标文件要求上传电子投标文件的。</w:t>
      </w:r>
    </w:p>
    <w:p>
      <w:pPr>
        <w:pStyle w:val="6"/>
        <w:pageBreakBefore w:val="0"/>
        <w:kinsoku/>
        <w:wordWrap/>
        <w:overflowPunct/>
        <w:topLinePunct w:val="0"/>
        <w:autoSpaceDE/>
        <w:autoSpaceDN/>
        <w:bidi w:val="0"/>
        <w:adjustRightInd/>
        <w:spacing w:before="0" w:after="0"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29.1.3同一投标人提交两个（含两个）以上不同的投标报价的。</w:t>
      </w:r>
    </w:p>
    <w:p>
      <w:pPr>
        <w:pStyle w:val="6"/>
        <w:pageBreakBefore w:val="0"/>
        <w:kinsoku/>
        <w:wordWrap/>
        <w:overflowPunct/>
        <w:topLinePunct w:val="0"/>
        <w:autoSpaceDE/>
        <w:autoSpaceDN/>
        <w:bidi w:val="0"/>
        <w:adjustRightInd/>
        <w:spacing w:before="0" w:after="0"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29.1.4投标人不具备招标文件中规定资格要求的。</w:t>
      </w:r>
    </w:p>
    <w:p>
      <w:pPr>
        <w:pStyle w:val="6"/>
        <w:pageBreakBefore w:val="0"/>
        <w:kinsoku/>
        <w:wordWrap/>
        <w:overflowPunct/>
        <w:topLinePunct w:val="0"/>
        <w:autoSpaceDE/>
        <w:autoSpaceDN/>
        <w:bidi w:val="0"/>
        <w:adjustRightInd/>
        <w:spacing w:before="0" w:after="0"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29.1.5投标人的报价超过了采购预算或最高限价的。</w:t>
      </w:r>
    </w:p>
    <w:p>
      <w:pPr>
        <w:pStyle w:val="6"/>
        <w:pageBreakBefore w:val="0"/>
        <w:kinsoku/>
        <w:wordWrap/>
        <w:overflowPunct/>
        <w:topLinePunct w:val="0"/>
        <w:autoSpaceDE/>
        <w:autoSpaceDN/>
        <w:bidi w:val="0"/>
        <w:adjustRightInd/>
        <w:spacing w:before="0" w:after="0"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29.1.6未通过符合性审查的。</w:t>
      </w:r>
    </w:p>
    <w:p>
      <w:pPr>
        <w:pStyle w:val="6"/>
        <w:pageBreakBefore w:val="0"/>
        <w:kinsoku/>
        <w:wordWrap/>
        <w:overflowPunct/>
        <w:topLinePunct w:val="0"/>
        <w:autoSpaceDE/>
        <w:autoSpaceDN/>
        <w:bidi w:val="0"/>
        <w:adjustRightInd/>
        <w:spacing w:before="0" w:after="0"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29.1.7不符合招标文件中规定的实质性要求和条件的（本招标文件中斜体且有下划线部分为实质性要求和条件）。</w:t>
      </w:r>
    </w:p>
    <w:p>
      <w:pPr>
        <w:pStyle w:val="6"/>
        <w:pageBreakBefore w:val="0"/>
        <w:kinsoku/>
        <w:wordWrap/>
        <w:overflowPunct/>
        <w:topLinePunct w:val="0"/>
        <w:autoSpaceDE/>
        <w:autoSpaceDN/>
        <w:bidi w:val="0"/>
        <w:adjustRightInd/>
        <w:spacing w:before="0" w:after="0"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29.1.8 投标人被 “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pPr>
        <w:pStyle w:val="6"/>
        <w:pageBreakBefore w:val="0"/>
        <w:kinsoku/>
        <w:wordWrap/>
        <w:overflowPunct/>
        <w:topLinePunct w:val="0"/>
        <w:autoSpaceDE/>
        <w:autoSpaceDN/>
        <w:bidi w:val="0"/>
        <w:adjustRightInd/>
        <w:spacing w:before="0" w:after="0"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29.1.9 投标文件含有采购人不能接受的附加条件的。</w:t>
      </w:r>
    </w:p>
    <w:p>
      <w:pPr>
        <w:pStyle w:val="6"/>
        <w:pageBreakBefore w:val="0"/>
        <w:kinsoku/>
        <w:wordWrap/>
        <w:overflowPunct/>
        <w:topLinePunct w:val="0"/>
        <w:autoSpaceDE/>
        <w:autoSpaceDN/>
        <w:bidi w:val="0"/>
        <w:adjustRightInd/>
        <w:spacing w:before="0" w:after="0"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29.1.10评标委员会认为投标人的报价明显低于其他通过符合性审查投标人的报价，有可能影响产品质量或者不能诚信履约的，将通过苏采云系统要求其在合理的时间内提供说明，必要时提交相关证明材料；投标人不能证明其报价合理性的，评标委员会应当将其作为无效投标处理。</w:t>
      </w:r>
    </w:p>
    <w:p>
      <w:pPr>
        <w:pStyle w:val="6"/>
        <w:pageBreakBefore w:val="0"/>
        <w:kinsoku/>
        <w:wordWrap/>
        <w:overflowPunct/>
        <w:topLinePunct w:val="0"/>
        <w:autoSpaceDE/>
        <w:autoSpaceDN/>
        <w:bidi w:val="0"/>
        <w:adjustRightInd/>
        <w:spacing w:before="0" w:after="0"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29.1.11 投标文件未按照招标文件要求加盖CA电子公章的。</w:t>
      </w:r>
    </w:p>
    <w:p>
      <w:pPr>
        <w:pStyle w:val="6"/>
        <w:pageBreakBefore w:val="0"/>
        <w:kinsoku/>
        <w:wordWrap/>
        <w:overflowPunct/>
        <w:topLinePunct w:val="0"/>
        <w:autoSpaceDE/>
        <w:autoSpaceDN/>
        <w:bidi w:val="0"/>
        <w:adjustRightInd/>
        <w:spacing w:before="0" w:after="0"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29.1.12</w:t>
      </w:r>
      <w:r>
        <w:rPr>
          <w:rFonts w:hint="eastAsia" w:ascii="宋体" w:hAnsi="宋体" w:eastAsia="宋体" w:cs="宋体"/>
          <w:b w:val="0"/>
          <w:bCs w:val="0"/>
          <w:color w:val="000000"/>
          <w:sz w:val="24"/>
          <w:szCs w:val="24"/>
          <w:lang w:val="en-US" w:eastAsia="zh-CN"/>
        </w:rPr>
        <w:t xml:space="preserve"> </w:t>
      </w:r>
      <w:r>
        <w:rPr>
          <w:rFonts w:hint="eastAsia" w:ascii="宋体" w:hAnsi="宋体" w:eastAsia="宋体" w:cs="宋体"/>
          <w:b w:val="0"/>
          <w:bCs w:val="0"/>
          <w:color w:val="000000"/>
          <w:sz w:val="24"/>
          <w:szCs w:val="24"/>
        </w:rPr>
        <w:t>其他法律、法规及本招标文件规定的属无效投标的情形。</w:t>
      </w:r>
    </w:p>
    <w:p>
      <w:pPr>
        <w:pStyle w:val="6"/>
        <w:pageBreakBefore w:val="0"/>
        <w:kinsoku/>
        <w:wordWrap/>
        <w:overflowPunct/>
        <w:topLinePunct w:val="0"/>
        <w:autoSpaceDE/>
        <w:autoSpaceDN/>
        <w:bidi w:val="0"/>
        <w:adjustRightInd/>
        <w:spacing w:before="0" w:after="0"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29.2废标条款</w:t>
      </w:r>
    </w:p>
    <w:p>
      <w:pPr>
        <w:pStyle w:val="6"/>
        <w:pageBreakBefore w:val="0"/>
        <w:kinsoku/>
        <w:wordWrap/>
        <w:overflowPunct/>
        <w:topLinePunct w:val="0"/>
        <w:autoSpaceDE/>
        <w:autoSpaceDN/>
        <w:bidi w:val="0"/>
        <w:adjustRightInd/>
        <w:spacing w:before="0" w:after="0"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29.2.1符合专业条件的供应商或者对招标文件作实质响应的供应商不足三家的。</w:t>
      </w:r>
    </w:p>
    <w:p>
      <w:pPr>
        <w:pStyle w:val="6"/>
        <w:pageBreakBefore w:val="0"/>
        <w:kinsoku/>
        <w:wordWrap/>
        <w:overflowPunct/>
        <w:topLinePunct w:val="0"/>
        <w:autoSpaceDE/>
        <w:autoSpaceDN/>
        <w:bidi w:val="0"/>
        <w:adjustRightInd/>
        <w:spacing w:before="0" w:after="0"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r>
        <w:rPr>
          <w:rFonts w:hint="eastAsia" w:ascii="宋体" w:hAnsi="宋体" w:eastAsia="宋体" w:cs="宋体"/>
          <w:b w:val="0"/>
          <w:bCs w:val="0"/>
          <w:color w:val="000000"/>
          <w:sz w:val="24"/>
          <w:szCs w:val="24"/>
          <w:lang w:val="en-US" w:eastAsia="zh-CN"/>
        </w:rPr>
        <w:t>9</w:t>
      </w:r>
      <w:r>
        <w:rPr>
          <w:rFonts w:hint="eastAsia" w:ascii="宋体" w:hAnsi="宋体" w:eastAsia="宋体" w:cs="宋体"/>
          <w:b w:val="0"/>
          <w:bCs w:val="0"/>
          <w:color w:val="000000"/>
          <w:sz w:val="24"/>
          <w:szCs w:val="24"/>
        </w:rPr>
        <w:t>.2.2出现影响采购公正的违法、违规行为的。</w:t>
      </w:r>
    </w:p>
    <w:p>
      <w:pPr>
        <w:pStyle w:val="6"/>
        <w:pageBreakBefore w:val="0"/>
        <w:kinsoku/>
        <w:wordWrap/>
        <w:overflowPunct/>
        <w:topLinePunct w:val="0"/>
        <w:autoSpaceDE/>
        <w:autoSpaceDN/>
        <w:bidi w:val="0"/>
        <w:adjustRightInd/>
        <w:spacing w:before="0" w:after="0"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29.2.3因重大变故，采购任务取消的。</w:t>
      </w:r>
    </w:p>
    <w:p>
      <w:pPr>
        <w:pStyle w:val="6"/>
        <w:pageBreakBefore w:val="0"/>
        <w:kinsoku/>
        <w:wordWrap/>
        <w:overflowPunct/>
        <w:topLinePunct w:val="0"/>
        <w:autoSpaceDE/>
        <w:autoSpaceDN/>
        <w:bidi w:val="0"/>
        <w:adjustRightInd/>
        <w:spacing w:before="0" w:after="0"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29.2.4评标委员会认定招标文件存在歧义、重大缺陷导致评审工作无法进行。</w:t>
      </w:r>
    </w:p>
    <w:p>
      <w:pPr>
        <w:pStyle w:val="6"/>
        <w:pageBreakBefore w:val="0"/>
        <w:kinsoku/>
        <w:wordWrap/>
        <w:overflowPunct/>
        <w:topLinePunct w:val="0"/>
        <w:autoSpaceDE/>
        <w:autoSpaceDN/>
        <w:bidi w:val="0"/>
        <w:adjustRightInd/>
        <w:spacing w:before="0" w:after="0"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29.2.5 因苏采云系统系统故障原因造成开标不成功的。</w:t>
      </w:r>
    </w:p>
    <w:p>
      <w:pPr>
        <w:pStyle w:val="6"/>
        <w:pageBreakBefore w:val="0"/>
        <w:kinsoku/>
        <w:wordWrap/>
        <w:overflowPunct/>
        <w:topLinePunct w:val="0"/>
        <w:autoSpaceDE/>
        <w:autoSpaceDN/>
        <w:bidi w:val="0"/>
        <w:adjustRightInd/>
        <w:spacing w:before="0" w:after="0"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29.3 投标截止时间结束后参加投标的供应商不足三家的处理：</w:t>
      </w:r>
    </w:p>
    <w:p>
      <w:pPr>
        <w:pStyle w:val="6"/>
        <w:pageBreakBefore w:val="0"/>
        <w:kinsoku/>
        <w:wordWrap/>
        <w:overflowPunct/>
        <w:topLinePunct w:val="0"/>
        <w:autoSpaceDE/>
        <w:autoSpaceDN/>
        <w:bidi w:val="0"/>
        <w:adjustRightInd/>
        <w:spacing w:before="0" w:after="0"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29.3.1如出现投标截止时间结束后参加投标的供应商或者在评标期间对招标文件做出实质响应的供应商不足三家情况，按政府采购相关规定执行。</w:t>
      </w:r>
    </w:p>
    <w:p>
      <w:pPr>
        <w:pStyle w:val="5"/>
        <w:pageBreakBefore w:val="0"/>
        <w:kinsoku/>
        <w:wordWrap/>
        <w:overflowPunct/>
        <w:topLinePunct w:val="0"/>
        <w:autoSpaceDE/>
        <w:autoSpaceDN/>
        <w:bidi w:val="0"/>
        <w:adjustRightInd/>
        <w:spacing w:before="0" w:after="0" w:line="360" w:lineRule="auto"/>
        <w:ind w:firstLine="48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六、定标</w:t>
      </w:r>
    </w:p>
    <w:p>
      <w:pPr>
        <w:pStyle w:val="6"/>
        <w:pageBreakBefore w:val="0"/>
        <w:kinsoku/>
        <w:wordWrap/>
        <w:overflowPunct/>
        <w:topLinePunct w:val="0"/>
        <w:autoSpaceDE/>
        <w:autoSpaceDN/>
        <w:bidi w:val="0"/>
        <w:adjustRightInd/>
        <w:spacing w:before="0" w:after="0" w:line="360" w:lineRule="auto"/>
        <w:ind w:firstLine="482" w:firstLineChars="200"/>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30、确定中标单位</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30.1评委会根据本招标文件规定评标方法与评标标准向采购人推荐出中标候选人。</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30.2 采购人应根据评委会推荐的中标候选人确定中标</w:t>
      </w:r>
      <w:r>
        <w:rPr>
          <w:rFonts w:hint="eastAsia" w:ascii="宋体" w:hAnsi="宋体" w:eastAsia="宋体" w:cs="宋体"/>
          <w:bCs/>
          <w:color w:val="000000"/>
          <w:sz w:val="24"/>
          <w:szCs w:val="24"/>
          <w:lang w:val="en-US" w:eastAsia="zh-CN"/>
        </w:rPr>
        <w:t>供应商</w:t>
      </w:r>
      <w:r>
        <w:rPr>
          <w:rFonts w:hint="eastAsia" w:ascii="宋体" w:hAnsi="宋体" w:eastAsia="宋体" w:cs="宋体"/>
          <w:bCs/>
          <w:color w:val="000000"/>
          <w:sz w:val="24"/>
          <w:szCs w:val="24"/>
        </w:rPr>
        <w:t>。</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bCs/>
          <w:color w:val="000000"/>
          <w:sz w:val="24"/>
          <w:szCs w:val="24"/>
        </w:rPr>
        <w:t>30.3</w:t>
      </w:r>
      <w:r>
        <w:rPr>
          <w:rFonts w:hint="eastAsia" w:ascii="宋体" w:hAnsi="宋体" w:eastAsia="宋体" w:cs="宋体"/>
          <w:color w:val="000000"/>
          <w:sz w:val="24"/>
          <w:szCs w:val="24"/>
        </w:rPr>
        <w:t>采购人将在“江苏政府采购网”、“盐城市政府采购网”发布中标公告，公告期限为1个工作日。</w:t>
      </w:r>
    </w:p>
    <w:p>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30.4若有充分证据证明，中标人出现下列情况之一的，一经查实，将被取消中标资格：</w:t>
      </w:r>
    </w:p>
    <w:p>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30.4.1提供虚假材料谋取中标的；</w:t>
      </w:r>
    </w:p>
    <w:p>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30.4.2向采购人行贿或者提供其他不正当利益的；</w:t>
      </w:r>
    </w:p>
    <w:p>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30.4.3恶意竞争，投标总报价明显低于其自身合理成本且又无法提供证明的；</w:t>
      </w:r>
    </w:p>
    <w:p>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30.4.4属于本文件规定的无效条件，但在评标过程中又未被评委会发现的；</w:t>
      </w:r>
    </w:p>
    <w:p>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30.4.5与采购人或者其他供应商恶意串通的；</w:t>
      </w:r>
    </w:p>
    <w:p>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30.4.6采取不正当手段诋毁、排挤其他供应商的；</w:t>
      </w:r>
    </w:p>
    <w:p>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30.4.7不符合法律、法规的规定的。</w:t>
      </w:r>
    </w:p>
    <w:p>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30.5. 有下列情形之一的，视为投标人串通投标，投标无效：</w:t>
      </w:r>
    </w:p>
    <w:p>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30.5.1不同投标人的投标文件由同一单位或者个人编制。</w:t>
      </w:r>
    </w:p>
    <w:p>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30.5.2不同投标人委托同一单位或者个人办理投标事宜。</w:t>
      </w:r>
    </w:p>
    <w:p>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30.5.3 不同投标人的投标文件载明的项目管理成员或者联系人员为同一人。</w:t>
      </w:r>
    </w:p>
    <w:p>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30.5.4不同投标人的投标文件异常一致或者投标报价呈规律性差异。</w:t>
      </w:r>
    </w:p>
    <w:p>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30.5.5不同投标人的投标文件相互混装。</w:t>
      </w:r>
    </w:p>
    <w:p>
      <w:pPr>
        <w:pStyle w:val="6"/>
        <w:pageBreakBefore w:val="0"/>
        <w:kinsoku/>
        <w:wordWrap/>
        <w:overflowPunct/>
        <w:topLinePunct w:val="0"/>
        <w:autoSpaceDE/>
        <w:autoSpaceDN/>
        <w:bidi w:val="0"/>
        <w:adjustRightInd/>
        <w:spacing w:before="0" w:after="0" w:line="360" w:lineRule="auto"/>
        <w:ind w:firstLine="482" w:firstLineChars="200"/>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31、质疑处理</w:t>
      </w:r>
    </w:p>
    <w:p>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31.1参加投标供应商认为招标文件、采购过程和中标结果使自己的权益受到损害的，可以在知道或应知其权益受到损害之日起七个工作日内，以书面形式根据下述31.9规定向采购人提出质疑。上述应知其权益受到损害之日，是指：</w:t>
      </w:r>
    </w:p>
    <w:p>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sz w:val="24"/>
          <w:szCs w:val="24"/>
        </w:rPr>
        <w:t>31.1.1</w:t>
      </w:r>
      <w:r>
        <w:rPr>
          <w:rFonts w:hint="eastAsia" w:ascii="宋体" w:hAnsi="宋体" w:eastAsia="宋体" w:cs="宋体"/>
          <w:color w:val="000000"/>
          <w:kern w:val="0"/>
          <w:sz w:val="24"/>
          <w:szCs w:val="24"/>
        </w:rPr>
        <w:t>对可以质疑的招标文件提出质疑的，为收到招标文件之日或者招标文件公告期限届满之日；</w:t>
      </w:r>
    </w:p>
    <w:p>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sz w:val="24"/>
          <w:szCs w:val="24"/>
        </w:rPr>
        <w:t>31.1.2</w:t>
      </w:r>
      <w:r>
        <w:rPr>
          <w:rFonts w:hint="eastAsia" w:ascii="宋体" w:hAnsi="宋体" w:eastAsia="宋体" w:cs="宋体"/>
          <w:color w:val="000000"/>
          <w:kern w:val="0"/>
          <w:sz w:val="24"/>
          <w:szCs w:val="24"/>
        </w:rPr>
        <w:t>对采购过程提出质疑的，为各采购程序环节结束之日；</w:t>
      </w:r>
    </w:p>
    <w:p>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31.1.3</w:t>
      </w:r>
      <w:r>
        <w:rPr>
          <w:rFonts w:hint="eastAsia" w:ascii="宋体" w:hAnsi="宋体" w:eastAsia="宋体" w:cs="宋体"/>
          <w:color w:val="000000"/>
          <w:kern w:val="0"/>
          <w:sz w:val="24"/>
          <w:szCs w:val="24"/>
        </w:rPr>
        <w:t>对中标结果提出质疑的，为中标结果公告期限届满之日。</w:t>
      </w:r>
    </w:p>
    <w:p>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sz w:val="24"/>
          <w:szCs w:val="24"/>
        </w:rPr>
        <w:t>31.2</w:t>
      </w:r>
      <w:r>
        <w:rPr>
          <w:rFonts w:hint="eastAsia" w:ascii="宋体" w:hAnsi="宋体" w:eastAsia="宋体" w:cs="宋体"/>
          <w:color w:val="000000"/>
          <w:kern w:val="0"/>
          <w:sz w:val="24"/>
          <w:szCs w:val="24"/>
        </w:rPr>
        <w:t>质疑必须按《政府采购法》、《政府采购法实施条例》及《江苏省政府采购供应商监督管理暂行办法》的相关规定提交，未按上述要求提交的质疑函（含传真、电子邮件等）监管部门有权不予受理。</w:t>
      </w:r>
    </w:p>
    <w:p>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31.3未参加投标活动的供应商或在投标活动中自身权益未受到损害的供应商所提出的质疑不予受理。</w:t>
      </w:r>
    </w:p>
    <w:p>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31.4质疑函应当包括下列内容：</w:t>
      </w:r>
    </w:p>
    <w:p>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31.4.1质疑投标人的名称、地址、邮编、联系人、联系电话；</w:t>
      </w:r>
    </w:p>
    <w:p>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31.4.2具体的质疑事项及明确的请求；</w:t>
      </w:r>
    </w:p>
    <w:p>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31.4.3认为自己合法权益受到损害或可能受到损害的相关证据材料；</w:t>
      </w:r>
    </w:p>
    <w:p>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31.4.4提起质疑的日期；</w:t>
      </w:r>
    </w:p>
    <w:p>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31.4.5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人予受理。)质疑人委托代理质疑的，应当向采购人交授权委托书，并载明委托代理的具体权限和事项。</w:t>
      </w:r>
    </w:p>
    <w:p>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31.5采购人收到质疑函后，将对质疑的形式和内容进行审查，如质疑函内容、格式不符合规定，采购人将告知质疑人进行补正。</w:t>
      </w:r>
    </w:p>
    <w:p>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31.6质疑人应当在法定质疑期限内进行补正并重新提交质疑函，拒不补正或者在法定期限内未重新提交质疑函的，为无效质疑，采购人将不予受理。</w:t>
      </w:r>
    </w:p>
    <w:p>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31.7对于内容、格式符合规定的质疑函，采购人应当在收到投标供应商的书面质疑后七个工作日内作出答复，并以书面形式通知质疑供应商和其他有关供应商，但答复的内容不得涉及商业秘密。</w:t>
      </w:r>
    </w:p>
    <w:p>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31.8</w:t>
      </w:r>
      <w:r>
        <w:rPr>
          <w:rFonts w:hint="eastAsia" w:ascii="宋体" w:hAnsi="宋体" w:eastAsia="宋体" w:cs="宋体"/>
          <w:color w:val="000000"/>
          <w:sz w:val="24"/>
          <w:szCs w:val="24"/>
          <w:lang w:val="en-US" w:eastAsia="zh-CN"/>
        </w:rPr>
        <w:t>投标人</w:t>
      </w:r>
      <w:r>
        <w:rPr>
          <w:rFonts w:hint="eastAsia" w:ascii="宋体" w:hAnsi="宋体" w:eastAsia="宋体" w:cs="宋体"/>
          <w:color w:val="000000"/>
          <w:sz w:val="24"/>
          <w:szCs w:val="24"/>
        </w:rPr>
        <w:t>提出书面质疑必须有理、有据，不得恶意质疑或提交虚假质疑。否则，一经查实，采购人有权依据政府采购的有关规定，报请政府采购监管部门对该投标人进行相应的行政处罚，并扣减其诚信记录分。</w:t>
      </w:r>
    </w:p>
    <w:p>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31.9供应商（含潜在供应商）对采购方式、项目需求、供应商资格条件及审查结果、评标方法和评标标准、合同文本的询问、质疑请向采购人提出，由采购人负责答复。</w:t>
      </w:r>
    </w:p>
    <w:p>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31.10 投诉：质疑供应商对采购人、采购代理机构的答复不满意的，或者采购人、采购代理机构未在规定时间内作出答复的，可以在答复期满后15个工作日内向大丰区财政局提起投诉。提起投诉应当符合财政部令第94号《政府采购质疑和投诉办法》相关规定。</w:t>
      </w:r>
    </w:p>
    <w:p>
      <w:pPr>
        <w:pStyle w:val="6"/>
        <w:pageBreakBefore w:val="0"/>
        <w:kinsoku/>
        <w:wordWrap/>
        <w:overflowPunct/>
        <w:topLinePunct w:val="0"/>
        <w:autoSpaceDE/>
        <w:autoSpaceDN/>
        <w:bidi w:val="0"/>
        <w:adjustRightInd/>
        <w:spacing w:before="0" w:after="0" w:line="360" w:lineRule="auto"/>
        <w:ind w:firstLine="482" w:firstLineChars="200"/>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32、中标通知书</w:t>
      </w:r>
    </w:p>
    <w:p>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32.l</w:t>
      </w:r>
      <w:r>
        <w:rPr>
          <w:rFonts w:hint="eastAsia" w:ascii="宋体" w:hAnsi="宋体" w:eastAsia="宋体" w:cs="宋体"/>
          <w:b/>
          <w:color w:val="000000"/>
          <w:sz w:val="24"/>
          <w:szCs w:val="24"/>
        </w:rPr>
        <w:t xml:space="preserve"> </w:t>
      </w:r>
      <w:r>
        <w:rPr>
          <w:rFonts w:hint="eastAsia" w:ascii="宋体" w:hAnsi="宋体" w:eastAsia="宋体" w:cs="宋体"/>
          <w:color w:val="000000"/>
          <w:sz w:val="24"/>
          <w:szCs w:val="24"/>
        </w:rPr>
        <w:t>中标结果确定后，采购中心将向中标人发出中标通知书。请中标人在中标结果公告届满之日起30日内,使用CA数字证书登录苏采云系统及时下载中标通知书。因系统存储空间有限，自中标结果公告届满之日起30日后，苏采云系统不再保证提供下载中标通知书服务,因未及时下载而造成的不利后果由中标人自行承担。</w:t>
      </w:r>
    </w:p>
    <w:p>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32.2中标通知书将是合同的一个组成部分。对采购人和中标人均具有法律效力。中标通知书发出后，采购人改变中标结果的，或者中标人放弃中标项目的，应当依法承担法律责任。</w:t>
      </w:r>
    </w:p>
    <w:p>
      <w:pPr>
        <w:pStyle w:val="5"/>
        <w:pageBreakBefore w:val="0"/>
        <w:kinsoku/>
        <w:wordWrap/>
        <w:overflowPunct/>
        <w:topLinePunct w:val="0"/>
        <w:autoSpaceDE/>
        <w:autoSpaceDN/>
        <w:bidi w:val="0"/>
        <w:adjustRightInd/>
        <w:spacing w:before="0" w:after="0" w:line="360" w:lineRule="auto"/>
        <w:ind w:firstLine="48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七、合同签订相关事项</w:t>
      </w:r>
    </w:p>
    <w:p>
      <w:pPr>
        <w:pStyle w:val="6"/>
        <w:pageBreakBefore w:val="0"/>
        <w:kinsoku/>
        <w:wordWrap/>
        <w:overflowPunct/>
        <w:topLinePunct w:val="0"/>
        <w:autoSpaceDE/>
        <w:autoSpaceDN/>
        <w:bidi w:val="0"/>
        <w:adjustRightInd/>
        <w:spacing w:before="0" w:after="0" w:line="360" w:lineRule="auto"/>
        <w:ind w:firstLine="482" w:firstLineChars="200"/>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33、签订合同</w:t>
      </w:r>
    </w:p>
    <w:p>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bCs/>
          <w:color w:val="000000"/>
          <w:sz w:val="24"/>
          <w:szCs w:val="24"/>
        </w:rPr>
        <w:t>33</w:t>
      </w:r>
      <w:r>
        <w:rPr>
          <w:rFonts w:hint="eastAsia" w:ascii="宋体" w:hAnsi="宋体" w:eastAsia="宋体" w:cs="宋体"/>
          <w:color w:val="000000"/>
          <w:sz w:val="24"/>
          <w:szCs w:val="24"/>
        </w:rPr>
        <w:t>.l中标</w:t>
      </w:r>
      <w:r>
        <w:rPr>
          <w:rFonts w:hint="eastAsia" w:ascii="宋体" w:hAnsi="宋体" w:eastAsia="宋体" w:cs="宋体"/>
          <w:color w:val="000000"/>
          <w:sz w:val="24"/>
          <w:szCs w:val="24"/>
          <w:lang w:val="en-US" w:eastAsia="zh-CN"/>
        </w:rPr>
        <w:t>供应商</w:t>
      </w:r>
      <w:r>
        <w:rPr>
          <w:rFonts w:hint="eastAsia" w:ascii="宋体" w:hAnsi="宋体" w:eastAsia="宋体" w:cs="宋体"/>
          <w:color w:val="000000"/>
          <w:sz w:val="24"/>
          <w:szCs w:val="24"/>
        </w:rPr>
        <w:t>应按中标通知书规定的时间、地点,按照招标文件确定的事项与采购人签订政府采购合同，且不得迟于中标通知书发出之日起三十日，由此给采购人造成损失的，中标人还应承担赔偿责任。</w:t>
      </w:r>
    </w:p>
    <w:p>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33.2</w:t>
      </w:r>
      <w:r>
        <w:rPr>
          <w:rFonts w:hint="eastAsia" w:ascii="宋体" w:hAnsi="宋体" w:eastAsia="宋体" w:cs="宋体"/>
          <w:b/>
          <w:color w:val="000000"/>
          <w:sz w:val="24"/>
          <w:szCs w:val="24"/>
        </w:rPr>
        <w:t xml:space="preserve"> </w:t>
      </w:r>
      <w:r>
        <w:rPr>
          <w:rFonts w:hint="eastAsia" w:ascii="宋体" w:hAnsi="宋体" w:eastAsia="宋体" w:cs="宋体"/>
          <w:color w:val="000000"/>
          <w:sz w:val="24"/>
          <w:szCs w:val="24"/>
        </w:rPr>
        <w:t>招标文件、中标人的投标文件及招标过程中有关澄清、承诺文件均应作为合同附件。</w:t>
      </w:r>
    </w:p>
    <w:p>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33.3 签订合同后，中标人不得将相关服务进行转包。未经采购人同意，中标人也不得采用分包的形式履行合同，否则采购人有权终止合同，中标人的履约保证金将不予退还。转包或分包造成采购人损失的，中标人应承担相应赔偿责任。</w:t>
      </w:r>
    </w:p>
    <w:p>
      <w:pPr>
        <w:pageBreakBefore w:val="0"/>
        <w:kinsoku/>
        <w:wordWrap/>
        <w:overflowPunct/>
        <w:topLinePunct w:val="0"/>
        <w:autoSpaceDE/>
        <w:autoSpaceDN/>
        <w:bidi w:val="0"/>
        <w:adjustRightInd/>
        <w:snapToGrid w:val="0"/>
        <w:spacing w:line="360" w:lineRule="auto"/>
        <w:ind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33.4中标或者成交后无正当理由拒不与采购人签订政府采购合同的，将被列入不良行为记录名单，在一至三年内禁止参加政府采购活动。</w:t>
      </w:r>
    </w:p>
    <w:p>
      <w:pPr>
        <w:pStyle w:val="6"/>
        <w:pageBreakBefore w:val="0"/>
        <w:kinsoku/>
        <w:wordWrap/>
        <w:overflowPunct/>
        <w:topLinePunct w:val="0"/>
        <w:autoSpaceDE/>
        <w:autoSpaceDN/>
        <w:bidi w:val="0"/>
        <w:adjustRightInd/>
        <w:spacing w:before="0" w:after="0" w:line="360" w:lineRule="auto"/>
        <w:ind w:firstLine="482" w:firstLineChars="200"/>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34、服务的追加、减少和添购。</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34.1政府采购合同履行中，采购人需追加与合同标的相同的服务的，在不改变合同其他条款的前提下，可以与中标人协商签订补充合同，但所有补充合同的采购金额不超过原合同金额10%。</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b/>
          <w:color w:val="000000"/>
          <w:sz w:val="24"/>
          <w:szCs w:val="24"/>
        </w:rPr>
      </w:pPr>
      <w:r>
        <w:rPr>
          <w:rFonts w:hint="eastAsia" w:ascii="宋体" w:hAnsi="宋体" w:eastAsia="宋体" w:cs="宋体"/>
          <w:color w:val="000000"/>
          <w:sz w:val="24"/>
          <w:szCs w:val="24"/>
        </w:rPr>
        <w:t>34.2采购结束后，采购人若由于各种客观原因，必须对采购项目所牵涉的服务进行适当的减少时，在双方协商一致的前提下，可以按照招标采购时的价格水平做相应的调减，并据此签订补充合同。</w:t>
      </w:r>
    </w:p>
    <w:p>
      <w:pPr>
        <w:pageBreakBefore w:val="0"/>
        <w:tabs>
          <w:tab w:val="left" w:pos="900"/>
        </w:tabs>
        <w:kinsoku/>
        <w:wordWrap/>
        <w:overflowPunct/>
        <w:topLinePunct w:val="0"/>
        <w:autoSpaceDE/>
        <w:autoSpaceDN/>
        <w:bidi w:val="0"/>
        <w:adjustRightInd/>
        <w:spacing w:line="360" w:lineRule="auto"/>
        <w:ind w:firstLine="482" w:firstLineChars="200"/>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35、履约保证金</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35.1</w:t>
      </w:r>
      <w:r>
        <w:rPr>
          <w:rFonts w:hint="eastAsia" w:ascii="宋体" w:hAnsi="宋体" w:eastAsia="宋体" w:cs="宋体"/>
          <w:color w:val="000000"/>
          <w:sz w:val="24"/>
          <w:szCs w:val="24"/>
        </w:rPr>
        <w:t>在签订合同时，须向采购人交纳履约保证金,于合同履行后无息退还。履约保证金用以约束成交供应商在合同履行中的行为，弥补合同执行中由于自身行为可能给采购人带来的各种损失。鼓励采购人对AA评级及以上政府采购供应商（需提供信用管理部门备案的第三方信用报告），免收履约保证金或降低履约保证金缴纳比例。</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35.2收取履约保证金的，须在采购合同中约定退还履约保证金的方式、时间、条件和不予退还的情形，明确逾期退还履约保证金的违约责任；不得在政府采购货物和服务采购项目中收取质量保证金，不得将已收取的履约保证金转为质量保证金情况。</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35.5政府采购履约资金扶持政策</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根据《关于深入推进政府采购线上合同信用融资工作的通知》（苏财购[2021]82号）,支持中小企业融资。政府采购中标、成交供应商应当及时向采购人提出“政采贷”融资申请书面材料。</w:t>
      </w:r>
    </w:p>
    <w:p>
      <w:pPr>
        <w:spacing w:line="480" w:lineRule="exact"/>
        <w:ind w:firstLine="480" w:firstLineChars="200"/>
        <w:rPr>
          <w:rFonts w:hint="eastAsia" w:ascii="宋体" w:hAnsi="宋体" w:eastAsia="宋体" w:cs="宋体"/>
          <w:color w:val="000000"/>
          <w:sz w:val="24"/>
          <w:szCs w:val="24"/>
          <w:lang w:val="en-US" w:eastAsia="zh-CN"/>
        </w:rPr>
      </w:pPr>
    </w:p>
    <w:p>
      <w:pPr>
        <w:spacing w:line="480" w:lineRule="exact"/>
        <w:ind w:firstLine="480" w:firstLineChars="200"/>
        <w:rPr>
          <w:rFonts w:hint="eastAsia" w:ascii="宋体" w:hAnsi="宋体" w:eastAsia="宋体" w:cs="宋体"/>
          <w:color w:val="000000"/>
          <w:sz w:val="24"/>
          <w:szCs w:val="24"/>
          <w:lang w:val="en-US" w:eastAsia="zh-CN"/>
        </w:rPr>
      </w:pPr>
    </w:p>
    <w:p>
      <w:pPr>
        <w:spacing w:line="480" w:lineRule="exact"/>
        <w:ind w:firstLine="480" w:firstLineChars="200"/>
        <w:rPr>
          <w:rFonts w:hint="eastAsia" w:ascii="宋体" w:hAnsi="宋体" w:eastAsia="宋体" w:cs="宋体"/>
          <w:color w:val="000000"/>
          <w:sz w:val="24"/>
          <w:szCs w:val="24"/>
          <w:lang w:val="en-US" w:eastAsia="zh-CN"/>
        </w:rPr>
      </w:pPr>
    </w:p>
    <w:p>
      <w:pPr>
        <w:spacing w:line="480" w:lineRule="exact"/>
        <w:ind w:firstLine="480" w:firstLineChars="200"/>
        <w:rPr>
          <w:rFonts w:hint="eastAsia" w:ascii="宋体" w:hAnsi="宋体" w:eastAsia="宋体" w:cs="宋体"/>
          <w:color w:val="000000"/>
          <w:sz w:val="24"/>
          <w:szCs w:val="24"/>
          <w:lang w:val="en-US" w:eastAsia="zh-CN"/>
        </w:rPr>
      </w:pPr>
    </w:p>
    <w:p>
      <w:pPr>
        <w:spacing w:line="480" w:lineRule="exact"/>
        <w:ind w:firstLine="480" w:firstLineChars="200"/>
        <w:rPr>
          <w:rFonts w:hint="eastAsia" w:ascii="宋体" w:hAnsi="宋体" w:eastAsia="宋体" w:cs="宋体"/>
          <w:color w:val="000000"/>
          <w:sz w:val="24"/>
          <w:szCs w:val="24"/>
          <w:lang w:val="en-US" w:eastAsia="zh-CN"/>
        </w:rPr>
      </w:pPr>
    </w:p>
    <w:p>
      <w:pPr>
        <w:spacing w:line="480" w:lineRule="exact"/>
        <w:ind w:firstLine="480" w:firstLineChars="200"/>
        <w:rPr>
          <w:rFonts w:hint="eastAsia" w:ascii="宋体" w:hAnsi="宋体" w:eastAsia="宋体" w:cs="宋体"/>
          <w:color w:val="000000"/>
          <w:sz w:val="24"/>
          <w:szCs w:val="24"/>
          <w:lang w:val="en-US" w:eastAsia="zh-CN"/>
        </w:rPr>
      </w:pPr>
    </w:p>
    <w:p>
      <w:pPr>
        <w:spacing w:line="480" w:lineRule="exact"/>
        <w:ind w:firstLine="480" w:firstLineChars="200"/>
        <w:rPr>
          <w:rFonts w:hint="eastAsia" w:ascii="宋体" w:hAnsi="宋体" w:eastAsia="宋体" w:cs="宋体"/>
          <w:color w:val="000000"/>
          <w:sz w:val="24"/>
          <w:szCs w:val="24"/>
          <w:lang w:val="en-US" w:eastAsia="zh-CN"/>
        </w:rPr>
      </w:pPr>
    </w:p>
    <w:p>
      <w:pPr>
        <w:spacing w:line="480" w:lineRule="exact"/>
        <w:ind w:firstLine="480" w:firstLineChars="200"/>
        <w:rPr>
          <w:rFonts w:hint="eastAsia" w:ascii="宋体" w:hAnsi="宋体" w:eastAsia="宋体" w:cs="宋体"/>
          <w:color w:val="000000"/>
          <w:sz w:val="24"/>
          <w:szCs w:val="24"/>
          <w:lang w:val="en-US" w:eastAsia="zh-CN"/>
        </w:rPr>
      </w:pPr>
    </w:p>
    <w:p>
      <w:pPr>
        <w:spacing w:line="480" w:lineRule="exact"/>
        <w:ind w:firstLine="480" w:firstLineChars="200"/>
        <w:rPr>
          <w:rFonts w:hint="eastAsia" w:ascii="宋体" w:hAnsi="宋体" w:eastAsia="宋体" w:cs="宋体"/>
          <w:color w:val="000000"/>
          <w:sz w:val="24"/>
          <w:szCs w:val="24"/>
          <w:lang w:val="en-US" w:eastAsia="zh-CN"/>
        </w:rPr>
      </w:pPr>
    </w:p>
    <w:p>
      <w:pPr>
        <w:spacing w:line="480" w:lineRule="exact"/>
        <w:ind w:firstLine="480" w:firstLineChars="200"/>
        <w:rPr>
          <w:rFonts w:hint="eastAsia" w:ascii="宋体" w:hAnsi="宋体" w:eastAsia="宋体" w:cs="宋体"/>
          <w:color w:val="000000"/>
          <w:sz w:val="24"/>
          <w:szCs w:val="24"/>
          <w:lang w:val="en-US" w:eastAsia="zh-CN"/>
        </w:rPr>
      </w:pPr>
    </w:p>
    <w:p>
      <w:pPr>
        <w:spacing w:line="480" w:lineRule="exact"/>
        <w:ind w:firstLine="480" w:firstLineChars="200"/>
        <w:rPr>
          <w:rFonts w:hint="eastAsia" w:ascii="宋体" w:hAnsi="宋体" w:eastAsia="宋体" w:cs="宋体"/>
          <w:color w:val="000000"/>
          <w:sz w:val="24"/>
          <w:szCs w:val="24"/>
          <w:lang w:val="en-US" w:eastAsia="zh-CN"/>
        </w:rPr>
      </w:pPr>
    </w:p>
    <w:p>
      <w:pPr>
        <w:spacing w:line="480" w:lineRule="exact"/>
        <w:ind w:firstLine="480" w:firstLineChars="200"/>
        <w:rPr>
          <w:rFonts w:hint="eastAsia" w:ascii="宋体" w:hAnsi="宋体" w:eastAsia="宋体" w:cs="宋体"/>
          <w:color w:val="000000"/>
          <w:sz w:val="24"/>
          <w:szCs w:val="24"/>
          <w:lang w:val="en-US" w:eastAsia="zh-CN"/>
        </w:rPr>
      </w:pPr>
    </w:p>
    <w:p>
      <w:pPr>
        <w:spacing w:line="480" w:lineRule="exact"/>
        <w:ind w:firstLine="480" w:firstLineChars="200"/>
        <w:rPr>
          <w:rFonts w:hint="eastAsia" w:ascii="宋体" w:hAnsi="宋体" w:eastAsia="宋体" w:cs="宋体"/>
          <w:color w:val="000000"/>
          <w:sz w:val="24"/>
          <w:szCs w:val="24"/>
          <w:lang w:val="en-US" w:eastAsia="zh-CN"/>
        </w:rPr>
      </w:pPr>
    </w:p>
    <w:p>
      <w:pPr>
        <w:spacing w:line="480" w:lineRule="exact"/>
        <w:ind w:firstLine="480" w:firstLineChars="200"/>
        <w:rPr>
          <w:rFonts w:hint="eastAsia" w:ascii="宋体" w:hAnsi="宋体" w:eastAsia="宋体" w:cs="宋体"/>
          <w:color w:val="000000"/>
          <w:sz w:val="24"/>
          <w:szCs w:val="24"/>
          <w:lang w:val="en-US" w:eastAsia="zh-CN"/>
        </w:rPr>
      </w:pPr>
    </w:p>
    <w:p>
      <w:pPr>
        <w:spacing w:line="480" w:lineRule="exact"/>
        <w:ind w:firstLine="480" w:firstLineChars="200"/>
        <w:rPr>
          <w:rFonts w:hint="eastAsia" w:ascii="宋体" w:hAnsi="宋体" w:eastAsia="宋体" w:cs="宋体"/>
          <w:color w:val="000000"/>
          <w:sz w:val="24"/>
          <w:szCs w:val="24"/>
          <w:lang w:val="en-US" w:eastAsia="zh-CN"/>
        </w:rPr>
      </w:pPr>
    </w:p>
    <w:p>
      <w:pPr>
        <w:spacing w:line="480" w:lineRule="exact"/>
        <w:ind w:firstLine="480" w:firstLineChars="200"/>
        <w:rPr>
          <w:rFonts w:hint="eastAsia" w:ascii="宋体" w:hAnsi="宋体" w:eastAsia="宋体" w:cs="宋体"/>
          <w:color w:val="000000"/>
          <w:sz w:val="24"/>
          <w:szCs w:val="24"/>
          <w:lang w:val="en-US" w:eastAsia="zh-CN"/>
        </w:rPr>
      </w:pPr>
    </w:p>
    <w:p>
      <w:pPr>
        <w:spacing w:line="480" w:lineRule="exact"/>
        <w:ind w:firstLine="480" w:firstLineChars="200"/>
        <w:rPr>
          <w:rFonts w:hint="eastAsia" w:ascii="宋体" w:hAnsi="宋体" w:eastAsia="宋体" w:cs="宋体"/>
          <w:color w:val="000000"/>
          <w:sz w:val="24"/>
          <w:szCs w:val="24"/>
          <w:lang w:val="en-US" w:eastAsia="zh-CN"/>
        </w:rPr>
      </w:pPr>
    </w:p>
    <w:p>
      <w:pPr>
        <w:spacing w:line="480" w:lineRule="exact"/>
        <w:ind w:firstLine="480" w:firstLineChars="200"/>
        <w:rPr>
          <w:rFonts w:hint="eastAsia" w:ascii="宋体" w:hAnsi="宋体" w:eastAsia="宋体" w:cs="宋体"/>
          <w:color w:val="000000"/>
          <w:sz w:val="24"/>
          <w:szCs w:val="24"/>
          <w:lang w:val="en-US" w:eastAsia="zh-CN"/>
        </w:rPr>
      </w:pPr>
    </w:p>
    <w:p>
      <w:pPr>
        <w:spacing w:line="480" w:lineRule="exact"/>
        <w:ind w:firstLine="480" w:firstLineChars="200"/>
        <w:rPr>
          <w:rFonts w:hint="eastAsia" w:ascii="宋体" w:hAnsi="宋体" w:eastAsia="宋体" w:cs="宋体"/>
          <w:color w:val="000000"/>
          <w:sz w:val="24"/>
          <w:szCs w:val="24"/>
          <w:lang w:val="en-US" w:eastAsia="zh-CN"/>
        </w:rPr>
      </w:pPr>
    </w:p>
    <w:p>
      <w:pPr>
        <w:spacing w:line="480" w:lineRule="exact"/>
        <w:ind w:firstLine="480" w:firstLineChars="200"/>
        <w:rPr>
          <w:rFonts w:hint="eastAsia" w:ascii="宋体" w:hAnsi="宋体" w:eastAsia="宋体" w:cs="宋体"/>
          <w:color w:val="000000"/>
          <w:sz w:val="24"/>
          <w:szCs w:val="24"/>
          <w:lang w:val="en-US" w:eastAsia="zh-CN"/>
        </w:rPr>
      </w:pPr>
    </w:p>
    <w:p>
      <w:pPr>
        <w:spacing w:line="480" w:lineRule="exact"/>
        <w:ind w:firstLine="480" w:firstLineChars="200"/>
        <w:rPr>
          <w:rFonts w:hint="eastAsia" w:ascii="宋体" w:hAnsi="宋体" w:eastAsia="宋体" w:cs="宋体"/>
          <w:color w:val="000000"/>
          <w:sz w:val="24"/>
          <w:szCs w:val="24"/>
          <w:lang w:val="en-US" w:eastAsia="zh-CN"/>
        </w:rPr>
      </w:pPr>
    </w:p>
    <w:p>
      <w:pPr>
        <w:spacing w:line="480" w:lineRule="exact"/>
        <w:ind w:firstLine="883" w:firstLineChars="200"/>
        <w:jc w:val="center"/>
        <w:rPr>
          <w:rFonts w:hint="eastAsia" w:ascii="宋体" w:hAnsi="宋体" w:eastAsia="宋体" w:cs="宋体"/>
          <w:bCs/>
          <w:color w:val="000000"/>
          <w:sz w:val="44"/>
        </w:rPr>
      </w:pPr>
      <w:r>
        <w:rPr>
          <w:rFonts w:hint="eastAsia" w:ascii="宋体" w:hAnsi="宋体" w:eastAsia="宋体" w:cs="宋体"/>
          <w:b/>
          <w:bCs/>
          <w:color w:val="000000"/>
          <w:sz w:val="44"/>
          <w:szCs w:val="44"/>
        </w:rPr>
        <w:t>第三章  合同条款及格式</w:t>
      </w:r>
    </w:p>
    <w:p>
      <w:pPr>
        <w:rPr>
          <w:rFonts w:hint="eastAsia" w:ascii="宋体" w:hAnsi="宋体" w:eastAsia="宋体" w:cs="宋体"/>
          <w:color w:val="000000"/>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以下为中标后签定本项目合同的通用条款，中标供应商不得提出实质性的修改，关于专用条款将由采购人与中标供应商结合本项目具体情况协商后签订。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委托方(以下简称甲方)：</w:t>
      </w:r>
      <w:r>
        <w:rPr>
          <w:rFonts w:hint="eastAsia" w:ascii="宋体" w:hAnsi="宋体" w:eastAsia="宋体" w:cs="宋体"/>
          <w:color w:val="000000"/>
          <w:sz w:val="24"/>
          <w:szCs w:val="24"/>
          <w:u w:val="single"/>
          <w:lang w:eastAsia="zh-CN"/>
        </w:rPr>
        <w:t>盐城市大丰区大桥中心卫生院</w:t>
      </w:r>
      <w:r>
        <w:rPr>
          <w:rFonts w:hint="eastAsia" w:ascii="宋体" w:hAnsi="宋体" w:eastAsia="宋体" w:cs="宋体"/>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受委托方(以下简称乙方)：</w:t>
      </w:r>
      <w:r>
        <w:rPr>
          <w:rFonts w:hint="eastAsia" w:ascii="宋体" w:hAnsi="宋体" w:eastAsia="宋体" w:cs="宋体"/>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甲、乙双方根据</w:t>
      </w:r>
      <w:r>
        <w:rPr>
          <w:rFonts w:hint="eastAsia" w:ascii="宋体" w:hAnsi="宋体" w:eastAsia="宋体" w:cs="宋体"/>
          <w:sz w:val="24"/>
          <w:szCs w:val="24"/>
          <w:lang w:eastAsia="zh-CN"/>
        </w:rPr>
        <w:t>大桥中心卫生院新建卫生综合楼智能化建设项目</w:t>
      </w:r>
      <w:r>
        <w:rPr>
          <w:rFonts w:hint="eastAsia" w:ascii="宋体" w:hAnsi="宋体" w:eastAsia="宋体" w:cs="宋体"/>
          <w:sz w:val="24"/>
          <w:szCs w:val="24"/>
        </w:rPr>
        <w:t>项目公开招标的结果，签署本合同。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一、货物内容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 货物名称：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 型号规格：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 数量（单位）：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二、合同金额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 本合同金额为（大写）：________元（_______________元）人民币或其他币种。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三、技术资料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3.1乙方所提供货物和服务的技术规格、内容应与招标文件规定的技术规范和需要相一致；符合国家有关部门最新颁布的标准及规范。。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四、知识产权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乙方应保证所提供的货物及服务或其任何一部分均不会侵犯任何第三方的知识产权，乙方对买方提供的业务资料、技术资料应严格保密，不得扩散。乙方应保证甲方在使用、接受本合同货物和服务或其任何一部分时不受乙方及第三方提出侵犯其专利权、版权、商标权和工业设计权等知识产权的起诉。一旦出现侵权，由乙方负全部责任，若甲方因此而承担责任的，甲方可就全部责任向乙方行使追偿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五、产权担保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 乙方保证所交付的货物的所有权完全属于乙方且无任何抵押、查封等产权瑕疵。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6.1乙方交纳本项目合同价的10%给甲方，作为本项目的履约保证金，乙方如系AA评级及以上政府采购供应商（需提供信用管理部门备案的第三方信用报告），可免交（合同价的5%）的履约保证金。</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七、转包或分包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7.1本合同范围的货物，应由乙方直接供应，不得转让他人供应；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7.2 除非得到甲方的书面同意，乙方不得部分分包给他人供应。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7.3如有转让和未经甲方同意的分包行为，甲方有权给予终止合同。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八、质保期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8.1 质保期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年。（自交货验收合格之日起计）</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九、交货期、交货方式及交货地点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9.1 交货期：_________</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9.2 交货方式：_________</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9.3 交货地点：_________</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十、货款支付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sz w:val="24"/>
          <w:szCs w:val="24"/>
        </w:rPr>
        <w:t>10.1 付款方式：</w:t>
      </w:r>
      <w:r>
        <w:rPr>
          <w:rFonts w:hint="eastAsia" w:ascii="宋体" w:hAnsi="宋体" w:eastAsia="宋体" w:cs="宋体"/>
          <w:sz w:val="24"/>
          <w:szCs w:val="24"/>
          <w:lang w:val="en-US" w:eastAsia="zh-CN"/>
        </w:rPr>
        <w:t>合</w:t>
      </w:r>
      <w:r>
        <w:rPr>
          <w:rFonts w:hint="eastAsia" w:ascii="宋体" w:hAnsi="宋体" w:eastAsia="宋体" w:cs="宋体"/>
          <w:sz w:val="24"/>
          <w:szCs w:val="24"/>
        </w:rPr>
        <w:t>同签订后支付合同价款的30%预付款；项目全部完成并经验收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含安装调试</w:t>
      </w:r>
      <w:r>
        <w:rPr>
          <w:rFonts w:hint="eastAsia" w:ascii="宋体" w:hAnsi="宋体" w:eastAsia="宋体" w:cs="宋体"/>
          <w:sz w:val="24"/>
          <w:szCs w:val="24"/>
          <w:lang w:eastAsia="zh-CN"/>
        </w:rPr>
        <w:t>）</w:t>
      </w:r>
      <w:r>
        <w:rPr>
          <w:rFonts w:hint="eastAsia" w:ascii="宋体" w:hAnsi="宋体" w:eastAsia="宋体" w:cs="宋体"/>
          <w:sz w:val="24"/>
          <w:szCs w:val="24"/>
        </w:rPr>
        <w:t>合格后付至合同价款的</w:t>
      </w:r>
      <w:r>
        <w:rPr>
          <w:rFonts w:hint="eastAsia" w:ascii="宋体" w:hAnsi="宋体" w:eastAsia="宋体" w:cs="宋体"/>
          <w:sz w:val="24"/>
          <w:szCs w:val="24"/>
          <w:lang w:val="en-US" w:eastAsia="zh-CN"/>
        </w:rPr>
        <w:t>8</w:t>
      </w:r>
      <w:r>
        <w:rPr>
          <w:rFonts w:hint="eastAsia" w:ascii="宋体" w:hAnsi="宋体" w:eastAsia="宋体" w:cs="宋体"/>
          <w:sz w:val="24"/>
          <w:szCs w:val="24"/>
        </w:rPr>
        <w:t>0%，竣工验收</w:t>
      </w:r>
      <w:r>
        <w:rPr>
          <w:rFonts w:hint="eastAsia" w:ascii="宋体" w:hAnsi="宋体" w:eastAsia="宋体" w:cs="宋体"/>
          <w:sz w:val="24"/>
          <w:szCs w:val="24"/>
          <w:lang w:val="en-US" w:eastAsia="zh-CN"/>
        </w:rPr>
        <w:t>并交付使用后</w:t>
      </w:r>
      <w:r>
        <w:rPr>
          <w:rFonts w:hint="eastAsia" w:ascii="宋体" w:hAnsi="宋体" w:eastAsia="宋体" w:cs="宋体"/>
          <w:sz w:val="24"/>
          <w:szCs w:val="24"/>
        </w:rPr>
        <w:t>满一年付至结算价款的97%，质保期满后一次性付清余款。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若产品或服务存在质量问题，则不受该付款条件约束，应按照本合条款其他要求以及合同法有关规定执行。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10.2当采购数量与实际使用数量不一致时，乙方应根据实际使用量供货，合同的最终结算金额按实际使用量乘以成交单价进行计算。</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根据《关于深入推进政府采购线上合同信用融资工作的通知》（苏财购[2021]82号）,支持中小企业融资。政府采购中标、成交供应商应当及时向采购人提出“政采贷”融资申请书面材料。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10.3如需向与财政部门签署融资合作协议的银行办理授信申请的, 需在协作银行开立结算户作为回款专用户,作为该笔合同唯一的收款帐户，供货结束货款结算时，财政部门将政府采购款项直接支付到该账户。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十一.税费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11.1本合同执行中相关的一切税费均由乙方负担。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十二、质量保证及售后服务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12.1 乙方负责提供本项目范围内所使用的所有设备、材料、装置的原产地证明、质保、售后文件和相应的等级标准证明并承诺向甲方提供有关制造业的质保证明。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12.2 乙方应保证货物是全新、未使用过的，是用一流的工艺和最佳材料制造的、合法渠道进货的正宗、原装合格正品，并完全符合合同规定的质量、规格和性能的要求。乙方应保证其货物在正确安装、正常使用和保养条件下，在其使用寿命期内应具有满意的性能。货物最终验收后，在质量保证期内，乙方应对由于设计、工艺或材料的缺陷而发生的任何不足或故障负责，费用由乙方负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12.3 在质量保证期内，如果货物的数量、质量或规格与合同及招标需求不符，或证明货物是有缺陷的，包括潜在的缺陷或使用不符合要求的材料等，甲方将以包括但不限于：书面、邮件、传真及其他电子数据等形式向乙方提出维修、更换和索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12.4 乙方在收到通知后，应在合同中所附服务承诺约定的时间内必须主动对设备免费维修、更换有缺陷的货物或部件。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12.5 如果乙方在收到通知后，在合同中所附服务承诺约定的时间内没有弥补缺陷，甲方可采取必要的补救措施，但风险和费用将由乙方承担。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12.6 合同期间，乙方提供用于本项目的维护专业人员不得少于</w:t>
      </w:r>
      <w:r>
        <w:rPr>
          <w:rFonts w:hint="eastAsia" w:ascii="宋体" w:hAnsi="宋体" w:eastAsia="宋体" w:cs="宋体"/>
          <w:sz w:val="24"/>
          <w:szCs w:val="24"/>
          <w:u w:val="single"/>
        </w:rPr>
        <w:t xml:space="preserve">  </w:t>
      </w:r>
      <w:r>
        <w:rPr>
          <w:rFonts w:hint="eastAsia" w:ascii="宋体" w:hAnsi="宋体" w:eastAsia="宋体" w:cs="宋体"/>
          <w:sz w:val="24"/>
          <w:szCs w:val="24"/>
        </w:rPr>
        <w:t>人，必须含有专业维修设备进行现场服务，随时准备解决各类设备、系统出现的问题；提供质保期内日常维护和保养计划，乙方每</w:t>
      </w:r>
      <w:r>
        <w:rPr>
          <w:rFonts w:hint="eastAsia" w:ascii="宋体" w:hAnsi="宋体" w:eastAsia="宋体" w:cs="宋体"/>
          <w:sz w:val="24"/>
          <w:szCs w:val="24"/>
          <w:u w:val="single"/>
        </w:rPr>
        <w:t xml:space="preserve">  </w:t>
      </w:r>
      <w:r>
        <w:rPr>
          <w:rFonts w:hint="eastAsia" w:ascii="宋体" w:hAnsi="宋体" w:eastAsia="宋体" w:cs="宋体"/>
          <w:sz w:val="24"/>
          <w:szCs w:val="24"/>
        </w:rPr>
        <w:t>个月至少进行一次维护保养，维护保养记录交甲方备案。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12.7 在质保期内，乙方应对设备系统出现的质量及安全问题负责处理解决并承担一切费用。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12.8 质量保证及售后服务要求：本项目质保期为自项目全部完成验收合格之日起硬件设备及软件质保</w:t>
      </w:r>
      <w:r>
        <w:rPr>
          <w:rFonts w:hint="eastAsia" w:ascii="宋体" w:hAnsi="宋体" w:eastAsia="宋体" w:cs="宋体"/>
          <w:sz w:val="24"/>
          <w:szCs w:val="24"/>
          <w:u w:val="single"/>
        </w:rPr>
        <w:t xml:space="preserve">  </w:t>
      </w:r>
      <w:r>
        <w:rPr>
          <w:rFonts w:hint="eastAsia" w:ascii="宋体" w:hAnsi="宋体" w:eastAsia="宋体" w:cs="宋体"/>
          <w:sz w:val="24"/>
          <w:szCs w:val="24"/>
        </w:rPr>
        <w:t>年。质保期内乙方免费维修或更换。对所建设的项目在质保期内提供技术支持、备品备件及维保服务，接到保修电话后能在</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分钟内响应，</w:t>
      </w:r>
      <w:r>
        <w:rPr>
          <w:rFonts w:hint="eastAsia" w:ascii="宋体" w:hAnsi="宋体" w:eastAsia="宋体" w:cs="宋体"/>
          <w:sz w:val="24"/>
          <w:szCs w:val="24"/>
          <w:u w:val="single"/>
        </w:rPr>
        <w:t xml:space="preserve">  </w:t>
      </w:r>
      <w:r>
        <w:rPr>
          <w:rFonts w:hint="eastAsia" w:ascii="宋体" w:hAnsi="宋体" w:eastAsia="宋体" w:cs="宋体"/>
          <w:sz w:val="24"/>
          <w:szCs w:val="24"/>
        </w:rPr>
        <w:t>小时内到场维修，</w:t>
      </w:r>
      <w:r>
        <w:rPr>
          <w:rFonts w:hint="eastAsia" w:ascii="宋体" w:hAnsi="宋体" w:eastAsia="宋体" w:cs="宋体"/>
          <w:sz w:val="24"/>
          <w:szCs w:val="24"/>
          <w:u w:val="single"/>
        </w:rPr>
        <w:t xml:space="preserve">  </w:t>
      </w:r>
      <w:r>
        <w:rPr>
          <w:rFonts w:hint="eastAsia" w:ascii="宋体" w:hAnsi="宋体" w:eastAsia="宋体" w:cs="宋体"/>
          <w:sz w:val="24"/>
          <w:szCs w:val="24"/>
        </w:rPr>
        <w:t>小时内维修到位。如质保期内未按照要求在</w:t>
      </w:r>
      <w:r>
        <w:rPr>
          <w:rFonts w:hint="eastAsia" w:ascii="宋体" w:hAnsi="宋体" w:eastAsia="宋体" w:cs="宋体"/>
          <w:sz w:val="24"/>
          <w:szCs w:val="24"/>
          <w:u w:val="single"/>
        </w:rPr>
        <w:t xml:space="preserve">  </w:t>
      </w:r>
      <w:r>
        <w:rPr>
          <w:rFonts w:hint="eastAsia" w:ascii="宋体" w:hAnsi="宋体" w:eastAsia="宋体" w:cs="宋体"/>
          <w:sz w:val="24"/>
          <w:szCs w:val="24"/>
        </w:rPr>
        <w:t>小时内修复完成，乙方承诺, 甲方可自行处理，其费用在乙方履约保证金中扣付。同时每天按合同总额的1‰扣除，履约保证金不足扣除的，甲方可按此主张违约责任。质量保证期满后，乙方同样提供免费电话咨询服务，并以优惠价格提供售后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12.9 其它技术服务：无</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十三、调试和验收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13.1 本项目在使用前进行调试时，乙方需负责安装并培训甲方的使用操作人员，并协助甲方一起调试，直到符合技术要求，甲方才做最终验收。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13.2 乙方在安装调试过程中必须确保安全，乙方自行承担设备安装调试过程中的质量、任何状况下的安全责任，发生的一切问题和责任与甲方无关，相关一切费用或民事、刑事责任均由乙方自理。若乙方不能及时处理所发生的问题和责任，并且影响到系统总体进度时，甲方有权处理相关事务，所发生的费用在支付合同款时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13.3 本项目涉及验收标准包括但不限于国家标准、行业标准和监管部门有关标准规范。标准不一致的，以最高标准为准。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十四、货物包装、发运及运输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14.1 乙方应在货物发运前对其进行满足运输距离、防潮、防震、防锈和防破损装卸等要求包装，以保证货物安全运达甲方指定地点。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14.2 使用说明书、质量检验证明书、随配附件和工具以及清单一并附于货物内。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14.3 乙方在货物发运手续办理完毕后24小时内或货到甲方48小时前通知甲方，以准备接货。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14.4 货物在交付甲方前发生的风险均由乙方负责。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14.5 货物在规定的交付期限内由乙方送达甲方指定的地点视为交付，乙方同时需通知甲方货物已送达。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十五、违约责任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15.1 完成时间：乙方应在投标文件承诺完成期限前和本合同约定期限内完成全部工作内容，并经相关部门验收合格，不能按期完成的，每逾期一天支付甲方5000元的违约金。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15.2 项目实施过程中，如果达不到承诺质量目标，无法满足甲方的使用需求，乙方必须无偿整改达到承诺质量目标，另按合同价款的5%向甲方支付违约金，直接从乙方的履约保证金或项目结算价款中扣除。由此造成的时间延误将不予顺延，给甲方造成实际损失的还将承担经济赔偿责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十六、不可抗力事件处理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16.1 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16.2 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16.3 不可抗力事件延续120天以上，双方应通过友好协商，确定是否继续履行合同。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十七、诉讼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17.1 双方在执行合同中所发生的一切争议，应通过协商解决。如协商不成，可向合同签订地法院起诉，合同签订地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盐城市大丰区</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十八、合同附则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18.1 乙方所提供设备、服务及必须满足所有功能要求，乙方有责任保证甲方系统的功能性和完整性，未在招标文件中明示的设备及附配件，乙方在投标报价时已予以考虑，如项目实施过程中因缺少设备、配件或服务导致甲方系统无法正常运行，乙方须承诺免费提供；除甲方明确提出的变更外，本项目不再增加任何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18.2 乙方须保证所提供产品包括相关附件为相应厂商的原装正品。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18.3 设备安装、调试所需的工具、仪表及安装材料由乙方自行解决。施工过程应严格执行相关的施工及安装规范，并保证施工安全。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十九、合同生效及其它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9</w:t>
      </w:r>
      <w:r>
        <w:rPr>
          <w:rFonts w:hint="eastAsia" w:ascii="宋体" w:hAnsi="宋体" w:eastAsia="宋体" w:cs="宋体"/>
          <w:sz w:val="24"/>
          <w:szCs w:val="24"/>
        </w:rPr>
        <w:t>.1 合同经双方法定代表人或授权委托代表人签字并加盖单位公章后生效。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9</w:t>
      </w:r>
      <w:r>
        <w:rPr>
          <w:rFonts w:hint="eastAsia" w:ascii="宋体" w:hAnsi="宋体" w:eastAsia="宋体" w:cs="宋体"/>
          <w:sz w:val="24"/>
          <w:szCs w:val="24"/>
        </w:rPr>
        <w:t>.2本合同未尽事宜，遵照《</w:t>
      </w:r>
      <w:r>
        <w:rPr>
          <w:rFonts w:hint="eastAsia" w:ascii="宋体" w:hAnsi="宋体" w:eastAsia="宋体" w:cs="宋体"/>
          <w:sz w:val="24"/>
          <w:szCs w:val="24"/>
          <w:lang w:val="en-US" w:eastAsia="zh-CN"/>
        </w:rPr>
        <w:t>民法典</w:t>
      </w:r>
      <w:r>
        <w:rPr>
          <w:rFonts w:hint="eastAsia" w:ascii="宋体" w:hAnsi="宋体" w:eastAsia="宋体" w:cs="宋体"/>
          <w:sz w:val="24"/>
          <w:szCs w:val="24"/>
        </w:rPr>
        <w:t>》有关条文执行。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9</w:t>
      </w:r>
      <w:r>
        <w:rPr>
          <w:rFonts w:hint="eastAsia" w:ascii="宋体" w:hAnsi="宋体" w:eastAsia="宋体" w:cs="宋体"/>
          <w:sz w:val="24"/>
          <w:szCs w:val="24"/>
        </w:rPr>
        <w:t>.3 本合同正本一式</w:t>
      </w:r>
      <w:r>
        <w:rPr>
          <w:rFonts w:hint="eastAsia" w:ascii="宋体" w:hAnsi="宋体" w:eastAsia="宋体" w:cs="宋体"/>
          <w:sz w:val="24"/>
          <w:szCs w:val="24"/>
          <w:lang w:val="en-US" w:eastAsia="zh-CN"/>
        </w:rPr>
        <w:t>肆</w:t>
      </w:r>
      <w:r>
        <w:rPr>
          <w:rFonts w:hint="eastAsia" w:ascii="宋体" w:hAnsi="宋体" w:eastAsia="宋体" w:cs="宋体"/>
          <w:sz w:val="24"/>
          <w:szCs w:val="24"/>
        </w:rPr>
        <w:t>份，具有同等法律效力，甲方、乙方各执</w:t>
      </w:r>
      <w:r>
        <w:rPr>
          <w:rFonts w:hint="eastAsia" w:ascii="宋体" w:hAnsi="宋体" w:eastAsia="宋体" w:cs="宋体"/>
          <w:sz w:val="24"/>
          <w:szCs w:val="24"/>
          <w:lang w:val="en-US" w:eastAsia="zh-CN"/>
        </w:rPr>
        <w:t>贰</w:t>
      </w:r>
      <w:r>
        <w:rPr>
          <w:rFonts w:hint="eastAsia" w:ascii="宋体" w:hAnsi="宋体" w:eastAsia="宋体" w:cs="宋体"/>
          <w:sz w:val="24"/>
          <w:szCs w:val="24"/>
        </w:rPr>
        <w:t>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甲方：                                   乙方：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地址：                                   地址：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法定代表人或授权代表：                   法定代表人或授权代表：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联系电话：                               联系电话：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签订日期：      年  月  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44"/>
          <w:szCs w:val="4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44"/>
          <w:szCs w:val="4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44"/>
          <w:szCs w:val="4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44"/>
          <w:szCs w:val="4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000000"/>
          <w:sz w:val="44"/>
          <w:szCs w:val="4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sz w:val="44"/>
        </w:rPr>
      </w:pPr>
      <w:r>
        <w:rPr>
          <w:rFonts w:hint="eastAsia" w:ascii="宋体" w:hAnsi="宋体" w:eastAsia="宋体" w:cs="宋体"/>
          <w:b/>
          <w:bCs/>
          <w:color w:val="000000"/>
          <w:sz w:val="44"/>
          <w:szCs w:val="44"/>
        </w:rPr>
        <w:t>第四章 项目需求</w:t>
      </w:r>
    </w:p>
    <w:p>
      <w:pPr>
        <w:numPr>
          <w:ilvl w:val="0"/>
          <w:numId w:val="0"/>
        </w:numPr>
        <w:bidi w:val="0"/>
        <w:rPr>
          <w:rFonts w:hint="eastAsia" w:ascii="宋体" w:hAnsi="宋体" w:eastAsia="宋体" w:cs="宋体"/>
          <w:b/>
          <w:bCs/>
          <w:sz w:val="24"/>
          <w:szCs w:val="24"/>
        </w:rPr>
      </w:pPr>
    </w:p>
    <w:tbl>
      <w:tblPr>
        <w:tblStyle w:val="18"/>
        <w:tblW w:w="104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2"/>
        <w:gridCol w:w="1315"/>
        <w:gridCol w:w="6295"/>
        <w:gridCol w:w="719"/>
        <w:gridCol w:w="849"/>
        <w:gridCol w:w="6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428" w:type="dxa"/>
            <w:gridSpan w:val="6"/>
            <w:vMerge w:val="restart"/>
            <w:tcBorders>
              <w:top w:val="nil"/>
              <w:left w:val="nil"/>
              <w:bottom w:val="nil"/>
              <w:right w:val="nil"/>
            </w:tcBorders>
            <w:shd w:val="clear" w:color="auto" w:fill="auto"/>
            <w:noWrap/>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一、综合布线系统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428" w:type="dxa"/>
            <w:gridSpan w:val="6"/>
            <w:vMerge w:val="continue"/>
            <w:tcBorders>
              <w:top w:val="nil"/>
              <w:left w:val="nil"/>
              <w:bottom w:val="nil"/>
              <w:right w:val="nil"/>
            </w:tcBorders>
            <w:shd w:val="clear" w:color="auto" w:fill="auto"/>
            <w:noWrap/>
            <w:vAlign w:val="center"/>
          </w:tcPr>
          <w:p>
            <w:pPr>
              <w:bidi w:val="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lang w:val="en-US" w:eastAsia="zh-CN"/>
              </w:rPr>
              <w:t>序号</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名称</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b/>
                <w:bCs/>
                <w:color w:val="auto"/>
                <w:sz w:val="18"/>
                <w:szCs w:val="18"/>
                <w:lang w:val="en-US"/>
              </w:rPr>
            </w:pPr>
            <w:r>
              <w:rPr>
                <w:rFonts w:hint="eastAsia" w:ascii="宋体" w:hAnsi="宋体" w:eastAsia="宋体" w:cs="宋体"/>
                <w:b/>
                <w:bCs/>
                <w:color w:val="auto"/>
                <w:sz w:val="18"/>
                <w:szCs w:val="18"/>
                <w:lang w:val="en-US" w:eastAsia="zh-CN"/>
              </w:rPr>
              <w:t>基本参数</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lang w:val="en-US" w:eastAsia="zh-CN"/>
              </w:rPr>
              <w:t>单 位</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lang w:val="en-US" w:eastAsia="zh-CN"/>
              </w:rPr>
              <w:t>数量</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六类非屏蔽模块</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1.根据国际标准ANSI/TIA-568-C.2设计制造的性能优异的插座模块，工作带宽大于250MHz。</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2.除使用传统单根打线工具，也可使用快速压接工具，8芯线一次端接成型，保证施工品质一致性和安装快捷性。</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3.具有透明线缆保护盖，防止线缆脱落。</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4.通用线序标签支持568A或568B端接线序。</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5.接触针部分镀金50μinch，可卡接线径22-24AWG。</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6.满足国际标准IEEE802.3bt要求，通过PoE++（4PPoE）认证，符合IEC 60512-99-002电气安全标准要求，避免插拔中电飞弧效应损坏设备端口。</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7.通过ETL、UL实验室性能认证。</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个</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438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单口面板</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1.规格：单口，欧规86型，与RJ45屏蔽/非屏蔽模块同时兼容。</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2.面板应具有有机玻璃标签框收容标签纸。</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3.材质符合UL 94V-0规定。</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个</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162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双口面板</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1.规格：双口，欧规86型，与RJ45屏蔽/非屏蔽模块同时兼容。</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2.面板应具有有机玻璃标签框收容标签纸。</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3.材质符合UL 94V-0规定。</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个</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138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六类非屏蔽线缆</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1.超过ANSI/TIA-568-C.2，ISO/IEC 11801，EN50173:2002中对六类的要求，支持250MHZ以上带宽。</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2.导体：23AWG实心裸铜线，应有十字隔离骨架。</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3.满足国际标准IEEE802.3bt要求，为了防止网线PoE供电时由于成束线缆升温过高而产生自燃，对应的布线线缆应通过4PPoE供电升温认证，符合ISO/IEC TS 29125:2017标准要求。</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4.外护套皮：PVC。</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箱</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122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3"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48口LC机架式光纤配线架含耦合器</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1.19英寸标准机架式，1HU最多可支持48芯LC耦合器。</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2.自带水平理线环及跳线管理装置，可提供弯曲半径保护。</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3.抽屉式结构，采用不锈钢导轨，确保抽屉推拉顺畅。</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4.自带有标签装置，可以对每个端口进行标识与定义。</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5.配线架前面板可灵活拆卸替换，满足灵活安装LC、SC、ST、FC等适配器需求。</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6.配线架表面经防静电喷涂及防盐雾处理。</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个</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LC单模尾纤，1米</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1.性能超过ANSI/TIA-568-C.3中关于光纤连接硬件的规范要求。</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2.护套：LSZH（低烟无卤）。</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3.单模9/125 纤芯，平均插入损耗：&lt;0.3dB。</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条</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LC/LC单模双芯跳线，2米</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1.光纤规格：单模9/125µm。</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2.执行标准：ISO/IEC 11801，ANSI/TIA-568-C.3</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3.护套：LSZH（低烟无卤）。</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4.双工跳线的2芯采用不同颜色，以方便识别正确的极性状态。</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5.平均插入损耗：&lt;0.3dB。</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条</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光纤熔接</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光纤熔接及测试</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项</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42U标准机柜</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600*1000*2000(mm)</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24口网络配线架</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模块化24路</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机柜PDU插座</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10口10A PDU</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个</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8芯室内单模光缆</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1.光纤单模9/125um规格。</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2.芳纶/玻璃丝加强元件，使光缆有优异的抗拉，抗扭曲性能；</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3.衰减：≤0.70dB/km@1310nm；≤0.50dB/km@1550nm。</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4.拉伸力（长期/短期）：200N/660N</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5.扁压力（长期/短期）：300N/1000N</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机柜电源线</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ZR-RVV3*4</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电器</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漏保 开关</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理线架</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24路</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101配线架</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24路</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个</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大对数据线</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50对</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跳线</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kern w:val="0"/>
                <w:sz w:val="18"/>
                <w:szCs w:val="18"/>
                <w:u w:val="none"/>
                <w:lang w:val="en-US" w:eastAsia="zh-CN" w:bidi="ar"/>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根</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第三级防雷保护器</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3+NPE， 电源防雷模块,标称通流容量20KA、最大通流容量40KA；</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1042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b/>
                <w:bCs/>
                <w:color w:val="auto"/>
                <w:sz w:val="18"/>
                <w:szCs w:val="18"/>
                <w:lang w:val="en-US" w:eastAsia="zh-CN"/>
              </w:rPr>
              <w:t>二、监控系统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序号</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名称</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lang w:val="en-US" w:eastAsia="zh-CN"/>
              </w:rPr>
              <w:t>基本参数</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lang w:val="en-US" w:eastAsia="zh-CN"/>
              </w:rPr>
              <w:t>单 位</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lang w:val="en-US" w:eastAsia="zh-CN"/>
              </w:rPr>
              <w:t>数量</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智能半球网络摄像机</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在2560x1440下分辨力应达到1400TVL</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信噪比不小于55dB。</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支持红外补光，有效补光距离达到30m</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需支持IP66防尘防水。</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支持DC12V或poe供电</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内置麦克风，RJ45网络接口</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靶面尺寸为1/2.7英寸</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台</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电梯健康监测摄像机</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具有不小于1/3靶面尺寸。</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支持输出1920×1080@25fps视频画面。</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最低照度：彩色≤0.0002lx、黑白≤0.0001lx。</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设备内置麦克风，扬声器、运行状态监测传感器。红外补光距离不小于20m 。</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支持对区域内遗留的电瓶车等进行侦测，并联动声音警戒和报警输出。</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当自行车、玩具车、手推车进入检测区域时，不产生报警 。支持电梯运行状态监测识别，包括：电梯开关门状态、运行速度监测、停靠楼层监测、温度监测 。</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支持H.264、H.265、MJPEG视频编码格式，且H.264格式具有HighProfile编码能力。</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支持不低于IP66防尘防水等级。</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支持在-30~60摄氏度环境下稳定工作。</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支持DC12 V或POE供电。</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台</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智能枪型网络摄像机</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在2304x1296下分辨力应达到1200TVL</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信噪比不小于55dB。</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支持红外补光、白光补光，有效补光距离均能达到30m</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需支持IP66防尘防水。</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支持DC12V或poe供电</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内置麦克风，RJ45网络接口</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靶面尺寸为1/2.7英寸</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台</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旋镜人脸车辆抓拍机</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设备通道1和通道2的主码流均支持2560×1440@25fps。</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设备内置双镜头</w:t>
            </w:r>
            <w:r>
              <w:rPr>
                <w:rFonts w:hint="eastAsia" w:ascii="宋体" w:hAnsi="宋体" w:eastAsia="宋体" w:cs="宋体"/>
                <w:i w:val="0"/>
                <w:iCs w:val="0"/>
                <w:color w:val="auto"/>
                <w:kern w:val="0"/>
                <w:sz w:val="18"/>
                <w:szCs w:val="18"/>
                <w:u w:val="none"/>
                <w:lang w:val="en-US" w:eastAsia="zh-CN" w:bidi="ar"/>
              </w:rPr>
              <w:t>，具有2个CMOS图像传感器，靶面尺寸均不小于1/1.8英寸。</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通道1和通道2均满足最低照度彩色不大于0.0002 lx，黑白不大于0.0001 lx。</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设备的2个镜头均支持电动变倍、自动/电动聚焦，自动调节光圈功能。</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支持H.264、H.265、MJPEG设置选项，可将H.265、H.264格式设置为Baseline/Main/High Profile</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同一静止场景相同图像质量下，设备在H.265编码方式时，开启智能编码功能和不开启智能编码相比，码率节约80%。</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在分辨率1920x1080 @ 25fps，码流设置为1Mbps时，视频图像传输延时不大于60ms。</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支持人脸、行人、非机动车、机动车属性识别功能，可识别不小于11种行人衣服/裤子颜色、不小于13种车身颜色。</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设备内置4个电机，双通道均支持PT一体化云台，通道1和通道2的云台应可独立控制，可通过IE浏览器或客户端远程调节PT位置以实现监控场景的切换。</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双镜头PT云台旋转角度均支持水平调节角度：0°～180°，垂直调节角度：-5°～30°。</w:t>
            </w:r>
          </w:p>
          <w:p>
            <w:pPr>
              <w:keepNext w:val="0"/>
              <w:keepLines w:val="0"/>
              <w:widowControl/>
              <w:suppressLineNumbers w:val="0"/>
              <w:jc w:val="both"/>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通过IE浏览器或客户端分别检查通道1和通道2的PT云台控制功能，自检命令下发后，设备镜头可上、下、左、右完成自检，并反馈自检结果。</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设备内置不少于8颗混合补光灯，通道1通道2均具有不少于4颗混合补光灯，</w:t>
            </w:r>
            <w:r>
              <w:rPr>
                <w:rFonts w:hint="eastAsia" w:ascii="宋体" w:hAnsi="宋体" w:eastAsia="宋体" w:cs="宋体"/>
                <w:i w:val="0"/>
                <w:iCs w:val="0"/>
                <w:color w:val="auto"/>
                <w:kern w:val="0"/>
                <w:sz w:val="18"/>
                <w:szCs w:val="18"/>
                <w:highlight w:val="none"/>
                <w:u w:val="none"/>
                <w:lang w:val="en-US" w:eastAsia="zh-CN" w:bidi="ar"/>
              </w:rPr>
              <w:t>各含一组近光灯和一组远光灯</w:t>
            </w:r>
            <w:r>
              <w:rPr>
                <w:rFonts w:hint="eastAsia" w:ascii="宋体" w:hAnsi="宋体" w:eastAsia="宋体" w:cs="宋体"/>
                <w:i w:val="0"/>
                <w:iCs w:val="0"/>
                <w:color w:val="auto"/>
                <w:kern w:val="0"/>
                <w:sz w:val="18"/>
                <w:szCs w:val="18"/>
                <w:u w:val="none"/>
                <w:lang w:val="en-US" w:eastAsia="zh-CN" w:bidi="ar"/>
              </w:rPr>
              <w:t>，支持自动和手动亮度调节模式；手动模式下可独立配置双通道的混合补光灯组的红外和白光补光灯亮度值。</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配备内置补光灯</w:t>
            </w:r>
            <w:r>
              <w:rPr>
                <w:rFonts w:hint="eastAsia" w:ascii="宋体" w:hAnsi="宋体" w:eastAsia="宋体" w:cs="宋体"/>
                <w:i w:val="0"/>
                <w:iCs w:val="0"/>
                <w:color w:val="auto"/>
                <w:kern w:val="0"/>
                <w:sz w:val="18"/>
                <w:szCs w:val="18"/>
                <w:u w:val="none"/>
                <w:lang w:val="en-US" w:eastAsia="zh-CN" w:bidi="ar"/>
              </w:rPr>
              <w:t>，补光灯开启后，灯光均匀无波纹、圆环状、麻点状、条纹状和不规则亮斑。</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台</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智能球型摄像机</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视频输出支持2560×1440@25fps，分辨力不小于1400TVL，红外距离可达150米</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支持23倍光学变焦</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支持最低照度可达彩色0.0002Lux，黑白0.0001Lux</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支持水平手控速度不小于160°/S，垂直速度不小于120°/S，云台定位精度小于等于0.1°</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水平旋转范围为360°连续旋转，垂直旋转范围为-15°~90°</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支持</w:t>
            </w:r>
            <w:r>
              <w:rPr>
                <w:rFonts w:hint="eastAsia" w:ascii="宋体" w:hAnsi="宋体" w:eastAsia="宋体" w:cs="宋体"/>
                <w:i w:val="0"/>
                <w:iCs w:val="0"/>
                <w:color w:val="auto"/>
                <w:kern w:val="0"/>
                <w:sz w:val="18"/>
                <w:szCs w:val="18"/>
                <w:highlight w:val="none"/>
                <w:u w:val="none"/>
                <w:lang w:val="en-US" w:eastAsia="zh-CN" w:bidi="ar"/>
              </w:rPr>
              <w:t>不少于</w:t>
            </w:r>
            <w:r>
              <w:rPr>
                <w:rFonts w:hint="eastAsia" w:ascii="宋体" w:hAnsi="宋体" w:eastAsia="宋体" w:cs="宋体"/>
                <w:i w:val="0"/>
                <w:iCs w:val="0"/>
                <w:color w:val="auto"/>
                <w:kern w:val="0"/>
                <w:sz w:val="18"/>
                <w:szCs w:val="18"/>
                <w:u w:val="none"/>
                <w:lang w:val="en-US" w:eastAsia="zh-CN" w:bidi="ar"/>
              </w:rPr>
              <w:t>300个预置位，可按照所设置的预置位完成不小于8条巡航路径，支持不小于4条模式路径设置，支持预置位视频冻结功能；可实现RS485接口优先或RJ45网络接口优先控制功能</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样机可对设定区域内的运动目标在设定时间内持续跟踪，使该目标处于主视频图像中，样机可自动调节变倍，可对该目标抓拍图片并可手动切换跟踪目标</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信噪比≥63dB，网络延时不大于100ms</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动态范围不小于106dB，照度适应范围不小于138dB，宽动态能力综合得分不小于135</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具备较强的网络自适应能力，在丢包率为20%的网络环境下，仍可正常显示监视画面。</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支持智能红外、透雾、强光抑制、电子防抖、数字降噪、防红外过曝功能</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支持区域遮盖功能，支持设置不少于24个不规则四边形区域，可设置不同颜色；支持3D定位、断电记忆功能；支持IP地址访问控制功能，支持定时抓图或报警联动抓图上传ftp功能</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red"/>
                <w:u w:val="none"/>
                <w:lang w:val="en-US" w:eastAsia="zh-CN" w:bidi="ar"/>
              </w:rPr>
            </w:pPr>
            <w:r>
              <w:rPr>
                <w:rFonts w:hint="eastAsia" w:ascii="宋体" w:hAnsi="宋体" w:eastAsia="宋体" w:cs="宋体"/>
                <w:i w:val="0"/>
                <w:iCs w:val="0"/>
                <w:color w:val="auto"/>
                <w:kern w:val="0"/>
                <w:sz w:val="18"/>
                <w:szCs w:val="18"/>
                <w:u w:val="none"/>
                <w:lang w:val="en-US" w:eastAsia="zh-CN" w:bidi="ar"/>
              </w:rPr>
              <w:t>球机应具备本机存储功能，支持SD卡热插拔，</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支持采用H.265、H.264视频编码标准，H.264编码支持Baseline/Main/High Profile，音频编码支持G.711ulaw/G.711alaw/G.726/G.722.1</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支持三码流同时输出，主码流、第三码流同时支持2560×1440@30fps，2048×1536@30fps</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支持区域入侵、越界入侵、徘徊、物品移除、物品遗留、人员聚集、停车，并联动报警</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具备较好的防护性能环境适应性，支持IP67，8kV防浪涌，工作温度范围可达-45℃-70℃</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具备较好的电源适应性，电压在DC24V±30%范围内变化时，设备可正常工作</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台</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智能球型摄像机支架</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壁装支架/铝合金</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台</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6"/>
                <w:szCs w:val="16"/>
                <w:u w:val="none"/>
                <w:lang w:val="en-US" w:eastAsia="zh-CN" w:bidi="ar"/>
              </w:rPr>
              <w:t>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旋镜人脸车辆抓拍机</w:t>
            </w:r>
            <w:r>
              <w:rPr>
                <w:rFonts w:hint="eastAsia" w:ascii="宋体" w:hAnsi="宋体" w:eastAsia="宋体" w:cs="宋体"/>
                <w:i w:val="0"/>
                <w:iCs w:val="0"/>
                <w:color w:val="auto"/>
                <w:kern w:val="0"/>
                <w:sz w:val="16"/>
                <w:szCs w:val="16"/>
                <w:u w:val="none"/>
                <w:lang w:val="en-US" w:eastAsia="zh-CN" w:bidi="ar"/>
              </w:rPr>
              <w:t>支架</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壁装支架/铝合金</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台</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6"/>
                <w:szCs w:val="16"/>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智能枪型网络摄像机支架</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壁装支架</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适用范围</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适合枪型、筒型、一体型摄像机壁装</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材料</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铝合金</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调整角度</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水平：360°，垂直：-45°~45°</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台</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6"/>
                <w:szCs w:val="16"/>
                <w:u w:val="none"/>
                <w:lang w:val="en-US" w:eastAsia="zh-CN" w:bidi="ar"/>
              </w:rPr>
              <w:t>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6"/>
                <w:szCs w:val="16"/>
                <w:u w:val="none"/>
                <w:lang w:val="en-US" w:eastAsia="zh-CN" w:bidi="ar"/>
              </w:rPr>
              <w:t>硬盘录像机（32路）</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1.2个HDMI接口、2个VGA接口、2个RJ45千兆网络接口、2个USB2.0接口、2个USB3.0接口、1个RS232接口、1个RS485接口（可接入RS485键盘）、1个eSata接口；具有1路音频输入接口、2路音频输出接口，可内置9个SATA接口硬盘；</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2.16路报警输入接口、9路报警输出接口（其中第9路支持受控直流12V输出）；具有1路直流12V输出接口；</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3.可接入1T、2T、3T、4T、6T、8T、10T、12TB、14TB、16TB、18TB容量的SATA接口硬盘；</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4.可接入</w:t>
            </w:r>
            <w:r>
              <w:rPr>
                <w:rFonts w:hint="eastAsia" w:ascii="宋体" w:hAnsi="宋体" w:eastAsia="宋体" w:cs="宋体"/>
                <w:i w:val="0"/>
                <w:iCs w:val="0"/>
                <w:color w:val="auto"/>
                <w:kern w:val="0"/>
                <w:sz w:val="18"/>
                <w:szCs w:val="18"/>
                <w:highlight w:val="none"/>
                <w:u w:val="none"/>
                <w:lang w:val="en-US" w:eastAsia="zh-CN" w:bidi="ar"/>
              </w:rPr>
              <w:t>32路</w:t>
            </w:r>
            <w:r>
              <w:rPr>
                <w:rFonts w:hint="eastAsia" w:ascii="宋体" w:hAnsi="宋体" w:eastAsia="宋体" w:cs="宋体"/>
                <w:i w:val="0"/>
                <w:iCs w:val="0"/>
                <w:color w:val="auto"/>
                <w:kern w:val="0"/>
                <w:sz w:val="18"/>
                <w:szCs w:val="18"/>
                <w:u w:val="none"/>
                <w:lang w:val="en-US" w:eastAsia="zh-CN" w:bidi="ar"/>
              </w:rPr>
              <w:t>分辨1920×1080的视频图像；支持最大接入带宽320Mbps，最大存储带宽320Mbps，最大转发带宽256Mbps，最大回放带宽256Mbps；</w:t>
            </w:r>
          </w:p>
          <w:p>
            <w:pPr>
              <w:keepNext w:val="0"/>
              <w:keepLines w:val="0"/>
              <w:widowControl/>
              <w:suppressLineNumbers w:val="0"/>
              <w:jc w:val="both"/>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5.设备具有HDMI接口，VGA接口，CVBS接口</w:t>
            </w:r>
            <w:r>
              <w:rPr>
                <w:rFonts w:hint="eastAsia" w:ascii="宋体" w:hAnsi="宋体" w:eastAsia="宋体" w:cs="宋体"/>
                <w:i w:val="0"/>
                <w:iCs w:val="0"/>
                <w:color w:val="auto"/>
                <w:kern w:val="0"/>
                <w:sz w:val="18"/>
                <w:szCs w:val="18"/>
                <w:highlight w:val="none"/>
                <w:u w:val="none"/>
                <w:lang w:val="en-US" w:eastAsia="zh-CN" w:bidi="ar"/>
              </w:rPr>
              <w:t>，支持多组异</w:t>
            </w:r>
            <w:r>
              <w:rPr>
                <w:rFonts w:hint="eastAsia" w:ascii="宋体" w:hAnsi="宋体" w:eastAsia="宋体" w:cs="宋体"/>
                <w:i w:val="0"/>
                <w:iCs w:val="0"/>
                <w:color w:val="auto"/>
                <w:kern w:val="0"/>
                <w:sz w:val="18"/>
                <w:szCs w:val="18"/>
                <w:u w:val="none"/>
                <w:lang w:val="en-US" w:eastAsia="zh-CN" w:bidi="ar"/>
              </w:rPr>
              <w:t>源输出，每组输出可独立配置全局音频预览；满足使用功能</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6.接入警戒摄像机，支持对IPC的声音和闪光参数进行配置， 支持通过移动侦测、区域入侵、越界侦测、进入区域和离开区域事件联动一个或多个IPC的声光报警，可以对声光联动一键撤防；</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7.具有存储安全保障功能，当存储压力过高或硬盘出现性能不足时，可优先录像业务存储；</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8.支持本地和远程进行IPv6配置，IPv6支持设置多种模式：路由公告、自动获取、手动配置；支持以IPv6方式接入IPC进行预览、参数配置、报警接收和展现、语音对讲、IPC列表导入、IP地址冲突检测等功能；</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9.支持将设备日志上传到日志服务器，可配置日志服务器IP地址和端口；</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台</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6"/>
                <w:szCs w:val="16"/>
                <w:u w:val="none"/>
                <w:lang w:val="en-US" w:eastAsia="zh-CN" w:bidi="ar"/>
              </w:rPr>
              <w:t>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12T监控级硬盘</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6"/>
                <w:szCs w:val="16"/>
                <w:u w:val="none"/>
                <w:lang w:val="en-US" w:eastAsia="zh-CN" w:bidi="ar-SA"/>
              </w:rPr>
            </w:pPr>
            <w:r>
              <w:rPr>
                <w:rFonts w:hint="eastAsia" w:ascii="宋体" w:hAnsi="宋体" w:eastAsia="宋体" w:cs="宋体"/>
                <w:i w:val="0"/>
                <w:iCs w:val="0"/>
                <w:color w:val="auto"/>
                <w:kern w:val="0"/>
                <w:sz w:val="18"/>
                <w:szCs w:val="18"/>
                <w:u w:val="none"/>
                <w:lang w:val="en-US" w:eastAsia="zh-CN" w:bidi="ar"/>
              </w:rPr>
              <w:t>3.5 HDD,12TB,7200RPM, 512MB, SATA 6Gb/s</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6"/>
                <w:szCs w:val="16"/>
                <w:u w:val="none"/>
                <w:lang w:val="en-US" w:eastAsia="zh-CN" w:bidi="ar"/>
              </w:rPr>
              <w:t>32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LCD屏</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46英寸#2.5mm拼缝#低亮液晶拼接屏</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直下式LED背光源，亮度均匀，无边界暗影现象。</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物理分辨率高</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全高清显示，画面细腻，色彩丰富。</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高清晰度、高亮度、高色域。</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视角可达178°，趋近于水平。</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运行稳定，确保24小时持续工作。</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支持壁挂、落地、吊装等多种安装方式。</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多种拼接方式，能适应各种使用场所。</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采用金属外壳，防辐射、防磁场、防强电场干扰。</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实时检测设备温度，过温自保护，防止面板灼烧。</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支持HDMI信号环通功能。</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显示尺寸：46 inch</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背光源类型：D-LED</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物理拼缝：2.5 mm</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物理拼缝公差：±0.8 mm</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物理分辨率：1920 x 1080@60Hz（向下兼容）</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亮度：500 cd/m²</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可视角：178°(水平) / 178°(垂直)</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对比度：1200 :1 </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电源：100～240 VAC，50/60 Hz</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功耗：≤ 120 W</w:t>
            </w:r>
          </w:p>
          <w:p>
            <w:pPr>
              <w:keepNext w:val="0"/>
              <w:keepLines w:val="0"/>
              <w:widowControl/>
              <w:suppressLineNumbers w:val="0"/>
              <w:jc w:val="both"/>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待机功耗：≤ 0.5 W </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LCD壁挂支架</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仅壁挂支架，无更多配置 </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组</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超高清解码器</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超高清解码器</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支持HDMI 1.4、DB15转BNC 输出口解码输出</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支持H.265、H.264、MJPEG等主流的编码码流解码，解码性能强劲，支持4K超高清输出</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HDMI（奇数口）输出分辨率支持4K（3840 × 2160@30 Hz）</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支持HDMI 1.4本地输入</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支持PS、RTP、TS、ES等主流的封装格式的解码</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支持H.265、H.264的Baseline、Main、High-profile编码级别的解码</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支持G.711A/U、G722.1、G.722、G726、MPEG2-L2、AAC音频格式的解码</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多元化的解码控制模式</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支持主动解码和被动解码两种解码模式</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支持开窗、窗口漫游、窗口分屏功能</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支持远程录像文件的解码输出</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支持DDNS前端解码</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支持直连前端设备解码上墙和通过流媒体转发的方式解码上墙</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支持使用RTSP URL方式从编码设备取流解码</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支持ONVIF标准协议接入设备，支持GB28181协议接入设备</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支持RTP\RTSP协议进行网络源预览</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支持平台以SDK方式集成设备</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完备的运维管理</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支持Web方式访问、配置和管理</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支持远程获取和配置参数，支持远程导出和导入参数</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支持远程获取系统运行状态、系统日志</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支持远程重启、恢复默认配置、升级等日常维护</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网口：2个 RJ45 100M/1000Mbps 自适应以太网接口</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2个光口 100base-FX/1000base-X</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报警输出接口数：8</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串行接口：1个标准232接口 （RJ45），1个标准485接口</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音频输出接口：8个DB15转BNC独立音频输出</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报警输入接口数：8 </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电源：内置 220 VAC</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工作湿度：10％ ~ 90％</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功耗：＜70 W</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工作温度：-10 ℃ ~ 55 ℃</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重量：≤ 5.20 kg  </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解码分辨率：最大支持3200W像素</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解码通道：64</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解码能力：支持4路3200W，或8 路1600W，或10 路1200W，或16 路800W，或20 路600W，或32 路400W，或64 路200W及以下分辨率同时实时解码画面分割数：1/2/4/6/8/9/12/16/25 </w:t>
            </w:r>
          </w:p>
          <w:p>
            <w:pPr>
              <w:keepNext w:val="0"/>
              <w:keepLines w:val="0"/>
              <w:widowControl/>
              <w:suppressLineNumbers w:val="0"/>
              <w:jc w:val="both"/>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8"/>
                <w:szCs w:val="18"/>
                <w:u w:val="none"/>
                <w:lang w:val="en-US" w:eastAsia="zh-CN" w:bidi="ar"/>
              </w:rPr>
              <w:t>视频输入接口：2路HDMI 1.4</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台</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光缆</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8"/>
                <w:szCs w:val="18"/>
                <w:u w:val="none"/>
                <w:lang w:val="en-US" w:eastAsia="zh-CN" w:bidi="ar"/>
              </w:rPr>
              <w:t>4芯</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m</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20"/>
                <w:szCs w:val="20"/>
                <w:u w:val="none"/>
                <w:lang w:val="en-US" w:eastAsia="zh-CN" w:bidi="ar"/>
              </w:rPr>
              <w:t>400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5类非屏蔽低烟无卤电缆</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执行标准：IEC 60793、ISO/IEC 11801 、YD/T 769、ＡNSI/TIA-568.3-D</w:t>
            </w:r>
          </w:p>
          <w:p>
            <w:pPr>
              <w:keepNext w:val="0"/>
              <w:keepLines w:val="0"/>
              <w:widowControl/>
              <w:suppressLineNumbers w:val="0"/>
              <w:jc w:val="both"/>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8"/>
                <w:szCs w:val="18"/>
                <w:u w:val="none"/>
                <w:lang w:val="en-US" w:eastAsia="zh-CN" w:bidi="ar"/>
              </w:rPr>
              <w:t>OM3多模光缆采用50μm纤芯，是一种经过激光优化的多模光纤，具有更高的带宽和传输距离</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箱</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20"/>
                <w:szCs w:val="20"/>
                <w:u w:val="none"/>
                <w:lang w:val="en-US" w:eastAsia="zh-CN" w:bidi="ar"/>
              </w:rPr>
              <w:t>23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5类非屏蔽水晶头</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5类非屏蔽水晶头</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盒</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20"/>
                <w:szCs w:val="20"/>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机柜</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600*600*2000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台</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20"/>
                <w:szCs w:val="20"/>
                <w:u w:val="none"/>
                <w:lang w:val="en-US" w:eastAsia="zh-CN" w:bidi="ar"/>
              </w:rPr>
              <w:t>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辅材</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电源线、HDMI高清线、胶带等所需材料。满足本项目施工、验收及使用要求。</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项</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1042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b/>
                <w:bCs/>
                <w:color w:val="auto"/>
                <w:sz w:val="18"/>
                <w:szCs w:val="18"/>
                <w:lang w:val="en-US" w:eastAsia="zh-CN"/>
              </w:rPr>
              <w:t>三、网络及安全系统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序号</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lang w:val="en-US" w:eastAsia="zh-CN"/>
              </w:rPr>
              <w:t>名称</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lang w:val="en-US" w:eastAsia="zh-CN"/>
              </w:rPr>
              <w:t>基本参数</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18"/>
                <w:szCs w:val="18"/>
                <w:lang w:val="en-US" w:eastAsia="zh-CN"/>
              </w:rPr>
              <w:t>单 位</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18"/>
                <w:szCs w:val="18"/>
                <w:lang w:val="en-US" w:eastAsia="zh-CN"/>
              </w:rPr>
              <w:t>数量</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1042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1.内网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核心交换机</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1、机箱式路由交换机。支持管理引擎主控板1+1冗余，业务槽位数≥4，电源数量≥2个。</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2、交换容量≥100Tbps,包转发率≥40000Mpps</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3、支持交换机虚拟化技术</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4、支持端口镜像，支持端口聚合IEEE802.3ad（LACP）</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5、支持Static Routing、RIPv1/V2、OSPF、BGP等多种路由协议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6、支持IPv6 VRRPv3，支持IPv6 ACL、IPv6 QOS</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7、支持RIPng、OSPFv3、BGP4+等路由协议</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8、支持硬件线速ACL,支持基于ACL的流统计</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9、支持IPv4/IPv6 DHCP Server，IPv4/IPv6 DHCP Client、IPv4/IPv6 DHCP Relay</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配置要求：主机箱1套，管理引擎板卡2块，电源2块。千兆光口48个，千兆电口32个。</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台</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48口接入交换机</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1、支持≥48个10/100/1000M电口，≥4个千兆SFP光口</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2、交换容量≥386Gbps，包转发率≥130Mpps</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3、MAC地址表容量≥8K，支持16K超大帧</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4、支持端口镜像，支持链路聚合、支持端口限速</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5、支持基于端口的VLAN，802.1Q标记VLAN,支持802.1X，支持MSTP</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6、支持SNMP，Telnet，RMON，CLI等</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7、支持组播/广播风暴控制，支持MAC地址过滤，支持DHCP SNOOPING</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8、支持标准IP、扩展IP的ACL规则</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9、支持IP+MAC+PORT绑定，支持QOS，支持CPU保护功能。</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台</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24口交换机</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1、支持≥24个10/100/1000M电口，≥4个千兆SFP光口(非复用)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2、交换容量≥336Gbps，包转发率≥96Mpps</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3、MAC地址表容量≥8K，支持16K超大帧</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4、支持端口镜像，支持链路聚合、支持端口限速</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5、支持基于端口的VLAN，802.1Q标记VLAN,支持802.1X，支持MSTP</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6、支持SNMP，Telnet，RMON，CLI等</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7、支持组播/广播风暴控制，支持MAC地址过滤，支持DHCP SNOOPING</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8、支持标准IP、扩展IP的ACL规则</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9、支持IP+MAC+PORT绑定，支持QOS，支持CPU保护功能。</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台</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千兆光模块</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千兆单模, SFP, 1000BaseLX, LC 接口(10Km)</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出口网关</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1.1U,硬盘≥1T，≥6个千兆电口，≥2个千兆光插槽,≥2个扩展槽位,防火墙吞吐≥6G，并发连接≥220万，每秒新建连接≥5万，应用层吞吐量≥4G，IPSEC VPN吞吐≥800M，IPSEC VPN隧道数≥2000，SSL VPN吞吐≥500M，SSL VPN并发用户数≥3000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2.支持路由、交换、虚拟线、Listening、混合工作模式；</w:t>
            </w:r>
          </w:p>
          <w:p>
            <w:pPr>
              <w:keepNext w:val="0"/>
              <w:keepLines w:val="0"/>
              <w:widowControl/>
              <w:suppressLineNumbers w:val="0"/>
              <w:jc w:val="left"/>
              <w:textAlignment w:val="center"/>
              <w:rPr>
                <w:rFonts w:hint="eastAsia" w:ascii="宋体" w:hAnsi="宋体" w:eastAsia="宋体" w:cs="宋体"/>
                <w:i w:val="0"/>
                <w:iCs w:val="0"/>
                <w:color w:val="FF0000"/>
                <w:kern w:val="0"/>
                <w:sz w:val="18"/>
                <w:szCs w:val="18"/>
                <w:highlight w:val="red"/>
                <w:u w:val="none"/>
                <w:lang w:val="en-US" w:eastAsia="zh-CN" w:bidi="ar"/>
              </w:rPr>
            </w:pPr>
            <w:r>
              <w:rPr>
                <w:rFonts w:hint="eastAsia" w:ascii="宋体" w:hAnsi="宋体" w:eastAsia="宋体" w:cs="宋体"/>
                <w:i w:val="0"/>
                <w:iCs w:val="0"/>
                <w:color w:val="auto"/>
                <w:kern w:val="0"/>
                <w:sz w:val="18"/>
                <w:szCs w:val="18"/>
                <w:u w:val="none"/>
                <w:lang w:val="en-US" w:eastAsia="zh-CN" w:bidi="ar"/>
              </w:rPr>
              <w:t>3.访问控制策略执行动作支持允许、禁止及认证，对符合条件的流量进行Web认证，在策略中可设置用户 Web 认证的门户地址；</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4.支持DNS Doctoring功能，能够将来自内部网络的域名解析请求定向到真实内网资源，提高访问效率，同时支持通过配置多条 DNS Doctoring，实现内网资源服务器的负载均衡</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5.提供策略分析功能，支持策略命中分析、策略冗余分析、策略冲突检查、策略包含分析，可在WEB界面显示检测结果；</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6.支持独立的WAF防护模块，WAF防护特征总数在1000条以上；</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7.内置防代理功能，防止网络用户通过代理主机实现攻击、避免计费等行为；</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内置内容过滤功能，支持基于http、ftp、telnet、smtp、pop3等协议的内容过滤策略，可对FTP上传/下载的文件名进行过滤，同时支持过滤FTP信令：上传文件、下载文件、删除文件、重命名文件、创建目录、删除目录、列出目录等，邮件过滤支持对发件人、收件人、主题、内容、附件等进行过滤；</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9.内置静态黑名单功能，可设置多个对象条件，如：五元组信息、源MAC、地址范围、应用、用户，实现对特定报文进行快速过滤；</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台</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终端威胁防御系统（1）</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1.50个Windows PC客户端防病毒功能授权,含3年升级许可。防病毒的病毒查杀支持多引擎的协同工作对病毒、木马、恶意软件、引导区病毒、BIOS病毒等进行查杀，提供主动防御系统防护等功能。客户端系统默认支持Windows XP/VISTA/WIN7/WIN8/WIN10。</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2.客户端安装后至多占用50M硬盘资源，病毒库3M大小，</w:t>
            </w:r>
            <w:r>
              <w:rPr>
                <w:rFonts w:hint="eastAsia" w:ascii="宋体" w:hAnsi="宋体" w:eastAsia="宋体" w:cs="宋体"/>
                <w:i w:val="0"/>
                <w:iCs w:val="0"/>
                <w:color w:val="auto"/>
                <w:kern w:val="0"/>
                <w:sz w:val="18"/>
                <w:szCs w:val="18"/>
                <w:highlight w:val="none"/>
                <w:u w:val="none"/>
                <w:lang w:val="en-US" w:eastAsia="zh-CN" w:bidi="ar"/>
              </w:rPr>
              <w:t>日常内存占用小，节省资源。</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控制中心支持实时显示客户端的状态及终端基本信息，包括客户端连接状态、服务状态；终端机器名称、IP地址、MAC地址、操作系统、显卡信息、内存大小、当前版本信息和物理位置等信息，支持终端信息导出。</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控制中心支持全网/以分组、标签为单位/指定某些客户端定制策略，支持指定客户端策略锁定。定制策略包括病毒防御（文件实时监控、恶意行为监控、U盘保护、下载保护、邮件监控）、系统防御（系统加固、软件安装拦截、浏览器保护）、网络防御（黑客入侵拦截、对外攻击检测、恶意网站拦截、IP协议控制、IP黑名单）等。</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支持文档检测功能，针对终端存储的word、pdf、ppt、Excel、rtf、txt等文档的名称、内容进行包含关键字检查，对含有指定关键字的文档进行禁止发送、禁止拷贝等管控，消息提醒的同时将文档违规信息上报管理平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6.支持虚拟补丁功能，针对网络数据流的深层分析，检测入站流量并保护应用程序免受攻击，应具有阻止勒索病毒等高危威胁的入侵功能。</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7.对系统关键位置进行防护，阻止无文本攻击、流氓、广告程序对系统的恶意篡改等行为。从系统文件保护、病毒免疫、进程保护、注册表保护、危险动作拦截、执行防护等多个维度对系统进行防护。</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8.能够与防火墙、态势感知和上网行为管理实现协同联动。</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终端威胁防御系统（2）</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1.4个WindowsServer客户端防病毒功能授权，含3年升级许可。针对服务器操作系统进行病毒查杀，提供主动防御系统防护等功能。系统默认支持WindowsServer。</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2.客户端安装后至多占用50M硬盘资源，病毒库3M大小，日常内存占用小，节省资源。</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控制中心支持实时显示客户端的状态及终端基本信息，包括客户端连接状态、服务状态；终端机器名称、IP地址、MAC地址、操作系统、显卡信息、内存大小、当前版本信息和物理位置等信息，支持终端信息导出。</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控制中心支持全网/以分组、标签为单位/指定某些客户端定制策略，支持指定客户端策略锁定。定制策略包括病毒防御（文件实时监控、恶意行为监控、U盘保护、下载保护、邮件监控）、系统防御（系统加固、软件安装拦截、浏览器保护）、网络防御（黑客入侵拦截、对外攻击检测、恶意网站拦截、IP协议控制、IP黑名单）等。</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支持文档检测功能，针对终端存储的word、pdf、ppt、Excel、rtf、txt等文档的名称、内容进行包含关键字检查，对含有指定关键字的文档进行禁止发送、禁止拷贝等管控，消息提醒的同时将文档违规信息上报管理平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6.支持开启勒索诱捕功能，设置诱饵文件并实时监控，当勒索病毒对该文件进行加密操作时进行拦截。</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7.支持对邮件中的病毒进行查杀，防止病毒通过邮件在终端传播。</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8.与本次采购防火墙实现协同联动</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超融合管理系统（1）</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标准机架式2U服务器,CPU：12核心、2.1GHz*2颗,内存≥128G，SSD系统盘≥480G*2块，4个千兆电口，2个万兆光口（含多模光模块），集成IPMI管理模块，前置12个3.5"热插拔SAS/SATA盘位，冗余电源，另配1*480GB SSD固态硬盘 SATA接口 2.5寸;3*2TB 7200转 SATA硬盘 /企业级</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超融合管理系统（2）</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包含计算虚拟化、存储虚拟化、网络虚拟化CPU授权；</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管理平台要求：</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1.超融合管理系统云管平台软件属于自主研发产品，拥有自主知识产权，非基于第三方云平台（如OpenStack、CloudStack等）软件二次开发产品；</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2.超融合集群可以支持不少于256台服务器节点规模，统一构建底层分布式存储资源池，为业务提供大规模、大容量存储资源；</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支持服务器节点退役功能，退役主机的数据自动迁移至其它正常服务器节点4.支持一键大屏显示功能，方便监控集群状态，展示内容包括集群整体拓扑展示、健康状态、资源统计、资源负载情况及告警信息，CPU、内存、存储及网络使用率可以通过TOP5方式进行展示</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5.支持一键集群检测功能，可以人工触发或按周期自动执行集群健康扫描，快速定位问题，支持对硬件、网络、系统等信息进行检测，同时可以对历史巡检记录进行查询、追溯，方便信息统计；</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支持原生多租户功能，多个租户之间实现计算、存储、网络及安全隔离，每个租户可拥有管理员和普通用户。管理员可以对租户配额资源进行修改，资源包括CPU核数、内存配额、存储配额、交换机配额、路由器配额、虚拟出口配额及屏幕截图空间、内存快照空间等，并且支持实时扩展；</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7.支持自动化任务功能配置，可以自定义任务类型及执行策略，任务类型包括卷备份和集群巡检等，提升管理效率</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计算虚拟化要求：</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1.支持异构虚拟化平台集中管理，支持对VMware vSphere环境进行纳管，提供不少于1000个VMware虚拟机的管理授权，支持与VMware环境的双向虚拟机在线迁移，提供不少于500个虚拟机的双向迁移授权，支持VMware虚拟机资源（池）的生命周期管理，包括创建、克隆、迁移、挂起、配置、删除、查询和转换为模板等操作；</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2.支持虚拟机跨平台在线迁移（P2V和V2V）功能，迁移过程中不影响业务正常运行，包括VMware、KVM及物理服务器环境；</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3.支持配置云服务器资源动态扩展功能，根据计算资源负载情况实现CPU和内存的自动扩展，无需人工干预。可以支持云服务器的QoS功能，包括CPU上限、内存预留和存储IOPS等。</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4.支持虚拟机级别副本设置，可以按照业务的安全需求给不同虚拟机设置不同数量副本，提升灵活性</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5.支持虚拟机存储链路冗余设置，可以设置多条访问存储卷的链路，提升虚拟机访问存储的可靠性和性能；</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6.支持蓝屏检测技术，自动触发，无须手动触发，并且通过界面记录虚拟机重新拉起过程，包括故障、蓝屏、HA等过程进行记录，可在虚拟机详情日志页面里面查看详情；</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7.支持通过VNC和Spice两种方式远程访问虚拟机控制台，支持Spice方式设置独立访问密码，保证访问安全性；</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存储虚拟化要求：</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1.支持存储网络隔离，可以设置独立的私有网络，保持与其他物理网络隔离，仅作为集群内存储节点间的数据交换使用，避免受到病毒攻击、ARP攻击，保证虚拟存储集群的稳定性；</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2.支持服务器在线扩容磁盘，增加一体机存储容量，最少可以支持1块磁盘扩容，增加灵活性；</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3.支持磁盘退役功能，被设置为退役的硬盘，数据自动迁移到集群其它服务器节点磁盘中；</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超融合不仅支持文件存储、块存储，还应同时支持对象存储服务，可以向外部系统提供对象存储服务，支持S3及Swift接口类型，支持SSL加密传输，满足非结构化数据存储需求，减少存储额外开支；同时支持存储的QoS设置；</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分布式存储通过多副本冗余技术实现数据高可用性，支持基于存储卷级别的副本设定，可以针对不同场景灵活配置不同级别的副本数，最小支持1副本，最高支持6个副本，副本实现跨磁盘、跨节点、跨机架放置模式；</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6.支持存储数据卷自定义安全级别，可以设置弱一致、强一致、最终一致，针对不同的环境灵活使用；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网络虚拟化要求：</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1.支持本地网络功能，通过划分不同的虚拟网络交换机和虚拟端口组进行网络规划，支持端口镜像功能；</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2.支持网络监控与分析功能，可以对指定网络进行流量、协议及端口监控，支持规则定义、信息过滤等，提供完整流量分析功能</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3.支持在图形管理界面中提供IP资源池管理功能，IP资源由系统从IP资源池统一分配和变更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4.支持安全组功能，可用于某一特定虚拟机上的网卡（链路实例）的出入流量进行控制，具有默认安全规则以及自定义规则，支持1-4层的安全防护；</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1042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2.外网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序号</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名称</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基本参数</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单位</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数量</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核心交换机</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1、机箱式路由交换机。支持管理引擎主控板1+1冗余，业务槽位数≥4，电源数量≥2个。</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2、交换容量≥100Tbps,包转发率≥40000Mpps</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3、支持交换机虚拟化技术</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4、支持端口镜像，支持端口聚合IEEE802.3ad（LACP）</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5、支持Static Routing、RIPv1/V2、OSPF、BGP等多种路由协议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6、支持IPv6 VRRPv3，支持IPv6 ACL、IPv6 QOS</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7、支持RIPng、OSPFv3、BGP4+等路由协议</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8、支持硬件线速ACL,支持基于ACL的流统计</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9、支持IPv4/IPv6 DHCP Server，IPv4/IPv6 DHCP Client、IPv4/IPv6 DHCP Relay</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配置要求：主机箱1套，管理引擎板卡1块，电源2块。千兆光口24个，千兆电口16个。</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台</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48口接入交换机</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1、支持≥48个10/100/1000M电口，≥4个千兆SFP光口</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2、交换容量≥386Gbps，包转发率≥130Mpps</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3、MAC地址表容量≥8K，支持16K超大帧</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4、支持端口镜像，支持链路聚合、支持端口限速</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5、支持基于端口的VLAN，802.1Q标记VLAN,支持802.1X，支持MSTP</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6、支持SNMP，Telnet，RMON，CLI等</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7、支持组播/广播风暴控制，支持MAC地址过滤，支持DHCP SNOOPING</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8、支持标准IP、扩展IP的ACL规则</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9、支持IP+MAC+PORT绑定，支持QOS，支持CPU保护功能。</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台</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24口POE交换机</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1、支持≥24个10/100/1000M电口，≥4个千兆SFP光口</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2、交换容量≥336Gbps，包转发率≥126Mpps</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3、支持24个千兆电口POE供电，支持802.3af/802.3at</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4、MAC地址表容量≥8K，支持16K超大帧</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5、支持端口镜像，支持链路聚合、支持端口限速</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6、支持基于端口的VLAN，802.1Q标记VLAN,支持802.1X，支持MSTP</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7、支持SNMP，Telnet，RMON，CLI等</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8、支持组播/广播风暴控制，支持MAC地址过滤，支持DHCP SNOOPING</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9、支持标准IP、扩展IP的ACL规则</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10、支持IP+MAC+PORT绑定，支持QOS，支持CPU保护功能。</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台</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AC</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1、标准机架式无线控制交换机。千兆电口≥5个，支持最大管理AP数≥128台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2、支持流量状态查看，支持源地址策略分流，支持策略带宽控制，支持P2P限制，支持连接数控制规则</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3、支持内网防护：支持IP-MAC绑定，支持异常检测（环路检测、DHCP检测）、内网攻击防护、内网限速等</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4、支持集成多种无线认证方式：微信认证、WEB密码认证、手机短信密码认证、动态密码认证等</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5、支持Portal认证界面定制化，支持上传定制化图片</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6、支持内置DHCP Server功能，实现AP零配置接入，即插即用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7、支持通过控制器内置无线信道分析仪功能，最大化优化每AP可用无线信道</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配置满足使用的AP授权许可。</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台</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AP</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1、室内无线接入点，支持≥2个千兆电口，1*复位键，支持802.11ac，速率≥1200Mbps，内置高增益天线，支持Wave2.0技术</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2、支持以动态获取/静态IP配置等方式发现无线控制器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3、支持SSID和VLAN绑定,支持动态VLAN,支持无线Trunk透传</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4、支持IEEE802.3az，网络中无可发送帧的状态下进入低功耗模式</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5、支持AP、网关、WISP、中继（透传）多种无线操作模式6、支持自定义时间自动重启设备，或者手动开启/关闭无线信号</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7、支持基于用户、流量、频段的智能负载均衡</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8、支持会员认证,Portal认证,微信连Wi-Fi, 短信认证,微信扫描认证,二次登录免认证等多种认证方式等</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9、支持内置无线信道分析仪功能，最大化规避信道干扰，自动选择最优信道</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10、支持故障记录，支持指示灯告警提示</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台</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千兆光模块</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千兆单模, SFP, 1000BaseLX, LC 接口(10Km)</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出口网关（防火墙）</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1.1U,硬盘≥1T，≥6个千兆电口，≥2个千兆光插槽,≥2个扩展槽位,防火墙吞吐≥6G，并发连接≥220万，每秒新建连接≥5万，应用层吞吐量≥4G，IPSEC VPN吞吐≥800M，IPSEC VPN隧道数≥2000，SSL VPN吞吐≥500M，SSL VPN并发用户数≥3000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2.支持路由、交换、虚拟线、Listening、混合工作模式；</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3.访问控制策略执行动作支持允许、禁止及认证，对符合条件的流量进行Web认证，在策略中可设置用户 Web 认证的门户地址；4.支持DNS Doctoring功能，能够将来自内部网络的域名解析请求定向到真实内网资源，提高访问效率，同时支持通过配置多条 DNS Doctoring，实现内网资源服务器的负载均衡5.提供策略分析功能，支持策略命中分析、策略冗余分析、策略冲突检查、策略包含分析，可在WEB界面显示检测结果；</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6.支持独立的WAF防护模块，WAF防护特征总数在1000条以上；</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7.内置防代理功能，防止网络用户通过代理主机实现攻击、避免计费等行为；</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内置内容过滤功能，支持基于http、ftp、telnet、smtp、pop3等协议的内容过滤策略，应对FTP上传/下载的文件名进行过滤，同时支持过滤FTP信令：上传文件、下载文件、删除文件、重命名文件、创建目录、删除目录、列出目录等，邮件过滤支持对发件人、收件人、主题、内容、附件等进行过滤；</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9.内置静态黑名单功能，应设置多个对象条件，如：五元组信息、源MAC、地址范围、应用、用户，实现对特定报文进行快速过滤；</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台</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入侵检测系统</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1.1U,硬盘≥1TB,≥6个千兆电口（含1个管理口）,≥4个千兆光口插槽,1个CONSOLE口,冗余电源,整机吞吐率≥3Gbps,IDS吞吐率≥1.2Gbps，3年攻击检测规则库、应用识别库、地理信息库升级许可;</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2.支持攻击报文取证功能，检测到攻击事件后将原始报文完整记录下来，作为电子证据。</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能够检测包括扫描探测、暴力猜解、拒绝服务攻击、后门控制、溢出攻击、代码执行、非授权访问、注入攻击、URL跳转、跨站攻击、WebShell、浏览器劫持、文件漏洞攻击、工控漏洞攻击、物联网漏洞攻击等在内的17大类超过12000种以上网络攻击事件。</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4.支持DDoS检测、阻断及防御基线自学习功能，能够进行自学习配置、自学习结果查看、防护配置设置</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5.支持DDoS检测、阻断及防御基线自学习功能，能够进行自学习配置、自学习结果查看、防护配置设置。</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6.支持隐蔽通信检测，支持对HTTP、FTP、SMTP、IMAP、POP3、Telnet等服务的隐蔽通信检测。</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7.支持与本次采购防火墙联动阻断功能，应设置防火墙地址、防火墙阻塞时间，能够查看防火墙联动状态。</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支持攻击检测事件监控，应按照当天、昨天、本周、自定义等方式展示攻击事件、联动阻断、被攻击主机、攻击源等数量，具备Top10攻击事件、Top10被攻击主机、受影响业务分布、攻击类型分布、攻击趋势等内容监控能力。</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9.本地嵌入独立的威胁情报库，不依赖其他设备或情报平台，即可独立的实现威胁情报检测能力，可对检测到的恶意文件、恶意IP、恶意域名、恶意URL、恶意邮箱设置相应捕获/取证、阻断动作。</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光纤收发器</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≤20km</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电源线</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2*1.5</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8芯室内单模光缆</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8芯</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1042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3.设备网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序号</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名称</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基本参数</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单位</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数量</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视频准入控制系统</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red"/>
                <w:u w:val="none"/>
                <w:lang w:val="en-US" w:eastAsia="zh-CN" w:bidi="ar"/>
              </w:rPr>
            </w:pPr>
            <w:r>
              <w:rPr>
                <w:rFonts w:hint="eastAsia" w:ascii="宋体" w:hAnsi="宋体" w:eastAsia="宋体" w:cs="宋体"/>
                <w:i w:val="0"/>
                <w:iCs w:val="0"/>
                <w:color w:val="auto"/>
                <w:kern w:val="0"/>
                <w:sz w:val="18"/>
                <w:szCs w:val="18"/>
                <w:u w:val="none"/>
                <w:lang w:val="en-US" w:eastAsia="zh-CN" w:bidi="ar"/>
              </w:rPr>
              <w:t>1.1U,1个Console口，≥6个电口,≥1个扩展槽位,支持不少于150台设备探测和分析，不支持扩展点数,设备发现50IP/分钟，网络带宽消耗少于 1Mb/s，支持发现其他安防厂商视频监控设备，具有资产发现、准入控制、非法外联检查、脆弱性检查、拓扑自动发现等功能</w:t>
            </w:r>
            <w:r>
              <w:rPr>
                <w:rFonts w:hint="eastAsia" w:ascii="宋体" w:hAnsi="宋体" w:eastAsia="宋体" w:cs="宋体"/>
                <w:i w:val="0"/>
                <w:iCs w:val="0"/>
                <w:color w:val="auto"/>
                <w:kern w:val="0"/>
                <w:sz w:val="18"/>
                <w:szCs w:val="18"/>
                <w:highlight w:val="none"/>
                <w:u w:val="none"/>
                <w:lang w:val="en-US" w:eastAsia="zh-CN" w:bidi="ar"/>
              </w:rPr>
              <w:t>，内存、硬盘容量应满足使用需求。</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2.支持通过设备地理分布地图对设备状态进行监控，支持显示全部设备、待准入设备、冲突设备、故障设备、行为异常设备；支持选择显示范围，显示设备详情；支持设备经纬度，支持调整和保存设备位置。</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3.支持设备主动发现功能，发现过程不需在视频专网原有设备中安装任何程序，发现过程 不能对网络造成影响；至少能够获取视频专网中常用在网设备的 IP 和 MAC 地址、品牌、型号、 所属地址组、部门、发现时间等信息；支持弱密码风险的自动识别。</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4.支持设备信息导入导出功能；支持手工添加、删除设备；支持设备地理位置、管理员、 联系电话等信息管理；支持设备待准入、离线、地址冲突、设备异常等状态的识别和展示；支持 查看设备详细信息。</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支持根据异常行为自动产生设备异常报警；设备异常状态分为异常和分析中，支持相关异常和分析中数量显示，分别用不同颜色进行报警，点击能弹出与该设备有关的异常对话框；支持设备异常列表，列表信息至少包括 IP 地址、MAC 地址、设备类型、品牌、型号、地址组、部门、地理信息、管理员、联系电话、发现时间、风险、状态等。</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6.支持对设备状态进行实时检测，并将黑白屏故障设备记录为故障状态；支持黑白屏故障设备列表， 列表信息至少包括 IP 地址、MAC 地址、设备类型、地址组、部门、管理员、最近黑白屏故障时间、恢复时间、故障次数、状态等。</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7.支持运行指标显示，至少包括资产类型分类及相应数量、资产品牌分类及相应数量、 设备准入情况、离线设备情况、地址冲突设备情况、异常活动设备情况等。</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8.支持地址组管理，能够将发现的设备自动关联到对应的地址组及地址组的所属部门；支持地址组嵌套，支持树形结构的地址组管理；支持添加、删除、修改地址组；支持地址组名称、 部门、地址范围、默认设备类型、上级地址组等属性。</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核心交换机</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1、机箱式路由交换机。支持管理引擎主控板1+1冗余，业务槽位数≥4，电源数量≥2个。</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2、交换容量≥100Tbps,包转发率≥40000Mpps</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3、支持交换机虚拟化技术</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4、支持端口镜像，支持端口聚合IEEE802.3ad（LACP）</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5、支持Static Routing、RIPv1/V2、OSPF、BGP等多种路由协议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6、支持IPv6 VRRPv3，支持IPv6 ACL、IPv6 QOS</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7、支持RIPng、OSPFv3、BGP4+等路由协议</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8、支持硬件线速ACL,支持基于ACL的流统计</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9、支持IPv4/IPv6 DHCP Server，IPv4/IPv6 DHCP Client、IPv4/IPv6 DHCP Relay</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配置要求：</w:t>
            </w:r>
            <w:r>
              <w:rPr>
                <w:rFonts w:hint="eastAsia" w:ascii="宋体" w:hAnsi="宋体" w:eastAsia="宋体" w:cs="宋体"/>
                <w:i w:val="0"/>
                <w:iCs w:val="0"/>
                <w:color w:val="auto"/>
                <w:kern w:val="0"/>
                <w:sz w:val="18"/>
                <w:szCs w:val="18"/>
                <w:highlight w:val="none"/>
                <w:u w:val="none"/>
                <w:lang w:val="en-US" w:eastAsia="zh-CN" w:bidi="ar"/>
              </w:rPr>
              <w:t>主机箱1套，管理引擎板卡1块，电源2块。千兆光口24个，千兆电口16个。</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台</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24口POE交换机</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1、支持≥24个10/100/1000M电口，≥4个千兆SFP光口</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2、交换容量≥336Gbps，包转发率≥126Mpps</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3、支持24个千兆电口POE供电，支持802.3af/802.3at</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4、MAC地址表容量≥8K，支持16K超大帧</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5、支持端口镜像，支持链路聚合、支持端口限速</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6、支持基于端口的VLAN，802.1Q标记VLAN,支持802.1X，支持MSTP</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7、支持SNMP，Telnet，RMON，CLI等</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8、支持组播/广播风暴控制，支持MAC地址过滤，支持DHCP SNOOPING</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9、支持标准IP、扩展IP的ACL规则</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10、支持IP+MAC+PORT绑定，支持QOS，支持CPU保护功能。</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台</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千兆光模块</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千兆单模, SFP, 1000BaseLX, LC 接口(10Km)</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1042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四、等保测评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序号</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名称</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基本参数</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单位</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数量</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等保测评</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经咨询盐城市大丰区公安局网安大队，网络安全大检查中提出医院信息具有极高的敏感性，它包含了个人身体健康状况、病历记录、药物处方等隐私信息。一旦医疗信息泄露，不仅会影响患者的个人隐私，还可能导致医疗纠纷、法律纠纷等问题，给医院带来巨大的经济和声誉损失。因此，要求医院对互联网环境采取网络安全保护措施同时开展等保二级测评工作，确保医疗信息的安全性，避免敏感信息被非法获取和滥用。等保测评在网络及安全系统外网部分。</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项</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1042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五、信息发布系统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序号</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18"/>
                <w:szCs w:val="18"/>
                <w:lang w:val="en-US" w:eastAsia="zh-CN"/>
              </w:rPr>
              <w:t>名称</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lang w:val="en-US" w:eastAsia="zh-CN"/>
              </w:rPr>
              <w:t>基本参数</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18"/>
                <w:szCs w:val="18"/>
                <w:lang w:val="en-US" w:eastAsia="zh-CN"/>
              </w:rPr>
              <w:t>单 位</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18"/>
                <w:szCs w:val="18"/>
                <w:lang w:val="en-US" w:eastAsia="zh-CN"/>
              </w:rPr>
              <w:t>数量</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20"/>
                <w:szCs w:val="20"/>
                <w:u w:val="none"/>
                <w:lang w:val="en-US" w:eastAsia="zh-CN" w:bidi="ar"/>
              </w:rPr>
              <w:t>室内小间距主屏</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1.像素点间距≤1.86mm，像素密度≥289051点/㎡</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2.刷新率：≥3840Hz；换帧频率:50&amp;60HZ</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3.维护方式:电源、模组、接收卡，HUB卡全前维护，支持热插拔</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4.显示屏亮度:600-800nits:支持通过配套软件0-100%无级调节；</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5.最大对比度：≥10000:1；</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6.像素失控率： ≤0.000001，无常亮点</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7.亮度均匀性：≥98%；色域覆盖率：≥120%</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8.可视视角：水平视角≥170°，垂直视角≥170°</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9.驱动方式：恒流驱动；显示屏色度均匀性:偏差在±0.003Cx，Cy之内</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10.功耗（W/㎡）:峰值功耗:600、平均功耗:200</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11.像素中心距偏差：&lt;3%</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12.色温:2000K-10000K可调;调节步长100K</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13.低灰高亮：100%亮度时，16bit灰度;70%亮度时，16 bit 灰度;50%亮度时，16bit 灰度;20%亮度时，15bit灰度</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14.自动GAMMA 校正技术，通过构造非线性校正曲线和色坐标系数矩阵实现了显示效果的不断改善，如色彩还原性、色温调节范围、亮度均匀性、色度均匀性、刷新率、换帧频率等</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15.供电方式:模组采用4.5-5.0VDC供电,搭配定制3C电源,具备PFC 电源</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16.多层PCB设计，一体化驱动控制，PCB表面沉金处理，采用抗消隐设计，无“毛毛虫”“鬼影”跟随现象</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17.显示效果无失真:LED显示屏正常工作时显示画面无几何失真和非线性失真</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18.系统和电源双备份：信号环路备份，双路开关电源备份</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19.故障智能自诊断及排查：具备故障自诊断及排查功能</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20.PFC 电源:电源采用110-220V宽电压，适应电网电压更广，电源功率因数≥0.95，转换效率88%</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21.色度校正:支持多bin色度校正，校正数据存储在模组里采用色彩管理系统，在LED控制系统对视频解码后，添加二次过滤显示算法，对显示屏每一个发光二极管进行逐点14位颜色校正</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22.工作状态监测功能:具有监控LED显示屏工作状态、温度，具有故障报警功能;具有工作电压、接收卡等工作状态监控功能</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23.视觉舒适度:人眼视觉健康舒适度VICO指数达到1级(CSA0352-2017LED昭明产品视觉健康舒适度测试第2部分:测试方法-基于人眼生理功能的测试方法及技术要求)</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24.阻燃测试:PCB阻燃等级达到UL94V-0级。</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25.振动测试:振动方式:正弦振动振动频率:10Hz-55Hz-10Hz</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振动幅度:035mm扫频速率:1oct/min每个方向各扫描5次，共3个方向</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判定标准:试验后主机外观和结构不应有明显损坏和异常现象，重新一日性能应正常。</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26.寿命典型值&gt;100000小时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27.蓝光测试：光辐射通过蓝光视网膜等级检测，符合肉眼观看标准;对皮肤表面及眼睛角膜和视网膜无直接伤害;红绿蓝三色的宽波段光源对皮肤及人眼直接观看无伤害，无紫外危害。</w:t>
            </w:r>
          </w:p>
          <w:p>
            <w:pPr>
              <w:keepNext w:val="0"/>
              <w:keepLines w:val="0"/>
              <w:widowControl/>
              <w:suppressLineNumbers w:val="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28.品质要求：国标优质</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20"/>
                <w:szCs w:val="20"/>
                <w:u w:val="none"/>
                <w:lang w:val="en-US" w:eastAsia="zh-CN" w:bidi="ar"/>
              </w:rPr>
              <w:t>平方米</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22"/>
                <w:szCs w:val="22"/>
                <w:u w:val="none"/>
                <w:lang w:val="en-US" w:eastAsia="zh-CN" w:bidi="ar"/>
              </w:rPr>
              <w:t>10.44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20"/>
                <w:szCs w:val="20"/>
                <w:u w:val="none"/>
                <w:lang w:val="en-US" w:eastAsia="zh-CN" w:bidi="ar"/>
              </w:rPr>
              <w:t>独立主控</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支持HDMI 和DVI视频信号输入及HDMI信号LOOP输出；</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输入分辨率：最大1920*1200像素， 支持分辨率任意设置；</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单卡最大带载面积：230万像素，最宽可达4096点，最高可达2560点；</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4个千兆网口输出，支持上下、左右及混合型任意拼接；</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双USB2.0高速通讯接口，用于电脑调试和卡间级联；</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支持多发送器任意拼接级联，严格同步；</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支持亮度和色温调节；</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支持低亮高灰；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支持HDCP；</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20"/>
                <w:szCs w:val="20"/>
                <w:u w:val="none"/>
                <w:lang w:val="en-US" w:eastAsia="zh-CN" w:bidi="ar"/>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20"/>
                <w:szCs w:val="20"/>
                <w:u w:val="none"/>
                <w:lang w:val="en-US" w:eastAsia="zh-CN" w:bidi="ar"/>
              </w:rPr>
              <w:t xml:space="preserve">2 </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20"/>
                <w:szCs w:val="20"/>
                <w:u w:val="none"/>
                <w:lang w:val="en-US" w:eastAsia="zh-CN" w:bidi="ar"/>
              </w:rPr>
              <w:t>图形处理器</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支持多达5路输入接口，包括 1 路 DVI，1 路 HDMI1.3，1 路 VGA，1 路 USB 播放，1 路 CVBS，选配 1 路扩展子卡。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支持窗口位置、大小调整及窗口截取功能。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安装扩展子卡后，在 U 盘播放模式下，支持使用鼠标进行控制和手机电脑无线投（选配）屏。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U 盘文件播放。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 图片文件格式：jpg、jpeg、png 和 bmp。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 视频文件格式：mp4、avi、mpg、mkv、mov、vob 和rvmb。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视频编码：MPEG-1、MPEG-2、MPEG-4、Sorenson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H263、H.264、HEVC（H.265）、RV8/9/10 和 RV40。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音频编码：MPEG-1、MPEG-2（Layer I/II）、AAC-LC、</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HE-AAC、FLAC、PCM 和 Vorbis。</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支持输入源一键切换。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支持外置独立音频。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支持 DVI、HDMI 的输入分辨率预设及自定义调节。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支持画面多种缩放模式。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支持快捷点屏。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支持4个网口输出，≦ 260 万像素。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支持创建 6 个用户场景作为模板保存，可直接调用，方便使用。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支持连接中控设备。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支持屏体参数调整，例如亮度、Gamma 等。 </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20"/>
                <w:szCs w:val="20"/>
                <w:u w:val="none"/>
                <w:lang w:val="en-US" w:eastAsia="zh-CN" w:bidi="ar"/>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20"/>
                <w:szCs w:val="20"/>
                <w:u w:val="none"/>
                <w:lang w:val="en-US" w:eastAsia="zh-CN" w:bidi="ar"/>
              </w:rPr>
              <w:t xml:space="preserve">1 </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20"/>
                <w:szCs w:val="20"/>
                <w:u w:val="none"/>
                <w:lang w:val="en-US" w:eastAsia="zh-CN" w:bidi="ar"/>
              </w:rPr>
              <w:t>大屏控制软件</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1.应具备高性能指标，便于操作。系统都能够将数据、图形、静态图片、动画和记分完全集成。</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2.操作简便的数据模版应适用于任何地点的任何显示屏。能控制所选的显示屏播放完全相同或不同的内容。完全联网的各组件使操作简便灵活，有效减少操作人员的数量。</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 顺序设计使创建文档变得更加简单，能够调节模组亮度、灰度和色彩设置。配置任意尺寸的便携式显示屏根据客户需要创建图像和信息，能应用多种显示效果。</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4.具有显示播放日志管理系统软件和LED全彩电子导向发布系统软件。</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5.具有多语言管理软件和箱体控制软件。</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20"/>
                <w:szCs w:val="20"/>
                <w:u w:val="none"/>
                <w:lang w:val="en-US" w:eastAsia="zh-CN" w:bidi="ar"/>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20"/>
                <w:szCs w:val="20"/>
                <w:u w:val="none"/>
                <w:lang w:val="en-US" w:eastAsia="zh-CN" w:bidi="ar"/>
              </w:rPr>
              <w:t xml:space="preserve">1 </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20"/>
                <w:szCs w:val="20"/>
                <w:u w:val="none"/>
                <w:lang w:val="en-US" w:eastAsia="zh-CN" w:bidi="ar"/>
              </w:rPr>
              <w:t>智能配电柜</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10KW，满足屏体需求；含PLC控制系统；配电柜内应 配备空气开关、漏电保护开关、熔断器、交流接触器、电源防雷器等，配电柜门上应配备旋钮开关和信号指示灯等；配电柜须配备防雷、过压、过流、欠压、短路、断路以及漏电保护措施；配电柜应做防水、防锈、防腐处理。</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20"/>
                <w:szCs w:val="20"/>
                <w:u w:val="none"/>
                <w:lang w:val="en-US" w:eastAsia="zh-CN" w:bidi="ar"/>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20"/>
                <w:szCs w:val="20"/>
                <w:u w:val="none"/>
                <w:lang w:val="en-US" w:eastAsia="zh-CN" w:bidi="ar"/>
              </w:rPr>
              <w:t xml:space="preserve">1 </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20"/>
                <w:szCs w:val="20"/>
                <w:u w:val="none"/>
                <w:lang w:val="en-US" w:eastAsia="zh-CN" w:bidi="ar"/>
              </w:rPr>
              <w:t>钢结构支架</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根据现场环境定制</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20"/>
                <w:szCs w:val="20"/>
                <w:u w:val="none"/>
                <w:lang w:val="en-US" w:eastAsia="zh-CN" w:bidi="ar"/>
              </w:rPr>
              <w:t>平方米</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22"/>
                <w:szCs w:val="22"/>
                <w:u w:val="none"/>
                <w:lang w:val="en-US" w:eastAsia="zh-CN" w:bidi="ar"/>
              </w:rPr>
              <w:t>10.44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20"/>
                <w:szCs w:val="20"/>
                <w:u w:val="none"/>
                <w:lang w:val="en-US" w:eastAsia="zh-CN" w:bidi="ar"/>
              </w:rPr>
              <w:t>不锈钢包边</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根据现场环境定制</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20"/>
                <w:szCs w:val="20"/>
                <w:u w:val="none"/>
                <w:lang w:val="en-US" w:eastAsia="zh-CN" w:bidi="ar"/>
              </w:rPr>
              <w:t>项</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20"/>
                <w:szCs w:val="20"/>
                <w:u w:val="none"/>
                <w:lang w:val="en-US" w:eastAsia="zh-CN" w:bidi="ar"/>
              </w:rPr>
              <w:t xml:space="preserve">1 </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20"/>
                <w:szCs w:val="20"/>
                <w:u w:val="none"/>
                <w:lang w:val="en-US" w:eastAsia="zh-CN" w:bidi="ar"/>
              </w:rPr>
              <w:t>线缆辅材</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根据现场环境定制</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20"/>
                <w:szCs w:val="20"/>
                <w:u w:val="none"/>
                <w:lang w:val="en-US" w:eastAsia="zh-CN" w:bidi="ar"/>
              </w:rPr>
              <w:t>项</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20"/>
                <w:szCs w:val="20"/>
                <w:u w:val="none"/>
                <w:lang w:val="en-US" w:eastAsia="zh-CN" w:bidi="ar"/>
              </w:rPr>
              <w:t xml:space="preserve">1 </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6"/>
                <w:szCs w:val="16"/>
                <w:u w:val="none"/>
                <w:lang w:val="en-US" w:eastAsia="zh-CN" w:bidi="ar"/>
              </w:rPr>
              <w:t>信创国产电脑</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1、品牌要求：国产自主研发品牌，专业图形处理工作站</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2、机型：微塔式机箱</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处理器：处理器采用板载设计，配置1颗国产X86架构CPU，每颗CPU物理核心数≥8核，每颗CPU主频≥2.8GHz，所有核心智能频率可提升至≥3.0GHz，最高加速频率智能频率可提升至≥3.0GHz，每颗CPU三级缓存≥16MB，支持超线程技术，TDP≤90W；</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4、国产处理器证明:提供国产x86处理器原厂证明函，证明函中至少包含芯片内置安全Boot ROM，采用国密算法等内容；</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5、内存:配置不小于8GB DDR4  UDIMM内存，配置≥4个内存插槽，支持单条32GB内存，支持不小于128GB内存容量，支持内存Register ECC校验；</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6、硬盘:配置1块256GB SSD 2.5寸硬盘；</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7、存储扩展:最大支持1个3.5寸和1个2.5寸SAS/SATA/SSD硬盘；主板集成1个PCIe/SATA M.2;</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8、PCI-E扩展:提供4个PCI-E插槽</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9、显卡:实际配置1张 2G独立显卡；（不小于2G）</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10、网卡:板载单口千兆网卡，1000/100M自适应；</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11、接口:提供8个USB3.0接口（不少于8个）</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12、供电系统:配置≤180W静音电源；</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13、键盘鼠标:配置USB原厂键盘鼠标</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14、显示器:配置23.8寸液晶显示器</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6"/>
                <w:szCs w:val="16"/>
                <w:u w:val="none"/>
                <w:lang w:val="en-US" w:eastAsia="zh-CN" w:bidi="ar"/>
              </w:rPr>
              <w:t>台</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6"/>
                <w:szCs w:val="16"/>
                <w:u w:val="none"/>
                <w:lang w:val="en-US" w:eastAsia="zh-CN" w:bidi="ar"/>
              </w:rPr>
              <w:t>11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6"/>
                <w:szCs w:val="16"/>
                <w:u w:val="none"/>
                <w:lang w:val="en-US" w:eastAsia="zh-CN" w:bidi="ar"/>
              </w:rPr>
              <w:t>信创国产电脑操作系统</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银河麒麟系统或统信UOSV2.0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6"/>
                <w:szCs w:val="16"/>
                <w:u w:val="none"/>
                <w:lang w:val="en-US" w:eastAsia="zh-CN" w:bidi="ar"/>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i w:val="0"/>
                <w:iCs w:val="0"/>
                <w:color w:val="auto"/>
                <w:kern w:val="0"/>
                <w:sz w:val="16"/>
                <w:szCs w:val="16"/>
                <w:u w:val="none"/>
                <w:lang w:val="en-US" w:eastAsia="zh-CN" w:bidi="ar"/>
              </w:rPr>
              <w:t>11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信创国产电脑流式软件</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流式软件支持银河麒麟系统、统信UOSV2.0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信创国产电脑杀毒软件</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支持银河麒麟系统、统信UOSV2.0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打印机</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A4激光打印机</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台</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打印机</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针式打印机（财务专用）</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台</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1042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六、病房呼叫系统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序号</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color w:val="auto"/>
                <w:sz w:val="18"/>
                <w:szCs w:val="18"/>
                <w:lang w:val="en-US" w:eastAsia="zh-CN"/>
              </w:rPr>
              <w:t>名称</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基本参数</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color w:val="auto"/>
                <w:sz w:val="18"/>
                <w:szCs w:val="18"/>
                <w:lang w:val="en-US" w:eastAsia="zh-CN"/>
              </w:rPr>
              <w:t>单 位</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color w:val="auto"/>
                <w:sz w:val="18"/>
                <w:szCs w:val="18"/>
                <w:lang w:val="en-US" w:eastAsia="zh-CN"/>
              </w:rPr>
              <w:t>数量</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60路有线对讲看板式主机</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工作电源：220V</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总线工作电压：24V</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系统容量：60门   </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台</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有线走廊双面中文显示主机</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使用电源：DC12/2A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接收频率：315MHZ/433.92MHZ                                                接收灵敏度：大于-112dB  </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台</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有线床头手柄对讲呼叫分机</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1、手柄线长：≥70cm</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通讯方式:有线传输材颜功料:床头呼叫，双工对讲</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台</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有线拉绳卫生间紧急呼叫按扭</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接线长度≥20cm  </w:t>
            </w:r>
          </w:p>
          <w:p>
            <w:pPr>
              <w:keepNext w:val="0"/>
              <w:keepLines w:val="0"/>
              <w:widowControl/>
              <w:numPr>
                <w:ilvl w:val="0"/>
                <w:numId w:val="2"/>
              </w:numPr>
              <w:suppressLineNumbers w:val="0"/>
              <w:ind w:left="0" w:leftChars="0" w:firstLine="0" w:firstLineChars="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通讯方式: 有线传输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3、功能:紧急按钮</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台</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20"/>
                <w:szCs w:val="20"/>
                <w:u w:val="none"/>
                <w:lang w:val="en-US" w:eastAsia="zh-CN" w:bidi="ar"/>
              </w:rPr>
              <w:t>RVV2*1.5</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RVV2*1.5</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20"/>
                <w:szCs w:val="20"/>
                <w:u w:val="none"/>
                <w:lang w:val="en-US" w:eastAsia="zh-CN" w:bidi="ar"/>
              </w:rPr>
              <w:t>m</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20"/>
                <w:szCs w:val="20"/>
                <w:u w:val="none"/>
                <w:lang w:val="en-US" w:eastAsia="zh-CN" w:bidi="ar"/>
              </w:rPr>
              <w:t>6000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1042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七．数字电视系统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序号</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18"/>
                <w:szCs w:val="18"/>
                <w:lang w:val="en-US" w:eastAsia="zh-CN"/>
              </w:rPr>
              <w:t>名称</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color w:val="auto"/>
                <w:sz w:val="18"/>
                <w:szCs w:val="18"/>
                <w:lang w:val="en-US" w:eastAsia="zh-CN"/>
              </w:rPr>
              <w:t>基本参数</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18"/>
                <w:szCs w:val="18"/>
                <w:lang w:val="en-US" w:eastAsia="zh-CN"/>
              </w:rPr>
              <w:t>单 位</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18"/>
                <w:szCs w:val="18"/>
                <w:lang w:val="en-US" w:eastAsia="zh-CN"/>
              </w:rPr>
              <w:t>数量</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20"/>
                <w:szCs w:val="20"/>
                <w:u w:val="none"/>
                <w:lang w:val="en-US" w:eastAsia="zh-CN" w:bidi="ar"/>
              </w:rPr>
              <w:t>单口面板</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86型有线电视面板，含有线电视模块。</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20"/>
                <w:szCs w:val="20"/>
                <w:u w:val="none"/>
                <w:lang w:val="en-US" w:eastAsia="zh-CN" w:bidi="ar"/>
              </w:rPr>
              <w:t>个</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20"/>
                <w:szCs w:val="20"/>
                <w:u w:val="none"/>
                <w:lang w:val="en-US" w:eastAsia="zh-CN" w:bidi="ar"/>
              </w:rPr>
              <w:t>22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20"/>
                <w:szCs w:val="20"/>
                <w:u w:val="none"/>
                <w:lang w:val="en-US" w:eastAsia="zh-CN" w:bidi="ar"/>
              </w:rPr>
              <w:t>入户线</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SYWV75-9</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20"/>
                <w:szCs w:val="20"/>
                <w:u w:val="none"/>
                <w:lang w:val="en-US"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20"/>
                <w:szCs w:val="20"/>
                <w:u w:val="none"/>
                <w:lang w:val="en-US" w:eastAsia="zh-CN" w:bidi="ar"/>
              </w:rPr>
              <w:t>150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20"/>
                <w:szCs w:val="20"/>
                <w:u w:val="none"/>
                <w:lang w:val="en-US" w:eastAsia="zh-CN" w:bidi="ar"/>
              </w:rPr>
              <w:t>入户线</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SYWV75-5</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20"/>
                <w:szCs w:val="20"/>
                <w:u w:val="none"/>
                <w:lang w:val="en-US"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20"/>
                <w:szCs w:val="20"/>
                <w:u w:val="none"/>
                <w:lang w:val="en-US" w:eastAsia="zh-CN" w:bidi="ar"/>
              </w:rPr>
              <w:t>1000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20"/>
                <w:szCs w:val="20"/>
                <w:u w:val="none"/>
                <w:lang w:val="en-US" w:eastAsia="zh-CN" w:bidi="ar"/>
              </w:rPr>
              <w:t>分配器</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外壳屏蔽度：5-1000MHz≥100dB。</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可消除回传强信号对正向信号的干扰。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表面防氧化、不变色。</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20"/>
                <w:szCs w:val="20"/>
                <w:u w:val="none"/>
                <w:lang w:val="en-US"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20"/>
                <w:szCs w:val="20"/>
                <w:u w:val="none"/>
                <w:lang w:val="en-US" w:eastAsia="zh-CN" w:bidi="ar"/>
              </w:rPr>
              <w:t>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20"/>
                <w:szCs w:val="20"/>
                <w:u w:val="none"/>
                <w:lang w:val="en-US" w:eastAsia="zh-CN" w:bidi="ar"/>
              </w:rPr>
              <w:t>光接收机</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光波长1310nm；1550nm。光功率输入范围+2.5- -9.5dB。光连接器：SC/APC或FC/APC。频响±1.5db,接收功率-6 -+0dB时，输出电平≥105dBuV.</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20"/>
                <w:szCs w:val="20"/>
                <w:u w:val="none"/>
                <w:lang w:val="en-US" w:eastAsia="zh-CN" w:bidi="ar"/>
              </w:rPr>
              <w:t>台</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20"/>
                <w:szCs w:val="20"/>
                <w:u w:val="none"/>
                <w:lang w:val="en-US" w:eastAsia="zh-CN" w:bidi="ar"/>
              </w:rPr>
              <w:t>数字电视终端机</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节目内容需包含本地区市级及区县级电视频道。</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20"/>
                <w:szCs w:val="20"/>
                <w:u w:val="none"/>
                <w:lang w:val="en-US" w:eastAsia="zh-CN" w:bidi="ar"/>
              </w:rPr>
              <w:t>台</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20"/>
                <w:szCs w:val="20"/>
                <w:u w:val="none"/>
                <w:lang w:val="en-US" w:eastAsia="zh-CN" w:bidi="ar"/>
              </w:rPr>
              <w:t>22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20"/>
                <w:szCs w:val="20"/>
                <w:u w:val="none"/>
                <w:lang w:val="en-US" w:eastAsia="zh-CN" w:bidi="ar"/>
              </w:rPr>
              <w:t>50寸电视机</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1.屏幕尺寸：50英寸；</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2.屏幕物理分辨率：4K高清；</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3.存储不低于8GB；</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4.CPU: 四核A53；</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5.另配底座、支架</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6.接口类型：HDMI2.0、USB2.0、AV输入、网络接口、数字RF、模拟RF、同轴输出；</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20"/>
                <w:szCs w:val="20"/>
                <w:u w:val="none"/>
                <w:lang w:val="en-US" w:eastAsia="zh-CN" w:bidi="ar"/>
              </w:rPr>
              <w:t>台</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20"/>
                <w:szCs w:val="20"/>
                <w:u w:val="none"/>
                <w:lang w:val="en-US" w:eastAsia="zh-CN" w:bidi="ar"/>
              </w:rPr>
              <w:t>22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20"/>
                <w:szCs w:val="20"/>
                <w:u w:val="none"/>
                <w:lang w:val="en-US" w:eastAsia="zh-CN" w:bidi="ar"/>
              </w:rPr>
              <w:t>辅材</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满足本项目施工、验收及使用要求。</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20"/>
                <w:szCs w:val="20"/>
                <w:u w:val="none"/>
                <w:lang w:val="en-US" w:eastAsia="zh-CN" w:bidi="ar"/>
              </w:rPr>
              <w:t>批</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1042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八、会议系统（示教室）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1042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1.四楼示教室会议扩声系统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序号</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18"/>
                <w:szCs w:val="18"/>
                <w:lang w:val="en-US" w:eastAsia="zh-CN"/>
              </w:rPr>
              <w:t>名称</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基本参数</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18"/>
                <w:szCs w:val="18"/>
                <w:lang w:val="en-US" w:eastAsia="zh-CN"/>
              </w:rPr>
              <w:t>单位</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18"/>
                <w:szCs w:val="18"/>
                <w:lang w:val="en-US" w:eastAsia="zh-CN"/>
              </w:rPr>
              <w:t>数量</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显示屏（85寸）</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操作系统：Android 11/64 位电视系统；</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CPU：四核 A55 主频 MAX 1.9GHz；</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图像处理：8K 解码（8K30P）、AI-SR、杜比 vision；</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扬声器：双单元扬声器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接口配置：USB2.0、USB3.0、HDMI2.1（*2支持部分功能，含 ALLM、eARC）、</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台</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无线话筒（2手持，2鹅颈）</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射频范围：640.00 --690.00MHz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可用带宽：每通道250Hz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调制方式：FM调频</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信道数目：红外线自动对频200信道</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使用温度： 摄氏零下10度到摄氏40度</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偏移度：±45KHz</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动态范围：≥110dB</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音频响应：80Hz-18KHz（±3dB）</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综合信噪比：&gt;105dB</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综合失真：≤0.5%</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频率稳定度：±0.005%（-10~40℃）；</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接收方式：二次变频超外差,双调谐接收</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振荡方式：PLL锁相环</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中频频率：第一中频：110MHz,第二中频：10.7MHz</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天线接口：TNC/50Ω</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灵敏度：12 dBμV （80dB S/N）</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灵敏度调节范围：12-32dB</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杂散抑制:≥75dB</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音频输出：非平衡：+4dB（1.25V）/5KΩ</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         平衡：+10dB（1.5V）/600Ω</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供电电压：DC12V</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供电电流：1000mA</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最大输出电平：+10dBV</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会议发射机技术参数：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防手机信号干扰设计；金属材质方管短杆、鹅颈长杆；</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振荡模式：PLL相位锁定频率合成；</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载波频段：UHF 640-690MHz；</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频率宽度：50MHz；</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频率调整：自动追锁接收机工作频道；</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输出功率：（高）30mW/（低）15mW；</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谐波辐射：＜-55dBC；</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最大偏移度：±45KHz；</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预设频道：200；</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频率响应：60-18,000Hz；</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指向性：超心型指向性；</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感度：-80±3dB；</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输出阻抗：750Ω；</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使用电池：内置可充电18650锂电电池；</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操作显示：高清显示屏同时显示电池容量、频道, 低电压警示以及工作状态；</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可视发射距离：200米</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数字前级效果器</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1.输入通道及插座：3组话筒输入，3路可选音乐信号输入，一组同轴</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2.输出通道及插座：5.1声道XLR公卡侬座（一对主声道，一对环绕，一个中置和一个超低），1组立体声录音输出口；</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3.线路输入阻抗：＞10KΩ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4.话筒输入阻抗：600Ω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5.接口：前面板1个USB接口，后面板1个USB接口，（可扩展为WIFI控制接口）</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6.最大输出：4Vpp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7.音频输入灵敏度:≤500mV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8.频率响应：20Hz-20KHz(-0.5dB)</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9.信噪比：≥90dB  @ 1KHz 0dBu</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10.失真度：≤0.01﹪</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11.通道分离度： ≥45dB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12.电源：220VAC ±10%50Hz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13.电源功率：30W   </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台</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电源时序器</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1.额定输出电压：交流220V，50Hz</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2.额定输出电流：30A</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3.可控制电源：8路</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4.每路动作延时时间：1秒</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5.供电输入电源：AC220V，50HZ</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6.每路输出带指示灯</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台</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专业功放</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1.立体声功率：8Ω200W*2，4Ω350W*2</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2.8Ω桥接功率:600W</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3.信噪比：105dB</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4.转换速率：60V/us</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5.阻尼系数：450：1</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6.THD:0.05%</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7.频率响应：20Hz-20KHz(±0.5dB)</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8.输入灵敏度：0.775V</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9.输入阻抗：10K ohms-20K ohms</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10.面板指示灯:Signal，dctive，clip/limiting</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11.电源：220V，50/60z</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12.电源消耗功率：1500W</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台</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会议音箱（黑色）</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1.频响：75Hz～20kHz</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2.额定阻抗：4Ω</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3.灵敏度：95dB/W/M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4.额定功率：100W</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5.峰值：150W</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6.最大声压级：115dB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7.单元配置：2x6.5寸低音单元；2x3寸高音单元</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8.音箱材质：中纤板</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9.表面处理：黑色点漆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10.音箱铁网：1.2mm多孔铁网內衬布网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11.吊挂配件：顶部吊挂，背部横竖壁挂（默认壁挂）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12.连接方式：2个音箱旋钮铜柱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13.覆盖角度（H×V)：90°×50°可旋转        </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机柜</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12U</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3.5立体声对双莲花线</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3.5立体声对双莲花连接线黑色L=1.5m</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条</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辅材</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6.35单插头、3.5单插头、RCA莲花头、卡农头（公、母）、HDMI高清线、音箱线、音频线、控制线、电源线、管材绝缘胶布等辅材；满足本项目施工、验收及使用要求。</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批</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1042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2.老会议室大屏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序号</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lang w:val="en-US" w:eastAsia="zh-CN"/>
              </w:rPr>
              <w:t>名称</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基本参数</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单位</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数量</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3"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室内小间距主屏</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1.像素点间距≤1.86mm，像素密度≥289051点/㎡</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2.刷新率：≥3840Hz；换帧频率:50&amp;60HZ</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3.维护方式:电源、模组、接收卡，HUB卡全前维护，支持热插拔</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4.显示屏亮度:600-800nits:支持通过配套软件0-100%无级调节；</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5.最大对比度：≥10000:1；</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6.像素失控率： ≤0.000001，无常亮点</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7.亮度均匀性：≥98%；色域覆盖率：≥120%</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8.可视视角：水平视角≥170°，垂直视角≥170°</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9.驱动方式：恒流驱动；显示屏色度均匀性:偏差在±0.003Cx，Cy之内</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10.功耗（W/㎡）:峰值功耗:600、平均功耗:200</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11.像素中心距偏差：&lt;3%</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12.色温:2000K-10000K可调;调节步长100K</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13.低灰高亮：100%亮度时，16bit灰度;70%亮度时，16 bit 灰度;50%亮度时，16 bit 灰度;20%亮度时，15bit灰度</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14.自动GAMMA 校正技术，通过构造非线性校正曲线和色坐标系数矩阵实现了显示效果的不断改善，如色彩还原性、色温调节范围、亮度均匀性、色度均匀性、刷新率、换帧频率等</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15.供电方式:模组采用4.5-5.0VDC供电,搭配定制3C电源,具备PFC 电源</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16.需采用多层PCB设计，一体化驱动控制，PCB表面沉金处理，采用抗消隐设计，无“毛毛虫”“鬼影”跟随现象</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17.显示效果无失真:LED显示屏正常工作时显示画面无几何失真和非线性失真</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18.系统和电源双备份：信号环路备份，双路开关电源备份</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19.故障智能自诊断及排查：具备故障自诊断及排查功能</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20.PFC 电源:电源采用110-220V宽电压，适应电网电压更广，电源功率因数≥0.95，转换效率88%</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21.色度校正:支持多bin色度校正，校正数据存储在模组里采用色彩管理系统，在LED控制系统对视频解码后，添加二次过滤显示算法，对显示屏每一个发光二极管进行逐点14位颜色校正</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22.工作状态监测功能:具有监控LED显示屏工作状态、温度，具有故障报警功能;具有工作电压、接收卡等工作状态监控功能</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23.视觉舒适度:人眼视觉健康舒适度VICO指数达到1级(CSA0352-2017LED昭明产品视觉健康舒适度测试第2部分:测试方法-基于人眼生理功能的测试方法及技术要求)</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24.阻燃测试:PCB阻燃等级达到UL94V-0级。</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25.振动测试:振动方式:正弦振动振动频率:10Hz-55Hz-10Hz</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振动幅度:035mm扫频速率:1oct/min每个方向各扫描5次，共3个方向判定标准:试验后主机外观和结构不应有明显损坏和异常现象，重新一日性能应正常。</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26.寿命典型值&gt;100000小时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27.蓝光测试：光辐射通过蓝光视网膜等级检测，符合肉眼观看标准;对皮肤表面及眼睛角膜和视网膜无直接伤害;红绿蓝三色的宽波段光源对皮肤及人眼直接观看无伤害，无紫外危害。</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平方米</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2"/>
                <w:szCs w:val="22"/>
                <w:u w:val="none"/>
                <w:lang w:val="en-US" w:eastAsia="zh-CN" w:bidi="ar"/>
              </w:rPr>
              <w:t>7.29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独立主控</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支持HDMI 和DVI视频信号输入及HDMI信号LOOP输出；</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输入分辨率：最大1920*1200像素， 支持分辨率任意设置；</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单卡最大带载面积：230万像素，最宽可达4096点，最高可达2560点；4个千兆网口输出，支持上下、左右及混合型任意拼接；双USB2.0高速通讯接口，用于电脑调试和卡间级联；支持多发送器任意拼接级联，严格同步；支持亮度和色温调节；支持低亮高灰；支持HDCP</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2 </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图形处理器</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支持多达 5 路输入接口，包括 1 路 DVI，1 路 HDMI1.3，1 路 VGA，1 路 USB 播放，1 路 CVBS，选配 1 路扩展子卡。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支持窗口位置、大小调整及窗口截取功能。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安装扩展子卡后，在 U 盘播放模式下，支持使用鼠标进行控制和手机电脑无线投（选配）屏。</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U 盘文件播放。 </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1 </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大屏控制软件</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1.应具备高性能指标，便于操作。系统都能够将数据、图形、静态图片、动画和记分完全集成。</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2.操作简便的数据模版可适用于任何地点的任何显示屏。能控制所选的显示屏播放完全相同或不同的内容。完全联网的各组件使操作简便灵活，有效减少操作人员的数量。</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 顺序设计使创建文档变得更加简单，能够调节模组亮度、灰度和色彩设置。配置任意尺寸的便携式显示屏根据客户需要创建图像和信息，能应用多种显示效果。</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4.具有显示播放日志管理系统软件和LED全彩电子导向发布系统软件。</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5.具有多语言管理软件和箱体控制软件。</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1 </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智能配电柜</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10KW，满足屏体需求；含PLC控制系统；配电柜内应 配备空气开关、漏电保护开关、熔断器、交流接触器、电源防雷器等，配电柜门上应配备旋钮开关和信号指示灯等；配电柜须配备防雷、过压、过流、欠压、短路、断路以及漏电保护措施；配电柜应做防水、防锈、防腐处理.</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 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钢结构支架</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根据现场环境定制</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平方米</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2"/>
                <w:szCs w:val="22"/>
                <w:u w:val="none"/>
                <w:lang w:val="en-US" w:eastAsia="zh-CN" w:bidi="ar"/>
              </w:rPr>
              <w:t>7.3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不锈钢包边</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根据现场环境定制</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 项</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线缆辅材</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根据现场环境定制</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项 </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1042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九．应急广播系统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1042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1.主控设备（放置于广播室）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序号</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18"/>
                <w:szCs w:val="18"/>
                <w:lang w:val="en-US" w:eastAsia="zh-CN"/>
              </w:rPr>
              <w:t>名称</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基本参数</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单位</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数量</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网络控制主机</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1.1路话筒输入，1路线路输入，1路线路输出</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2.VGA接口可外接显示设备</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3.电源：AC 220V</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4.功耗：不大于230W</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台</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网络广播系统软件【简称：网络广播】V1.0</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1.支持方案任务以Excel表格导出导入功能；</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2.即时显示各类终端运行状态，如登录IP地址、音量、任务状态，可远程调节所有终端音量；</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3.配置各类终端参数：终端名称、广播权限（操作范围、优先级)、对讲权限（呼叫范围、优先级)、监听权限（监听范围）等；</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4.具有实时采播和定时采播功能，可通过声卡向指定终端广播音乐或通知；</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5.文件广播，将服务器中音频文件，向指定终端播放（支持任意多路文件同时广播）；</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6.定时任务，在设定的时间，向预设的终端播放文件列表内容；</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7.消防广播，当服务器收到终端的触发信号，向指定区域的终端播放紧急疏散语音；</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8.节目管理，维护系统所需的广播音频文件，便于工作站或终端调用；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9.为工作站软件提供数据接口，根据账户授予相应操作权限；</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10.日志功能，每次呼叫、通话和广播操作均有记录供查询；</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11.单台服务器容量最多支持8000台终端。如果采用单播模式，单任务采播，打铃最多支持2000台；如果采用组播模式，最多支持8000台。支持多台服务器互联；</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12.支持主服务器和备用服务器热切换，提升系统可靠性；</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13.文字转语音功能，能将文字信息自动转成语音，然后广播出去，支持将文字转换成MP3文件，支持定时任务；</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14.支持兼容第三方监控用的摄像头；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15.支持音柱的远程参数配置及MP3节目的远程下载，更新；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16.支持终端点播服务器中的节目，能快进,快退，还能设置指定区域进行循环播放；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17.支持语音识别功能，简单喊指令，自动执行；  </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网络音箱</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1.输出功率：15W*2(可外接1个15W副箱，整体功率达到30W）</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2.网络通讯协议：TCP、UDP、ARP、ICMP、IGMP</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3.输入电源：AC220V/50Hz</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4.消耗功耗：≤40W</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台</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网络寻呼话筒</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1.输入电源：DC12V/1A；</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2.网络接口：RJ45；</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3.网络通讯协议：TCP、UDP；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4.内置喇叭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5.接口：网口，线路输入，线路输出，串口；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6.采样率：8K～44KHz；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7.传输速率：10/100Mbps；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8.频率响应：20Hz～16KHz；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9.谐波失真：≤0.5%；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10.信噪比：≥70dB；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11.工作温度：-10℃～+55℃；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12.工作湿度：10%～90%；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13.功耗：≤20W；                                                                                                                         </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台</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广播话筒</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1.换能方式: 电容式</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2.频率响应：40Hz-16KHz</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3.指向性:心型指向</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4.输出阻抗（阻抗）:200Ω</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5.灵敏度: -38dB±2dB</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6.供电电压(V): DC9V/AC220V</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7.带前凑音(开启时，有前奏音乐放出)，灯环提示</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8.咪管长度：420mm</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9.咪线长度、配置：10米单芯、卡龙母+6.35单声道插嘴</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10.单支话筒重量：0.67KG</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11.输出、指示：不平衡、座灯、管灯</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12.抗手机、电磁、高频干扰</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播放器</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1.电源: AC 220-240V/50-60Hz</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2.功耗: 30W</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台</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网络终端</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1.网络通讯协议：TCP、UDP</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2.MIC输入：600Ω，2.5mV，非平衡</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3.EMC输入：10KΩ，250mV，非平衡</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4.AUX输入：10KΩ，250mV，非平衡</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5.标准输出：0dB</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6.频响：20Hz-20KHz，线路输入</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7.信噪比：MIC input：73dB，AUX input ：73dB</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8.音调：Bass：±10dB at 100Hz，Treble：±10dB at 12KHz</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9.默音功能：EMC输入覆盖其他输入</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10.电源: AC 220-240V/50-60Hz</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11.功耗: 25W</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台</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电源时序器</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1.电源: AC 220-240V/50-60Hz</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2.功耗: 50W</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台</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消防语音网络广播主机</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1.电源：AC 220V</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2.功耗：≤15W</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3.网络通讯协议：TCP、UDP</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台</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IP广播分控软件</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1.即时显示各类终端运行状态，如登录IP地址、音量、任务状态，可远程调节所有终端音量；</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2.实时采播，可通过声卡向指定终端广播音乐或通知；</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3.定时任务，在设定的时间，向预设的终端播放文件列表内容；</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4.节目管理，维护系统所需的广播音频文件，便于工作站或终端调用。</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网络功放</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1.辅助输出：大于700mV</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2.输入：MIC1、2:10mV， AUX1、2、3:600mV</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3.频响：100HZ－16KHZ</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4.总谐波失真：小于1%</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5.噪音比：AUX1、2、3:70dB</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6.音量调节：低音:±10dB（100Hz），高音: ±10dB（10KHz）</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7.保护：直流输出 过载</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8.默音功能：MIC1 输入覆盖其他输入</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9.网络通讯协议：TCP、UDP</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10.电源：AC 220V/50-60Hz</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11.功耗：250W</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台</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天花喇叭</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1.额定功率：3W/6W</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2.输入电压：70V/100V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3.频率响应：80-16KHz</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4.接线：黑（com）-红（100V）                                                                                                                        </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台</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信创国产电脑</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1、品牌要求：国产自主研发品牌，专业图形处理工作站</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2、机型：微塔式机箱</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处理器：处理器采用板载设计，配置1颗国产X86架构CPU，每颗CPU物理核心数≥8核，每颗CPU主频≥2.8GHz，所有核心智能频率可提升至≥3.0GHz，最高加速频率智能频率可提升至≥3.0GHz，每颗CPU三级缓存≥16MB，支持超线程技术，TDP≤90W；</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4、国产处理器证明:提供国产x86处理器原厂证明函，证明函中至少包含芯片内置安</w:t>
            </w:r>
            <w:r>
              <w:rPr>
                <w:rFonts w:hint="eastAsia" w:ascii="宋体" w:hAnsi="宋体" w:eastAsia="宋体" w:cs="宋体"/>
                <w:i w:val="0"/>
                <w:iCs w:val="0"/>
                <w:color w:val="auto"/>
                <w:kern w:val="0"/>
                <w:sz w:val="18"/>
                <w:szCs w:val="18"/>
                <w:highlight w:val="none"/>
                <w:u w:val="none"/>
                <w:lang w:val="en-US" w:eastAsia="zh-CN" w:bidi="ar"/>
              </w:rPr>
              <w:t>全Boot ROM，采用国密算法等内容；</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5、内存:配置不小于8GB DDR4  UDIMM内存，配置≥4个内存插槽，支持单条32GB内存，最大支持128GB内存容量，支持内存Register ECC校验；</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6、硬盘:配置1块256GB SSD 2.5寸 硬盘；</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7、存储扩展:最大支持1个3.5寸和1个2.5寸SAS/SATA/SSD硬盘；主板集成1个PCIe/SATA M.2;</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8、PCI-E扩展:提供4个PCI-E插槽</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9、显卡:实际配置1张 2G独立显卡；（不小于2G）</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10、网卡:板载单口千兆网卡，1000/100M自适应；</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11、接口:提供8个USB3.0接口（不少于8个）</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12、供电系统:配置≤180W静音电源；</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13、键盘鼠标:配置USB原厂键盘鼠标</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14、显示器:配置23.8寸液晶显示器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15、操作系统:支持银河麒麟、UOS等国产桌面操作系统及Windows10，Ubuntu等国外主流操作系统。</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台</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信创国产电脑操作系统</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银河麒麟系统或统信UOSV2.0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信创国产电脑流式软件 </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流式软件支持银河麒麟系统、统信UOSV2.0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信创国产电脑杀毒软件</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支持银河麒麟系统、统信UOSV2.0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机柜</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600*W600*H2000(mm)</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台</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网络交换机</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提供8个千兆电口，2个千兆光口；</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台</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音控器</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1.功率：30W；</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2.输入：70V/100V</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3.材质：塑料外壳</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个</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jc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辅材</w:t>
            </w:r>
          </w:p>
        </w:tc>
        <w:tc>
          <w:tcPr>
            <w:tcW w:w="6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满足本项目施工、验收及使用要求。</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批</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1042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十、弱电管道系统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042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室内管网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序号</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lang w:val="en-US" w:eastAsia="zh-CN"/>
              </w:rPr>
              <w:t>名称</w:t>
            </w:r>
          </w:p>
        </w:tc>
        <w:tc>
          <w:tcPr>
            <w:tcW w:w="629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基本参数</w:t>
            </w:r>
          </w:p>
        </w:tc>
        <w:tc>
          <w:tcPr>
            <w:tcW w:w="719"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单位</w:t>
            </w:r>
          </w:p>
        </w:tc>
        <w:tc>
          <w:tcPr>
            <w:tcW w:w="849"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数量</w:t>
            </w:r>
          </w:p>
        </w:tc>
        <w:tc>
          <w:tcPr>
            <w:tcW w:w="65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20"/>
                <w:szCs w:val="20"/>
                <w:u w:val="none"/>
                <w:lang w:val="en-US" w:eastAsia="zh-CN" w:bidi="ar"/>
              </w:rPr>
              <w:t>弱电井桥架</w:t>
            </w:r>
          </w:p>
        </w:tc>
        <w:tc>
          <w:tcPr>
            <w:tcW w:w="629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300*100静电喷塑桥架,钢板厚不小于1.2mm，颜色与原有桥架一致</w:t>
            </w:r>
          </w:p>
        </w:tc>
        <w:tc>
          <w:tcPr>
            <w:tcW w:w="719"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米</w:t>
            </w:r>
          </w:p>
        </w:tc>
        <w:tc>
          <w:tcPr>
            <w:tcW w:w="849"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100</w:t>
            </w:r>
          </w:p>
        </w:tc>
        <w:tc>
          <w:tcPr>
            <w:tcW w:w="65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20"/>
                <w:szCs w:val="20"/>
                <w:u w:val="none"/>
                <w:lang w:val="en-US" w:eastAsia="zh-CN" w:bidi="ar"/>
              </w:rPr>
              <w:t>桥架配套附件</w:t>
            </w:r>
          </w:p>
        </w:tc>
        <w:tc>
          <w:tcPr>
            <w:tcW w:w="629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配套300*100桥架弯头、三通及相关接地线</w:t>
            </w:r>
          </w:p>
        </w:tc>
        <w:tc>
          <w:tcPr>
            <w:tcW w:w="719"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批</w:t>
            </w:r>
          </w:p>
        </w:tc>
        <w:tc>
          <w:tcPr>
            <w:tcW w:w="849"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65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20"/>
                <w:szCs w:val="20"/>
                <w:u w:val="none"/>
                <w:lang w:val="en-US" w:eastAsia="zh-CN" w:bidi="ar"/>
              </w:rPr>
              <w:t>室内走道桥架</w:t>
            </w:r>
          </w:p>
        </w:tc>
        <w:tc>
          <w:tcPr>
            <w:tcW w:w="629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200*100静电喷塑桥架,钢板厚不小于1.2mm，颜色与原有桥架一致</w:t>
            </w:r>
          </w:p>
        </w:tc>
        <w:tc>
          <w:tcPr>
            <w:tcW w:w="719"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米</w:t>
            </w:r>
          </w:p>
        </w:tc>
        <w:tc>
          <w:tcPr>
            <w:tcW w:w="849"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500</w:t>
            </w:r>
          </w:p>
        </w:tc>
        <w:tc>
          <w:tcPr>
            <w:tcW w:w="65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20"/>
                <w:szCs w:val="20"/>
                <w:u w:val="none"/>
                <w:lang w:val="en-US" w:eastAsia="zh-CN" w:bidi="ar"/>
              </w:rPr>
              <w:t>桥架配套附件</w:t>
            </w:r>
          </w:p>
        </w:tc>
        <w:tc>
          <w:tcPr>
            <w:tcW w:w="629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配套200*150桥架弯头、三通、四通及相关接地线</w:t>
            </w:r>
          </w:p>
        </w:tc>
        <w:tc>
          <w:tcPr>
            <w:tcW w:w="719"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批</w:t>
            </w:r>
          </w:p>
        </w:tc>
        <w:tc>
          <w:tcPr>
            <w:tcW w:w="849"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65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20"/>
                <w:szCs w:val="20"/>
                <w:u w:val="none"/>
                <w:lang w:val="en-US" w:eastAsia="zh-CN" w:bidi="ar"/>
              </w:rPr>
              <w:t>室内走道桥架铺设</w:t>
            </w:r>
          </w:p>
        </w:tc>
        <w:tc>
          <w:tcPr>
            <w:tcW w:w="629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桥架安装</w:t>
            </w:r>
          </w:p>
        </w:tc>
        <w:tc>
          <w:tcPr>
            <w:tcW w:w="719"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米</w:t>
            </w:r>
          </w:p>
        </w:tc>
        <w:tc>
          <w:tcPr>
            <w:tcW w:w="849"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500</w:t>
            </w:r>
          </w:p>
        </w:tc>
        <w:tc>
          <w:tcPr>
            <w:tcW w:w="65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20"/>
                <w:szCs w:val="20"/>
                <w:u w:val="none"/>
                <w:lang w:val="en-US" w:eastAsia="zh-CN" w:bidi="ar"/>
              </w:rPr>
              <w:t>PVC管</w:t>
            </w:r>
          </w:p>
        </w:tc>
        <w:tc>
          <w:tcPr>
            <w:tcW w:w="629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∮20 PVC管</w:t>
            </w:r>
          </w:p>
        </w:tc>
        <w:tc>
          <w:tcPr>
            <w:tcW w:w="719"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米</w:t>
            </w:r>
          </w:p>
        </w:tc>
        <w:tc>
          <w:tcPr>
            <w:tcW w:w="849"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2500</w:t>
            </w:r>
          </w:p>
        </w:tc>
        <w:tc>
          <w:tcPr>
            <w:tcW w:w="65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20"/>
                <w:szCs w:val="20"/>
                <w:u w:val="none"/>
                <w:lang w:val="en-US" w:eastAsia="zh-CN" w:bidi="ar"/>
              </w:rPr>
              <w:t>PVC管</w:t>
            </w:r>
          </w:p>
        </w:tc>
        <w:tc>
          <w:tcPr>
            <w:tcW w:w="629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∮25 PVC管</w:t>
            </w:r>
          </w:p>
        </w:tc>
        <w:tc>
          <w:tcPr>
            <w:tcW w:w="719"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米</w:t>
            </w:r>
          </w:p>
        </w:tc>
        <w:tc>
          <w:tcPr>
            <w:tcW w:w="849"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2500</w:t>
            </w:r>
          </w:p>
        </w:tc>
        <w:tc>
          <w:tcPr>
            <w:tcW w:w="65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20"/>
                <w:szCs w:val="20"/>
                <w:u w:val="none"/>
                <w:lang w:val="en-US" w:eastAsia="zh-CN" w:bidi="ar"/>
              </w:rPr>
              <w:t>PVC成品构件</w:t>
            </w:r>
          </w:p>
        </w:tc>
        <w:tc>
          <w:tcPr>
            <w:tcW w:w="629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PVC成品构件、直节、锁母、套接件等</w:t>
            </w:r>
          </w:p>
        </w:tc>
        <w:tc>
          <w:tcPr>
            <w:tcW w:w="719"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批</w:t>
            </w:r>
          </w:p>
        </w:tc>
        <w:tc>
          <w:tcPr>
            <w:tcW w:w="849"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65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20"/>
                <w:szCs w:val="20"/>
                <w:u w:val="none"/>
                <w:lang w:val="en-US" w:eastAsia="zh-CN" w:bidi="ar"/>
              </w:rPr>
              <w:t>辅材</w:t>
            </w:r>
          </w:p>
        </w:tc>
        <w:tc>
          <w:tcPr>
            <w:tcW w:w="629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86型暗盒/水泥/黄沙/螺丝/线标/胶带/膨胀管等所有材料（所提供材料符合国标)</w:t>
            </w:r>
          </w:p>
        </w:tc>
        <w:tc>
          <w:tcPr>
            <w:tcW w:w="719"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批</w:t>
            </w:r>
          </w:p>
        </w:tc>
        <w:tc>
          <w:tcPr>
            <w:tcW w:w="849"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65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20"/>
                <w:szCs w:val="20"/>
                <w:u w:val="none"/>
                <w:lang w:val="en-US" w:eastAsia="zh-CN" w:bidi="ar"/>
              </w:rPr>
              <w:t>墙面开孔</w:t>
            </w:r>
          </w:p>
        </w:tc>
        <w:tc>
          <w:tcPr>
            <w:tcW w:w="629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楼层开孔/墙面开孔/孔洞修复/垃圾运输等等</w:t>
            </w:r>
          </w:p>
        </w:tc>
        <w:tc>
          <w:tcPr>
            <w:tcW w:w="719"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项</w:t>
            </w:r>
          </w:p>
        </w:tc>
        <w:tc>
          <w:tcPr>
            <w:tcW w:w="849"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65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20"/>
                <w:szCs w:val="20"/>
                <w:u w:val="none"/>
                <w:lang w:val="en-US" w:eastAsia="zh-CN" w:bidi="ar"/>
              </w:rPr>
              <w:t>管道铺设</w:t>
            </w:r>
          </w:p>
        </w:tc>
        <w:tc>
          <w:tcPr>
            <w:tcW w:w="629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墙面开槽、PVC管铺设</w:t>
            </w:r>
          </w:p>
        </w:tc>
        <w:tc>
          <w:tcPr>
            <w:tcW w:w="719"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米</w:t>
            </w:r>
          </w:p>
        </w:tc>
        <w:tc>
          <w:tcPr>
            <w:tcW w:w="849"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5000</w:t>
            </w:r>
          </w:p>
        </w:tc>
        <w:tc>
          <w:tcPr>
            <w:tcW w:w="65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p>
        </w:tc>
      </w:tr>
    </w:tbl>
    <w:p>
      <w:pPr>
        <w:pStyle w:val="3"/>
        <w:spacing w:line="360" w:lineRule="auto"/>
        <w:ind w:right="-92" w:rightChars="-44"/>
        <w:jc w:val="center"/>
        <w:rPr>
          <w:rFonts w:hint="eastAsia" w:ascii="宋体" w:hAnsi="宋体" w:eastAsia="宋体" w:cs="宋体"/>
          <w:b/>
          <w:bCs/>
          <w:color w:val="000000"/>
          <w:sz w:val="44"/>
          <w:szCs w:val="44"/>
        </w:rPr>
      </w:pPr>
    </w:p>
    <w:p>
      <w:pPr>
        <w:rPr>
          <w:rFonts w:hint="eastAsia" w:ascii="宋体" w:hAnsi="宋体" w:eastAsia="宋体" w:cs="宋体"/>
          <w:b/>
          <w:bCs/>
          <w:color w:val="000000"/>
          <w:sz w:val="44"/>
          <w:szCs w:val="44"/>
        </w:rPr>
      </w:pPr>
    </w:p>
    <w:p>
      <w:pPr>
        <w:pStyle w:val="2"/>
        <w:rPr>
          <w:rFonts w:hint="eastAsia" w:ascii="宋体" w:hAnsi="宋体" w:eastAsia="宋体" w:cs="宋体"/>
          <w:b/>
          <w:bCs/>
          <w:color w:val="000000"/>
          <w:sz w:val="44"/>
          <w:szCs w:val="44"/>
        </w:rPr>
      </w:pPr>
    </w:p>
    <w:p>
      <w:pPr>
        <w:rPr>
          <w:rFonts w:hint="eastAsia" w:ascii="宋体" w:hAnsi="宋体" w:eastAsia="宋体" w:cs="宋体"/>
          <w:b/>
          <w:bCs/>
          <w:color w:val="000000"/>
          <w:sz w:val="44"/>
          <w:szCs w:val="44"/>
        </w:rPr>
      </w:pPr>
    </w:p>
    <w:p>
      <w:pPr>
        <w:pStyle w:val="2"/>
        <w:rPr>
          <w:rFonts w:hint="eastAsia" w:ascii="宋体" w:hAnsi="宋体" w:eastAsia="宋体" w:cs="宋体"/>
          <w:b/>
          <w:bCs/>
          <w:color w:val="000000"/>
          <w:sz w:val="44"/>
          <w:szCs w:val="44"/>
        </w:rPr>
      </w:pPr>
    </w:p>
    <w:p>
      <w:pPr>
        <w:rPr>
          <w:rFonts w:hint="eastAsia"/>
        </w:rPr>
      </w:pPr>
    </w:p>
    <w:p>
      <w:pPr>
        <w:pStyle w:val="2"/>
        <w:rPr>
          <w:rFonts w:hint="eastAsia" w:ascii="宋体" w:hAnsi="宋体" w:eastAsia="宋体" w:cs="宋体"/>
          <w:b/>
          <w:bCs/>
          <w:color w:val="000000"/>
          <w:sz w:val="44"/>
          <w:szCs w:val="44"/>
        </w:rPr>
      </w:pPr>
    </w:p>
    <w:p>
      <w:pPr>
        <w:rPr>
          <w:rFonts w:hint="eastAsia" w:ascii="宋体" w:hAnsi="宋体" w:eastAsia="宋体" w:cs="宋体"/>
          <w:b/>
          <w:bCs/>
          <w:color w:val="000000"/>
          <w:sz w:val="44"/>
          <w:szCs w:val="44"/>
        </w:rPr>
      </w:pPr>
    </w:p>
    <w:p>
      <w:pPr>
        <w:bidi w:val="0"/>
        <w:jc w:val="center"/>
        <w:rPr>
          <w:rFonts w:hint="eastAsia"/>
          <w:sz w:val="32"/>
          <w:szCs w:val="36"/>
        </w:rPr>
      </w:pPr>
      <w:r>
        <w:rPr>
          <w:rFonts w:hint="eastAsia"/>
          <w:sz w:val="32"/>
          <w:szCs w:val="36"/>
        </w:rPr>
        <w:t>第五章 定标原则与评标标准</w:t>
      </w:r>
    </w:p>
    <w:p>
      <w:pPr>
        <w:snapToGrid w:val="0"/>
        <w:spacing w:line="52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一、定标原则</w:t>
      </w:r>
    </w:p>
    <w:p>
      <w:pPr>
        <w:pStyle w:val="2"/>
        <w:rPr>
          <w:rFonts w:hint="eastAsia"/>
        </w:rPr>
      </w:pPr>
    </w:p>
    <w:p>
      <w:pPr>
        <w:spacing w:line="460" w:lineRule="exact"/>
        <w:ind w:firstLine="480" w:firstLineChars="200"/>
        <w:rPr>
          <w:rFonts w:hint="eastAsia" w:ascii="宋体" w:hAnsi="宋体" w:eastAsia="宋体" w:cs="宋体"/>
          <w:sz w:val="24"/>
        </w:rPr>
      </w:pPr>
      <w:bookmarkStart w:id="50" w:name="_Toc10088"/>
      <w:bookmarkStart w:id="51" w:name="_Toc397928602"/>
      <w:bookmarkStart w:id="52" w:name="_Toc184635094"/>
      <w:bookmarkStart w:id="53" w:name="_Toc448306458"/>
      <w:r>
        <w:rPr>
          <w:rFonts w:hint="eastAsia" w:ascii="宋体" w:hAnsi="宋体" w:eastAsia="宋体" w:cs="宋体"/>
          <w:sz w:val="24"/>
        </w:rPr>
        <w:t>本项目采用最低评标价法，是指投标文件满足招标文件全部实质性要求，且投标报价最低的投标人为中标候选人的评标方法。</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采用最低评标价法的，评标结果按投标报价由低到高顺序排列。投标报价相同的并列。投标文件满足招标文件全部实质性要求且投标报价最低的投标人为排名第一的中标候选人。中标候选人并列的，由采购人或者采购人委托评标委员会按照招标文件规定的方式确定中标人；招标文件未规定的，采取随机抽取的方式确定。本项目选取1名中标候选人。</w:t>
      </w:r>
    </w:p>
    <w:p>
      <w:pPr>
        <w:spacing w:line="460" w:lineRule="exact"/>
        <w:rPr>
          <w:rFonts w:hint="eastAsia" w:ascii="宋体" w:hAnsi="宋体" w:eastAsia="宋体" w:cs="宋体"/>
          <w:sz w:val="24"/>
        </w:rPr>
      </w:pPr>
      <w:r>
        <w:rPr>
          <w:rFonts w:hint="eastAsia" w:ascii="宋体" w:hAnsi="宋体" w:eastAsia="宋体" w:cs="宋体"/>
          <w:sz w:val="24"/>
        </w:rPr>
        <w:t>1.1政府采购政策功能落实</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1.1.1小微型企业价格扣除</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（1）本项目对小型和微型企业产品给予20%的扣除价格，用扣除后的价格参与评审。</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（2）供应商需按照采购文件的要求提供相应的《企业声明函》。</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（3）企业标准请参照《关于印发中小企业划型标准规定的通知》（工信部联企业[2011]300号）文件规定自行填写。</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（4）在货物采购项目中，供应商提供的货物既有中小企业制造货物，也有大型企业制造货物的，不享受本办法规定的中小企业扶持政策。</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1.1.2残疾人福利单位价格扣除</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（1）本项目对残疾人福利性单位视同小型、微型企业，给予20%的价格扣除，用扣除后的价格参与评审。</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（2）残疾人福利单位需按照采购文件的要求提供《残疾人福利性单位声明函》。</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（3）残疾人福利单位标准请参照《关于促进残疾人就业政府采购政策的通知》（财库〔2017〕141号）。</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1.1.3监狱和戒毒企业价格扣除</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（1）本项目对监狱和戒毒企业（简称监狱企业）视同小型、微型企业，给予20%的价格扣除，用扣除后的价格参与评审。</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（2）监狱企业参加政府采购活动时，需提供由省级以上监狱管理局、戒毒管理局(含新疆生产建设兵团)出具的属于监狱企业的证明文件。供应商如不提供上述证明文件，价格将不做相应扣除。</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（3）监狱企业标准请参照《关于政府采购支持监狱企业发展有关问题的通知》（财库[2014]68号）。</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1.1.4残疾人福利单位、监狱企业属于小型、微型企业的，不重复享受政策。</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1.1.5符合本采购文件优先采购 “环境标志产品”或“节能产品”的；必须提供“环境标志产品”或“节能产品”证明，否则不予认可。</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环境标志产品是指列入财政部、环境保护部最新公布的《环境标志产品政府采购清单》内的产品；节能产品是指列入财政部、国家发改委最新公布的《节能产品政府采购清单》内的产品。鼓励节能及环保政策以投标（响应）主要（核心）产品（品牌）为准。</w:t>
      </w:r>
    </w:p>
    <w:bookmarkEnd w:id="50"/>
    <w:bookmarkEnd w:id="51"/>
    <w:bookmarkEnd w:id="52"/>
    <w:bookmarkEnd w:id="53"/>
    <w:p>
      <w:pPr>
        <w:pStyle w:val="4"/>
        <w:spacing w:before="0" w:after="0" w:line="460" w:lineRule="exact"/>
        <w:ind w:firstLine="482" w:firstLineChars="200"/>
        <w:rPr>
          <w:rFonts w:hint="eastAsia" w:ascii="宋体" w:hAnsi="宋体" w:eastAsia="宋体" w:cs="宋体"/>
          <w:sz w:val="24"/>
          <w:szCs w:val="24"/>
        </w:rPr>
      </w:pPr>
      <w:r>
        <w:rPr>
          <w:rFonts w:hint="eastAsia" w:ascii="宋体" w:hAnsi="宋体" w:eastAsia="宋体" w:cs="宋体"/>
          <w:sz w:val="24"/>
          <w:szCs w:val="24"/>
        </w:rPr>
        <w:t>2.评审标准</w:t>
      </w:r>
    </w:p>
    <w:p>
      <w:pPr>
        <w:spacing w:line="460" w:lineRule="exact"/>
        <w:ind w:firstLine="482" w:firstLineChars="200"/>
        <w:rPr>
          <w:rFonts w:hint="eastAsia" w:ascii="宋体" w:hAnsi="宋体" w:eastAsia="宋体" w:cs="宋体"/>
          <w:sz w:val="24"/>
        </w:rPr>
      </w:pPr>
      <w:r>
        <w:rPr>
          <w:rFonts w:hint="eastAsia" w:ascii="宋体" w:hAnsi="宋体" w:eastAsia="宋体" w:cs="宋体"/>
          <w:b/>
          <w:bCs/>
          <w:sz w:val="24"/>
        </w:rPr>
        <w:t>2.1 初步评审</w:t>
      </w:r>
    </w:p>
    <w:p>
      <w:pPr>
        <w:spacing w:line="480" w:lineRule="exact"/>
        <w:ind w:firstLine="482" w:firstLineChars="200"/>
        <w:rPr>
          <w:rFonts w:hint="eastAsia" w:ascii="宋体" w:hAnsi="宋体" w:eastAsia="宋体" w:cs="宋体"/>
          <w:b/>
          <w:sz w:val="24"/>
        </w:rPr>
      </w:pPr>
      <w:r>
        <w:rPr>
          <w:rFonts w:hint="eastAsia" w:ascii="宋体" w:hAnsi="宋体" w:eastAsia="宋体" w:cs="宋体"/>
          <w:b/>
          <w:sz w:val="24"/>
        </w:rPr>
        <w:t>2.1.1形式评审标准</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对投标文件的有效性、完整性进行评审。</w:t>
      </w:r>
    </w:p>
    <w:tbl>
      <w:tblPr>
        <w:tblStyle w:val="18"/>
        <w:tblW w:w="99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512"/>
        <w:gridCol w:w="6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512" w:type="dxa"/>
            <w:tcBorders>
              <w:top w:val="single" w:color="auto" w:sz="4" w:space="0"/>
              <w:left w:val="single" w:color="auto" w:sz="4" w:space="0"/>
              <w:bottom w:val="single" w:color="auto" w:sz="4" w:space="0"/>
              <w:right w:val="single" w:color="auto" w:sz="4" w:space="0"/>
            </w:tcBorders>
          </w:tcPr>
          <w:p>
            <w:pPr>
              <w:spacing w:line="480" w:lineRule="exact"/>
              <w:jc w:val="center"/>
              <w:rPr>
                <w:rFonts w:hint="eastAsia" w:ascii="宋体" w:hAnsi="宋体" w:eastAsia="宋体" w:cs="宋体"/>
                <w:b/>
                <w:sz w:val="24"/>
              </w:rPr>
            </w:pPr>
            <w:r>
              <w:rPr>
                <w:rFonts w:hint="eastAsia" w:ascii="宋体" w:hAnsi="宋体" w:eastAsia="宋体" w:cs="宋体"/>
                <w:b/>
                <w:sz w:val="24"/>
              </w:rPr>
              <w:t>评审因素</w:t>
            </w:r>
          </w:p>
        </w:tc>
        <w:tc>
          <w:tcPr>
            <w:tcW w:w="6440" w:type="dxa"/>
            <w:tcBorders>
              <w:top w:val="single" w:color="auto" w:sz="4" w:space="0"/>
              <w:left w:val="single" w:color="auto" w:sz="4" w:space="0"/>
              <w:bottom w:val="single" w:color="auto" w:sz="4" w:space="0"/>
              <w:right w:val="single" w:color="auto" w:sz="4" w:space="0"/>
            </w:tcBorders>
          </w:tcPr>
          <w:p>
            <w:pPr>
              <w:spacing w:line="480" w:lineRule="exact"/>
              <w:jc w:val="center"/>
              <w:rPr>
                <w:rFonts w:hint="eastAsia" w:ascii="宋体" w:hAnsi="宋体" w:eastAsia="宋体" w:cs="宋体"/>
                <w:b/>
                <w:sz w:val="24"/>
              </w:rPr>
            </w:pPr>
            <w:r>
              <w:rPr>
                <w:rFonts w:hint="eastAsia" w:ascii="宋体" w:hAnsi="宋体" w:eastAsia="宋体" w:cs="宋体"/>
                <w:b/>
                <w:sz w:val="24"/>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512" w:type="dxa"/>
            <w:tcBorders>
              <w:top w:val="single" w:color="auto" w:sz="4" w:space="0"/>
              <w:left w:val="single" w:color="auto" w:sz="4" w:space="0"/>
              <w:bottom w:val="single" w:color="auto" w:sz="4" w:space="0"/>
              <w:right w:val="single" w:color="auto" w:sz="4" w:space="0"/>
            </w:tcBorders>
          </w:tcPr>
          <w:p>
            <w:pPr>
              <w:spacing w:line="480" w:lineRule="exact"/>
              <w:jc w:val="center"/>
              <w:rPr>
                <w:rFonts w:hint="eastAsia" w:ascii="宋体" w:hAnsi="宋体" w:eastAsia="宋体" w:cs="宋体"/>
                <w:b/>
                <w:sz w:val="24"/>
              </w:rPr>
            </w:pPr>
            <w:r>
              <w:rPr>
                <w:rFonts w:hint="eastAsia" w:ascii="宋体" w:hAnsi="宋体" w:eastAsia="宋体" w:cs="宋体"/>
                <w:sz w:val="24"/>
              </w:rPr>
              <w:t>投标人名称</w:t>
            </w:r>
          </w:p>
        </w:tc>
        <w:tc>
          <w:tcPr>
            <w:tcW w:w="6440"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b/>
                <w:sz w:val="24"/>
              </w:rPr>
            </w:pPr>
            <w:r>
              <w:rPr>
                <w:rFonts w:hint="eastAsia" w:ascii="宋体" w:hAnsi="宋体" w:eastAsia="宋体" w:cs="宋体"/>
                <w:sz w:val="24"/>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351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宋体" w:hAnsi="宋体" w:eastAsia="宋体" w:cs="宋体"/>
                <w:sz w:val="24"/>
              </w:rPr>
            </w:pPr>
            <w:r>
              <w:rPr>
                <w:rFonts w:hint="eastAsia" w:ascii="宋体" w:hAnsi="宋体" w:eastAsia="宋体" w:cs="宋体"/>
                <w:sz w:val="24"/>
              </w:rPr>
              <w:t>投标承诺函</w:t>
            </w:r>
          </w:p>
        </w:tc>
        <w:tc>
          <w:tcPr>
            <w:tcW w:w="6440"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sz w:val="24"/>
              </w:rPr>
            </w:pPr>
            <w:r>
              <w:rPr>
                <w:rFonts w:hint="eastAsia" w:ascii="宋体" w:hAnsi="宋体" w:eastAsia="宋体" w:cs="宋体"/>
                <w:sz w:val="24"/>
              </w:rPr>
              <w:t>有法定代表人或其委托代理人签字(或盖章)并加盖投标单位公章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3512" w:type="dxa"/>
            <w:tcBorders>
              <w:top w:val="single" w:color="auto" w:sz="4" w:space="0"/>
              <w:left w:val="single" w:color="auto" w:sz="4" w:space="0"/>
              <w:bottom w:val="single" w:color="auto" w:sz="4" w:space="0"/>
              <w:right w:val="single" w:color="auto" w:sz="4" w:space="0"/>
            </w:tcBorders>
          </w:tcPr>
          <w:p>
            <w:pPr>
              <w:spacing w:line="480" w:lineRule="exact"/>
              <w:jc w:val="center"/>
              <w:rPr>
                <w:rFonts w:hint="eastAsia" w:ascii="宋体" w:hAnsi="宋体" w:eastAsia="宋体" w:cs="宋体"/>
                <w:sz w:val="24"/>
              </w:rPr>
            </w:pPr>
            <w:r>
              <w:rPr>
                <w:rFonts w:hint="eastAsia" w:ascii="宋体" w:hAnsi="宋体" w:eastAsia="宋体" w:cs="宋体"/>
                <w:sz w:val="24"/>
              </w:rPr>
              <w:t>授权委托书</w:t>
            </w:r>
          </w:p>
        </w:tc>
        <w:tc>
          <w:tcPr>
            <w:tcW w:w="6440"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sz w:val="24"/>
              </w:rPr>
            </w:pPr>
            <w:r>
              <w:rPr>
                <w:rFonts w:hint="eastAsia" w:ascii="宋体" w:hAnsi="宋体" w:eastAsia="宋体" w:cs="宋体"/>
                <w:sz w:val="24"/>
              </w:rPr>
              <w:t>有法定代表人签字(或盖章)并加盖投标单位公章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351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宋体" w:hAnsi="宋体" w:eastAsia="宋体" w:cs="宋体"/>
                <w:sz w:val="24"/>
              </w:rPr>
            </w:pPr>
            <w:r>
              <w:rPr>
                <w:rFonts w:hint="eastAsia" w:ascii="宋体" w:hAnsi="宋体" w:eastAsia="宋体" w:cs="宋体"/>
                <w:sz w:val="24"/>
              </w:rPr>
              <w:t>报价唯一</w:t>
            </w:r>
          </w:p>
        </w:tc>
        <w:tc>
          <w:tcPr>
            <w:tcW w:w="6440"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sz w:val="24"/>
              </w:rPr>
            </w:pPr>
            <w:r>
              <w:rPr>
                <w:rFonts w:hint="eastAsia" w:ascii="宋体" w:hAnsi="宋体" w:eastAsia="宋体" w:cs="宋体"/>
                <w:sz w:val="24"/>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3512" w:type="dxa"/>
            <w:tcBorders>
              <w:top w:val="single" w:color="auto" w:sz="4" w:space="0"/>
              <w:left w:val="single" w:color="auto" w:sz="4" w:space="0"/>
              <w:right w:val="single" w:color="auto" w:sz="4" w:space="0"/>
            </w:tcBorders>
          </w:tcPr>
          <w:p>
            <w:pPr>
              <w:spacing w:line="480" w:lineRule="exact"/>
              <w:jc w:val="center"/>
              <w:rPr>
                <w:rFonts w:hint="eastAsia" w:ascii="宋体" w:hAnsi="宋体" w:eastAsia="宋体" w:cs="宋体"/>
                <w:sz w:val="24"/>
              </w:rPr>
            </w:pPr>
            <w:r>
              <w:rPr>
                <w:rFonts w:hint="eastAsia" w:ascii="宋体" w:hAnsi="宋体" w:eastAsia="宋体" w:cs="宋体"/>
                <w:sz w:val="24"/>
              </w:rPr>
              <w:t>……</w:t>
            </w:r>
          </w:p>
        </w:tc>
        <w:tc>
          <w:tcPr>
            <w:tcW w:w="6440" w:type="dxa"/>
            <w:tcBorders>
              <w:top w:val="single" w:color="auto" w:sz="4" w:space="0"/>
              <w:left w:val="single" w:color="auto" w:sz="4" w:space="0"/>
              <w:right w:val="single" w:color="auto" w:sz="4" w:space="0"/>
            </w:tcBorders>
            <w:vAlign w:val="center"/>
          </w:tcPr>
          <w:p>
            <w:pPr>
              <w:spacing w:line="480" w:lineRule="exact"/>
              <w:rPr>
                <w:rFonts w:hint="eastAsia" w:ascii="宋体" w:hAnsi="宋体" w:eastAsia="宋体" w:cs="宋体"/>
                <w:sz w:val="24"/>
              </w:rPr>
            </w:pPr>
            <w:r>
              <w:rPr>
                <w:rFonts w:hint="eastAsia" w:ascii="宋体" w:hAnsi="宋体" w:eastAsia="宋体" w:cs="宋体"/>
                <w:sz w:val="24"/>
              </w:rPr>
              <w:t>……</w:t>
            </w:r>
          </w:p>
        </w:tc>
      </w:tr>
    </w:tbl>
    <w:p>
      <w:pPr>
        <w:spacing w:line="480" w:lineRule="exact"/>
        <w:ind w:firstLine="482" w:firstLineChars="200"/>
        <w:rPr>
          <w:rFonts w:hint="eastAsia" w:ascii="宋体" w:hAnsi="宋体" w:eastAsia="宋体" w:cs="宋体"/>
          <w:b/>
          <w:sz w:val="24"/>
        </w:rPr>
      </w:pPr>
      <w:r>
        <w:rPr>
          <w:rFonts w:hint="eastAsia" w:ascii="宋体" w:hAnsi="宋体" w:eastAsia="宋体" w:cs="宋体"/>
          <w:b/>
          <w:sz w:val="24"/>
        </w:rPr>
        <w:t>2.1.2资格审查（资格后审）</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lang w:eastAsia="zh-CN"/>
        </w:rPr>
        <w:t>采购人</w:t>
      </w:r>
      <w:r>
        <w:rPr>
          <w:rFonts w:hint="eastAsia" w:ascii="宋体" w:hAnsi="宋体" w:eastAsia="宋体" w:cs="宋体"/>
          <w:sz w:val="24"/>
        </w:rPr>
        <w:t>对通过上一阶段评审的投标人资格对照招标</w:t>
      </w:r>
      <w:r>
        <w:rPr>
          <w:rFonts w:hint="eastAsia" w:ascii="宋体" w:hAnsi="宋体" w:eastAsia="宋体" w:cs="宋体"/>
          <w:sz w:val="24"/>
          <w:lang w:val="en-US" w:eastAsia="zh-CN"/>
        </w:rPr>
        <w:t>公告申请人的资格要求</w:t>
      </w:r>
      <w:r>
        <w:rPr>
          <w:rFonts w:hint="eastAsia" w:ascii="宋体" w:hAnsi="宋体" w:eastAsia="宋体" w:cs="宋体"/>
          <w:sz w:val="24"/>
        </w:rPr>
        <w:t>要求进行审查，只有通过资格审查的投标人方可进行下一阶段的评审。</w:t>
      </w:r>
    </w:p>
    <w:tbl>
      <w:tblPr>
        <w:tblStyle w:val="18"/>
        <w:tblW w:w="99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458"/>
        <w:gridCol w:w="64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3458" w:type="dxa"/>
            <w:tcBorders>
              <w:top w:val="single" w:color="auto" w:sz="4" w:space="0"/>
              <w:left w:val="single" w:color="auto" w:sz="4" w:space="0"/>
              <w:bottom w:val="single" w:color="auto" w:sz="4" w:space="0"/>
              <w:right w:val="single" w:color="auto" w:sz="4" w:space="0"/>
            </w:tcBorders>
          </w:tcPr>
          <w:p>
            <w:pPr>
              <w:spacing w:line="480" w:lineRule="exact"/>
              <w:jc w:val="center"/>
              <w:rPr>
                <w:rFonts w:hint="eastAsia" w:ascii="宋体" w:hAnsi="宋体" w:eastAsia="宋体" w:cs="宋体"/>
                <w:sz w:val="24"/>
              </w:rPr>
            </w:pPr>
            <w:r>
              <w:rPr>
                <w:rFonts w:hint="eastAsia" w:ascii="宋体" w:hAnsi="宋体" w:eastAsia="宋体" w:cs="宋体"/>
                <w:sz w:val="24"/>
              </w:rPr>
              <w:t>评审因素</w:t>
            </w:r>
          </w:p>
        </w:tc>
        <w:tc>
          <w:tcPr>
            <w:tcW w:w="6494" w:type="dxa"/>
            <w:tcBorders>
              <w:top w:val="single" w:color="auto" w:sz="4" w:space="0"/>
              <w:left w:val="single" w:color="auto" w:sz="4" w:space="0"/>
              <w:bottom w:val="single" w:color="auto" w:sz="4" w:space="0"/>
              <w:right w:val="single" w:color="auto" w:sz="4" w:space="0"/>
            </w:tcBorders>
          </w:tcPr>
          <w:p>
            <w:pPr>
              <w:spacing w:line="480" w:lineRule="exact"/>
              <w:jc w:val="center"/>
              <w:rPr>
                <w:rFonts w:hint="eastAsia" w:ascii="宋体" w:hAnsi="宋体" w:eastAsia="宋体" w:cs="宋体"/>
                <w:sz w:val="24"/>
              </w:rPr>
            </w:pPr>
            <w:r>
              <w:rPr>
                <w:rFonts w:hint="eastAsia" w:ascii="宋体" w:hAnsi="宋体" w:eastAsia="宋体" w:cs="宋体"/>
                <w:sz w:val="24"/>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458" w:type="dxa"/>
            <w:tcBorders>
              <w:top w:val="single" w:color="auto" w:sz="4" w:space="0"/>
              <w:left w:val="single" w:color="auto" w:sz="4" w:space="0"/>
              <w:bottom w:val="single" w:color="auto" w:sz="4" w:space="0"/>
              <w:right w:val="single" w:color="auto" w:sz="4" w:space="0"/>
            </w:tcBorders>
          </w:tcPr>
          <w:p>
            <w:pPr>
              <w:spacing w:line="480" w:lineRule="exact"/>
              <w:jc w:val="center"/>
              <w:rPr>
                <w:rFonts w:hint="eastAsia" w:ascii="宋体" w:hAnsi="宋体" w:eastAsia="宋体" w:cs="宋体"/>
                <w:sz w:val="24"/>
              </w:rPr>
            </w:pPr>
            <w:r>
              <w:rPr>
                <w:rFonts w:hint="eastAsia" w:ascii="宋体" w:hAnsi="宋体" w:eastAsia="宋体" w:cs="宋体"/>
                <w:sz w:val="24"/>
              </w:rPr>
              <w:t>营业执照</w:t>
            </w:r>
          </w:p>
        </w:tc>
        <w:tc>
          <w:tcPr>
            <w:tcW w:w="6494" w:type="dxa"/>
            <w:tcBorders>
              <w:top w:val="single" w:color="auto" w:sz="4" w:space="0"/>
              <w:left w:val="single" w:color="auto" w:sz="4" w:space="0"/>
              <w:bottom w:val="single" w:color="auto" w:sz="4" w:space="0"/>
              <w:right w:val="single" w:color="auto" w:sz="4" w:space="0"/>
            </w:tcBorders>
          </w:tcPr>
          <w:p>
            <w:pPr>
              <w:spacing w:line="480" w:lineRule="exact"/>
              <w:jc w:val="left"/>
              <w:rPr>
                <w:rFonts w:hint="eastAsia" w:ascii="宋体" w:hAnsi="宋体" w:eastAsia="宋体" w:cs="宋体"/>
                <w:sz w:val="24"/>
              </w:rPr>
            </w:pPr>
            <w:r>
              <w:rPr>
                <w:rFonts w:hint="eastAsia" w:ascii="宋体" w:hAnsi="宋体" w:eastAsia="宋体" w:cs="宋体"/>
                <w:sz w:val="24"/>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458" w:type="dxa"/>
            <w:tcBorders>
              <w:top w:val="single" w:color="auto" w:sz="4" w:space="0"/>
              <w:left w:val="single" w:color="auto" w:sz="4" w:space="0"/>
              <w:bottom w:val="single" w:color="auto" w:sz="4" w:space="0"/>
              <w:right w:val="single" w:color="auto" w:sz="4" w:space="0"/>
            </w:tcBorders>
          </w:tcPr>
          <w:p>
            <w:pPr>
              <w:spacing w:line="480" w:lineRule="exact"/>
              <w:jc w:val="center"/>
              <w:rPr>
                <w:rFonts w:hint="default" w:ascii="宋体" w:hAnsi="宋体" w:eastAsia="宋体" w:cs="宋体"/>
                <w:sz w:val="24"/>
                <w:lang w:val="en-US" w:eastAsia="zh-CN"/>
              </w:rPr>
            </w:pPr>
            <w:r>
              <w:rPr>
                <w:rFonts w:hint="eastAsia" w:ascii="宋体" w:hAnsi="宋体" w:eastAsia="宋体" w:cs="宋体"/>
                <w:color w:val="000000"/>
                <w:sz w:val="24"/>
                <w:szCs w:val="24"/>
              </w:rPr>
              <w:t>满足《中华人民共和国政府采购法》第二十二条规定</w:t>
            </w:r>
            <w:r>
              <w:rPr>
                <w:rFonts w:hint="eastAsia" w:ascii="宋体" w:hAnsi="宋体" w:eastAsia="宋体" w:cs="宋体"/>
                <w:color w:val="000000"/>
                <w:sz w:val="24"/>
                <w:szCs w:val="24"/>
                <w:lang w:val="en-US" w:eastAsia="zh-CN"/>
              </w:rPr>
              <w:t>并；并提供材料</w:t>
            </w:r>
          </w:p>
        </w:tc>
        <w:tc>
          <w:tcPr>
            <w:tcW w:w="6494" w:type="dxa"/>
            <w:tcBorders>
              <w:top w:val="single" w:color="auto" w:sz="4" w:space="0"/>
              <w:left w:val="single" w:color="auto" w:sz="4" w:space="0"/>
              <w:bottom w:val="single" w:color="auto" w:sz="4" w:space="0"/>
              <w:right w:val="single" w:color="auto" w:sz="4" w:space="0"/>
            </w:tcBorders>
          </w:tcPr>
          <w:p>
            <w:pPr>
              <w:spacing w:line="480" w:lineRule="exact"/>
              <w:jc w:val="left"/>
              <w:rPr>
                <w:rFonts w:hint="eastAsia" w:ascii="宋体" w:hAnsi="宋体" w:eastAsia="宋体" w:cs="宋体"/>
                <w:sz w:val="24"/>
              </w:rPr>
            </w:pPr>
            <w:r>
              <w:rPr>
                <w:rFonts w:hint="eastAsia" w:ascii="宋体" w:hAnsi="宋体" w:eastAsia="宋体" w:cs="宋体"/>
                <w:sz w:val="24"/>
              </w:rPr>
              <w:t>（1）法人或者其他组织的营业执照等证明文件。</w:t>
            </w:r>
          </w:p>
          <w:p>
            <w:pPr>
              <w:spacing w:line="480" w:lineRule="exact"/>
              <w:jc w:val="left"/>
              <w:rPr>
                <w:rFonts w:hint="eastAsia" w:ascii="宋体" w:hAnsi="宋体" w:eastAsia="宋体" w:cs="宋体"/>
                <w:sz w:val="24"/>
              </w:rPr>
            </w:pPr>
            <w:r>
              <w:rPr>
                <w:rFonts w:hint="eastAsia" w:ascii="宋体" w:hAnsi="宋体" w:eastAsia="宋体" w:cs="宋体"/>
                <w:sz w:val="24"/>
              </w:rPr>
              <w:t>（2）上一年度的财务报表（成立不满一年不需提供）。</w:t>
            </w:r>
          </w:p>
          <w:p>
            <w:pPr>
              <w:spacing w:line="480" w:lineRule="exact"/>
              <w:jc w:val="left"/>
              <w:rPr>
                <w:rFonts w:hint="eastAsia" w:ascii="宋体" w:hAnsi="宋体" w:eastAsia="宋体" w:cs="宋体"/>
                <w:sz w:val="24"/>
              </w:rPr>
            </w:pPr>
            <w:r>
              <w:rPr>
                <w:rFonts w:hint="eastAsia" w:ascii="宋体" w:hAnsi="宋体" w:eastAsia="宋体" w:cs="宋体"/>
                <w:sz w:val="24"/>
              </w:rPr>
              <w:t>（3）依法缴纳税收和社会保障资金的相关材料。</w:t>
            </w:r>
          </w:p>
          <w:p>
            <w:pPr>
              <w:spacing w:line="480" w:lineRule="exact"/>
              <w:jc w:val="left"/>
              <w:rPr>
                <w:rFonts w:hint="eastAsia" w:ascii="宋体" w:hAnsi="宋体" w:eastAsia="宋体" w:cs="宋体"/>
                <w:sz w:val="24"/>
              </w:rPr>
            </w:pPr>
            <w:r>
              <w:rPr>
                <w:rFonts w:hint="eastAsia" w:ascii="宋体" w:hAnsi="宋体" w:eastAsia="宋体" w:cs="宋体"/>
                <w:sz w:val="24"/>
              </w:rPr>
              <w:t>（4）参加政府采购活动前3年内在经营活动中没有重大违法记录的书面声明。</w:t>
            </w:r>
          </w:p>
          <w:p>
            <w:pPr>
              <w:spacing w:line="480" w:lineRule="exact"/>
              <w:jc w:val="left"/>
              <w:rPr>
                <w:rFonts w:hint="eastAsia" w:ascii="宋体" w:hAnsi="宋体" w:eastAsia="宋体" w:cs="宋体"/>
                <w:sz w:val="24"/>
              </w:rPr>
            </w:pPr>
            <w:r>
              <w:rPr>
                <w:rFonts w:hint="eastAsia" w:ascii="宋体" w:hAnsi="宋体" w:eastAsia="宋体" w:cs="宋体"/>
                <w:sz w:val="24"/>
              </w:rPr>
              <w:t>（5）具备履行合同所必需的设备和专业技术能力的书面声明</w:t>
            </w:r>
          </w:p>
        </w:tc>
      </w:tr>
    </w:tbl>
    <w:p>
      <w:pPr>
        <w:spacing w:line="480" w:lineRule="exact"/>
        <w:ind w:firstLine="482" w:firstLineChars="200"/>
        <w:rPr>
          <w:rFonts w:hint="eastAsia" w:ascii="宋体" w:hAnsi="宋体" w:eastAsia="宋体" w:cs="宋体"/>
          <w:b/>
          <w:sz w:val="24"/>
        </w:rPr>
      </w:pPr>
      <w:r>
        <w:rPr>
          <w:rFonts w:hint="eastAsia" w:ascii="宋体" w:hAnsi="宋体" w:eastAsia="宋体" w:cs="宋体"/>
          <w:b/>
          <w:sz w:val="24"/>
        </w:rPr>
        <w:t>2.1.3 响应性审查</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对招标文件要求的</w:t>
      </w:r>
      <w:r>
        <w:rPr>
          <w:rFonts w:hint="eastAsia" w:ascii="宋体" w:hAnsi="宋体" w:eastAsia="宋体" w:cs="宋体"/>
          <w:sz w:val="24"/>
          <w:lang w:val="en-US" w:eastAsia="zh-CN"/>
        </w:rPr>
        <w:t>供货</w:t>
      </w:r>
      <w:r>
        <w:rPr>
          <w:rFonts w:hint="eastAsia" w:ascii="宋体" w:hAnsi="宋体" w:eastAsia="宋体" w:cs="宋体"/>
          <w:sz w:val="24"/>
        </w:rPr>
        <w:t>期、投标有效期、投标报价等实质性要求的响应性进行评审。</w:t>
      </w:r>
    </w:p>
    <w:tbl>
      <w:tblPr>
        <w:tblStyle w:val="18"/>
        <w:tblW w:w="995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547"/>
        <w:gridCol w:w="64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547" w:type="dxa"/>
            <w:tcBorders>
              <w:top w:val="single" w:color="auto" w:sz="4" w:space="0"/>
              <w:left w:val="single" w:color="auto" w:sz="4" w:space="0"/>
              <w:bottom w:val="single" w:color="auto" w:sz="4" w:space="0"/>
              <w:right w:val="single" w:color="auto" w:sz="4" w:space="0"/>
            </w:tcBorders>
          </w:tcPr>
          <w:p>
            <w:pPr>
              <w:spacing w:line="480" w:lineRule="exact"/>
              <w:jc w:val="center"/>
              <w:rPr>
                <w:rFonts w:hint="eastAsia" w:ascii="宋体" w:hAnsi="宋体" w:eastAsia="宋体" w:cs="宋体"/>
                <w:b/>
                <w:sz w:val="24"/>
              </w:rPr>
            </w:pPr>
            <w:r>
              <w:rPr>
                <w:rFonts w:hint="eastAsia" w:ascii="宋体" w:hAnsi="宋体" w:eastAsia="宋体" w:cs="宋体"/>
                <w:b/>
                <w:sz w:val="24"/>
              </w:rPr>
              <w:t>评审因素</w:t>
            </w:r>
          </w:p>
        </w:tc>
        <w:tc>
          <w:tcPr>
            <w:tcW w:w="6403" w:type="dxa"/>
            <w:tcBorders>
              <w:top w:val="single" w:color="auto" w:sz="4" w:space="0"/>
              <w:left w:val="single" w:color="auto" w:sz="4" w:space="0"/>
              <w:bottom w:val="single" w:color="auto" w:sz="4" w:space="0"/>
              <w:right w:val="single" w:color="auto" w:sz="4" w:space="0"/>
            </w:tcBorders>
          </w:tcPr>
          <w:p>
            <w:pPr>
              <w:spacing w:line="480" w:lineRule="exact"/>
              <w:jc w:val="center"/>
              <w:rPr>
                <w:rFonts w:hint="eastAsia" w:ascii="宋体" w:hAnsi="宋体" w:eastAsia="宋体" w:cs="宋体"/>
                <w:b/>
                <w:sz w:val="24"/>
              </w:rPr>
            </w:pPr>
            <w:r>
              <w:rPr>
                <w:rFonts w:hint="eastAsia" w:ascii="宋体" w:hAnsi="宋体" w:eastAsia="宋体" w:cs="宋体"/>
                <w:b/>
                <w:sz w:val="24"/>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547" w:type="dxa"/>
            <w:tcBorders>
              <w:top w:val="single" w:color="auto" w:sz="4" w:space="0"/>
              <w:left w:val="single" w:color="auto" w:sz="4" w:space="0"/>
              <w:bottom w:val="single" w:color="auto" w:sz="4" w:space="0"/>
              <w:right w:val="single" w:color="auto" w:sz="4" w:space="0"/>
            </w:tcBorders>
          </w:tcPr>
          <w:p>
            <w:pPr>
              <w:spacing w:line="480" w:lineRule="exact"/>
              <w:jc w:val="center"/>
              <w:rPr>
                <w:rFonts w:hint="eastAsia" w:ascii="宋体" w:hAnsi="宋体" w:eastAsia="宋体" w:cs="宋体"/>
                <w:b/>
                <w:sz w:val="24"/>
              </w:rPr>
            </w:pPr>
            <w:r>
              <w:rPr>
                <w:rFonts w:hint="eastAsia" w:ascii="宋体" w:hAnsi="宋体" w:eastAsia="宋体" w:cs="宋体"/>
                <w:bCs/>
                <w:sz w:val="24"/>
                <w:lang w:eastAsia="zh-CN"/>
              </w:rPr>
              <w:t>供货</w:t>
            </w:r>
            <w:r>
              <w:rPr>
                <w:rFonts w:hint="eastAsia" w:ascii="宋体" w:hAnsi="宋体" w:eastAsia="宋体" w:cs="宋体"/>
                <w:bCs/>
                <w:sz w:val="24"/>
              </w:rPr>
              <w:t>期</w:t>
            </w:r>
          </w:p>
        </w:tc>
        <w:tc>
          <w:tcPr>
            <w:tcW w:w="6403" w:type="dxa"/>
            <w:tcBorders>
              <w:top w:val="single" w:color="auto" w:sz="4" w:space="0"/>
              <w:left w:val="single" w:color="auto" w:sz="4" w:space="0"/>
              <w:bottom w:val="single" w:color="auto" w:sz="4" w:space="0"/>
              <w:right w:val="single" w:color="auto" w:sz="4" w:space="0"/>
            </w:tcBorders>
          </w:tcPr>
          <w:p>
            <w:pPr>
              <w:spacing w:line="480" w:lineRule="exact"/>
              <w:jc w:val="left"/>
              <w:rPr>
                <w:rFonts w:hint="eastAsia" w:ascii="宋体" w:hAnsi="宋体" w:eastAsia="宋体" w:cs="宋体"/>
                <w:b/>
                <w:sz w:val="24"/>
              </w:rPr>
            </w:pPr>
            <w:r>
              <w:rPr>
                <w:rFonts w:hint="eastAsia" w:ascii="宋体" w:hAnsi="宋体" w:eastAsia="宋体" w:cs="宋体"/>
                <w:sz w:val="24"/>
              </w:rPr>
              <w:t>符合招标文件相关约定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547" w:type="dxa"/>
            <w:tcBorders>
              <w:top w:val="single" w:color="auto" w:sz="4" w:space="0"/>
              <w:left w:val="single" w:color="auto" w:sz="4" w:space="0"/>
              <w:bottom w:val="single" w:color="auto" w:sz="4" w:space="0"/>
              <w:right w:val="single" w:color="auto" w:sz="4" w:space="0"/>
            </w:tcBorders>
          </w:tcPr>
          <w:p>
            <w:pPr>
              <w:spacing w:line="480" w:lineRule="exact"/>
              <w:jc w:val="center"/>
              <w:rPr>
                <w:rFonts w:hint="eastAsia" w:ascii="宋体" w:hAnsi="宋体" w:eastAsia="宋体" w:cs="宋体"/>
                <w:b/>
                <w:sz w:val="24"/>
              </w:rPr>
            </w:pPr>
            <w:r>
              <w:rPr>
                <w:rFonts w:hint="eastAsia" w:ascii="宋体" w:hAnsi="宋体" w:eastAsia="宋体" w:cs="宋体"/>
                <w:sz w:val="24"/>
              </w:rPr>
              <w:t>投标有效期</w:t>
            </w:r>
          </w:p>
        </w:tc>
        <w:tc>
          <w:tcPr>
            <w:tcW w:w="6403" w:type="dxa"/>
            <w:tcBorders>
              <w:top w:val="single" w:color="auto" w:sz="4" w:space="0"/>
              <w:left w:val="single" w:color="auto" w:sz="4" w:space="0"/>
              <w:bottom w:val="single" w:color="auto" w:sz="4" w:space="0"/>
              <w:right w:val="single" w:color="auto" w:sz="4" w:space="0"/>
            </w:tcBorders>
          </w:tcPr>
          <w:p>
            <w:pPr>
              <w:spacing w:line="480" w:lineRule="exact"/>
              <w:jc w:val="left"/>
              <w:rPr>
                <w:rFonts w:hint="eastAsia" w:ascii="宋体" w:hAnsi="宋体" w:eastAsia="宋体" w:cs="宋体"/>
                <w:b/>
                <w:sz w:val="24"/>
              </w:rPr>
            </w:pPr>
            <w:r>
              <w:rPr>
                <w:rFonts w:hint="eastAsia" w:ascii="宋体" w:hAnsi="宋体" w:eastAsia="宋体" w:cs="宋体"/>
                <w:sz w:val="24"/>
              </w:rPr>
              <w:t>符合招标文件相关约定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547" w:type="dxa"/>
            <w:tcBorders>
              <w:top w:val="single" w:color="auto" w:sz="4" w:space="0"/>
              <w:left w:val="single" w:color="auto" w:sz="4" w:space="0"/>
              <w:bottom w:val="single" w:color="auto" w:sz="4" w:space="0"/>
              <w:right w:val="single" w:color="auto" w:sz="4" w:space="0"/>
            </w:tcBorders>
          </w:tcPr>
          <w:p>
            <w:pPr>
              <w:spacing w:line="480" w:lineRule="exact"/>
              <w:jc w:val="center"/>
              <w:rPr>
                <w:rFonts w:hint="eastAsia" w:ascii="宋体" w:hAnsi="宋体" w:eastAsia="宋体" w:cs="宋体"/>
                <w:b/>
                <w:sz w:val="24"/>
              </w:rPr>
            </w:pPr>
            <w:r>
              <w:rPr>
                <w:rFonts w:hint="eastAsia" w:ascii="宋体" w:hAnsi="宋体" w:eastAsia="宋体" w:cs="宋体"/>
                <w:sz w:val="24"/>
              </w:rPr>
              <w:t>投标价格</w:t>
            </w:r>
          </w:p>
        </w:tc>
        <w:tc>
          <w:tcPr>
            <w:tcW w:w="6403" w:type="dxa"/>
            <w:tcBorders>
              <w:top w:val="single" w:color="auto" w:sz="4" w:space="0"/>
              <w:left w:val="single" w:color="auto" w:sz="4" w:space="0"/>
              <w:bottom w:val="single" w:color="auto" w:sz="4" w:space="0"/>
              <w:right w:val="single" w:color="auto" w:sz="4" w:space="0"/>
            </w:tcBorders>
          </w:tcPr>
          <w:p>
            <w:pPr>
              <w:spacing w:line="480" w:lineRule="exact"/>
              <w:jc w:val="left"/>
              <w:rPr>
                <w:rFonts w:hint="eastAsia" w:ascii="宋体" w:hAnsi="宋体" w:eastAsia="宋体" w:cs="宋体"/>
                <w:sz w:val="24"/>
              </w:rPr>
            </w:pPr>
            <w:r>
              <w:rPr>
                <w:rFonts w:hint="eastAsia" w:ascii="宋体" w:hAnsi="宋体" w:eastAsia="宋体" w:cs="宋体"/>
                <w:sz w:val="24"/>
              </w:rPr>
              <w:t>符合招标文件相关约定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547" w:type="dxa"/>
            <w:tcBorders>
              <w:top w:val="single" w:color="auto" w:sz="4" w:space="0"/>
              <w:left w:val="single" w:color="auto" w:sz="4" w:space="0"/>
              <w:bottom w:val="single" w:color="auto" w:sz="4" w:space="0"/>
              <w:right w:val="single" w:color="auto" w:sz="4" w:space="0"/>
            </w:tcBorders>
          </w:tcPr>
          <w:p>
            <w:pPr>
              <w:spacing w:line="480" w:lineRule="exact"/>
              <w:jc w:val="center"/>
              <w:rPr>
                <w:rFonts w:hint="eastAsia" w:ascii="宋体" w:hAnsi="宋体" w:eastAsia="宋体" w:cs="宋体"/>
                <w:sz w:val="24"/>
              </w:rPr>
            </w:pPr>
            <w:r>
              <w:rPr>
                <w:rFonts w:hint="eastAsia" w:ascii="宋体" w:hAnsi="宋体" w:eastAsia="宋体" w:cs="宋体"/>
                <w:sz w:val="24"/>
              </w:rPr>
              <w:t>……</w:t>
            </w:r>
          </w:p>
        </w:tc>
        <w:tc>
          <w:tcPr>
            <w:tcW w:w="6403" w:type="dxa"/>
            <w:tcBorders>
              <w:top w:val="single" w:color="auto" w:sz="4" w:space="0"/>
              <w:left w:val="single" w:color="auto" w:sz="4" w:space="0"/>
              <w:bottom w:val="single" w:color="auto" w:sz="4" w:space="0"/>
              <w:right w:val="single" w:color="auto" w:sz="4" w:space="0"/>
            </w:tcBorders>
          </w:tcPr>
          <w:p>
            <w:pPr>
              <w:spacing w:line="480" w:lineRule="exact"/>
              <w:jc w:val="left"/>
              <w:rPr>
                <w:rFonts w:hint="eastAsia" w:ascii="宋体" w:hAnsi="宋体" w:eastAsia="宋体" w:cs="宋体"/>
                <w:sz w:val="24"/>
              </w:rPr>
            </w:pPr>
            <w:r>
              <w:rPr>
                <w:rFonts w:hint="eastAsia" w:ascii="宋体" w:hAnsi="宋体" w:eastAsia="宋体" w:cs="宋体"/>
                <w:sz w:val="24"/>
              </w:rPr>
              <w:t>……</w:t>
            </w:r>
          </w:p>
        </w:tc>
      </w:tr>
    </w:tbl>
    <w:p>
      <w:pPr>
        <w:pStyle w:val="5"/>
        <w:spacing w:before="0" w:after="0" w:line="460" w:lineRule="exact"/>
        <w:ind w:firstLine="482" w:firstLineChars="200"/>
        <w:rPr>
          <w:rFonts w:hint="eastAsia" w:ascii="宋体" w:hAnsi="宋体" w:eastAsia="宋体" w:cs="宋体"/>
          <w:b/>
          <w:bCs/>
          <w:kern w:val="2"/>
          <w:sz w:val="24"/>
          <w:szCs w:val="22"/>
          <w:lang w:val="en-US" w:eastAsia="zh-CN" w:bidi="ar-SA"/>
        </w:rPr>
      </w:pPr>
      <w:r>
        <w:rPr>
          <w:rFonts w:hint="eastAsia" w:ascii="宋体" w:hAnsi="宋体" w:eastAsia="宋体" w:cs="宋体"/>
          <w:b/>
          <w:bCs/>
          <w:kern w:val="2"/>
          <w:sz w:val="24"/>
          <w:szCs w:val="22"/>
          <w:lang w:val="en-US" w:eastAsia="zh-CN" w:bidi="ar-SA"/>
        </w:rPr>
        <w:t>2.2 详细评审</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2.2.1</w:t>
      </w:r>
      <w:r>
        <w:rPr>
          <w:rFonts w:hint="eastAsia" w:ascii="宋体" w:hAnsi="宋体" w:eastAsia="宋体" w:cs="宋体"/>
          <w:sz w:val="24"/>
        </w:rPr>
        <w:t>投标报价有算术错误的，评标委员会按以下原则对投标报价进行修正，修正的价格经投标人书面确认后具有约束力。投标人不接受修正价格的，其投标作无效标书处理。</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(1）投标文件中的大写金额与小写金额不一致的，以大写金额为准；</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(2）总价金额与依据单价计算出的结果不一致的，以单价金额为准修正总价，但单价金额小数点有明显错误的除外。</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2.2.2</w:t>
      </w:r>
      <w:r>
        <w:rPr>
          <w:rFonts w:hint="eastAsia" w:ascii="宋体" w:hAnsi="宋体" w:eastAsia="宋体" w:cs="宋体"/>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60" w:lineRule="exact"/>
        <w:ind w:firstLine="482" w:firstLineChars="200"/>
        <w:rPr>
          <w:rFonts w:hint="eastAsia" w:ascii="宋体" w:hAnsi="宋体" w:eastAsia="宋体" w:cs="宋体"/>
          <w:sz w:val="24"/>
        </w:rPr>
      </w:pPr>
      <w:r>
        <w:rPr>
          <w:rFonts w:hint="eastAsia" w:ascii="宋体" w:hAnsi="宋体" w:eastAsia="宋体" w:cs="宋体"/>
          <w:b/>
          <w:bCs/>
          <w:sz w:val="24"/>
        </w:rPr>
        <w:t>3.评标程序</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3.1 评标准备</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3.1.1 评标委员会成员到达评标现场时应在签到表上签到（或通过门禁系统签到）以证明其出席。</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3.1.2 评标委员会成员首先推选一名评标委员会负责人，负责评标活动的组织领导工作。</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3.1.3 招标人或</w:t>
      </w:r>
      <w:r>
        <w:rPr>
          <w:rFonts w:hint="eastAsia" w:ascii="宋体" w:hAnsi="宋体" w:eastAsia="宋体" w:cs="宋体"/>
          <w:sz w:val="24"/>
          <w:lang w:val="en-US" w:eastAsia="zh-CN"/>
        </w:rPr>
        <w:t>采购中心</w:t>
      </w:r>
      <w:r>
        <w:rPr>
          <w:rFonts w:hint="eastAsia" w:ascii="宋体" w:hAnsi="宋体" w:eastAsia="宋体" w:cs="宋体"/>
          <w:sz w:val="24"/>
        </w:rPr>
        <w:t>应向评标委员会提供评标所需的信息和数据。评标委员会负责人应组织评标委员会成员认真研究招标文件，未在招标文件中规定的标准和方法不得作为评标的依据。</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3.2 初步评审</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3.2.1评标委员会依据本章第2.1 款规定的标准对投标文件进行初步评审。</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3.2.2投标文件不符合本章第2.1款评审标准的，属于重大偏差，视为未能对招标文件作出实质性响应，应当作为无效投标予以否决。</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3.2.3对照投标人须知</w:t>
      </w:r>
      <w:r>
        <w:rPr>
          <w:rFonts w:hint="eastAsia" w:ascii="宋体" w:hAnsi="宋体" w:eastAsia="宋体" w:cs="宋体"/>
          <w:sz w:val="24"/>
          <w:lang w:val="en-US" w:eastAsia="zh-CN"/>
        </w:rPr>
        <w:t>29</w:t>
      </w:r>
      <w:r>
        <w:rPr>
          <w:rFonts w:hint="eastAsia" w:ascii="宋体" w:hAnsi="宋体" w:eastAsia="宋体" w:cs="宋体"/>
          <w:sz w:val="24"/>
        </w:rPr>
        <w:t>款，投标文件有上述情况之一，视为未能对招标文件作出实质性响应，凡招标文件未明确标明无效标条款的，评标委员会不得作为判定无效投标的依据。</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3.2.4 投标报价有算术错误的，评标委员会按以下原则对投标报价进行修正，修正的价格经投标人书面确认后具有约束力。</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(1）投标文件中的大写金额与小写金额不一致的，以大写金额为准；</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(2）总价金额与依据单价计算出的结果不一致的，以单价金额为准修正总价，但单价金额小数点有明显错误的除外。</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3.2.5只有通过初步评审的投标文件才能进入详细评审。</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3.3 详细评审</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3.3.1 在详细评审发现符合“无效标书条款”的，应当作为无效投标予以否决，其投标报价亦不作为评标基准价A值的依据。</w:t>
      </w:r>
    </w:p>
    <w:p>
      <w:pPr>
        <w:spacing w:line="460" w:lineRule="exact"/>
        <w:ind w:firstLine="480" w:firstLineChars="200"/>
        <w:rPr>
          <w:rFonts w:hint="eastAsia" w:ascii="宋体" w:hAnsi="宋体" w:eastAsia="宋体" w:cs="宋体"/>
          <w:sz w:val="24"/>
          <w:lang w:eastAsia="zh-CN"/>
        </w:rPr>
      </w:pPr>
      <w:r>
        <w:rPr>
          <w:rFonts w:hint="eastAsia" w:ascii="宋体" w:hAnsi="宋体" w:eastAsia="宋体" w:cs="宋体"/>
          <w:sz w:val="24"/>
        </w:rPr>
        <w:t>3.3.2 评标委员会按本章第2.2款规定的量化因素和分值进行打分，并计算出综合评估得分。</w:t>
      </w:r>
      <w:r>
        <w:rPr>
          <w:rFonts w:hint="eastAsia" w:ascii="宋体" w:hAnsi="宋体" w:eastAsia="宋体" w:cs="宋体"/>
          <w:sz w:val="24"/>
          <w:lang w:eastAsia="zh-CN"/>
        </w:rPr>
        <w:t>（如采用综合评分法时）</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3.3.3 评分分值计算保留小数点后两位，小数点后第三位“四舍五入”。</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3.4 投标文件的澄清和补正</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3.4.1 在评标过程中，评标委员会可以书面形式要求投标人对所提交投标文件中不明确的内容进行书面澄清或说明，或者对细微偏差进行补正。评标委员会不接受投标人主动提出的澄清、说明或补正。</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3.4.2 澄清、说明和补正不得改变投标文件的实质性内容（算术性错误修正的除外）。投标人的书面澄清、说明和补正属于投标文件的组成部分。</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3.4.3 评标委员会对投标人提交的澄清、说明或补正有疑问的，可以要求投标人进一步澄清、说明或补正。</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3.5 推荐中标候选人或直接确定中标人</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3.5.1 除投标人须知前附表授权直接确定中标人外，评标委员会在推荐中标候选人时，应遵照以下原则:</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评标委员会按照</w:t>
      </w:r>
      <w:r>
        <w:rPr>
          <w:rFonts w:hint="eastAsia" w:ascii="宋体" w:hAnsi="宋体" w:eastAsia="宋体" w:cs="宋体"/>
          <w:sz w:val="24"/>
          <w:lang w:eastAsia="zh-CN"/>
        </w:rPr>
        <w:t>有效报价</w:t>
      </w:r>
      <w:r>
        <w:rPr>
          <w:rFonts w:hint="eastAsia" w:ascii="宋体" w:hAnsi="宋体" w:eastAsia="宋体" w:cs="宋体"/>
          <w:sz w:val="24"/>
        </w:rPr>
        <w:t>由</w:t>
      </w:r>
      <w:r>
        <w:rPr>
          <w:rFonts w:hint="eastAsia" w:ascii="宋体" w:hAnsi="宋体" w:eastAsia="宋体" w:cs="宋体"/>
          <w:sz w:val="24"/>
          <w:lang w:eastAsia="zh-CN"/>
        </w:rPr>
        <w:t>低</w:t>
      </w:r>
      <w:r>
        <w:rPr>
          <w:rFonts w:hint="eastAsia" w:ascii="宋体" w:hAnsi="宋体" w:eastAsia="宋体" w:cs="宋体"/>
          <w:sz w:val="24"/>
        </w:rPr>
        <w:t>至</w:t>
      </w:r>
      <w:r>
        <w:rPr>
          <w:rFonts w:hint="eastAsia" w:ascii="宋体" w:hAnsi="宋体" w:eastAsia="宋体" w:cs="宋体"/>
          <w:sz w:val="24"/>
          <w:lang w:eastAsia="zh-CN"/>
        </w:rPr>
        <w:t>高</w:t>
      </w:r>
      <w:r>
        <w:rPr>
          <w:rFonts w:hint="eastAsia" w:ascii="宋体" w:hAnsi="宋体" w:eastAsia="宋体" w:cs="宋体"/>
          <w:sz w:val="24"/>
        </w:rPr>
        <w:t>的次序排列，并根据投标人须知前附表规定的中标候选人数量，将排序在前的投标人推荐为中标候选人。</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 xml:space="preserve">3.6 提交评标报告 </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评标委员会完成评标后，应当向招标人提交书面评标报告。评标报告应当由全体评标委员会成员签字，并于评标结束时抄送有关行政监督部门。</w:t>
      </w:r>
    </w:p>
    <w:p>
      <w:pPr>
        <w:pStyle w:val="3"/>
        <w:spacing w:line="360" w:lineRule="auto"/>
        <w:ind w:right="-92" w:rightChars="-44"/>
        <w:jc w:val="center"/>
        <w:rPr>
          <w:rFonts w:hint="eastAsia" w:ascii="宋体" w:hAnsi="宋体" w:eastAsia="宋体" w:cs="宋体"/>
          <w:bCs/>
          <w:color w:val="000000"/>
          <w:sz w:val="44"/>
        </w:rPr>
      </w:pPr>
      <w:r>
        <w:rPr>
          <w:rFonts w:hint="eastAsia" w:ascii="宋体" w:hAnsi="宋体" w:eastAsia="宋体" w:cs="宋体"/>
          <w:b/>
          <w:bCs/>
          <w:color w:val="000000"/>
          <w:sz w:val="44"/>
          <w:szCs w:val="44"/>
        </w:rPr>
        <w:t>第六章  投标文件格式</w:t>
      </w:r>
    </w:p>
    <w:p>
      <w:pPr>
        <w:spacing w:line="360" w:lineRule="auto"/>
        <w:ind w:right="-92" w:rightChars="-44"/>
        <w:jc w:val="center"/>
        <w:rPr>
          <w:rFonts w:hint="eastAsia" w:ascii="宋体" w:hAnsi="宋体" w:eastAsia="宋体" w:cs="宋体"/>
          <w:b/>
          <w:color w:val="000000"/>
          <w:sz w:val="72"/>
        </w:rPr>
      </w:pPr>
      <w:bookmarkStart w:id="54" w:name="_Hlt26671244"/>
      <w:bookmarkEnd w:id="54"/>
      <w:bookmarkStart w:id="55" w:name="_Hlt26955039"/>
      <w:bookmarkEnd w:id="55"/>
      <w:bookmarkStart w:id="56" w:name="_Toc120614282"/>
      <w:bookmarkStart w:id="57" w:name="_Toc49090576"/>
      <w:bookmarkStart w:id="58" w:name="_Toc26554094"/>
    </w:p>
    <w:bookmarkEnd w:id="56"/>
    <w:bookmarkEnd w:id="57"/>
    <w:bookmarkEnd w:id="58"/>
    <w:p>
      <w:pPr>
        <w:spacing w:line="500" w:lineRule="atLeast"/>
        <w:ind w:right="-92" w:rightChars="-44"/>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投  标  文  件</w:t>
      </w:r>
    </w:p>
    <w:p>
      <w:pPr>
        <w:spacing w:line="500" w:lineRule="atLeast"/>
        <w:ind w:right="-92" w:rightChars="-44"/>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（正或副本）</w:t>
      </w:r>
    </w:p>
    <w:p>
      <w:pPr>
        <w:spacing w:line="500" w:lineRule="atLeast"/>
        <w:ind w:right="-92" w:rightChars="-44"/>
        <w:jc w:val="center"/>
        <w:rPr>
          <w:rFonts w:hint="eastAsia" w:ascii="宋体" w:hAnsi="宋体" w:eastAsia="宋体" w:cs="宋体"/>
          <w:b/>
          <w:color w:val="000000"/>
          <w:sz w:val="28"/>
          <w:szCs w:val="28"/>
        </w:rPr>
      </w:pPr>
    </w:p>
    <w:p>
      <w:pPr>
        <w:spacing w:line="500" w:lineRule="atLeast"/>
        <w:ind w:right="-92" w:rightChars="-44"/>
        <w:jc w:val="center"/>
        <w:rPr>
          <w:rFonts w:hint="eastAsia" w:ascii="宋体" w:hAnsi="宋体" w:eastAsia="宋体" w:cs="宋体"/>
          <w:b/>
          <w:color w:val="000000"/>
          <w:sz w:val="28"/>
          <w:szCs w:val="28"/>
        </w:rPr>
      </w:pPr>
    </w:p>
    <w:p>
      <w:pPr>
        <w:spacing w:line="500" w:lineRule="atLeast"/>
        <w:ind w:right="-92" w:rightChars="-44"/>
        <w:jc w:val="center"/>
        <w:rPr>
          <w:rFonts w:hint="eastAsia" w:ascii="宋体" w:hAnsi="宋体" w:eastAsia="宋体" w:cs="宋体"/>
          <w:b/>
          <w:color w:val="000000"/>
          <w:sz w:val="28"/>
          <w:szCs w:val="28"/>
        </w:rPr>
      </w:pPr>
    </w:p>
    <w:p>
      <w:pPr>
        <w:spacing w:line="500" w:lineRule="atLeast"/>
        <w:ind w:right="-92" w:rightChars="-44"/>
        <w:jc w:val="center"/>
        <w:rPr>
          <w:rFonts w:hint="eastAsia" w:ascii="宋体" w:hAnsi="宋体" w:eastAsia="宋体" w:cs="宋体"/>
          <w:b/>
          <w:color w:val="000000"/>
          <w:sz w:val="28"/>
          <w:szCs w:val="28"/>
        </w:rPr>
      </w:pPr>
    </w:p>
    <w:p>
      <w:pPr>
        <w:spacing w:line="500" w:lineRule="atLeast"/>
        <w:ind w:right="-92" w:rightChars="-44" w:firstLine="843" w:firstLineChars="300"/>
        <w:rPr>
          <w:rFonts w:hint="eastAsia" w:ascii="宋体" w:hAnsi="宋体" w:eastAsia="宋体" w:cs="宋体"/>
          <w:b/>
          <w:color w:val="000000"/>
          <w:sz w:val="28"/>
          <w:szCs w:val="28"/>
        </w:rPr>
      </w:pPr>
      <w:r>
        <w:rPr>
          <w:rFonts w:hint="eastAsia" w:ascii="宋体" w:hAnsi="宋体" w:eastAsia="宋体" w:cs="宋体"/>
          <w:b/>
          <w:color w:val="000000"/>
          <w:sz w:val="28"/>
          <w:szCs w:val="28"/>
        </w:rPr>
        <w:t>项 目 名 称：</w:t>
      </w:r>
      <w:r>
        <w:rPr>
          <w:rFonts w:hint="eastAsia" w:ascii="宋体" w:hAnsi="宋体" w:eastAsia="宋体" w:cs="宋体"/>
          <w:b/>
          <w:color w:val="000000"/>
          <w:sz w:val="28"/>
          <w:szCs w:val="28"/>
          <w:u w:val="single"/>
        </w:rPr>
        <w:t xml:space="preserve">               </w:t>
      </w:r>
    </w:p>
    <w:p>
      <w:pPr>
        <w:spacing w:line="500" w:lineRule="atLeast"/>
        <w:ind w:right="-92" w:rightChars="-44" w:firstLine="843" w:firstLineChars="300"/>
        <w:rPr>
          <w:rFonts w:hint="eastAsia" w:ascii="宋体" w:hAnsi="宋体" w:eastAsia="宋体" w:cs="宋体"/>
          <w:b/>
          <w:color w:val="000000"/>
          <w:sz w:val="28"/>
          <w:szCs w:val="28"/>
          <w:u w:val="single"/>
        </w:rPr>
      </w:pPr>
      <w:r>
        <w:rPr>
          <w:rFonts w:hint="eastAsia" w:ascii="宋体" w:hAnsi="宋体" w:eastAsia="宋体" w:cs="宋体"/>
          <w:b/>
          <w:color w:val="000000"/>
          <w:sz w:val="28"/>
          <w:szCs w:val="28"/>
        </w:rPr>
        <w:t>招 标 编 号：</w:t>
      </w:r>
      <w:r>
        <w:rPr>
          <w:rFonts w:hint="eastAsia" w:ascii="宋体" w:hAnsi="宋体" w:eastAsia="宋体" w:cs="宋体"/>
          <w:b/>
          <w:color w:val="000000"/>
          <w:sz w:val="28"/>
          <w:szCs w:val="28"/>
          <w:u w:val="single"/>
        </w:rPr>
        <w:t xml:space="preserve">               </w:t>
      </w:r>
    </w:p>
    <w:p>
      <w:pPr>
        <w:spacing w:line="500" w:lineRule="atLeast"/>
        <w:ind w:right="-92" w:rightChars="-44"/>
        <w:rPr>
          <w:rFonts w:hint="eastAsia" w:ascii="宋体" w:hAnsi="宋体" w:eastAsia="宋体" w:cs="宋体"/>
          <w:b/>
          <w:color w:val="000000"/>
          <w:sz w:val="28"/>
          <w:szCs w:val="28"/>
          <w:u w:val="single"/>
        </w:rPr>
      </w:pPr>
      <w:r>
        <w:rPr>
          <w:rFonts w:hint="eastAsia" w:ascii="宋体" w:hAnsi="宋体" w:eastAsia="宋体" w:cs="宋体"/>
          <w:b/>
          <w:color w:val="000000"/>
          <w:sz w:val="28"/>
          <w:szCs w:val="28"/>
        </w:rPr>
        <w:t xml:space="preserve">      投标人名称 ：</w:t>
      </w:r>
      <w:r>
        <w:rPr>
          <w:rFonts w:hint="eastAsia" w:ascii="宋体" w:hAnsi="宋体" w:eastAsia="宋体" w:cs="宋体"/>
          <w:b/>
          <w:color w:val="000000"/>
          <w:sz w:val="28"/>
          <w:szCs w:val="28"/>
          <w:u w:val="single"/>
        </w:rPr>
        <w:t xml:space="preserve">               </w:t>
      </w:r>
    </w:p>
    <w:p>
      <w:pPr>
        <w:spacing w:line="500" w:lineRule="atLeast"/>
        <w:ind w:right="-92" w:rightChars="-44"/>
        <w:rPr>
          <w:rFonts w:hint="eastAsia" w:ascii="宋体" w:hAnsi="宋体" w:eastAsia="宋体" w:cs="宋体"/>
          <w:b/>
          <w:color w:val="000000"/>
          <w:sz w:val="28"/>
          <w:szCs w:val="28"/>
        </w:rPr>
      </w:pPr>
      <w:r>
        <w:rPr>
          <w:rFonts w:hint="eastAsia" w:ascii="宋体" w:hAnsi="宋体" w:eastAsia="宋体" w:cs="宋体"/>
          <w:b/>
          <w:color w:val="000000"/>
          <w:sz w:val="28"/>
          <w:szCs w:val="28"/>
        </w:rPr>
        <w:t xml:space="preserve">      日      期 ：</w:t>
      </w:r>
      <w:r>
        <w:rPr>
          <w:rFonts w:hint="eastAsia" w:ascii="宋体" w:hAnsi="宋体" w:eastAsia="宋体" w:cs="宋体"/>
          <w:b/>
          <w:color w:val="000000"/>
          <w:sz w:val="28"/>
          <w:szCs w:val="28"/>
          <w:u w:val="single"/>
        </w:rPr>
        <w:t xml:space="preserve">               </w:t>
      </w:r>
    </w:p>
    <w:p>
      <w:pPr>
        <w:spacing w:line="500" w:lineRule="atLeast"/>
        <w:ind w:right="-92" w:rightChars="-44"/>
        <w:jc w:val="center"/>
        <w:rPr>
          <w:rFonts w:hint="eastAsia" w:ascii="宋体" w:hAnsi="宋体" w:eastAsia="宋体" w:cs="宋体"/>
          <w:b/>
          <w:bCs/>
          <w:color w:val="000000"/>
          <w:sz w:val="28"/>
          <w:szCs w:val="28"/>
        </w:rPr>
      </w:pPr>
    </w:p>
    <w:p>
      <w:pPr>
        <w:spacing w:line="500" w:lineRule="atLeast"/>
        <w:ind w:right="-92" w:rightChars="-44" w:firstLine="560" w:firstLineChars="200"/>
        <w:rPr>
          <w:rFonts w:hint="eastAsia" w:ascii="宋体" w:hAnsi="宋体" w:eastAsia="宋体" w:cs="宋体"/>
          <w:color w:val="000000"/>
          <w:sz w:val="28"/>
          <w:szCs w:val="28"/>
        </w:rPr>
      </w:pPr>
    </w:p>
    <w:p>
      <w:pPr>
        <w:spacing w:line="500" w:lineRule="atLeast"/>
        <w:ind w:right="-92" w:rightChars="-44" w:firstLine="560" w:firstLineChars="200"/>
        <w:rPr>
          <w:rFonts w:hint="eastAsia" w:ascii="宋体" w:hAnsi="宋体" w:eastAsia="宋体" w:cs="宋体"/>
          <w:color w:val="000000"/>
          <w:sz w:val="28"/>
          <w:szCs w:val="28"/>
        </w:rPr>
      </w:pPr>
    </w:p>
    <w:p>
      <w:pPr>
        <w:spacing w:line="500" w:lineRule="atLeast"/>
        <w:ind w:right="-92" w:rightChars="-44" w:firstLine="840" w:firstLineChars="300"/>
        <w:jc w:val="center"/>
        <w:rPr>
          <w:rFonts w:hint="eastAsia" w:ascii="宋体" w:hAnsi="宋体" w:eastAsia="宋体" w:cs="宋体"/>
          <w:b/>
          <w:bCs/>
          <w:color w:val="000000"/>
          <w:sz w:val="28"/>
          <w:szCs w:val="28"/>
        </w:rPr>
      </w:pPr>
      <w:r>
        <w:rPr>
          <w:rFonts w:hint="eastAsia" w:ascii="宋体" w:hAnsi="宋体" w:eastAsia="宋体" w:cs="宋体"/>
          <w:color w:val="000000"/>
          <w:sz w:val="28"/>
          <w:szCs w:val="28"/>
        </w:rPr>
        <w:br w:type="page"/>
      </w:r>
      <w:r>
        <w:rPr>
          <w:rFonts w:hint="eastAsia" w:ascii="宋体" w:hAnsi="宋体" w:eastAsia="宋体" w:cs="宋体"/>
          <w:b/>
          <w:bCs/>
          <w:color w:val="000000"/>
          <w:sz w:val="28"/>
          <w:szCs w:val="28"/>
        </w:rPr>
        <w:t>投标主要文件目录</w:t>
      </w:r>
    </w:p>
    <w:p>
      <w:pPr>
        <w:spacing w:line="500" w:lineRule="atLeast"/>
        <w:ind w:right="-92" w:rightChars="-44"/>
        <w:jc w:val="center"/>
        <w:rPr>
          <w:rFonts w:hint="eastAsia" w:ascii="宋体" w:hAnsi="宋体" w:eastAsia="宋体" w:cs="宋体"/>
          <w:b/>
          <w:bCs/>
          <w:color w:val="000000"/>
          <w:sz w:val="28"/>
          <w:szCs w:val="28"/>
        </w:rPr>
      </w:pPr>
    </w:p>
    <w:p>
      <w:pPr>
        <w:spacing w:line="500" w:lineRule="atLeast"/>
        <w:ind w:right="-92" w:rightChars="-44"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w:t>
      </w:r>
      <w:r>
        <w:rPr>
          <w:rFonts w:hint="eastAsia" w:ascii="宋体" w:hAnsi="宋体" w:eastAsia="宋体" w:cs="宋体"/>
          <w:bCs/>
          <w:color w:val="000000"/>
          <w:sz w:val="28"/>
          <w:szCs w:val="28"/>
        </w:rPr>
        <w:t>资信证明文件要求</w:t>
      </w:r>
    </w:p>
    <w:p>
      <w:pPr>
        <w:spacing w:line="500" w:lineRule="atLeast"/>
        <w:ind w:right="-92" w:rightChars="-44"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二</w:t>
      </w:r>
      <w:r>
        <w:rPr>
          <w:rFonts w:hint="eastAsia" w:ascii="宋体" w:hAnsi="宋体" w:eastAsia="宋体" w:cs="宋体"/>
          <w:color w:val="000000"/>
          <w:sz w:val="28"/>
          <w:szCs w:val="28"/>
        </w:rPr>
        <w:t>、资格性审查响应对照表</w:t>
      </w:r>
    </w:p>
    <w:p>
      <w:pPr>
        <w:spacing w:line="500" w:lineRule="atLeast"/>
        <w:ind w:right="-92" w:rightChars="-44" w:firstLine="560" w:firstLineChars="200"/>
        <w:rPr>
          <w:rFonts w:hint="eastAsia" w:ascii="宋体" w:hAnsi="宋体" w:eastAsia="宋体" w:cs="宋体"/>
          <w:bCs/>
          <w:color w:val="000000"/>
          <w:sz w:val="28"/>
          <w:szCs w:val="28"/>
        </w:rPr>
      </w:pPr>
      <w:r>
        <w:rPr>
          <w:rFonts w:hint="eastAsia" w:ascii="宋体" w:hAnsi="宋体" w:eastAsia="宋体" w:cs="宋体"/>
          <w:color w:val="000000"/>
          <w:sz w:val="28"/>
          <w:szCs w:val="28"/>
        </w:rPr>
        <w:t>三、符合性检查响应对照表</w:t>
      </w:r>
    </w:p>
    <w:p>
      <w:pPr>
        <w:spacing w:line="500" w:lineRule="atLeast"/>
        <w:ind w:right="-92" w:rightChars="-44"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四、投标函</w:t>
      </w:r>
    </w:p>
    <w:p>
      <w:pPr>
        <w:spacing w:line="500" w:lineRule="atLeast"/>
        <w:ind w:right="-92" w:rightChars="-44"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五</w:t>
      </w:r>
      <w:r>
        <w:rPr>
          <w:rFonts w:hint="eastAsia" w:ascii="宋体" w:hAnsi="宋体" w:eastAsia="宋体" w:cs="宋体"/>
          <w:b/>
          <w:bCs/>
          <w:color w:val="000000"/>
          <w:sz w:val="28"/>
          <w:szCs w:val="28"/>
        </w:rPr>
        <w:t>、</w:t>
      </w:r>
      <w:r>
        <w:rPr>
          <w:rFonts w:hint="eastAsia" w:ascii="宋体" w:hAnsi="宋体" w:eastAsia="宋体" w:cs="宋体"/>
          <w:color w:val="000000"/>
          <w:sz w:val="28"/>
          <w:szCs w:val="28"/>
        </w:rPr>
        <w:t>开标一览表</w:t>
      </w:r>
    </w:p>
    <w:p>
      <w:pPr>
        <w:spacing w:line="500" w:lineRule="atLeast"/>
        <w:ind w:right="-92" w:rightChars="-44"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六、投标配置与分项报价表</w:t>
      </w:r>
    </w:p>
    <w:p>
      <w:pPr>
        <w:spacing w:line="500" w:lineRule="atLeast"/>
        <w:ind w:right="-92" w:rightChars="-44"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七、技术参数响应及偏离表</w:t>
      </w:r>
    </w:p>
    <w:p>
      <w:pPr>
        <w:spacing w:line="500" w:lineRule="atLeast"/>
        <w:ind w:right="-92" w:rightChars="-44"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八、商务条款响应及偏离表</w:t>
      </w:r>
    </w:p>
    <w:p>
      <w:pPr>
        <w:spacing w:line="500" w:lineRule="atLeast"/>
        <w:ind w:right="-92" w:rightChars="-44"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九、实施</w:t>
      </w:r>
      <w:r>
        <w:rPr>
          <w:rFonts w:hint="eastAsia" w:ascii="宋体" w:hAnsi="宋体" w:eastAsia="宋体" w:cs="宋体"/>
          <w:color w:val="000000"/>
          <w:sz w:val="28"/>
          <w:szCs w:val="28"/>
        </w:rPr>
        <w:t>方案、服务承诺、培训承诺等</w:t>
      </w:r>
    </w:p>
    <w:p>
      <w:pPr>
        <w:spacing w:line="500" w:lineRule="atLeast"/>
        <w:ind w:right="-92" w:rightChars="-44"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十、盐城市大丰区政府招标采购供应商承诺书</w:t>
      </w:r>
    </w:p>
    <w:p>
      <w:pPr>
        <w:spacing w:line="500" w:lineRule="atLeast"/>
        <w:ind w:right="-92" w:rightChars="-44" w:firstLine="560" w:firstLineChars="200"/>
        <w:rPr>
          <w:rFonts w:hint="eastAsia" w:ascii="宋体" w:hAnsi="宋体" w:eastAsia="宋体" w:cs="宋体"/>
          <w:color w:val="000000"/>
          <w:sz w:val="28"/>
          <w:szCs w:val="28"/>
        </w:rPr>
      </w:pPr>
    </w:p>
    <w:p>
      <w:pPr>
        <w:snapToGrid w:val="0"/>
        <w:spacing w:before="50" w:after="50" w:line="500" w:lineRule="atLeast"/>
        <w:ind w:right="-92" w:rightChars="-44"/>
        <w:jc w:val="center"/>
        <w:rPr>
          <w:rFonts w:hint="eastAsia" w:ascii="宋体" w:hAnsi="宋体" w:eastAsia="宋体" w:cs="宋体"/>
          <w:color w:val="000000"/>
          <w:sz w:val="28"/>
          <w:szCs w:val="28"/>
        </w:rPr>
      </w:pPr>
    </w:p>
    <w:p>
      <w:pPr>
        <w:snapToGrid w:val="0"/>
        <w:spacing w:before="50" w:after="50" w:line="500" w:lineRule="atLeast"/>
        <w:ind w:right="-92" w:rightChars="-44"/>
        <w:jc w:val="center"/>
        <w:rPr>
          <w:rFonts w:hint="eastAsia" w:ascii="宋体" w:hAnsi="宋体" w:eastAsia="宋体" w:cs="宋体"/>
          <w:color w:val="000000"/>
          <w:sz w:val="28"/>
          <w:szCs w:val="28"/>
        </w:rPr>
      </w:pPr>
    </w:p>
    <w:p>
      <w:pPr>
        <w:snapToGrid w:val="0"/>
        <w:spacing w:before="50" w:after="50" w:line="500" w:lineRule="atLeast"/>
        <w:ind w:right="-92" w:rightChars="-44"/>
        <w:jc w:val="center"/>
        <w:rPr>
          <w:rFonts w:hint="eastAsia" w:ascii="宋体" w:hAnsi="宋体" w:eastAsia="宋体" w:cs="宋体"/>
          <w:color w:val="000000"/>
          <w:sz w:val="28"/>
          <w:szCs w:val="28"/>
        </w:rPr>
      </w:pPr>
    </w:p>
    <w:p>
      <w:pPr>
        <w:snapToGrid w:val="0"/>
        <w:spacing w:before="50" w:after="50" w:line="500" w:lineRule="atLeast"/>
        <w:ind w:right="-92" w:rightChars="-44"/>
        <w:jc w:val="center"/>
        <w:rPr>
          <w:rFonts w:hint="eastAsia" w:ascii="宋体" w:hAnsi="宋体" w:eastAsia="宋体" w:cs="宋体"/>
          <w:color w:val="000000"/>
          <w:sz w:val="28"/>
          <w:szCs w:val="28"/>
        </w:rPr>
      </w:pPr>
    </w:p>
    <w:p>
      <w:pPr>
        <w:snapToGrid w:val="0"/>
        <w:spacing w:before="50" w:after="50" w:line="500" w:lineRule="atLeast"/>
        <w:ind w:right="-92" w:rightChars="-44"/>
        <w:jc w:val="center"/>
        <w:rPr>
          <w:rFonts w:hint="eastAsia" w:ascii="宋体" w:hAnsi="宋体" w:eastAsia="宋体" w:cs="宋体"/>
          <w:color w:val="000000"/>
          <w:sz w:val="28"/>
          <w:szCs w:val="28"/>
        </w:rPr>
      </w:pPr>
    </w:p>
    <w:p>
      <w:pPr>
        <w:snapToGrid w:val="0"/>
        <w:spacing w:before="50" w:after="50" w:line="500" w:lineRule="atLeast"/>
        <w:ind w:right="-92" w:rightChars="-44"/>
        <w:jc w:val="center"/>
        <w:rPr>
          <w:rFonts w:hint="eastAsia" w:ascii="宋体" w:hAnsi="宋体" w:eastAsia="宋体" w:cs="宋体"/>
          <w:color w:val="000000"/>
          <w:sz w:val="28"/>
          <w:szCs w:val="28"/>
        </w:rPr>
      </w:pPr>
    </w:p>
    <w:p>
      <w:pPr>
        <w:snapToGrid w:val="0"/>
        <w:spacing w:before="50" w:after="50" w:line="500" w:lineRule="atLeast"/>
        <w:ind w:right="-92" w:rightChars="-44"/>
        <w:jc w:val="center"/>
        <w:rPr>
          <w:rFonts w:hint="eastAsia" w:ascii="宋体" w:hAnsi="宋体" w:eastAsia="宋体" w:cs="宋体"/>
          <w:color w:val="000000"/>
          <w:sz w:val="28"/>
          <w:szCs w:val="28"/>
        </w:rPr>
      </w:pPr>
    </w:p>
    <w:p>
      <w:pPr>
        <w:snapToGrid w:val="0"/>
        <w:spacing w:before="50" w:after="50" w:line="500" w:lineRule="atLeast"/>
        <w:ind w:right="-92" w:rightChars="-44"/>
        <w:jc w:val="center"/>
        <w:rPr>
          <w:rFonts w:hint="eastAsia" w:ascii="宋体" w:hAnsi="宋体" w:eastAsia="宋体" w:cs="宋体"/>
          <w:color w:val="000000"/>
          <w:sz w:val="28"/>
          <w:szCs w:val="28"/>
        </w:rPr>
      </w:pPr>
    </w:p>
    <w:p>
      <w:pPr>
        <w:pStyle w:val="8"/>
        <w:rPr>
          <w:rFonts w:hint="eastAsia" w:ascii="宋体" w:hAnsi="宋体" w:eastAsia="宋体" w:cs="宋体"/>
        </w:rPr>
      </w:pPr>
    </w:p>
    <w:p>
      <w:pPr>
        <w:snapToGrid w:val="0"/>
        <w:spacing w:before="50" w:after="50" w:line="500" w:lineRule="atLeast"/>
        <w:ind w:right="-92" w:rightChars="-44"/>
        <w:jc w:val="center"/>
        <w:rPr>
          <w:rFonts w:hint="eastAsia" w:ascii="宋体" w:hAnsi="宋体" w:eastAsia="宋体" w:cs="宋体"/>
          <w:color w:val="000000"/>
          <w:sz w:val="28"/>
          <w:szCs w:val="28"/>
        </w:rPr>
      </w:pPr>
    </w:p>
    <w:p>
      <w:pPr>
        <w:snapToGrid w:val="0"/>
        <w:spacing w:before="50" w:after="50" w:line="500" w:lineRule="atLeast"/>
        <w:ind w:right="-92" w:rightChars="-44"/>
        <w:jc w:val="center"/>
        <w:rPr>
          <w:rFonts w:hint="eastAsia" w:ascii="宋体" w:hAnsi="宋体" w:eastAsia="宋体" w:cs="宋体"/>
          <w:b/>
          <w:bCs/>
          <w:color w:val="000000"/>
          <w:sz w:val="28"/>
          <w:szCs w:val="28"/>
        </w:rPr>
      </w:pPr>
      <w:r>
        <w:rPr>
          <w:rFonts w:hint="eastAsia" w:ascii="宋体" w:hAnsi="宋体" w:eastAsia="宋体" w:cs="宋体"/>
          <w:color w:val="000000"/>
          <w:sz w:val="28"/>
          <w:szCs w:val="28"/>
        </w:rPr>
        <w:t>一、</w:t>
      </w:r>
      <w:r>
        <w:rPr>
          <w:rFonts w:hint="eastAsia" w:ascii="宋体" w:hAnsi="宋体" w:eastAsia="宋体" w:cs="宋体"/>
          <w:b/>
          <w:bCs/>
          <w:color w:val="000000"/>
          <w:sz w:val="28"/>
          <w:szCs w:val="28"/>
        </w:rPr>
        <w:t>资信证明文件要求</w:t>
      </w:r>
    </w:p>
    <w:p>
      <w:pPr>
        <w:snapToGrid w:val="0"/>
        <w:spacing w:before="50" w:after="50" w:line="500" w:lineRule="atLeast"/>
        <w:ind w:right="-92" w:rightChars="-44"/>
        <w:rPr>
          <w:rFonts w:hint="eastAsia" w:ascii="宋体" w:hAnsi="宋体" w:eastAsia="宋体" w:cs="宋体"/>
          <w:i/>
          <w:color w:val="000000"/>
          <w:sz w:val="28"/>
          <w:szCs w:val="28"/>
          <w:u w:val="single"/>
        </w:rPr>
      </w:pPr>
    </w:p>
    <w:p>
      <w:pPr>
        <w:snapToGrid w:val="0"/>
        <w:spacing w:before="50" w:after="50" w:line="500" w:lineRule="atLeast"/>
        <w:ind w:right="-92" w:rightChars="-44"/>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r>
        <w:rPr>
          <w:rFonts w:hint="eastAsia" w:ascii="宋体" w:hAnsi="宋体" w:eastAsia="宋体" w:cs="宋体"/>
          <w:b/>
          <w:bCs/>
          <w:color w:val="000000"/>
          <w:sz w:val="28"/>
          <w:szCs w:val="28"/>
        </w:rPr>
        <w:t>1、实质性资格证明文件目录</w:t>
      </w:r>
    </w:p>
    <w:p>
      <w:pPr>
        <w:snapToGrid w:val="0"/>
        <w:spacing w:line="500" w:lineRule="atLeast"/>
        <w:ind w:right="-92" w:rightChars="-44"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文件1  法人或者其他组织的营业执照等证明文件，自然人的身份证明</w:t>
      </w:r>
    </w:p>
    <w:p>
      <w:pPr>
        <w:snapToGrid w:val="0"/>
        <w:spacing w:before="50" w:after="156" w:afterLines="50" w:line="500" w:lineRule="atLeast"/>
        <w:ind w:right="-92" w:rightChars="-44"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文件2  上一年度财务状况报表（成立不满一年不需提供）</w:t>
      </w:r>
    </w:p>
    <w:p>
      <w:pPr>
        <w:snapToGrid w:val="0"/>
        <w:spacing w:line="500" w:lineRule="atLeast"/>
        <w:ind w:right="-92" w:rightChars="-44"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文件3  依法缴纳税收和社会保障资金的相关材料</w:t>
      </w:r>
    </w:p>
    <w:p>
      <w:pPr>
        <w:snapToGrid w:val="0"/>
        <w:spacing w:line="500" w:lineRule="atLeast"/>
        <w:ind w:right="-92" w:rightChars="-44"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文件4 参加政府采购活动前 3 年内在经营活动中没有重大违法记录的书面声明</w:t>
      </w:r>
    </w:p>
    <w:p>
      <w:pPr>
        <w:snapToGrid w:val="0"/>
        <w:spacing w:before="50" w:after="156" w:afterLines="50" w:line="500" w:lineRule="atLeast"/>
        <w:ind w:right="-92" w:rightChars="-44"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文件5 法人授权书</w:t>
      </w:r>
    </w:p>
    <w:p>
      <w:pPr>
        <w:snapToGrid w:val="0"/>
        <w:spacing w:before="50" w:after="156" w:afterLines="50" w:line="500" w:lineRule="atLeast"/>
        <w:ind w:left="239" w:leftChars="114" w:right="-92" w:rightChars="-44" w:firstLine="280" w:firstLineChars="100"/>
        <w:jc w:val="left"/>
        <w:rPr>
          <w:rFonts w:hint="eastAsia" w:ascii="宋体" w:hAnsi="宋体" w:eastAsia="宋体" w:cs="宋体"/>
          <w:color w:val="000000"/>
          <w:sz w:val="28"/>
          <w:szCs w:val="28"/>
        </w:rPr>
      </w:pPr>
      <w:r>
        <w:rPr>
          <w:rFonts w:hint="eastAsia" w:ascii="宋体" w:hAnsi="宋体" w:eastAsia="宋体" w:cs="宋体"/>
          <w:color w:val="000000"/>
          <w:sz w:val="28"/>
          <w:szCs w:val="28"/>
        </w:rPr>
        <w:t>文件6  招标文件中规定要求提供的证明材料和投标人认为需要提供的其他材料</w:t>
      </w:r>
    </w:p>
    <w:p>
      <w:pPr>
        <w:snapToGrid w:val="0"/>
        <w:spacing w:before="50" w:after="156" w:afterLines="50" w:line="500" w:lineRule="atLeast"/>
        <w:ind w:right="-92" w:rightChars="-44"/>
        <w:jc w:val="left"/>
        <w:rPr>
          <w:rFonts w:hint="eastAsia" w:ascii="宋体" w:hAnsi="宋体" w:eastAsia="宋体" w:cs="宋体"/>
          <w:b/>
          <w:i/>
          <w:color w:val="000000"/>
          <w:sz w:val="28"/>
          <w:szCs w:val="28"/>
          <w:u w:val="single"/>
        </w:rPr>
      </w:pPr>
    </w:p>
    <w:p>
      <w:pPr>
        <w:snapToGrid w:val="0"/>
        <w:spacing w:before="50" w:after="50" w:line="500" w:lineRule="atLeast"/>
        <w:ind w:right="-92" w:rightChars="-44"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2、非实质性资信证明文件目录</w:t>
      </w:r>
    </w:p>
    <w:p>
      <w:pPr>
        <w:pStyle w:val="7"/>
        <w:spacing w:line="500" w:lineRule="atLeast"/>
        <w:ind w:right="-92" w:rightChars="-44"/>
        <w:rPr>
          <w:rFonts w:hint="eastAsia" w:ascii="宋体" w:hAnsi="宋体" w:eastAsia="宋体" w:cs="宋体"/>
          <w:color w:val="000000"/>
          <w:sz w:val="28"/>
          <w:szCs w:val="28"/>
        </w:rPr>
      </w:pPr>
      <w:r>
        <w:rPr>
          <w:rFonts w:hint="eastAsia" w:ascii="宋体" w:hAnsi="宋体" w:eastAsia="宋体" w:cs="宋体"/>
          <w:color w:val="000000"/>
          <w:sz w:val="28"/>
          <w:szCs w:val="28"/>
        </w:rPr>
        <w:t>格式1《企业</w:t>
      </w:r>
      <w:r>
        <w:rPr>
          <w:rFonts w:hint="eastAsia" w:ascii="宋体" w:hAnsi="宋体" w:eastAsia="宋体" w:cs="宋体"/>
          <w:color w:val="000000"/>
          <w:sz w:val="28"/>
          <w:szCs w:val="28"/>
          <w:lang w:val="en-US" w:eastAsia="zh-CN"/>
        </w:rPr>
        <w:t>声</w:t>
      </w:r>
      <w:r>
        <w:rPr>
          <w:rFonts w:hint="eastAsia" w:ascii="宋体" w:hAnsi="宋体" w:eastAsia="宋体" w:cs="宋体"/>
          <w:color w:val="000000"/>
          <w:sz w:val="28"/>
          <w:szCs w:val="28"/>
        </w:rPr>
        <w:t>明函》</w:t>
      </w:r>
    </w:p>
    <w:p>
      <w:pPr>
        <w:pStyle w:val="7"/>
        <w:spacing w:line="500" w:lineRule="atLeast"/>
        <w:ind w:right="-92" w:rightChars="-44"/>
        <w:rPr>
          <w:rFonts w:hint="eastAsia" w:ascii="宋体" w:hAnsi="宋体" w:eastAsia="宋体" w:cs="宋体"/>
          <w:color w:val="000000"/>
          <w:sz w:val="28"/>
          <w:szCs w:val="28"/>
        </w:rPr>
      </w:pPr>
    </w:p>
    <w:p>
      <w:pPr>
        <w:pStyle w:val="7"/>
        <w:spacing w:line="500" w:lineRule="atLeast"/>
        <w:ind w:right="-92" w:rightChars="-44"/>
        <w:rPr>
          <w:rFonts w:hint="eastAsia" w:ascii="宋体" w:hAnsi="宋体" w:eastAsia="宋体" w:cs="宋体"/>
          <w:color w:val="000000"/>
          <w:sz w:val="28"/>
          <w:szCs w:val="28"/>
        </w:rPr>
      </w:pPr>
    </w:p>
    <w:p>
      <w:pPr>
        <w:pStyle w:val="7"/>
        <w:spacing w:line="500" w:lineRule="atLeast"/>
        <w:ind w:right="-92" w:rightChars="-44"/>
        <w:rPr>
          <w:rFonts w:hint="eastAsia" w:ascii="宋体" w:hAnsi="宋体" w:eastAsia="宋体" w:cs="宋体"/>
          <w:color w:val="000000"/>
          <w:sz w:val="28"/>
          <w:szCs w:val="28"/>
        </w:rPr>
      </w:pPr>
    </w:p>
    <w:p>
      <w:pPr>
        <w:pStyle w:val="7"/>
        <w:spacing w:line="500" w:lineRule="atLeast"/>
        <w:ind w:right="-92" w:rightChars="-44"/>
        <w:rPr>
          <w:rFonts w:hint="eastAsia" w:ascii="宋体" w:hAnsi="宋体" w:eastAsia="宋体" w:cs="宋体"/>
          <w:color w:val="000000"/>
          <w:sz w:val="28"/>
          <w:szCs w:val="28"/>
        </w:rPr>
      </w:pPr>
    </w:p>
    <w:p>
      <w:pPr>
        <w:pStyle w:val="7"/>
        <w:spacing w:line="500" w:lineRule="atLeast"/>
        <w:ind w:right="-92" w:rightChars="-44"/>
        <w:rPr>
          <w:rFonts w:hint="eastAsia" w:ascii="宋体" w:hAnsi="宋体" w:eastAsia="宋体" w:cs="宋体"/>
          <w:color w:val="000000"/>
          <w:sz w:val="28"/>
          <w:szCs w:val="28"/>
        </w:rPr>
      </w:pPr>
    </w:p>
    <w:p>
      <w:pPr>
        <w:pStyle w:val="7"/>
        <w:spacing w:line="500" w:lineRule="atLeast"/>
        <w:ind w:right="-92" w:rightChars="-44"/>
        <w:rPr>
          <w:rFonts w:hint="eastAsia" w:ascii="宋体" w:hAnsi="宋体" w:eastAsia="宋体" w:cs="宋体"/>
          <w:color w:val="000000"/>
          <w:sz w:val="28"/>
          <w:szCs w:val="28"/>
        </w:rPr>
      </w:pPr>
    </w:p>
    <w:p>
      <w:pPr>
        <w:pStyle w:val="7"/>
        <w:spacing w:line="500" w:lineRule="atLeast"/>
        <w:ind w:right="-92" w:rightChars="-44"/>
        <w:rPr>
          <w:rFonts w:hint="eastAsia" w:ascii="宋体" w:hAnsi="宋体" w:eastAsia="宋体" w:cs="宋体"/>
          <w:color w:val="000000"/>
          <w:sz w:val="28"/>
          <w:szCs w:val="28"/>
        </w:rPr>
      </w:pPr>
    </w:p>
    <w:p>
      <w:pPr>
        <w:pStyle w:val="7"/>
        <w:spacing w:line="500" w:lineRule="atLeast"/>
        <w:ind w:right="-92" w:rightChars="-44" w:firstLine="0"/>
        <w:rPr>
          <w:rFonts w:hint="eastAsia" w:ascii="宋体" w:hAnsi="宋体" w:eastAsia="宋体" w:cs="宋体"/>
          <w:color w:val="000000"/>
          <w:sz w:val="28"/>
          <w:szCs w:val="28"/>
        </w:rPr>
      </w:pPr>
    </w:p>
    <w:p>
      <w:pPr>
        <w:keepNext/>
        <w:keepLines/>
        <w:spacing w:before="260" w:after="260" w:line="416" w:lineRule="auto"/>
        <w:jc w:val="center"/>
        <w:outlineLvl w:val="2"/>
        <w:rPr>
          <w:rFonts w:hint="eastAsia" w:ascii="宋体" w:hAnsi="宋体" w:eastAsia="宋体" w:cs="宋体"/>
          <w:sz w:val="30"/>
          <w:szCs w:val="30"/>
        </w:rPr>
      </w:pPr>
      <w:r>
        <w:rPr>
          <w:rFonts w:hint="eastAsia" w:ascii="宋体" w:hAnsi="宋体" w:eastAsia="宋体" w:cs="宋体"/>
          <w:b/>
          <w:bCs/>
          <w:sz w:val="24"/>
          <w:szCs w:val="24"/>
        </w:rPr>
        <w:t>具备履行合同所必需的设备和专业技术能力的书面声明</w:t>
      </w:r>
    </w:p>
    <w:p>
      <w:pPr>
        <w:spacing w:line="460" w:lineRule="exact"/>
        <w:ind w:firstLine="480" w:firstLineChars="200"/>
        <w:rPr>
          <w:rFonts w:hint="eastAsia" w:ascii="宋体" w:hAnsi="宋体" w:eastAsia="宋体" w:cs="宋体"/>
          <w:bCs/>
          <w:sz w:val="24"/>
        </w:rPr>
      </w:pPr>
      <w:r>
        <w:rPr>
          <w:rFonts w:hint="eastAsia" w:ascii="宋体" w:hAnsi="宋体" w:eastAsia="宋体" w:cs="宋体"/>
          <w:bCs/>
          <w:sz w:val="24"/>
        </w:rPr>
        <w:t>根据项目需求提供履行合同所必需的设备和专业技术能力的证明材料或相关加盖公章的承诺函，承诺函自行编写</w:t>
      </w:r>
    </w:p>
    <w:p>
      <w:pPr>
        <w:autoSpaceDE w:val="0"/>
        <w:autoSpaceDN w:val="0"/>
        <w:adjustRightInd w:val="0"/>
        <w:spacing w:line="440" w:lineRule="exact"/>
        <w:jc w:val="left"/>
        <w:rPr>
          <w:rFonts w:hint="eastAsia" w:ascii="宋体" w:hAnsi="宋体" w:eastAsia="宋体" w:cs="宋体"/>
        </w:rPr>
      </w:pPr>
    </w:p>
    <w:p>
      <w:pPr>
        <w:autoSpaceDE w:val="0"/>
        <w:autoSpaceDN w:val="0"/>
        <w:adjustRightInd w:val="0"/>
        <w:spacing w:line="440" w:lineRule="exact"/>
        <w:jc w:val="left"/>
        <w:rPr>
          <w:rFonts w:hint="eastAsia" w:ascii="宋体" w:hAnsi="宋体" w:eastAsia="宋体" w:cs="宋体"/>
        </w:rPr>
      </w:pPr>
      <w:r>
        <w:rPr>
          <w:rFonts w:hint="eastAsia" w:ascii="宋体" w:hAnsi="宋体" w:eastAsia="宋体" w:cs="宋体"/>
        </w:rPr>
        <w:t>承诺函参考格式：</w:t>
      </w:r>
    </w:p>
    <w:p>
      <w:pPr>
        <w:spacing w:line="360" w:lineRule="auto"/>
        <w:ind w:firstLine="422" w:firstLineChars="200"/>
        <w:jc w:val="center"/>
        <w:rPr>
          <w:rFonts w:hint="eastAsia" w:ascii="宋体" w:hAnsi="宋体" w:eastAsia="宋体" w:cs="宋体"/>
          <w:b/>
          <w:szCs w:val="30"/>
        </w:rPr>
      </w:pPr>
      <w:r>
        <w:rPr>
          <w:rFonts w:hint="eastAsia" w:ascii="宋体" w:hAnsi="宋体" w:eastAsia="宋体" w:cs="宋体"/>
          <w:b/>
          <w:szCs w:val="30"/>
        </w:rPr>
        <w:t>承诺函</w:t>
      </w:r>
    </w:p>
    <w:p>
      <w:pPr>
        <w:spacing w:line="360" w:lineRule="auto"/>
        <w:ind w:firstLine="420" w:firstLineChars="200"/>
        <w:rPr>
          <w:rFonts w:hint="eastAsia" w:ascii="宋体" w:hAnsi="宋体" w:eastAsia="宋体" w:cs="宋体"/>
          <w:szCs w:val="30"/>
        </w:rPr>
      </w:pP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我单位承诺：</w:t>
      </w:r>
      <w:r>
        <w:rPr>
          <w:rFonts w:hint="eastAsia" w:ascii="宋体" w:hAnsi="宋体" w:eastAsia="宋体" w:cs="宋体"/>
          <w:bCs/>
          <w:sz w:val="24"/>
          <w:lang w:val="zh-CN"/>
        </w:rPr>
        <w:t>具有履行合同所必需的设备和专业技术能力。</w:t>
      </w:r>
    </w:p>
    <w:p>
      <w:pPr>
        <w:autoSpaceDE w:val="0"/>
        <w:autoSpaceDN w:val="0"/>
        <w:adjustRightInd w:val="0"/>
        <w:spacing w:line="440" w:lineRule="exact"/>
        <w:jc w:val="left"/>
        <w:rPr>
          <w:rFonts w:hint="eastAsia" w:ascii="宋体" w:hAnsi="宋体" w:eastAsia="宋体" w:cs="宋体"/>
          <w:sz w:val="24"/>
          <w:szCs w:val="24"/>
        </w:rPr>
      </w:pPr>
    </w:p>
    <w:p>
      <w:pPr>
        <w:autoSpaceDE w:val="0"/>
        <w:autoSpaceDN w:val="0"/>
        <w:adjustRightInd w:val="0"/>
        <w:spacing w:line="440" w:lineRule="exact"/>
        <w:jc w:val="left"/>
        <w:rPr>
          <w:rFonts w:hint="eastAsia" w:ascii="宋体" w:hAnsi="宋体" w:eastAsia="宋体" w:cs="宋体"/>
          <w:sz w:val="24"/>
          <w:szCs w:val="24"/>
        </w:rPr>
      </w:pPr>
    </w:p>
    <w:p>
      <w:pPr>
        <w:autoSpaceDE w:val="0"/>
        <w:autoSpaceDN w:val="0"/>
        <w:adjustRightInd w:val="0"/>
        <w:spacing w:line="440" w:lineRule="exact"/>
        <w:jc w:val="left"/>
        <w:rPr>
          <w:rFonts w:hint="eastAsia" w:ascii="宋体" w:hAnsi="宋体" w:eastAsia="宋体" w:cs="宋体"/>
          <w:sz w:val="24"/>
          <w:szCs w:val="24"/>
        </w:rPr>
      </w:pPr>
    </w:p>
    <w:p>
      <w:pPr>
        <w:spacing w:line="440" w:lineRule="exact"/>
        <w:rPr>
          <w:rFonts w:hint="eastAsia" w:ascii="宋体" w:hAnsi="宋体" w:eastAsia="宋体" w:cs="宋体"/>
        </w:rPr>
      </w:pPr>
      <w:r>
        <w:rPr>
          <w:rFonts w:hint="eastAsia" w:ascii="宋体" w:hAnsi="宋体" w:eastAsia="宋体" w:cs="宋体"/>
        </w:rPr>
        <w:t>投标人名称（公章）：</w:t>
      </w:r>
    </w:p>
    <w:p>
      <w:pPr>
        <w:spacing w:line="440" w:lineRule="exact"/>
        <w:rPr>
          <w:rFonts w:hint="eastAsia" w:ascii="宋体" w:hAnsi="宋体" w:eastAsia="宋体" w:cs="宋体"/>
        </w:rPr>
      </w:pPr>
      <w:r>
        <w:rPr>
          <w:rFonts w:hint="eastAsia" w:ascii="宋体" w:hAnsi="宋体" w:eastAsia="宋体" w:cs="宋体"/>
        </w:rPr>
        <w:t>授权代表（签字）：</w:t>
      </w:r>
    </w:p>
    <w:p>
      <w:pPr>
        <w:spacing w:line="440" w:lineRule="exact"/>
        <w:rPr>
          <w:rFonts w:hint="eastAsia" w:ascii="宋体" w:hAnsi="宋体" w:eastAsia="宋体" w:cs="宋体"/>
        </w:rPr>
      </w:pPr>
      <w:r>
        <w:rPr>
          <w:rFonts w:hint="eastAsia" w:ascii="宋体" w:hAnsi="宋体" w:eastAsia="宋体" w:cs="宋体"/>
        </w:rPr>
        <w:t>日期：</w:t>
      </w:r>
    </w:p>
    <w:p>
      <w:pPr>
        <w:pStyle w:val="5"/>
        <w:spacing w:line="500" w:lineRule="atLeast"/>
        <w:ind w:right="-92" w:rightChars="-44"/>
        <w:jc w:val="center"/>
        <w:rPr>
          <w:rFonts w:hint="eastAsia" w:ascii="宋体" w:hAnsi="宋体" w:eastAsia="宋体" w:cs="宋体"/>
          <w:color w:val="000000"/>
          <w:sz w:val="28"/>
          <w:szCs w:val="28"/>
        </w:rPr>
      </w:pPr>
    </w:p>
    <w:p>
      <w:pPr>
        <w:pStyle w:val="5"/>
        <w:spacing w:line="500" w:lineRule="atLeast"/>
        <w:ind w:right="-92" w:rightChars="-44"/>
        <w:jc w:val="center"/>
        <w:rPr>
          <w:rFonts w:hint="eastAsia" w:ascii="宋体" w:hAnsi="宋体" w:eastAsia="宋体" w:cs="宋体"/>
          <w:color w:val="000000"/>
          <w:sz w:val="28"/>
          <w:szCs w:val="28"/>
        </w:rPr>
      </w:pPr>
    </w:p>
    <w:p>
      <w:pPr>
        <w:pStyle w:val="5"/>
        <w:spacing w:line="500" w:lineRule="atLeast"/>
        <w:ind w:right="-92" w:rightChars="-44"/>
        <w:jc w:val="center"/>
        <w:rPr>
          <w:rFonts w:hint="eastAsia" w:ascii="宋体" w:hAnsi="宋体" w:eastAsia="宋体" w:cs="宋体"/>
          <w:color w:val="000000"/>
          <w:sz w:val="28"/>
          <w:szCs w:val="28"/>
        </w:rPr>
      </w:pPr>
    </w:p>
    <w:p>
      <w:pPr>
        <w:pStyle w:val="7"/>
        <w:rPr>
          <w:rFonts w:hint="eastAsia" w:ascii="宋体" w:hAnsi="宋体" w:eastAsia="宋体" w:cs="宋体"/>
          <w:color w:val="000000"/>
          <w:sz w:val="28"/>
          <w:szCs w:val="28"/>
        </w:rPr>
      </w:pPr>
    </w:p>
    <w:p>
      <w:pPr>
        <w:pStyle w:val="7"/>
        <w:rPr>
          <w:rFonts w:hint="eastAsia" w:ascii="宋体" w:hAnsi="宋体" w:eastAsia="宋体" w:cs="宋体"/>
          <w:color w:val="000000"/>
          <w:sz w:val="28"/>
          <w:szCs w:val="28"/>
        </w:rPr>
      </w:pPr>
    </w:p>
    <w:p>
      <w:pPr>
        <w:pStyle w:val="7"/>
        <w:rPr>
          <w:rFonts w:hint="eastAsia" w:ascii="宋体" w:hAnsi="宋体" w:eastAsia="宋体" w:cs="宋体"/>
          <w:color w:val="000000"/>
          <w:sz w:val="28"/>
          <w:szCs w:val="28"/>
        </w:rPr>
      </w:pPr>
    </w:p>
    <w:p>
      <w:pPr>
        <w:pStyle w:val="5"/>
        <w:spacing w:line="500" w:lineRule="atLeast"/>
        <w:ind w:right="-92" w:rightChars="-44"/>
        <w:jc w:val="center"/>
        <w:rPr>
          <w:rFonts w:hint="eastAsia" w:ascii="宋体" w:hAnsi="宋体" w:eastAsia="宋体" w:cs="宋体"/>
          <w:color w:val="000000"/>
          <w:sz w:val="28"/>
          <w:szCs w:val="28"/>
        </w:rPr>
      </w:pPr>
    </w:p>
    <w:p>
      <w:pPr>
        <w:pStyle w:val="7"/>
        <w:rPr>
          <w:rFonts w:hint="eastAsia" w:ascii="宋体" w:hAnsi="宋体" w:eastAsia="宋体" w:cs="宋体"/>
        </w:rPr>
      </w:pPr>
    </w:p>
    <w:p>
      <w:pPr>
        <w:pStyle w:val="7"/>
        <w:rPr>
          <w:rFonts w:hint="eastAsia" w:ascii="宋体" w:hAnsi="宋体" w:eastAsia="宋体" w:cs="宋体"/>
        </w:rPr>
      </w:pPr>
    </w:p>
    <w:p>
      <w:pPr>
        <w:pStyle w:val="7"/>
        <w:rPr>
          <w:rFonts w:hint="eastAsia" w:ascii="宋体" w:hAnsi="宋体" w:eastAsia="宋体" w:cs="宋体"/>
        </w:rPr>
      </w:pPr>
    </w:p>
    <w:p>
      <w:pPr>
        <w:bidi w:val="0"/>
        <w:rPr>
          <w:rFonts w:hint="eastAsia" w:ascii="宋体" w:hAnsi="宋体" w:eastAsia="宋体" w:cs="宋体"/>
          <w:b/>
          <w:bCs/>
          <w:sz w:val="28"/>
          <w:szCs w:val="32"/>
        </w:rPr>
      </w:pPr>
      <w:r>
        <w:rPr>
          <w:rFonts w:hint="eastAsia" w:ascii="宋体" w:hAnsi="宋体" w:eastAsia="宋体" w:cs="宋体"/>
          <w:b/>
          <w:bCs/>
          <w:sz w:val="28"/>
          <w:szCs w:val="32"/>
        </w:rPr>
        <w:t>参加政府采购活动前 3 年内在经营活动中没有重大违法记录的书面声明</w:t>
      </w:r>
    </w:p>
    <w:p>
      <w:pPr>
        <w:spacing w:line="500" w:lineRule="atLeast"/>
        <w:ind w:right="-92" w:rightChars="-44"/>
        <w:rPr>
          <w:rFonts w:hint="eastAsia" w:ascii="宋体" w:hAnsi="宋体" w:eastAsia="宋体" w:cs="宋体"/>
          <w:b/>
          <w:bCs/>
          <w:color w:val="000000"/>
          <w:sz w:val="28"/>
          <w:szCs w:val="28"/>
        </w:rPr>
      </w:pPr>
      <w:r>
        <w:rPr>
          <w:rFonts w:hint="eastAsia" w:ascii="宋体" w:hAnsi="宋体" w:eastAsia="宋体" w:cs="宋体"/>
          <w:b/>
          <w:bCs/>
          <w:color w:val="000000"/>
          <w:sz w:val="28"/>
          <w:szCs w:val="28"/>
        </w:rPr>
        <w:t xml:space="preserve">                          </w:t>
      </w:r>
    </w:p>
    <w:p>
      <w:pPr>
        <w:spacing w:line="500" w:lineRule="atLeast"/>
        <w:ind w:right="-92" w:rightChars="-44"/>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声  明</w:t>
      </w:r>
    </w:p>
    <w:p>
      <w:pPr>
        <w:spacing w:line="500" w:lineRule="atLeast"/>
        <w:ind w:right="-92" w:rightChars="-44"/>
        <w:rPr>
          <w:rFonts w:hint="eastAsia" w:ascii="宋体" w:hAnsi="宋体" w:eastAsia="宋体" w:cs="宋体"/>
          <w:bCs/>
          <w:color w:val="000000"/>
          <w:sz w:val="28"/>
          <w:szCs w:val="28"/>
        </w:rPr>
      </w:pPr>
      <w:r>
        <w:rPr>
          <w:rFonts w:hint="eastAsia" w:ascii="宋体" w:hAnsi="宋体" w:eastAsia="宋体" w:cs="宋体"/>
          <w:b/>
          <w:bCs/>
          <w:color w:val="000000"/>
          <w:sz w:val="28"/>
          <w:szCs w:val="28"/>
        </w:rPr>
        <w:t xml:space="preserve">    </w:t>
      </w:r>
      <w:r>
        <w:rPr>
          <w:rFonts w:hint="eastAsia" w:ascii="宋体" w:hAnsi="宋体" w:eastAsia="宋体" w:cs="宋体"/>
          <w:bCs/>
          <w:color w:val="000000"/>
          <w:sz w:val="28"/>
          <w:szCs w:val="28"/>
        </w:rPr>
        <w:t>我公司郑重声明：参加本次政府采购活动前 3 年内，我公司在经营活动中没有因违法经营受到刑事处罚或者责令停产停业、吊销许可证或者执照、较大数额罚款等行政处罚。</w:t>
      </w:r>
    </w:p>
    <w:p>
      <w:pPr>
        <w:spacing w:line="500" w:lineRule="atLeast"/>
        <w:ind w:right="-92" w:rightChars="-44"/>
        <w:rPr>
          <w:rFonts w:hint="eastAsia" w:ascii="宋体" w:hAnsi="宋体" w:eastAsia="宋体" w:cs="宋体"/>
          <w:bCs/>
          <w:color w:val="000000"/>
          <w:sz w:val="28"/>
          <w:szCs w:val="28"/>
        </w:rPr>
      </w:pPr>
      <w:r>
        <w:rPr>
          <w:rFonts w:hint="eastAsia" w:ascii="宋体" w:hAnsi="宋体" w:eastAsia="宋体" w:cs="宋体"/>
          <w:bCs/>
          <w:color w:val="000000"/>
          <w:sz w:val="28"/>
          <w:szCs w:val="28"/>
        </w:rPr>
        <w:t xml:space="preserve">                                      供应商名称（公章）：</w:t>
      </w:r>
    </w:p>
    <w:p>
      <w:pPr>
        <w:spacing w:line="500" w:lineRule="atLeast"/>
        <w:ind w:right="-92" w:rightChars="-44"/>
        <w:rPr>
          <w:rFonts w:hint="eastAsia" w:ascii="宋体" w:hAnsi="宋体" w:eastAsia="宋体" w:cs="宋体"/>
          <w:bCs/>
          <w:color w:val="000000"/>
          <w:sz w:val="28"/>
          <w:szCs w:val="28"/>
        </w:rPr>
      </w:pPr>
      <w:r>
        <w:rPr>
          <w:rFonts w:hint="eastAsia" w:ascii="宋体" w:hAnsi="宋体" w:eastAsia="宋体" w:cs="宋体"/>
          <w:bCs/>
          <w:color w:val="000000"/>
          <w:sz w:val="28"/>
          <w:szCs w:val="28"/>
        </w:rPr>
        <w:t xml:space="preserve">                                      授权代表签字：</w:t>
      </w:r>
    </w:p>
    <w:p>
      <w:pPr>
        <w:spacing w:line="500" w:lineRule="atLeast"/>
        <w:ind w:right="-92" w:rightChars="-44"/>
        <w:rPr>
          <w:rFonts w:hint="eastAsia" w:ascii="宋体" w:hAnsi="宋体" w:eastAsia="宋体" w:cs="宋体"/>
          <w:bCs/>
          <w:color w:val="000000"/>
          <w:sz w:val="28"/>
          <w:szCs w:val="28"/>
        </w:rPr>
      </w:pPr>
      <w:r>
        <w:rPr>
          <w:rFonts w:hint="eastAsia" w:ascii="宋体" w:hAnsi="宋体" w:eastAsia="宋体" w:cs="宋体"/>
          <w:bCs/>
          <w:color w:val="000000"/>
          <w:sz w:val="28"/>
          <w:szCs w:val="28"/>
        </w:rPr>
        <w:t xml:space="preserve">                                      日期：</w:t>
      </w:r>
      <w:r>
        <w:rPr>
          <w:rFonts w:hint="eastAsia" w:ascii="宋体" w:hAnsi="宋体" w:eastAsia="宋体" w:cs="宋体"/>
          <w:bCs/>
          <w:color w:val="000000"/>
          <w:sz w:val="28"/>
          <w:szCs w:val="28"/>
          <w:u w:val="single"/>
        </w:rPr>
        <w:t>______</w:t>
      </w:r>
      <w:r>
        <w:rPr>
          <w:rFonts w:hint="eastAsia" w:ascii="宋体" w:hAnsi="宋体" w:eastAsia="宋体" w:cs="宋体"/>
          <w:bCs/>
          <w:color w:val="000000"/>
          <w:sz w:val="28"/>
          <w:szCs w:val="28"/>
        </w:rPr>
        <w:t>年</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rPr>
        <w:t>月</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rPr>
        <w:t>日</w:t>
      </w:r>
    </w:p>
    <w:p>
      <w:pPr>
        <w:spacing w:line="500" w:lineRule="atLeast"/>
        <w:ind w:right="-92" w:rightChars="-44"/>
        <w:rPr>
          <w:rFonts w:hint="eastAsia" w:ascii="宋体" w:hAnsi="宋体" w:eastAsia="宋体" w:cs="宋体"/>
          <w:bCs/>
          <w:color w:val="000000"/>
          <w:sz w:val="28"/>
          <w:szCs w:val="28"/>
        </w:rPr>
      </w:pPr>
    </w:p>
    <w:p>
      <w:pPr>
        <w:spacing w:line="500" w:lineRule="atLeast"/>
        <w:ind w:right="-92" w:rightChars="-44"/>
        <w:rPr>
          <w:rFonts w:hint="eastAsia" w:ascii="宋体" w:hAnsi="宋体" w:eastAsia="宋体" w:cs="宋体"/>
          <w:bCs/>
          <w:color w:val="000000"/>
          <w:sz w:val="28"/>
          <w:szCs w:val="28"/>
        </w:rPr>
      </w:pPr>
    </w:p>
    <w:p>
      <w:pPr>
        <w:spacing w:line="500" w:lineRule="atLeast"/>
        <w:ind w:right="-92" w:rightChars="-44"/>
        <w:rPr>
          <w:rFonts w:hint="eastAsia" w:ascii="宋体" w:hAnsi="宋体" w:eastAsia="宋体" w:cs="宋体"/>
          <w:bCs/>
          <w:color w:val="000000"/>
          <w:sz w:val="28"/>
          <w:szCs w:val="28"/>
        </w:rPr>
      </w:pPr>
    </w:p>
    <w:p>
      <w:pPr>
        <w:spacing w:line="500" w:lineRule="atLeast"/>
        <w:ind w:right="-92" w:rightChars="-44"/>
        <w:rPr>
          <w:rFonts w:hint="eastAsia" w:ascii="宋体" w:hAnsi="宋体" w:eastAsia="宋体" w:cs="宋体"/>
          <w:bCs/>
          <w:color w:val="000000"/>
          <w:sz w:val="28"/>
          <w:szCs w:val="28"/>
        </w:rPr>
      </w:pPr>
    </w:p>
    <w:p>
      <w:pPr>
        <w:spacing w:line="500" w:lineRule="atLeast"/>
        <w:ind w:right="-92" w:rightChars="-44"/>
        <w:rPr>
          <w:rFonts w:hint="eastAsia" w:ascii="宋体" w:hAnsi="宋体" w:eastAsia="宋体" w:cs="宋体"/>
          <w:bCs/>
          <w:color w:val="000000"/>
          <w:sz w:val="28"/>
          <w:szCs w:val="28"/>
        </w:rPr>
      </w:pPr>
    </w:p>
    <w:p>
      <w:pPr>
        <w:spacing w:line="500" w:lineRule="atLeast"/>
        <w:ind w:right="-92" w:rightChars="-44"/>
        <w:rPr>
          <w:rFonts w:hint="eastAsia" w:ascii="宋体" w:hAnsi="宋体" w:eastAsia="宋体" w:cs="宋体"/>
          <w:bCs/>
          <w:color w:val="000000"/>
          <w:sz w:val="28"/>
          <w:szCs w:val="28"/>
        </w:rPr>
      </w:pPr>
    </w:p>
    <w:p>
      <w:pPr>
        <w:spacing w:line="500" w:lineRule="atLeast"/>
        <w:ind w:right="-92" w:rightChars="-44"/>
        <w:rPr>
          <w:rFonts w:hint="eastAsia" w:ascii="宋体" w:hAnsi="宋体" w:eastAsia="宋体" w:cs="宋体"/>
          <w:bCs/>
          <w:color w:val="000000"/>
          <w:sz w:val="28"/>
          <w:szCs w:val="28"/>
        </w:rPr>
      </w:pPr>
    </w:p>
    <w:p>
      <w:pPr>
        <w:pStyle w:val="5"/>
        <w:spacing w:line="500" w:lineRule="atLeast"/>
        <w:ind w:right="-92" w:rightChars="-44"/>
        <w:jc w:val="center"/>
        <w:rPr>
          <w:rFonts w:hint="eastAsia" w:ascii="宋体" w:hAnsi="宋体" w:eastAsia="宋体" w:cs="宋体"/>
          <w:color w:val="000000"/>
          <w:sz w:val="28"/>
          <w:szCs w:val="28"/>
        </w:rPr>
      </w:pPr>
      <w:r>
        <w:rPr>
          <w:rFonts w:hint="eastAsia" w:ascii="宋体" w:hAnsi="宋体" w:eastAsia="宋体" w:cs="宋体"/>
          <w:color w:val="000000"/>
          <w:sz w:val="28"/>
          <w:szCs w:val="28"/>
        </w:rPr>
        <w:br w:type="page"/>
      </w:r>
      <w:r>
        <w:rPr>
          <w:rFonts w:hint="eastAsia" w:ascii="宋体" w:hAnsi="宋体" w:eastAsia="宋体" w:cs="宋体"/>
          <w:color w:val="000000"/>
          <w:sz w:val="28"/>
          <w:szCs w:val="28"/>
        </w:rPr>
        <w:t>法人授权书</w:t>
      </w:r>
    </w:p>
    <w:p>
      <w:pPr>
        <w:pStyle w:val="25"/>
        <w:spacing w:line="500" w:lineRule="atLeast"/>
        <w:ind w:right="-92" w:rightChars="-44" w:firstLine="56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本授权书声明：____________（供应商名称）授权________________（被授权人的姓名）为我方就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编号项目采购活动的合法代理人，以本</w:t>
      </w:r>
      <w:r>
        <w:rPr>
          <w:rFonts w:hint="eastAsia" w:ascii="宋体" w:hAnsi="宋体" w:cs="宋体"/>
          <w:color w:val="000000"/>
          <w:sz w:val="28"/>
          <w:szCs w:val="28"/>
          <w:lang w:val="en-US" w:eastAsia="zh-CN"/>
        </w:rPr>
        <w:t>单位</w:t>
      </w:r>
      <w:r>
        <w:rPr>
          <w:rFonts w:hint="eastAsia" w:ascii="宋体" w:hAnsi="宋体" w:eastAsia="宋体" w:cs="宋体"/>
          <w:color w:val="000000"/>
          <w:sz w:val="28"/>
          <w:szCs w:val="28"/>
        </w:rPr>
        <w:t>名义全权处理一切与该项目采购有关的事务。</w:t>
      </w:r>
    </w:p>
    <w:p>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19" w:lineRule="atLeast"/>
        <w:ind w:left="0" w:right="0" w:firstLine="720"/>
        <w:rPr>
          <w:rFonts w:ascii="宋体" w:hAnsi="宋体" w:eastAsia="宋体" w:cs="宋体"/>
          <w:color w:val="000000"/>
          <w:sz w:val="28"/>
          <w:szCs w:val="28"/>
        </w:rPr>
      </w:pPr>
      <w:r>
        <w:rPr>
          <w:rFonts w:ascii="宋体" w:hAnsi="宋体" w:eastAsia="宋体" w:cs="宋体"/>
          <w:color w:val="000000"/>
          <w:sz w:val="28"/>
          <w:szCs w:val="28"/>
        </w:rPr>
        <w:t>本授权书于______年____月____日起生效，特此声明。</w:t>
      </w:r>
    </w:p>
    <w:p>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19" w:lineRule="atLeast"/>
        <w:ind w:left="0" w:right="0" w:firstLine="72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被授权人身份证号码：</w:t>
      </w:r>
    </w:p>
    <w:p>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19" w:lineRule="atLeast"/>
        <w:ind w:left="0" w:right="0" w:firstLine="72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被授权人联系电话：（手机）</w:t>
      </w:r>
    </w:p>
    <w:p>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19" w:lineRule="atLeast"/>
        <w:ind w:left="0" w:right="0" w:firstLine="72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                            授权单位名称：（加盖CA电子公章）</w:t>
      </w:r>
    </w:p>
    <w:p>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19" w:lineRule="atLeast"/>
        <w:ind w:left="0" w:right="0" w:firstLine="72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                                单位地址：</w:t>
      </w:r>
    </w:p>
    <w:p>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19" w:lineRule="atLeast"/>
        <w:ind w:left="0" w:right="0" w:firstLine="5437" w:firstLineChars="1942"/>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日期：</w:t>
      </w:r>
    </w:p>
    <w:p>
      <w:pPr>
        <w:pStyle w:val="25"/>
        <w:spacing w:line="500" w:lineRule="atLeast"/>
        <w:ind w:right="-92" w:rightChars="-44" w:firstLine="560"/>
        <w:rPr>
          <w:rFonts w:hint="eastAsia" w:ascii="宋体" w:hAnsi="宋体" w:eastAsia="宋体" w:cs="宋体"/>
          <w:color w:val="000000"/>
          <w:sz w:val="28"/>
          <w:szCs w:val="28"/>
        </w:rPr>
      </w:pPr>
      <w:r>
        <w:rPr>
          <w:rFonts w:ascii="宋体" w:hAnsi="宋体" w:eastAsia="宋体" w:cs="宋体"/>
          <w:color w:val="000000"/>
          <w:sz w:val="28"/>
          <w:szCs w:val="28"/>
        </w:rPr>
        <w:t> </w:t>
      </w:r>
      <w:r>
        <w:rPr>
          <w:rFonts w:hint="eastAsia" w:ascii="宋体" w:hAnsi="宋体" w:eastAsia="宋体" w:cs="宋体"/>
          <w:color w:val="000000"/>
          <w:sz w:val="28"/>
          <w:szCs w:val="28"/>
        </w:rPr>
        <w:t xml:space="preserve">                   </w:t>
      </w:r>
    </w:p>
    <w:p>
      <w:pPr>
        <w:pStyle w:val="5"/>
        <w:spacing w:line="500" w:lineRule="atLeast"/>
        <w:ind w:right="-92" w:rightChars="-44"/>
        <w:rPr>
          <w:rFonts w:hint="eastAsia" w:ascii="宋体" w:hAnsi="宋体" w:eastAsia="宋体" w:cs="宋体"/>
          <w:color w:val="000000"/>
          <w:sz w:val="28"/>
          <w:szCs w:val="28"/>
        </w:rPr>
      </w:pPr>
      <w:bookmarkStart w:id="59" w:name="_Hlt26955070"/>
      <w:bookmarkEnd w:id="59"/>
      <w:bookmarkStart w:id="60" w:name="_Hlt26671380"/>
      <w:bookmarkEnd w:id="60"/>
      <w:bookmarkStart w:id="61" w:name="_格式3__银行出具的资信证明"/>
      <w:bookmarkEnd w:id="61"/>
    </w:p>
    <w:p>
      <w:pPr>
        <w:pStyle w:val="7"/>
        <w:spacing w:line="500" w:lineRule="atLeast"/>
        <w:ind w:right="-92" w:rightChars="-44"/>
        <w:rPr>
          <w:rFonts w:hint="eastAsia" w:ascii="宋体" w:hAnsi="宋体" w:eastAsia="宋体" w:cs="宋体"/>
          <w:color w:val="000000"/>
          <w:sz w:val="28"/>
          <w:szCs w:val="28"/>
        </w:rPr>
      </w:pPr>
    </w:p>
    <w:p>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firstLine="420"/>
        <w:jc w:val="both"/>
        <w:rPr>
          <w:sz w:val="28"/>
          <w:szCs w:val="28"/>
        </w:rPr>
      </w:pPr>
      <w:r>
        <w:rPr>
          <w:rFonts w:ascii="楷体" w:hAnsi="楷体" w:eastAsia="楷体" w:cs="楷体"/>
          <w:color w:val="000000"/>
          <w:sz w:val="28"/>
          <w:szCs w:val="28"/>
        </w:rPr>
        <w:t>备注</w:t>
      </w:r>
      <w:r>
        <w:rPr>
          <w:rFonts w:hint="eastAsia" w:ascii="楷体" w:hAnsi="楷体" w:eastAsia="楷体" w:cs="楷体"/>
          <w:color w:val="000000"/>
          <w:sz w:val="28"/>
          <w:szCs w:val="28"/>
          <w:lang w:eastAsia="zh-CN"/>
        </w:rPr>
        <w:t>：</w:t>
      </w:r>
      <w:r>
        <w:rPr>
          <w:rFonts w:ascii="楷体" w:hAnsi="楷体" w:eastAsia="楷体" w:cs="楷体"/>
          <w:color w:val="000000"/>
          <w:sz w:val="28"/>
          <w:szCs w:val="28"/>
        </w:rPr>
        <w:t>如果我公司（单位）中标，请按以下信息寄送中标通知书</w:t>
      </w:r>
    </w:p>
    <w:p>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20"/>
        <w:jc w:val="both"/>
        <w:rPr>
          <w:sz w:val="28"/>
          <w:szCs w:val="28"/>
        </w:rPr>
      </w:pPr>
      <w:r>
        <w:rPr>
          <w:rFonts w:hint="eastAsia" w:ascii="楷体" w:hAnsi="楷体" w:eastAsia="楷体" w:cs="楷体"/>
          <w:color w:val="000000"/>
          <w:sz w:val="28"/>
          <w:szCs w:val="28"/>
        </w:rPr>
        <w:t>联系人：</w:t>
      </w:r>
      <w:r>
        <w:rPr>
          <w:rFonts w:hint="eastAsia" w:ascii="楷体" w:hAnsi="楷体" w:eastAsia="楷体" w:cs="楷体"/>
          <w:color w:val="000000"/>
          <w:sz w:val="28"/>
          <w:szCs w:val="28"/>
          <w:u w:val="single"/>
        </w:rPr>
        <w:t>                 </w:t>
      </w:r>
    </w:p>
    <w:p>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20"/>
        <w:jc w:val="both"/>
        <w:rPr>
          <w:sz w:val="28"/>
          <w:szCs w:val="28"/>
        </w:rPr>
      </w:pPr>
      <w:r>
        <w:rPr>
          <w:rFonts w:hint="eastAsia" w:ascii="楷体" w:hAnsi="楷体" w:eastAsia="楷体" w:cs="楷体"/>
          <w:color w:val="000000"/>
          <w:sz w:val="28"/>
          <w:szCs w:val="28"/>
        </w:rPr>
        <w:t>寄送地址：</w:t>
      </w:r>
      <w:r>
        <w:rPr>
          <w:rFonts w:hint="eastAsia" w:ascii="楷体" w:hAnsi="楷体" w:eastAsia="楷体" w:cs="楷体"/>
          <w:color w:val="000000"/>
          <w:sz w:val="28"/>
          <w:szCs w:val="28"/>
          <w:u w:val="single"/>
        </w:rPr>
        <w:t>                </w:t>
      </w:r>
    </w:p>
    <w:p>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20"/>
        <w:jc w:val="both"/>
        <w:rPr>
          <w:sz w:val="28"/>
          <w:szCs w:val="28"/>
        </w:rPr>
      </w:pPr>
      <w:r>
        <w:rPr>
          <w:rFonts w:hint="eastAsia" w:ascii="楷体" w:hAnsi="楷体" w:eastAsia="楷体" w:cs="楷体"/>
          <w:color w:val="000000"/>
          <w:sz w:val="28"/>
          <w:szCs w:val="28"/>
        </w:rPr>
        <w:t>联系电话：</w:t>
      </w:r>
      <w:r>
        <w:rPr>
          <w:rFonts w:hint="eastAsia" w:ascii="楷体" w:hAnsi="楷体" w:eastAsia="楷体" w:cs="楷体"/>
          <w:color w:val="000000"/>
          <w:sz w:val="28"/>
          <w:szCs w:val="28"/>
          <w:u w:val="single"/>
        </w:rPr>
        <w:t>                  </w:t>
      </w:r>
    </w:p>
    <w:p>
      <w:pPr>
        <w:pStyle w:val="7"/>
        <w:spacing w:line="500" w:lineRule="atLeast"/>
        <w:ind w:right="-92" w:rightChars="-44"/>
        <w:rPr>
          <w:rFonts w:hint="eastAsia" w:ascii="宋体" w:hAnsi="宋体" w:eastAsia="宋体" w:cs="宋体"/>
          <w:color w:val="000000"/>
          <w:sz w:val="28"/>
          <w:szCs w:val="28"/>
        </w:rPr>
      </w:pPr>
    </w:p>
    <w:p>
      <w:pPr>
        <w:pStyle w:val="7"/>
        <w:spacing w:line="500" w:lineRule="atLeast"/>
        <w:ind w:right="-92" w:rightChars="-44"/>
        <w:rPr>
          <w:rFonts w:hint="eastAsia" w:ascii="宋体" w:hAnsi="宋体" w:eastAsia="宋体" w:cs="宋体"/>
          <w:color w:val="000000"/>
          <w:sz w:val="28"/>
          <w:szCs w:val="28"/>
        </w:rPr>
      </w:pPr>
    </w:p>
    <w:p>
      <w:pPr>
        <w:spacing w:line="500" w:lineRule="atLeast"/>
        <w:ind w:right="-92" w:rightChars="-44"/>
        <w:rPr>
          <w:rFonts w:hint="eastAsia" w:ascii="宋体" w:hAnsi="宋体" w:eastAsia="宋体" w:cs="宋体"/>
          <w:b/>
          <w:bCs/>
          <w:color w:val="000000"/>
          <w:sz w:val="28"/>
          <w:szCs w:val="28"/>
        </w:rPr>
      </w:pPr>
    </w:p>
    <w:p>
      <w:pPr>
        <w:spacing w:line="500" w:lineRule="atLeast"/>
        <w:ind w:right="-92" w:rightChars="-44"/>
        <w:rPr>
          <w:rFonts w:hint="eastAsia" w:ascii="宋体" w:hAnsi="宋体" w:eastAsia="宋体" w:cs="宋体"/>
          <w:b/>
          <w:bCs/>
          <w:color w:val="000000"/>
          <w:sz w:val="28"/>
          <w:szCs w:val="28"/>
        </w:rPr>
      </w:pPr>
      <w:r>
        <w:rPr>
          <w:rFonts w:hint="eastAsia" w:ascii="宋体" w:hAnsi="宋体" w:eastAsia="宋体" w:cs="宋体"/>
          <w:b/>
          <w:bCs/>
          <w:color w:val="000000"/>
          <w:sz w:val="28"/>
          <w:szCs w:val="28"/>
        </w:rPr>
        <w:br w:type="page"/>
      </w:r>
      <w:r>
        <w:rPr>
          <w:rFonts w:hint="eastAsia" w:ascii="宋体" w:hAnsi="宋体" w:eastAsia="宋体" w:cs="宋体"/>
          <w:b/>
          <w:bCs/>
          <w:color w:val="000000"/>
          <w:sz w:val="28"/>
          <w:szCs w:val="28"/>
        </w:rPr>
        <w:t>附1</w:t>
      </w:r>
    </w:p>
    <w:p>
      <w:pPr>
        <w:spacing w:line="500" w:lineRule="atLeast"/>
        <w:ind w:right="-92" w:rightChars="-44"/>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中小企业声明函（</w:t>
      </w:r>
      <w:r>
        <w:rPr>
          <w:rFonts w:hint="eastAsia" w:ascii="宋体" w:hAnsi="宋体" w:eastAsia="宋体" w:cs="宋体"/>
          <w:b/>
          <w:bCs/>
          <w:color w:val="000000"/>
          <w:sz w:val="28"/>
          <w:szCs w:val="28"/>
          <w:lang w:val="en-US" w:eastAsia="zh-CN"/>
        </w:rPr>
        <w:t>货物</w:t>
      </w:r>
      <w:r>
        <w:rPr>
          <w:rFonts w:hint="eastAsia" w:ascii="宋体" w:hAnsi="宋体" w:eastAsia="宋体" w:cs="宋体"/>
          <w:b/>
          <w:bCs/>
          <w:color w:val="000000"/>
          <w:sz w:val="28"/>
          <w:szCs w:val="28"/>
        </w:rPr>
        <w:t>）</w:t>
      </w:r>
    </w:p>
    <w:p>
      <w:pPr>
        <w:widowControl/>
        <w:spacing w:line="500" w:lineRule="atLeast"/>
        <w:ind w:right="-92" w:rightChars="-44" w:firstLine="480" w:firstLineChars="200"/>
        <w:jc w:val="left"/>
        <w:rPr>
          <w:rFonts w:hint="eastAsia" w:ascii="宋体" w:hAnsi="宋体" w:eastAsia="宋体" w:cs="宋体"/>
          <w:color w:val="000000"/>
          <w:sz w:val="24"/>
          <w:szCs w:val="28"/>
        </w:rPr>
      </w:pPr>
      <w:r>
        <w:rPr>
          <w:rFonts w:hint="eastAsia" w:ascii="宋体" w:hAnsi="宋体" w:eastAsia="宋体" w:cs="宋体"/>
          <w:color w:val="000000"/>
          <w:sz w:val="24"/>
          <w:szCs w:val="28"/>
        </w:rPr>
        <w:t>本公司（联合体）郑重声明，根据《政府采购促进中小企业发展管理办法》（财库﹝2020﹞46 号）的规定，本公司（联合体）参加（单位名称）的（项目名称）采购活动，服务全部由符合政策要求的中小企业承接。相关企业（含联合体中的中小企业、签订分包意向协议的中小企业）的具体情况如下：</w:t>
      </w:r>
    </w:p>
    <w:p>
      <w:pPr>
        <w:widowControl/>
        <w:numPr>
          <w:ilvl w:val="0"/>
          <w:numId w:val="3"/>
        </w:numPr>
        <w:spacing w:line="500" w:lineRule="atLeast"/>
        <w:ind w:right="-92" w:rightChars="-44" w:firstLine="480" w:firstLineChars="200"/>
        <w:jc w:val="left"/>
        <w:rPr>
          <w:rFonts w:hint="eastAsia" w:ascii="宋体" w:hAnsi="宋体" w:eastAsia="宋体" w:cs="宋体"/>
          <w:color w:val="000000"/>
          <w:sz w:val="24"/>
          <w:szCs w:val="28"/>
        </w:rPr>
      </w:pPr>
      <w:r>
        <w:rPr>
          <w:rFonts w:hint="eastAsia" w:ascii="宋体" w:hAnsi="宋体" w:eastAsia="宋体" w:cs="宋体"/>
          <w:i/>
          <w:iCs/>
          <w:color w:val="000000"/>
          <w:sz w:val="24"/>
          <w:szCs w:val="28"/>
          <w:u w:val="single"/>
        </w:rPr>
        <w:t xml:space="preserve">（标的名称） </w:t>
      </w:r>
      <w:r>
        <w:rPr>
          <w:rFonts w:hint="eastAsia" w:ascii="宋体" w:hAnsi="宋体" w:eastAsia="宋体" w:cs="宋体"/>
          <w:color w:val="000000"/>
          <w:sz w:val="24"/>
          <w:szCs w:val="28"/>
        </w:rPr>
        <w:t>，属于</w:t>
      </w:r>
      <w:r>
        <w:rPr>
          <w:rFonts w:hint="eastAsia" w:ascii="宋体" w:hAnsi="宋体" w:eastAsia="宋体" w:cs="宋体"/>
          <w:i/>
          <w:iCs/>
          <w:color w:val="000000"/>
          <w:sz w:val="24"/>
          <w:szCs w:val="28"/>
          <w:u w:val="single"/>
        </w:rPr>
        <w:t>（采购文件中明确的所属行业）</w:t>
      </w:r>
      <w:r>
        <w:rPr>
          <w:rFonts w:hint="eastAsia" w:ascii="宋体" w:hAnsi="宋体" w:eastAsia="宋体" w:cs="宋体"/>
          <w:color w:val="000000"/>
          <w:sz w:val="24"/>
          <w:szCs w:val="28"/>
        </w:rPr>
        <w:t>行业；承接（承接）企业为</w:t>
      </w:r>
      <w:r>
        <w:rPr>
          <w:rFonts w:hint="eastAsia" w:ascii="宋体" w:hAnsi="宋体" w:eastAsia="宋体" w:cs="宋体"/>
          <w:i/>
          <w:iCs/>
          <w:color w:val="000000"/>
          <w:sz w:val="24"/>
          <w:szCs w:val="28"/>
          <w:u w:val="single"/>
        </w:rPr>
        <w:t>（企业名称）</w:t>
      </w:r>
      <w:r>
        <w:rPr>
          <w:rFonts w:hint="eastAsia" w:ascii="宋体" w:hAnsi="宋体" w:eastAsia="宋体" w:cs="宋体"/>
          <w:color w:val="000000"/>
          <w:sz w:val="24"/>
          <w:szCs w:val="28"/>
        </w:rPr>
        <w:t>，从业人员</w:t>
      </w:r>
      <w:r>
        <w:rPr>
          <w:rFonts w:hint="eastAsia" w:ascii="宋体" w:hAnsi="宋体" w:eastAsia="宋体" w:cs="宋体"/>
          <w:i/>
          <w:iCs/>
          <w:color w:val="000000"/>
          <w:sz w:val="24"/>
          <w:szCs w:val="28"/>
          <w:u w:val="single"/>
        </w:rPr>
        <w:t xml:space="preserve">        </w:t>
      </w:r>
      <w:r>
        <w:rPr>
          <w:rFonts w:hint="eastAsia" w:ascii="宋体" w:hAnsi="宋体" w:eastAsia="宋体" w:cs="宋体"/>
          <w:color w:val="000000"/>
          <w:sz w:val="24"/>
          <w:szCs w:val="28"/>
        </w:rPr>
        <w:t>人，营业收入为</w:t>
      </w:r>
      <w:r>
        <w:rPr>
          <w:rFonts w:hint="eastAsia" w:ascii="宋体" w:hAnsi="宋体" w:eastAsia="宋体" w:cs="宋体"/>
          <w:i/>
          <w:iCs/>
          <w:color w:val="000000"/>
          <w:sz w:val="24"/>
          <w:szCs w:val="28"/>
          <w:u w:val="single"/>
        </w:rPr>
        <w:t xml:space="preserve">        </w:t>
      </w:r>
      <w:r>
        <w:rPr>
          <w:rFonts w:hint="eastAsia" w:ascii="宋体" w:hAnsi="宋体" w:eastAsia="宋体" w:cs="宋体"/>
          <w:color w:val="000000"/>
          <w:sz w:val="24"/>
          <w:szCs w:val="28"/>
        </w:rPr>
        <w:t>万元，资产总额为</w:t>
      </w:r>
      <w:r>
        <w:rPr>
          <w:rFonts w:hint="eastAsia" w:ascii="宋体" w:hAnsi="宋体" w:eastAsia="宋体" w:cs="宋体"/>
          <w:i/>
          <w:iCs/>
          <w:color w:val="000000"/>
          <w:sz w:val="24"/>
          <w:szCs w:val="28"/>
          <w:u w:val="single"/>
        </w:rPr>
        <w:t xml:space="preserve">        </w:t>
      </w:r>
      <w:r>
        <w:rPr>
          <w:rFonts w:hint="eastAsia" w:ascii="宋体" w:hAnsi="宋体" w:eastAsia="宋体" w:cs="宋体"/>
          <w:color w:val="000000"/>
          <w:sz w:val="24"/>
          <w:szCs w:val="28"/>
        </w:rPr>
        <w:t>万元，属于</w:t>
      </w:r>
      <w:r>
        <w:rPr>
          <w:rFonts w:hint="eastAsia" w:ascii="宋体" w:hAnsi="宋体" w:eastAsia="宋体" w:cs="宋体"/>
          <w:i/>
          <w:iCs/>
          <w:color w:val="000000"/>
          <w:sz w:val="24"/>
          <w:szCs w:val="28"/>
          <w:u w:val="single"/>
        </w:rPr>
        <w:t>（中型企业、小型企业、微型企业）</w:t>
      </w:r>
      <w:r>
        <w:rPr>
          <w:rFonts w:hint="eastAsia" w:ascii="宋体" w:hAnsi="宋体" w:eastAsia="宋体" w:cs="宋体"/>
          <w:color w:val="000000"/>
          <w:sz w:val="24"/>
          <w:szCs w:val="28"/>
        </w:rPr>
        <w:t>；</w:t>
      </w:r>
    </w:p>
    <w:p>
      <w:pPr>
        <w:widowControl/>
        <w:numPr>
          <w:ilvl w:val="0"/>
          <w:numId w:val="3"/>
        </w:numPr>
        <w:spacing w:line="500" w:lineRule="atLeast"/>
        <w:ind w:right="-92" w:rightChars="-44" w:firstLine="480" w:firstLineChars="200"/>
        <w:jc w:val="left"/>
        <w:rPr>
          <w:rFonts w:hint="eastAsia" w:ascii="宋体" w:hAnsi="宋体" w:eastAsia="宋体" w:cs="宋体"/>
          <w:color w:val="000000"/>
          <w:sz w:val="24"/>
          <w:szCs w:val="28"/>
        </w:rPr>
      </w:pPr>
      <w:r>
        <w:rPr>
          <w:rFonts w:hint="eastAsia" w:ascii="宋体" w:hAnsi="宋体" w:eastAsia="宋体" w:cs="宋体"/>
          <w:i/>
          <w:iCs/>
          <w:color w:val="000000"/>
          <w:sz w:val="24"/>
          <w:szCs w:val="28"/>
          <w:u w:val="single"/>
        </w:rPr>
        <w:t xml:space="preserve">（标的名称） </w:t>
      </w:r>
      <w:r>
        <w:rPr>
          <w:rFonts w:hint="eastAsia" w:ascii="宋体" w:hAnsi="宋体" w:eastAsia="宋体" w:cs="宋体"/>
          <w:color w:val="000000"/>
          <w:sz w:val="24"/>
          <w:szCs w:val="28"/>
        </w:rPr>
        <w:t>，属于</w:t>
      </w:r>
      <w:r>
        <w:rPr>
          <w:rFonts w:hint="eastAsia" w:ascii="宋体" w:hAnsi="宋体" w:eastAsia="宋体" w:cs="宋体"/>
          <w:i/>
          <w:iCs/>
          <w:color w:val="000000"/>
          <w:sz w:val="24"/>
          <w:szCs w:val="28"/>
          <w:u w:val="single"/>
        </w:rPr>
        <w:t>（采购文件中明确的所属行业）</w:t>
      </w:r>
      <w:r>
        <w:rPr>
          <w:rFonts w:hint="eastAsia" w:ascii="宋体" w:hAnsi="宋体" w:eastAsia="宋体" w:cs="宋体"/>
          <w:color w:val="000000"/>
          <w:sz w:val="24"/>
          <w:szCs w:val="28"/>
        </w:rPr>
        <w:t>行业；承接（承接）企业为</w:t>
      </w:r>
      <w:r>
        <w:rPr>
          <w:rFonts w:hint="eastAsia" w:ascii="宋体" w:hAnsi="宋体" w:eastAsia="宋体" w:cs="宋体"/>
          <w:i/>
          <w:iCs/>
          <w:color w:val="000000"/>
          <w:sz w:val="24"/>
          <w:szCs w:val="28"/>
          <w:u w:val="single"/>
        </w:rPr>
        <w:t>（企业名称）</w:t>
      </w:r>
      <w:r>
        <w:rPr>
          <w:rFonts w:hint="eastAsia" w:ascii="宋体" w:hAnsi="宋体" w:eastAsia="宋体" w:cs="宋体"/>
          <w:color w:val="000000"/>
          <w:sz w:val="24"/>
          <w:szCs w:val="28"/>
        </w:rPr>
        <w:t>，从业人员</w:t>
      </w:r>
      <w:r>
        <w:rPr>
          <w:rFonts w:hint="eastAsia" w:ascii="宋体" w:hAnsi="宋体" w:eastAsia="宋体" w:cs="宋体"/>
          <w:i/>
          <w:iCs/>
          <w:color w:val="000000"/>
          <w:sz w:val="24"/>
          <w:szCs w:val="28"/>
          <w:u w:val="single"/>
        </w:rPr>
        <w:t xml:space="preserve">        </w:t>
      </w:r>
      <w:r>
        <w:rPr>
          <w:rFonts w:hint="eastAsia" w:ascii="宋体" w:hAnsi="宋体" w:eastAsia="宋体" w:cs="宋体"/>
          <w:color w:val="000000"/>
          <w:sz w:val="24"/>
          <w:szCs w:val="28"/>
        </w:rPr>
        <w:t>人，营业收入为</w:t>
      </w:r>
      <w:r>
        <w:rPr>
          <w:rFonts w:hint="eastAsia" w:ascii="宋体" w:hAnsi="宋体" w:eastAsia="宋体" w:cs="宋体"/>
          <w:i/>
          <w:iCs/>
          <w:color w:val="000000"/>
          <w:sz w:val="24"/>
          <w:szCs w:val="28"/>
          <w:u w:val="single"/>
        </w:rPr>
        <w:t xml:space="preserve">        </w:t>
      </w:r>
      <w:r>
        <w:rPr>
          <w:rFonts w:hint="eastAsia" w:ascii="宋体" w:hAnsi="宋体" w:eastAsia="宋体" w:cs="宋体"/>
          <w:color w:val="000000"/>
          <w:sz w:val="24"/>
          <w:szCs w:val="28"/>
        </w:rPr>
        <w:t>万元，资产总额为</w:t>
      </w:r>
      <w:r>
        <w:rPr>
          <w:rFonts w:hint="eastAsia" w:ascii="宋体" w:hAnsi="宋体" w:eastAsia="宋体" w:cs="宋体"/>
          <w:i/>
          <w:iCs/>
          <w:color w:val="000000"/>
          <w:sz w:val="24"/>
          <w:szCs w:val="28"/>
          <w:u w:val="single"/>
        </w:rPr>
        <w:t xml:space="preserve">        </w:t>
      </w:r>
      <w:r>
        <w:rPr>
          <w:rFonts w:hint="eastAsia" w:ascii="宋体" w:hAnsi="宋体" w:eastAsia="宋体" w:cs="宋体"/>
          <w:color w:val="000000"/>
          <w:sz w:val="24"/>
          <w:szCs w:val="28"/>
        </w:rPr>
        <w:t>万元，属于</w:t>
      </w:r>
      <w:r>
        <w:rPr>
          <w:rFonts w:hint="eastAsia" w:ascii="宋体" w:hAnsi="宋体" w:eastAsia="宋体" w:cs="宋体"/>
          <w:i/>
          <w:iCs/>
          <w:color w:val="000000"/>
          <w:sz w:val="24"/>
          <w:szCs w:val="28"/>
          <w:u w:val="single"/>
        </w:rPr>
        <w:t>（中型企业、小型企业、微型企业）</w:t>
      </w:r>
      <w:r>
        <w:rPr>
          <w:rFonts w:hint="eastAsia" w:ascii="宋体" w:hAnsi="宋体" w:eastAsia="宋体" w:cs="宋体"/>
          <w:color w:val="000000"/>
          <w:sz w:val="24"/>
          <w:szCs w:val="28"/>
        </w:rPr>
        <w:t>；</w:t>
      </w:r>
    </w:p>
    <w:p>
      <w:pPr>
        <w:widowControl/>
        <w:spacing w:line="500" w:lineRule="atLeast"/>
        <w:ind w:right="-92" w:rightChars="-44" w:firstLine="480" w:firstLineChars="200"/>
        <w:jc w:val="left"/>
        <w:rPr>
          <w:rFonts w:hint="eastAsia" w:ascii="宋体" w:hAnsi="宋体" w:eastAsia="宋体" w:cs="宋体"/>
          <w:color w:val="000000"/>
          <w:sz w:val="24"/>
          <w:szCs w:val="28"/>
        </w:rPr>
      </w:pPr>
      <w:r>
        <w:rPr>
          <w:rFonts w:hint="eastAsia" w:ascii="宋体" w:hAnsi="宋体" w:eastAsia="宋体" w:cs="宋体"/>
          <w:color w:val="000000"/>
          <w:sz w:val="24"/>
          <w:szCs w:val="28"/>
        </w:rPr>
        <w:t>……</w:t>
      </w:r>
    </w:p>
    <w:p>
      <w:pPr>
        <w:widowControl/>
        <w:spacing w:line="500" w:lineRule="atLeast"/>
        <w:ind w:right="-92" w:rightChars="-44" w:firstLine="480" w:firstLineChars="200"/>
        <w:jc w:val="left"/>
        <w:rPr>
          <w:rFonts w:hint="eastAsia" w:ascii="宋体" w:hAnsi="宋体" w:eastAsia="宋体" w:cs="宋体"/>
          <w:color w:val="000000"/>
          <w:sz w:val="24"/>
          <w:szCs w:val="28"/>
        </w:rPr>
      </w:pPr>
      <w:r>
        <w:rPr>
          <w:rFonts w:hint="eastAsia" w:ascii="宋体" w:hAnsi="宋体" w:eastAsia="宋体" w:cs="宋体"/>
          <w:color w:val="000000"/>
          <w:sz w:val="24"/>
          <w:szCs w:val="28"/>
        </w:rPr>
        <w:t>以上企业，不属于大企业的分支机构，不存在控股股东为大企业的情形，也不存在与大企业的负责人为同一人的情形。</w:t>
      </w:r>
    </w:p>
    <w:p>
      <w:pPr>
        <w:widowControl/>
        <w:spacing w:line="500" w:lineRule="atLeast"/>
        <w:ind w:right="-92" w:rightChars="-44" w:firstLine="480" w:firstLineChars="200"/>
        <w:jc w:val="left"/>
        <w:rPr>
          <w:rFonts w:hint="eastAsia" w:ascii="宋体" w:hAnsi="宋体" w:eastAsia="宋体" w:cs="宋体"/>
          <w:color w:val="000000"/>
          <w:sz w:val="24"/>
          <w:szCs w:val="28"/>
        </w:rPr>
      </w:pPr>
      <w:r>
        <w:rPr>
          <w:rFonts w:hint="eastAsia" w:ascii="宋体" w:hAnsi="宋体" w:eastAsia="宋体" w:cs="宋体"/>
          <w:color w:val="000000"/>
          <w:sz w:val="24"/>
          <w:szCs w:val="28"/>
        </w:rPr>
        <w:t>本企业对上述声明内容的真实性负责。如有虚假，将依法承担相应责任。</w:t>
      </w:r>
    </w:p>
    <w:p>
      <w:pPr>
        <w:widowControl/>
        <w:spacing w:line="500" w:lineRule="atLeast"/>
        <w:ind w:right="-92" w:rightChars="-44" w:firstLine="4080" w:firstLineChars="1700"/>
        <w:jc w:val="left"/>
        <w:rPr>
          <w:rFonts w:hint="eastAsia" w:ascii="宋体" w:hAnsi="宋体" w:eastAsia="宋体" w:cs="宋体"/>
          <w:color w:val="000000"/>
          <w:sz w:val="24"/>
          <w:szCs w:val="28"/>
        </w:rPr>
      </w:pPr>
      <w:r>
        <w:rPr>
          <w:rFonts w:hint="eastAsia" w:ascii="宋体" w:hAnsi="宋体" w:eastAsia="宋体" w:cs="宋体"/>
          <w:color w:val="000000"/>
          <w:sz w:val="24"/>
          <w:szCs w:val="28"/>
        </w:rPr>
        <w:t>企业名称（盖章）：</w:t>
      </w:r>
    </w:p>
    <w:p>
      <w:pPr>
        <w:widowControl/>
        <w:spacing w:line="500" w:lineRule="atLeast"/>
        <w:ind w:right="-92" w:rightChars="-44" w:firstLine="4080" w:firstLineChars="1700"/>
        <w:jc w:val="left"/>
        <w:rPr>
          <w:rFonts w:hint="eastAsia" w:ascii="宋体" w:hAnsi="宋体" w:eastAsia="宋体" w:cs="宋体"/>
          <w:color w:val="000000"/>
          <w:sz w:val="24"/>
          <w:szCs w:val="28"/>
        </w:rPr>
      </w:pPr>
      <w:r>
        <w:rPr>
          <w:rFonts w:hint="eastAsia" w:ascii="宋体" w:hAnsi="宋体" w:eastAsia="宋体" w:cs="宋体"/>
          <w:color w:val="000000"/>
          <w:sz w:val="24"/>
          <w:szCs w:val="28"/>
        </w:rPr>
        <w:t>日期：</w:t>
      </w:r>
    </w:p>
    <w:p>
      <w:pPr>
        <w:spacing w:line="500" w:lineRule="atLeast"/>
        <w:ind w:right="-92" w:rightChars="-44"/>
        <w:jc w:val="center"/>
        <w:rPr>
          <w:rFonts w:hint="eastAsia" w:ascii="宋体" w:hAnsi="宋体" w:eastAsia="宋体" w:cs="宋体"/>
          <w:b/>
          <w:bCs/>
          <w:color w:val="000000"/>
          <w:sz w:val="24"/>
          <w:szCs w:val="28"/>
        </w:rPr>
      </w:pPr>
      <w:r>
        <w:rPr>
          <w:rFonts w:hint="eastAsia" w:ascii="宋体" w:hAnsi="宋体" w:eastAsia="宋体" w:cs="宋体"/>
          <w:b/>
          <w:bCs/>
          <w:color w:val="000000"/>
          <w:sz w:val="24"/>
          <w:szCs w:val="28"/>
        </w:rPr>
        <w:t>从业人员、营业收入、资产总额填报上一年度数据，无上一年度数据的新成立企业可不填报。</w:t>
      </w:r>
    </w:p>
    <w:p>
      <w:pPr>
        <w:snapToGrid w:val="0"/>
        <w:spacing w:before="50" w:after="50" w:line="500" w:lineRule="atLeast"/>
        <w:ind w:right="-92" w:rightChars="-44"/>
        <w:jc w:val="center"/>
        <w:rPr>
          <w:rFonts w:hint="eastAsia" w:ascii="宋体" w:hAnsi="宋体" w:eastAsia="宋体" w:cs="宋体"/>
          <w:bCs/>
          <w:color w:val="000000"/>
          <w:sz w:val="28"/>
          <w:szCs w:val="28"/>
        </w:rPr>
      </w:pPr>
    </w:p>
    <w:p>
      <w:pPr>
        <w:snapToGrid w:val="0"/>
        <w:spacing w:before="50" w:after="50" w:line="500" w:lineRule="atLeast"/>
        <w:ind w:right="-92" w:rightChars="-44"/>
        <w:jc w:val="center"/>
        <w:rPr>
          <w:rFonts w:hint="eastAsia" w:ascii="宋体" w:hAnsi="宋体" w:eastAsia="宋体" w:cs="宋体"/>
          <w:bCs/>
          <w:color w:val="000000"/>
          <w:sz w:val="28"/>
          <w:szCs w:val="28"/>
        </w:rPr>
      </w:pPr>
    </w:p>
    <w:p>
      <w:pPr>
        <w:adjustRightInd w:val="0"/>
        <w:snapToGrid w:val="0"/>
        <w:spacing w:line="500" w:lineRule="atLeast"/>
        <w:ind w:right="-92" w:rightChars="-44"/>
        <w:jc w:val="center"/>
        <w:outlineLvl w:val="2"/>
        <w:rPr>
          <w:rFonts w:hint="eastAsia" w:ascii="宋体" w:hAnsi="宋体" w:eastAsia="宋体" w:cs="宋体"/>
          <w:color w:val="000000"/>
          <w:kern w:val="0"/>
          <w:sz w:val="28"/>
          <w:szCs w:val="28"/>
        </w:rPr>
      </w:pPr>
      <w:r>
        <w:rPr>
          <w:rFonts w:hint="eastAsia" w:ascii="宋体" w:hAnsi="宋体" w:eastAsia="宋体" w:cs="宋体"/>
          <w:bCs/>
          <w:color w:val="000000"/>
          <w:sz w:val="28"/>
          <w:szCs w:val="28"/>
        </w:rPr>
        <w:br w:type="page"/>
      </w:r>
      <w:r>
        <w:rPr>
          <w:rFonts w:hint="eastAsia" w:ascii="宋体" w:hAnsi="宋体" w:eastAsia="宋体" w:cs="宋体"/>
          <w:b/>
          <w:color w:val="000000"/>
          <w:sz w:val="28"/>
          <w:szCs w:val="28"/>
        </w:rPr>
        <w:t>属于监狱企业的证明文件（若属于监狱企业）</w:t>
      </w:r>
    </w:p>
    <w:p>
      <w:pPr>
        <w:adjustRightInd w:val="0"/>
        <w:snapToGrid w:val="0"/>
        <w:spacing w:line="500" w:lineRule="atLeast"/>
        <w:ind w:right="-92" w:rightChars="-44"/>
        <w:rPr>
          <w:rFonts w:hint="eastAsia" w:ascii="宋体" w:hAnsi="宋体" w:eastAsia="宋体" w:cs="宋体"/>
          <w:color w:val="000000"/>
          <w:kern w:val="0"/>
          <w:sz w:val="28"/>
          <w:szCs w:val="28"/>
        </w:rPr>
      </w:pPr>
    </w:p>
    <w:p>
      <w:pPr>
        <w:adjustRightInd w:val="0"/>
        <w:snapToGrid w:val="0"/>
        <w:spacing w:line="500" w:lineRule="atLeast"/>
        <w:ind w:right="-92" w:rightChars="-44" w:firstLine="426" w:firstLineChars="177"/>
        <w:rPr>
          <w:rFonts w:hint="eastAsia" w:ascii="宋体" w:hAnsi="宋体" w:eastAsia="宋体" w:cs="宋体"/>
          <w:b/>
          <w:bCs/>
          <w:color w:val="000000"/>
          <w:sz w:val="24"/>
          <w:szCs w:val="28"/>
        </w:rPr>
      </w:pPr>
      <w:r>
        <w:rPr>
          <w:rFonts w:hint="eastAsia" w:ascii="宋体" w:hAnsi="宋体" w:eastAsia="宋体" w:cs="宋体"/>
          <w:b/>
          <w:bCs/>
          <w:color w:val="000000"/>
          <w:kern w:val="0"/>
          <w:sz w:val="24"/>
          <w:szCs w:val="28"/>
        </w:rPr>
        <w:t>监狱企业参加政府采购活动时，应当提供由省级以上监狱管理局、戒毒管理局（含新疆生产建设兵团）出具的属于监狱企业的证明文件。</w:t>
      </w:r>
    </w:p>
    <w:p>
      <w:pPr>
        <w:adjustRightInd w:val="0"/>
        <w:snapToGrid w:val="0"/>
        <w:spacing w:line="500" w:lineRule="atLeast"/>
        <w:ind w:right="-92" w:rightChars="-44"/>
        <w:rPr>
          <w:rFonts w:hint="eastAsia" w:ascii="宋体" w:hAnsi="宋体" w:eastAsia="宋体" w:cs="宋体"/>
          <w:color w:val="000000"/>
          <w:sz w:val="24"/>
          <w:szCs w:val="28"/>
        </w:rPr>
      </w:pPr>
    </w:p>
    <w:p>
      <w:pPr>
        <w:adjustRightInd w:val="0"/>
        <w:snapToGrid w:val="0"/>
        <w:spacing w:line="500" w:lineRule="atLeast"/>
        <w:ind w:right="-92" w:rightChars="-44"/>
        <w:rPr>
          <w:rFonts w:hint="eastAsia" w:ascii="宋体" w:hAnsi="宋体" w:eastAsia="宋体" w:cs="宋体"/>
          <w:b/>
          <w:bCs/>
          <w:color w:val="000000"/>
          <w:sz w:val="24"/>
          <w:szCs w:val="28"/>
        </w:rPr>
      </w:pPr>
      <w:r>
        <w:rPr>
          <w:rFonts w:hint="eastAsia" w:ascii="宋体" w:hAnsi="宋体" w:eastAsia="宋体" w:cs="宋体"/>
          <w:b/>
          <w:bCs/>
          <w:color w:val="000000"/>
          <w:sz w:val="24"/>
          <w:szCs w:val="28"/>
        </w:rPr>
        <w:t>说明：</w:t>
      </w:r>
    </w:p>
    <w:p>
      <w:pPr>
        <w:widowControl/>
        <w:shd w:val="clear" w:color="auto" w:fill="FFFFFF"/>
        <w:adjustRightInd w:val="0"/>
        <w:snapToGrid w:val="0"/>
        <w:spacing w:line="500" w:lineRule="atLeast"/>
        <w:ind w:right="-92" w:rightChars="-44" w:firstLine="424" w:firstLineChars="177"/>
        <w:jc w:val="left"/>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500" w:lineRule="atLeast"/>
        <w:ind w:right="-92" w:rightChars="-44" w:firstLine="424" w:firstLineChars="177"/>
        <w:jc w:val="left"/>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二、在政府采购活动中，监狱企业视同小型、微型企业，享受预留份额、评审中价格扣除等政府采购促进中小企业发展的政府采购政策。</w:t>
      </w:r>
    </w:p>
    <w:p>
      <w:pPr>
        <w:widowControl/>
        <w:spacing w:line="500" w:lineRule="atLeast"/>
        <w:ind w:right="-92" w:rightChars="-44"/>
        <w:jc w:val="left"/>
        <w:rPr>
          <w:rFonts w:hint="eastAsia" w:ascii="宋体" w:hAnsi="宋体" w:eastAsia="宋体" w:cs="宋体"/>
          <w:b/>
          <w:color w:val="000000"/>
          <w:sz w:val="28"/>
          <w:szCs w:val="28"/>
        </w:rPr>
      </w:pPr>
      <w:r>
        <w:rPr>
          <w:rFonts w:hint="eastAsia" w:ascii="宋体" w:hAnsi="宋体" w:eastAsia="宋体" w:cs="宋体"/>
          <w:b/>
          <w:color w:val="000000"/>
          <w:sz w:val="28"/>
          <w:szCs w:val="28"/>
        </w:rPr>
        <w:br w:type="page"/>
      </w:r>
    </w:p>
    <w:p>
      <w:pPr>
        <w:adjustRightInd w:val="0"/>
        <w:snapToGrid w:val="0"/>
        <w:spacing w:line="500" w:lineRule="atLeast"/>
        <w:ind w:right="-92" w:rightChars="-44"/>
        <w:jc w:val="center"/>
        <w:outlineLvl w:val="2"/>
        <w:rPr>
          <w:rFonts w:hint="eastAsia" w:ascii="宋体" w:hAnsi="宋体" w:eastAsia="宋体" w:cs="宋体"/>
          <w:b/>
          <w:color w:val="000000"/>
          <w:sz w:val="28"/>
          <w:szCs w:val="28"/>
        </w:rPr>
      </w:pPr>
      <w:r>
        <w:rPr>
          <w:rFonts w:hint="eastAsia" w:ascii="宋体" w:hAnsi="宋体" w:eastAsia="宋体" w:cs="宋体"/>
          <w:b/>
          <w:color w:val="000000"/>
          <w:sz w:val="28"/>
          <w:szCs w:val="28"/>
        </w:rPr>
        <w:t>残疾人福利性单位声明函（若属于残疾人福利性单位）</w:t>
      </w:r>
    </w:p>
    <w:p>
      <w:pPr>
        <w:adjustRightInd w:val="0"/>
        <w:snapToGrid w:val="0"/>
        <w:spacing w:line="500" w:lineRule="atLeast"/>
        <w:ind w:right="-92" w:rightChars="-44"/>
        <w:rPr>
          <w:rFonts w:hint="eastAsia" w:ascii="宋体" w:hAnsi="宋体" w:eastAsia="宋体" w:cs="宋体"/>
          <w:b/>
          <w:color w:val="000000"/>
          <w:sz w:val="28"/>
          <w:szCs w:val="28"/>
        </w:rPr>
      </w:pPr>
    </w:p>
    <w:p>
      <w:pPr>
        <w:adjustRightInd w:val="0"/>
        <w:snapToGrid w:val="0"/>
        <w:spacing w:line="500" w:lineRule="atLeast"/>
        <w:ind w:right="-92" w:rightChars="-44"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本单位郑重声明，根据《财政部民政部中国残疾人联合会关于促进残疾人就业政府采购政策的通知》（财库〔2017〕 141号）的规定，</w:t>
      </w:r>
      <w:r>
        <w:rPr>
          <w:rFonts w:hint="eastAsia" w:ascii="宋体" w:hAnsi="宋体" w:eastAsia="宋体" w:cs="宋体"/>
          <w:b/>
          <w:bCs/>
          <w:color w:val="000000"/>
          <w:sz w:val="24"/>
          <w:szCs w:val="28"/>
        </w:rPr>
        <w:t>本单位为符合条件的残疾人福利性单位</w:t>
      </w:r>
      <w:r>
        <w:rPr>
          <w:rFonts w:hint="eastAsia" w:ascii="宋体" w:hAnsi="宋体" w:eastAsia="宋体" w:cs="宋体"/>
          <w:color w:val="000000"/>
          <w:sz w:val="24"/>
          <w:szCs w:val="28"/>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pPr>
        <w:adjustRightInd w:val="0"/>
        <w:snapToGrid w:val="0"/>
        <w:spacing w:line="500" w:lineRule="atLeast"/>
        <w:ind w:right="-92" w:rightChars="-44"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本单位对上述声明的真实性负责。如有虚假，将依法承担相应责任。</w:t>
      </w:r>
    </w:p>
    <w:p>
      <w:pPr>
        <w:tabs>
          <w:tab w:val="left" w:pos="4860"/>
        </w:tabs>
        <w:adjustRightInd w:val="0"/>
        <w:snapToGrid w:val="0"/>
        <w:spacing w:line="500" w:lineRule="atLeast"/>
        <w:ind w:right="-92" w:rightChars="-44"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单位名称（盖章）：</w:t>
      </w:r>
    </w:p>
    <w:p>
      <w:pPr>
        <w:tabs>
          <w:tab w:val="left" w:pos="4860"/>
        </w:tabs>
        <w:adjustRightInd w:val="0"/>
        <w:snapToGrid w:val="0"/>
        <w:spacing w:line="500" w:lineRule="atLeast"/>
        <w:ind w:right="-92" w:rightChars="-44"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日期：</w:t>
      </w:r>
    </w:p>
    <w:p>
      <w:pPr>
        <w:adjustRightInd w:val="0"/>
        <w:snapToGrid w:val="0"/>
        <w:spacing w:line="500" w:lineRule="atLeast"/>
        <w:ind w:right="-92" w:rightChars="-44"/>
        <w:rPr>
          <w:rFonts w:hint="eastAsia" w:ascii="宋体" w:hAnsi="宋体" w:eastAsia="宋体" w:cs="宋体"/>
          <w:color w:val="000000"/>
          <w:sz w:val="24"/>
          <w:szCs w:val="28"/>
        </w:rPr>
      </w:pPr>
    </w:p>
    <w:p>
      <w:pPr>
        <w:adjustRightInd w:val="0"/>
        <w:snapToGrid w:val="0"/>
        <w:spacing w:line="500" w:lineRule="atLeast"/>
        <w:ind w:right="-92" w:rightChars="-44"/>
        <w:rPr>
          <w:rFonts w:hint="eastAsia" w:ascii="宋体" w:hAnsi="宋体" w:eastAsia="宋体" w:cs="宋体"/>
          <w:b/>
          <w:bCs/>
          <w:color w:val="000000"/>
          <w:sz w:val="24"/>
          <w:szCs w:val="28"/>
        </w:rPr>
      </w:pPr>
      <w:r>
        <w:rPr>
          <w:rFonts w:hint="eastAsia" w:ascii="宋体" w:hAnsi="宋体" w:eastAsia="宋体" w:cs="宋体"/>
          <w:b/>
          <w:bCs/>
          <w:color w:val="000000"/>
          <w:sz w:val="24"/>
          <w:szCs w:val="28"/>
        </w:rPr>
        <w:t>说明：</w:t>
      </w:r>
    </w:p>
    <w:p>
      <w:pPr>
        <w:pStyle w:val="16"/>
        <w:shd w:val="clear" w:color="auto" w:fill="FFFFFF"/>
        <w:adjustRightInd w:val="0"/>
        <w:snapToGrid w:val="0"/>
        <w:spacing w:before="0" w:beforeAutospacing="0" w:after="0" w:afterAutospacing="0" w:line="500" w:lineRule="atLeast"/>
        <w:ind w:right="-92" w:rightChars="-44" w:firstLine="424" w:firstLineChars="177"/>
        <w:rPr>
          <w:rFonts w:hint="eastAsia" w:ascii="宋体" w:hAnsi="宋体" w:eastAsia="宋体" w:cs="宋体"/>
          <w:color w:val="000000"/>
          <w:szCs w:val="28"/>
        </w:rPr>
      </w:pPr>
      <w:r>
        <w:rPr>
          <w:rFonts w:hint="eastAsia" w:ascii="宋体" w:hAnsi="宋体" w:eastAsia="宋体" w:cs="宋体"/>
          <w:color w:val="000000"/>
          <w:szCs w:val="28"/>
        </w:rPr>
        <w:t>一、享受政府采购支持政策的残疾人福利性单位应当同时满足以下条件：</w:t>
      </w:r>
    </w:p>
    <w:p>
      <w:pPr>
        <w:pStyle w:val="16"/>
        <w:shd w:val="clear" w:color="auto" w:fill="FFFFFF"/>
        <w:adjustRightInd w:val="0"/>
        <w:snapToGrid w:val="0"/>
        <w:spacing w:before="0" w:beforeAutospacing="0" w:after="0" w:afterAutospacing="0" w:line="500" w:lineRule="atLeast"/>
        <w:ind w:right="-92" w:rightChars="-44" w:firstLine="424" w:firstLineChars="177"/>
        <w:rPr>
          <w:rFonts w:hint="eastAsia" w:ascii="宋体" w:hAnsi="宋体" w:eastAsia="宋体" w:cs="宋体"/>
          <w:color w:val="000000"/>
          <w:szCs w:val="28"/>
        </w:rPr>
      </w:pPr>
      <w:r>
        <w:rPr>
          <w:rFonts w:hint="eastAsia" w:ascii="宋体" w:hAnsi="宋体" w:eastAsia="宋体" w:cs="宋体"/>
          <w:color w:val="000000"/>
          <w:szCs w:val="28"/>
        </w:rPr>
        <w:t>（一）安置的残疾人占本单位在职职工人数的比例不低于25%（含25%），并且安置的残疾人人数不少于10人（含10人）；</w:t>
      </w:r>
    </w:p>
    <w:p>
      <w:pPr>
        <w:pStyle w:val="16"/>
        <w:shd w:val="clear" w:color="auto" w:fill="FFFFFF"/>
        <w:adjustRightInd w:val="0"/>
        <w:snapToGrid w:val="0"/>
        <w:spacing w:before="0" w:beforeAutospacing="0" w:after="0" w:afterAutospacing="0" w:line="500" w:lineRule="atLeast"/>
        <w:ind w:right="-92" w:rightChars="-44" w:firstLine="424" w:firstLineChars="177"/>
        <w:rPr>
          <w:rFonts w:hint="eastAsia" w:ascii="宋体" w:hAnsi="宋体" w:eastAsia="宋体" w:cs="宋体"/>
          <w:color w:val="000000"/>
          <w:szCs w:val="28"/>
        </w:rPr>
      </w:pPr>
      <w:r>
        <w:rPr>
          <w:rFonts w:hint="eastAsia" w:ascii="宋体" w:hAnsi="宋体" w:eastAsia="宋体" w:cs="宋体"/>
          <w:color w:val="000000"/>
          <w:szCs w:val="28"/>
        </w:rPr>
        <w:t>（二）依法与安置的每位残疾人订立了一年以上（含一年）的劳动合同或服务协议；</w:t>
      </w:r>
    </w:p>
    <w:p>
      <w:pPr>
        <w:pStyle w:val="16"/>
        <w:shd w:val="clear" w:color="auto" w:fill="FFFFFF"/>
        <w:adjustRightInd w:val="0"/>
        <w:snapToGrid w:val="0"/>
        <w:spacing w:before="0" w:beforeAutospacing="0" w:after="0" w:afterAutospacing="0" w:line="500" w:lineRule="atLeast"/>
        <w:ind w:right="-92" w:rightChars="-44" w:firstLine="424" w:firstLineChars="177"/>
        <w:rPr>
          <w:rFonts w:hint="eastAsia" w:ascii="宋体" w:hAnsi="宋体" w:eastAsia="宋体" w:cs="宋体"/>
          <w:color w:val="000000"/>
          <w:szCs w:val="28"/>
        </w:rPr>
      </w:pPr>
      <w:r>
        <w:rPr>
          <w:rFonts w:hint="eastAsia" w:ascii="宋体" w:hAnsi="宋体" w:eastAsia="宋体" w:cs="宋体"/>
          <w:color w:val="000000"/>
          <w:szCs w:val="28"/>
        </w:rPr>
        <w:t>（三）为安置的每位残疾人按月足额缴纳了基本养老保险、基本医疗保险、失业保险、工伤保险和生育保险等社会保险费；</w:t>
      </w:r>
    </w:p>
    <w:p>
      <w:pPr>
        <w:pStyle w:val="16"/>
        <w:shd w:val="clear" w:color="auto" w:fill="FFFFFF"/>
        <w:adjustRightInd w:val="0"/>
        <w:snapToGrid w:val="0"/>
        <w:spacing w:before="0" w:beforeAutospacing="0" w:after="0" w:afterAutospacing="0" w:line="500" w:lineRule="atLeast"/>
        <w:ind w:right="-92" w:rightChars="-44" w:firstLine="424" w:firstLineChars="177"/>
        <w:rPr>
          <w:rFonts w:hint="eastAsia" w:ascii="宋体" w:hAnsi="宋体" w:eastAsia="宋体" w:cs="宋体"/>
          <w:color w:val="000000"/>
          <w:szCs w:val="28"/>
        </w:rPr>
      </w:pPr>
      <w:r>
        <w:rPr>
          <w:rFonts w:hint="eastAsia" w:ascii="宋体" w:hAnsi="宋体" w:eastAsia="宋体" w:cs="宋体"/>
          <w:color w:val="000000"/>
          <w:szCs w:val="28"/>
        </w:rPr>
        <w:t>（四）通过银行等金融机构向安置的每位残疾人，按季支付了不低于单位所在区县适用的经省级人民政府批准的月最低工资标准的工资；</w:t>
      </w:r>
    </w:p>
    <w:p>
      <w:pPr>
        <w:pStyle w:val="16"/>
        <w:shd w:val="clear" w:color="auto" w:fill="FFFFFF"/>
        <w:adjustRightInd w:val="0"/>
        <w:snapToGrid w:val="0"/>
        <w:spacing w:before="0" w:beforeAutospacing="0" w:after="0" w:afterAutospacing="0" w:line="500" w:lineRule="atLeast"/>
        <w:ind w:right="-92" w:rightChars="-44" w:firstLine="424" w:firstLineChars="177"/>
        <w:rPr>
          <w:rFonts w:hint="eastAsia" w:ascii="宋体" w:hAnsi="宋体" w:eastAsia="宋体" w:cs="宋体"/>
          <w:color w:val="000000"/>
          <w:szCs w:val="28"/>
        </w:rPr>
      </w:pPr>
      <w:r>
        <w:rPr>
          <w:rFonts w:hint="eastAsia" w:ascii="宋体" w:hAnsi="宋体" w:eastAsia="宋体" w:cs="宋体"/>
          <w:color w:val="000000"/>
          <w:szCs w:val="28"/>
        </w:rPr>
        <w:t>（五）提供本单位制造的货物、承担的工程或者服务（以下简称产品），或者提供其他残疾人福利性单位制造的货物（不包括使用非残疾人福利性单位注册商标的货物）。</w:t>
      </w:r>
    </w:p>
    <w:p>
      <w:pPr>
        <w:pStyle w:val="16"/>
        <w:shd w:val="clear" w:color="auto" w:fill="FFFFFF"/>
        <w:adjustRightInd w:val="0"/>
        <w:snapToGrid w:val="0"/>
        <w:spacing w:before="0" w:beforeAutospacing="0" w:after="0" w:afterAutospacing="0" w:line="500" w:lineRule="atLeast"/>
        <w:ind w:right="-92" w:rightChars="-44" w:firstLine="424" w:firstLineChars="177"/>
        <w:rPr>
          <w:rFonts w:hint="eastAsia" w:ascii="宋体" w:hAnsi="宋体" w:eastAsia="宋体" w:cs="宋体"/>
          <w:color w:val="000000"/>
          <w:szCs w:val="28"/>
        </w:rPr>
      </w:pPr>
      <w:r>
        <w:rPr>
          <w:rFonts w:hint="eastAsia" w:ascii="宋体" w:hAnsi="宋体" w:eastAsia="宋体" w:cs="宋体"/>
          <w:color w:val="000000"/>
          <w:szCs w:val="28"/>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订立劳动合同或者服务协议的雇员人数。</w:t>
      </w:r>
    </w:p>
    <w:p>
      <w:pPr>
        <w:pStyle w:val="16"/>
        <w:shd w:val="clear" w:color="auto" w:fill="FFFFFF"/>
        <w:adjustRightInd w:val="0"/>
        <w:snapToGrid w:val="0"/>
        <w:spacing w:before="0" w:beforeAutospacing="0" w:after="0" w:afterAutospacing="0" w:line="500" w:lineRule="atLeast"/>
        <w:ind w:right="-92" w:rightChars="-44" w:firstLine="424" w:firstLineChars="177"/>
        <w:rPr>
          <w:rFonts w:hint="eastAsia" w:ascii="宋体" w:hAnsi="宋体" w:eastAsia="宋体" w:cs="宋体"/>
          <w:color w:val="000000"/>
          <w:szCs w:val="28"/>
        </w:rPr>
      </w:pPr>
      <w:r>
        <w:rPr>
          <w:rFonts w:hint="eastAsia" w:ascii="宋体" w:hAnsi="宋体" w:eastAsia="宋体" w:cs="宋体"/>
          <w:color w:val="000000"/>
          <w:szCs w:val="28"/>
        </w:rPr>
        <w:t>二、符合条件的残疾人福利性单位在参加政府采购活动时，应当提供财库[2017]141号文件规定的《残疾人福利性单位声明函》，并对声明的真实性负责。</w:t>
      </w:r>
    </w:p>
    <w:p>
      <w:pPr>
        <w:pStyle w:val="16"/>
        <w:shd w:val="clear" w:color="auto" w:fill="FFFFFF"/>
        <w:adjustRightInd w:val="0"/>
        <w:snapToGrid w:val="0"/>
        <w:spacing w:before="0" w:beforeAutospacing="0" w:after="0" w:afterAutospacing="0" w:line="500" w:lineRule="atLeast"/>
        <w:ind w:right="-92" w:rightChars="-44" w:firstLine="424" w:firstLineChars="177"/>
        <w:rPr>
          <w:rFonts w:hint="eastAsia" w:ascii="宋体" w:hAnsi="宋体" w:eastAsia="宋体" w:cs="宋体"/>
          <w:color w:val="000000"/>
          <w:szCs w:val="28"/>
        </w:rPr>
      </w:pPr>
      <w:r>
        <w:rPr>
          <w:rFonts w:hint="eastAsia" w:ascii="宋体" w:hAnsi="宋体" w:eastAsia="宋体" w:cs="宋体"/>
          <w:color w:val="000000"/>
          <w:szCs w:val="28"/>
        </w:rPr>
        <w:t>三、在政府采购活动中，残疾人福利性单位视同小型、微型企业，享受预留份额、评审中价格扣除等促进中小企业发展的政府采购政策。</w:t>
      </w:r>
    </w:p>
    <w:p>
      <w:pPr>
        <w:pStyle w:val="16"/>
        <w:shd w:val="clear" w:color="auto" w:fill="FFFFFF"/>
        <w:adjustRightInd w:val="0"/>
        <w:snapToGrid w:val="0"/>
        <w:spacing w:before="0" w:beforeAutospacing="0" w:after="0" w:afterAutospacing="0" w:line="500" w:lineRule="atLeast"/>
        <w:ind w:right="-92" w:rightChars="-44" w:firstLine="424" w:firstLineChars="177"/>
        <w:rPr>
          <w:rFonts w:hint="eastAsia" w:ascii="宋体" w:hAnsi="宋体" w:eastAsia="宋体" w:cs="宋体"/>
          <w:color w:val="000000"/>
          <w:szCs w:val="28"/>
        </w:rPr>
      </w:pPr>
      <w:r>
        <w:rPr>
          <w:rFonts w:hint="eastAsia" w:ascii="宋体" w:hAnsi="宋体" w:eastAsia="宋体" w:cs="宋体"/>
          <w:color w:val="000000"/>
          <w:szCs w:val="28"/>
        </w:rPr>
        <w:t>残疾人福利性单位属于小型、微型企业的，不重复享受政策。</w:t>
      </w:r>
    </w:p>
    <w:p>
      <w:pPr>
        <w:snapToGrid w:val="0"/>
        <w:spacing w:before="50" w:after="50" w:line="500" w:lineRule="atLeast"/>
        <w:ind w:right="-92" w:rightChars="-44"/>
        <w:jc w:val="center"/>
        <w:rPr>
          <w:rFonts w:hint="eastAsia" w:ascii="宋体" w:hAnsi="宋体" w:eastAsia="宋体" w:cs="宋体"/>
          <w:bCs/>
          <w:color w:val="000000"/>
          <w:sz w:val="28"/>
          <w:szCs w:val="28"/>
        </w:rPr>
      </w:pPr>
    </w:p>
    <w:p>
      <w:pPr>
        <w:snapToGrid w:val="0"/>
        <w:spacing w:before="50" w:after="50" w:line="500" w:lineRule="atLeast"/>
        <w:ind w:right="-92" w:rightChars="-44"/>
        <w:jc w:val="center"/>
        <w:rPr>
          <w:rFonts w:hint="eastAsia" w:ascii="宋体" w:hAnsi="宋体" w:eastAsia="宋体" w:cs="宋体"/>
          <w:color w:val="000000"/>
          <w:sz w:val="28"/>
          <w:szCs w:val="28"/>
        </w:rPr>
      </w:pPr>
      <w:r>
        <w:rPr>
          <w:rFonts w:hint="eastAsia" w:ascii="宋体" w:hAnsi="宋体" w:eastAsia="宋体" w:cs="宋体"/>
          <w:color w:val="000000"/>
          <w:sz w:val="28"/>
          <w:szCs w:val="28"/>
        </w:rPr>
        <w:br w:type="page"/>
      </w:r>
      <w:r>
        <w:rPr>
          <w:rFonts w:hint="eastAsia" w:ascii="宋体" w:hAnsi="宋体" w:eastAsia="宋体" w:cs="宋体"/>
          <w:color w:val="000000"/>
          <w:sz w:val="28"/>
          <w:szCs w:val="28"/>
        </w:rPr>
        <w:t>二、资格性审查响应对照表（格式）</w:t>
      </w:r>
    </w:p>
    <w:p>
      <w:pPr>
        <w:spacing w:line="500" w:lineRule="atLeast"/>
        <w:ind w:right="-92" w:rightChars="-44" w:firstLine="309"/>
        <w:rPr>
          <w:rFonts w:hint="eastAsia" w:ascii="宋体" w:hAnsi="宋体" w:eastAsia="宋体" w:cs="宋体"/>
          <w:color w:val="000000"/>
          <w:sz w:val="28"/>
          <w:szCs w:val="28"/>
        </w:rPr>
      </w:pPr>
      <w:r>
        <w:rPr>
          <w:rFonts w:hint="eastAsia" w:ascii="宋体" w:hAnsi="宋体" w:eastAsia="宋体" w:cs="宋体"/>
          <w:color w:val="000000"/>
          <w:sz w:val="28"/>
          <w:szCs w:val="28"/>
        </w:rPr>
        <w:t>投标人全称（加盖公章）：</w:t>
      </w:r>
    </w:p>
    <w:tbl>
      <w:tblPr>
        <w:tblStyle w:val="18"/>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424"/>
        <w:gridCol w:w="2126"/>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pPr>
              <w:snapToGrid w:val="0"/>
              <w:spacing w:line="500" w:lineRule="atLeast"/>
              <w:ind w:right="-92" w:rightChars="-44"/>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序号</w:t>
            </w:r>
          </w:p>
        </w:tc>
        <w:tc>
          <w:tcPr>
            <w:tcW w:w="4424" w:type="dxa"/>
            <w:noWrap w:val="0"/>
            <w:vAlign w:val="center"/>
          </w:tcPr>
          <w:p>
            <w:pPr>
              <w:snapToGrid w:val="0"/>
              <w:spacing w:line="500" w:lineRule="atLeast"/>
              <w:ind w:right="-92" w:rightChars="-44"/>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资格性审查响应内容</w:t>
            </w:r>
          </w:p>
        </w:tc>
        <w:tc>
          <w:tcPr>
            <w:tcW w:w="2126" w:type="dxa"/>
            <w:noWrap w:val="0"/>
            <w:vAlign w:val="center"/>
          </w:tcPr>
          <w:p>
            <w:pPr>
              <w:snapToGrid w:val="0"/>
              <w:spacing w:line="500" w:lineRule="atLeast"/>
              <w:ind w:right="-92" w:rightChars="-44"/>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是否响应</w:t>
            </w:r>
          </w:p>
          <w:p>
            <w:pPr>
              <w:snapToGrid w:val="0"/>
              <w:spacing w:line="500" w:lineRule="atLeast"/>
              <w:ind w:right="-92" w:rightChars="-44"/>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（填是或者否）</w:t>
            </w:r>
          </w:p>
        </w:tc>
        <w:tc>
          <w:tcPr>
            <w:tcW w:w="2362" w:type="dxa"/>
            <w:noWrap w:val="0"/>
            <w:vAlign w:val="center"/>
          </w:tcPr>
          <w:p>
            <w:pPr>
              <w:snapToGrid w:val="0"/>
              <w:spacing w:line="500" w:lineRule="atLeast"/>
              <w:ind w:right="-92" w:rightChars="-44"/>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投标文件中的</w:t>
            </w:r>
          </w:p>
          <w:p>
            <w:pPr>
              <w:snapToGrid w:val="0"/>
              <w:spacing w:line="500" w:lineRule="atLeast"/>
              <w:ind w:right="-92" w:rightChars="-44"/>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pPr>
              <w:spacing w:line="500" w:lineRule="atLeast"/>
              <w:ind w:right="-92" w:rightChars="-44"/>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1</w:t>
            </w:r>
          </w:p>
        </w:tc>
        <w:tc>
          <w:tcPr>
            <w:tcW w:w="4424" w:type="dxa"/>
            <w:noWrap w:val="0"/>
            <w:vAlign w:val="center"/>
          </w:tcPr>
          <w:p>
            <w:pPr>
              <w:spacing w:line="500" w:lineRule="atLeast"/>
              <w:ind w:right="-92" w:rightChars="-44"/>
              <w:rPr>
                <w:rFonts w:hint="eastAsia" w:ascii="宋体" w:hAnsi="宋体" w:eastAsia="宋体" w:cs="宋体"/>
                <w:iCs/>
                <w:color w:val="000000"/>
                <w:sz w:val="28"/>
                <w:szCs w:val="28"/>
              </w:rPr>
            </w:pPr>
          </w:p>
        </w:tc>
        <w:tc>
          <w:tcPr>
            <w:tcW w:w="2126" w:type="dxa"/>
            <w:noWrap w:val="0"/>
            <w:vAlign w:val="center"/>
          </w:tcPr>
          <w:p>
            <w:pPr>
              <w:spacing w:line="500" w:lineRule="atLeast"/>
              <w:ind w:right="-92" w:rightChars="-44"/>
              <w:rPr>
                <w:rFonts w:hint="eastAsia" w:ascii="宋体" w:hAnsi="宋体" w:eastAsia="宋体" w:cs="宋体"/>
                <w:b/>
                <w:color w:val="000000"/>
                <w:sz w:val="28"/>
                <w:szCs w:val="28"/>
              </w:rPr>
            </w:pPr>
          </w:p>
        </w:tc>
        <w:tc>
          <w:tcPr>
            <w:tcW w:w="2362" w:type="dxa"/>
            <w:noWrap w:val="0"/>
            <w:vAlign w:val="center"/>
          </w:tcPr>
          <w:p>
            <w:pPr>
              <w:spacing w:line="500" w:lineRule="atLeast"/>
              <w:ind w:right="-92" w:rightChars="-44"/>
              <w:rPr>
                <w:rFonts w:hint="eastAsia" w:ascii="宋体" w:hAnsi="宋体" w:eastAsia="宋体" w:cs="宋体"/>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pPr>
              <w:spacing w:line="500" w:lineRule="atLeast"/>
              <w:ind w:right="-92" w:rightChars="-44"/>
              <w:jc w:val="center"/>
              <w:rPr>
                <w:rFonts w:hint="eastAsia" w:ascii="宋体" w:hAnsi="宋体" w:eastAsia="宋体" w:cs="宋体"/>
                <w:color w:val="000000"/>
                <w:sz w:val="28"/>
                <w:szCs w:val="28"/>
              </w:rPr>
            </w:pPr>
            <w:r>
              <w:rPr>
                <w:rFonts w:hint="eastAsia" w:ascii="宋体" w:hAnsi="宋体" w:eastAsia="宋体" w:cs="宋体"/>
                <w:color w:val="000000"/>
                <w:sz w:val="28"/>
                <w:szCs w:val="28"/>
              </w:rPr>
              <w:t>2</w:t>
            </w:r>
          </w:p>
        </w:tc>
        <w:tc>
          <w:tcPr>
            <w:tcW w:w="4424" w:type="dxa"/>
            <w:noWrap w:val="0"/>
            <w:vAlign w:val="center"/>
          </w:tcPr>
          <w:p>
            <w:pPr>
              <w:spacing w:line="500" w:lineRule="atLeast"/>
              <w:ind w:right="-92" w:rightChars="-44"/>
              <w:rPr>
                <w:rFonts w:hint="eastAsia" w:ascii="宋体" w:hAnsi="宋体" w:eastAsia="宋体" w:cs="宋体"/>
                <w:iCs/>
                <w:color w:val="000000"/>
                <w:sz w:val="28"/>
                <w:szCs w:val="28"/>
              </w:rPr>
            </w:pPr>
          </w:p>
        </w:tc>
        <w:tc>
          <w:tcPr>
            <w:tcW w:w="2126" w:type="dxa"/>
            <w:noWrap w:val="0"/>
            <w:vAlign w:val="center"/>
          </w:tcPr>
          <w:p>
            <w:pPr>
              <w:spacing w:line="500" w:lineRule="atLeast"/>
              <w:ind w:right="-92" w:rightChars="-44"/>
              <w:rPr>
                <w:rFonts w:hint="eastAsia" w:ascii="宋体" w:hAnsi="宋体" w:eastAsia="宋体" w:cs="宋体"/>
                <w:color w:val="000000"/>
                <w:sz w:val="28"/>
                <w:szCs w:val="28"/>
              </w:rPr>
            </w:pPr>
          </w:p>
        </w:tc>
        <w:tc>
          <w:tcPr>
            <w:tcW w:w="2362" w:type="dxa"/>
            <w:noWrap w:val="0"/>
            <w:vAlign w:val="center"/>
          </w:tcPr>
          <w:p>
            <w:pPr>
              <w:spacing w:line="500" w:lineRule="atLeast"/>
              <w:ind w:right="-92" w:rightChars="-44"/>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pPr>
              <w:spacing w:line="500" w:lineRule="atLeast"/>
              <w:ind w:right="-92" w:rightChars="-44"/>
              <w:jc w:val="center"/>
              <w:rPr>
                <w:rFonts w:hint="eastAsia" w:ascii="宋体" w:hAnsi="宋体" w:eastAsia="宋体" w:cs="宋体"/>
                <w:color w:val="000000"/>
                <w:sz w:val="28"/>
                <w:szCs w:val="28"/>
              </w:rPr>
            </w:pPr>
            <w:r>
              <w:rPr>
                <w:rFonts w:hint="eastAsia" w:ascii="宋体" w:hAnsi="宋体" w:eastAsia="宋体" w:cs="宋体"/>
                <w:color w:val="000000"/>
                <w:sz w:val="28"/>
                <w:szCs w:val="28"/>
              </w:rPr>
              <w:t>3</w:t>
            </w:r>
          </w:p>
        </w:tc>
        <w:tc>
          <w:tcPr>
            <w:tcW w:w="4424" w:type="dxa"/>
            <w:noWrap w:val="0"/>
            <w:vAlign w:val="center"/>
          </w:tcPr>
          <w:p>
            <w:pPr>
              <w:spacing w:line="500" w:lineRule="atLeast"/>
              <w:ind w:right="-92" w:rightChars="-44"/>
              <w:rPr>
                <w:rFonts w:hint="eastAsia" w:ascii="宋体" w:hAnsi="宋体" w:eastAsia="宋体" w:cs="宋体"/>
                <w:iCs/>
                <w:color w:val="000000"/>
                <w:sz w:val="28"/>
                <w:szCs w:val="28"/>
              </w:rPr>
            </w:pPr>
          </w:p>
        </w:tc>
        <w:tc>
          <w:tcPr>
            <w:tcW w:w="2126" w:type="dxa"/>
            <w:noWrap w:val="0"/>
            <w:vAlign w:val="center"/>
          </w:tcPr>
          <w:p>
            <w:pPr>
              <w:spacing w:line="500" w:lineRule="atLeast"/>
              <w:ind w:right="-92" w:rightChars="-44"/>
              <w:rPr>
                <w:rFonts w:hint="eastAsia" w:ascii="宋体" w:hAnsi="宋体" w:eastAsia="宋体" w:cs="宋体"/>
                <w:color w:val="000000"/>
                <w:sz w:val="28"/>
                <w:szCs w:val="28"/>
              </w:rPr>
            </w:pPr>
          </w:p>
        </w:tc>
        <w:tc>
          <w:tcPr>
            <w:tcW w:w="2362" w:type="dxa"/>
            <w:noWrap w:val="0"/>
            <w:vAlign w:val="center"/>
          </w:tcPr>
          <w:p>
            <w:pPr>
              <w:spacing w:line="500" w:lineRule="atLeast"/>
              <w:ind w:right="-92" w:rightChars="-44"/>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trPr>
        <w:tc>
          <w:tcPr>
            <w:tcW w:w="646" w:type="dxa"/>
            <w:noWrap w:val="0"/>
            <w:vAlign w:val="center"/>
          </w:tcPr>
          <w:p>
            <w:pPr>
              <w:spacing w:line="500" w:lineRule="atLeast"/>
              <w:ind w:right="-92" w:rightChars="-44"/>
              <w:jc w:val="center"/>
              <w:rPr>
                <w:rFonts w:hint="eastAsia" w:ascii="宋体" w:hAnsi="宋体" w:eastAsia="宋体" w:cs="宋体"/>
                <w:color w:val="000000"/>
                <w:sz w:val="28"/>
                <w:szCs w:val="28"/>
              </w:rPr>
            </w:pPr>
            <w:r>
              <w:rPr>
                <w:rFonts w:hint="eastAsia" w:ascii="宋体" w:hAnsi="宋体" w:eastAsia="宋体" w:cs="宋体"/>
                <w:color w:val="000000"/>
                <w:sz w:val="28"/>
                <w:szCs w:val="28"/>
              </w:rPr>
              <w:t>4</w:t>
            </w:r>
          </w:p>
        </w:tc>
        <w:tc>
          <w:tcPr>
            <w:tcW w:w="4424" w:type="dxa"/>
            <w:noWrap w:val="0"/>
            <w:vAlign w:val="center"/>
          </w:tcPr>
          <w:p>
            <w:pPr>
              <w:spacing w:line="500" w:lineRule="atLeast"/>
              <w:ind w:right="-92" w:rightChars="-44"/>
              <w:rPr>
                <w:rFonts w:hint="eastAsia" w:ascii="宋体" w:hAnsi="宋体" w:eastAsia="宋体" w:cs="宋体"/>
                <w:iCs/>
                <w:color w:val="000000"/>
                <w:sz w:val="28"/>
                <w:szCs w:val="28"/>
              </w:rPr>
            </w:pPr>
          </w:p>
        </w:tc>
        <w:tc>
          <w:tcPr>
            <w:tcW w:w="2126" w:type="dxa"/>
            <w:noWrap w:val="0"/>
            <w:vAlign w:val="center"/>
          </w:tcPr>
          <w:p>
            <w:pPr>
              <w:spacing w:line="500" w:lineRule="atLeast"/>
              <w:ind w:right="-92" w:rightChars="-44"/>
              <w:rPr>
                <w:rFonts w:hint="eastAsia" w:ascii="宋体" w:hAnsi="宋体" w:eastAsia="宋体" w:cs="宋体"/>
                <w:color w:val="000000"/>
                <w:sz w:val="28"/>
                <w:szCs w:val="28"/>
              </w:rPr>
            </w:pPr>
          </w:p>
        </w:tc>
        <w:tc>
          <w:tcPr>
            <w:tcW w:w="2362" w:type="dxa"/>
            <w:noWrap w:val="0"/>
            <w:vAlign w:val="center"/>
          </w:tcPr>
          <w:p>
            <w:pPr>
              <w:spacing w:line="500" w:lineRule="atLeast"/>
              <w:ind w:right="-92" w:rightChars="-44"/>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646" w:type="dxa"/>
            <w:noWrap w:val="0"/>
            <w:vAlign w:val="center"/>
          </w:tcPr>
          <w:p>
            <w:pPr>
              <w:spacing w:line="500" w:lineRule="atLeast"/>
              <w:ind w:right="-92" w:rightChars="-44"/>
              <w:jc w:val="center"/>
              <w:rPr>
                <w:rFonts w:hint="eastAsia" w:ascii="宋体" w:hAnsi="宋体" w:eastAsia="宋体" w:cs="宋体"/>
                <w:color w:val="000000"/>
                <w:sz w:val="28"/>
                <w:szCs w:val="28"/>
              </w:rPr>
            </w:pPr>
            <w:r>
              <w:rPr>
                <w:rFonts w:hint="eastAsia" w:ascii="宋体" w:hAnsi="宋体" w:eastAsia="宋体" w:cs="宋体"/>
                <w:color w:val="000000"/>
                <w:sz w:val="28"/>
                <w:szCs w:val="28"/>
              </w:rPr>
              <w:t>5</w:t>
            </w:r>
          </w:p>
        </w:tc>
        <w:tc>
          <w:tcPr>
            <w:tcW w:w="4424" w:type="dxa"/>
            <w:noWrap w:val="0"/>
            <w:vAlign w:val="center"/>
          </w:tcPr>
          <w:p>
            <w:pPr>
              <w:snapToGrid w:val="0"/>
              <w:spacing w:line="500" w:lineRule="atLeast"/>
              <w:ind w:right="-92" w:rightChars="-44"/>
              <w:rPr>
                <w:rFonts w:hint="eastAsia" w:ascii="宋体" w:hAnsi="宋体" w:eastAsia="宋体" w:cs="宋体"/>
                <w:iCs/>
                <w:color w:val="000000"/>
                <w:sz w:val="28"/>
                <w:szCs w:val="28"/>
              </w:rPr>
            </w:pPr>
          </w:p>
        </w:tc>
        <w:tc>
          <w:tcPr>
            <w:tcW w:w="2126" w:type="dxa"/>
            <w:noWrap w:val="0"/>
            <w:vAlign w:val="center"/>
          </w:tcPr>
          <w:p>
            <w:pPr>
              <w:spacing w:line="500" w:lineRule="atLeast"/>
              <w:ind w:right="-92" w:rightChars="-44"/>
              <w:rPr>
                <w:rFonts w:hint="eastAsia" w:ascii="宋体" w:hAnsi="宋体" w:eastAsia="宋体" w:cs="宋体"/>
                <w:color w:val="000000"/>
                <w:sz w:val="28"/>
                <w:szCs w:val="28"/>
              </w:rPr>
            </w:pPr>
          </w:p>
        </w:tc>
        <w:tc>
          <w:tcPr>
            <w:tcW w:w="2362" w:type="dxa"/>
            <w:noWrap w:val="0"/>
            <w:vAlign w:val="center"/>
          </w:tcPr>
          <w:p>
            <w:pPr>
              <w:spacing w:line="500" w:lineRule="atLeast"/>
              <w:ind w:right="-92" w:rightChars="-44"/>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noWrap w:val="0"/>
            <w:vAlign w:val="center"/>
          </w:tcPr>
          <w:p>
            <w:pPr>
              <w:spacing w:line="500" w:lineRule="atLeast"/>
              <w:ind w:right="-92" w:rightChars="-44"/>
              <w:jc w:val="center"/>
              <w:rPr>
                <w:rFonts w:hint="eastAsia" w:ascii="宋体" w:hAnsi="宋体" w:eastAsia="宋体" w:cs="宋体"/>
                <w:color w:val="000000"/>
                <w:sz w:val="28"/>
                <w:szCs w:val="28"/>
              </w:rPr>
            </w:pPr>
            <w:r>
              <w:rPr>
                <w:rFonts w:hint="eastAsia" w:ascii="宋体" w:hAnsi="宋体" w:eastAsia="宋体" w:cs="宋体"/>
                <w:color w:val="000000"/>
                <w:sz w:val="28"/>
                <w:szCs w:val="28"/>
              </w:rPr>
              <w:t>6</w:t>
            </w:r>
          </w:p>
        </w:tc>
        <w:tc>
          <w:tcPr>
            <w:tcW w:w="4424" w:type="dxa"/>
            <w:noWrap w:val="0"/>
            <w:vAlign w:val="center"/>
          </w:tcPr>
          <w:p>
            <w:pPr>
              <w:snapToGrid w:val="0"/>
              <w:spacing w:line="500" w:lineRule="atLeast"/>
              <w:ind w:right="-92" w:rightChars="-44"/>
              <w:rPr>
                <w:rFonts w:hint="eastAsia" w:ascii="宋体" w:hAnsi="宋体" w:eastAsia="宋体" w:cs="宋体"/>
                <w:iCs/>
                <w:color w:val="000000"/>
                <w:sz w:val="28"/>
                <w:szCs w:val="28"/>
              </w:rPr>
            </w:pPr>
          </w:p>
        </w:tc>
        <w:tc>
          <w:tcPr>
            <w:tcW w:w="2126" w:type="dxa"/>
            <w:noWrap w:val="0"/>
            <w:vAlign w:val="center"/>
          </w:tcPr>
          <w:p>
            <w:pPr>
              <w:spacing w:line="500" w:lineRule="atLeast"/>
              <w:ind w:right="-92" w:rightChars="-44"/>
              <w:rPr>
                <w:rFonts w:hint="eastAsia" w:ascii="宋体" w:hAnsi="宋体" w:eastAsia="宋体" w:cs="宋体"/>
                <w:color w:val="000000"/>
                <w:sz w:val="28"/>
                <w:szCs w:val="28"/>
              </w:rPr>
            </w:pPr>
          </w:p>
        </w:tc>
        <w:tc>
          <w:tcPr>
            <w:tcW w:w="2362" w:type="dxa"/>
            <w:noWrap w:val="0"/>
            <w:vAlign w:val="center"/>
          </w:tcPr>
          <w:p>
            <w:pPr>
              <w:spacing w:line="500" w:lineRule="atLeast"/>
              <w:ind w:right="-92" w:rightChars="-44"/>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0"/>
            <w:vAlign w:val="center"/>
          </w:tcPr>
          <w:p>
            <w:pPr>
              <w:spacing w:line="500" w:lineRule="atLeast"/>
              <w:ind w:right="-92" w:rightChars="-44"/>
              <w:jc w:val="center"/>
              <w:rPr>
                <w:rFonts w:hint="eastAsia" w:ascii="宋体" w:hAnsi="宋体" w:eastAsia="宋体" w:cs="宋体"/>
                <w:color w:val="000000"/>
                <w:sz w:val="28"/>
                <w:szCs w:val="28"/>
              </w:rPr>
            </w:pPr>
            <w:r>
              <w:rPr>
                <w:rFonts w:hint="eastAsia" w:ascii="宋体" w:hAnsi="宋体" w:eastAsia="宋体" w:cs="宋体"/>
                <w:color w:val="000000"/>
                <w:sz w:val="28"/>
                <w:szCs w:val="28"/>
              </w:rPr>
              <w:t>7</w:t>
            </w:r>
          </w:p>
        </w:tc>
        <w:tc>
          <w:tcPr>
            <w:tcW w:w="4424" w:type="dxa"/>
            <w:noWrap w:val="0"/>
            <w:vAlign w:val="center"/>
          </w:tcPr>
          <w:p>
            <w:pPr>
              <w:snapToGrid w:val="0"/>
              <w:spacing w:line="500" w:lineRule="atLeast"/>
              <w:ind w:right="-92" w:rightChars="-44"/>
              <w:rPr>
                <w:rFonts w:hint="eastAsia" w:ascii="宋体" w:hAnsi="宋体" w:eastAsia="宋体" w:cs="宋体"/>
                <w:iCs/>
                <w:color w:val="000000"/>
                <w:sz w:val="28"/>
                <w:szCs w:val="28"/>
              </w:rPr>
            </w:pPr>
          </w:p>
        </w:tc>
        <w:tc>
          <w:tcPr>
            <w:tcW w:w="2126" w:type="dxa"/>
            <w:noWrap w:val="0"/>
            <w:vAlign w:val="center"/>
          </w:tcPr>
          <w:p>
            <w:pPr>
              <w:spacing w:line="500" w:lineRule="atLeast"/>
              <w:ind w:right="-92" w:rightChars="-44"/>
              <w:rPr>
                <w:rFonts w:hint="eastAsia" w:ascii="宋体" w:hAnsi="宋体" w:eastAsia="宋体" w:cs="宋体"/>
                <w:color w:val="000000"/>
                <w:sz w:val="28"/>
                <w:szCs w:val="28"/>
              </w:rPr>
            </w:pPr>
          </w:p>
        </w:tc>
        <w:tc>
          <w:tcPr>
            <w:tcW w:w="2362" w:type="dxa"/>
            <w:noWrap w:val="0"/>
            <w:vAlign w:val="center"/>
          </w:tcPr>
          <w:p>
            <w:pPr>
              <w:spacing w:line="500" w:lineRule="atLeast"/>
              <w:ind w:right="-92" w:rightChars="-44"/>
              <w:rPr>
                <w:rFonts w:hint="eastAsia" w:ascii="宋体" w:hAnsi="宋体" w:eastAsia="宋体" w:cs="宋体"/>
                <w:color w:val="000000"/>
                <w:sz w:val="28"/>
                <w:szCs w:val="28"/>
              </w:rPr>
            </w:pPr>
          </w:p>
        </w:tc>
      </w:tr>
    </w:tbl>
    <w:p>
      <w:pPr>
        <w:spacing w:line="500" w:lineRule="atLeast"/>
        <w:ind w:right="-92" w:rightChars="-44" w:firstLine="560" w:firstLineChars="200"/>
        <w:rPr>
          <w:rFonts w:hint="eastAsia" w:ascii="宋体" w:hAnsi="宋体" w:eastAsia="宋体" w:cs="宋体"/>
          <w:color w:val="000000"/>
          <w:sz w:val="28"/>
          <w:szCs w:val="28"/>
        </w:rPr>
      </w:pPr>
    </w:p>
    <w:p>
      <w:pPr>
        <w:snapToGrid w:val="0"/>
        <w:spacing w:before="50" w:after="50" w:line="500" w:lineRule="atLeast"/>
        <w:ind w:right="-92" w:rightChars="-44"/>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p>
    <w:p>
      <w:pPr>
        <w:snapToGrid w:val="0"/>
        <w:spacing w:before="50" w:after="50" w:line="500" w:lineRule="atLeast"/>
        <w:ind w:right="-92" w:rightChars="-44"/>
        <w:rPr>
          <w:rFonts w:hint="eastAsia" w:ascii="宋体" w:hAnsi="宋体" w:eastAsia="宋体" w:cs="宋体"/>
          <w:color w:val="000000"/>
          <w:sz w:val="28"/>
          <w:szCs w:val="28"/>
        </w:rPr>
      </w:pPr>
    </w:p>
    <w:p>
      <w:pPr>
        <w:snapToGrid w:val="0"/>
        <w:spacing w:before="50" w:after="50" w:line="500" w:lineRule="atLeast"/>
        <w:ind w:right="-92" w:rightChars="-44"/>
        <w:rPr>
          <w:rFonts w:hint="eastAsia" w:ascii="宋体" w:hAnsi="宋体" w:eastAsia="宋体" w:cs="宋体"/>
          <w:color w:val="000000"/>
          <w:sz w:val="28"/>
          <w:szCs w:val="28"/>
        </w:rPr>
      </w:pPr>
    </w:p>
    <w:p>
      <w:pPr>
        <w:pStyle w:val="9"/>
        <w:spacing w:line="500" w:lineRule="atLeast"/>
        <w:ind w:right="-92" w:rightChars="-44"/>
        <w:rPr>
          <w:rFonts w:hint="eastAsia" w:ascii="宋体" w:hAnsi="宋体" w:eastAsia="宋体" w:cs="宋体"/>
          <w:color w:val="000000"/>
          <w:sz w:val="28"/>
          <w:szCs w:val="28"/>
        </w:rPr>
      </w:pPr>
    </w:p>
    <w:p>
      <w:pPr>
        <w:snapToGrid w:val="0"/>
        <w:spacing w:before="50" w:after="50" w:line="500" w:lineRule="atLeast"/>
        <w:ind w:right="-92" w:rightChars="-44"/>
        <w:rPr>
          <w:rFonts w:hint="eastAsia" w:ascii="宋体" w:hAnsi="宋体" w:eastAsia="宋体" w:cs="宋体"/>
          <w:color w:val="000000"/>
          <w:sz w:val="28"/>
          <w:szCs w:val="28"/>
        </w:rPr>
      </w:pPr>
    </w:p>
    <w:p>
      <w:pPr>
        <w:snapToGrid w:val="0"/>
        <w:spacing w:before="50" w:after="50" w:line="500" w:lineRule="atLeast"/>
        <w:ind w:right="-92" w:rightChars="-44"/>
        <w:rPr>
          <w:rFonts w:hint="eastAsia" w:ascii="宋体" w:hAnsi="宋体" w:eastAsia="宋体" w:cs="宋体"/>
          <w:color w:val="000000"/>
          <w:sz w:val="28"/>
          <w:szCs w:val="28"/>
        </w:rPr>
      </w:pPr>
    </w:p>
    <w:p>
      <w:pPr>
        <w:snapToGrid w:val="0"/>
        <w:spacing w:before="50" w:after="50" w:line="500" w:lineRule="atLeast"/>
        <w:ind w:right="-92" w:rightChars="-44"/>
        <w:jc w:val="center"/>
        <w:rPr>
          <w:rFonts w:hint="eastAsia" w:ascii="宋体" w:hAnsi="宋体" w:eastAsia="宋体" w:cs="宋体"/>
          <w:color w:val="000000"/>
          <w:sz w:val="28"/>
          <w:szCs w:val="28"/>
        </w:rPr>
      </w:pPr>
      <w:r>
        <w:rPr>
          <w:rFonts w:hint="eastAsia" w:ascii="宋体" w:hAnsi="宋体" w:eastAsia="宋体" w:cs="宋体"/>
          <w:color w:val="000000"/>
          <w:sz w:val="28"/>
          <w:szCs w:val="28"/>
        </w:rPr>
        <w:t>三、符合性检查响应对照表（格式）</w:t>
      </w:r>
    </w:p>
    <w:p>
      <w:pPr>
        <w:spacing w:line="500" w:lineRule="atLeast"/>
        <w:ind w:right="-92" w:rightChars="-44" w:firstLine="309"/>
        <w:rPr>
          <w:rFonts w:hint="eastAsia" w:ascii="宋体" w:hAnsi="宋体" w:eastAsia="宋体" w:cs="宋体"/>
          <w:color w:val="000000"/>
          <w:sz w:val="28"/>
          <w:szCs w:val="28"/>
        </w:rPr>
      </w:pPr>
      <w:r>
        <w:rPr>
          <w:rFonts w:hint="eastAsia" w:ascii="宋体" w:hAnsi="宋体" w:eastAsia="宋体" w:cs="宋体"/>
          <w:color w:val="000000"/>
          <w:sz w:val="28"/>
          <w:szCs w:val="28"/>
        </w:rPr>
        <w:t>投标人全称（加盖公章）：</w:t>
      </w:r>
    </w:p>
    <w:tbl>
      <w:tblPr>
        <w:tblStyle w:val="18"/>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40"/>
        <w:gridCol w:w="2410"/>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pPr>
              <w:snapToGrid w:val="0"/>
              <w:spacing w:line="500" w:lineRule="atLeast"/>
              <w:ind w:right="-92" w:rightChars="-44"/>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序号</w:t>
            </w:r>
          </w:p>
        </w:tc>
        <w:tc>
          <w:tcPr>
            <w:tcW w:w="4140" w:type="dxa"/>
            <w:noWrap w:val="0"/>
            <w:vAlign w:val="center"/>
          </w:tcPr>
          <w:p>
            <w:pPr>
              <w:snapToGrid w:val="0"/>
              <w:spacing w:line="500" w:lineRule="atLeast"/>
              <w:ind w:right="-92" w:rightChars="-44"/>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符合性检查响应内容</w:t>
            </w:r>
          </w:p>
        </w:tc>
        <w:tc>
          <w:tcPr>
            <w:tcW w:w="2410" w:type="dxa"/>
            <w:noWrap w:val="0"/>
            <w:vAlign w:val="center"/>
          </w:tcPr>
          <w:p>
            <w:pPr>
              <w:snapToGrid w:val="0"/>
              <w:spacing w:line="500" w:lineRule="atLeast"/>
              <w:ind w:right="-92" w:rightChars="-44"/>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是否响应</w:t>
            </w:r>
          </w:p>
          <w:p>
            <w:pPr>
              <w:snapToGrid w:val="0"/>
              <w:spacing w:line="500" w:lineRule="atLeast"/>
              <w:ind w:right="-92" w:rightChars="-44"/>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（填是或者否）</w:t>
            </w:r>
          </w:p>
        </w:tc>
        <w:tc>
          <w:tcPr>
            <w:tcW w:w="2362" w:type="dxa"/>
            <w:noWrap w:val="0"/>
            <w:vAlign w:val="center"/>
          </w:tcPr>
          <w:p>
            <w:pPr>
              <w:snapToGrid w:val="0"/>
              <w:spacing w:line="500" w:lineRule="atLeast"/>
              <w:ind w:right="-92" w:rightChars="-44"/>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投标文件中的</w:t>
            </w:r>
          </w:p>
          <w:p>
            <w:pPr>
              <w:snapToGrid w:val="0"/>
              <w:spacing w:line="500" w:lineRule="atLeast"/>
              <w:ind w:right="-92" w:rightChars="-44"/>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pPr>
              <w:spacing w:line="500" w:lineRule="atLeast"/>
              <w:ind w:right="-92" w:rightChars="-44"/>
              <w:jc w:val="center"/>
              <w:rPr>
                <w:rFonts w:hint="eastAsia" w:ascii="宋体" w:hAnsi="宋体" w:eastAsia="宋体" w:cs="宋体"/>
                <w:color w:val="000000"/>
                <w:sz w:val="28"/>
                <w:szCs w:val="28"/>
              </w:rPr>
            </w:pPr>
            <w:r>
              <w:rPr>
                <w:rFonts w:hint="eastAsia" w:ascii="宋体" w:hAnsi="宋体" w:eastAsia="宋体" w:cs="宋体"/>
                <w:color w:val="000000"/>
                <w:sz w:val="28"/>
                <w:szCs w:val="28"/>
              </w:rPr>
              <w:t>1</w:t>
            </w:r>
          </w:p>
        </w:tc>
        <w:tc>
          <w:tcPr>
            <w:tcW w:w="4140" w:type="dxa"/>
            <w:noWrap w:val="0"/>
            <w:vAlign w:val="center"/>
          </w:tcPr>
          <w:p>
            <w:pPr>
              <w:spacing w:line="500" w:lineRule="atLeast"/>
              <w:ind w:right="-92" w:rightChars="-44"/>
              <w:rPr>
                <w:rFonts w:hint="eastAsia" w:ascii="宋体" w:hAnsi="宋体" w:eastAsia="宋体" w:cs="宋体"/>
                <w:iCs/>
                <w:color w:val="000000"/>
                <w:sz w:val="28"/>
                <w:szCs w:val="28"/>
              </w:rPr>
            </w:pPr>
          </w:p>
        </w:tc>
        <w:tc>
          <w:tcPr>
            <w:tcW w:w="2410" w:type="dxa"/>
            <w:noWrap w:val="0"/>
            <w:vAlign w:val="center"/>
          </w:tcPr>
          <w:p>
            <w:pPr>
              <w:spacing w:line="500" w:lineRule="atLeast"/>
              <w:ind w:right="-92" w:rightChars="-44"/>
              <w:rPr>
                <w:rFonts w:hint="eastAsia" w:ascii="宋体" w:hAnsi="宋体" w:eastAsia="宋体" w:cs="宋体"/>
                <w:b/>
                <w:color w:val="000000"/>
                <w:sz w:val="28"/>
                <w:szCs w:val="28"/>
              </w:rPr>
            </w:pPr>
          </w:p>
        </w:tc>
        <w:tc>
          <w:tcPr>
            <w:tcW w:w="2362" w:type="dxa"/>
            <w:noWrap w:val="0"/>
            <w:vAlign w:val="center"/>
          </w:tcPr>
          <w:p>
            <w:pPr>
              <w:spacing w:line="500" w:lineRule="atLeast"/>
              <w:ind w:right="-92" w:rightChars="-44"/>
              <w:rPr>
                <w:rFonts w:hint="eastAsia" w:ascii="宋体" w:hAnsi="宋体" w:eastAsia="宋体" w:cs="宋体"/>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pPr>
              <w:spacing w:line="500" w:lineRule="atLeast"/>
              <w:ind w:right="-92" w:rightChars="-44"/>
              <w:jc w:val="center"/>
              <w:rPr>
                <w:rFonts w:hint="eastAsia" w:ascii="宋体" w:hAnsi="宋体" w:eastAsia="宋体" w:cs="宋体"/>
                <w:color w:val="000000"/>
                <w:sz w:val="28"/>
                <w:szCs w:val="28"/>
              </w:rPr>
            </w:pPr>
            <w:r>
              <w:rPr>
                <w:rFonts w:hint="eastAsia" w:ascii="宋体" w:hAnsi="宋体" w:eastAsia="宋体" w:cs="宋体"/>
                <w:color w:val="000000"/>
                <w:sz w:val="28"/>
                <w:szCs w:val="28"/>
              </w:rPr>
              <w:t>2</w:t>
            </w:r>
          </w:p>
        </w:tc>
        <w:tc>
          <w:tcPr>
            <w:tcW w:w="4140" w:type="dxa"/>
            <w:noWrap w:val="0"/>
            <w:vAlign w:val="center"/>
          </w:tcPr>
          <w:p>
            <w:pPr>
              <w:spacing w:line="500" w:lineRule="atLeast"/>
              <w:ind w:right="-92" w:rightChars="-44"/>
              <w:rPr>
                <w:rFonts w:hint="eastAsia" w:ascii="宋体" w:hAnsi="宋体" w:eastAsia="宋体" w:cs="宋体"/>
                <w:iCs/>
                <w:color w:val="000000"/>
                <w:sz w:val="28"/>
                <w:szCs w:val="28"/>
              </w:rPr>
            </w:pPr>
          </w:p>
        </w:tc>
        <w:tc>
          <w:tcPr>
            <w:tcW w:w="2410" w:type="dxa"/>
            <w:noWrap w:val="0"/>
            <w:vAlign w:val="center"/>
          </w:tcPr>
          <w:p>
            <w:pPr>
              <w:spacing w:line="500" w:lineRule="atLeast"/>
              <w:ind w:right="-92" w:rightChars="-44"/>
              <w:rPr>
                <w:rFonts w:hint="eastAsia" w:ascii="宋体" w:hAnsi="宋体" w:eastAsia="宋体" w:cs="宋体"/>
                <w:color w:val="000000"/>
                <w:sz w:val="28"/>
                <w:szCs w:val="28"/>
              </w:rPr>
            </w:pPr>
          </w:p>
        </w:tc>
        <w:tc>
          <w:tcPr>
            <w:tcW w:w="2362" w:type="dxa"/>
            <w:noWrap w:val="0"/>
            <w:vAlign w:val="center"/>
          </w:tcPr>
          <w:p>
            <w:pPr>
              <w:spacing w:line="500" w:lineRule="atLeast"/>
              <w:ind w:right="-92" w:rightChars="-44"/>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pPr>
              <w:spacing w:line="500" w:lineRule="atLeast"/>
              <w:ind w:right="-92" w:rightChars="-44"/>
              <w:jc w:val="center"/>
              <w:rPr>
                <w:rFonts w:hint="eastAsia" w:ascii="宋体" w:hAnsi="宋体" w:eastAsia="宋体" w:cs="宋体"/>
                <w:color w:val="000000"/>
                <w:sz w:val="28"/>
                <w:szCs w:val="28"/>
              </w:rPr>
            </w:pPr>
            <w:r>
              <w:rPr>
                <w:rFonts w:hint="eastAsia" w:ascii="宋体" w:hAnsi="宋体" w:eastAsia="宋体" w:cs="宋体"/>
                <w:color w:val="000000"/>
                <w:sz w:val="28"/>
                <w:szCs w:val="28"/>
              </w:rPr>
              <w:t>3</w:t>
            </w:r>
          </w:p>
        </w:tc>
        <w:tc>
          <w:tcPr>
            <w:tcW w:w="4140" w:type="dxa"/>
            <w:noWrap w:val="0"/>
            <w:vAlign w:val="center"/>
          </w:tcPr>
          <w:p>
            <w:pPr>
              <w:spacing w:line="500" w:lineRule="atLeast"/>
              <w:ind w:right="-92" w:rightChars="-44"/>
              <w:rPr>
                <w:rFonts w:hint="eastAsia" w:ascii="宋体" w:hAnsi="宋体" w:eastAsia="宋体" w:cs="宋体"/>
                <w:iCs/>
                <w:color w:val="000000"/>
                <w:sz w:val="28"/>
                <w:szCs w:val="28"/>
              </w:rPr>
            </w:pPr>
          </w:p>
        </w:tc>
        <w:tc>
          <w:tcPr>
            <w:tcW w:w="2410" w:type="dxa"/>
            <w:noWrap w:val="0"/>
            <w:vAlign w:val="center"/>
          </w:tcPr>
          <w:p>
            <w:pPr>
              <w:spacing w:line="500" w:lineRule="atLeast"/>
              <w:ind w:right="-92" w:rightChars="-44"/>
              <w:rPr>
                <w:rFonts w:hint="eastAsia" w:ascii="宋体" w:hAnsi="宋体" w:eastAsia="宋体" w:cs="宋体"/>
                <w:color w:val="000000"/>
                <w:sz w:val="28"/>
                <w:szCs w:val="28"/>
              </w:rPr>
            </w:pPr>
          </w:p>
        </w:tc>
        <w:tc>
          <w:tcPr>
            <w:tcW w:w="2362" w:type="dxa"/>
            <w:noWrap w:val="0"/>
            <w:vAlign w:val="center"/>
          </w:tcPr>
          <w:p>
            <w:pPr>
              <w:spacing w:line="500" w:lineRule="atLeast"/>
              <w:ind w:right="-92" w:rightChars="-44"/>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trPr>
        <w:tc>
          <w:tcPr>
            <w:tcW w:w="646" w:type="dxa"/>
            <w:noWrap w:val="0"/>
            <w:vAlign w:val="center"/>
          </w:tcPr>
          <w:p>
            <w:pPr>
              <w:spacing w:line="500" w:lineRule="atLeast"/>
              <w:ind w:right="-92" w:rightChars="-44"/>
              <w:jc w:val="center"/>
              <w:rPr>
                <w:rFonts w:hint="eastAsia" w:ascii="宋体" w:hAnsi="宋体" w:eastAsia="宋体" w:cs="宋体"/>
                <w:color w:val="000000"/>
                <w:sz w:val="28"/>
                <w:szCs w:val="28"/>
              </w:rPr>
            </w:pPr>
            <w:r>
              <w:rPr>
                <w:rFonts w:hint="eastAsia" w:ascii="宋体" w:hAnsi="宋体" w:eastAsia="宋体" w:cs="宋体"/>
                <w:color w:val="000000"/>
                <w:sz w:val="28"/>
                <w:szCs w:val="28"/>
              </w:rPr>
              <w:t>4</w:t>
            </w:r>
          </w:p>
        </w:tc>
        <w:tc>
          <w:tcPr>
            <w:tcW w:w="4140" w:type="dxa"/>
            <w:noWrap w:val="0"/>
            <w:vAlign w:val="center"/>
          </w:tcPr>
          <w:p>
            <w:pPr>
              <w:spacing w:line="500" w:lineRule="atLeast"/>
              <w:ind w:right="-92" w:rightChars="-44"/>
              <w:rPr>
                <w:rFonts w:hint="eastAsia" w:ascii="宋体" w:hAnsi="宋体" w:eastAsia="宋体" w:cs="宋体"/>
                <w:iCs/>
                <w:color w:val="000000"/>
                <w:sz w:val="28"/>
                <w:szCs w:val="28"/>
              </w:rPr>
            </w:pPr>
          </w:p>
        </w:tc>
        <w:tc>
          <w:tcPr>
            <w:tcW w:w="2410" w:type="dxa"/>
            <w:noWrap w:val="0"/>
            <w:vAlign w:val="center"/>
          </w:tcPr>
          <w:p>
            <w:pPr>
              <w:spacing w:line="500" w:lineRule="atLeast"/>
              <w:ind w:right="-92" w:rightChars="-44"/>
              <w:rPr>
                <w:rFonts w:hint="eastAsia" w:ascii="宋体" w:hAnsi="宋体" w:eastAsia="宋体" w:cs="宋体"/>
                <w:color w:val="000000"/>
                <w:sz w:val="28"/>
                <w:szCs w:val="28"/>
              </w:rPr>
            </w:pPr>
          </w:p>
        </w:tc>
        <w:tc>
          <w:tcPr>
            <w:tcW w:w="2362" w:type="dxa"/>
            <w:noWrap w:val="0"/>
            <w:vAlign w:val="center"/>
          </w:tcPr>
          <w:p>
            <w:pPr>
              <w:spacing w:line="500" w:lineRule="atLeast"/>
              <w:ind w:right="-92" w:rightChars="-44"/>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646" w:type="dxa"/>
            <w:noWrap w:val="0"/>
            <w:vAlign w:val="center"/>
          </w:tcPr>
          <w:p>
            <w:pPr>
              <w:spacing w:line="500" w:lineRule="atLeast"/>
              <w:ind w:right="-92" w:rightChars="-44"/>
              <w:jc w:val="center"/>
              <w:rPr>
                <w:rFonts w:hint="eastAsia" w:ascii="宋体" w:hAnsi="宋体" w:eastAsia="宋体" w:cs="宋体"/>
                <w:color w:val="000000"/>
                <w:sz w:val="28"/>
                <w:szCs w:val="28"/>
              </w:rPr>
            </w:pPr>
            <w:r>
              <w:rPr>
                <w:rFonts w:hint="eastAsia" w:ascii="宋体" w:hAnsi="宋体" w:eastAsia="宋体" w:cs="宋体"/>
                <w:color w:val="000000"/>
                <w:sz w:val="28"/>
                <w:szCs w:val="28"/>
              </w:rPr>
              <w:t>5</w:t>
            </w:r>
          </w:p>
        </w:tc>
        <w:tc>
          <w:tcPr>
            <w:tcW w:w="4140" w:type="dxa"/>
            <w:noWrap w:val="0"/>
            <w:vAlign w:val="center"/>
          </w:tcPr>
          <w:p>
            <w:pPr>
              <w:snapToGrid w:val="0"/>
              <w:spacing w:line="500" w:lineRule="atLeast"/>
              <w:ind w:right="-92" w:rightChars="-44"/>
              <w:rPr>
                <w:rFonts w:hint="eastAsia" w:ascii="宋体" w:hAnsi="宋体" w:eastAsia="宋体" w:cs="宋体"/>
                <w:iCs/>
                <w:color w:val="000000"/>
                <w:sz w:val="28"/>
                <w:szCs w:val="28"/>
              </w:rPr>
            </w:pPr>
          </w:p>
        </w:tc>
        <w:tc>
          <w:tcPr>
            <w:tcW w:w="2410" w:type="dxa"/>
            <w:noWrap w:val="0"/>
            <w:vAlign w:val="center"/>
          </w:tcPr>
          <w:p>
            <w:pPr>
              <w:spacing w:line="500" w:lineRule="atLeast"/>
              <w:ind w:right="-92" w:rightChars="-44"/>
              <w:rPr>
                <w:rFonts w:hint="eastAsia" w:ascii="宋体" w:hAnsi="宋体" w:eastAsia="宋体" w:cs="宋体"/>
                <w:color w:val="000000"/>
                <w:sz w:val="28"/>
                <w:szCs w:val="28"/>
              </w:rPr>
            </w:pPr>
          </w:p>
        </w:tc>
        <w:tc>
          <w:tcPr>
            <w:tcW w:w="2362" w:type="dxa"/>
            <w:noWrap w:val="0"/>
            <w:vAlign w:val="center"/>
          </w:tcPr>
          <w:p>
            <w:pPr>
              <w:spacing w:line="500" w:lineRule="atLeast"/>
              <w:ind w:right="-92" w:rightChars="-44"/>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noWrap w:val="0"/>
            <w:vAlign w:val="center"/>
          </w:tcPr>
          <w:p>
            <w:pPr>
              <w:spacing w:line="500" w:lineRule="atLeast"/>
              <w:ind w:right="-92" w:rightChars="-44"/>
              <w:jc w:val="center"/>
              <w:rPr>
                <w:rFonts w:hint="eastAsia" w:ascii="宋体" w:hAnsi="宋体" w:eastAsia="宋体" w:cs="宋体"/>
                <w:color w:val="000000"/>
                <w:sz w:val="28"/>
                <w:szCs w:val="28"/>
              </w:rPr>
            </w:pPr>
            <w:r>
              <w:rPr>
                <w:rFonts w:hint="eastAsia" w:ascii="宋体" w:hAnsi="宋体" w:eastAsia="宋体" w:cs="宋体"/>
                <w:color w:val="000000"/>
                <w:sz w:val="28"/>
                <w:szCs w:val="28"/>
              </w:rPr>
              <w:t>6</w:t>
            </w:r>
          </w:p>
        </w:tc>
        <w:tc>
          <w:tcPr>
            <w:tcW w:w="4140" w:type="dxa"/>
            <w:noWrap w:val="0"/>
            <w:vAlign w:val="center"/>
          </w:tcPr>
          <w:p>
            <w:pPr>
              <w:snapToGrid w:val="0"/>
              <w:spacing w:line="500" w:lineRule="atLeast"/>
              <w:ind w:right="-92" w:rightChars="-44"/>
              <w:rPr>
                <w:rFonts w:hint="eastAsia" w:ascii="宋体" w:hAnsi="宋体" w:eastAsia="宋体" w:cs="宋体"/>
                <w:iCs/>
                <w:color w:val="000000"/>
                <w:sz w:val="28"/>
                <w:szCs w:val="28"/>
              </w:rPr>
            </w:pPr>
          </w:p>
        </w:tc>
        <w:tc>
          <w:tcPr>
            <w:tcW w:w="2410" w:type="dxa"/>
            <w:noWrap w:val="0"/>
            <w:vAlign w:val="center"/>
          </w:tcPr>
          <w:p>
            <w:pPr>
              <w:spacing w:line="500" w:lineRule="atLeast"/>
              <w:ind w:right="-92" w:rightChars="-44"/>
              <w:rPr>
                <w:rFonts w:hint="eastAsia" w:ascii="宋体" w:hAnsi="宋体" w:eastAsia="宋体" w:cs="宋体"/>
                <w:color w:val="000000"/>
                <w:sz w:val="28"/>
                <w:szCs w:val="28"/>
              </w:rPr>
            </w:pPr>
          </w:p>
        </w:tc>
        <w:tc>
          <w:tcPr>
            <w:tcW w:w="2362" w:type="dxa"/>
            <w:noWrap w:val="0"/>
            <w:vAlign w:val="center"/>
          </w:tcPr>
          <w:p>
            <w:pPr>
              <w:spacing w:line="500" w:lineRule="atLeast"/>
              <w:ind w:right="-92" w:rightChars="-44"/>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0"/>
            <w:vAlign w:val="center"/>
          </w:tcPr>
          <w:p>
            <w:pPr>
              <w:spacing w:line="500" w:lineRule="atLeast"/>
              <w:ind w:right="-92" w:rightChars="-44"/>
              <w:jc w:val="center"/>
              <w:rPr>
                <w:rFonts w:hint="eastAsia" w:ascii="宋体" w:hAnsi="宋体" w:eastAsia="宋体" w:cs="宋体"/>
                <w:color w:val="000000"/>
                <w:sz w:val="28"/>
                <w:szCs w:val="28"/>
              </w:rPr>
            </w:pPr>
            <w:r>
              <w:rPr>
                <w:rFonts w:hint="eastAsia" w:ascii="宋体" w:hAnsi="宋体" w:eastAsia="宋体" w:cs="宋体"/>
                <w:color w:val="000000"/>
                <w:sz w:val="28"/>
                <w:szCs w:val="28"/>
              </w:rPr>
              <w:t>7</w:t>
            </w:r>
          </w:p>
        </w:tc>
        <w:tc>
          <w:tcPr>
            <w:tcW w:w="4140" w:type="dxa"/>
            <w:noWrap w:val="0"/>
            <w:vAlign w:val="center"/>
          </w:tcPr>
          <w:p>
            <w:pPr>
              <w:snapToGrid w:val="0"/>
              <w:spacing w:line="500" w:lineRule="atLeast"/>
              <w:ind w:right="-92" w:rightChars="-44"/>
              <w:rPr>
                <w:rFonts w:hint="eastAsia" w:ascii="宋体" w:hAnsi="宋体" w:eastAsia="宋体" w:cs="宋体"/>
                <w:iCs/>
                <w:color w:val="000000"/>
                <w:sz w:val="28"/>
                <w:szCs w:val="28"/>
              </w:rPr>
            </w:pPr>
          </w:p>
        </w:tc>
        <w:tc>
          <w:tcPr>
            <w:tcW w:w="2410" w:type="dxa"/>
            <w:noWrap w:val="0"/>
            <w:vAlign w:val="center"/>
          </w:tcPr>
          <w:p>
            <w:pPr>
              <w:spacing w:line="500" w:lineRule="atLeast"/>
              <w:ind w:right="-92" w:rightChars="-44"/>
              <w:rPr>
                <w:rFonts w:hint="eastAsia" w:ascii="宋体" w:hAnsi="宋体" w:eastAsia="宋体" w:cs="宋体"/>
                <w:color w:val="000000"/>
                <w:sz w:val="28"/>
                <w:szCs w:val="28"/>
              </w:rPr>
            </w:pPr>
          </w:p>
        </w:tc>
        <w:tc>
          <w:tcPr>
            <w:tcW w:w="2362" w:type="dxa"/>
            <w:noWrap w:val="0"/>
            <w:vAlign w:val="center"/>
          </w:tcPr>
          <w:p>
            <w:pPr>
              <w:spacing w:line="500" w:lineRule="atLeast"/>
              <w:ind w:right="-92" w:rightChars="-44"/>
              <w:rPr>
                <w:rFonts w:hint="eastAsia" w:ascii="宋体" w:hAnsi="宋体" w:eastAsia="宋体" w:cs="宋体"/>
                <w:color w:val="000000"/>
                <w:sz w:val="28"/>
                <w:szCs w:val="28"/>
              </w:rPr>
            </w:pPr>
          </w:p>
        </w:tc>
      </w:tr>
    </w:tbl>
    <w:p>
      <w:pPr>
        <w:snapToGrid w:val="0"/>
        <w:spacing w:before="50" w:after="50" w:line="500" w:lineRule="atLeast"/>
        <w:ind w:right="-92" w:rightChars="-44"/>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bookmarkStart w:id="62" w:name="_Toc120614284"/>
    </w:p>
    <w:p>
      <w:pPr>
        <w:snapToGrid w:val="0"/>
        <w:spacing w:before="50" w:after="50" w:line="500" w:lineRule="atLeast"/>
        <w:ind w:right="-92" w:rightChars="-44"/>
        <w:rPr>
          <w:rFonts w:hint="eastAsia" w:ascii="宋体" w:hAnsi="宋体" w:eastAsia="宋体" w:cs="宋体"/>
          <w:color w:val="000000"/>
          <w:sz w:val="28"/>
          <w:szCs w:val="28"/>
        </w:rPr>
      </w:pPr>
    </w:p>
    <w:p>
      <w:pPr>
        <w:snapToGrid w:val="0"/>
        <w:spacing w:before="50" w:after="50" w:line="500" w:lineRule="atLeast"/>
        <w:ind w:right="-92" w:rightChars="-44"/>
        <w:jc w:val="center"/>
        <w:rPr>
          <w:rFonts w:hint="eastAsia" w:ascii="宋体" w:hAnsi="宋体" w:eastAsia="宋体" w:cs="宋体"/>
          <w:color w:val="000000"/>
          <w:sz w:val="28"/>
          <w:szCs w:val="28"/>
        </w:rPr>
      </w:pPr>
    </w:p>
    <w:p>
      <w:pPr>
        <w:snapToGrid w:val="0"/>
        <w:spacing w:before="50" w:after="50" w:line="500" w:lineRule="atLeast"/>
        <w:ind w:right="-92" w:rightChars="-44"/>
        <w:jc w:val="center"/>
        <w:rPr>
          <w:rFonts w:hint="eastAsia" w:ascii="宋体" w:hAnsi="宋体" w:eastAsia="宋体" w:cs="宋体"/>
          <w:color w:val="000000"/>
          <w:sz w:val="28"/>
          <w:szCs w:val="28"/>
        </w:rPr>
      </w:pPr>
    </w:p>
    <w:p>
      <w:pPr>
        <w:snapToGrid w:val="0"/>
        <w:spacing w:before="50" w:after="50" w:line="500" w:lineRule="atLeast"/>
        <w:ind w:right="-92" w:rightChars="-44"/>
        <w:jc w:val="center"/>
        <w:rPr>
          <w:rFonts w:hint="eastAsia" w:ascii="宋体" w:hAnsi="宋体" w:eastAsia="宋体" w:cs="宋体"/>
          <w:color w:val="000000"/>
          <w:sz w:val="28"/>
          <w:szCs w:val="28"/>
        </w:rPr>
      </w:pPr>
      <w:r>
        <w:rPr>
          <w:rFonts w:hint="eastAsia" w:ascii="宋体" w:hAnsi="宋体" w:eastAsia="宋体" w:cs="宋体"/>
          <w:color w:val="000000"/>
          <w:sz w:val="28"/>
          <w:szCs w:val="28"/>
        </w:rPr>
        <w:br w:type="page"/>
      </w:r>
      <w:r>
        <w:rPr>
          <w:rFonts w:hint="eastAsia" w:ascii="宋体" w:hAnsi="宋体" w:eastAsia="宋体" w:cs="宋体"/>
          <w:color w:val="000000"/>
          <w:sz w:val="28"/>
          <w:szCs w:val="28"/>
        </w:rPr>
        <w:t>四、投标函（格式）</w:t>
      </w:r>
    </w:p>
    <w:p>
      <w:pPr>
        <w:pStyle w:val="23"/>
        <w:spacing w:before="0" w:after="0" w:line="500" w:lineRule="atLeast"/>
        <w:ind w:right="-92" w:rightChars="-44" w:firstLine="560"/>
        <w:rPr>
          <w:rFonts w:hint="default" w:ascii="宋体" w:hAnsi="宋体" w:eastAsia="宋体" w:cs="宋体"/>
          <w:color w:val="000000"/>
          <w:lang w:val="en-US" w:eastAsia="zh-CN"/>
        </w:rPr>
      </w:pPr>
      <w:r>
        <w:rPr>
          <w:rFonts w:hint="eastAsia" w:ascii="宋体" w:hAnsi="宋体" w:eastAsia="宋体" w:cs="宋体"/>
          <w:color w:val="000000"/>
        </w:rPr>
        <w:t>致：</w:t>
      </w:r>
      <w:r>
        <w:rPr>
          <w:rFonts w:hint="eastAsia" w:ascii="宋体" w:hAnsi="宋体" w:eastAsia="宋体" w:cs="宋体"/>
          <w:color w:val="000000"/>
          <w:u w:val="single"/>
          <w:lang w:val="en-US" w:eastAsia="zh-CN"/>
        </w:rPr>
        <w:t>江苏省政府采购中心</w:t>
      </w:r>
    </w:p>
    <w:p>
      <w:pPr>
        <w:pStyle w:val="23"/>
        <w:spacing w:before="0" w:after="0" w:line="500" w:lineRule="atLeast"/>
        <w:ind w:right="-92" w:rightChars="-44" w:firstLineChars="200"/>
        <w:rPr>
          <w:rFonts w:hint="eastAsia" w:ascii="宋体" w:hAnsi="宋体" w:eastAsia="宋体" w:cs="宋体"/>
          <w:color w:val="000000"/>
        </w:rPr>
      </w:pPr>
      <w:r>
        <w:rPr>
          <w:rFonts w:hint="eastAsia" w:ascii="宋体" w:hAnsi="宋体" w:eastAsia="宋体" w:cs="宋体"/>
          <w:color w:val="000000"/>
        </w:rPr>
        <w:t>根据贵方的</w:t>
      </w:r>
      <w:r>
        <w:rPr>
          <w:rFonts w:hint="eastAsia" w:ascii="宋体" w:hAnsi="宋体" w:eastAsia="宋体" w:cs="宋体"/>
          <w:b/>
          <w:color w:val="000000"/>
          <w:u w:val="single"/>
        </w:rPr>
        <w:t xml:space="preserve">           </w:t>
      </w:r>
      <w:r>
        <w:rPr>
          <w:rFonts w:hint="eastAsia" w:ascii="宋体" w:hAnsi="宋体" w:eastAsia="宋体" w:cs="宋体"/>
          <w:color w:val="000000"/>
        </w:rPr>
        <w:t>（项目名称）招标文件，正式授权下述签字人_________________(姓名)代表我方______________（投标人的名称），全权处理本次项目投标的有关事宜。</w:t>
      </w:r>
    </w:p>
    <w:p>
      <w:pPr>
        <w:pStyle w:val="23"/>
        <w:spacing w:before="0" w:after="0" w:line="500" w:lineRule="atLeast"/>
        <w:ind w:right="-92" w:rightChars="-44" w:firstLineChars="200"/>
        <w:rPr>
          <w:rFonts w:hint="eastAsia" w:ascii="宋体" w:hAnsi="宋体" w:eastAsia="宋体" w:cs="宋体"/>
          <w:color w:val="000000"/>
        </w:rPr>
      </w:pPr>
      <w:r>
        <w:rPr>
          <w:rFonts w:hint="eastAsia" w:ascii="宋体" w:hAnsi="宋体" w:eastAsia="宋体" w:cs="宋体"/>
          <w:color w:val="000000"/>
        </w:rPr>
        <w:t>据此函，__________签字人兹宣布同意如下：</w:t>
      </w:r>
    </w:p>
    <w:p>
      <w:pPr>
        <w:pStyle w:val="23"/>
        <w:spacing w:before="0" w:after="0" w:line="500" w:lineRule="atLeast"/>
        <w:ind w:right="-92" w:rightChars="-44" w:firstLine="560"/>
        <w:rPr>
          <w:rFonts w:hint="eastAsia" w:ascii="宋体" w:hAnsi="宋体" w:eastAsia="宋体" w:cs="宋体"/>
          <w:color w:val="000000"/>
        </w:rPr>
      </w:pPr>
      <w:r>
        <w:rPr>
          <w:rFonts w:hint="eastAsia" w:ascii="宋体" w:hAnsi="宋体" w:eastAsia="宋体" w:cs="宋体"/>
          <w:color w:val="000000"/>
        </w:rPr>
        <w:t>1.按招标文件规定的各项要求，向买方提供所需货物与服务。</w:t>
      </w:r>
    </w:p>
    <w:p>
      <w:pPr>
        <w:pStyle w:val="23"/>
        <w:spacing w:before="0" w:after="0" w:line="500" w:lineRule="atLeast"/>
        <w:ind w:right="-92" w:rightChars="-44" w:firstLineChars="200"/>
        <w:rPr>
          <w:rFonts w:hint="eastAsia" w:ascii="宋体" w:hAnsi="宋体" w:eastAsia="宋体" w:cs="宋体"/>
          <w:color w:val="000000"/>
        </w:rPr>
      </w:pPr>
      <w:r>
        <w:rPr>
          <w:rFonts w:hint="eastAsia" w:ascii="宋体" w:hAnsi="宋体" w:eastAsia="宋体" w:cs="宋体"/>
          <w:color w:val="000000"/>
        </w:rPr>
        <w:t>2.我们完全理解贵方不一定将合同授予最低报价的投标人。</w:t>
      </w:r>
    </w:p>
    <w:p>
      <w:pPr>
        <w:pStyle w:val="23"/>
        <w:spacing w:before="0" w:after="0" w:line="500" w:lineRule="atLeast"/>
        <w:ind w:right="-92" w:rightChars="-44" w:firstLineChars="200"/>
        <w:rPr>
          <w:rFonts w:hint="eastAsia" w:ascii="宋体" w:hAnsi="宋体" w:eastAsia="宋体" w:cs="宋体"/>
          <w:color w:val="000000"/>
        </w:rPr>
      </w:pPr>
      <w:r>
        <w:rPr>
          <w:rFonts w:hint="eastAsia" w:ascii="宋体" w:hAnsi="宋体" w:eastAsia="宋体" w:cs="宋体"/>
          <w:color w:val="000000"/>
        </w:rPr>
        <w:t>3.我们已详细审核全部招标文件及其有效补充文件，我们知道必须放弃提出含糊不清或误解问题的权利。</w:t>
      </w:r>
    </w:p>
    <w:p>
      <w:pPr>
        <w:pStyle w:val="23"/>
        <w:spacing w:before="0" w:after="0" w:line="500" w:lineRule="atLeast"/>
        <w:ind w:right="-92" w:rightChars="-44" w:firstLine="560"/>
        <w:rPr>
          <w:rFonts w:hint="eastAsia" w:ascii="宋体" w:hAnsi="宋体" w:eastAsia="宋体" w:cs="宋体"/>
          <w:color w:val="000000"/>
        </w:rPr>
      </w:pPr>
      <w:r>
        <w:rPr>
          <w:rFonts w:hint="eastAsia" w:ascii="宋体" w:hAnsi="宋体" w:eastAsia="宋体" w:cs="宋体"/>
          <w:color w:val="000000"/>
        </w:rPr>
        <w:t>4.我们同意从规定的开标日期起遵循本投标文件，并在规定的投标有效期期满之前均具有约束力。</w:t>
      </w:r>
    </w:p>
    <w:p>
      <w:pPr>
        <w:pStyle w:val="23"/>
        <w:spacing w:before="0" w:after="0" w:line="500" w:lineRule="atLeast"/>
        <w:ind w:right="-92" w:rightChars="-44" w:firstLine="560"/>
        <w:rPr>
          <w:rFonts w:hint="eastAsia" w:ascii="宋体" w:hAnsi="宋体" w:eastAsia="宋体" w:cs="宋体"/>
          <w:color w:val="000000"/>
        </w:rPr>
      </w:pPr>
      <w:r>
        <w:rPr>
          <w:rFonts w:hint="eastAsia" w:ascii="宋体" w:hAnsi="宋体" w:eastAsia="宋体" w:cs="宋体"/>
          <w:color w:val="000000"/>
          <w:lang w:val="en-US" w:eastAsia="zh-CN"/>
        </w:rPr>
        <w:t>5</w:t>
      </w:r>
      <w:r>
        <w:rPr>
          <w:rFonts w:hint="eastAsia" w:ascii="宋体" w:hAnsi="宋体" w:eastAsia="宋体" w:cs="宋体"/>
          <w:color w:val="000000"/>
        </w:rPr>
        <w:t>.同意向贵方提供贵方可能另外要求的与投标有关的任何证据或资料，并保证我方已提供和将要提供的文件是真实的、准确的。</w:t>
      </w:r>
    </w:p>
    <w:p>
      <w:pPr>
        <w:pStyle w:val="23"/>
        <w:spacing w:before="0" w:after="0" w:line="500" w:lineRule="atLeast"/>
        <w:ind w:right="-92" w:rightChars="-44" w:firstLine="560"/>
        <w:rPr>
          <w:rFonts w:hint="eastAsia" w:ascii="宋体" w:hAnsi="宋体" w:eastAsia="宋体" w:cs="宋体"/>
          <w:color w:val="000000"/>
        </w:rPr>
      </w:pPr>
      <w:r>
        <w:rPr>
          <w:rFonts w:hint="eastAsia" w:ascii="宋体" w:hAnsi="宋体" w:eastAsia="宋体" w:cs="宋体"/>
          <w:color w:val="000000"/>
          <w:lang w:val="en-US" w:eastAsia="zh-CN"/>
        </w:rPr>
        <w:t>6</w:t>
      </w:r>
      <w:r>
        <w:rPr>
          <w:rFonts w:hint="eastAsia" w:ascii="宋体" w:hAnsi="宋体" w:eastAsia="宋体" w:cs="宋体"/>
          <w:color w:val="000000"/>
        </w:rPr>
        <w:t>.一旦我方中标,我方将根据招标文件的规定，严格履行合同的责任和义务,并保证在招标文件规定的时间完成项目，交付买方验收、使用。</w:t>
      </w:r>
    </w:p>
    <w:p>
      <w:pPr>
        <w:pStyle w:val="23"/>
        <w:spacing w:before="0" w:after="0" w:line="500" w:lineRule="atLeast"/>
        <w:ind w:right="-92" w:rightChars="-44"/>
        <w:rPr>
          <w:rFonts w:hint="eastAsia" w:ascii="宋体" w:hAnsi="宋体" w:eastAsia="宋体" w:cs="宋体"/>
          <w:color w:val="000000"/>
        </w:rPr>
      </w:pPr>
      <w:r>
        <w:rPr>
          <w:rFonts w:hint="eastAsia" w:ascii="宋体" w:hAnsi="宋体" w:eastAsia="宋体" w:cs="宋体"/>
          <w:color w:val="000000"/>
          <w:lang w:val="en-US" w:eastAsia="zh-CN"/>
        </w:rPr>
        <w:t>7</w:t>
      </w:r>
      <w:r>
        <w:rPr>
          <w:rFonts w:hint="eastAsia" w:ascii="宋体" w:hAnsi="宋体" w:eastAsia="宋体" w:cs="宋体"/>
          <w:color w:val="000000"/>
        </w:rPr>
        <w:t>.与本投标有关的正式通讯地址为：</w:t>
      </w:r>
    </w:p>
    <w:p>
      <w:pPr>
        <w:pStyle w:val="23"/>
        <w:spacing w:before="0" w:after="0" w:line="500" w:lineRule="atLeast"/>
        <w:ind w:left="420" w:leftChars="200" w:right="-92" w:rightChars="-44" w:firstLineChars="200"/>
        <w:rPr>
          <w:rFonts w:hint="eastAsia" w:ascii="宋体" w:hAnsi="宋体" w:eastAsia="宋体" w:cs="宋体"/>
          <w:color w:val="000000"/>
          <w:szCs w:val="28"/>
        </w:rPr>
      </w:pPr>
    </w:p>
    <w:p>
      <w:pPr>
        <w:pStyle w:val="23"/>
        <w:spacing w:before="0" w:after="0" w:line="500" w:lineRule="atLeast"/>
        <w:ind w:left="420" w:leftChars="200" w:right="-92" w:rightChars="-44" w:firstLineChars="200"/>
        <w:rPr>
          <w:rFonts w:hint="eastAsia" w:ascii="宋体" w:hAnsi="宋体" w:eastAsia="宋体" w:cs="宋体"/>
          <w:color w:val="000000"/>
          <w:szCs w:val="28"/>
        </w:rPr>
      </w:pPr>
      <w:r>
        <w:rPr>
          <w:rFonts w:hint="eastAsia" w:ascii="宋体" w:hAnsi="宋体" w:eastAsia="宋体" w:cs="宋体"/>
          <w:color w:val="000000"/>
          <w:szCs w:val="28"/>
        </w:rPr>
        <w:t>地          址：                       邮          编：</w:t>
      </w:r>
    </w:p>
    <w:p>
      <w:pPr>
        <w:pStyle w:val="23"/>
        <w:spacing w:before="0" w:after="0" w:line="500" w:lineRule="atLeast"/>
        <w:ind w:left="420" w:leftChars="200" w:right="-92" w:rightChars="-44" w:firstLineChars="200"/>
        <w:rPr>
          <w:rFonts w:hint="eastAsia" w:ascii="宋体" w:hAnsi="宋体" w:eastAsia="宋体" w:cs="宋体"/>
          <w:color w:val="000000"/>
          <w:szCs w:val="28"/>
        </w:rPr>
      </w:pPr>
      <w:r>
        <w:rPr>
          <w:rFonts w:hint="eastAsia" w:ascii="宋体" w:hAnsi="宋体" w:eastAsia="宋体" w:cs="宋体"/>
          <w:color w:val="000000"/>
          <w:szCs w:val="28"/>
        </w:rPr>
        <w:t>电          话：                       传          真：</w:t>
      </w:r>
    </w:p>
    <w:p>
      <w:pPr>
        <w:pStyle w:val="23"/>
        <w:spacing w:before="0" w:after="0" w:line="500" w:lineRule="atLeast"/>
        <w:ind w:left="420" w:leftChars="200" w:right="-92" w:rightChars="-44" w:firstLineChars="200"/>
        <w:rPr>
          <w:rFonts w:hint="eastAsia" w:ascii="宋体" w:hAnsi="宋体" w:eastAsia="宋体" w:cs="宋体"/>
          <w:color w:val="000000"/>
          <w:szCs w:val="28"/>
        </w:rPr>
      </w:pPr>
      <w:r>
        <w:rPr>
          <w:rFonts w:hint="eastAsia" w:ascii="宋体" w:hAnsi="宋体" w:eastAsia="宋体" w:cs="宋体"/>
          <w:color w:val="000000"/>
          <w:szCs w:val="28"/>
        </w:rPr>
        <w:t>投标人开户行：</w:t>
      </w:r>
    </w:p>
    <w:p>
      <w:pPr>
        <w:pStyle w:val="23"/>
        <w:spacing w:before="0" w:after="0" w:line="500" w:lineRule="atLeast"/>
        <w:ind w:left="420" w:leftChars="200" w:right="-92" w:rightChars="-44" w:firstLineChars="200"/>
        <w:rPr>
          <w:rFonts w:hint="eastAsia" w:ascii="宋体" w:hAnsi="宋体" w:eastAsia="宋体" w:cs="宋体"/>
          <w:color w:val="000000"/>
          <w:szCs w:val="28"/>
        </w:rPr>
      </w:pPr>
      <w:r>
        <w:rPr>
          <w:rFonts w:hint="eastAsia" w:ascii="宋体" w:hAnsi="宋体" w:eastAsia="宋体" w:cs="宋体"/>
          <w:color w:val="000000"/>
          <w:szCs w:val="28"/>
        </w:rPr>
        <w:t xml:space="preserve">账          户： </w:t>
      </w:r>
    </w:p>
    <w:p>
      <w:pPr>
        <w:pStyle w:val="23"/>
        <w:spacing w:before="0" w:after="0" w:line="500" w:lineRule="atLeast"/>
        <w:ind w:left="420" w:leftChars="200" w:right="-92" w:rightChars="-44" w:firstLineChars="200"/>
        <w:rPr>
          <w:rFonts w:hint="eastAsia" w:ascii="宋体" w:hAnsi="宋体" w:eastAsia="宋体" w:cs="宋体"/>
          <w:color w:val="000000"/>
          <w:szCs w:val="28"/>
        </w:rPr>
      </w:pPr>
      <w:r>
        <w:rPr>
          <w:rFonts w:hint="eastAsia" w:ascii="宋体" w:hAnsi="宋体" w:eastAsia="宋体" w:cs="宋体"/>
          <w:color w:val="000000"/>
          <w:szCs w:val="28"/>
        </w:rPr>
        <w:t>投标人授权代表姓名（签字）：           投标人授权代表电话（手机号码）：</w:t>
      </w:r>
    </w:p>
    <w:p>
      <w:pPr>
        <w:pStyle w:val="23"/>
        <w:spacing w:before="0" w:after="0" w:line="500" w:lineRule="atLeast"/>
        <w:ind w:left="420" w:leftChars="200" w:right="-92" w:rightChars="-44" w:firstLineChars="200"/>
        <w:rPr>
          <w:rFonts w:hint="eastAsia" w:ascii="宋体" w:hAnsi="宋体" w:eastAsia="宋体" w:cs="宋体"/>
          <w:color w:val="000000"/>
          <w:szCs w:val="28"/>
        </w:rPr>
      </w:pPr>
      <w:r>
        <w:rPr>
          <w:rFonts w:hint="eastAsia" w:ascii="宋体" w:hAnsi="宋体" w:eastAsia="宋体" w:cs="宋体"/>
          <w:color w:val="000000"/>
          <w:szCs w:val="28"/>
        </w:rPr>
        <w:t xml:space="preserve">投标人名称（公章）： </w:t>
      </w:r>
    </w:p>
    <w:p>
      <w:pPr>
        <w:pStyle w:val="23"/>
        <w:spacing w:before="0" w:after="0" w:line="500" w:lineRule="atLeast"/>
        <w:ind w:left="420" w:leftChars="200" w:right="-92" w:rightChars="-44" w:firstLineChars="200"/>
        <w:rPr>
          <w:rFonts w:hint="eastAsia" w:ascii="宋体" w:hAnsi="宋体" w:eastAsia="宋体" w:cs="宋体"/>
          <w:color w:val="000000"/>
          <w:szCs w:val="28"/>
        </w:rPr>
      </w:pPr>
      <w:r>
        <w:rPr>
          <w:rFonts w:hint="eastAsia" w:ascii="宋体" w:hAnsi="宋体" w:eastAsia="宋体" w:cs="宋体"/>
          <w:color w:val="000000"/>
          <w:szCs w:val="28"/>
        </w:rPr>
        <w:t>日           期：________年____月____日</w:t>
      </w:r>
    </w:p>
    <w:p>
      <w:pPr>
        <w:pStyle w:val="23"/>
        <w:spacing w:before="0" w:after="0" w:line="500" w:lineRule="atLeast"/>
        <w:ind w:right="-92" w:rightChars="-44" w:firstLine="560"/>
        <w:jc w:val="center"/>
        <w:rPr>
          <w:rFonts w:hint="eastAsia" w:ascii="宋体" w:hAnsi="宋体" w:eastAsia="宋体" w:cs="宋体"/>
          <w:color w:val="000000"/>
          <w:sz w:val="28"/>
          <w:szCs w:val="28"/>
        </w:rPr>
      </w:pPr>
    </w:p>
    <w:p>
      <w:pPr>
        <w:pStyle w:val="23"/>
        <w:spacing w:before="0" w:after="0" w:line="500" w:lineRule="atLeast"/>
        <w:ind w:right="-92" w:rightChars="-44" w:firstLine="560"/>
        <w:jc w:val="center"/>
        <w:rPr>
          <w:rFonts w:hint="eastAsia" w:ascii="宋体" w:hAnsi="宋体" w:eastAsia="宋体" w:cs="宋体"/>
          <w:color w:val="000000"/>
          <w:sz w:val="28"/>
          <w:szCs w:val="28"/>
        </w:rPr>
      </w:pPr>
    </w:p>
    <w:p>
      <w:pPr>
        <w:pStyle w:val="23"/>
        <w:spacing w:before="0" w:after="0" w:line="500" w:lineRule="atLeast"/>
        <w:ind w:right="-92" w:rightChars="-44" w:firstLine="560"/>
        <w:jc w:val="center"/>
        <w:rPr>
          <w:rFonts w:hint="eastAsia" w:ascii="宋体" w:hAnsi="宋体" w:eastAsia="宋体" w:cs="宋体"/>
          <w:color w:val="000000"/>
          <w:szCs w:val="28"/>
        </w:rPr>
      </w:pPr>
      <w:r>
        <w:rPr>
          <w:rFonts w:hint="eastAsia" w:ascii="宋体" w:hAnsi="宋体" w:eastAsia="宋体" w:cs="宋体"/>
          <w:color w:val="000000"/>
          <w:sz w:val="28"/>
          <w:szCs w:val="28"/>
        </w:rPr>
        <w:t>五、开标一览表（</w:t>
      </w:r>
      <w:r>
        <w:rPr>
          <w:rFonts w:hint="eastAsia" w:ascii="宋体" w:hAnsi="宋体" w:eastAsia="宋体" w:cs="宋体"/>
          <w:color w:val="000000"/>
          <w:sz w:val="28"/>
          <w:szCs w:val="28"/>
          <w:lang w:val="en-US" w:eastAsia="zh-CN"/>
        </w:rPr>
        <w:t>总价</w:t>
      </w:r>
      <w:r>
        <w:rPr>
          <w:rFonts w:hint="eastAsia" w:ascii="宋体" w:hAnsi="宋体" w:eastAsia="宋体" w:cs="宋体"/>
          <w:color w:val="000000"/>
          <w:sz w:val="28"/>
          <w:szCs w:val="28"/>
        </w:rPr>
        <w:t>）</w:t>
      </w:r>
    </w:p>
    <w:p>
      <w:pPr>
        <w:pStyle w:val="16"/>
        <w:keepNext w:val="0"/>
        <w:keepLines w:val="0"/>
        <w:widowControl/>
        <w:suppressLineNumbers w:val="0"/>
      </w:pPr>
      <w:r>
        <w:t>投标人全称（CA公章）： 供应商名称 </w:t>
      </w:r>
    </w:p>
    <w:p>
      <w:pPr>
        <w:pStyle w:val="16"/>
        <w:keepNext w:val="0"/>
        <w:keepLines w:val="0"/>
        <w:widowControl/>
        <w:suppressLineNumbers w:val="0"/>
      </w:pPr>
      <w:r>
        <w:t>项目名称：项目名称 </w:t>
      </w:r>
    </w:p>
    <w:p>
      <w:pPr>
        <w:pStyle w:val="16"/>
        <w:keepNext w:val="0"/>
        <w:keepLines w:val="0"/>
        <w:widowControl/>
        <w:suppressLineNumbers w:val="0"/>
      </w:pPr>
      <w:r>
        <w:t>项目编号：项目编号 </w:t>
      </w:r>
    </w:p>
    <w:p>
      <w:pPr>
        <w:pStyle w:val="16"/>
        <w:keepNext w:val="0"/>
        <w:keepLines w:val="0"/>
        <w:widowControl/>
        <w:suppressLineNumbers w:val="0"/>
        <w:rPr>
          <w:rFonts w:hint="eastAsia" w:ascii="宋体" w:hAnsi="宋体" w:eastAsia="宋体" w:cs="宋体"/>
          <w:color w:val="000000"/>
          <w:sz w:val="28"/>
          <w:szCs w:val="28"/>
        </w:rPr>
      </w:pPr>
      <w:r>
        <w:t>分包号： 分包号</w:t>
      </w:r>
    </w:p>
    <w:tbl>
      <w:tblPr>
        <w:tblStyle w:val="18"/>
        <w:tblW w:w="97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3"/>
        <w:gridCol w:w="6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3163" w:type="dxa"/>
            <w:noWrap w:val="0"/>
            <w:vAlign w:val="center"/>
          </w:tcPr>
          <w:p>
            <w:pPr>
              <w:pStyle w:val="16"/>
              <w:keepNext w:val="0"/>
              <w:keepLines w:val="0"/>
              <w:widowControl/>
              <w:suppressLineNumbers w:val="0"/>
              <w:spacing w:line="500" w:lineRule="atLeast"/>
              <w:ind w:right="-92" w:rightChars="-44" w:firstLine="480" w:firstLineChars="200"/>
              <w:jc w:val="center"/>
              <w:rPr>
                <w:rFonts w:hint="eastAsia" w:ascii="宋体" w:hAnsi="宋体" w:eastAsia="宋体" w:cs="宋体"/>
                <w:color w:val="000000"/>
                <w:sz w:val="24"/>
                <w:szCs w:val="28"/>
              </w:rPr>
            </w:pPr>
            <w:r>
              <w:t>投标货物名称</w:t>
            </w:r>
          </w:p>
        </w:tc>
        <w:tc>
          <w:tcPr>
            <w:tcW w:w="6622" w:type="dxa"/>
            <w:noWrap w:val="0"/>
            <w:vAlign w:val="center"/>
          </w:tcPr>
          <w:p>
            <w:pPr>
              <w:pStyle w:val="16"/>
              <w:keepNext w:val="0"/>
              <w:keepLines w:val="0"/>
              <w:widowControl/>
              <w:suppressLineNumbers w:val="0"/>
              <w:spacing w:line="500" w:lineRule="atLeast"/>
              <w:ind w:right="-92" w:rightChars="-44" w:firstLine="588" w:firstLineChars="245"/>
              <w:jc w:val="center"/>
              <w:rPr>
                <w:rFonts w:hint="eastAsia" w:ascii="宋体" w:hAnsi="宋体" w:eastAsia="宋体" w:cs="宋体"/>
                <w:color w:val="000000"/>
                <w:sz w:val="24"/>
                <w:szCs w:val="28"/>
              </w:rPr>
            </w:pPr>
            <w:r>
              <w:t>总价（小写）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3163" w:type="dxa"/>
            <w:noWrap w:val="0"/>
            <w:vAlign w:val="center"/>
          </w:tcPr>
          <w:p>
            <w:pPr>
              <w:pStyle w:val="16"/>
              <w:keepNext w:val="0"/>
              <w:keepLines w:val="0"/>
              <w:widowControl/>
              <w:suppressLineNumbers w:val="0"/>
              <w:spacing w:line="500" w:lineRule="atLeast"/>
              <w:ind w:right="-92" w:rightChars="-44" w:firstLine="480" w:firstLineChars="200"/>
              <w:jc w:val="center"/>
              <w:rPr>
                <w:rFonts w:hint="eastAsia" w:ascii="宋体" w:hAnsi="宋体" w:eastAsia="宋体" w:cs="宋体"/>
                <w:color w:val="000000"/>
                <w:sz w:val="24"/>
                <w:szCs w:val="28"/>
              </w:rPr>
            </w:pPr>
            <w:r>
              <w:rPr>
                <w:rFonts w:hint="eastAsia"/>
                <w:lang w:eastAsia="zh-CN"/>
              </w:rPr>
              <w:t>（</w:t>
            </w:r>
            <w:r>
              <w:t>投标产品名称</w:t>
            </w:r>
            <w:r>
              <w:rPr>
                <w:rFonts w:hint="eastAsia"/>
                <w:lang w:eastAsia="zh-CN"/>
              </w:rPr>
              <w:t>）</w:t>
            </w:r>
            <w:r>
              <w:t> </w:t>
            </w:r>
          </w:p>
        </w:tc>
        <w:tc>
          <w:tcPr>
            <w:tcW w:w="6622" w:type="dxa"/>
            <w:noWrap w:val="0"/>
            <w:vAlign w:val="center"/>
          </w:tcPr>
          <w:p>
            <w:pPr>
              <w:pStyle w:val="16"/>
              <w:keepNext w:val="0"/>
              <w:keepLines w:val="0"/>
              <w:widowControl/>
              <w:suppressLineNumbers w:val="0"/>
              <w:spacing w:line="500" w:lineRule="atLeast"/>
              <w:ind w:right="-92" w:rightChars="-44"/>
              <w:jc w:val="center"/>
              <w:rPr>
                <w:rFonts w:hint="eastAsia" w:ascii="宋体" w:hAnsi="宋体" w:eastAsia="宋体" w:cs="宋体"/>
                <w:color w:val="000000"/>
                <w:sz w:val="24"/>
                <w:szCs w:val="28"/>
                <w:lang w:eastAsia="zh-CN"/>
              </w:rPr>
            </w:pPr>
            <w:r>
              <w:rPr>
                <w:rFonts w:hint="eastAsia" w:cs="宋体"/>
                <w:color w:val="000000"/>
                <w:sz w:val="24"/>
                <w:szCs w:val="28"/>
                <w:lang w:eastAsia="zh-CN"/>
              </w:rPr>
              <w:t>（</w:t>
            </w:r>
            <w:r>
              <w:rPr>
                <w:rFonts w:hint="eastAsia" w:cs="宋体"/>
                <w:color w:val="000000"/>
                <w:sz w:val="24"/>
                <w:szCs w:val="28"/>
                <w:lang w:val="en-US" w:eastAsia="zh-CN"/>
              </w:rPr>
              <w:t>元</w:t>
            </w:r>
            <w:r>
              <w:rPr>
                <w:rFonts w:hint="eastAsia" w:cs="宋体"/>
                <w:color w:val="000000"/>
                <w:sz w:val="24"/>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3163" w:type="dxa"/>
            <w:noWrap w:val="0"/>
            <w:vAlign w:val="center"/>
          </w:tcPr>
          <w:p>
            <w:pPr>
              <w:pStyle w:val="16"/>
              <w:keepNext w:val="0"/>
              <w:keepLines w:val="0"/>
              <w:widowControl/>
              <w:suppressLineNumbers w:val="0"/>
              <w:spacing w:line="500" w:lineRule="atLeast"/>
              <w:ind w:right="-92" w:rightChars="-44" w:firstLine="480" w:firstLineChars="200"/>
              <w:rPr>
                <w:rFonts w:hint="default" w:ascii="宋体" w:hAnsi="宋体" w:eastAsia="宋体" w:cs="宋体"/>
                <w:color w:val="000000"/>
                <w:sz w:val="24"/>
                <w:szCs w:val="28"/>
                <w:lang w:val="en-US" w:eastAsia="zh-CN"/>
              </w:rPr>
            </w:pPr>
            <w:r>
              <w:rPr>
                <w:rFonts w:hint="eastAsia" w:cs="宋体"/>
                <w:color w:val="000000"/>
                <w:sz w:val="24"/>
                <w:szCs w:val="28"/>
                <w:lang w:val="en-US" w:eastAsia="zh-CN"/>
              </w:rPr>
              <w:t>核心产品品牌</w:t>
            </w:r>
          </w:p>
        </w:tc>
        <w:tc>
          <w:tcPr>
            <w:tcW w:w="6622" w:type="dxa"/>
            <w:noWrap w:val="0"/>
            <w:vAlign w:val="center"/>
          </w:tcPr>
          <w:p>
            <w:pPr>
              <w:pStyle w:val="16"/>
              <w:keepNext w:val="0"/>
              <w:keepLines w:val="0"/>
              <w:widowControl/>
              <w:suppressLineNumbers w:val="0"/>
              <w:spacing w:line="500" w:lineRule="atLeast"/>
              <w:ind w:right="-92" w:rightChars="-44"/>
              <w:rPr>
                <w:rFonts w:hint="eastAsia" w:ascii="宋体" w:hAnsi="宋体" w:eastAsia="宋体" w:cs="宋体"/>
                <w:color w:val="000000"/>
                <w:sz w:val="24"/>
                <w:szCs w:val="28"/>
              </w:rPr>
            </w:pPr>
            <w:r>
              <w:t> </w:t>
            </w:r>
          </w:p>
        </w:tc>
      </w:tr>
    </w:tbl>
    <w:p>
      <w:pPr>
        <w:spacing w:line="500" w:lineRule="atLeast"/>
        <w:ind w:right="-92" w:rightChars="-44" w:firstLine="1440" w:firstLineChars="600"/>
        <w:rPr>
          <w:rFonts w:hint="eastAsia" w:ascii="宋体" w:hAnsi="宋体" w:eastAsia="宋体" w:cs="宋体"/>
          <w:color w:val="000000"/>
          <w:sz w:val="24"/>
          <w:szCs w:val="28"/>
        </w:rPr>
      </w:pPr>
    </w:p>
    <w:p>
      <w:pPr>
        <w:spacing w:line="500" w:lineRule="atLeast"/>
        <w:ind w:right="-92" w:rightChars="-44" w:firstLine="480"/>
        <w:rPr>
          <w:rFonts w:hint="eastAsia" w:ascii="宋体" w:hAnsi="宋体" w:eastAsia="宋体" w:cs="宋体"/>
          <w:color w:val="000000"/>
          <w:sz w:val="28"/>
          <w:szCs w:val="28"/>
        </w:rPr>
      </w:pPr>
    </w:p>
    <w:p>
      <w:pPr>
        <w:spacing w:line="500" w:lineRule="atLeast"/>
        <w:ind w:right="-92" w:rightChars="-44" w:firstLine="480"/>
        <w:rPr>
          <w:rFonts w:hint="eastAsia" w:ascii="宋体" w:hAnsi="宋体" w:eastAsia="宋体" w:cs="宋体"/>
          <w:color w:val="000000"/>
          <w:sz w:val="28"/>
          <w:szCs w:val="28"/>
        </w:rPr>
      </w:pPr>
    </w:p>
    <w:p>
      <w:pPr>
        <w:spacing w:line="500" w:lineRule="atLeast"/>
        <w:ind w:right="-92" w:rightChars="-44" w:firstLine="480"/>
        <w:jc w:val="center"/>
        <w:rPr>
          <w:rFonts w:hint="eastAsia" w:ascii="宋体" w:hAnsi="宋体" w:eastAsia="宋体" w:cs="宋体"/>
          <w:color w:val="000000"/>
          <w:sz w:val="28"/>
          <w:szCs w:val="28"/>
        </w:rPr>
      </w:pPr>
      <w:r>
        <w:rPr>
          <w:rFonts w:hint="eastAsia" w:ascii="宋体" w:hAnsi="宋体" w:eastAsia="宋体" w:cs="宋体"/>
          <w:bCs/>
          <w:color w:val="000000"/>
          <w:sz w:val="28"/>
          <w:szCs w:val="28"/>
        </w:rPr>
        <w:t xml:space="preserve">                                  </w:t>
      </w:r>
    </w:p>
    <w:p>
      <w:pPr>
        <w:spacing w:line="500" w:lineRule="atLeast"/>
        <w:ind w:right="-92" w:rightChars="-44" w:firstLine="48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日期：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w:t>
      </w:r>
    </w:p>
    <w:p>
      <w:pPr>
        <w:snapToGrid w:val="0"/>
        <w:spacing w:before="50" w:after="50" w:line="500" w:lineRule="atLeast"/>
        <w:ind w:right="-92" w:rightChars="-44"/>
        <w:jc w:val="center"/>
        <w:rPr>
          <w:rFonts w:hint="eastAsia" w:ascii="宋体" w:hAnsi="宋体" w:eastAsia="宋体" w:cs="宋体"/>
          <w:color w:val="000000"/>
          <w:sz w:val="28"/>
          <w:szCs w:val="28"/>
        </w:rPr>
      </w:pPr>
    </w:p>
    <w:p>
      <w:pPr>
        <w:snapToGrid w:val="0"/>
        <w:spacing w:before="50" w:after="50" w:line="500" w:lineRule="atLeast"/>
        <w:ind w:right="-92" w:rightChars="-44"/>
        <w:jc w:val="center"/>
        <w:rPr>
          <w:rFonts w:hint="eastAsia" w:ascii="宋体" w:hAnsi="宋体" w:eastAsia="宋体" w:cs="宋体"/>
          <w:color w:val="000000"/>
          <w:sz w:val="28"/>
          <w:szCs w:val="28"/>
        </w:rPr>
      </w:pPr>
    </w:p>
    <w:p>
      <w:pPr>
        <w:snapToGrid w:val="0"/>
        <w:spacing w:before="50" w:after="50" w:line="500" w:lineRule="atLeast"/>
        <w:ind w:right="-92" w:rightChars="-44"/>
        <w:jc w:val="center"/>
        <w:rPr>
          <w:rFonts w:hint="eastAsia" w:ascii="宋体" w:hAnsi="宋体" w:eastAsia="宋体" w:cs="宋体"/>
          <w:color w:val="000000"/>
          <w:sz w:val="28"/>
          <w:szCs w:val="28"/>
        </w:rPr>
      </w:pPr>
    </w:p>
    <w:p>
      <w:pPr>
        <w:snapToGrid w:val="0"/>
        <w:spacing w:before="50" w:after="50" w:line="500" w:lineRule="atLeast"/>
        <w:ind w:right="-92" w:rightChars="-44"/>
        <w:jc w:val="center"/>
        <w:rPr>
          <w:rFonts w:hint="eastAsia" w:ascii="宋体" w:hAnsi="宋体" w:eastAsia="宋体" w:cs="宋体"/>
          <w:color w:val="000000"/>
          <w:sz w:val="28"/>
          <w:szCs w:val="28"/>
        </w:rPr>
      </w:pPr>
    </w:p>
    <w:p>
      <w:pPr>
        <w:snapToGrid w:val="0"/>
        <w:spacing w:before="50" w:after="50" w:line="500" w:lineRule="atLeast"/>
        <w:ind w:right="-92" w:rightChars="-44"/>
        <w:jc w:val="center"/>
        <w:rPr>
          <w:rFonts w:hint="eastAsia" w:ascii="宋体" w:hAnsi="宋体" w:eastAsia="宋体" w:cs="宋体"/>
          <w:color w:val="000000"/>
          <w:sz w:val="28"/>
          <w:szCs w:val="28"/>
        </w:rPr>
      </w:pPr>
    </w:p>
    <w:p>
      <w:pPr>
        <w:snapToGrid w:val="0"/>
        <w:spacing w:before="50" w:after="50" w:line="500" w:lineRule="atLeast"/>
        <w:ind w:right="-92" w:rightChars="-44"/>
        <w:jc w:val="center"/>
        <w:rPr>
          <w:rFonts w:hint="eastAsia" w:ascii="宋体" w:hAnsi="宋体" w:eastAsia="宋体" w:cs="宋体"/>
          <w:color w:val="000000"/>
          <w:sz w:val="28"/>
          <w:szCs w:val="28"/>
        </w:rPr>
      </w:pPr>
    </w:p>
    <w:p>
      <w:pPr>
        <w:snapToGrid w:val="0"/>
        <w:spacing w:before="50" w:after="50" w:line="500" w:lineRule="atLeast"/>
        <w:ind w:right="-92" w:rightChars="-44"/>
        <w:jc w:val="center"/>
        <w:rPr>
          <w:rFonts w:hint="eastAsia" w:ascii="宋体" w:hAnsi="宋体" w:eastAsia="宋体" w:cs="宋体"/>
          <w:color w:val="000000"/>
          <w:sz w:val="28"/>
          <w:szCs w:val="28"/>
        </w:rPr>
      </w:pPr>
    </w:p>
    <w:p>
      <w:pPr>
        <w:snapToGrid w:val="0"/>
        <w:spacing w:before="50" w:after="50" w:line="500" w:lineRule="atLeast"/>
        <w:ind w:right="-92" w:rightChars="-44"/>
        <w:jc w:val="center"/>
        <w:rPr>
          <w:rFonts w:hint="eastAsia" w:ascii="宋体" w:hAnsi="宋体" w:eastAsia="宋体" w:cs="宋体"/>
          <w:color w:val="000000"/>
          <w:sz w:val="28"/>
          <w:szCs w:val="28"/>
        </w:rPr>
      </w:pPr>
    </w:p>
    <w:p>
      <w:pPr>
        <w:snapToGrid w:val="0"/>
        <w:spacing w:before="50" w:after="50" w:line="500" w:lineRule="atLeast"/>
        <w:ind w:right="-92" w:rightChars="-44"/>
        <w:jc w:val="center"/>
        <w:rPr>
          <w:rFonts w:hint="eastAsia" w:ascii="宋体" w:hAnsi="宋体" w:eastAsia="宋体" w:cs="宋体"/>
          <w:color w:val="000000"/>
          <w:sz w:val="28"/>
          <w:szCs w:val="28"/>
        </w:rPr>
      </w:pPr>
    </w:p>
    <w:p>
      <w:pPr>
        <w:snapToGrid w:val="0"/>
        <w:spacing w:before="50" w:after="50" w:line="500" w:lineRule="atLeast"/>
        <w:ind w:right="-92" w:rightChars="-44"/>
        <w:jc w:val="center"/>
        <w:rPr>
          <w:rFonts w:hint="eastAsia" w:ascii="宋体" w:hAnsi="宋体" w:eastAsia="宋体" w:cs="宋体"/>
          <w:color w:val="000000"/>
          <w:sz w:val="28"/>
          <w:szCs w:val="28"/>
        </w:rPr>
      </w:pPr>
      <w:r>
        <w:rPr>
          <w:rFonts w:hint="eastAsia" w:ascii="宋体" w:hAnsi="宋体" w:eastAsia="宋体" w:cs="宋体"/>
          <w:color w:val="000000"/>
          <w:sz w:val="28"/>
          <w:szCs w:val="28"/>
        </w:rPr>
        <w:t>六、</w:t>
      </w:r>
      <w:r>
        <w:rPr>
          <w:rFonts w:hint="eastAsia" w:ascii="宋体" w:hAnsi="宋体" w:eastAsia="宋体" w:cs="宋体"/>
          <w:sz w:val="32"/>
          <w:szCs w:val="32"/>
        </w:rPr>
        <w:t>投标产品配置及分项报价表（格式）</w:t>
      </w:r>
    </w:p>
    <w:p>
      <w:pPr>
        <w:spacing w:line="500" w:lineRule="atLeast"/>
        <w:ind w:right="-92" w:rightChars="-44"/>
        <w:jc w:val="center"/>
        <w:rPr>
          <w:rFonts w:hint="eastAsia" w:ascii="宋体" w:hAnsi="宋体" w:eastAsia="宋体" w:cs="宋体"/>
          <w:color w:val="000000"/>
          <w:sz w:val="28"/>
          <w:szCs w:val="28"/>
        </w:rPr>
      </w:pPr>
    </w:p>
    <w:p>
      <w:pPr>
        <w:pStyle w:val="12"/>
        <w:snapToGrid w:val="0"/>
        <w:spacing w:before="295" w:after="295" w:line="480" w:lineRule="exact"/>
        <w:ind w:left="840" w:hanging="420"/>
        <w:rPr>
          <w:rFonts w:hint="eastAsia" w:ascii="宋体" w:hAnsi="宋体" w:eastAsia="宋体" w:cs="宋体"/>
          <w:color w:val="000000"/>
          <w:sz w:val="30"/>
        </w:rPr>
      </w:pPr>
      <w:r>
        <w:rPr>
          <w:rFonts w:hint="eastAsia" w:ascii="宋体" w:hAnsi="宋体" w:eastAsia="宋体" w:cs="宋体"/>
          <w:color w:val="000000"/>
        </w:rPr>
        <w:t>项目名称：</w:t>
      </w:r>
      <w:r>
        <w:rPr>
          <w:rFonts w:hint="eastAsia" w:ascii="宋体" w:hAnsi="宋体" w:eastAsia="宋体" w:cs="宋体"/>
          <w:color w:val="000000"/>
          <w:u w:val="single"/>
        </w:rPr>
        <w:t xml:space="preserve">              </w:t>
      </w:r>
      <w:r>
        <w:rPr>
          <w:rFonts w:hint="eastAsia" w:ascii="宋体" w:hAnsi="宋体" w:eastAsia="宋体" w:cs="宋体"/>
          <w:color w:val="000000"/>
          <w:sz w:val="30"/>
        </w:rPr>
        <w:t xml:space="preserve">               </w:t>
      </w:r>
      <w:r>
        <w:rPr>
          <w:rFonts w:hint="eastAsia" w:ascii="宋体" w:hAnsi="宋体" w:eastAsia="宋体" w:cs="宋体"/>
          <w:color w:val="000000"/>
          <w:szCs w:val="21"/>
        </w:rPr>
        <w:t>金额单位：人民币（元）</w:t>
      </w:r>
    </w:p>
    <w:tbl>
      <w:tblPr>
        <w:tblStyle w:val="18"/>
        <w:tblpPr w:leftFromText="180" w:rightFromText="180" w:vertAnchor="text" w:horzAnchor="page" w:tblpX="1561" w:tblpY="24"/>
        <w:tblOverlap w:val="never"/>
        <w:tblW w:w="90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8"/>
        <w:gridCol w:w="855"/>
        <w:gridCol w:w="1155"/>
        <w:gridCol w:w="900"/>
        <w:gridCol w:w="1005"/>
        <w:gridCol w:w="1275"/>
        <w:gridCol w:w="1652"/>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1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480" w:lineRule="exact"/>
              <w:jc w:val="center"/>
              <w:rPr>
                <w:rFonts w:hint="eastAsia" w:ascii="宋体" w:hAnsi="宋体" w:eastAsia="宋体" w:cs="宋体"/>
                <w:color w:val="000000"/>
                <w:spacing w:val="20"/>
                <w:sz w:val="24"/>
                <w:szCs w:val="20"/>
              </w:rPr>
            </w:pPr>
            <w:r>
              <w:rPr>
                <w:rFonts w:hint="eastAsia" w:ascii="宋体" w:hAnsi="宋体" w:eastAsia="宋体" w:cs="宋体"/>
                <w:color w:val="000000"/>
                <w:sz w:val="24"/>
              </w:rPr>
              <w:t>序号</w:t>
            </w:r>
          </w:p>
        </w:tc>
        <w:tc>
          <w:tcPr>
            <w:tcW w:w="85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480" w:lineRule="exact"/>
              <w:jc w:val="center"/>
              <w:rPr>
                <w:rFonts w:hint="eastAsia" w:ascii="宋体" w:hAnsi="宋体" w:eastAsia="宋体" w:cs="宋体"/>
                <w:color w:val="000000"/>
                <w:spacing w:val="20"/>
                <w:sz w:val="24"/>
                <w:szCs w:val="20"/>
                <w:lang w:val="en-US" w:eastAsia="zh-CN"/>
              </w:rPr>
            </w:pPr>
            <w:r>
              <w:rPr>
                <w:rFonts w:hint="eastAsia" w:ascii="宋体" w:hAnsi="宋体" w:eastAsia="宋体" w:cs="宋体"/>
                <w:color w:val="000000"/>
                <w:sz w:val="24"/>
                <w:lang w:val="en-US" w:eastAsia="zh-CN"/>
              </w:rPr>
              <w:t>货物名称</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before="50" w:after="50" w:line="480" w:lineRule="exact"/>
              <w:rPr>
                <w:rFonts w:hint="eastAsia" w:ascii="宋体" w:hAnsi="宋体" w:eastAsia="宋体" w:cs="宋体"/>
                <w:color w:val="000000"/>
                <w:lang w:val="en-US" w:eastAsia="zh-CN"/>
              </w:rPr>
            </w:pPr>
            <w:r>
              <w:rPr>
                <w:rFonts w:hint="eastAsia" w:ascii="宋体" w:hAnsi="宋体" w:eastAsia="宋体" w:cs="宋体"/>
                <w:color w:val="000000"/>
                <w:lang w:val="en-US" w:eastAsia="zh-CN"/>
              </w:rPr>
              <w:t>规格型号</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before="50" w:after="50" w:line="480" w:lineRule="exact"/>
              <w:rPr>
                <w:rFonts w:hint="eastAsia" w:ascii="宋体" w:hAnsi="宋体" w:eastAsia="宋体" w:cs="宋体"/>
                <w:color w:val="000000"/>
                <w:lang w:val="en-US" w:eastAsia="zh-CN"/>
              </w:rPr>
            </w:pPr>
            <w:r>
              <w:rPr>
                <w:rFonts w:hint="eastAsia" w:ascii="宋体" w:hAnsi="宋体" w:eastAsia="宋体" w:cs="宋体"/>
                <w:color w:val="000000"/>
                <w:lang w:val="en-US" w:eastAsia="zh-CN"/>
              </w:rPr>
              <w:t>数量</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before="50" w:after="50" w:line="480" w:lineRule="exact"/>
              <w:rPr>
                <w:rFonts w:hint="eastAsia" w:ascii="宋体" w:hAnsi="宋体" w:eastAsia="宋体" w:cs="宋体"/>
                <w:color w:val="000000"/>
                <w:lang w:val="en-US" w:eastAsia="zh-CN"/>
              </w:rPr>
            </w:pPr>
            <w:r>
              <w:rPr>
                <w:rFonts w:hint="eastAsia" w:ascii="宋体" w:hAnsi="宋体" w:eastAsia="宋体" w:cs="宋体"/>
                <w:color w:val="000000"/>
                <w:lang w:val="en-US" w:eastAsia="zh-CN"/>
              </w:rPr>
              <w:t>单位</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before="50" w:after="50" w:line="480" w:lineRule="exact"/>
              <w:rPr>
                <w:rFonts w:hint="eastAsia" w:ascii="宋体" w:hAnsi="宋体" w:eastAsia="宋体" w:cs="宋体"/>
                <w:color w:val="000000"/>
                <w:lang w:val="en-US" w:eastAsia="zh-CN"/>
              </w:rPr>
            </w:pPr>
            <w:r>
              <w:rPr>
                <w:rFonts w:hint="eastAsia" w:ascii="宋体" w:hAnsi="宋体" w:eastAsia="宋体" w:cs="宋体"/>
                <w:color w:val="000000"/>
                <w:lang w:val="en-US" w:eastAsia="zh-CN"/>
              </w:rPr>
              <w:t>单价（元）</w:t>
            </w:r>
          </w:p>
        </w:tc>
        <w:tc>
          <w:tcPr>
            <w:tcW w:w="165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480" w:lineRule="exact"/>
              <w:jc w:val="center"/>
              <w:rPr>
                <w:rFonts w:hint="eastAsia" w:ascii="宋体" w:hAnsi="宋体" w:eastAsia="宋体" w:cs="宋体"/>
                <w:color w:val="000000"/>
                <w:spacing w:val="20"/>
                <w:sz w:val="24"/>
                <w:szCs w:val="20"/>
                <w:lang w:eastAsia="zh-CN"/>
              </w:rPr>
            </w:pPr>
            <w:r>
              <w:rPr>
                <w:rFonts w:hint="eastAsia" w:ascii="宋体" w:hAnsi="宋体" w:eastAsia="宋体" w:cs="宋体"/>
                <w:color w:val="000000"/>
                <w:lang w:val="en-US" w:eastAsia="zh-CN"/>
              </w:rPr>
              <w:t>合价（元）</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480" w:lineRule="exact"/>
              <w:jc w:val="center"/>
              <w:rPr>
                <w:rFonts w:hint="eastAsia" w:ascii="宋体" w:hAnsi="宋体" w:eastAsia="宋体" w:cs="宋体"/>
                <w:color w:val="000000"/>
                <w:spacing w:val="20"/>
                <w:sz w:val="24"/>
                <w:szCs w:val="20"/>
                <w:lang w:eastAsia="zh-CN"/>
              </w:rPr>
            </w:pPr>
            <w:r>
              <w:rPr>
                <w:rFonts w:hint="eastAsia" w:ascii="宋体" w:hAnsi="宋体" w:eastAsia="宋体" w:cs="宋体"/>
                <w:color w:val="000000"/>
                <w:sz w:val="24"/>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18"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80" w:lineRule="exact"/>
              <w:jc w:val="center"/>
              <w:rPr>
                <w:rFonts w:hint="eastAsia" w:ascii="宋体" w:hAnsi="宋体" w:eastAsia="宋体" w:cs="宋体"/>
                <w:color w:val="000000"/>
                <w:spacing w:val="20"/>
                <w:sz w:val="24"/>
                <w:szCs w:val="20"/>
              </w:rPr>
            </w:pPr>
          </w:p>
        </w:tc>
        <w:tc>
          <w:tcPr>
            <w:tcW w:w="85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80" w:lineRule="exact"/>
              <w:jc w:val="center"/>
              <w:rPr>
                <w:rFonts w:hint="eastAsia" w:ascii="宋体" w:hAnsi="宋体" w:eastAsia="宋体" w:cs="宋体"/>
                <w:color w:val="000000"/>
                <w:spacing w:val="20"/>
                <w:sz w:val="24"/>
                <w:szCs w:val="20"/>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80" w:lineRule="exact"/>
              <w:jc w:val="center"/>
              <w:rPr>
                <w:rFonts w:hint="eastAsia" w:ascii="宋体" w:hAnsi="宋体" w:eastAsia="宋体" w:cs="宋体"/>
                <w:color w:val="000000"/>
                <w:spacing w:val="20"/>
                <w:sz w:val="24"/>
                <w:szCs w:val="20"/>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80" w:lineRule="exact"/>
              <w:jc w:val="center"/>
              <w:rPr>
                <w:rFonts w:hint="eastAsia" w:ascii="宋体" w:hAnsi="宋体" w:eastAsia="宋体" w:cs="宋体"/>
                <w:color w:val="000000"/>
                <w:spacing w:val="20"/>
                <w:sz w:val="24"/>
                <w:szCs w:val="20"/>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80" w:lineRule="exact"/>
              <w:jc w:val="center"/>
              <w:rPr>
                <w:rFonts w:hint="eastAsia" w:ascii="宋体" w:hAnsi="宋体" w:eastAsia="宋体" w:cs="宋体"/>
                <w:color w:val="000000"/>
                <w:spacing w:val="20"/>
                <w:sz w:val="24"/>
                <w:szCs w:val="20"/>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80" w:lineRule="exact"/>
              <w:jc w:val="center"/>
              <w:rPr>
                <w:rFonts w:hint="eastAsia" w:ascii="宋体" w:hAnsi="宋体" w:eastAsia="宋体" w:cs="宋体"/>
                <w:color w:val="000000"/>
                <w:spacing w:val="20"/>
                <w:sz w:val="24"/>
                <w:szCs w:val="20"/>
              </w:rPr>
            </w:pPr>
          </w:p>
        </w:tc>
        <w:tc>
          <w:tcPr>
            <w:tcW w:w="165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80" w:lineRule="exact"/>
              <w:jc w:val="center"/>
              <w:rPr>
                <w:rFonts w:hint="eastAsia" w:ascii="宋体" w:hAnsi="宋体" w:eastAsia="宋体" w:cs="宋体"/>
                <w:color w:val="000000"/>
                <w:spacing w:val="20"/>
                <w:sz w:val="24"/>
                <w:szCs w:val="2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80" w:lineRule="exact"/>
              <w:jc w:val="center"/>
              <w:rPr>
                <w:rFonts w:hint="eastAsia" w:ascii="宋体" w:hAnsi="宋体" w:eastAsia="宋体" w:cs="宋体"/>
                <w:color w:val="000000"/>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18"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80" w:lineRule="exact"/>
              <w:jc w:val="center"/>
              <w:rPr>
                <w:rFonts w:hint="eastAsia" w:ascii="宋体" w:hAnsi="宋体" w:eastAsia="宋体" w:cs="宋体"/>
                <w:color w:val="000000"/>
                <w:spacing w:val="20"/>
                <w:sz w:val="24"/>
                <w:szCs w:val="20"/>
              </w:rPr>
            </w:pPr>
          </w:p>
        </w:tc>
        <w:tc>
          <w:tcPr>
            <w:tcW w:w="85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80" w:lineRule="exact"/>
              <w:jc w:val="center"/>
              <w:rPr>
                <w:rFonts w:hint="eastAsia" w:ascii="宋体" w:hAnsi="宋体" w:eastAsia="宋体" w:cs="宋体"/>
                <w:color w:val="000000"/>
                <w:spacing w:val="20"/>
                <w:sz w:val="24"/>
                <w:szCs w:val="20"/>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80" w:lineRule="exact"/>
              <w:jc w:val="center"/>
              <w:rPr>
                <w:rFonts w:hint="eastAsia" w:ascii="宋体" w:hAnsi="宋体" w:eastAsia="宋体" w:cs="宋体"/>
                <w:color w:val="000000"/>
                <w:spacing w:val="20"/>
                <w:sz w:val="24"/>
                <w:szCs w:val="20"/>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80" w:lineRule="exact"/>
              <w:jc w:val="center"/>
              <w:rPr>
                <w:rFonts w:hint="eastAsia" w:ascii="宋体" w:hAnsi="宋体" w:eastAsia="宋体" w:cs="宋体"/>
                <w:color w:val="000000"/>
                <w:spacing w:val="20"/>
                <w:sz w:val="24"/>
                <w:szCs w:val="20"/>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80" w:lineRule="exact"/>
              <w:jc w:val="center"/>
              <w:rPr>
                <w:rFonts w:hint="eastAsia" w:ascii="宋体" w:hAnsi="宋体" w:eastAsia="宋体" w:cs="宋体"/>
                <w:color w:val="000000"/>
                <w:spacing w:val="20"/>
                <w:sz w:val="24"/>
                <w:szCs w:val="20"/>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80" w:lineRule="exact"/>
              <w:jc w:val="center"/>
              <w:rPr>
                <w:rFonts w:hint="eastAsia" w:ascii="宋体" w:hAnsi="宋体" w:eastAsia="宋体" w:cs="宋体"/>
                <w:color w:val="000000"/>
                <w:spacing w:val="20"/>
                <w:sz w:val="24"/>
                <w:szCs w:val="20"/>
              </w:rPr>
            </w:pPr>
          </w:p>
        </w:tc>
        <w:tc>
          <w:tcPr>
            <w:tcW w:w="165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80" w:lineRule="exact"/>
              <w:jc w:val="center"/>
              <w:rPr>
                <w:rFonts w:hint="eastAsia" w:ascii="宋体" w:hAnsi="宋体" w:eastAsia="宋体" w:cs="宋体"/>
                <w:color w:val="000000"/>
                <w:spacing w:val="20"/>
                <w:sz w:val="24"/>
                <w:szCs w:val="2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80" w:lineRule="exact"/>
              <w:jc w:val="center"/>
              <w:rPr>
                <w:rFonts w:hint="eastAsia" w:ascii="宋体" w:hAnsi="宋体" w:eastAsia="宋体" w:cs="宋体"/>
                <w:color w:val="000000"/>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18"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80" w:lineRule="exact"/>
              <w:jc w:val="center"/>
              <w:rPr>
                <w:rFonts w:hint="eastAsia" w:ascii="宋体" w:hAnsi="宋体" w:eastAsia="宋体" w:cs="宋体"/>
                <w:color w:val="000000"/>
                <w:spacing w:val="20"/>
                <w:sz w:val="24"/>
                <w:szCs w:val="20"/>
              </w:rPr>
            </w:pPr>
          </w:p>
        </w:tc>
        <w:tc>
          <w:tcPr>
            <w:tcW w:w="85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80" w:lineRule="exact"/>
              <w:jc w:val="center"/>
              <w:rPr>
                <w:rFonts w:hint="eastAsia" w:ascii="宋体" w:hAnsi="宋体" w:eastAsia="宋体" w:cs="宋体"/>
                <w:color w:val="000000"/>
                <w:spacing w:val="20"/>
                <w:sz w:val="24"/>
                <w:szCs w:val="20"/>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80" w:lineRule="exact"/>
              <w:jc w:val="center"/>
              <w:rPr>
                <w:rFonts w:hint="eastAsia" w:ascii="宋体" w:hAnsi="宋体" w:eastAsia="宋体" w:cs="宋体"/>
                <w:color w:val="000000"/>
                <w:spacing w:val="20"/>
                <w:sz w:val="24"/>
                <w:szCs w:val="20"/>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80" w:lineRule="exact"/>
              <w:jc w:val="center"/>
              <w:rPr>
                <w:rFonts w:hint="eastAsia" w:ascii="宋体" w:hAnsi="宋体" w:eastAsia="宋体" w:cs="宋体"/>
                <w:color w:val="000000"/>
                <w:spacing w:val="20"/>
                <w:sz w:val="24"/>
                <w:szCs w:val="20"/>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80" w:lineRule="exact"/>
              <w:jc w:val="center"/>
              <w:rPr>
                <w:rFonts w:hint="eastAsia" w:ascii="宋体" w:hAnsi="宋体" w:eastAsia="宋体" w:cs="宋体"/>
                <w:color w:val="000000"/>
                <w:spacing w:val="20"/>
                <w:sz w:val="24"/>
                <w:szCs w:val="20"/>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80" w:lineRule="exact"/>
              <w:jc w:val="center"/>
              <w:rPr>
                <w:rFonts w:hint="eastAsia" w:ascii="宋体" w:hAnsi="宋体" w:eastAsia="宋体" w:cs="宋体"/>
                <w:color w:val="000000"/>
                <w:spacing w:val="20"/>
                <w:sz w:val="24"/>
                <w:szCs w:val="20"/>
              </w:rPr>
            </w:pPr>
          </w:p>
        </w:tc>
        <w:tc>
          <w:tcPr>
            <w:tcW w:w="165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80" w:lineRule="exact"/>
              <w:jc w:val="center"/>
              <w:rPr>
                <w:rFonts w:hint="eastAsia" w:ascii="宋体" w:hAnsi="宋体" w:eastAsia="宋体" w:cs="宋体"/>
                <w:color w:val="000000"/>
                <w:spacing w:val="20"/>
                <w:sz w:val="24"/>
                <w:szCs w:val="2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80" w:lineRule="exact"/>
              <w:jc w:val="center"/>
              <w:rPr>
                <w:rFonts w:hint="eastAsia" w:ascii="宋体" w:hAnsi="宋体" w:eastAsia="宋体" w:cs="宋体"/>
                <w:color w:val="000000"/>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28" w:type="dxa"/>
            <w:gridSpan w:val="4"/>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80" w:lineRule="exact"/>
              <w:jc w:val="center"/>
              <w:rPr>
                <w:rFonts w:hint="eastAsia" w:ascii="宋体" w:hAnsi="宋体" w:eastAsia="宋体" w:cs="宋体"/>
                <w:color w:val="000000"/>
                <w:spacing w:val="20"/>
                <w:sz w:val="24"/>
                <w:szCs w:val="20"/>
                <w:lang w:val="en-US" w:eastAsia="zh-CN"/>
              </w:rPr>
            </w:pPr>
            <w:r>
              <w:rPr>
                <w:rFonts w:hint="eastAsia" w:ascii="宋体" w:hAnsi="宋体" w:eastAsia="宋体" w:cs="宋体"/>
                <w:color w:val="000000"/>
                <w:spacing w:val="20"/>
                <w:sz w:val="24"/>
                <w:szCs w:val="20"/>
                <w:lang w:val="en-US" w:eastAsia="zh-CN"/>
              </w:rPr>
              <w:t>投标总价合计：</w:t>
            </w:r>
          </w:p>
        </w:tc>
        <w:tc>
          <w:tcPr>
            <w:tcW w:w="5372" w:type="dxa"/>
            <w:gridSpan w:val="4"/>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80" w:lineRule="exact"/>
              <w:jc w:val="center"/>
              <w:rPr>
                <w:rFonts w:hint="eastAsia" w:ascii="宋体" w:hAnsi="宋体" w:eastAsia="宋体" w:cs="宋体"/>
                <w:color w:val="000000"/>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0" w:type="dxa"/>
            <w:gridSpan w:val="8"/>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80" w:lineRule="exact"/>
              <w:rPr>
                <w:rFonts w:hint="eastAsia" w:ascii="宋体" w:hAnsi="宋体" w:eastAsia="宋体" w:cs="宋体"/>
                <w:color w:val="000000"/>
                <w:spacing w:val="20"/>
                <w:sz w:val="24"/>
              </w:rPr>
            </w:pPr>
            <w:r>
              <w:rPr>
                <w:rFonts w:hint="eastAsia" w:ascii="宋体" w:hAnsi="宋体" w:eastAsia="宋体" w:cs="宋体"/>
                <w:color w:val="000000"/>
                <w:spacing w:val="20"/>
                <w:sz w:val="24"/>
              </w:rPr>
              <w:t>此表可自行设计，列项自行扩充。</w:t>
            </w:r>
          </w:p>
          <w:p>
            <w:pPr>
              <w:spacing w:line="480" w:lineRule="exact"/>
              <w:ind w:firstLine="560" w:firstLineChars="200"/>
              <w:rPr>
                <w:rFonts w:hint="eastAsia" w:ascii="宋体" w:hAnsi="宋体" w:eastAsia="宋体" w:cs="宋体"/>
                <w:color w:val="000000"/>
                <w:spacing w:val="20"/>
                <w:sz w:val="24"/>
              </w:rPr>
            </w:pPr>
          </w:p>
        </w:tc>
      </w:tr>
    </w:tbl>
    <w:p>
      <w:pPr>
        <w:snapToGrid w:val="0"/>
        <w:spacing w:before="50" w:after="50" w:line="480" w:lineRule="exact"/>
        <w:rPr>
          <w:rFonts w:hint="eastAsia" w:ascii="宋体" w:hAnsi="宋体" w:eastAsia="宋体" w:cs="宋体"/>
          <w:color w:val="000000"/>
          <w:spacing w:val="20"/>
          <w:sz w:val="24"/>
        </w:rPr>
      </w:pPr>
    </w:p>
    <w:p>
      <w:pPr>
        <w:snapToGrid w:val="0"/>
        <w:spacing w:before="50" w:after="50" w:line="480" w:lineRule="exact"/>
        <w:rPr>
          <w:rFonts w:hint="eastAsia" w:ascii="宋体" w:hAnsi="宋体" w:eastAsia="宋体" w:cs="宋体"/>
          <w:color w:val="000000"/>
          <w:spacing w:val="20"/>
          <w:sz w:val="24"/>
        </w:rPr>
      </w:pPr>
    </w:p>
    <w:p>
      <w:pPr>
        <w:snapToGrid w:val="0"/>
        <w:spacing w:before="50" w:after="50" w:line="480" w:lineRule="exact"/>
        <w:rPr>
          <w:rFonts w:hint="eastAsia" w:ascii="宋体" w:hAnsi="宋体" w:eastAsia="宋体" w:cs="宋体"/>
          <w:color w:val="000000"/>
          <w:spacing w:val="20"/>
          <w:sz w:val="24"/>
          <w:szCs w:val="20"/>
          <w:u w:val="single"/>
        </w:rPr>
      </w:pPr>
      <w:r>
        <w:rPr>
          <w:rFonts w:hint="eastAsia" w:ascii="宋体" w:hAnsi="宋体" w:eastAsia="宋体" w:cs="宋体"/>
          <w:color w:val="000000"/>
          <w:spacing w:val="20"/>
          <w:sz w:val="24"/>
        </w:rPr>
        <w:t>授权代表签名：</w:t>
      </w:r>
      <w:r>
        <w:rPr>
          <w:rFonts w:hint="eastAsia" w:ascii="宋体" w:hAnsi="宋体" w:eastAsia="宋体" w:cs="宋体"/>
          <w:color w:val="000000"/>
          <w:spacing w:val="20"/>
          <w:sz w:val="24"/>
          <w:u w:val="single"/>
        </w:rPr>
        <w:t xml:space="preserve">              </w:t>
      </w:r>
    </w:p>
    <w:p>
      <w:pPr>
        <w:snapToGrid w:val="0"/>
        <w:spacing w:before="50" w:after="50" w:line="480" w:lineRule="exact"/>
        <w:rPr>
          <w:rFonts w:hint="eastAsia" w:ascii="宋体" w:hAnsi="宋体" w:eastAsia="宋体" w:cs="宋体"/>
          <w:color w:val="000000"/>
          <w:spacing w:val="20"/>
          <w:sz w:val="24"/>
          <w:szCs w:val="20"/>
          <w:u w:val="single"/>
        </w:rPr>
      </w:pPr>
      <w:r>
        <w:rPr>
          <w:rFonts w:hint="eastAsia" w:ascii="宋体" w:hAnsi="宋体" w:eastAsia="宋体" w:cs="宋体"/>
          <w:color w:val="000000"/>
          <w:spacing w:val="20"/>
          <w:sz w:val="24"/>
        </w:rPr>
        <w:t>投标人盖章：</w:t>
      </w:r>
      <w:r>
        <w:rPr>
          <w:rFonts w:hint="eastAsia" w:ascii="宋体" w:hAnsi="宋体" w:eastAsia="宋体" w:cs="宋体"/>
          <w:color w:val="000000"/>
          <w:spacing w:val="20"/>
          <w:sz w:val="24"/>
          <w:u w:val="single"/>
        </w:rPr>
        <w:t xml:space="preserve">                </w:t>
      </w:r>
      <w:r>
        <w:rPr>
          <w:rFonts w:hint="eastAsia" w:ascii="宋体" w:hAnsi="宋体" w:eastAsia="宋体" w:cs="宋体"/>
          <w:color w:val="000000"/>
          <w:spacing w:val="20"/>
          <w:sz w:val="24"/>
        </w:rPr>
        <w:t xml:space="preserve">         日  期：</w:t>
      </w:r>
      <w:r>
        <w:rPr>
          <w:rFonts w:hint="eastAsia" w:ascii="宋体" w:hAnsi="宋体" w:eastAsia="宋体" w:cs="宋体"/>
          <w:color w:val="000000"/>
          <w:spacing w:val="20"/>
          <w:sz w:val="24"/>
          <w:u w:val="single"/>
        </w:rPr>
        <w:t xml:space="preserve">         </w:t>
      </w:r>
    </w:p>
    <w:p>
      <w:pPr>
        <w:snapToGrid w:val="0"/>
        <w:spacing w:before="50" w:after="50" w:line="500" w:lineRule="atLeast"/>
        <w:ind w:right="-92" w:rightChars="-44"/>
        <w:jc w:val="both"/>
        <w:rPr>
          <w:rFonts w:hint="eastAsia" w:ascii="宋体" w:hAnsi="宋体" w:eastAsia="宋体" w:cs="宋体"/>
          <w:color w:val="000000"/>
          <w:sz w:val="24"/>
        </w:rPr>
      </w:pPr>
      <w:r>
        <w:rPr>
          <w:rFonts w:hint="eastAsia" w:ascii="宋体" w:hAnsi="宋体" w:eastAsia="宋体" w:cs="宋体"/>
          <w:color w:val="000000"/>
          <w:sz w:val="24"/>
        </w:rPr>
        <w:t>注：1、供应商应根据其所投标的情况，提供详细分项报价。供应商应对上述每项内容列明组成的详细分项价格。</w:t>
      </w:r>
    </w:p>
    <w:p>
      <w:pPr>
        <w:snapToGrid w:val="0"/>
        <w:spacing w:before="50" w:after="50" w:line="500" w:lineRule="atLeast"/>
        <w:ind w:right="-92" w:rightChars="-44"/>
        <w:jc w:val="both"/>
        <w:rPr>
          <w:rFonts w:hint="eastAsia" w:ascii="宋体" w:hAnsi="宋体" w:eastAsia="宋体" w:cs="宋体"/>
          <w:color w:val="000000"/>
          <w:sz w:val="24"/>
        </w:rPr>
      </w:pPr>
      <w:r>
        <w:rPr>
          <w:rFonts w:hint="eastAsia" w:ascii="宋体" w:hAnsi="宋体" w:eastAsia="宋体" w:cs="宋体"/>
          <w:color w:val="000000"/>
          <w:sz w:val="24"/>
        </w:rPr>
        <w:t>2、如果不提供分项报价将视为没有实质性响应招标文件。</w:t>
      </w:r>
    </w:p>
    <w:p>
      <w:pPr>
        <w:snapToGrid w:val="0"/>
        <w:spacing w:before="50" w:after="50" w:line="500" w:lineRule="atLeast"/>
        <w:ind w:right="-92" w:rightChars="-44"/>
        <w:jc w:val="both"/>
        <w:rPr>
          <w:rFonts w:hint="eastAsia" w:ascii="宋体" w:hAnsi="宋体" w:eastAsia="宋体" w:cs="宋体"/>
          <w:color w:val="000000"/>
          <w:sz w:val="28"/>
          <w:szCs w:val="28"/>
        </w:rPr>
      </w:pPr>
      <w:r>
        <w:rPr>
          <w:rFonts w:hint="eastAsia" w:ascii="宋体" w:hAnsi="宋体" w:eastAsia="宋体" w:cs="宋体"/>
          <w:color w:val="000000"/>
          <w:sz w:val="24"/>
        </w:rPr>
        <w:t>3、表中表格行数可自行添加。</w:t>
      </w:r>
      <w:r>
        <w:rPr>
          <w:rFonts w:hint="eastAsia" w:ascii="宋体" w:hAnsi="宋体" w:eastAsia="宋体" w:cs="宋体"/>
          <w:color w:val="000000"/>
          <w:sz w:val="28"/>
          <w:szCs w:val="28"/>
        </w:rPr>
        <w:br w:type="page"/>
      </w:r>
      <w:r>
        <w:rPr>
          <w:rFonts w:hint="eastAsia" w:ascii="宋体" w:hAnsi="宋体" w:eastAsia="宋体" w:cs="宋体"/>
          <w:color w:val="000000"/>
          <w:sz w:val="28"/>
          <w:szCs w:val="28"/>
        </w:rPr>
        <w:t>七、技术参数响应及偏离表</w:t>
      </w:r>
    </w:p>
    <w:p>
      <w:pPr>
        <w:spacing w:line="500" w:lineRule="atLeast"/>
        <w:ind w:right="-92" w:rightChars="-44"/>
        <w:jc w:val="center"/>
        <w:rPr>
          <w:rFonts w:hint="eastAsia" w:ascii="宋体" w:hAnsi="宋体" w:eastAsia="宋体" w:cs="宋体"/>
          <w:color w:val="000000"/>
          <w:sz w:val="28"/>
          <w:szCs w:val="28"/>
        </w:rPr>
      </w:pPr>
    </w:p>
    <w:p>
      <w:pPr>
        <w:spacing w:line="500" w:lineRule="atLeast"/>
        <w:ind w:right="-92" w:rightChars="-44"/>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投标人全称（加盖公章）：       </w:t>
      </w:r>
    </w:p>
    <w:tbl>
      <w:tblPr>
        <w:tblStyle w:val="18"/>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516"/>
        <w:gridCol w:w="1644"/>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4" w:type="dxa"/>
            <w:noWrap w:val="0"/>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color w:val="000000"/>
                <w:sz w:val="28"/>
                <w:szCs w:val="28"/>
              </w:rPr>
            </w:pPr>
            <w:r>
              <w:rPr>
                <w:rFonts w:ascii="宋体" w:hAnsi="宋体" w:eastAsia="宋体" w:cs="宋体"/>
                <w:color w:val="000000"/>
                <w:sz w:val="24"/>
                <w:szCs w:val="24"/>
              </w:rPr>
              <w:t>序号</w:t>
            </w:r>
          </w:p>
        </w:tc>
        <w:tc>
          <w:tcPr>
            <w:tcW w:w="2852" w:type="dxa"/>
            <w:noWrap w:val="0"/>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color w:val="000000"/>
                <w:sz w:val="28"/>
                <w:szCs w:val="28"/>
              </w:rPr>
            </w:pPr>
            <w:r>
              <w:rPr>
                <w:rFonts w:ascii="宋体" w:hAnsi="宋体" w:eastAsia="宋体" w:cs="宋体"/>
                <w:color w:val="000000"/>
                <w:sz w:val="24"/>
                <w:szCs w:val="24"/>
              </w:rPr>
              <w:t>招标要求</w:t>
            </w:r>
          </w:p>
        </w:tc>
        <w:tc>
          <w:tcPr>
            <w:tcW w:w="2516" w:type="dxa"/>
            <w:noWrap w:val="0"/>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color w:val="000000"/>
                <w:sz w:val="28"/>
                <w:szCs w:val="28"/>
              </w:rPr>
            </w:pPr>
            <w:r>
              <w:rPr>
                <w:rFonts w:ascii="宋体" w:hAnsi="宋体" w:eastAsia="宋体" w:cs="宋体"/>
                <w:color w:val="000000"/>
                <w:sz w:val="24"/>
                <w:szCs w:val="24"/>
              </w:rPr>
              <w:t>投标响应</w:t>
            </w:r>
          </w:p>
        </w:tc>
        <w:tc>
          <w:tcPr>
            <w:tcW w:w="1644" w:type="dxa"/>
            <w:noWrap w:val="0"/>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color w:val="000000"/>
                <w:sz w:val="28"/>
                <w:szCs w:val="28"/>
              </w:rPr>
            </w:pPr>
            <w:r>
              <w:rPr>
                <w:rFonts w:ascii="宋体" w:hAnsi="宋体" w:eastAsia="宋体" w:cs="宋体"/>
                <w:color w:val="000000"/>
                <w:sz w:val="24"/>
                <w:szCs w:val="24"/>
              </w:rPr>
              <w:t>超出、符合或偏离</w:t>
            </w:r>
          </w:p>
        </w:tc>
        <w:tc>
          <w:tcPr>
            <w:tcW w:w="1173" w:type="dxa"/>
            <w:noWrap w:val="0"/>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color w:val="000000"/>
                <w:sz w:val="28"/>
                <w:szCs w:val="28"/>
              </w:rPr>
            </w:pPr>
            <w:r>
              <w:rPr>
                <w:rFonts w:ascii="宋体" w:hAnsi="宋体" w:eastAsia="宋体" w:cs="宋体"/>
                <w:color w:val="000000"/>
                <w:sz w:val="24"/>
                <w:szCs w:val="24"/>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pPr>
              <w:spacing w:line="500" w:lineRule="atLeast"/>
              <w:ind w:right="-92" w:rightChars="-44"/>
              <w:jc w:val="center"/>
              <w:rPr>
                <w:rFonts w:hint="eastAsia" w:ascii="宋体" w:hAnsi="宋体" w:eastAsia="宋体" w:cs="宋体"/>
                <w:color w:val="000000"/>
                <w:sz w:val="28"/>
                <w:szCs w:val="28"/>
              </w:rPr>
            </w:pPr>
          </w:p>
        </w:tc>
        <w:tc>
          <w:tcPr>
            <w:tcW w:w="2852" w:type="dxa"/>
            <w:noWrap w:val="0"/>
            <w:vAlign w:val="top"/>
          </w:tcPr>
          <w:p>
            <w:pPr>
              <w:spacing w:line="500" w:lineRule="atLeast"/>
              <w:ind w:right="-92" w:rightChars="-44"/>
              <w:jc w:val="center"/>
              <w:rPr>
                <w:rFonts w:hint="eastAsia" w:ascii="宋体" w:hAnsi="宋体" w:eastAsia="宋体" w:cs="宋体"/>
                <w:color w:val="000000"/>
                <w:sz w:val="28"/>
                <w:szCs w:val="28"/>
              </w:rPr>
            </w:pPr>
          </w:p>
        </w:tc>
        <w:tc>
          <w:tcPr>
            <w:tcW w:w="2516" w:type="dxa"/>
            <w:noWrap w:val="0"/>
            <w:vAlign w:val="top"/>
          </w:tcPr>
          <w:p>
            <w:pPr>
              <w:spacing w:line="500" w:lineRule="atLeast"/>
              <w:ind w:right="-92" w:rightChars="-44"/>
              <w:jc w:val="center"/>
              <w:rPr>
                <w:rFonts w:hint="eastAsia" w:ascii="宋体" w:hAnsi="宋体" w:eastAsia="宋体" w:cs="宋体"/>
                <w:color w:val="000000"/>
                <w:sz w:val="28"/>
                <w:szCs w:val="28"/>
              </w:rPr>
            </w:pPr>
          </w:p>
        </w:tc>
        <w:tc>
          <w:tcPr>
            <w:tcW w:w="1644" w:type="dxa"/>
            <w:noWrap w:val="0"/>
            <w:vAlign w:val="top"/>
          </w:tcPr>
          <w:p>
            <w:pPr>
              <w:spacing w:line="500" w:lineRule="atLeast"/>
              <w:ind w:right="-92" w:rightChars="-44"/>
              <w:jc w:val="center"/>
              <w:rPr>
                <w:rFonts w:hint="eastAsia" w:ascii="宋体" w:hAnsi="宋体" w:eastAsia="宋体" w:cs="宋体"/>
                <w:color w:val="000000"/>
                <w:sz w:val="28"/>
                <w:szCs w:val="28"/>
              </w:rPr>
            </w:pPr>
          </w:p>
        </w:tc>
        <w:tc>
          <w:tcPr>
            <w:tcW w:w="1173" w:type="dxa"/>
            <w:noWrap w:val="0"/>
            <w:vAlign w:val="top"/>
          </w:tcPr>
          <w:p>
            <w:pPr>
              <w:spacing w:line="500" w:lineRule="atLeast"/>
              <w:ind w:right="-92" w:rightChars="-44"/>
              <w:jc w:val="center"/>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pPr>
              <w:spacing w:line="500" w:lineRule="atLeast"/>
              <w:ind w:right="-92" w:rightChars="-44"/>
              <w:jc w:val="center"/>
              <w:rPr>
                <w:rFonts w:hint="eastAsia" w:ascii="宋体" w:hAnsi="宋体" w:eastAsia="宋体" w:cs="宋体"/>
                <w:color w:val="000000"/>
                <w:sz w:val="28"/>
                <w:szCs w:val="28"/>
              </w:rPr>
            </w:pPr>
          </w:p>
        </w:tc>
        <w:tc>
          <w:tcPr>
            <w:tcW w:w="2852" w:type="dxa"/>
            <w:noWrap w:val="0"/>
            <w:vAlign w:val="top"/>
          </w:tcPr>
          <w:p>
            <w:pPr>
              <w:spacing w:line="500" w:lineRule="atLeast"/>
              <w:ind w:right="-92" w:rightChars="-44"/>
              <w:jc w:val="center"/>
              <w:rPr>
                <w:rFonts w:hint="eastAsia" w:ascii="宋体" w:hAnsi="宋体" w:eastAsia="宋体" w:cs="宋体"/>
                <w:color w:val="000000"/>
                <w:sz w:val="28"/>
                <w:szCs w:val="28"/>
              </w:rPr>
            </w:pPr>
          </w:p>
        </w:tc>
        <w:tc>
          <w:tcPr>
            <w:tcW w:w="2516" w:type="dxa"/>
            <w:noWrap w:val="0"/>
            <w:vAlign w:val="top"/>
          </w:tcPr>
          <w:p>
            <w:pPr>
              <w:spacing w:line="500" w:lineRule="atLeast"/>
              <w:ind w:right="-92" w:rightChars="-44"/>
              <w:jc w:val="center"/>
              <w:rPr>
                <w:rFonts w:hint="eastAsia" w:ascii="宋体" w:hAnsi="宋体" w:eastAsia="宋体" w:cs="宋体"/>
                <w:color w:val="000000"/>
                <w:sz w:val="28"/>
                <w:szCs w:val="28"/>
              </w:rPr>
            </w:pPr>
          </w:p>
        </w:tc>
        <w:tc>
          <w:tcPr>
            <w:tcW w:w="1644" w:type="dxa"/>
            <w:noWrap w:val="0"/>
            <w:vAlign w:val="top"/>
          </w:tcPr>
          <w:p>
            <w:pPr>
              <w:spacing w:line="500" w:lineRule="atLeast"/>
              <w:ind w:right="-92" w:rightChars="-44"/>
              <w:jc w:val="center"/>
              <w:rPr>
                <w:rFonts w:hint="eastAsia" w:ascii="宋体" w:hAnsi="宋体" w:eastAsia="宋体" w:cs="宋体"/>
                <w:color w:val="000000"/>
                <w:sz w:val="28"/>
                <w:szCs w:val="28"/>
              </w:rPr>
            </w:pPr>
          </w:p>
        </w:tc>
        <w:tc>
          <w:tcPr>
            <w:tcW w:w="1173" w:type="dxa"/>
            <w:noWrap w:val="0"/>
            <w:vAlign w:val="top"/>
          </w:tcPr>
          <w:p>
            <w:pPr>
              <w:spacing w:line="500" w:lineRule="atLeast"/>
              <w:ind w:right="-92" w:rightChars="-44"/>
              <w:jc w:val="center"/>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pPr>
              <w:spacing w:line="500" w:lineRule="atLeast"/>
              <w:ind w:right="-92" w:rightChars="-44"/>
              <w:jc w:val="center"/>
              <w:rPr>
                <w:rFonts w:hint="eastAsia" w:ascii="宋体" w:hAnsi="宋体" w:eastAsia="宋体" w:cs="宋体"/>
                <w:color w:val="000000"/>
                <w:sz w:val="28"/>
                <w:szCs w:val="28"/>
              </w:rPr>
            </w:pPr>
          </w:p>
        </w:tc>
        <w:tc>
          <w:tcPr>
            <w:tcW w:w="2852" w:type="dxa"/>
            <w:noWrap w:val="0"/>
            <w:vAlign w:val="top"/>
          </w:tcPr>
          <w:p>
            <w:pPr>
              <w:spacing w:line="500" w:lineRule="atLeast"/>
              <w:ind w:right="-92" w:rightChars="-44"/>
              <w:jc w:val="center"/>
              <w:rPr>
                <w:rFonts w:hint="eastAsia" w:ascii="宋体" w:hAnsi="宋体" w:eastAsia="宋体" w:cs="宋体"/>
                <w:color w:val="000000"/>
                <w:sz w:val="28"/>
                <w:szCs w:val="28"/>
              </w:rPr>
            </w:pPr>
          </w:p>
        </w:tc>
        <w:tc>
          <w:tcPr>
            <w:tcW w:w="2516" w:type="dxa"/>
            <w:noWrap w:val="0"/>
            <w:vAlign w:val="top"/>
          </w:tcPr>
          <w:p>
            <w:pPr>
              <w:spacing w:line="500" w:lineRule="atLeast"/>
              <w:ind w:right="-92" w:rightChars="-44"/>
              <w:jc w:val="center"/>
              <w:rPr>
                <w:rFonts w:hint="eastAsia" w:ascii="宋体" w:hAnsi="宋体" w:eastAsia="宋体" w:cs="宋体"/>
                <w:color w:val="000000"/>
                <w:sz w:val="28"/>
                <w:szCs w:val="28"/>
              </w:rPr>
            </w:pPr>
          </w:p>
        </w:tc>
        <w:tc>
          <w:tcPr>
            <w:tcW w:w="1644" w:type="dxa"/>
            <w:noWrap w:val="0"/>
            <w:vAlign w:val="top"/>
          </w:tcPr>
          <w:p>
            <w:pPr>
              <w:spacing w:line="500" w:lineRule="atLeast"/>
              <w:ind w:right="-92" w:rightChars="-44"/>
              <w:jc w:val="center"/>
              <w:rPr>
                <w:rFonts w:hint="eastAsia" w:ascii="宋体" w:hAnsi="宋体" w:eastAsia="宋体" w:cs="宋体"/>
                <w:color w:val="000000"/>
                <w:sz w:val="28"/>
                <w:szCs w:val="28"/>
              </w:rPr>
            </w:pPr>
          </w:p>
        </w:tc>
        <w:tc>
          <w:tcPr>
            <w:tcW w:w="1173" w:type="dxa"/>
            <w:noWrap w:val="0"/>
            <w:vAlign w:val="top"/>
          </w:tcPr>
          <w:p>
            <w:pPr>
              <w:spacing w:line="500" w:lineRule="atLeast"/>
              <w:ind w:right="-92" w:rightChars="-44"/>
              <w:jc w:val="center"/>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pPr>
              <w:spacing w:line="500" w:lineRule="atLeast"/>
              <w:ind w:right="-92" w:rightChars="-44"/>
              <w:jc w:val="center"/>
              <w:rPr>
                <w:rFonts w:hint="eastAsia" w:ascii="宋体" w:hAnsi="宋体" w:eastAsia="宋体" w:cs="宋体"/>
                <w:color w:val="000000"/>
                <w:sz w:val="28"/>
                <w:szCs w:val="28"/>
              </w:rPr>
            </w:pPr>
          </w:p>
        </w:tc>
        <w:tc>
          <w:tcPr>
            <w:tcW w:w="2852" w:type="dxa"/>
            <w:noWrap w:val="0"/>
            <w:vAlign w:val="top"/>
          </w:tcPr>
          <w:p>
            <w:pPr>
              <w:spacing w:line="500" w:lineRule="atLeast"/>
              <w:ind w:right="-92" w:rightChars="-44"/>
              <w:jc w:val="center"/>
              <w:rPr>
                <w:rFonts w:hint="eastAsia" w:ascii="宋体" w:hAnsi="宋体" w:eastAsia="宋体" w:cs="宋体"/>
                <w:color w:val="000000"/>
                <w:sz w:val="28"/>
                <w:szCs w:val="28"/>
              </w:rPr>
            </w:pPr>
          </w:p>
        </w:tc>
        <w:tc>
          <w:tcPr>
            <w:tcW w:w="2516" w:type="dxa"/>
            <w:noWrap w:val="0"/>
            <w:vAlign w:val="top"/>
          </w:tcPr>
          <w:p>
            <w:pPr>
              <w:spacing w:line="500" w:lineRule="atLeast"/>
              <w:ind w:right="-92" w:rightChars="-44"/>
              <w:jc w:val="center"/>
              <w:rPr>
                <w:rFonts w:hint="eastAsia" w:ascii="宋体" w:hAnsi="宋体" w:eastAsia="宋体" w:cs="宋体"/>
                <w:color w:val="000000"/>
                <w:sz w:val="28"/>
                <w:szCs w:val="28"/>
              </w:rPr>
            </w:pPr>
          </w:p>
        </w:tc>
        <w:tc>
          <w:tcPr>
            <w:tcW w:w="1644" w:type="dxa"/>
            <w:noWrap w:val="0"/>
            <w:vAlign w:val="top"/>
          </w:tcPr>
          <w:p>
            <w:pPr>
              <w:spacing w:line="500" w:lineRule="atLeast"/>
              <w:ind w:right="-92" w:rightChars="-44"/>
              <w:jc w:val="center"/>
              <w:rPr>
                <w:rFonts w:hint="eastAsia" w:ascii="宋体" w:hAnsi="宋体" w:eastAsia="宋体" w:cs="宋体"/>
                <w:color w:val="000000"/>
                <w:sz w:val="28"/>
                <w:szCs w:val="28"/>
              </w:rPr>
            </w:pPr>
          </w:p>
        </w:tc>
        <w:tc>
          <w:tcPr>
            <w:tcW w:w="1173" w:type="dxa"/>
            <w:noWrap w:val="0"/>
            <w:vAlign w:val="top"/>
          </w:tcPr>
          <w:p>
            <w:pPr>
              <w:spacing w:line="500" w:lineRule="atLeast"/>
              <w:ind w:right="-92" w:rightChars="-44"/>
              <w:jc w:val="center"/>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pPr>
              <w:spacing w:line="500" w:lineRule="atLeast"/>
              <w:ind w:right="-92" w:rightChars="-44"/>
              <w:jc w:val="center"/>
              <w:rPr>
                <w:rFonts w:hint="eastAsia" w:ascii="宋体" w:hAnsi="宋体" w:eastAsia="宋体" w:cs="宋体"/>
                <w:color w:val="000000"/>
                <w:sz w:val="28"/>
                <w:szCs w:val="28"/>
              </w:rPr>
            </w:pPr>
          </w:p>
        </w:tc>
        <w:tc>
          <w:tcPr>
            <w:tcW w:w="2852" w:type="dxa"/>
            <w:noWrap w:val="0"/>
            <w:vAlign w:val="top"/>
          </w:tcPr>
          <w:p>
            <w:pPr>
              <w:spacing w:line="500" w:lineRule="atLeast"/>
              <w:ind w:right="-92" w:rightChars="-44"/>
              <w:jc w:val="center"/>
              <w:rPr>
                <w:rFonts w:hint="eastAsia" w:ascii="宋体" w:hAnsi="宋体" w:eastAsia="宋体" w:cs="宋体"/>
                <w:color w:val="000000"/>
                <w:sz w:val="28"/>
                <w:szCs w:val="28"/>
              </w:rPr>
            </w:pPr>
          </w:p>
        </w:tc>
        <w:tc>
          <w:tcPr>
            <w:tcW w:w="2516" w:type="dxa"/>
            <w:noWrap w:val="0"/>
            <w:vAlign w:val="top"/>
          </w:tcPr>
          <w:p>
            <w:pPr>
              <w:spacing w:line="500" w:lineRule="atLeast"/>
              <w:ind w:right="-92" w:rightChars="-44"/>
              <w:jc w:val="center"/>
              <w:rPr>
                <w:rFonts w:hint="eastAsia" w:ascii="宋体" w:hAnsi="宋体" w:eastAsia="宋体" w:cs="宋体"/>
                <w:color w:val="000000"/>
                <w:sz w:val="28"/>
                <w:szCs w:val="28"/>
              </w:rPr>
            </w:pPr>
          </w:p>
        </w:tc>
        <w:tc>
          <w:tcPr>
            <w:tcW w:w="1644" w:type="dxa"/>
            <w:noWrap w:val="0"/>
            <w:vAlign w:val="top"/>
          </w:tcPr>
          <w:p>
            <w:pPr>
              <w:spacing w:line="500" w:lineRule="atLeast"/>
              <w:ind w:right="-92" w:rightChars="-44"/>
              <w:jc w:val="center"/>
              <w:rPr>
                <w:rFonts w:hint="eastAsia" w:ascii="宋体" w:hAnsi="宋体" w:eastAsia="宋体" w:cs="宋体"/>
                <w:color w:val="000000"/>
                <w:sz w:val="28"/>
                <w:szCs w:val="28"/>
              </w:rPr>
            </w:pPr>
          </w:p>
        </w:tc>
        <w:tc>
          <w:tcPr>
            <w:tcW w:w="1173" w:type="dxa"/>
            <w:noWrap w:val="0"/>
            <w:vAlign w:val="top"/>
          </w:tcPr>
          <w:p>
            <w:pPr>
              <w:spacing w:line="500" w:lineRule="atLeast"/>
              <w:ind w:right="-92" w:rightChars="-44"/>
              <w:jc w:val="center"/>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pPr>
              <w:spacing w:line="500" w:lineRule="atLeast"/>
              <w:ind w:right="-92" w:rightChars="-44"/>
              <w:jc w:val="center"/>
              <w:rPr>
                <w:rFonts w:hint="eastAsia" w:ascii="宋体" w:hAnsi="宋体" w:eastAsia="宋体" w:cs="宋体"/>
                <w:color w:val="000000"/>
                <w:sz w:val="28"/>
                <w:szCs w:val="28"/>
              </w:rPr>
            </w:pPr>
          </w:p>
        </w:tc>
        <w:tc>
          <w:tcPr>
            <w:tcW w:w="2852" w:type="dxa"/>
            <w:noWrap w:val="0"/>
            <w:vAlign w:val="top"/>
          </w:tcPr>
          <w:p>
            <w:pPr>
              <w:spacing w:line="500" w:lineRule="atLeast"/>
              <w:ind w:right="-92" w:rightChars="-44"/>
              <w:jc w:val="center"/>
              <w:rPr>
                <w:rFonts w:hint="eastAsia" w:ascii="宋体" w:hAnsi="宋体" w:eastAsia="宋体" w:cs="宋体"/>
                <w:color w:val="000000"/>
                <w:sz w:val="28"/>
                <w:szCs w:val="28"/>
              </w:rPr>
            </w:pPr>
          </w:p>
        </w:tc>
        <w:tc>
          <w:tcPr>
            <w:tcW w:w="2516" w:type="dxa"/>
            <w:noWrap w:val="0"/>
            <w:vAlign w:val="top"/>
          </w:tcPr>
          <w:p>
            <w:pPr>
              <w:spacing w:line="500" w:lineRule="atLeast"/>
              <w:ind w:right="-92" w:rightChars="-44"/>
              <w:jc w:val="center"/>
              <w:rPr>
                <w:rFonts w:hint="eastAsia" w:ascii="宋体" w:hAnsi="宋体" w:eastAsia="宋体" w:cs="宋体"/>
                <w:color w:val="000000"/>
                <w:sz w:val="28"/>
                <w:szCs w:val="28"/>
              </w:rPr>
            </w:pPr>
          </w:p>
        </w:tc>
        <w:tc>
          <w:tcPr>
            <w:tcW w:w="1644" w:type="dxa"/>
            <w:noWrap w:val="0"/>
            <w:vAlign w:val="top"/>
          </w:tcPr>
          <w:p>
            <w:pPr>
              <w:spacing w:line="500" w:lineRule="atLeast"/>
              <w:ind w:right="-92" w:rightChars="-44"/>
              <w:jc w:val="center"/>
              <w:rPr>
                <w:rFonts w:hint="eastAsia" w:ascii="宋体" w:hAnsi="宋体" w:eastAsia="宋体" w:cs="宋体"/>
                <w:color w:val="000000"/>
                <w:sz w:val="28"/>
                <w:szCs w:val="28"/>
              </w:rPr>
            </w:pPr>
          </w:p>
        </w:tc>
        <w:tc>
          <w:tcPr>
            <w:tcW w:w="1173" w:type="dxa"/>
            <w:noWrap w:val="0"/>
            <w:vAlign w:val="top"/>
          </w:tcPr>
          <w:p>
            <w:pPr>
              <w:spacing w:line="500" w:lineRule="atLeast"/>
              <w:ind w:right="-92" w:rightChars="-44"/>
              <w:jc w:val="center"/>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pPr>
              <w:spacing w:line="500" w:lineRule="atLeast"/>
              <w:ind w:right="-92" w:rightChars="-44"/>
              <w:jc w:val="center"/>
              <w:rPr>
                <w:rFonts w:hint="eastAsia" w:ascii="宋体" w:hAnsi="宋体" w:eastAsia="宋体" w:cs="宋体"/>
                <w:color w:val="000000"/>
                <w:sz w:val="28"/>
                <w:szCs w:val="28"/>
              </w:rPr>
            </w:pPr>
          </w:p>
        </w:tc>
        <w:tc>
          <w:tcPr>
            <w:tcW w:w="2852" w:type="dxa"/>
            <w:noWrap w:val="0"/>
            <w:vAlign w:val="top"/>
          </w:tcPr>
          <w:p>
            <w:pPr>
              <w:spacing w:line="500" w:lineRule="atLeast"/>
              <w:ind w:right="-92" w:rightChars="-44"/>
              <w:jc w:val="center"/>
              <w:rPr>
                <w:rFonts w:hint="eastAsia" w:ascii="宋体" w:hAnsi="宋体" w:eastAsia="宋体" w:cs="宋体"/>
                <w:color w:val="000000"/>
                <w:sz w:val="28"/>
                <w:szCs w:val="28"/>
              </w:rPr>
            </w:pPr>
          </w:p>
        </w:tc>
        <w:tc>
          <w:tcPr>
            <w:tcW w:w="2516" w:type="dxa"/>
            <w:noWrap w:val="0"/>
            <w:vAlign w:val="top"/>
          </w:tcPr>
          <w:p>
            <w:pPr>
              <w:spacing w:line="500" w:lineRule="atLeast"/>
              <w:ind w:right="-92" w:rightChars="-44"/>
              <w:jc w:val="center"/>
              <w:rPr>
                <w:rFonts w:hint="eastAsia" w:ascii="宋体" w:hAnsi="宋体" w:eastAsia="宋体" w:cs="宋体"/>
                <w:color w:val="000000"/>
                <w:sz w:val="28"/>
                <w:szCs w:val="28"/>
              </w:rPr>
            </w:pPr>
          </w:p>
        </w:tc>
        <w:tc>
          <w:tcPr>
            <w:tcW w:w="1644" w:type="dxa"/>
            <w:noWrap w:val="0"/>
            <w:vAlign w:val="top"/>
          </w:tcPr>
          <w:p>
            <w:pPr>
              <w:spacing w:line="500" w:lineRule="atLeast"/>
              <w:ind w:right="-92" w:rightChars="-44"/>
              <w:jc w:val="center"/>
              <w:rPr>
                <w:rFonts w:hint="eastAsia" w:ascii="宋体" w:hAnsi="宋体" w:eastAsia="宋体" w:cs="宋体"/>
                <w:color w:val="000000"/>
                <w:sz w:val="28"/>
                <w:szCs w:val="28"/>
              </w:rPr>
            </w:pPr>
          </w:p>
        </w:tc>
        <w:tc>
          <w:tcPr>
            <w:tcW w:w="1173" w:type="dxa"/>
            <w:noWrap w:val="0"/>
            <w:vAlign w:val="top"/>
          </w:tcPr>
          <w:p>
            <w:pPr>
              <w:spacing w:line="500" w:lineRule="atLeast"/>
              <w:ind w:right="-92" w:rightChars="-44"/>
              <w:jc w:val="center"/>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pPr>
              <w:spacing w:line="500" w:lineRule="atLeast"/>
              <w:ind w:right="-92" w:rightChars="-44"/>
              <w:jc w:val="center"/>
              <w:rPr>
                <w:rFonts w:hint="eastAsia" w:ascii="宋体" w:hAnsi="宋体" w:eastAsia="宋体" w:cs="宋体"/>
                <w:color w:val="000000"/>
                <w:sz w:val="28"/>
                <w:szCs w:val="28"/>
              </w:rPr>
            </w:pPr>
          </w:p>
        </w:tc>
        <w:tc>
          <w:tcPr>
            <w:tcW w:w="2852" w:type="dxa"/>
            <w:noWrap w:val="0"/>
            <w:vAlign w:val="top"/>
          </w:tcPr>
          <w:p>
            <w:pPr>
              <w:spacing w:line="500" w:lineRule="atLeast"/>
              <w:ind w:right="-92" w:rightChars="-44"/>
              <w:jc w:val="center"/>
              <w:rPr>
                <w:rFonts w:hint="eastAsia" w:ascii="宋体" w:hAnsi="宋体" w:eastAsia="宋体" w:cs="宋体"/>
                <w:color w:val="000000"/>
                <w:sz w:val="28"/>
                <w:szCs w:val="28"/>
              </w:rPr>
            </w:pPr>
          </w:p>
        </w:tc>
        <w:tc>
          <w:tcPr>
            <w:tcW w:w="2516" w:type="dxa"/>
            <w:noWrap w:val="0"/>
            <w:vAlign w:val="top"/>
          </w:tcPr>
          <w:p>
            <w:pPr>
              <w:spacing w:line="500" w:lineRule="atLeast"/>
              <w:ind w:right="-92" w:rightChars="-44"/>
              <w:jc w:val="center"/>
              <w:rPr>
                <w:rFonts w:hint="eastAsia" w:ascii="宋体" w:hAnsi="宋体" w:eastAsia="宋体" w:cs="宋体"/>
                <w:color w:val="000000"/>
                <w:sz w:val="28"/>
                <w:szCs w:val="28"/>
              </w:rPr>
            </w:pPr>
          </w:p>
        </w:tc>
        <w:tc>
          <w:tcPr>
            <w:tcW w:w="1644" w:type="dxa"/>
            <w:noWrap w:val="0"/>
            <w:vAlign w:val="top"/>
          </w:tcPr>
          <w:p>
            <w:pPr>
              <w:spacing w:line="500" w:lineRule="atLeast"/>
              <w:ind w:right="-92" w:rightChars="-44"/>
              <w:jc w:val="center"/>
              <w:rPr>
                <w:rFonts w:hint="eastAsia" w:ascii="宋体" w:hAnsi="宋体" w:eastAsia="宋体" w:cs="宋体"/>
                <w:color w:val="000000"/>
                <w:sz w:val="28"/>
                <w:szCs w:val="28"/>
              </w:rPr>
            </w:pPr>
          </w:p>
        </w:tc>
        <w:tc>
          <w:tcPr>
            <w:tcW w:w="1173" w:type="dxa"/>
            <w:noWrap w:val="0"/>
            <w:vAlign w:val="top"/>
          </w:tcPr>
          <w:p>
            <w:pPr>
              <w:spacing w:line="500" w:lineRule="atLeast"/>
              <w:ind w:right="-92" w:rightChars="-44"/>
              <w:jc w:val="center"/>
              <w:rPr>
                <w:rFonts w:hint="eastAsia" w:ascii="宋体" w:hAnsi="宋体" w:eastAsia="宋体" w:cs="宋体"/>
                <w:color w:val="000000"/>
                <w:sz w:val="28"/>
                <w:szCs w:val="28"/>
              </w:rPr>
            </w:pPr>
          </w:p>
        </w:tc>
      </w:tr>
    </w:tbl>
    <w:p>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both"/>
      </w:pPr>
      <w:r>
        <w:rPr>
          <w:rFonts w:ascii="宋体" w:hAnsi="宋体" w:eastAsia="宋体" w:cs="宋体"/>
          <w:color w:val="000000"/>
          <w:sz w:val="24"/>
          <w:szCs w:val="24"/>
        </w:rPr>
        <w:t>注：1、按照基本技术要求详细填列。</w:t>
      </w:r>
    </w:p>
    <w:p>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80"/>
        <w:jc w:val="both"/>
      </w:pPr>
      <w:r>
        <w:rPr>
          <w:rFonts w:ascii="宋体" w:hAnsi="宋体" w:eastAsia="宋体" w:cs="宋体"/>
          <w:color w:val="000000"/>
          <w:sz w:val="24"/>
          <w:szCs w:val="24"/>
        </w:rPr>
        <w:t>2、行数不够，可自行添加。</w:t>
      </w:r>
    </w:p>
    <w:p>
      <w:pPr>
        <w:spacing w:line="500" w:lineRule="atLeast"/>
        <w:ind w:right="-92" w:rightChars="-44" w:firstLine="560" w:firstLineChars="200"/>
        <w:rPr>
          <w:rFonts w:hint="eastAsia" w:ascii="宋体" w:hAnsi="宋体" w:eastAsia="宋体" w:cs="宋体"/>
          <w:bCs/>
          <w:color w:val="000000"/>
          <w:sz w:val="28"/>
          <w:szCs w:val="28"/>
        </w:rPr>
      </w:pPr>
    </w:p>
    <w:p>
      <w:pPr>
        <w:spacing w:line="500" w:lineRule="atLeast"/>
        <w:ind w:right="-92" w:rightChars="-44"/>
        <w:rPr>
          <w:rFonts w:hint="eastAsia" w:ascii="宋体" w:hAnsi="宋体" w:eastAsia="宋体" w:cs="宋体"/>
          <w:color w:val="000000"/>
          <w:sz w:val="28"/>
          <w:szCs w:val="28"/>
        </w:rPr>
      </w:pPr>
    </w:p>
    <w:p>
      <w:pPr>
        <w:spacing w:line="500" w:lineRule="atLeast"/>
        <w:ind w:right="-92" w:rightChars="-44"/>
        <w:jc w:val="center"/>
        <w:rPr>
          <w:rFonts w:hint="eastAsia" w:ascii="宋体" w:hAnsi="宋体" w:eastAsia="宋体" w:cs="宋体"/>
          <w:b/>
          <w:color w:val="000000"/>
          <w:sz w:val="28"/>
          <w:szCs w:val="28"/>
        </w:rPr>
      </w:pPr>
    </w:p>
    <w:bookmarkEnd w:id="62"/>
    <w:p>
      <w:pPr>
        <w:snapToGrid w:val="0"/>
        <w:spacing w:before="50" w:after="50" w:line="500" w:lineRule="atLeast"/>
        <w:ind w:right="-92" w:rightChars="-44"/>
        <w:jc w:val="center"/>
        <w:rPr>
          <w:rFonts w:hint="eastAsia" w:ascii="宋体" w:hAnsi="宋体" w:eastAsia="宋体" w:cs="宋体"/>
          <w:color w:val="000000"/>
          <w:sz w:val="28"/>
          <w:szCs w:val="28"/>
        </w:rPr>
      </w:pPr>
      <w:bookmarkStart w:id="63" w:name="_Hlt26955054"/>
      <w:bookmarkEnd w:id="63"/>
      <w:r>
        <w:rPr>
          <w:rFonts w:hint="eastAsia" w:ascii="宋体" w:hAnsi="宋体" w:eastAsia="宋体" w:cs="宋体"/>
          <w:color w:val="000000"/>
          <w:sz w:val="28"/>
          <w:szCs w:val="28"/>
        </w:rPr>
        <w:br w:type="page"/>
      </w:r>
      <w:r>
        <w:rPr>
          <w:rFonts w:hint="eastAsia" w:ascii="宋体" w:hAnsi="宋体" w:eastAsia="宋体" w:cs="宋体"/>
          <w:color w:val="000000"/>
          <w:sz w:val="28"/>
          <w:szCs w:val="28"/>
        </w:rPr>
        <w:t>八、商务条款响应及偏离表</w:t>
      </w:r>
    </w:p>
    <w:p>
      <w:pPr>
        <w:spacing w:line="500" w:lineRule="atLeast"/>
        <w:ind w:right="-92" w:rightChars="-44"/>
        <w:jc w:val="center"/>
        <w:rPr>
          <w:rFonts w:hint="eastAsia" w:ascii="宋体" w:hAnsi="宋体" w:eastAsia="宋体" w:cs="宋体"/>
          <w:color w:val="000000"/>
          <w:sz w:val="28"/>
          <w:szCs w:val="28"/>
        </w:rPr>
      </w:pPr>
    </w:p>
    <w:p>
      <w:pPr>
        <w:spacing w:line="500" w:lineRule="atLeast"/>
        <w:ind w:right="-92" w:rightChars="-44"/>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投标人全称（加盖公章）：        </w:t>
      </w:r>
    </w:p>
    <w:tbl>
      <w:tblPr>
        <w:tblStyle w:val="18"/>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700"/>
        <w:gridCol w:w="1814"/>
        <w:gridCol w:w="34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500" w:lineRule="atLeast"/>
              <w:ind w:right="-92" w:rightChars="-44"/>
              <w:jc w:val="center"/>
              <w:rPr>
                <w:rFonts w:hint="eastAsia" w:ascii="宋体" w:hAnsi="宋体" w:eastAsia="宋体" w:cs="宋体"/>
                <w:color w:val="000000"/>
                <w:sz w:val="28"/>
                <w:szCs w:val="28"/>
              </w:rPr>
            </w:pPr>
            <w:r>
              <w:rPr>
                <w:rFonts w:hint="eastAsia" w:ascii="宋体" w:hAnsi="宋体" w:eastAsia="宋体" w:cs="宋体"/>
                <w:color w:val="000000"/>
                <w:sz w:val="28"/>
                <w:szCs w:val="28"/>
              </w:rPr>
              <w:t>项目</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500" w:lineRule="atLeast"/>
              <w:ind w:right="-92" w:rightChars="-44"/>
              <w:jc w:val="center"/>
              <w:rPr>
                <w:rFonts w:hint="eastAsia" w:ascii="宋体" w:hAnsi="宋体" w:eastAsia="宋体" w:cs="宋体"/>
                <w:color w:val="000000"/>
                <w:sz w:val="28"/>
                <w:szCs w:val="28"/>
              </w:rPr>
            </w:pPr>
            <w:r>
              <w:rPr>
                <w:rFonts w:hint="eastAsia" w:ascii="宋体" w:hAnsi="宋体" w:eastAsia="宋体" w:cs="宋体"/>
                <w:color w:val="000000"/>
                <w:sz w:val="28"/>
                <w:szCs w:val="28"/>
              </w:rPr>
              <w:t>招标文件要求</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500" w:lineRule="atLeast"/>
              <w:ind w:right="-92" w:rightChars="-44"/>
              <w:jc w:val="center"/>
              <w:rPr>
                <w:rFonts w:hint="eastAsia" w:ascii="宋体" w:hAnsi="宋体" w:eastAsia="宋体" w:cs="宋体"/>
                <w:color w:val="000000"/>
                <w:sz w:val="28"/>
                <w:szCs w:val="28"/>
              </w:rPr>
            </w:pPr>
            <w:r>
              <w:rPr>
                <w:rFonts w:hint="eastAsia" w:ascii="宋体" w:hAnsi="宋体" w:eastAsia="宋体" w:cs="宋体"/>
                <w:color w:val="000000"/>
                <w:sz w:val="28"/>
                <w:szCs w:val="28"/>
              </w:rPr>
              <w:t>是否响应</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500" w:lineRule="atLeast"/>
              <w:ind w:right="-92" w:rightChars="-44"/>
              <w:jc w:val="center"/>
              <w:rPr>
                <w:rFonts w:hint="eastAsia" w:ascii="宋体" w:hAnsi="宋体" w:eastAsia="宋体" w:cs="宋体"/>
                <w:color w:val="000000"/>
                <w:sz w:val="28"/>
                <w:szCs w:val="28"/>
              </w:rPr>
            </w:pPr>
            <w:r>
              <w:rPr>
                <w:rFonts w:hint="eastAsia" w:ascii="宋体" w:hAnsi="宋体" w:eastAsia="宋体" w:cs="宋体"/>
                <w:color w:val="000000"/>
                <w:sz w:val="28"/>
                <w:szCs w:val="28"/>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500" w:lineRule="atLeast"/>
              <w:ind w:right="-92" w:rightChars="-44"/>
              <w:jc w:val="center"/>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质保期</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500" w:lineRule="atLeast"/>
              <w:ind w:right="-92" w:rightChars="-44"/>
              <w:jc w:val="center"/>
              <w:rPr>
                <w:rFonts w:hint="eastAsia" w:ascii="宋体" w:hAnsi="宋体" w:eastAsia="宋体" w:cs="宋体"/>
                <w:color w:val="000000"/>
                <w:sz w:val="28"/>
                <w:szCs w:val="28"/>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500" w:lineRule="atLeast"/>
              <w:ind w:right="-92" w:rightChars="-44"/>
              <w:jc w:val="center"/>
              <w:rPr>
                <w:rFonts w:hint="eastAsia" w:ascii="宋体" w:hAnsi="宋体" w:eastAsia="宋体" w:cs="宋体"/>
                <w:color w:val="000000"/>
                <w:sz w:val="28"/>
                <w:szCs w:val="28"/>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500" w:lineRule="atLeast"/>
              <w:ind w:right="-92" w:rightChars="-44"/>
              <w:jc w:val="center"/>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500" w:lineRule="atLeast"/>
              <w:ind w:right="-92" w:rightChars="-44"/>
              <w:jc w:val="center"/>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合同履行期限</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500" w:lineRule="atLeast"/>
              <w:ind w:right="-92" w:rightChars="-44"/>
              <w:jc w:val="center"/>
              <w:rPr>
                <w:rFonts w:hint="eastAsia" w:ascii="宋体" w:hAnsi="宋体" w:eastAsia="宋体" w:cs="宋体"/>
                <w:color w:val="000000"/>
                <w:sz w:val="28"/>
                <w:szCs w:val="28"/>
                <w:lang w:eastAsia="zh-CN"/>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500" w:lineRule="atLeast"/>
              <w:ind w:left="43" w:right="-92" w:rightChars="-44"/>
              <w:jc w:val="center"/>
              <w:rPr>
                <w:rFonts w:hint="eastAsia" w:ascii="宋体" w:hAnsi="宋体" w:eastAsia="宋体" w:cs="宋体"/>
                <w:color w:val="000000"/>
                <w:sz w:val="28"/>
                <w:szCs w:val="28"/>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500" w:lineRule="atLeast"/>
              <w:ind w:left="43" w:right="-92" w:rightChars="-44"/>
              <w:jc w:val="center"/>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500" w:lineRule="atLeast"/>
              <w:ind w:right="-92" w:rightChars="-44"/>
              <w:jc w:val="center"/>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质量标准</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500" w:lineRule="atLeast"/>
              <w:ind w:right="-92" w:rightChars="-44"/>
              <w:jc w:val="center"/>
              <w:rPr>
                <w:rFonts w:hint="eastAsia" w:ascii="宋体" w:hAnsi="宋体" w:eastAsia="宋体" w:cs="宋体"/>
                <w:color w:val="000000"/>
                <w:sz w:val="28"/>
                <w:szCs w:val="28"/>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500" w:lineRule="atLeast"/>
              <w:ind w:left="43" w:right="-92" w:rightChars="-44"/>
              <w:jc w:val="center"/>
              <w:rPr>
                <w:rFonts w:hint="eastAsia" w:ascii="宋体" w:hAnsi="宋体" w:eastAsia="宋体" w:cs="宋体"/>
                <w:color w:val="000000"/>
                <w:sz w:val="28"/>
                <w:szCs w:val="28"/>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500" w:lineRule="atLeast"/>
              <w:ind w:left="43" w:right="-92" w:rightChars="-44"/>
              <w:jc w:val="center"/>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500" w:lineRule="atLeast"/>
              <w:ind w:right="-92" w:rightChars="-44"/>
              <w:jc w:val="center"/>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付款方式</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500" w:lineRule="atLeast"/>
              <w:ind w:right="-92" w:rightChars="-44"/>
              <w:jc w:val="center"/>
              <w:rPr>
                <w:rFonts w:hint="eastAsia" w:ascii="宋体" w:hAnsi="宋体" w:eastAsia="宋体" w:cs="宋体"/>
                <w:color w:val="000000"/>
                <w:sz w:val="28"/>
                <w:szCs w:val="28"/>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500" w:lineRule="atLeast"/>
              <w:ind w:right="-92" w:rightChars="-44"/>
              <w:jc w:val="center"/>
              <w:rPr>
                <w:rFonts w:hint="eastAsia" w:ascii="宋体" w:hAnsi="宋体" w:eastAsia="宋体" w:cs="宋体"/>
                <w:color w:val="000000"/>
                <w:sz w:val="28"/>
                <w:szCs w:val="28"/>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500" w:lineRule="atLeast"/>
              <w:ind w:right="-92" w:rightChars="-44"/>
              <w:jc w:val="center"/>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500" w:lineRule="atLeast"/>
              <w:ind w:right="-92" w:rightChars="-44"/>
              <w:jc w:val="center"/>
              <w:rPr>
                <w:rFonts w:hint="eastAsia" w:ascii="宋体" w:hAnsi="宋体" w:eastAsia="宋体" w:cs="宋体"/>
                <w:color w:val="00000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500" w:lineRule="atLeast"/>
              <w:ind w:right="-92" w:rightChars="-44"/>
              <w:jc w:val="center"/>
              <w:rPr>
                <w:rFonts w:hint="eastAsia" w:ascii="宋体" w:hAnsi="宋体" w:eastAsia="宋体" w:cs="宋体"/>
                <w:color w:val="000000"/>
                <w:sz w:val="28"/>
                <w:szCs w:val="28"/>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500" w:lineRule="atLeast"/>
              <w:ind w:right="-92" w:rightChars="-44"/>
              <w:jc w:val="center"/>
              <w:rPr>
                <w:rFonts w:hint="eastAsia" w:ascii="宋体" w:hAnsi="宋体" w:eastAsia="宋体" w:cs="宋体"/>
                <w:color w:val="000000"/>
                <w:sz w:val="28"/>
                <w:szCs w:val="28"/>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500" w:lineRule="atLeast"/>
              <w:ind w:right="-92" w:rightChars="-44"/>
              <w:jc w:val="center"/>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500" w:lineRule="atLeast"/>
              <w:ind w:right="-92" w:rightChars="-44"/>
              <w:jc w:val="center"/>
              <w:rPr>
                <w:rFonts w:hint="eastAsia" w:ascii="宋体" w:hAnsi="宋体" w:eastAsia="宋体" w:cs="宋体"/>
                <w:color w:val="00000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500" w:lineRule="atLeast"/>
              <w:ind w:right="-92" w:rightChars="-44"/>
              <w:jc w:val="center"/>
              <w:rPr>
                <w:rFonts w:hint="eastAsia" w:ascii="宋体" w:hAnsi="宋体" w:eastAsia="宋体" w:cs="宋体"/>
                <w:color w:val="000000"/>
                <w:sz w:val="28"/>
                <w:szCs w:val="28"/>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500" w:lineRule="atLeast"/>
              <w:ind w:right="-92" w:rightChars="-44"/>
              <w:jc w:val="center"/>
              <w:rPr>
                <w:rFonts w:hint="eastAsia" w:ascii="宋体" w:hAnsi="宋体" w:eastAsia="宋体" w:cs="宋体"/>
                <w:color w:val="000000"/>
                <w:sz w:val="28"/>
                <w:szCs w:val="28"/>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500" w:lineRule="atLeast"/>
              <w:ind w:right="-92" w:rightChars="-44"/>
              <w:jc w:val="center"/>
              <w:rPr>
                <w:rFonts w:hint="eastAsia" w:ascii="宋体" w:hAnsi="宋体" w:eastAsia="宋体" w:cs="宋体"/>
                <w:color w:val="000000"/>
                <w:sz w:val="28"/>
                <w:szCs w:val="28"/>
              </w:rPr>
            </w:pPr>
          </w:p>
        </w:tc>
      </w:tr>
    </w:tbl>
    <w:p>
      <w:pPr>
        <w:spacing w:line="500" w:lineRule="atLeast"/>
        <w:ind w:right="-92" w:rightChars="-44"/>
        <w:rPr>
          <w:rFonts w:hint="eastAsia" w:ascii="宋体" w:hAnsi="宋体" w:eastAsia="宋体" w:cs="宋体"/>
          <w:color w:val="000000"/>
          <w:sz w:val="28"/>
          <w:szCs w:val="28"/>
        </w:rPr>
      </w:pPr>
    </w:p>
    <w:p>
      <w:pPr>
        <w:spacing w:line="500" w:lineRule="atLeast"/>
        <w:ind w:right="-92" w:rightChars="-44"/>
        <w:rPr>
          <w:rFonts w:hint="eastAsia" w:ascii="宋体" w:hAnsi="宋体" w:eastAsia="宋体" w:cs="宋体"/>
          <w:color w:val="000000"/>
          <w:sz w:val="28"/>
          <w:szCs w:val="28"/>
        </w:rPr>
      </w:pPr>
      <w:r>
        <w:rPr>
          <w:rFonts w:hint="eastAsia" w:ascii="宋体" w:hAnsi="宋体" w:eastAsia="宋体" w:cs="宋体"/>
          <w:color w:val="000000"/>
          <w:sz w:val="28"/>
          <w:szCs w:val="28"/>
        </w:rPr>
        <w:t>法定代表人或授权代表签字：</w:t>
      </w:r>
    </w:p>
    <w:p>
      <w:pPr>
        <w:spacing w:line="500" w:lineRule="atLeast"/>
        <w:ind w:right="-92" w:rightChars="-44"/>
        <w:rPr>
          <w:rFonts w:hint="eastAsia" w:ascii="宋体" w:hAnsi="宋体" w:eastAsia="宋体" w:cs="宋体"/>
          <w:color w:val="000000"/>
          <w:sz w:val="28"/>
          <w:szCs w:val="28"/>
        </w:rPr>
      </w:pPr>
      <w:bookmarkStart w:id="64" w:name="_Hlt24879081"/>
      <w:bookmarkEnd w:id="64"/>
      <w:bookmarkStart w:id="65" w:name="_Hlt26671372"/>
      <w:bookmarkEnd w:id="65"/>
      <w:bookmarkStart w:id="66" w:name="_Hlt26955066"/>
      <w:bookmarkEnd w:id="66"/>
      <w:bookmarkStart w:id="67" w:name="_Hlt26609389"/>
      <w:bookmarkEnd w:id="67"/>
      <w:bookmarkStart w:id="68" w:name="_Hlt26671343"/>
      <w:bookmarkEnd w:id="68"/>
      <w:bookmarkStart w:id="69" w:name="_Hlt26955056"/>
      <w:bookmarkEnd w:id="69"/>
      <w:bookmarkStart w:id="70" w:name="_Hlt26782999"/>
      <w:bookmarkEnd w:id="70"/>
      <w:bookmarkStart w:id="71" w:name="_Hlt26955064"/>
      <w:bookmarkEnd w:id="71"/>
      <w:bookmarkStart w:id="72" w:name="_Hlt26609391"/>
      <w:bookmarkEnd w:id="72"/>
      <w:bookmarkStart w:id="73" w:name="_Hlt26580838"/>
      <w:bookmarkEnd w:id="73"/>
      <w:bookmarkStart w:id="74" w:name="_Hlt26671374"/>
      <w:bookmarkEnd w:id="74"/>
      <w:bookmarkStart w:id="75" w:name="_Toc462564146"/>
    </w:p>
    <w:p>
      <w:pPr>
        <w:pStyle w:val="7"/>
        <w:spacing w:line="500" w:lineRule="atLeast"/>
        <w:ind w:right="-92" w:rightChars="-44" w:firstLine="0"/>
        <w:rPr>
          <w:rFonts w:hint="eastAsia" w:ascii="宋体" w:hAnsi="宋体" w:eastAsia="宋体" w:cs="宋体"/>
          <w:color w:val="000000"/>
          <w:sz w:val="28"/>
          <w:szCs w:val="28"/>
        </w:rPr>
      </w:pPr>
    </w:p>
    <w:p>
      <w:pPr>
        <w:snapToGrid w:val="0"/>
        <w:spacing w:before="50" w:after="50" w:line="500" w:lineRule="atLeast"/>
        <w:ind w:right="-92" w:rightChars="-44"/>
        <w:jc w:val="center"/>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br w:type="page"/>
      </w:r>
      <w:r>
        <w:rPr>
          <w:rFonts w:hint="eastAsia" w:ascii="宋体" w:hAnsi="宋体" w:eastAsia="宋体" w:cs="宋体"/>
          <w:color w:val="000000"/>
          <w:sz w:val="28"/>
          <w:szCs w:val="28"/>
        </w:rPr>
        <w:t>九、</w:t>
      </w:r>
      <w:bookmarkEnd w:id="75"/>
      <w:bookmarkStart w:id="76" w:name="_格式2__法定代表人授权书"/>
      <w:bookmarkEnd w:id="76"/>
      <w:r>
        <w:rPr>
          <w:rFonts w:hint="eastAsia" w:ascii="宋体" w:hAnsi="宋体" w:eastAsia="宋体" w:cs="宋体"/>
          <w:sz w:val="32"/>
          <w:szCs w:val="32"/>
        </w:rPr>
        <w:t>技术方案、服务承诺、培训承诺等</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如有</w:t>
      </w:r>
      <w:r>
        <w:rPr>
          <w:rFonts w:hint="eastAsia" w:ascii="宋体" w:hAnsi="宋体" w:eastAsia="宋体" w:cs="宋体"/>
          <w:sz w:val="32"/>
          <w:szCs w:val="32"/>
          <w:lang w:eastAsia="zh-CN"/>
        </w:rPr>
        <w:t>）</w:t>
      </w:r>
    </w:p>
    <w:p>
      <w:pPr>
        <w:snapToGrid w:val="0"/>
        <w:spacing w:before="50" w:after="50" w:line="500" w:lineRule="atLeast"/>
        <w:ind w:right="-92" w:rightChars="-44"/>
        <w:jc w:val="center"/>
        <w:rPr>
          <w:rFonts w:hint="eastAsia" w:ascii="宋体" w:hAnsi="宋体" w:eastAsia="宋体" w:cs="宋体"/>
          <w:color w:val="000000"/>
          <w:sz w:val="28"/>
          <w:szCs w:val="28"/>
        </w:rPr>
      </w:pPr>
      <w:r>
        <w:rPr>
          <w:rFonts w:hint="eastAsia" w:ascii="宋体" w:hAnsi="宋体" w:eastAsia="宋体" w:cs="宋体"/>
          <w:color w:val="000000"/>
          <w:sz w:val="28"/>
          <w:szCs w:val="28"/>
        </w:rPr>
        <w:br w:type="page"/>
      </w:r>
      <w:r>
        <w:rPr>
          <w:rFonts w:hint="eastAsia" w:ascii="宋体" w:hAnsi="宋体" w:eastAsia="宋体" w:cs="宋体"/>
          <w:color w:val="000000"/>
          <w:sz w:val="28"/>
          <w:szCs w:val="28"/>
        </w:rPr>
        <w:t>十、</w:t>
      </w:r>
      <w:bookmarkStart w:id="77" w:name="_Toc19498"/>
      <w:r>
        <w:rPr>
          <w:rFonts w:hint="eastAsia" w:ascii="宋体" w:hAnsi="宋体" w:eastAsia="宋体" w:cs="宋体"/>
          <w:color w:val="000000"/>
          <w:sz w:val="28"/>
          <w:szCs w:val="28"/>
        </w:rPr>
        <w:t>盐城市大丰区政府招标采购供应商承诺书</w:t>
      </w:r>
      <w:bookmarkEnd w:id="77"/>
    </w:p>
    <w:p>
      <w:pPr>
        <w:snapToGrid w:val="0"/>
        <w:spacing w:before="50" w:after="50" w:line="500" w:lineRule="atLeast"/>
        <w:ind w:right="-92" w:rightChars="-44"/>
        <w:jc w:val="center"/>
        <w:rPr>
          <w:rFonts w:hint="eastAsia" w:ascii="宋体" w:hAnsi="宋体" w:eastAsia="宋体" w:cs="宋体"/>
          <w:color w:val="000000"/>
          <w:sz w:val="28"/>
          <w:szCs w:val="28"/>
        </w:rPr>
      </w:pPr>
    </w:p>
    <w:p>
      <w:pPr>
        <w:spacing w:line="500" w:lineRule="atLeast"/>
        <w:ind w:right="-92" w:rightChars="-44"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为营造公开、公平、公正、诚实守信的政府招标采购交易环境，树立诚信守法的投标人形象，本单位参加政府招标采购项目</w:t>
      </w:r>
      <w:r>
        <w:rPr>
          <w:rFonts w:hint="eastAsia" w:ascii="宋体" w:hAnsi="宋体" w:eastAsia="宋体" w:cs="宋体"/>
          <w:color w:val="000000"/>
          <w:sz w:val="24"/>
          <w:szCs w:val="24"/>
          <w:u w:val="single"/>
        </w:rPr>
        <w:t xml:space="preserve">：                                       </w:t>
      </w:r>
    </w:p>
    <w:p>
      <w:pPr>
        <w:spacing w:line="500" w:lineRule="atLeast"/>
        <w:ind w:right="-92" w:rightChars="-44"/>
        <w:jc w:val="left"/>
        <w:rPr>
          <w:rFonts w:hint="eastAsia" w:ascii="宋体" w:hAnsi="宋体" w:eastAsia="宋体" w:cs="宋体"/>
          <w:color w:val="000000"/>
          <w:sz w:val="24"/>
          <w:szCs w:val="24"/>
        </w:rPr>
      </w:pPr>
      <w:r>
        <w:rPr>
          <w:rFonts w:hint="eastAsia" w:ascii="宋体" w:hAnsi="宋体" w:eastAsia="宋体" w:cs="宋体"/>
          <w:color w:val="000000"/>
          <w:sz w:val="24"/>
          <w:szCs w:val="24"/>
        </w:rPr>
        <w:t>的招标采购活动，本人代表本单位作出以下承诺：</w:t>
      </w:r>
    </w:p>
    <w:p>
      <w:pPr>
        <w:spacing w:line="500" w:lineRule="atLeast"/>
        <w:ind w:right="-92" w:rightChars="-44"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pPr>
        <w:spacing w:line="500" w:lineRule="atLeast"/>
        <w:ind w:right="-92" w:rightChars="-44"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（二）本单位无涉及政府招标采购活动的违法、违规不良记录，我公司及相关负责人无因存在重大隐患整改不力、发生有重大社会影响生产安全事故或其他严重违法违规行为而被列入失信联合惩戒的不良记录；</w:t>
      </w:r>
    </w:p>
    <w:p>
      <w:pPr>
        <w:spacing w:line="500" w:lineRule="atLeast"/>
        <w:ind w:right="-92" w:rightChars="-44"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（三）严格依照国家和省、市关于政府招标采购的法律、法规、规章、规范性文件，参加政府招标采购的投标活动；积极履行社会责任，促进廉政建设； </w:t>
      </w:r>
    </w:p>
    <w:p>
      <w:pPr>
        <w:spacing w:line="500" w:lineRule="atLeast"/>
        <w:ind w:right="-92" w:rightChars="-44"/>
        <w:jc w:val="left"/>
        <w:rPr>
          <w:rFonts w:hint="eastAsia" w:ascii="宋体" w:hAnsi="宋体" w:eastAsia="宋体" w:cs="宋体"/>
          <w:color w:val="000000"/>
          <w:sz w:val="24"/>
          <w:szCs w:val="24"/>
        </w:rPr>
      </w:pPr>
      <w:r>
        <w:rPr>
          <w:rFonts w:hint="eastAsia" w:ascii="宋体" w:hAnsi="宋体" w:eastAsia="宋体" w:cs="宋体"/>
          <w:color w:val="000000"/>
          <w:sz w:val="24"/>
          <w:szCs w:val="24"/>
        </w:rPr>
        <w:t>   （四）严格遵守即时信息公示规定，及时维护和更新盐城市政府采购网、公共资源交易平台中与本单位相关的信息；</w:t>
      </w:r>
    </w:p>
    <w:p>
      <w:pPr>
        <w:spacing w:line="500" w:lineRule="atLeast"/>
        <w:ind w:right="-92" w:rightChars="-44"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五）自我约束、自我管理，守合同、重信用，自觉维护政府招标采购交易的良好秩序，与参与本次政府招标采购活动的其他供应商不存在直接控股或管理关系，不参与围标串标、弄虚作假、骗取中标、干扰评标、违约毁约等行为；</w:t>
      </w:r>
    </w:p>
    <w:p>
      <w:pPr>
        <w:spacing w:line="500" w:lineRule="atLeast"/>
        <w:ind w:right="-92" w:rightChars="-44" w:firstLine="367"/>
        <w:jc w:val="left"/>
        <w:rPr>
          <w:rFonts w:hint="eastAsia" w:ascii="宋体" w:hAnsi="宋体" w:eastAsia="宋体" w:cs="宋体"/>
          <w:color w:val="000000"/>
          <w:sz w:val="24"/>
          <w:szCs w:val="24"/>
        </w:rPr>
      </w:pPr>
      <w:r>
        <w:rPr>
          <w:rFonts w:hint="eastAsia" w:ascii="宋体" w:hAnsi="宋体" w:eastAsia="宋体" w:cs="宋体"/>
          <w:color w:val="000000"/>
          <w:sz w:val="24"/>
          <w:szCs w:val="24"/>
        </w:rPr>
        <w:t>（六）自觉接受政府、行业组织、社会公众、新闻舆论的监督；</w:t>
      </w:r>
    </w:p>
    <w:p>
      <w:pPr>
        <w:spacing w:line="500" w:lineRule="atLeast"/>
        <w:ind w:right="-92" w:rightChars="-44" w:firstLine="367"/>
        <w:jc w:val="left"/>
        <w:rPr>
          <w:rFonts w:hint="eastAsia" w:ascii="宋体" w:hAnsi="宋体" w:eastAsia="宋体" w:cs="宋体"/>
          <w:color w:val="000000"/>
          <w:sz w:val="24"/>
          <w:szCs w:val="24"/>
        </w:rPr>
      </w:pPr>
      <w:r>
        <w:rPr>
          <w:rFonts w:hint="eastAsia" w:ascii="宋体" w:hAnsi="宋体" w:eastAsia="宋体" w:cs="宋体"/>
          <w:color w:val="000000"/>
          <w:sz w:val="24"/>
          <w:szCs w:val="24"/>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pPr>
        <w:spacing w:line="500" w:lineRule="atLeast"/>
        <w:ind w:right="-92" w:rightChars="-44" w:firstLine="367"/>
        <w:jc w:val="left"/>
        <w:rPr>
          <w:rFonts w:hint="eastAsia" w:ascii="宋体" w:hAnsi="宋体" w:eastAsia="宋体" w:cs="宋体"/>
          <w:color w:val="000000"/>
          <w:sz w:val="24"/>
          <w:szCs w:val="24"/>
        </w:rPr>
      </w:pPr>
      <w:r>
        <w:rPr>
          <w:rFonts w:hint="eastAsia" w:ascii="宋体" w:hAnsi="宋体" w:eastAsia="宋体" w:cs="宋体"/>
          <w:color w:val="000000"/>
          <w:sz w:val="24"/>
          <w:szCs w:val="24"/>
        </w:rPr>
        <w:t>（八）本人已认真阅读了上述承诺，并向本单位员工作了宣传教育。</w:t>
      </w:r>
    </w:p>
    <w:p>
      <w:pPr>
        <w:spacing w:line="500" w:lineRule="atLeast"/>
        <w:ind w:right="-92" w:rightChars="-44" w:firstLine="480" w:firstLineChars="200"/>
        <w:jc w:val="left"/>
        <w:rPr>
          <w:rFonts w:hint="eastAsia" w:ascii="宋体" w:hAnsi="宋体" w:eastAsia="宋体" w:cs="宋体"/>
          <w:color w:val="000000"/>
          <w:sz w:val="24"/>
          <w:szCs w:val="24"/>
        </w:rPr>
      </w:pPr>
    </w:p>
    <w:p>
      <w:pPr>
        <w:spacing w:line="500" w:lineRule="atLeast"/>
        <w:ind w:right="-92" w:rightChars="-44"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法定代表人签名：             单位名称（盖章）：</w:t>
      </w:r>
    </w:p>
    <w:p>
      <w:pPr>
        <w:spacing w:line="500" w:lineRule="atLeast"/>
        <w:ind w:right="-92" w:rightChars="-44"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年    月    日               年    月    日</w:t>
      </w:r>
    </w:p>
    <w:p>
      <w:pPr>
        <w:spacing w:line="500" w:lineRule="atLeast"/>
        <w:ind w:right="-92" w:rightChars="-44"/>
        <w:rPr>
          <w:rFonts w:hint="eastAsia" w:ascii="宋体" w:hAnsi="宋体" w:eastAsia="宋体" w:cs="宋体"/>
        </w:rPr>
      </w:pPr>
      <w:r>
        <w:rPr>
          <w:rFonts w:hint="eastAsia" w:ascii="宋体" w:hAnsi="宋体" w:eastAsia="宋体" w:cs="宋体"/>
          <w:color w:val="000000"/>
          <w:sz w:val="28"/>
          <w:szCs w:val="28"/>
        </w:rPr>
        <w:t xml:space="preserve"> </w:t>
      </w:r>
    </w:p>
    <w:sectPr>
      <w:footerReference r:id="rId3" w:type="default"/>
      <w:pgSz w:w="11906" w:h="16838"/>
      <w:pgMar w:top="1440" w:right="1134" w:bottom="1440" w:left="1134"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CB6E7A"/>
    <w:multiLevelType w:val="singleLevel"/>
    <w:tmpl w:val="8BCB6E7A"/>
    <w:lvl w:ilvl="0" w:tentative="0">
      <w:start w:val="27"/>
      <w:numFmt w:val="decimal"/>
      <w:suff w:val="nothing"/>
      <w:lvlText w:val="%1、"/>
      <w:lvlJc w:val="left"/>
    </w:lvl>
  </w:abstractNum>
  <w:abstractNum w:abstractNumId="1">
    <w:nsid w:val="BE717ED7"/>
    <w:multiLevelType w:val="singleLevel"/>
    <w:tmpl w:val="BE717ED7"/>
    <w:lvl w:ilvl="0" w:tentative="0">
      <w:start w:val="1"/>
      <w:numFmt w:val="decimal"/>
      <w:lvlText w:val="%1."/>
      <w:lvlJc w:val="left"/>
      <w:pPr>
        <w:tabs>
          <w:tab w:val="left" w:pos="312"/>
        </w:tabs>
      </w:pPr>
    </w:lvl>
  </w:abstractNum>
  <w:abstractNum w:abstractNumId="2">
    <w:nsid w:val="3501C900"/>
    <w:multiLevelType w:val="singleLevel"/>
    <w:tmpl w:val="3501C900"/>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5YjY5MWU4NGI3NDhkM2Q3ZWFkMGY0MTMyN2QxMjQifQ=="/>
  </w:docVars>
  <w:rsids>
    <w:rsidRoot w:val="00000000"/>
    <w:rsid w:val="02543A07"/>
    <w:rsid w:val="03FA018E"/>
    <w:rsid w:val="041C1D99"/>
    <w:rsid w:val="047168CE"/>
    <w:rsid w:val="04D11569"/>
    <w:rsid w:val="05560C33"/>
    <w:rsid w:val="05EC3F2E"/>
    <w:rsid w:val="066D79A8"/>
    <w:rsid w:val="06943F5E"/>
    <w:rsid w:val="07886409"/>
    <w:rsid w:val="087E15BA"/>
    <w:rsid w:val="08C64A10"/>
    <w:rsid w:val="0951128E"/>
    <w:rsid w:val="09B37E23"/>
    <w:rsid w:val="0BF75083"/>
    <w:rsid w:val="0CD30A57"/>
    <w:rsid w:val="0F3D0EBD"/>
    <w:rsid w:val="0FAC06DC"/>
    <w:rsid w:val="104770C4"/>
    <w:rsid w:val="115B1443"/>
    <w:rsid w:val="11903D05"/>
    <w:rsid w:val="122A3015"/>
    <w:rsid w:val="12CC7AF2"/>
    <w:rsid w:val="12E17C5D"/>
    <w:rsid w:val="137159DB"/>
    <w:rsid w:val="1385209C"/>
    <w:rsid w:val="14A77FE4"/>
    <w:rsid w:val="152B2086"/>
    <w:rsid w:val="154C6CC8"/>
    <w:rsid w:val="157C20FC"/>
    <w:rsid w:val="15BF4A01"/>
    <w:rsid w:val="1660547D"/>
    <w:rsid w:val="16AF39B2"/>
    <w:rsid w:val="175956CC"/>
    <w:rsid w:val="18AC2301"/>
    <w:rsid w:val="19055BB0"/>
    <w:rsid w:val="190C3220"/>
    <w:rsid w:val="191A5B63"/>
    <w:rsid w:val="19B47531"/>
    <w:rsid w:val="1A4F0D0E"/>
    <w:rsid w:val="1A93394D"/>
    <w:rsid w:val="1B5067BA"/>
    <w:rsid w:val="1D190631"/>
    <w:rsid w:val="1D4860EF"/>
    <w:rsid w:val="1F4D01CF"/>
    <w:rsid w:val="1FC4524F"/>
    <w:rsid w:val="204752C1"/>
    <w:rsid w:val="20511636"/>
    <w:rsid w:val="210140B6"/>
    <w:rsid w:val="21274A8D"/>
    <w:rsid w:val="219F5731"/>
    <w:rsid w:val="234B2E19"/>
    <w:rsid w:val="234C7D5B"/>
    <w:rsid w:val="23DC3514"/>
    <w:rsid w:val="24AC2764"/>
    <w:rsid w:val="24DD30D2"/>
    <w:rsid w:val="25017AE1"/>
    <w:rsid w:val="253D4ED8"/>
    <w:rsid w:val="279F0419"/>
    <w:rsid w:val="29AD7427"/>
    <w:rsid w:val="29C424EB"/>
    <w:rsid w:val="2B753532"/>
    <w:rsid w:val="2E8508C1"/>
    <w:rsid w:val="30786BAB"/>
    <w:rsid w:val="31A745C2"/>
    <w:rsid w:val="31F90118"/>
    <w:rsid w:val="32E165B1"/>
    <w:rsid w:val="330850AE"/>
    <w:rsid w:val="33105202"/>
    <w:rsid w:val="33486F24"/>
    <w:rsid w:val="33CF0AF2"/>
    <w:rsid w:val="341700B9"/>
    <w:rsid w:val="35317608"/>
    <w:rsid w:val="362F3D69"/>
    <w:rsid w:val="36C34688"/>
    <w:rsid w:val="3826130D"/>
    <w:rsid w:val="388A5F99"/>
    <w:rsid w:val="3A1B7F51"/>
    <w:rsid w:val="3B606A71"/>
    <w:rsid w:val="3BD6013A"/>
    <w:rsid w:val="3D1B0B88"/>
    <w:rsid w:val="3D1C51E2"/>
    <w:rsid w:val="3D4A71FE"/>
    <w:rsid w:val="3DA3467B"/>
    <w:rsid w:val="3DCC05BA"/>
    <w:rsid w:val="3F926DA9"/>
    <w:rsid w:val="41637D2C"/>
    <w:rsid w:val="41BF069E"/>
    <w:rsid w:val="41E064E9"/>
    <w:rsid w:val="43B002CA"/>
    <w:rsid w:val="43DD2E53"/>
    <w:rsid w:val="4457357F"/>
    <w:rsid w:val="4474551E"/>
    <w:rsid w:val="44847FA8"/>
    <w:rsid w:val="44C15315"/>
    <w:rsid w:val="45CF2E79"/>
    <w:rsid w:val="46E464B1"/>
    <w:rsid w:val="47163BC5"/>
    <w:rsid w:val="47304C4F"/>
    <w:rsid w:val="479149D6"/>
    <w:rsid w:val="48546774"/>
    <w:rsid w:val="48C6379B"/>
    <w:rsid w:val="4908126F"/>
    <w:rsid w:val="491A7D40"/>
    <w:rsid w:val="49580F0F"/>
    <w:rsid w:val="49BF42AD"/>
    <w:rsid w:val="4A482F62"/>
    <w:rsid w:val="4ABD71AC"/>
    <w:rsid w:val="4C3E05F6"/>
    <w:rsid w:val="4C6919DE"/>
    <w:rsid w:val="4D862BCC"/>
    <w:rsid w:val="4DF94D1D"/>
    <w:rsid w:val="4E6A30D4"/>
    <w:rsid w:val="4EE977AC"/>
    <w:rsid w:val="50EA4A7A"/>
    <w:rsid w:val="51823991"/>
    <w:rsid w:val="51966172"/>
    <w:rsid w:val="537057E7"/>
    <w:rsid w:val="53DF697E"/>
    <w:rsid w:val="540A0FA3"/>
    <w:rsid w:val="54882BDD"/>
    <w:rsid w:val="54AA7EC4"/>
    <w:rsid w:val="54D66EF0"/>
    <w:rsid w:val="56251197"/>
    <w:rsid w:val="5AF727FF"/>
    <w:rsid w:val="5DA711C9"/>
    <w:rsid w:val="5DE814CA"/>
    <w:rsid w:val="5E4005EC"/>
    <w:rsid w:val="5EC3485C"/>
    <w:rsid w:val="605D1356"/>
    <w:rsid w:val="62C76D64"/>
    <w:rsid w:val="633C08FC"/>
    <w:rsid w:val="63A01F39"/>
    <w:rsid w:val="63B2245E"/>
    <w:rsid w:val="63F40022"/>
    <w:rsid w:val="656B0071"/>
    <w:rsid w:val="65A76222"/>
    <w:rsid w:val="65C41C9E"/>
    <w:rsid w:val="68680F0F"/>
    <w:rsid w:val="690A0D2C"/>
    <w:rsid w:val="692073C4"/>
    <w:rsid w:val="6A3B3C57"/>
    <w:rsid w:val="6CD66018"/>
    <w:rsid w:val="6D3C3361"/>
    <w:rsid w:val="6D4752F4"/>
    <w:rsid w:val="6EEB63FD"/>
    <w:rsid w:val="6F1675BE"/>
    <w:rsid w:val="6F9004D1"/>
    <w:rsid w:val="7031657C"/>
    <w:rsid w:val="70C42D2B"/>
    <w:rsid w:val="70EF43E0"/>
    <w:rsid w:val="7152274E"/>
    <w:rsid w:val="71B8597C"/>
    <w:rsid w:val="71FB7817"/>
    <w:rsid w:val="726447C6"/>
    <w:rsid w:val="72797DA2"/>
    <w:rsid w:val="73770A9D"/>
    <w:rsid w:val="73BA74AE"/>
    <w:rsid w:val="73C61997"/>
    <w:rsid w:val="74813911"/>
    <w:rsid w:val="768F0DB0"/>
    <w:rsid w:val="77D0645A"/>
    <w:rsid w:val="77E95B1F"/>
    <w:rsid w:val="783324C5"/>
    <w:rsid w:val="78917997"/>
    <w:rsid w:val="78CA2EA9"/>
    <w:rsid w:val="7A443EC2"/>
    <w:rsid w:val="7C487E55"/>
    <w:rsid w:val="7DBB1012"/>
    <w:rsid w:val="7F2E23E3"/>
    <w:rsid w:val="7F7B2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autoRedefine/>
    <w:qFormat/>
    <w:uiPriority w:val="0"/>
    <w:pPr>
      <w:keepNext/>
      <w:jc w:val="center"/>
      <w:outlineLvl w:val="0"/>
    </w:pPr>
    <w:rPr>
      <w:rFonts w:ascii="楷体_GB2312" w:hAnsi="宋体" w:eastAsia="楷体_GB2312" w:cs="宋体"/>
      <w:sz w:val="28"/>
      <w:szCs w:val="28"/>
    </w:rPr>
  </w:style>
  <w:style w:type="paragraph" w:styleId="4">
    <w:name w:val="heading 2"/>
    <w:basedOn w:val="1"/>
    <w:next w:val="1"/>
    <w:autoRedefine/>
    <w:qFormat/>
    <w:uiPriority w:val="0"/>
    <w:pPr>
      <w:keepNext/>
      <w:keepLines/>
      <w:spacing w:before="260" w:after="260" w:line="416" w:lineRule="auto"/>
      <w:outlineLvl w:val="1"/>
    </w:pPr>
    <w:rPr>
      <w:rFonts w:ascii="等线 Light" w:hAnsi="等线 Light" w:eastAsia="等线 Light"/>
      <w:b/>
      <w:bCs/>
      <w:sz w:val="32"/>
      <w:szCs w:val="32"/>
    </w:rPr>
  </w:style>
  <w:style w:type="paragraph" w:styleId="5">
    <w:name w:val="heading 3"/>
    <w:basedOn w:val="1"/>
    <w:next w:val="1"/>
    <w:autoRedefine/>
    <w:qFormat/>
    <w:uiPriority w:val="0"/>
    <w:pPr>
      <w:keepNext/>
      <w:keepLines/>
      <w:spacing w:before="260" w:after="260" w:line="415" w:lineRule="auto"/>
      <w:outlineLvl w:val="2"/>
    </w:pPr>
    <w:rPr>
      <w:rFonts w:ascii="Times New Roman" w:hAnsi="Times New Roman" w:eastAsia="宋体"/>
      <w:b/>
      <w:bCs/>
      <w:sz w:val="32"/>
      <w:szCs w:val="32"/>
    </w:rPr>
  </w:style>
  <w:style w:type="paragraph" w:styleId="6">
    <w:name w:val="heading 4"/>
    <w:basedOn w:val="1"/>
    <w:next w:val="7"/>
    <w:autoRedefine/>
    <w:qFormat/>
    <w:uiPriority w:val="0"/>
    <w:pPr>
      <w:keepNext/>
      <w:keepLines/>
      <w:spacing w:before="280" w:after="290" w:line="374" w:lineRule="auto"/>
      <w:outlineLvl w:val="3"/>
    </w:pPr>
    <w:rPr>
      <w:rFonts w:ascii="Arial" w:hAnsi="Arial" w:eastAsia="黑体" w:cs="Arial"/>
      <w:b/>
      <w:bCs/>
      <w:sz w:val="28"/>
      <w:szCs w:val="28"/>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1"/>
    <w:next w:val="1"/>
    <w:autoRedefine/>
    <w:unhideWhenUsed/>
    <w:qFormat/>
    <w:uiPriority w:val="99"/>
    <w:pPr>
      <w:ind w:firstLine="420" w:firstLineChars="100"/>
    </w:pPr>
  </w:style>
  <w:style w:type="paragraph" w:styleId="7">
    <w:name w:val="Normal Indent"/>
    <w:basedOn w:val="1"/>
    <w:autoRedefine/>
    <w:unhideWhenUsed/>
    <w:qFormat/>
    <w:uiPriority w:val="0"/>
    <w:pPr>
      <w:ind w:firstLine="420"/>
    </w:pPr>
    <w:rPr>
      <w:rFonts w:ascii="Times New Roman" w:hAnsi="Times New Roman" w:eastAsia="宋体"/>
      <w:szCs w:val="21"/>
    </w:rPr>
  </w:style>
  <w:style w:type="paragraph" w:styleId="8">
    <w:name w:val="Body Text"/>
    <w:basedOn w:val="1"/>
    <w:autoRedefine/>
    <w:unhideWhenUsed/>
    <w:qFormat/>
    <w:uiPriority w:val="99"/>
    <w:pPr>
      <w:spacing w:after="120"/>
    </w:pPr>
  </w:style>
  <w:style w:type="paragraph" w:styleId="9">
    <w:name w:val="Body Text Indent"/>
    <w:basedOn w:val="1"/>
    <w:next w:val="10"/>
    <w:autoRedefine/>
    <w:unhideWhenUsed/>
    <w:qFormat/>
    <w:uiPriority w:val="0"/>
    <w:pPr>
      <w:ind w:firstLine="645"/>
    </w:pPr>
    <w:rPr>
      <w:rFonts w:ascii="楷体_GB2312" w:eastAsia="楷体_GB2312"/>
      <w:kern w:val="0"/>
      <w:sz w:val="32"/>
      <w:szCs w:val="32"/>
    </w:rPr>
  </w:style>
  <w:style w:type="paragraph" w:styleId="10">
    <w:name w:val="envelope return"/>
    <w:basedOn w:val="1"/>
    <w:autoRedefine/>
    <w:qFormat/>
    <w:uiPriority w:val="0"/>
    <w:pPr>
      <w:snapToGrid w:val="0"/>
    </w:pPr>
    <w:rPr>
      <w:rFonts w:ascii="Arial" w:hAnsi="Arial"/>
    </w:rPr>
  </w:style>
  <w:style w:type="paragraph" w:styleId="11">
    <w:name w:val="Block Text"/>
    <w:basedOn w:val="1"/>
    <w:autoRedefine/>
    <w:qFormat/>
    <w:uiPriority w:val="99"/>
    <w:pPr>
      <w:spacing w:after="120"/>
      <w:ind w:left="1440" w:leftChars="700" w:right="1440" w:rightChars="700"/>
    </w:pPr>
  </w:style>
  <w:style w:type="paragraph" w:styleId="12">
    <w:name w:val="Plain Text"/>
    <w:basedOn w:val="1"/>
    <w:autoRedefine/>
    <w:unhideWhenUsed/>
    <w:qFormat/>
    <w:uiPriority w:val="0"/>
    <w:rPr>
      <w:rFonts w:ascii="宋体" w:hAnsi="Courier New" w:eastAsia="宋体" w:cs="Courier New"/>
      <w:szCs w:val="21"/>
    </w:rPr>
  </w:style>
  <w:style w:type="paragraph" w:styleId="13">
    <w:name w:val="Body Text Indent 2"/>
    <w:basedOn w:val="1"/>
    <w:autoRedefine/>
    <w:qFormat/>
    <w:uiPriority w:val="0"/>
    <w:pPr>
      <w:spacing w:after="120" w:line="480" w:lineRule="auto"/>
      <w:ind w:left="420" w:leftChars="200"/>
    </w:pPr>
    <w:rPr>
      <w:rFonts w:ascii="Times New Roman" w:hAnsi="Times New Roman" w:eastAsia="宋体"/>
      <w:szCs w:val="21"/>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Body Text First Indent 2"/>
    <w:basedOn w:val="9"/>
    <w:next w:val="7"/>
    <w:autoRedefine/>
    <w:qFormat/>
    <w:uiPriority w:val="0"/>
    <w:pPr>
      <w:spacing w:line="360" w:lineRule="auto"/>
      <w:ind w:firstLine="420" w:firstLineChars="200"/>
    </w:pPr>
    <w:rPr>
      <w:rFonts w:ascii="宋体" w:hAnsi="宋体" w:eastAsia="宋体"/>
      <w:sz w:val="21"/>
      <w:szCs w:val="20"/>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正文1"/>
    <w:basedOn w:val="1"/>
    <w:autoRedefine/>
    <w:qFormat/>
    <w:uiPriority w:val="0"/>
    <w:pPr>
      <w:widowControl/>
      <w:spacing w:line="440" w:lineRule="exact"/>
      <w:ind w:right="-167" w:rightChars="-167"/>
    </w:pPr>
    <w:rPr>
      <w:b/>
    </w:rPr>
  </w:style>
  <w:style w:type="paragraph" w:customStyle="1" w:styleId="22">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
    <w:name w:val="普通正文"/>
    <w:basedOn w:val="1"/>
    <w:autoRedefine/>
    <w:qFormat/>
    <w:uiPriority w:val="0"/>
    <w:pPr>
      <w:adjustRightInd w:val="0"/>
      <w:spacing w:before="120" w:after="120" w:line="360" w:lineRule="auto"/>
      <w:ind w:firstLine="480"/>
      <w:jc w:val="left"/>
    </w:pPr>
    <w:rPr>
      <w:rFonts w:ascii="Arial" w:hAnsi="Arial" w:cs="Arial"/>
      <w:kern w:val="0"/>
      <w:sz w:val="24"/>
      <w:szCs w:val="24"/>
    </w:rPr>
  </w:style>
  <w:style w:type="paragraph" w:customStyle="1" w:styleId="24">
    <w:name w:val="列出段落1"/>
    <w:basedOn w:val="1"/>
    <w:autoRedefine/>
    <w:qFormat/>
    <w:uiPriority w:val="0"/>
    <w:pPr>
      <w:widowControl/>
      <w:ind w:left="720"/>
      <w:contextualSpacing/>
      <w:jc w:val="left"/>
    </w:pPr>
    <w:rPr>
      <w:rFonts w:ascii="Calibri" w:hAnsi="Calibri" w:cs="Calibri"/>
      <w:kern w:val="0"/>
      <w:sz w:val="24"/>
      <w:szCs w:val="24"/>
      <w:lang w:eastAsia="en-US" w:bidi="en-US"/>
    </w:rPr>
  </w:style>
  <w:style w:type="paragraph" w:customStyle="1" w:styleId="25">
    <w:name w:val="Char"/>
    <w:basedOn w:val="1"/>
    <w:autoRedefine/>
    <w:qFormat/>
    <w:uiPriority w:val="0"/>
    <w:pPr>
      <w:tabs>
        <w:tab w:val="left" w:pos="360"/>
      </w:tabs>
      <w:ind w:firstLine="200" w:firstLineChars="200"/>
    </w:pPr>
    <w:rPr>
      <w:rFonts w:ascii="Times New Roman" w:hAnsi="Times New Roman" w:eastAsia="宋体"/>
      <w:sz w:val="28"/>
      <w:szCs w:val="30"/>
    </w:rPr>
  </w:style>
  <w:style w:type="paragraph" w:customStyle="1" w:styleId="26">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27">
    <w:name w:val="段"/>
    <w:next w:val="28"/>
    <w:autoRedefine/>
    <w:qFormat/>
    <w:uiPriority w:val="0"/>
    <w:pPr>
      <w:widowControl w:val="0"/>
      <w:ind w:firstLine="200"/>
      <w:jc w:val="both"/>
    </w:pPr>
    <w:rPr>
      <w:rFonts w:ascii="宋体" w:hAnsi="宋体" w:eastAsia="宋体" w:cs="宋体"/>
      <w:color w:val="000000"/>
      <w:sz w:val="21"/>
      <w:szCs w:val="21"/>
      <w:lang w:val="en-US" w:eastAsia="zh-CN" w:bidi="ar-SA"/>
    </w:rPr>
  </w:style>
  <w:style w:type="paragraph" w:customStyle="1" w:styleId="28">
    <w:name w:val="正文 A"/>
    <w:basedOn w:val="1"/>
    <w:next w:val="27"/>
    <w:autoRedefine/>
    <w:qFormat/>
    <w:uiPriority w:val="0"/>
    <w:rPr>
      <w:rFonts w:ascii="Times New Roman" w:hAnsi="Times New Roman" w:eastAsia="Calibri" w:cs="Calibri"/>
      <w:color w:val="000000"/>
      <w:szCs w:val="21"/>
    </w:rPr>
  </w:style>
  <w:style w:type="character" w:customStyle="1" w:styleId="29">
    <w:name w:val="l-btn-left"/>
    <w:basedOn w:val="20"/>
    <w:autoRedefine/>
    <w:qFormat/>
    <w:uiPriority w:val="0"/>
  </w:style>
  <w:style w:type="character" w:customStyle="1" w:styleId="30">
    <w:name w:val="l-btn-text36"/>
    <w:basedOn w:val="20"/>
    <w:autoRedefine/>
    <w:qFormat/>
    <w:uiPriority w:val="0"/>
  </w:style>
  <w:style w:type="character" w:customStyle="1" w:styleId="31">
    <w:name w:val="current"/>
    <w:basedOn w:val="20"/>
    <w:autoRedefine/>
    <w:qFormat/>
    <w:uiPriority w:val="0"/>
    <w:rPr>
      <w:b/>
      <w:bCs/>
      <w:color w:val="05A7D8"/>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48267</Words>
  <Characters>56252</Characters>
  <Lines>0</Lines>
  <Paragraphs>0</Paragraphs>
  <TotalTime>72</TotalTime>
  <ScaleCrop>false</ScaleCrop>
  <LinksUpToDate>false</LinksUpToDate>
  <CharactersWithSpaces>61298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2023-03-22T08:17:00Z</dcterms:created>
  <dc:creator>Administrator</dc:creator>
  <cp:lastModifiedBy>木易</cp:lastModifiedBy>
  <cp:lastPrinted>2024-01-29T09:21:00Z</cp:lastPrinted>
  <dcterms:modified xsi:type="dcterms:W3CDTF">2024-03-01T03:47:28Z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89E5A9DF79A04D769EB8A4D52A7A0B8D</vt:lpwstr>
  </property>
</Properties>
</file>