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color w:val="000000"/>
          <w:sz w:val="84"/>
          <w:szCs w:val="24"/>
        </w:rPr>
      </w:pPr>
      <w:r/>
      <w:bookmarkStart w:id="0" w:name="_Toc120614210"/>
      <w:r/>
      <w:bookmarkStart w:id="1" w:name="_Toc523127445"/>
      <w:r/>
      <w:bookmarkStart w:id="2" w:name="_Toc20823272"/>
      <w:r/>
      <w:bookmarkStart w:id="3" w:name="_Toc479757206"/>
      <w:r/>
      <w:bookmarkStart w:id="4" w:name="_Toc16938516"/>
      <w:r/>
      <w:bookmarkStart w:id="5" w:name="_Toc513029200"/>
      <w:r>
        <w:rPr>
          <w:rFonts w:hint="eastAsia" w:ascii="Arial" w:hAnsi="Arial" w:eastAsia="黑体"/>
          <w:b/>
          <w:bCs/>
          <w:color w:val="000000"/>
          <w:sz w:val="84"/>
          <w:szCs w:val="24"/>
        </w:rPr>
      </w:r>
      <w:r/>
    </w:p>
    <w:p>
      <w:pPr>
        <w:pStyle w:val="883"/>
        <w:rPr>
          <w:rFonts w:hint="eastAsia"/>
        </w:rPr>
      </w:pPr>
      <w:r>
        <w:rPr>
          <w:rFonts w:hint="eastAsia"/>
        </w:rPr>
      </w:r>
      <w:r/>
    </w:p>
    <w:p>
      <w:pPr>
        <w:pStyle w:val="871"/>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71"/>
        <w:ind w:firstLine="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项目名称：智慧南京中心运行保障服务</w:t>
      </w:r>
      <w:r>
        <w:rPr>
          <w:rFonts w:eastAsia="宋体" w:cs="Times New Roman"/>
          <w:b/>
          <w:color w:val="000000"/>
          <w:sz w:val="30"/>
          <w:szCs w:val="30"/>
          <w:u w:val="single"/>
          <w:lang w:val="en-US" w:eastAsia="zh-CN"/>
        </w:rPr>
      </w:r>
      <w:r/>
    </w:p>
    <w:p>
      <w:pPr>
        <w:pStyle w:val="871"/>
        <w:ind w:firstLine="1506"/>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JSZC-320100-JZCG-G2024-0184</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71"/>
        <w:jc w:val="center"/>
        <w:rPr>
          <w:rFonts w:hint="eastAsia" w:ascii="Times New Roman" w:hAnsi="Times New Roman" w:eastAsia="宋体" w:cs="Times New Roman"/>
          <w:b/>
          <w:bCs w:val="0"/>
          <w:color w:val="000000"/>
          <w:sz w:val="30"/>
          <w:szCs w:val="30"/>
          <w:lang w:eastAsia="zh-CN"/>
        </w:rPr>
      </w:pPr>
      <w:r>
        <w:rPr>
          <w:rFonts w:hint="eastAsia" w:ascii="Times New Roman" w:hAnsi="Times New Roman" w:eastAsia="宋体" w:cs="Times New Roman"/>
          <w:b/>
          <w:bCs w:val="0"/>
          <w:color w:val="000000"/>
          <w:sz w:val="30"/>
          <w:szCs w:val="30"/>
          <w:lang w:eastAsia="zh-CN"/>
        </w:rPr>
        <w:t xml:space="preserve">（服务类项目，专门面向中小企业）</w:t>
      </w:r>
      <w:r>
        <w:rPr>
          <w:rFonts w:hint="eastAsia" w:ascii="Times New Roman" w:hAnsi="Times New Roman" w:eastAsia="宋体" w:cs="Times New Roman"/>
          <w:b/>
          <w:bCs w:val="0"/>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961"/>
        <w:ind w:firstLine="0"/>
        <w:jc w:val="center"/>
        <w:rPr>
          <w:rFonts w:hint="eastAsia" w:ascii="Times New Roman" w:hAnsi="Times New Roman" w:eastAsia="宋体" w:cs="Times New Roman"/>
          <w:b/>
          <w:bCs/>
          <w:sz w:val="32"/>
          <w:u w:val="none"/>
          <w:lang w:val="en-US" w:eastAsia="zh-CN"/>
        </w:rPr>
      </w:pPr>
      <w:r>
        <w:rPr>
          <w:rFonts w:hint="eastAsia" w:ascii="Times New Roman" w:hAnsi="Times New Roman" w:eastAsia="宋体" w:cs="Times New Roman"/>
          <w:b/>
          <w:bCs/>
          <w:sz w:val="32"/>
          <w:u w:val="none"/>
          <w:lang w:val="en-US" w:eastAsia="zh-CN"/>
        </w:rPr>
        <w:t xml:space="preserve">2024</w:t>
      </w:r>
      <w:r>
        <w:rPr>
          <w:rFonts w:hint="eastAsia" w:ascii="Times New Roman" w:hAnsi="Times New Roman" w:eastAsia="宋体" w:cs="Times New Roman"/>
          <w:b/>
          <w:bCs/>
          <w:sz w:val="32"/>
          <w:u w:val="none"/>
          <w:lang w:eastAsia="zh-CN"/>
        </w:rPr>
        <w:t xml:space="preserve">年</w:t>
      </w:r>
      <w:r>
        <w:rPr>
          <w:rFonts w:hint="eastAsia" w:ascii="Times New Roman" w:hAnsi="Times New Roman" w:eastAsia="宋体" w:cs="Times New Roman"/>
          <w:b/>
          <w:bCs/>
          <w:sz w:val="32"/>
          <w:u w:val="none"/>
          <w:lang w:val="en-US" w:eastAsia="zh-CN"/>
        </w:rPr>
        <w:t xml:space="preserve">06</w:t>
      </w:r>
      <w:r>
        <w:rPr>
          <w:rFonts w:hint="eastAsia" w:ascii="Arial" w:hAnsi="Arial" w:eastAsia="宋体" w:cs="Times New Roman"/>
          <w:b/>
          <w:bCs/>
          <w:sz w:val="32"/>
          <w:lang w:eastAsia="zh-CN"/>
        </w:rPr>
        <w:t xml:space="preserve">月</w:t>
      </w:r>
      <w:r>
        <w:rPr>
          <w:rFonts w:hint="eastAsia" w:ascii="Times New Roman" w:hAnsi="Times New Roman" w:eastAsia="宋体" w:cs="Times New Roman"/>
          <w:b/>
          <w:bCs/>
          <w:sz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5"/>
        <w:rPr>
          <w:rFonts w:hint="eastAsia"/>
          <w:lang w:eastAsia="zh-CN"/>
        </w:rPr>
      </w:pPr>
      <w:r>
        <w:rPr>
          <w:rFonts w:hint="eastAsia"/>
          <w:lang w:eastAsia="zh-CN"/>
        </w:rPr>
      </w:r>
      <w:r/>
    </w:p>
    <w:p>
      <w:pPr>
        <w:pStyle w:val="907"/>
        <w:rPr>
          <w:rFonts w:hint="eastAsia"/>
          <w:lang w:eastAsia="zh-CN"/>
        </w:rPr>
      </w:pPr>
      <w:r>
        <w:rPr>
          <w:rFonts w:hint="eastAsia"/>
          <w:lang w:eastAsia="zh-CN"/>
        </w:rPr>
      </w:r>
      <w:r/>
    </w:p>
    <w:p>
      <w:pPr>
        <w:pStyle w:val="907"/>
        <w:rPr>
          <w:rFonts w:hint="eastAsia"/>
          <w:lang w:eastAsia="zh-CN"/>
        </w:rPr>
      </w:pPr>
      <w:r>
        <w:rPr>
          <w:rFonts w:hint="eastAsia"/>
          <w:lang w:eastAsia="zh-CN"/>
        </w:rPr>
      </w:r>
      <w:r>
        <w:rPr>
          <w:rFonts w:hint="eastAsia"/>
          <w:lang w:eastAsia="zh-CN"/>
        </w:rPr>
      </w:r>
      <w:r/>
    </w:p>
    <w:p>
      <w:pPr>
        <w:pStyle w:val="907"/>
        <w:rPr>
          <w:rFonts w:hint="eastAsia"/>
          <w:lang w:eastAsia="zh-CN"/>
        </w:rPr>
      </w:pPr>
      <w:r>
        <w:rPr>
          <w:rFonts w:hint="eastAsia"/>
          <w:lang w:eastAsia="zh-CN"/>
        </w:rPr>
      </w:r>
      <w:r>
        <w:rPr>
          <w:rFonts w:hint="eastAsia"/>
          <w:lang w:eastAsia="zh-CN"/>
        </w:rPr>
      </w:r>
      <w:r/>
    </w:p>
    <w:p>
      <w:pPr>
        <w:pStyle w:val="907"/>
        <w:rPr>
          <w:rFonts w:hint="eastAsia"/>
          <w:lang w:eastAsia="zh-CN"/>
        </w:rPr>
      </w:pPr>
      <w:r>
        <w:rPr>
          <w:rFonts w:hint="eastAsia"/>
          <w:lang w:eastAsia="zh-CN"/>
        </w:rPr>
      </w:r>
      <w:r>
        <w:rPr>
          <w:rFonts w:hint="eastAsia"/>
          <w:lang w:eastAsia="zh-CN"/>
        </w:rPr>
      </w:r>
      <w:r/>
    </w:p>
    <w:p>
      <w:pPr>
        <w:pStyle w:val="907"/>
        <w:rPr>
          <w:rFonts w:hint="eastAsia"/>
          <w:lang w:eastAsia="zh-CN"/>
        </w:rPr>
      </w:pPr>
      <w:r>
        <w:rPr>
          <w:rFonts w:hint="eastAsia"/>
          <w:lang w:eastAsia="zh-CN"/>
        </w:rPr>
      </w:r>
      <w:r>
        <w:rPr>
          <w:rFonts w:hint="eastAsia"/>
          <w:lang w:eastAsia="zh-CN"/>
        </w:rPr>
      </w:r>
      <w:r/>
    </w:p>
    <w:p>
      <w:pPr>
        <w:pStyle w:val="907"/>
        <w:rPr>
          <w:rFonts w:hint="eastAsia"/>
          <w:lang w:eastAsia="zh-CN"/>
        </w:rPr>
      </w:pPr>
      <w:r>
        <w:rPr>
          <w:rFonts w:hint="eastAsia"/>
          <w:lang w:eastAsia="zh-CN"/>
        </w:rPr>
      </w:r>
      <w:r/>
    </w:p>
    <w:p>
      <w:pPr>
        <w:pStyle w:val="871"/>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1"/>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71"/>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t xml:space="preserve"> </w:t>
      </w:r>
      <w:r>
        <w:rPr>
          <w:rFonts w:hint="eastAsia" w:ascii="黑体" w:hAnsi="宋体" w:eastAsia="黑体" w:cs="Times New Roman"/>
          <w:color w:val="000000"/>
          <w:sz w:val="36"/>
          <w:szCs w:val="21"/>
        </w:rPr>
      </w:r>
      <w:r/>
    </w:p>
    <w:p>
      <w:pPr>
        <w:pStyle w:val="871"/>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71"/>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71"/>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22</w:t>
      </w:r>
      <w:r>
        <w:rPr>
          <w:rFonts w:hint="eastAsia" w:ascii="黑体" w:hAnsi="宋体" w:eastAsia="黑体" w:cs="Times New Roman"/>
          <w:color w:val="000000"/>
          <w:sz w:val="36"/>
          <w:szCs w:val="21"/>
        </w:rPr>
      </w:r>
      <w:r/>
    </w:p>
    <w:p>
      <w:pPr>
        <w:pStyle w:val="871"/>
        <w:numPr>
          <w:ilvl w:val="0"/>
          <w:numId w:val="4"/>
        </w:numPr>
        <w:spacing w:line="480" w:lineRule="auto"/>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25</w:t>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rPr>
          <w:rFonts w:hint="eastAsia"/>
          <w:color w:val="000000"/>
        </w:rPr>
      </w:pPr>
      <w:r>
        <w:rPr>
          <w:rFonts w:hint="eastAsia"/>
          <w:color w:val="000000"/>
        </w:rPr>
      </w:r>
      <w:r/>
    </w:p>
    <w:p>
      <w:pPr>
        <w:pStyle w:val="871"/>
        <w:jc w:val="center"/>
        <w:rPr>
          <w:rFonts w:hint="eastAsia" w:ascii="方正小标宋简体" w:hAnsi="方正小标宋简体" w:eastAsia="方正小标宋简体" w:cs="方正小标宋简体"/>
          <w:color w:val="000000"/>
          <w:sz w:val="36"/>
          <w:szCs w:val="36"/>
          <w:lang w:val="en-US"/>
        </w:rPr>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40" w:lineRule="auto"/>
        <w:widowControl w:val="off"/>
        <w:rPr>
          <w:rFonts w:hint="eastAsia" w:ascii="宋体" w:hAnsi="宋体"/>
          <w:sz w:val="24"/>
          <w:szCs w:val="24"/>
        </w:rPr>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ascii="宋体" w:hAnsi="宋体"/>
          <w:sz w:val="24"/>
          <w:szCs w:val="24"/>
        </w:rPr>
      </w:r>
      <w:r/>
    </w:p>
    <w:p>
      <w:pPr>
        <w:pStyle w:val="871"/>
        <w:ind w:firstLine="48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受南京市城市数字治理中心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采购</w:t>
      </w:r>
      <w:r>
        <w:rPr>
          <w:rFonts w:hint="eastAsia" w:ascii="宋体" w:hAnsi="宋体" w:eastAsia="宋体" w:cs="Times New Roman"/>
          <w:sz w:val="24"/>
          <w:szCs w:val="24"/>
        </w:rPr>
        <w:t xml:space="preserve">单位</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委托，</w:t>
      </w:r>
      <w:r>
        <w:rPr>
          <w:rFonts w:hint="eastAsia" w:ascii="宋体" w:hAnsi="宋体" w:eastAsia="宋体" w:cs="Times New Roman"/>
          <w:sz w:val="24"/>
          <w:szCs w:val="24"/>
          <w:lang w:eastAsia="zh-CN"/>
        </w:rPr>
        <w:t xml:space="preserve">南京市公共资源交易中心（</w:t>
      </w:r>
      <w:r>
        <w:rPr>
          <w:rFonts w:hint="eastAsia" w:ascii="宋体" w:hAnsi="宋体" w:eastAsia="宋体" w:cs="Times New Roman"/>
          <w:sz w:val="24"/>
          <w:szCs w:val="24"/>
          <w:lang w:val="en-US" w:eastAsia="zh-CN"/>
        </w:rPr>
        <w:t xml:space="preserve">以下简称“交易中心”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就</w:t>
      </w:r>
      <w:r>
        <w:rPr>
          <w:rFonts w:hint="eastAsia" w:ascii="宋体" w:hAnsi="宋体" w:eastAsia="宋体" w:cs="Times New Roman"/>
          <w:sz w:val="24"/>
          <w:szCs w:val="24"/>
          <w:lang w:eastAsia="zh-CN"/>
        </w:rPr>
        <w:t xml:space="preserve">智慧南京中心运行保障服务</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项目名称</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进行公开招标采购，欢迎符合条件的供应商投标。</w:t>
      </w:r>
      <w:r>
        <w:rPr>
          <w:rFonts w:hint="eastAsia" w:ascii="宋体" w:hAnsi="宋体" w:eastAsia="宋体" w:cs="Times New Roman"/>
          <w:sz w:val="24"/>
          <w:szCs w:val="24"/>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Times New Roman"/>
          <w:sz w:val="24"/>
          <w:szCs w:val="24"/>
        </w:rPr>
      </w:pPr>
      <w:r/>
      <w:bookmarkEnd w:id="11"/>
      <w:r>
        <w:rPr>
          <w:rFonts w:hint="eastAsia" w:ascii="宋体" w:hAnsi="宋体" w:eastAsia="宋体" w:cs="Times New Roman"/>
          <w:sz w:val="24"/>
          <w:szCs w:val="24"/>
        </w:rPr>
        <w:t xml:space="preserve">1.项目编号：</w:t>
      </w:r>
      <w:r>
        <w:rPr>
          <w:rFonts w:hint="eastAsia" w:ascii="宋体" w:hAnsi="宋体" w:eastAsia="宋体" w:cs="Times New Roman"/>
          <w:sz w:val="24"/>
          <w:szCs w:val="24"/>
          <w:lang w:eastAsia="zh-CN"/>
        </w:rPr>
        <w:t xml:space="preserve">JSZC-320100-JZCG-G2024-0184</w:t>
      </w:r>
      <w:r>
        <w:rPr>
          <w:rFonts w:hint="eastAsia" w:ascii="宋体" w:hAnsi="宋体" w:eastAsia="宋体" w:cs="Times New Roman"/>
          <w:sz w:val="24"/>
          <w:szCs w:val="24"/>
        </w:rPr>
      </w:r>
      <w:r/>
    </w:p>
    <w:p>
      <w:pPr>
        <w:pStyle w:val="871"/>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eastAsia="宋体" w:cs="Times New Roman"/>
          <w:sz w:val="24"/>
          <w:szCs w:val="24"/>
          <w:lang w:eastAsia="zh-CN"/>
        </w:rPr>
        <w:t xml:space="preserve">智慧南京中心运行保障服务</w:t>
      </w:r>
      <w:r>
        <w:rPr>
          <w:rFonts w:hint="eastAsia" w:ascii="宋体" w:hAnsi="宋体" w:eastAsia="宋体" w:cs="Times New Roman"/>
          <w:sz w:val="24"/>
          <w:szCs w:val="24"/>
          <w:lang w:eastAsia="zh-CN"/>
        </w:rPr>
      </w:r>
      <w:r/>
    </w:p>
    <w:p>
      <w:pPr>
        <w:pStyle w:val="871"/>
        <w:ind w:firstLine="480"/>
        <w:pageBreakBefore w:val="0"/>
        <w:spacing w:line="264"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rPr>
        <w:t xml:space="preserve">3.预算金额：</w:t>
      </w:r>
      <w:r>
        <w:rPr>
          <w:rFonts w:hint="eastAsia" w:ascii="宋体" w:hAnsi="宋体" w:eastAsia="宋体" w:cs="Times New Roman"/>
          <w:sz w:val="24"/>
          <w:szCs w:val="24"/>
          <w:lang w:val="en-US" w:eastAsia="zh-CN"/>
        </w:rPr>
        <w:t xml:space="preserve">三年共540万元（每年180万）</w:t>
      </w:r>
      <w:r>
        <w:rPr>
          <w:rFonts w:ascii="宋体" w:hAnsi="宋体" w:eastAsia="宋体" w:cs="Times New Roman"/>
          <w:sz w:val="24"/>
          <w:szCs w:val="24"/>
          <w:lang w:val="en-US" w:eastAsia="zh-CN"/>
        </w:rPr>
      </w:r>
      <w:r/>
    </w:p>
    <w:p>
      <w:pPr>
        <w:pStyle w:val="871"/>
        <w:ind w:firstLine="48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最高限价：</w:t>
      </w:r>
      <w:r>
        <w:rPr>
          <w:rFonts w:hint="eastAsia" w:ascii="宋体" w:hAnsi="宋体" w:eastAsia="宋体" w:cs="Times New Roman"/>
          <w:sz w:val="24"/>
          <w:szCs w:val="24"/>
        </w:rPr>
        <w:t xml:space="preserve">本项目不设最高限价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r>
      <w:r/>
    </w:p>
    <w:p>
      <w:pPr>
        <w:pStyle w:val="871"/>
        <w:ind w:firstLine="480"/>
        <w:pageBreakBefore w:val="0"/>
        <w:spacing w:line="264" w:lineRule="auto"/>
        <w:widowControl w:val="off"/>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通过智慧南京中心运行保障服务</w:t>
      </w:r>
      <w:r>
        <w:rPr>
          <w:rFonts w:hint="eastAsia"/>
          <w:bCs/>
          <w:color w:val="000000"/>
          <w:sz w:val="24"/>
        </w:rPr>
        <w:t xml:space="preserve">实现智慧南京中心场所、人员的常态化管理，杜绝可能存在的人员安全、场所安全风险。实现智慧南京中心所运行设备、软件平台的常态化管理，对出现的软硬件故障能够及时进行处理或协调，保证智慧南京中心运行环境的长期稳定运行。同时智慧南京中心作为城市运行状态监测、分析和预警，重大突发事件应急联动处置的重要场所，基于该场所每年都将开展大量的现场活动，为保证现场活动的顺利开展，实现场所接待的综合保障</w:t>
      </w:r>
      <w:r>
        <w:rPr>
          <w:rFonts w:hint="eastAsia"/>
          <w:bCs/>
          <w:color w:val="000000"/>
          <w:sz w:val="24"/>
          <w:lang w:eastAsia="zh-CN"/>
        </w:rPr>
        <w:t xml:space="preserve">服务</w:t>
      </w:r>
      <w:r>
        <w:rPr>
          <w:rFonts w:hint="eastAsia"/>
          <w:bCs/>
          <w:color w:val="000000"/>
          <w:sz w:val="24"/>
        </w:rPr>
        <w:t xml:space="preserve">。</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71"/>
        <w:ind w:firstLine="480"/>
        <w:pageBreakBefore w:val="0"/>
        <w:spacing w:line="264" w:lineRule="auto"/>
        <w:widowControl w:val="off"/>
        <w:rPr>
          <w:rFonts w:hint="eastAsia" w:ascii="宋体" w:hAnsi="宋体" w:cs="宋体"/>
          <w:sz w:val="24"/>
          <w:szCs w:val="24"/>
          <w:highlight w:val="yellow"/>
          <w:lang w:eastAsia="zh-CN"/>
        </w:rPr>
      </w:pPr>
      <w:r>
        <w:rPr>
          <w:rFonts w:hint="eastAsia" w:ascii="宋体" w:hAnsi="宋体" w:eastAsia="宋体" w:cs="Times New Roman"/>
          <w:color w:val="000000"/>
          <w:sz w:val="24"/>
          <w:szCs w:val="24"/>
        </w:rPr>
        <w:t xml:space="preserve">6.合同履行期</w:t>
      </w:r>
      <w:r>
        <w:rPr>
          <w:rFonts w:hint="eastAsia" w:ascii="Times New Roman" w:hAnsi="Times New Roman" w:eastAsia="宋体" w:cs="Times New Roman"/>
          <w:bCs/>
          <w:color w:val="000000"/>
          <w:sz w:val="24"/>
        </w:rPr>
        <w:t xml:space="preserve">限</w:t>
      </w:r>
      <w:r>
        <w:rPr>
          <w:rFonts w:hint="eastAsia" w:ascii="宋体" w:hAnsi="宋体" w:eastAsia="宋体" w:cs="Times New Roman"/>
          <w:sz w:val="24"/>
          <w:szCs w:val="24"/>
          <w:lang w:val="en-US" w:eastAsia="zh-CN"/>
        </w:rPr>
        <w:t xml:space="preserve">：1095天</w:t>
      </w:r>
      <w:r>
        <w:rPr>
          <w:rFonts w:hint="eastAsia" w:ascii="宋体" w:hAnsi="宋体" w:cs="宋体"/>
          <w:sz w:val="24"/>
          <w:szCs w:val="24"/>
          <w:highlight w:val="yellow"/>
          <w:lang w:eastAsia="zh-CN"/>
        </w:rPr>
      </w:r>
      <w:r/>
    </w:p>
    <w:p>
      <w:pPr>
        <w:pStyle w:val="871"/>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7.本项目不接受联合体投标。</w:t>
      </w:r>
      <w:r>
        <w:rPr>
          <w:rFonts w:hint="eastAsia" w:ascii="宋体" w:hAnsi="宋体" w:eastAsia="宋体" w:cs="宋体"/>
          <w:sz w:val="24"/>
          <w:szCs w:val="24"/>
          <w:highlight w:val="none"/>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28359080"/>
      <w:r/>
      <w:bookmarkStart w:id="14" w:name="_Toc28359003"/>
      <w:r/>
      <w:bookmarkStart w:id="15" w:name="_Toc35393791"/>
      <w:r/>
      <w:bookmarkStart w:id="16" w:name="_Toc35393622"/>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Times New Roman"/>
          <w:color w:val="000000"/>
          <w:sz w:val="24"/>
          <w:szCs w:val="24"/>
        </w:rPr>
      </w:pPr>
      <w:r/>
      <w:bookmarkStart w:id="17" w:name="_Toc28359081"/>
      <w:r/>
      <w:bookmarkStart w:id="18" w:name="_Toc38985265"/>
      <w:r/>
      <w:bookmarkStart w:id="19" w:name="_Toc28359004"/>
      <w:r/>
      <w:bookmarkStart w:id="20" w:name="_Toc35393792"/>
      <w:r/>
      <w:bookmarkStart w:id="21" w:name="_Toc35393623"/>
      <w:r>
        <w:rPr>
          <w:rFonts w:hint="eastAsia" w:ascii="宋体" w:hAnsi="宋体" w:eastAsia="宋体" w:cs="Times New Roman"/>
          <w:color w:val="000000"/>
          <w:sz w:val="24"/>
          <w:szCs w:val="24"/>
        </w:rPr>
        <w:t xml:space="preserve">（一）通用资格要求</w:t>
      </w:r>
      <w:r>
        <w:rPr>
          <w:rFonts w:hint="eastAsia" w:ascii="宋体" w:hAnsi="宋体" w:eastAsia="宋体" w:cs="Times New Roman"/>
          <w:color w:val="000000"/>
          <w:sz w:val="24"/>
          <w:szCs w:val="24"/>
        </w:rPr>
      </w:r>
      <w:r/>
    </w:p>
    <w:p>
      <w:pPr>
        <w:pStyle w:val="871"/>
        <w:ind w:firstLine="480"/>
        <w:pageBreakBefore w:val="0"/>
        <w:spacing w:line="264"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1.满足《中华人民共和国政府采购法》第二十二条规定，并提供下列材料：</w:t>
      </w:r>
      <w:r>
        <w:rPr>
          <w:rFonts w:hint="eastAsia" w:ascii="宋体" w:hAnsi="宋体" w:eastAsia="宋体" w:cs="Times New Roman"/>
          <w:color w:val="000000"/>
          <w:sz w:val="24"/>
          <w:szCs w:val="24"/>
          <w:lang w:val="zh-CN"/>
        </w:rPr>
      </w:r>
      <w:r/>
    </w:p>
    <w:p>
      <w:pPr>
        <w:pStyle w:val="871"/>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1.1</w:t>
      </w:r>
      <w:r>
        <w:rPr>
          <w:rFonts w:hint="eastAsia" w:ascii="宋体" w:hAnsi="宋体" w:eastAsia="宋体" w:cs="Times New Roman"/>
          <w:color w:val="000000"/>
          <w:sz w:val="24"/>
          <w:szCs w:val="24"/>
          <w:lang w:val="zh-CN"/>
        </w:rPr>
        <w:t xml:space="preserve">供应商信用承诺函（</w:t>
      </w:r>
      <w:r>
        <w:rPr>
          <w:rFonts w:hint="eastAsia" w:ascii="宋体" w:hAnsi="宋体" w:eastAsia="宋体" w:cs="Times New Roman"/>
          <w:color w:val="000000"/>
          <w:sz w:val="24"/>
          <w:szCs w:val="24"/>
          <w:lang w:val="zh-CN" w:eastAsia="zh-CN"/>
        </w:rPr>
        <w:t xml:space="preserve">格式见第六章</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本项目专门面向中小微企业采购，供应商应为中小微企业、监狱企业、残疾人福利性单位。（声明函格式见第六章）</w:t>
      </w:r>
      <w:r>
        <w:rPr>
          <w:rFonts w:hint="eastAsia" w:ascii="宋体" w:hAnsi="宋体" w:eastAsia="宋体" w:cs="Times New Roman"/>
          <w:color w:val="000000"/>
          <w:sz w:val="24"/>
          <w:szCs w:val="24"/>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软件和信息技术服务业。</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工信部联企业〔2011〕300号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00人以下或营业收入</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000万元以下的为中小微型企业。其中，从业人员</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00人及以上，且营业收入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人及以上，且营业收入</w:t>
      </w:r>
      <w:r>
        <w:rPr>
          <w:rFonts w:hint="eastAsia" w:ascii="宋体" w:hAnsi="宋体" w:eastAsia="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万元及以上的为小型企业；从业人员</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rPr>
        <w:t xml:space="preserve">人以下或营业收入</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color w:val="000000"/>
          <w:sz w:val="24"/>
          <w:szCs w:val="24"/>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（二）本项目的特定资格要求</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无</w:t>
      </w:r>
      <w:r>
        <w:rPr>
          <w:rFonts w:hint="eastAsia" w:ascii="宋体" w:hAnsi="宋体" w:eastAsia="宋体" w:cs="Times New Roman"/>
          <w:color w:val="000000"/>
          <w:sz w:val="24"/>
          <w:szCs w:val="24"/>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1"/>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firstLine="480"/>
        <w:pageBreakBefore w:val="0"/>
        <w:spacing w:line="264" w:lineRule="auto"/>
        <w:widowControl w:val="off"/>
        <w:rPr>
          <w:rFonts w:hint="eastAsia" w:ascii="宋体" w:hAnsi="宋体" w:eastAsia="宋体"/>
          <w:bCs/>
          <w:sz w:val="24"/>
          <w:szCs w:val="24"/>
          <w:u w:val="single"/>
          <w:lang w:val="en-US" w:eastAsia="zh-CN"/>
        </w:rPr>
      </w:pPr>
      <w:r/>
      <w:bookmarkStart w:id="27" w:name="_Toc35393625"/>
      <w:r/>
      <w:bookmarkStart w:id="28" w:name="_Toc28359007"/>
      <w:r/>
      <w:bookmarkStart w:id="29" w:name="_Toc28359084"/>
      <w:r/>
      <w:bookmarkStart w:id="30" w:name="_Toc3539379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Times New Roman" w:hAnsi="Times New Roman" w:eastAsia="宋体" w:cs="Times New Roman"/>
          <w:color w:val="000000" w:themeColor="text1"/>
          <w:sz w:val="24"/>
          <w:szCs w:val="24"/>
          <w:u w:val="none"/>
          <w:lang w:val="en-US" w:eastAsia="zh-CN"/>
        </w:rPr>
        <w:t xml:space="preserve">20</w:t>
      </w:r>
      <w:r>
        <w:rPr>
          <w:rFonts w:hint="eastAsia" w:ascii="Times New Roman" w:hAnsi="Times New Roman" w:eastAsia="宋体" w:cs="Times New Roman"/>
          <w:color w:val="000000" w:themeColor="text1"/>
          <w:sz w:val="24"/>
          <w:szCs w:val="24"/>
          <w:u w:val="none"/>
          <w:lang w:val="en-US" w:eastAsia="zh-CN"/>
        </w:rPr>
        <w:t xml:space="preserve">24</w:t>
      </w:r>
      <w:r>
        <w:rPr>
          <w:rFonts w:hint="eastAsia" w:ascii="Times New Roman" w:hAnsi="Times New Roman" w:eastAsia="宋体" w:cs="Times New Roman"/>
          <w:color w:val="000000" w:themeColor="text1"/>
          <w:sz w:val="24"/>
          <w:szCs w:val="24"/>
          <w:u w:val="none"/>
          <w:lang w:val="en-US" w:eastAsia="zh-CN"/>
        </w:rPr>
        <w:t xml:space="preserve">年07</w:t>
      </w:r>
      <w:r>
        <w:rPr>
          <w:rFonts w:hint="eastAsia" w:ascii="Times New Roman" w:hAnsi="Times New Roman" w:eastAsia="宋体" w:cs="Times New Roman"/>
          <w:color w:val="000000" w:themeColor="text1"/>
          <w:sz w:val="24"/>
          <w:szCs w:val="24"/>
          <w:u w:val="none"/>
          <w:lang w:val="en-US" w:eastAsia="zh-CN"/>
        </w:rPr>
        <w:t xml:space="preserve">月</w:t>
      </w:r>
      <w:r>
        <w:rPr>
          <w:rFonts w:hint="eastAsia" w:ascii="Times New Roman" w:hAnsi="Times New Roman" w:eastAsia="宋体" w:cs="Times New Roman"/>
          <w:color w:val="000000" w:themeColor="text1"/>
          <w:sz w:val="24"/>
          <w:szCs w:val="24"/>
          <w:u w:val="none"/>
          <w:lang w:val="en-US" w:eastAsia="zh-CN"/>
        </w:rPr>
        <w:t xml:space="preserve">08</w:t>
      </w:r>
      <w:r>
        <w:rPr>
          <w:rFonts w:hint="eastAsia" w:ascii="Times New Roman" w:hAnsi="Times New Roman" w:eastAsia="宋体" w:cs="Times New Roman"/>
          <w:color w:val="000000" w:themeColor="text1"/>
          <w:sz w:val="24"/>
          <w:szCs w:val="24"/>
          <w:u w:val="none"/>
          <w:lang w:val="en-US" w:eastAsia="zh-CN"/>
        </w:rPr>
        <w:t xml:space="preserve">日</w:t>
      </w:r>
      <w:r>
        <w:rPr>
          <w:rFonts w:hint="eastAsia" w:ascii="Times New Roman" w:hAnsi="Times New Roman" w:eastAsia="宋体" w:cs="Times New Roman"/>
          <w:color w:val="000000" w:themeColor="text1"/>
          <w:sz w:val="24"/>
          <w:szCs w:val="24"/>
          <w:u w:val="none"/>
          <w:lang w:val="en-US" w:eastAsia="zh-CN"/>
        </w:rPr>
        <w:t xml:space="preserve">09</w:t>
      </w:r>
      <w:r>
        <w:rPr>
          <w:rFonts w:hint="eastAsia" w:ascii="Times New Roman" w:hAnsi="Times New Roman" w:eastAsia="宋体" w:cs="Times New Roman"/>
          <w:color w:val="000000" w:themeColor="text1"/>
          <w:sz w:val="24"/>
          <w:szCs w:val="24"/>
          <w:u w:val="none"/>
          <w:lang w:val="en-US" w:eastAsia="zh-CN"/>
        </w:rPr>
        <w:t xml:space="preserve">时30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71"/>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宋体"/>
          <w:sz w:val="24"/>
          <w:szCs w:val="24"/>
          <w:highlight w:val="none"/>
          <w:lang w:eastAsia="zh-CN"/>
        </w:rPr>
      </w:pPr>
      <w:r/>
      <w:bookmarkStart w:id="35" w:name="_Toc35393627"/>
      <w:r/>
      <w:bookmarkStart w:id="36" w:name="_Toc38985269"/>
      <w:r/>
      <w:bookmarkStart w:id="37" w:name="_Toc28359085"/>
      <w:r/>
      <w:bookmarkStart w:id="38" w:name="_Toc28359008"/>
      <w:r/>
      <w:bookmarkStart w:id="39" w:name="_Toc35393796"/>
      <w:r>
        <w:rPr>
          <w:rFonts w:hint="eastAsia" w:ascii="宋体" w:hAnsi="宋体" w:eastAsia="宋体" w:cs="宋体"/>
          <w:sz w:val="24"/>
          <w:szCs w:val="24"/>
          <w:highlight w:val="none"/>
          <w:lang w:eastAsia="zh-CN"/>
        </w:rPr>
        <w:t xml:space="preserve">1.本次招标不收取投标保证金。</w:t>
      </w:r>
      <w:r>
        <w:rPr>
          <w:rFonts w:hint="eastAsia" w:ascii="宋体" w:hAnsi="宋体" w:eastAsia="宋体" w:cs="宋体"/>
          <w:sz w:val="24"/>
          <w:szCs w:val="24"/>
          <w:highlight w:val="none"/>
          <w:lang w:eastAsia="zh-CN"/>
        </w:rPr>
      </w:r>
      <w:r/>
    </w:p>
    <w:p>
      <w:pPr>
        <w:pStyle w:val="871"/>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本项目不组织集中</w:t>
      </w:r>
      <w:r>
        <w:rPr>
          <w:rFonts w:hint="eastAsia" w:ascii="宋体" w:hAnsi="宋体" w:eastAsia="宋体" w:cs="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，供应商如对采购需求有疑问，请咨询采购单位联系人。 </w:t>
      </w:r>
      <w:r>
        <w:rPr>
          <w:rFonts w:hint="eastAsia" w:ascii="宋体" w:hAnsi="宋体" w:eastAsia="宋体" w:cs="宋体"/>
          <w:sz w:val="24"/>
          <w:szCs w:val="24"/>
          <w:highlight w:val="none"/>
          <w:lang w:eastAsia="zh-CN"/>
        </w:rPr>
      </w:r>
      <w:r/>
    </w:p>
    <w:p>
      <w:pPr>
        <w:pStyle w:val="871"/>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71"/>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称：南京市城市数字治理中心        </w:t>
      </w:r>
      <w:r>
        <w:rPr>
          <w:rFonts w:hint="eastAsia" w:ascii="宋体" w:hAnsi="宋体" w:eastAsia="宋体" w:cs="Times New Roman"/>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址：南京市建邺区江东中路265号新城大厦D座4-6层   </w:t>
      </w:r>
      <w:r>
        <w:rPr>
          <w:rFonts w:hint="eastAsia" w:ascii="宋体" w:hAnsi="宋体" w:eastAsia="宋体" w:cs="Times New Roman"/>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联系人：沈先生 </w:t>
      </w:r>
      <w:r>
        <w:rPr>
          <w:rFonts w:hint="eastAsia" w:ascii="宋体" w:hAnsi="宋体" w:eastAsia="宋体" w:cs="Times New Roman"/>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联系电话：025-68789526 </w:t>
      </w:r>
      <w:bookmarkStart w:id="40" w:name="_Toc28359009"/>
      <w:r/>
      <w:bookmarkStart w:id="41" w:name="_Toc28359086"/>
      <w:r>
        <w:rPr>
          <w:rFonts w:hint="eastAsia" w:ascii="宋体" w:hAnsi="宋体" w:eastAsia="宋体" w:cs="Times New Roman"/>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联系人：陈先生</w:t>
      </w:r>
      <w:r>
        <w:rPr>
          <w:rFonts w:hint="eastAsia" w:ascii="宋体" w:hAnsi="宋体" w:eastAsia="宋体" w:cs="Times New Roman"/>
          <w:sz w:val="24"/>
          <w:szCs w:val="24"/>
          <w:u w:val="none"/>
          <w:lang w:val="en-US" w:eastAsia="zh-CN"/>
        </w:rPr>
      </w:r>
      <w:r/>
    </w:p>
    <w:p>
      <w:pPr>
        <w:pStyle w:val="871"/>
        <w:ind w:firstLine="480"/>
        <w:pageBreakBefore w:val="0"/>
        <w:spacing w:line="264" w:lineRule="auto"/>
        <w:widowControl w:val="off"/>
        <w:rPr>
          <w:rFonts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联系电话：025-68505915</w:t>
      </w:r>
      <w:r>
        <w:rPr>
          <w:rFonts w:ascii="宋体" w:hAnsi="宋体" w:eastAsia="宋体" w:cs="Times New Roman"/>
          <w:sz w:val="24"/>
          <w:szCs w:val="24"/>
          <w:u w:val="none"/>
          <w:lang w:val="en-US" w:eastAsia="zh-CN"/>
        </w:rPr>
      </w:r>
      <w:r/>
    </w:p>
    <w:p>
      <w:pPr>
        <w:pStyle w:val="871"/>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871"/>
        <w:jc w:val="both"/>
        <w:pageBreakBefore w:val="0"/>
        <w:spacing w:line="240" w:lineRule="auto"/>
        <w:widowControl w:val="off"/>
        <w:tabs>
          <w:tab w:val="left" w:pos="900" w:leader="none"/>
        </w:tabs>
        <w:rPr>
          <w:rFonts w:ascii="宋体" w:hAnsi="宋体"/>
          <w:sz w:val="24"/>
          <w:szCs w:val="24"/>
        </w:rPr>
      </w:pPr>
      <w:r>
        <w:rPr>
          <w:rFonts w:ascii="宋体" w:hAnsi="宋体"/>
          <w:sz w:val="24"/>
          <w:szCs w:val="24"/>
        </w:rPr>
      </w:r>
      <w:r/>
    </w:p>
    <w:p>
      <w:pPr>
        <w:pStyle w:val="88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End w:id="1"/>
      <w:r/>
      <w:bookmarkEnd w:id="2"/>
      <w:r/>
      <w:bookmarkEnd w:id="3"/>
      <w:r/>
      <w:bookmarkEnd w:id="4"/>
      <w:r/>
      <w:bookmarkEnd w:id="5"/>
      <w:r/>
      <w:bookmarkStart w:id="42" w:name="_Toc479757211"/>
      <w:r/>
      <w:bookmarkStart w:id="43" w:name="_Toc462564139"/>
      <w:r/>
      <w:bookmarkStart w:id="44" w:name="_Hlt16619350"/>
      <w:r/>
      <w:bookmarkStart w:id="45" w:name="_Toc20823346"/>
      <w:r/>
      <w:bookmarkStart w:id="46" w:name="_Toc16938590"/>
      <w:r/>
      <w:bookmarkStart w:id="47" w:name="_Toc120614244"/>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513029202"/>
      <w:r/>
      <w:bookmarkStart w:id="50" w:name="_Toc16938518"/>
      <w:r/>
      <w:bookmarkStart w:id="51" w:name="_Toc120614213"/>
      <w:r/>
      <w:bookmarkStart w:id="52"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53" w:name="_Toc20823275"/>
      <w:r/>
      <w:bookmarkStart w:id="54" w:name="_Toc513029203"/>
      <w:r/>
      <w:bookmarkStart w:id="55" w:name="_Toc16938519"/>
      <w:r/>
      <w:bookmarkStart w:id="56" w:name="_Toc513029242"/>
      <w:r/>
      <w:bookmarkStart w:id="57" w:name="_Toc120614221"/>
      <w:r/>
      <w:bookmarkStart w:id="58" w:name="_Toc120614214"/>
      <w:r/>
      <w:bookmarkStart w:id="59" w:name="_Toc16938558"/>
      <w:r/>
      <w:bookmarkStart w:id="60" w:name="_Toc479757207"/>
      <w:r/>
      <w:bookmarkStart w:id="61" w:name="_Toc20823314"/>
      <w:r>
        <w:rPr>
          <w:rFonts w:hint="eastAsia" w:ascii="方正黑体_GBK" w:hAnsi="方正黑体_GBK" w:eastAsia="方正黑体_GBK" w:cs="方正黑体_GBK"/>
          <w:b w:val="0"/>
          <w:bCs w:val="0"/>
          <w:color w:val="000000"/>
          <w:sz w:val="30"/>
          <w:szCs w:val="30"/>
        </w:rPr>
        <w:t xml:space="preserve">一、总则</w:t>
      </w:r>
      <w:bookmarkEnd w:id="53"/>
      <w:r/>
      <w:bookmarkEnd w:id="54"/>
      <w:r/>
      <w:bookmarkEnd w:id="55"/>
      <w:r/>
      <w:bookmarkEnd w:id="58"/>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62" w:name="_Toc458694821"/>
      <w:r/>
      <w:bookmarkStart w:id="63" w:name="_Toc16938520"/>
      <w:r/>
      <w:bookmarkStart w:id="64" w:name="_Toc20823276"/>
      <w:r/>
      <w:bookmarkStart w:id="65" w:name="_Toc513029204"/>
      <w:r/>
      <w:bookmarkStart w:id="66" w:name="_Hlt16619475"/>
      <w:r/>
      <w:bookmarkEnd w:id="66"/>
      <w:r>
        <w:rPr>
          <w:rFonts w:hint="eastAsia" w:ascii="方正楷体_GBK" w:hAnsi="方正楷体_GBK" w:eastAsia="方正楷体_GBK" w:cs="方正楷体_GBK"/>
          <w:b/>
          <w:bCs/>
          <w:sz w:val="28"/>
          <w:szCs w:val="28"/>
        </w:rPr>
        <w:t xml:space="preserve">1</w:t>
      </w:r>
      <w:bookmarkEnd w:id="62"/>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3"/>
      <w:r/>
      <w:bookmarkEnd w:id="64"/>
      <w:r/>
      <w:bookmarkEnd w:id="65"/>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本次招标采取公开招标方式，本招标文件仅适用于招标公告中所述项目。</w:t>
      </w:r>
      <w:r>
        <w:rPr>
          <w:rFonts w:hint="eastAsia" w:ascii="宋体" w:hAnsi="宋体" w:eastAsia="宋体" w:cs="Times New Roman"/>
          <w:color w:val="000000"/>
          <w:sz w:val="24"/>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67" w:name="_Toc16938521"/>
      <w:r/>
      <w:bookmarkStart w:id="68" w:name="_Toc20823277"/>
      <w:r/>
      <w:bookmarkStart w:id="69"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满足本文件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70" w:name="_Toc513029206"/>
      <w:r/>
      <w:bookmarkStart w:id="71" w:name="_Toc16938522"/>
      <w:r/>
      <w:bookmarkStart w:id="72"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73" w:name="_Toc513029207"/>
      <w:r/>
      <w:bookmarkStart w:id="74" w:name="_Toc20823279"/>
      <w:r/>
      <w:bookmarkStart w:id="75" w:name="_Toc16938523"/>
      <w:r/>
      <w:bookmarkStart w:id="76"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77" w:name="_Toc120614215"/>
      <w:r/>
      <w:bookmarkStart w:id="78" w:name="_Toc20823281"/>
      <w:r/>
      <w:bookmarkStart w:id="79" w:name="_Toc16938525"/>
      <w:r/>
      <w:bookmarkStart w:id="80" w:name="_Toc513029209"/>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81" w:name="_Toc16938526"/>
      <w:r/>
      <w:bookmarkStart w:id="82" w:name="_Toc20823282"/>
      <w:r/>
      <w:bookmarkStart w:id="83" w:name="_Toc513029210"/>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84" w:name="_Toc20823283"/>
      <w:r/>
      <w:bookmarkStart w:id="85" w:name="_Toc513029211"/>
      <w:r/>
      <w:bookmarkStart w:id="86" w:name="_Toc16938527"/>
      <w:r/>
      <w:bookmarkStart w:id="87"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88" w:name="_Toc462564071"/>
      <w:r/>
      <w:bookmarkStart w:id="89" w:name="_Toc16938528"/>
      <w:r/>
      <w:bookmarkStart w:id="90" w:name="_Toc513029212"/>
      <w:r/>
      <w:bookmarkStart w:id="91"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bookmarkStart w:id="92" w:name="_Toc513029213"/>
      <w:r/>
      <w:bookmarkStart w:id="93" w:name="_Toc462564072"/>
      <w:r/>
      <w:bookmarkStart w:id="94" w:name="_Toc20823285"/>
      <w:r/>
      <w:bookmarkStart w:id="95" w:name="_Toc16938529"/>
      <w:r/>
      <w:bookmarkStart w:id="96"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97" w:name="_Toc16938530"/>
      <w:r/>
      <w:bookmarkStart w:id="98" w:name="_Toc462564073"/>
      <w:r/>
      <w:bookmarkStart w:id="99" w:name="_Toc20823286"/>
      <w:r/>
      <w:bookmarkStart w:id="100"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101" w:name="_Toc513029215"/>
      <w:r/>
      <w:bookmarkStart w:id="102" w:name="_Toc462564074"/>
      <w:r/>
      <w:bookmarkStart w:id="103" w:name="_Toc16938531"/>
      <w:r/>
      <w:bookmarkStart w:id="104"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105" w:name="_Hlt26668975"/>
      <w:r/>
      <w:bookmarkEnd w:id="105"/>
      <w:r/>
      <w:bookmarkStart w:id="106" w:name="_Toc14577357"/>
      <w:r/>
      <w:bookmarkStart w:id="107" w:name="_Toc513029219"/>
      <w:r/>
      <w:bookmarkStart w:id="108" w:name="_Toc49090509"/>
      <w:r/>
      <w:bookmarkStart w:id="109" w:name="_Toc49090507"/>
      <w:r/>
      <w:bookmarkStart w:id="110" w:name="_Toc14577354"/>
      <w:r/>
      <w:bookmarkStart w:id="111" w:name="_Toc513029216"/>
      <w:r/>
      <w:bookmarkStart w:id="112" w:name="_Hlt26954838"/>
      <w:r/>
      <w:bookmarkEnd w:id="112"/>
      <w:r/>
      <w:bookmarkStart w:id="113" w:name="_Hlt26670360"/>
      <w:r/>
      <w:bookmarkEnd w:id="113"/>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6"/>
      <w:r/>
      <w:bookmarkEnd w:id="107"/>
      <w:r/>
      <w:bookmarkEnd w:id="108"/>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bookmarkEnd w:id="109"/>
      <w:r/>
      <w:bookmarkEnd w:id="110"/>
      <w:r/>
      <w:bookmarkEnd w:id="111"/>
      <w:r/>
      <w:bookmarkStart w:id="114" w:name="_Toc49090508"/>
      <w:r/>
      <w:bookmarkStart w:id="115"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投标货币。投标文件中的单价和总价无特殊规定的采用人民币报价，以元为单位标注。招标文件中另有规定的按规定执行。</w:t>
      </w:r>
      <w:r>
        <w:rPr>
          <w:rFonts w:hint="eastAsia" w:ascii="宋体" w:hAnsi="宋体" w:eastAsia="宋体" w:cs="Times New Roman"/>
          <w:color w:val="000000"/>
          <w:sz w:val="24"/>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118" w:name="_Hlt26954731"/>
      <w:r/>
      <w:bookmarkEnd w:id="118"/>
      <w:r/>
      <w:bookmarkStart w:id="119" w:name="_Hlt26954848"/>
      <w:r/>
      <w:bookmarkEnd w:id="119"/>
      <w:r/>
      <w:bookmarkStart w:id="120" w:name="_Hlt26670403"/>
      <w:r/>
      <w:bookmarkEnd w:id="120"/>
      <w:r/>
      <w:bookmarkStart w:id="121" w:name="_Hlt26668983"/>
      <w:r/>
      <w:bookmarkEnd w:id="121"/>
      <w:r/>
      <w:bookmarkStart w:id="122" w:name="_Hlt26670482"/>
      <w:r/>
      <w:bookmarkEnd w:id="122"/>
      <w:r/>
      <w:bookmarkStart w:id="123" w:name="_Hlt26954846"/>
      <w:r/>
      <w:bookmarkEnd w:id="123"/>
      <w:r/>
      <w:bookmarkStart w:id="124" w:name="_Hlt26670486"/>
      <w:r/>
      <w:bookmarkEnd w:id="124"/>
      <w:r/>
      <w:bookmarkStart w:id="125" w:name="_Hlt26670425"/>
      <w:r/>
      <w:bookmarkEnd w:id="125"/>
      <w:r/>
      <w:bookmarkStart w:id="126" w:name="_Hlt26954844"/>
      <w:r/>
      <w:bookmarkEnd w:id="126"/>
      <w:r/>
      <w:bookmarkStart w:id="127" w:name="_Hlt26954842"/>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Start w:id="128" w:name="_Toc14577359"/>
      <w:r/>
      <w:bookmarkStart w:id="129"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中的投标总报价一致，如不一致不作为无效投标处理，评标时以开标一览表中价格为准。</w:t>
      </w:r>
      <w:r>
        <w:rPr>
          <w:rFonts w:hint="eastAsia" w:ascii="宋体" w:hAnsi="宋体" w:eastAsia="宋体" w:cs="Times New Roman"/>
          <w:color w:val="000000"/>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bookmarkEnd w:id="128"/>
      <w:r/>
      <w:bookmarkEnd w:id="129"/>
      <w:r/>
      <w:bookmarkStart w:id="130" w:name="_Hlt26954734"/>
      <w:r/>
      <w:bookmarkEnd w:id="130"/>
      <w:r/>
      <w:bookmarkStart w:id="131" w:name="_Hlt26670489"/>
      <w:r/>
      <w:bookmarkEnd w:id="131"/>
      <w:r/>
      <w:bookmarkStart w:id="132" w:name="_Toc14577360"/>
      <w:r/>
      <w:bookmarkStart w:id="133" w:name="_Toc49090511"/>
      <w:r/>
      <w:bookmarkStart w:id="134" w:name="_Hlt26954850"/>
      <w:r/>
      <w:bookmarkEnd w:id="134"/>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2"/>
      <w:r/>
      <w:bookmarkEnd w:id="133"/>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35" w:name="_Hlt26954852"/>
      <w:r/>
      <w:bookmarkEnd w:id="135"/>
      <w:r/>
      <w:bookmarkStart w:id="136" w:name="_Hlt26954739"/>
      <w:r/>
      <w:bookmarkEnd w:id="136"/>
      <w:r/>
      <w:bookmarkStart w:id="137" w:name="_Toc16938540"/>
      <w:r/>
      <w:bookmarkStart w:id="138" w:name="_Toc120614217"/>
      <w:r/>
      <w:bookmarkStart w:id="139" w:name="_Toc513029224"/>
      <w:r/>
      <w:bookmarkStart w:id="140" w:name="_Toc20823296"/>
      <w:r/>
      <w:bookmarkStart w:id="141" w:name="_Toc20823309"/>
      <w:r/>
      <w:bookmarkStart w:id="142" w:name="_Toc16938553"/>
      <w:r/>
      <w:bookmarkStart w:id="143" w:name="_Toc513029237"/>
      <w:r>
        <w:rPr>
          <w:rFonts w:hint="eastAsia" w:ascii="方正黑体_GBK" w:hAnsi="方正黑体_GBK" w:eastAsia="方正黑体_GBK" w:cs="方正黑体_GBK"/>
          <w:b w:val="0"/>
          <w:bCs w:val="0"/>
          <w:color w:val="000000"/>
          <w:sz w:val="30"/>
          <w:szCs w:val="30"/>
        </w:rPr>
        <w:t xml:space="preserve">四、投标文件的递交</w:t>
      </w:r>
      <w:bookmarkEnd w:id="137"/>
      <w:r/>
      <w:bookmarkEnd w:id="138"/>
      <w:r/>
      <w:bookmarkEnd w:id="139"/>
      <w:r/>
      <w:bookmarkEnd w:id="140"/>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bookmarkStart w:id="144" w:name="_Toc16938541"/>
      <w:r/>
      <w:bookmarkStart w:id="145" w:name="_Toc513029225"/>
      <w:r/>
      <w:bookmarkStart w:id="146" w:name="_Toc20823297"/>
      <w:r/>
      <w:bookmarkStart w:id="147"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8" w:name="_Toc16938542"/>
      <w:r/>
      <w:bookmarkStart w:id="149" w:name="_Toc513029226"/>
      <w:r/>
      <w:bookmarkStart w:id="150" w:name="_Toc20823298"/>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bookmarkEnd w:id="148"/>
      <w:r/>
      <w:bookmarkEnd w:id="149"/>
      <w:r/>
      <w:bookmarkEnd w:id="15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bookmarkStart w:id="151" w:name="_Toc513029227"/>
      <w:r/>
      <w:bookmarkStart w:id="152" w:name="_Toc16938543"/>
      <w:r/>
      <w:bookmarkStart w:id="153"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拒绝接收投标截止时间后上传的任何投标文件。</w:t>
      </w:r>
      <w:r>
        <w:rPr>
          <w:rFonts w:hint="eastAsia" w:ascii="宋体" w:hAnsi="宋体" w:eastAsia="宋体" w:cs="Times New Roman"/>
          <w:color w:val="000000"/>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bookmarkStart w:id="154" w:name="_Toc20823300"/>
      <w:r/>
      <w:bookmarkStart w:id="155" w:name="_Toc16938544"/>
      <w:r/>
      <w:bookmarkStart w:id="156"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7" w:name="_Toc16938545"/>
      <w:r/>
      <w:bookmarkStart w:id="158" w:name="_Toc513029229"/>
      <w:r/>
      <w:bookmarkStart w:id="159" w:name="_Toc20823301"/>
      <w:r/>
      <w:bookmarkStart w:id="160" w:name="_Toc120614218"/>
      <w:r>
        <w:rPr>
          <w:rFonts w:hint="eastAsia" w:ascii="宋体" w:hAnsi="宋体" w:eastAsia="宋体" w:cs="Times New Roman"/>
          <w:color w:val="000000"/>
          <w:sz w:val="24"/>
          <w:lang w:val="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bookmarkStart w:id="161" w:name="_Toc513029230"/>
      <w:r/>
      <w:bookmarkStart w:id="162" w:name="_Toc16938546"/>
      <w:r/>
      <w:bookmarkStart w:id="163"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bookmarkStart w:id="164" w:name="_Toc20823303"/>
      <w:r/>
      <w:bookmarkStart w:id="165" w:name="_Toc16938547"/>
      <w:r/>
      <w:bookmarkStart w:id="166"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组织评标委员会（以下简称“评委会”）进行。</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评委会由采购人代表和有关技术、经济等方面的专家组成，且人员构成符合政府采购有关规定。</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中标侯选人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bookmarkEnd w:id="164"/>
      <w:r/>
      <w:bookmarkEnd w:id="165"/>
      <w:r/>
      <w:bookmarkEnd w:id="16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bookmarkStart w:id="167" w:name="_Toc16938548"/>
      <w:r/>
      <w:bookmarkStart w:id="168" w:name="_Toc20823304"/>
      <w:r/>
      <w:bookmarkStart w:id="169"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lang w:eastAsia="zh-CN"/>
        </w:rPr>
      </w:pPr>
      <w:r/>
      <w:bookmarkStart w:id="170" w:name="_Toc20823305"/>
      <w:r/>
      <w:bookmarkStart w:id="171" w:name="_Toc513029233"/>
      <w:r/>
      <w:bookmarkStart w:id="172"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1"/>
        <w:ind w:left="0"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left="0"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bookmarkStart w:id="173" w:name="_Toc16938550"/>
      <w:r/>
      <w:bookmarkStart w:id="174" w:name="_Toc513029234"/>
      <w:r/>
      <w:bookmarkStart w:id="175"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bookmarkStart w:id="176" w:name="_Toc20823307"/>
      <w:r/>
      <w:bookmarkStart w:id="177" w:name="_Toc513029235"/>
      <w:r/>
      <w:bookmarkStart w:id="178"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无效投标条款</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本招标文件中斜体且有下划线部分，或者打“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采购产品被财政部、国家发改委、生态环境部等列入“节能产品品目清单”强制采购范围，而投标人提供的产品不在强制采购范围内的。</w:t>
      </w:r>
      <w:r>
        <w:rPr>
          <w:rFonts w:hint="eastAsia" w:ascii="宋体" w:hAnsi="宋体" w:eastAsia="宋体" w:cs="Times New Roman"/>
          <w:b w:val="0"/>
          <w:bCs w:val="0"/>
          <w:color w:val="000000"/>
          <w:sz w:val="24"/>
          <w:szCs w:val="21"/>
          <w:lang w:val="zh-CN" w:eastAsia="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投标文件未按照招标文件要求加盖电子公章的。</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废标条款</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End w:id="141"/>
      <w:r/>
      <w:bookmarkEnd w:id="142"/>
      <w:r/>
      <w:bookmarkEnd w:id="143"/>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bookmarkStart w:id="180" w:name="_Toc513029238"/>
      <w:r/>
      <w:bookmarkStart w:id="181" w:name="_Toc20823310"/>
      <w:r/>
      <w:bookmarkStart w:id="182" w:name="_Toc16938554"/>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1"/>
      <w:r/>
      <w:bookmarkEnd w:id="182"/>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按以下第（</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）种方式确定中标人：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向采购人、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行贿或者提供其他不正当利益的。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与采购人或者其他供应商恶意串通的。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采取不正当手段诋毁、排挤其他供应商的。</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b/>
          <w:bCs/>
          <w:color w:val="000000"/>
          <w:sz w:val="24"/>
          <w:lang w:val="zh-CN"/>
        </w:rPr>
      </w:pPr>
      <w:r/>
      <w:bookmarkStart w:id="18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bookmarkStart w:id="184" w:name="_Toc120614220"/>
      <w:r/>
      <w:bookmarkStart w:id="185" w:name="_Toc513029236"/>
      <w:r/>
      <w:bookmarkStart w:id="186" w:name="_Toc20823308"/>
      <w:r/>
      <w:bookmarkStart w:id="187" w:name="_Toc16938552"/>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bookmarkEnd w:id="185"/>
      <w:r/>
      <w:bookmarkEnd w:id="186"/>
      <w:r/>
      <w:bookmarkEnd w:id="18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（包含与</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相关的</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5"/>
        <w:ind w:firstLine="422"/>
        <w:pageBreakBefore w:val="0"/>
        <w:spacing w:before="0" w:after="0" w:line="264"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南京市公共资源交易中心网站“小企业融资平台”，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1"/>
        <w:ind w:firstLine="420"/>
        <w:spacing w:line="264"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规定以书面形式向交易中心或采购人提出质疑。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供应商如组成联合体参加投标，《质疑函范本》中要求加盖公章之处，联合体各方均须按要求加盖公章。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rPr>
          <w:rFonts w:hint="eastAsia" w:ascii="宋体" w:hAnsi="宋体" w:eastAsia="宋体" w:cs="Times New Roman"/>
          <w:b w:val="0"/>
          <w:bCs w:val="0"/>
          <w:color w:val="000000"/>
          <w:sz w:val="24"/>
          <w:lang w:val="zh-CN"/>
        </w:rPr>
      </w:r>
      <w:r/>
    </w:p>
    <w:p>
      <w:pPr>
        <w:pStyle w:val="871"/>
        <w:ind w:firstLine="422"/>
        <w:keepLines w:val="0"/>
        <w:keepNext w:val="0"/>
        <w:pageBreakBefore w:val="0"/>
        <w:spacing w:line="264"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未参加投标活动的供应商或在投标活动中自身权益未受到损害的供应商所提出的质疑。</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供应商组成联合体参加投标，联合体中任何一方或多方未按要求签字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4"/>
        <w:ind w:firstLine="465"/>
        <w:pageBreakBefore w:val="0"/>
        <w:spacing w:before="145" w:after="145" w:line="264"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5"/>
        <w:ind w:firstLine="422"/>
        <w:spacing w:before="0" w:after="0" w:line="264"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keepLines w:val="0"/>
        <w:keepNext w:val="0"/>
        <w:spacing w:line="264"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71"/>
        <w:ind w:firstLine="420"/>
        <w:spacing w:line="264"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71"/>
        <w:ind w:firstLine="420"/>
        <w:spacing w:line="264"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71"/>
        <w:ind w:firstLine="420"/>
        <w:spacing w:line="264"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spacing w:line="264"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1"/>
        <w:ind w:firstLine="420"/>
        <w:spacing w:line="264"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spacing w:line="264"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spacing w:line="264"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5"/>
        <w:ind w:firstLine="422"/>
        <w:spacing w:before="0" w:after="0" w:line="264"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spacing w:before="0" w:after="0" w:line="264"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spacing w:line="264"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1"/>
        <w:ind w:firstLine="420"/>
        <w:spacing w:line="264"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64"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spacing w:line="264"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5"/>
        <w:ind w:firstLine="422"/>
        <w:spacing w:before="0" w:after="0" w:line="264"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64"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883"/>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1"/>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3"/>
        <w:rPr>
          <w:rFonts w:hint="eastAsia"/>
          <w:lang w:val="zh-CN" w:eastAsia="zh-CN"/>
        </w:rPr>
      </w:pPr>
      <w:r>
        <w:rPr>
          <w:rFonts w:hint="eastAsia"/>
          <w:lang w:val="zh-CN" w:eastAsia="zh-CN"/>
        </w:rPr>
      </w:r>
      <w:r/>
    </w:p>
    <w:p>
      <w:pPr>
        <w:pStyle w:val="883"/>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56"/>
      <w:r/>
      <w:bookmarkEnd w:id="57"/>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0"/>
      </w:pPr>
      <w:r/>
      <w:bookmarkStart w:id="188" w:name="_Toc16938559"/>
      <w:r/>
      <w:bookmarkStart w:id="189" w:name="_Toc20823315"/>
      <w:r/>
      <w:bookmarkStart w:id="190" w:name="_Toc513029243"/>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83"/>
        <w:ind w:left="0" w:firstLine="0"/>
        <w:keepLines w:val="0"/>
        <w:keepNext w:val="0"/>
        <w:pageBreakBefore w:val="0"/>
        <w:spacing w:line="240" w:lineRule="auto"/>
        <w:widowControl w:val="off"/>
        <w:rPr>
          <w:rFonts w:hint="eastAsia"/>
          <w:lang w:eastAsia="zh-CN"/>
        </w:rPr>
      </w:pPr>
      <w:r>
        <w:rPr>
          <w:rFonts w:hint="eastAsia"/>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2"/>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lang w:val="en-US" w:eastAsia="zh-CN"/>
        </w:rPr>
        <w:t xml:space="preserve">。</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14:ligatures w14:val="none"/>
        </w:rPr>
      </w:pPr>
      <w:r>
        <w:rPr>
          <w:rFonts w:hint="eastAsia" w:ascii="宋体" w:hAnsi="宋体" w:eastAsia="宋体" w:cs="Courier New"/>
          <w:color w:val="000000"/>
          <w:sz w:val="24"/>
          <w:szCs w:val="24"/>
          <w:lang w:val="en-US" w:eastAsia="zh-CN"/>
        </w:rPr>
        <w:t xml:space="preserve">8.1 合同款项的支付方式及时间</w:t>
      </w:r>
      <w:r>
        <w:rPr>
          <w:rFonts w:hint="eastAsia" w:ascii="宋体" w:hAnsi="宋体" w:eastAsia="宋体" w:cs="Courier New"/>
          <w:color w:val="000000"/>
          <w:sz w:val="24"/>
          <w:szCs w:val="24"/>
          <w:lang w:val="en-US" w:eastAsia="zh-CN"/>
        </w:rPr>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14:ligatures w14:val="none"/>
        </w:rPr>
      </w:pPr>
      <w:r>
        <w:rPr>
          <w:rFonts w:hint="eastAsia" w:ascii="宋体" w:hAnsi="宋体" w:eastAsia="宋体" w:cs="Courier New"/>
          <w:color w:val="000000"/>
          <w:sz w:val="24"/>
          <w:szCs w:val="24"/>
          <w:lang w:val="en-US" w:eastAsia="zh-CN"/>
        </w:rPr>
        <w:t xml:space="preserve">8.1.1本项目合同签订后，甲方向乙方支付第一年合同金额的30%。</w:t>
      </w:r>
      <w:r>
        <w:rPr>
          <w:rFonts w:hint="eastAsia" w:ascii="宋体" w:hAnsi="宋体" w:eastAsia="宋体" w:cs="Courier New"/>
          <w:color w:val="000000"/>
          <w:sz w:val="24"/>
          <w:szCs w:val="24"/>
          <w:lang w:val="en-US" w:eastAsia="zh-CN"/>
        </w:rPr>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14:ligatures w14:val="none"/>
        </w:rPr>
      </w:pPr>
      <w:r>
        <w:rPr>
          <w:rFonts w:hint="eastAsia" w:ascii="宋体" w:hAnsi="宋体" w:eastAsia="宋体" w:cs="Courier New"/>
          <w:color w:val="000000"/>
          <w:sz w:val="24"/>
          <w:szCs w:val="24"/>
          <w:lang w:val="en-US" w:eastAsia="zh-CN"/>
        </w:rPr>
        <w:t xml:space="preserve">8.1.2半年服务完成后，甲方向乙方支付第一年合同金额的20%。</w:t>
      </w:r>
      <w:r>
        <w:rPr>
          <w:rFonts w:hint="eastAsia" w:ascii="宋体" w:hAnsi="宋体" w:eastAsia="宋体" w:cs="Courier New"/>
          <w:color w:val="000000"/>
          <w:sz w:val="24"/>
          <w:szCs w:val="24"/>
          <w:lang w:val="en-US" w:eastAsia="zh-CN"/>
        </w:rPr>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14:ligatures w14:val="none"/>
        </w:rPr>
      </w:pPr>
      <w:r>
        <w:rPr>
          <w:rFonts w:hint="eastAsia" w:ascii="宋体" w:hAnsi="宋体" w:eastAsia="宋体" w:cs="Courier New"/>
          <w:color w:val="000000"/>
          <w:sz w:val="24"/>
          <w:szCs w:val="24"/>
          <w:lang w:val="en-US" w:eastAsia="zh-CN"/>
        </w:rPr>
        <w:t xml:space="preserve">8.1.3年度服务完成后，甲方向乙方支付第一年合同金额的50%。</w:t>
      </w:r>
      <w:r>
        <w:rPr>
          <w:rFonts w:hint="eastAsia" w:ascii="宋体" w:hAnsi="宋体" w:eastAsia="宋体" w:cs="Courier New"/>
          <w:color w:val="000000"/>
          <w:sz w:val="24"/>
          <w:szCs w:val="24"/>
          <w:lang w:val="en-US" w:eastAsia="zh-CN"/>
        </w:rPr>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lang w:val="en-US" w:eastAsia="zh-CN"/>
        </w:rPr>
        <w:t xml:space="preserve">8.1.4第二、三年服务合同周期内，每满6个月且服务期内满足甲方服务要求，支付合同额的50%。</w:t>
      </w:r>
      <w:r>
        <w:rPr>
          <w:rFonts w:hint="eastAsia" w:ascii="宋体" w:hAnsi="宋体" w:eastAsia="宋体" w:cs="Courier New"/>
          <w:color w:val="000000"/>
          <w:sz w:val="24"/>
          <w:szCs w:val="24"/>
          <w:lang w:val="en-US" w:eastAsia="zh-CN"/>
        </w:rPr>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Courier New"/>
          <w:color w:val="000000"/>
          <w:sz w:val="24"/>
          <w:szCs w:val="24"/>
          <w:lang w:val="en-US" w:eastAsia="zh-CN"/>
        </w:rPr>
        <w:t xml:space="preserve">8.1.5每年的合同金额按照三年总报价的三分之一计算。</w:t>
      </w:r>
      <w:r>
        <w:rPr>
          <w:rFonts w:hint="eastAsia" w:ascii="宋体" w:hAnsi="宋体" w:eastAsia="宋体" w:cs="Courier New"/>
          <w:color w:val="000000"/>
          <w:sz w:val="24"/>
          <w:szCs w:val="24"/>
          <w:lang w:val="en-US" w:eastAsia="zh-CN"/>
        </w:rPr>
      </w:r>
      <w:r/>
    </w:p>
    <w:p>
      <w:pPr>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8.1.6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8.2 根据工业和信息化部关于印发《保障中小企业款项支付投诉处理暂行办法》的通知（工信部企业〔2021〕224 号），甲方未按合同约定支付款项的，乙方可以向有关部门投诉。</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10.1 甲方依法组织履约验收工作。</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10.3 对于实际使用人和甲方分离的项目，甲方邀请实际使用人参与验收。</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10.4 如有必要，甲方可邀请参加本项目投标的其他供应商或第三方专业机构及专家参与验收，相关意见将作为验收结论的参考。</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ascii="宋体" w:hAnsi="宋体" w:eastAsia="宋体" w:cs="Courier New"/>
          <w:color w:val="000000"/>
          <w:sz w:val="24"/>
          <w:szCs w:val="24"/>
          <w:lang w:val="en-US" w:eastAsia="zh-CN"/>
        </w:rPr>
      </w:pPr>
      <w:r>
        <w:rPr>
          <w:rFonts w:hint="eastAsia" w:ascii="宋体" w:hAnsi="宋体" w:eastAsia="宋体" w:cs="Courier New"/>
          <w:color w:val="000000"/>
          <w:sz w:val="24"/>
          <w:szCs w:val="24"/>
          <w:u w:val="single"/>
        </w:rPr>
        <w:t xml:space="preserve">   5%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5‰</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5‰</w:t>
      </w:r>
      <w:r>
        <w:rPr>
          <w:rFonts w:hint="eastAsia" w:ascii="宋体" w:hAnsi="宋体" w:eastAsia="宋体" w:cs="Courier New"/>
          <w:color w:val="000000"/>
          <w:sz w:val="24"/>
          <w:szCs w:val="24"/>
          <w:u w:val="single"/>
          <w:lang w:val="en-US" w:eastAsia="zh-CN"/>
        </w:rPr>
        <w:t xml:space="preserve">  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eastAsia="zh-CN"/>
        </w:rPr>
        <w:t xml:space="preserve">二</w:t>
      </w:r>
      <w:r>
        <w:rPr>
          <w:rFonts w:hint="eastAsia" w:ascii="方正黑体_GBK" w:hAnsi="方正黑体_GBK" w:eastAsia="方正黑体_GBK" w:cs="方正黑体_GBK"/>
          <w:b w:val="0"/>
          <w:bCs/>
          <w:color w:val="000000"/>
          <w:sz w:val="24"/>
          <w:szCs w:val="24"/>
        </w:rPr>
        <w:t xml:space="preserve">、考核和</w:t>
      </w:r>
      <w:r>
        <w:rPr>
          <w:rFonts w:hint="eastAsia" w:ascii="方正黑体_GBK" w:hAnsi="方正黑体_GBK" w:eastAsia="方正黑体_GBK" w:cs="方正黑体_GBK"/>
          <w:b w:val="0"/>
          <w:bCs/>
          <w:color w:val="000000"/>
          <w:sz w:val="24"/>
          <w:szCs w:val="24"/>
          <w:lang w:eastAsia="zh-CN"/>
        </w:rPr>
        <w:t xml:space="preserve">终</w:t>
      </w:r>
      <w:r>
        <w:rPr>
          <w:rFonts w:hint="eastAsia" w:ascii="方正黑体_GBK" w:hAnsi="方正黑体_GBK" w:eastAsia="方正黑体_GBK" w:cs="方正黑体_GBK"/>
          <w:b w:val="0"/>
          <w:bCs/>
          <w:color w:val="000000"/>
          <w:sz w:val="24"/>
          <w:szCs w:val="24"/>
        </w:rPr>
        <w:t xml:space="preserve">止</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2</w:t>
      </w:r>
      <w:r>
        <w:rPr>
          <w:rFonts w:hint="eastAsia" w:ascii="宋体" w:hAnsi="宋体" w:eastAsia="宋体" w:cs="Courier New"/>
          <w:color w:val="000000"/>
          <w:sz w:val="24"/>
          <w:szCs w:val="24"/>
        </w:rPr>
        <w:t xml:space="preserve">.1 年度服务完成后，甲方对乙方履约情况进行考核。考核通过则继续下一年度的服务；未通过则合同</w:t>
      </w:r>
      <w:r>
        <w:rPr>
          <w:rFonts w:hint="eastAsia" w:ascii="宋体" w:hAnsi="宋体" w:eastAsia="宋体" w:cs="Courier New"/>
          <w:color w:val="000000"/>
          <w:sz w:val="24"/>
          <w:szCs w:val="24"/>
          <w:lang w:eastAsia="zh-CN"/>
        </w:rPr>
        <w:t xml:space="preserve">终止</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2</w:t>
      </w:r>
      <w:r>
        <w:rPr>
          <w:rFonts w:hint="eastAsia" w:ascii="宋体" w:hAnsi="宋体" w:eastAsia="宋体" w:cs="Courier New"/>
          <w:color w:val="000000"/>
          <w:sz w:val="24"/>
          <w:szCs w:val="24"/>
        </w:rPr>
        <w:t xml:space="preserve">.2 服务期间，甲方有权</w:t>
      </w:r>
      <w:r>
        <w:rPr>
          <w:rFonts w:hint="eastAsia" w:ascii="宋体" w:hAnsi="宋体" w:eastAsia="宋体" w:cs="Courier New"/>
          <w:color w:val="000000"/>
          <w:sz w:val="24"/>
          <w:szCs w:val="24"/>
          <w:lang w:eastAsia="zh-CN"/>
        </w:rPr>
        <w:t xml:space="preserve">终止</w:t>
      </w:r>
      <w:r>
        <w:rPr>
          <w:rFonts w:hint="eastAsia" w:ascii="宋体" w:hAnsi="宋体" w:eastAsia="宋体" w:cs="Courier New"/>
          <w:color w:val="000000"/>
          <w:sz w:val="24"/>
          <w:szCs w:val="24"/>
        </w:rPr>
        <w:t xml:space="preserve">合同，但需提前一个月书面告知乙方并结清乙方已完成服务的费用。</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eastAsia="zh-CN"/>
        </w:rPr>
        <w:t xml:space="preserve">三</w:t>
      </w:r>
      <w:r>
        <w:rPr>
          <w:rFonts w:hint="eastAsia" w:ascii="方正黑体_GBK" w:hAnsi="方正黑体_GBK" w:eastAsia="方正黑体_GBK" w:cs="方正黑体_GBK"/>
          <w:b w:val="0"/>
          <w:bCs/>
          <w:color w:val="000000"/>
          <w:sz w:val="24"/>
          <w:szCs w:val="24"/>
        </w:rPr>
        <w:t xml:space="preserve">、不可抗力事件处理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3</w:t>
      </w:r>
      <w:r>
        <w:rPr>
          <w:rFonts w:hint="eastAsia" w:ascii="宋体" w:hAnsi="宋体" w:eastAsia="宋体" w:cs="Courier New"/>
          <w:color w:val="000000"/>
          <w:sz w:val="24"/>
          <w:szCs w:val="24"/>
        </w:rPr>
        <w:t xml:space="preserve">.1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3</w:t>
      </w:r>
      <w:r>
        <w:rPr>
          <w:rFonts w:hint="eastAsia" w:ascii="宋体" w:hAnsi="宋体" w:eastAsia="宋体" w:cs="Courier New"/>
          <w:color w:val="000000"/>
          <w:sz w:val="24"/>
          <w:szCs w:val="24"/>
        </w:rPr>
        <w:t xml:space="preserve">.2 不可抗力事件发生后，应立即通知对方并寄送有关权威机构出具的证明。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3</w:t>
      </w:r>
      <w:r>
        <w:rPr>
          <w:rFonts w:hint="eastAsia" w:ascii="宋体" w:hAnsi="宋体" w:eastAsia="宋体" w:cs="Courier New"/>
          <w:color w:val="000000"/>
          <w:sz w:val="24"/>
          <w:szCs w:val="24"/>
        </w:rPr>
        <w:t xml:space="preserve">.3 不可抗力事件延续120天以上，双方应通过友好协商，确定是否继续履行合同。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eastAsia="zh-CN"/>
        </w:rPr>
        <w:t xml:space="preserve">四</w:t>
      </w:r>
      <w:r>
        <w:rPr>
          <w:rFonts w:hint="eastAsia" w:ascii="方正黑体_GBK" w:hAnsi="方正黑体_GBK" w:eastAsia="方正黑体_GBK" w:cs="方正黑体_GBK"/>
          <w:b w:val="0"/>
          <w:bCs/>
          <w:color w:val="000000"/>
          <w:sz w:val="24"/>
          <w:szCs w:val="24"/>
        </w:rPr>
        <w:t xml:space="preserve">、解决争议的方法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4</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eastAsia="zh-CN"/>
        </w:rPr>
        <w:t xml:space="preserve">五</w:t>
      </w:r>
      <w:r>
        <w:rPr>
          <w:rFonts w:hint="eastAsia" w:ascii="方正黑体_GBK" w:hAnsi="方正黑体_GBK" w:eastAsia="方正黑体_GBK" w:cs="方正黑体_GBK"/>
          <w:b w:val="0"/>
          <w:bCs/>
          <w:color w:val="000000"/>
          <w:sz w:val="24"/>
          <w:szCs w:val="24"/>
        </w:rPr>
        <w:t xml:space="preserve">、合同生效及其它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5</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5</w:t>
      </w:r>
      <w:r>
        <w:rPr>
          <w:rFonts w:hint="eastAsia" w:ascii="宋体" w:hAnsi="宋体" w:eastAsia="宋体" w:cs="Courier New"/>
          <w:color w:val="000000"/>
          <w:sz w:val="24"/>
          <w:szCs w:val="24"/>
        </w:rPr>
        <w:t xml:space="preserve">.2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5</w:t>
      </w:r>
      <w:r>
        <w:rPr>
          <w:rFonts w:hint="eastAsia" w:ascii="宋体" w:hAnsi="宋体" w:eastAsia="宋体" w:cs="Courier New"/>
          <w:color w:val="000000"/>
          <w:sz w:val="24"/>
          <w:szCs w:val="24"/>
        </w:rPr>
        <w:t xml:space="preserve">.3 本合同正本一式两份，具有同等法律效力，甲方、乙方各执一份。</w:t>
      </w:r>
      <w:r>
        <w:rPr>
          <w:rFonts w:hint="eastAsia" w:ascii="宋体" w:hAnsi="宋体" w:eastAsia="宋体" w:cs="Courier New"/>
          <w:color w:val="000000"/>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bookmarkEnd w:id="188"/>
      <w:r/>
      <w:bookmarkEnd w:id="189"/>
      <w:r/>
      <w:bookmarkEnd w:id="190"/>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2"/>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2"/>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2"/>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12"/>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rPr>
          <w:rFonts w:hint="eastAsia" w:hAnsi="宋体"/>
          <w:color w:val="000000"/>
          <w:sz w:val="24"/>
          <w:szCs w:val="24"/>
          <w:highlight w:val="none"/>
        </w:rPr>
      </w:r>
      <w:r/>
    </w:p>
    <w:p>
      <w:pPr>
        <w:pStyle w:val="912"/>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rPr>
          <w:rFonts w:hint="eastAsia" w:hAnsi="宋体"/>
          <w:color w:val="000000"/>
          <w:sz w:val="24"/>
          <w:szCs w:val="24"/>
          <w:highlight w:val="none"/>
        </w:rPr>
      </w:r>
      <w:r/>
    </w:p>
    <w:p>
      <w:pPr>
        <w:pStyle w:val="990"/>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pPr>
      <w:r>
        <w:rPr>
          <w:rFonts w:hint="eastAsia" w:ascii="方正小标宋简体" w:hAnsi="方正小标宋简体" w:eastAsia="方正小标宋简体" w:cs="方正小标宋简体"/>
          <w:color w:val="000000"/>
          <w:sz w:val="36"/>
          <w:szCs w:val="36"/>
          <w:lang w:val="en-US" w:eastAsia="zh-CN" w:bidi="ar-SA"/>
        </w:rPr>
        <w:t xml:space="preserve">第</w:t>
      </w:r>
      <w:bookmarkEnd w:id="44"/>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5"/>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2022年1月，南京市委市政府发布了《南京市城市运行“一网统管”工作三年行动计划》，按照改革创新、整体协同、平战结合要求，加快建立健全城市运行“一网统管”有关机构和工作机制，推动城市治理手段、治理模式、治理理念创新，提高城市运行事件处置能力，实现“一网整合数据、一屏能观全局、一体应急联动、一线解决问题”目标，让群众更有获得感、幸福感、安全感。</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随着《南京市推进城市运行“一网统管”暂行办法》的颁布结合《南京市“十四五”数字经济发展规划》的要求，在推进建设智慧南京中心城市运行与管理平台，加强公安、城管、</w:t>
      </w:r>
      <w:r>
        <w:rPr>
          <w:rFonts w:hint="eastAsia" w:ascii="宋体" w:hAnsi="宋体" w:eastAsia="宋体" w:cs="Times New Roman"/>
          <w:color w:val="000000"/>
          <w:sz w:val="24"/>
          <w:szCs w:val="24"/>
          <w:lang w:val="en-US" w:eastAsia="zh-CN"/>
        </w:rPr>
        <w:t xml:space="preserve">交通、环保、气象、水务等部门城市运行数据汇集与综合利用，实现对城市运行状况的综合、实时和直观展示的基础上，进一步加快推进城市运行“一网统管”（以下称“一网统管”）工作，推进城市治理体系和治理能力现代化，提高城市治理科学化、精细化、智能化水平，增强城市治理效能和风险防控能力，智慧南京中心为城市运行状态监测、分析和预警，重大突发事件应急联动处置等提供了技术环境和工作场所，同时也作为与区、江北新区城运机构上下联通和资源整合的纽带。为了进一步保障智慧南京中心服务能力，有必要对智慧南京中心开展全方位的运维和保障工作。</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纪检监察机构联系方式：025-68789930</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rPr>
          <w:rFonts w:hint="eastAsia" w:ascii="黑体" w:hAnsi="黑体" w:eastAsia="黑体" w:cs="黑体"/>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遵循国家、行业及地方现行的规范和标准。</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40"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三、产品清单</w:t>
      </w:r>
      <w:r>
        <w:rPr>
          <w:rFonts w:hint="eastAsia" w:ascii="黑体" w:hAnsi="黑体" w:eastAsia="黑体" w:cs="黑体"/>
          <w:color w:val="000000"/>
          <w:sz w:val="24"/>
          <w:szCs w:val="24"/>
          <w:lang w:eastAsia="zh-CN"/>
        </w:rPr>
      </w:r>
      <w:r/>
    </w:p>
    <w:tbl>
      <w:tblPr>
        <w:tblStyle w:val="988"/>
        <w:tblW w:w="502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8"/>
        <w:gridCol w:w="2054"/>
        <w:gridCol w:w="773"/>
        <w:gridCol w:w="783"/>
        <w:gridCol w:w="1528"/>
        <w:gridCol w:w="2471"/>
        <w:gridCol w:w="1434"/>
      </w:tblGrid>
      <w:tr>
        <w:trPr>
          <w:trHeight w:val="470"/>
        </w:trPr>
        <w:tc>
          <w:tcPr>
            <w:tcW w:w="387"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1047"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394"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99"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779"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1260"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rPr>
              <w:t xml:space="preserve">类型</w:t>
            </w:r>
            <w:r>
              <w:rPr>
                <w:rFonts w:hint="eastAsia" w:ascii="宋体" w:hAnsi="宋体" w:eastAsia="宋体" w:cs="Times New Roman"/>
                <w:bCs/>
                <w:color w:val="000000"/>
                <w:sz w:val="24"/>
                <w:szCs w:val="24"/>
                <w:lang w:val="en-US" w:eastAsia="zh-CN" w:bidi="ar-SA"/>
              </w:rPr>
            </w:r>
            <w:r/>
          </w:p>
        </w:tc>
        <w:tc>
          <w:tcPr>
            <w:tcW w:w="73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eastAsia="zh-CN"/>
              </w:rPr>
              <w:t xml:space="preserve">备注</w:t>
            </w:r>
            <w:r>
              <w:rPr>
                <w:rFonts w:hint="eastAsia" w:ascii="宋体" w:hAnsi="宋体" w:eastAsia="宋体" w:cs="Times New Roman"/>
                <w:bCs/>
                <w:color w:val="000000"/>
                <w:sz w:val="24"/>
                <w:szCs w:val="24"/>
                <w:lang w:eastAsia="zh-CN"/>
              </w:rPr>
            </w:r>
            <w:r/>
          </w:p>
        </w:tc>
      </w:tr>
      <w:tr>
        <w:trPr>
          <w:trHeight w:val="597"/>
        </w:trPr>
        <w:tc>
          <w:tcPr>
            <w:tcW w:w="387"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1047" w:type="dxa"/>
            <w:vAlign w:val="center"/>
            <w:textDirection w:val="lrTb"/>
            <w:noWrap w:val="false"/>
          </w:tcPr>
          <w:p>
            <w:pPr>
              <w:pStyle w:val="871"/>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智慧南京中心运行保障服务</w:t>
            </w:r>
            <w:r>
              <w:rPr>
                <w:rFonts w:hint="eastAsia" w:ascii="宋体" w:hAnsi="宋体" w:eastAsia="宋体" w:cs="Times New Roman"/>
                <w:bCs/>
                <w:color w:val="000000"/>
                <w:sz w:val="24"/>
                <w:szCs w:val="24"/>
              </w:rPr>
            </w:r>
            <w:r/>
          </w:p>
        </w:tc>
        <w:tc>
          <w:tcPr>
            <w:tcW w:w="394"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hint="eastAsia" w:ascii="宋体" w:hAnsi="宋体" w:eastAsia="宋体" w:cs="Times New Roman"/>
                <w:bCs/>
                <w:color w:val="000000"/>
                <w:sz w:val="24"/>
                <w:szCs w:val="24"/>
              </w:rPr>
            </w:r>
            <w:r/>
          </w:p>
        </w:tc>
        <w:tc>
          <w:tcPr>
            <w:tcW w:w="399"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w:t>
            </w:r>
            <w:r>
              <w:rPr>
                <w:rFonts w:hint="eastAsia" w:ascii="宋体" w:hAnsi="宋体" w:eastAsia="宋体" w:cs="Times New Roman"/>
                <w:bCs/>
                <w:color w:val="000000"/>
                <w:sz w:val="24"/>
                <w:szCs w:val="24"/>
              </w:rPr>
            </w:r>
            <w:r/>
          </w:p>
        </w:tc>
        <w:tc>
          <w:tcPr>
            <w:tcW w:w="779"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1260"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软件和信息技术服务业</w:t>
            </w:r>
            <w:r>
              <w:rPr>
                <w:rFonts w:hint="eastAsia" w:ascii="宋体" w:hAnsi="宋体" w:eastAsia="宋体" w:cs="Times New Roman"/>
                <w:bCs/>
                <w:color w:val="000000"/>
                <w:sz w:val="24"/>
                <w:szCs w:val="24"/>
                <w:lang w:val="en-US" w:eastAsia="zh-CN" w:bidi="ar-SA"/>
              </w:rPr>
            </w:r>
            <w:r/>
          </w:p>
        </w:tc>
        <w:tc>
          <w:tcPr>
            <w:tcW w:w="731"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r>
            <w:r/>
          </w:p>
        </w:tc>
      </w:tr>
    </w:tbl>
    <w:p>
      <w:pPr>
        <w:pStyle w:val="871"/>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color w:val="000000"/>
          <w:sz w:val="24"/>
          <w:szCs w:val="24"/>
          <w:lang w:eastAsia="zh-CN"/>
        </w:rPr>
      </w:r>
      <w:r>
        <w:rPr>
          <w:rFonts w:hint="eastAsia" w:ascii="黑体" w:hAnsi="黑体" w:eastAsia="黑体" w:cs="黑体"/>
          <w:color w:val="000000"/>
          <w:sz w:val="24"/>
          <w:szCs w:val="24"/>
          <w:lang w:val="en-US" w:eastAsia="zh-CN"/>
        </w:rPr>
        <w:t xml:space="preserve">★</w:t>
      </w: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1"/>
        <w:numPr>
          <w:ilvl w:val="0"/>
          <w:numId w:val="5"/>
        </w:numPr>
        <w:ind w:firstLine="480"/>
        <w:keepLines w:val="0"/>
        <w:keepNext w:val="0"/>
        <w:pageBreakBefore w:val="0"/>
        <w:spacing w:line="240" w:lineRule="auto"/>
        <w:widowControl w:val="off"/>
        <w:tabs>
          <w:tab w:val="left" w:pos="312"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基本要求</w:t>
      </w:r>
      <w:r>
        <w:rPr>
          <w:rFonts w:hint="eastAsia" w:ascii="宋体" w:hAnsi="宋体" w:eastAsia="宋体" w:cs="宋体"/>
          <w:color w:val="000000"/>
          <w:sz w:val="24"/>
          <w:szCs w:val="24"/>
          <w:lang w:val="en-US" w:eastAsia="zh-CN"/>
        </w:rPr>
      </w:r>
      <w:r/>
    </w:p>
    <w:tbl>
      <w:tblPr>
        <w:tblStyle w:val="991"/>
        <w:tblW w:w="9776"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6"/>
      </w:tblGrid>
      <w:tr>
        <w:trPr/>
        <w:tc>
          <w:tcPr>
            <w:tcW w:w="9776" w:type="dxa"/>
            <w:vAlign w:val="top"/>
            <w:textDirection w:val="lrTb"/>
            <w:noWrap w:val="false"/>
          </w:tcPr>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1、驻场服务时间所有驻场人员均需满足每周5*8小时的工作时间，并可按照采购人工作要求，灵活调整驻场工作时间。</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2、日常维护，全面规范在日常维护过程中，强调流程化的日常巡查与问题分析。维护过程中，对可能出现的情况进行及时的记录及问题分析、排查。维护现场设备，满足智慧南京中心正常运行要求。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应急事件，快速响应对于可能出现的重要应急事件，按照如下要求进行及时响应和处置：1）响应时间：1小时以内；2）自接到到场要求后，到达现场时间：1小时以内；3）一般故障修复时间：接到报障信息通知24小时以内；4）重大故障修复时间：接到保障信息通知48小时以内（特殊定制设备要视制作周期长短做适当延长）；5）紧急故障修复时间：接到保障信息通知2小时以内；6）修理设备保修时间：修理完成之日起3个月。</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pPr>
            <w:r>
              <w:rPr>
                <w:rFonts w:hint="eastAsia" w:ascii="宋体" w:hAnsi="宋体" w:eastAsia="宋体" w:cs="宋体"/>
                <w:color w:val="000000"/>
                <w:sz w:val="24"/>
                <w:szCs w:val="24"/>
                <w:lang w:val="en-US" w:eastAsia="zh-CN"/>
              </w:rPr>
              <w:t xml:space="preserve">4、重大活动，全程保障对于在智慧南京中心进行的重大活动，根据不同需求制定保障计划，过程中协调安排重点保障设备厂家专业人员全程在现场进行技术保障。</w:t>
            </w:r>
            <w:r/>
          </w:p>
        </w:tc>
      </w:tr>
    </w:tbl>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2.具体服务要求</w:t>
      </w:r>
      <w:r>
        <w:rPr>
          <w:rFonts w:hint="eastAsia" w:ascii="宋体" w:hAnsi="宋体" w:eastAsia="宋体" w:cs="宋体"/>
          <w:color w:val="000000"/>
          <w:sz w:val="24"/>
          <w:szCs w:val="24"/>
          <w:lang w:val="en-US" w:eastAsia="zh-CN"/>
        </w:rPr>
      </w:r>
      <w:r/>
    </w:p>
    <w:tbl>
      <w:tblPr>
        <w:tblStyle w:val="991"/>
        <w:tblW w:w="9796" w:type="dxa"/>
        <w:tblInd w:w="-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6"/>
      </w:tblGrid>
      <w:tr>
        <w:trPr/>
        <w:tc>
          <w:tcPr>
            <w:tcW w:w="9796" w:type="dxa"/>
            <w:vAlign w:val="top"/>
            <w:textDirection w:val="lrTb"/>
            <w:noWrap w:val="false"/>
          </w:tcPr>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一、智慧南京中心场所运维要求</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1、智慧南京中心场所运行保障及现场管理服务需由1人开展并负责。</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2、智慧南京中心场所范围：</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（1）大屏展示区域：DLP大屏区、工作站操作区、后排参观区；</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（2）开发环境区域：开发环境办公卡座；</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（3）会议区域：决策厅、分析研判室、会议区域卫生间；</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（4）独立办公室区域：西侧一、二楼办公室；</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（5）机房区域：二楼小机房、强电间；</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（6）公共区域：南门厅、南门电梯（楼梯）、北门电梯（楼梯）、一楼走廊、二楼走廊、办公区楼梯、公共卫生间、储藏室。</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3、智慧南京中心场所运维和现场管理内容：</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（1）智慧南京中心场所水、电安全管理，对智慧南京中心所用水、用电区域进行每日巡检，对存在违规用电、漏水等安全隐患的需要及时发现和处理；</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智慧南京中心场消防安全管理，对智慧南京中心内消防器材定期进行检查，对存在故障的消防设施，根据消防器材管理归属职责范围，由市机关物业部门管理的通知协调物业部门进行维修更换，由智慧南京中心管理的则自行进行更换；</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（3）智慧南京中心内卫生管理，对智慧南京中心内环境卫生进行每日检查，并及时协调市机关物业保洁人员进行卫生保洁；</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（4）智慧南京中心决策厅地毯清洁，每半年一次对智慧南京中心决策厅内的地毯进行整体清洁，为保证清洁效果的同时能够不损害地毯，清洁工作需由专业清洁团队进行操作；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智慧南京中心人员管理，对智慧南京中心驻场人员进行每日巡检，包括考勤记录、临时来访人员登记与管理，避免无关人员随意进出智慧南京中心区域，从而对智慧南京中心场所人员进行有效管理，并定期从系统中导出人员出勤情况从而进行人员管理的优化调整。</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（6）智慧南京中心绿植花卉管理，对智慧南京中心区域内摆放的绿植和花卉每日检查，保证盆栽的容器干净整洁，叶片无水渍，定期联系花卉公司上门除虫。</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（7）智慧南京中心日常外部沟通协调，具备与市城市数字治理中心相关处室的联系，以及机关事务管理局、物业公司等机关部门对接协调的能力，从而主动推进日常工作的开展。</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二、智慧南京中心软件平台维护工作要求</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1、软件平台运维保障服务需由2人开展并负责。</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2、智慧南京中心软件平台的内容（包括且不限于以下内容，在运维期内需按照汇报、演示要求进行调整）：</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（1）区城运相关平台：城运中心各区现场工作视频平台、各区城运平台、视频联网平台等；</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（2）市城市智能门户：我的南京App、南京的我小程序、我的南京政务版App；</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（3）政企融合平台：T3智慧出行平台、京东消费数据平台、腾讯人口迁徙等；</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（4）城市智能底座：网、云、数、安等平台；</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（5）城市运行智能化监测调度综合平台（城运平台）：“领导驾驶舱”系统、综合指挥调度系统、分析研判系统等；</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（6）典型城市运行“一网统管”场景应用：长江“生态眼”、安全城市综合应用管理系统等；</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（7）城运中心成果展示：智慧南京成果展示PPT、智慧南京宣传片（各类视频）</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（8）在运维期内新增的软件平台。</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3、平台控制和应用软件运维内容包括且不限于以下内容：</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（1）分布式操作软件：指挥大厅大屏幕分布式坐席管理系统软件和决策厅以及分析研判室屏分布式可视化操作软件；</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（2）桌面会议软件：决策厅、分析分析研判室的桌面无纸化会议、桌面同步显示系统软件；</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（3）门禁控制软件：门禁管理系统软件；</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（4）视频监控软件：智慧南京中心内视频监控平台软件；</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（5）灯光控制软件：智慧南京中心指挥大厅、决策厅以及分析研判室灯光控制软件；</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（6）在运维期内新增的平台控制和应用软件。</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4、运维管理软件运维内容</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（1）运维管理系统：智慧南京中心运维管理平台。</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5、智慧南京中心软件平台运维内容：</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（1）能够根据现场工作站、网络环境，合理分配各工作站上汇报演示平台，从而保证流畅的进行系统汇报演示的切换；</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（2）每日对汇报演示平台软件、控制和管理软件进行巡检，通过巡检及时发现问题，并对问题进行反馈和解决；</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（3）掌握汇报演示平台软件基本操作，对于汇报演示平台能够按照汇报演示流程进行点击、查询等操作；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（4）熟悉平台控制和应用软件的全部操作功能，能够根据智慧南京中心工作和管理需要，进行相应的软件设置和调整等操作，并能够在日常操作过程中发现问题及时协调或自行优化平台操作模式；</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（5）按照要求使用智慧南京中心运维管理平台开展运维管理工作。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三、智慧南京中心硬件设备维护工作要求</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1、智慧南京中心硬件运维保障服务需由2人开展并负责。</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2、智慧南京中心硬件设备维护工作范围本次智慧南京中心硬件设备涉及包括且不限于如下设备，所在位置如下所示：</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（1）核心交换机、接入交换机等有线网络设备：设备位置为智慧南京中心机房、开发环境区域；</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（2）AP等无线网络设备：设备位置为智慧南京中心全域；</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（3）有线电视机顶盒：设备位置为智慧南京中心大厅区域；</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（4）摄像头、NVR设备：设备位置为智慧南京中心主要出入口和开发环境区域；</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（5）智能照明系统：设备位置为决策厅、智慧南京中心大厅、开发环境区域；</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（6）门禁读头设备：设备位置为全域智慧南京中心所有主要出入口和独立办公室；</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（7）同步显示和无纸化设备：设备位置为决策厅、分析研判室；</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（8）音响设备：设备位置为智慧南京中心大厅区域、决策厅、分析研判室；</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（9）有线及无线话筒设备：设备位置为智慧南京中心大厅；</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（9）调音台、音频处理器设备：设备位置为智慧南京中心大厅区域、决策厅、分析研判室；</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（10）会议液晶拼接显示设备：设备位置分析研判室；</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（11）工作站：设备位置为智慧南京中心大厅；</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（12）大屏显示分布式节点设备：设备位置为智慧南京中心大厅、决策厅、分析研判室；</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（13）新风机：设备位置为智慧南京中心开发环境区域；</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（14）UPS设备：设备位置为强电间；</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（15）演示设备：演示手机、平板电脑、激光笔、翻页笔等；</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（16）茶水间烧水设备：设备位置为茶水间;</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（17）在运维期内新增的其他设备</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3、智慧南京中心硬件设备维护内容</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（1）梳理和掌握智慧南京中心所有硬件设备，并形成硬件设备清单台账；</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（2）根据硬件设备放置位置、布线情况，梳理和掌握设备的网络拓扑、系统基本架构情况，形成硬件设备配置台账；</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根据硬件设备台账情况，每日对所有硬件设备进行巡检，通过巡检及时发现设备问题，对于新建的在保质期内设备则通知相应厂家进行维保处理，对于已不在保修期内设备，则先行进行维修或更换，维修和更换费用从预留维修金额中进行支出，如需要维修和更换费用超出预留金额，则与市城市数字治理中心进行沟通协商处理方式；</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（4）能够定期查看硬件设备版本，并对可进行硬件设备版本升级的开展升级工作，从而提升设备稳定性和安全性；</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（5）对于需要定期维护的硬件设备，如UPS电池充放电，需要按照设备要求定期对电池进行充放电维护，从而延长设备使用寿命。</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四、重大活动服务和保障要求</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1、重大活动服务和保障需要配备</w:t>
            </w:r>
            <w:r>
              <w:rPr>
                <w:rFonts w:hint="eastAsia" w:ascii="宋体" w:hAnsi="宋体" w:eastAsia="宋体" w:cs="宋体"/>
                <w:color w:val="000000"/>
                <w:sz w:val="24"/>
                <w:szCs w:val="24"/>
              </w:rPr>
              <w:t xml:space="preserve">不少于</w:t>
            </w:r>
            <w:r>
              <w:rPr>
                <w:rFonts w:hint="eastAsia" w:ascii="宋体" w:hAnsi="宋体" w:eastAsia="宋体" w:cs="宋体"/>
                <w:color w:val="000000"/>
                <w:sz w:val="24"/>
                <w:szCs w:val="24"/>
              </w:rPr>
              <w:t xml:space="preserve">2名人员，2名人员从事专业讲解和接待服务。</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2、重大活动服务和保障内容。</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智慧南京作为南京市的城市运行中心、应急处置中心、展示中心的定位决定了智慧南京现场会承接各种全市的重要活动，具体服务保障工作如下：</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（1）需要有针对不同活动需要，安排专业讲解人员开展讲解工作；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在重大活动中，根据相关要求配合市机关物业部门或自行开展活动接待配套服务，保证各项重要活动的顺利开展，同时在重大活动之后对活动中发现的问题或可能存在的问题进行进一步优化管理流程和服务方式；</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（3）根据重大活动服务保障需要，能够安排或协调熟悉智慧南京中心系统的专业调音人员、大屏运维人员、会场扩声人员等专业技术人员开展现场活动配套系统的重点保障。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根据重大活动服务保障需要，能够配备专业拍摄设备（如单反相机）对参观、与会人员活动现场情况进行拍摄存档，同时对于重要会议能够提供现场录音设备，从而对会议内容进行记录存档，便于会议后的会议材料的整理。</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五、其他服务要求</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1、其他服务工作内容</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运维人员除进行场所、软件平台、硬件设备运维和重大活动服务保障外，还将配合采购人开展以下服务工作：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（1）配合采购人开展视频联网平台项目管理工作；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（2）配合采购人开展感知融合管理平台项目管理工作；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（3）根据文明城市创建视频获取要求，开展相关视频的查询、调取等相关工作；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（4）配合采购人开展领导驾驶舱直播南京日常管理工作；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（5）配合采购人开展政务协同办公运维服务项目管理工作；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（6）配合采购人开展短信服务对接、开通等相关工作；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（7）配合采购人开展机关绩效管理系统等信息系统维保项目管理工作；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（8）配合采购人开展“阳光发改”系统运维服务项目管理工作；</w:t>
            </w:r>
            <w:r>
              <w:rPr>
                <w:rFonts w:hint="eastAsia" w:ascii="宋体" w:hAnsi="宋体" w:eastAsia="宋体" w:cs="宋体"/>
                <w:color w:val="000000"/>
                <w:sz w:val="24"/>
                <w:szCs w:val="24"/>
              </w:rPr>
            </w:r>
            <w:r/>
          </w:p>
          <w:p>
            <w:pPr>
              <w:pStyle w:val="871"/>
              <w:ind w:firstLine="480"/>
              <w:keepLines w:val="0"/>
              <w:keepNext w:val="0"/>
              <w:pageBreakBefore w:val="0"/>
              <w:spacing w:line="240" w:lineRule="auto"/>
              <w:widowControl w:val="off"/>
            </w:pPr>
            <w:r>
              <w:rPr>
                <w:rFonts w:hint="eastAsia" w:ascii="宋体" w:hAnsi="宋体" w:eastAsia="宋体" w:cs="宋体"/>
                <w:color w:val="000000"/>
                <w:sz w:val="24"/>
                <w:szCs w:val="24"/>
              </w:rPr>
              <w:t xml:space="preserve">（9）在运维工作期间，根据采购人要求配合开展的其他工作。</w:t>
            </w:r>
            <w:r/>
          </w:p>
        </w:tc>
      </w:tr>
    </w:tbl>
    <w:p>
      <w:pPr>
        <w:pStyle w:val="883"/>
        <w:ind w:left="0" w:firstLine="0"/>
        <w:keepLines w:val="0"/>
        <w:keepNext w:val="0"/>
        <w:pageBreakBefore w:val="0"/>
        <w:spacing w:line="240" w:lineRule="auto"/>
        <w:widowControl w:val="off"/>
        <w:rPr>
          <w:lang w:val="en-US" w:eastAsia="zh-CN"/>
        </w:rPr>
      </w:pPr>
      <w:r>
        <w:rPr>
          <w:lang w:val="en-US" w:eastAsia="zh-CN"/>
        </w:rPr>
      </w:r>
      <w:r/>
    </w:p>
    <w:p>
      <w:pPr>
        <w:pStyle w:val="871"/>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1"/>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报价应包含与本次采购项目有关的所有费用。包含但不限于人员、设备、安装 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供应商报价除包含采购文件中列明的项目外还应包括保障服务正常运行应当具有的物资和服务，对服务正常运行应当具有的物资和服务理解不一致的以采购人理解为准。</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2.驻场服务人员要求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项目负责人1人。 </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驻场运维人员</w:t>
      </w:r>
      <w:r>
        <w:rPr>
          <w:rFonts w:hint="eastAsia" w:ascii="宋体" w:hAnsi="宋体" w:eastAsia="宋体" w:cs="宋体"/>
          <w:color w:val="000000"/>
          <w:sz w:val="24"/>
          <w:szCs w:val="24"/>
          <w:lang w:val="en-US" w:eastAsia="zh-CN"/>
        </w:rPr>
        <w:t xml:space="preserve">不少于</w:t>
      </w:r>
      <w:r>
        <w:rPr>
          <w:rFonts w:hint="eastAsia" w:ascii="宋体" w:hAnsi="宋体" w:eastAsia="宋体" w:cs="宋体"/>
          <w:color w:val="000000"/>
          <w:sz w:val="24"/>
          <w:szCs w:val="24"/>
          <w:lang w:val="en-US" w:eastAsia="zh-CN"/>
        </w:rPr>
        <w:t xml:space="preserve">4名。  </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）驻场讲解和接待服务人员</w:t>
      </w:r>
      <w:r>
        <w:rPr>
          <w:rFonts w:ascii="宋体" w:hAnsi="宋体" w:eastAsia="宋体" w:cs="宋体"/>
          <w:color w:val="000000"/>
          <w:sz w:val="24"/>
          <w:szCs w:val="24"/>
          <w:lang w:val="en-US" w:eastAsia="zh-CN"/>
        </w:rPr>
        <w:t xml:space="preserve">不少于</w:t>
      </w:r>
      <w:r>
        <w:rPr>
          <w:rFonts w:ascii="宋体" w:hAnsi="宋体" w:eastAsia="宋体" w:cs="宋体"/>
          <w:color w:val="000000"/>
          <w:sz w:val="24"/>
          <w:szCs w:val="24"/>
          <w:lang w:val="en-US" w:eastAsia="zh-CN"/>
        </w:rPr>
        <w:t xml:space="preserve">2名，要求为女性，仪态大方得体，讲解人员具有普通话水平测试等级证书；有较强的组织能力及现场处理应变能力，能够承担一定的工作压力。(如供应商暂无驻场讲解和接待服务人员，需承诺在合同签订</w:t>
      </w:r>
      <w:r>
        <w:rPr>
          <w:rFonts w:hint="eastAsia" w:ascii="宋体" w:hAnsi="宋体" w:eastAsia="宋体" w:cs="宋体"/>
          <w:color w:val="000000"/>
          <w:sz w:val="24"/>
          <w:szCs w:val="24"/>
          <w:lang w:val="en-US" w:eastAsia="zh-CN"/>
        </w:rPr>
        <w:t xml:space="preserve">时</w:t>
      </w:r>
      <w:r>
        <w:rPr>
          <w:rFonts w:ascii="宋体" w:hAnsi="宋体" w:eastAsia="宋体" w:cs="宋体"/>
          <w:color w:val="000000"/>
          <w:sz w:val="24"/>
          <w:szCs w:val="24"/>
          <w:lang w:val="en-US" w:eastAsia="zh-CN"/>
        </w:rPr>
        <w:t xml:space="preserve">提供满足采购人上岗要求的人员）</w:t>
      </w:r>
      <w:r>
        <w:rPr>
          <w:rFonts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3.保密要求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为了确保智慧南京中心所运行保障信息的保密性，防止其被未经授权的人员或组织获取或泄露，同时，为了提高运行保障服务团队成员对信息安全的重视和意识，加强对信息资产的保护，供应商按照南京市城市数字治理中心相关安全保密制度要求，使团队了解保密责任和义务，并加强培训和沟通，增强团队成员对信息安全的自我保护能力。</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en-US" w:eastAsia="zh-CN"/>
        </w:rPr>
        <w:t xml:space="preserve">本项目合同签订后，采购人向供应商支付第一年合同金额的30%。</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（2）半年服务完成后，采购人向供应商支付第一年合同金额的20%。</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（3）年度服务完成后，采购人向供应商支付第一年合同金额的50%。</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eastAsia="zh-CN"/>
        </w:rPr>
        <w:t xml:space="preserve">第二、三年服务合同周期内，每满6个月且服务期内满足采购人服务要求，支付合同额的50%。</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（5）每年的</w:t>
      </w:r>
      <w:r>
        <w:rPr>
          <w:rFonts w:hint="eastAsia" w:ascii="宋体" w:hAnsi="宋体" w:eastAsia="宋体" w:cs="宋体"/>
          <w:color w:val="000000"/>
          <w:sz w:val="24"/>
          <w:szCs w:val="24"/>
          <w:lang w:val="en-US" w:eastAsia="zh-CN"/>
        </w:rPr>
        <w:t xml:space="preserve">合同</w:t>
      </w:r>
      <w:r>
        <w:rPr>
          <w:rFonts w:hint="eastAsia" w:ascii="宋体" w:hAnsi="宋体" w:eastAsia="宋体" w:cs="宋体"/>
          <w:color w:val="000000"/>
          <w:sz w:val="24"/>
          <w:szCs w:val="24"/>
          <w:lang w:val="en-US" w:eastAsia="zh-CN"/>
        </w:rPr>
        <w:t xml:space="preserve">金额按照三年总报价的三分之一计算。</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eastAsia="zh-CN"/>
        </w:rPr>
        <w:t xml:space="preserve">）付款期限：满足合同约定支付条件的，采购人收到供应商发票后10个工作日内，将资金支付到合同约定的供应商账户。</w:t>
      </w:r>
      <w:r>
        <w:rPr>
          <w:rFonts w:ascii="宋体" w:hAnsi="宋体" w:eastAsia="宋体" w:cs="宋体"/>
          <w:color w:val="000000"/>
          <w:sz w:val="24"/>
          <w:szCs w:val="24"/>
          <w:lang w:val="en-US" w:eastAsia="zh-CN"/>
        </w:rPr>
      </w:r>
      <w:r/>
    </w:p>
    <w:p>
      <w:pPr>
        <w:pStyle w:val="871"/>
        <w:ind w:firstLine="480"/>
        <w:keepLines w:val="0"/>
        <w:keepNext w:val="0"/>
        <w:pageBreakBefore w:val="0"/>
        <w:spacing w:line="24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服务</w:t>
      </w:r>
      <w:r>
        <w:rPr>
          <w:rFonts w:ascii="宋体" w:hAnsi="宋体" w:eastAsia="宋体" w:cs="宋体"/>
          <w:color w:val="000000"/>
          <w:sz w:val="24"/>
          <w:szCs w:val="24"/>
        </w:rPr>
        <w:t xml:space="preserve">时间及地点</w:t>
      </w:r>
      <w:r>
        <w:rPr>
          <w:rFonts w:ascii="宋体" w:hAnsi="宋体" w:eastAsia="宋体" w:cs="宋体"/>
          <w:color w:val="000000"/>
          <w:sz w:val="24"/>
          <w:szCs w:val="24"/>
        </w:rPr>
      </w:r>
      <w:r/>
    </w:p>
    <w:p>
      <w:pPr>
        <w:pStyle w:val="871"/>
        <w:ind w:firstLine="480"/>
        <w:keepLines w:val="0"/>
        <w:keepNext w:val="0"/>
        <w:pageBreakBefore w:val="0"/>
        <w:spacing w:line="24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服务</w:t>
      </w:r>
      <w:r>
        <w:rPr>
          <w:rFonts w:ascii="宋体" w:hAnsi="宋体" w:eastAsia="宋体" w:cs="宋体"/>
          <w:color w:val="000000"/>
          <w:sz w:val="24"/>
          <w:szCs w:val="24"/>
        </w:rPr>
        <w:t xml:space="preserve">时间：合同签订后</w:t>
      </w:r>
      <w:r>
        <w:rPr>
          <w:rFonts w:hint="eastAsia" w:ascii="宋体" w:hAnsi="宋体" w:eastAsia="宋体" w:cs="宋体"/>
          <w:color w:val="000000"/>
          <w:sz w:val="24"/>
          <w:szCs w:val="24"/>
          <w:lang w:val="en-US" w:eastAsia="zh-CN"/>
        </w:rPr>
        <w:t xml:space="preserve">1095</w:t>
      </w:r>
      <w:r>
        <w:rPr>
          <w:rFonts w:ascii="宋体" w:hAnsi="宋体" w:eastAsia="宋体" w:cs="宋体"/>
          <w:color w:val="000000"/>
          <w:sz w:val="24"/>
          <w:szCs w:val="24"/>
        </w:rPr>
        <w:t xml:space="preserve">天内</w:t>
      </w:r>
      <w:r>
        <w:rPr>
          <w:rFonts w:ascii="宋体" w:hAnsi="宋体" w:eastAsia="宋体" w:cs="宋体"/>
          <w:color w:val="000000"/>
          <w:sz w:val="24"/>
          <w:szCs w:val="24"/>
        </w:rPr>
        <w:t xml:space="preserve">完成</w:t>
      </w:r>
      <w:r>
        <w:rPr>
          <w:rFonts w:ascii="宋体" w:hAnsi="宋体" w:eastAsia="宋体" w:cs="宋体"/>
          <w:color w:val="000000"/>
          <w:sz w:val="24"/>
          <w:szCs w:val="24"/>
        </w:rPr>
        <w:t xml:space="preserve">服务</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71"/>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服务</w:t>
      </w:r>
      <w:r>
        <w:rPr>
          <w:rFonts w:ascii="宋体" w:hAnsi="宋体" w:eastAsia="宋体" w:cs="宋体"/>
          <w:color w:val="000000"/>
          <w:sz w:val="24"/>
          <w:szCs w:val="24"/>
        </w:rPr>
        <w:t xml:space="preserve">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rPr>
      </w:pPr>
      <w:r>
        <w:rPr>
          <w:rFonts w:hint="eastAsia"/>
        </w:rPr>
      </w:r>
      <w:r/>
    </w:p>
    <w:p>
      <w:pPr>
        <w:pStyle w:val="88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83"/>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83"/>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83"/>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83"/>
        <w:rPr>
          <w:rFonts w:hint="eastAsia" w:ascii="宋体" w:hAnsi="宋体" w:eastAsia="宋体" w:cs="宋体"/>
          <w:color w:val="000000"/>
          <w:sz w:val="24"/>
          <w:szCs w:val="24"/>
        </w:rPr>
      </w:pPr>
      <w:r>
        <w:rPr>
          <w:rFonts w:hint="eastAsia" w:ascii="宋体" w:hAnsi="宋体" w:eastAsia="宋体" w:cs="宋体"/>
          <w:color w:val="000000"/>
          <w:sz w:val="24"/>
          <w:szCs w:val="24"/>
        </w:rPr>
      </w:r>
      <w:r>
        <w:rPr>
          <w:rFonts w:hint="eastAsia" w:ascii="宋体" w:hAnsi="宋体" w:eastAsia="宋体" w:cs="宋体"/>
          <w:color w:val="000000"/>
          <w:sz w:val="24"/>
          <w:szCs w:val="24"/>
        </w:rPr>
      </w:r>
      <w:r/>
    </w:p>
    <w:p>
      <w:pPr>
        <w:pStyle w:val="883"/>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bookmarkStart w:id="193" w:name="_Toc120614281"/>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采用综合评分法的，评标结果按评审后得分由高到低顺序排列。得分相同的，按投标报价由低到高顺序</w:t>
      </w:r>
      <w:r>
        <w:rPr>
          <w:rFonts w:hint="eastAsia" w:ascii="宋体" w:hAnsi="宋体" w:eastAsia="宋体" w:cs="宋体"/>
          <w:sz w:val="24"/>
          <w:szCs w:val="24"/>
        </w:rPr>
        <w:t xml:space="preserve">排列。得分且投标报价相同的</w:t>
      </w:r>
      <w:r>
        <w:rPr>
          <w:rFonts w:hint="eastAsia" w:ascii="宋体" w:hAnsi="宋体" w:eastAsia="宋体" w:cs="宋体"/>
          <w:sz w:val="24"/>
          <w:szCs w:val="24"/>
          <w:lang w:eastAsia="zh-CN"/>
        </w:rPr>
        <w:t xml:space="preserve">，按“三、评标标准中</w:t>
      </w:r>
      <w:r>
        <w:rPr>
          <w:rFonts w:hint="eastAsia" w:ascii="宋体" w:hAnsi="宋体" w:eastAsia="宋体" w:cs="宋体"/>
          <w:sz w:val="24"/>
          <w:szCs w:val="24"/>
          <w:lang w:val="en-US" w:eastAsia="zh-CN"/>
        </w:rPr>
        <w:t xml:space="preserve">5.1-5.4项</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rPr>
        <w:t xml:space="preserve">，按照评审得分</w:t>
      </w:r>
      <w:r>
        <w:rPr>
          <w:rFonts w:hint="eastAsia" w:ascii="宋体" w:hAnsi="宋体" w:eastAsia="宋体" w:cs="宋体"/>
          <w:sz w:val="24"/>
          <w:szCs w:val="24"/>
          <w:lang w:val="en-US" w:eastAsia="zh-CN"/>
        </w:rPr>
        <w:t xml:space="preserve">由高到低</w:t>
      </w:r>
      <w:r>
        <w:rPr>
          <w:rFonts w:hint="eastAsia" w:ascii="宋体" w:hAnsi="宋体" w:eastAsia="宋体" w:cs="宋体"/>
          <w:sz w:val="24"/>
          <w:szCs w:val="24"/>
        </w:rPr>
        <w:t xml:space="preserve">选取</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名</w:t>
      </w:r>
      <w:r>
        <w:rPr>
          <w:rFonts w:hint="eastAsia" w:ascii="宋体" w:hAnsi="宋体" w:eastAsia="宋体" w:cs="宋体"/>
          <w:sz w:val="24"/>
          <w:szCs w:val="24"/>
        </w:rPr>
        <w:t xml:space="preserve">中标候选人。</w:t>
      </w:r>
      <w:r>
        <w:rPr>
          <w:rFonts w:hint="eastAsia" w:ascii="宋体" w:hAnsi="宋体" w:eastAsia="宋体" w:cs="宋体"/>
          <w:sz w:val="24"/>
          <w:szCs w:val="24"/>
        </w:rPr>
      </w:r>
      <w:r/>
    </w:p>
    <w:p>
      <w:pPr>
        <w:pStyle w:val="871"/>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二、评标标准</w:t>
      </w:r>
      <w:r>
        <w:rPr>
          <w:rFonts w:hint="eastAsia" w:ascii="黑体" w:hAnsi="黑体" w:eastAsia="黑体" w:cs="黑体"/>
          <w:b w:val="0"/>
          <w:bCs w:val="0"/>
          <w:color w:val="000000"/>
          <w:sz w:val="24"/>
          <w:szCs w:val="24"/>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71"/>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71"/>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330" w:type="dxa"/>
            <w:vAlign w:val="top"/>
            <w:textDirection w:val="lrTb"/>
            <w:noWrap w:val="false"/>
          </w:tcPr>
          <w:p>
            <w:pPr>
              <w:pStyle w:val="871"/>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647" w:type="dxa"/>
            <w:vAlign w:val="top"/>
            <w:textDirection w:val="lrTb"/>
            <w:noWrap w:val="false"/>
          </w:tcPr>
          <w:p>
            <w:pPr>
              <w:pStyle w:val="871"/>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900" w:type="dxa"/>
            <w:vAlign w:val="top"/>
            <w:textDirection w:val="lrTb"/>
            <w:noWrap w:val="false"/>
          </w:tcPr>
          <w:p>
            <w:pPr>
              <w:pStyle w:val="871"/>
              <w:jc w:val="center"/>
              <w:keepLines w:val="0"/>
              <w:keepNext w:val="0"/>
              <w:pageBreakBefore w:val="0"/>
              <w:spacing w:before="264" w:line="240"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2" w:line="24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1"/>
              <w:jc w:val="left"/>
              <w:keepLines w:val="0"/>
              <w:keepNext w:val="0"/>
              <w:pageBreakBefore w:val="0"/>
              <w:spacing w:before="68" w:line="240"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71"/>
              <w:jc w:val="left"/>
              <w:keepLines w:val="0"/>
              <w:keepNext w:val="0"/>
              <w:pageBreakBefore w:val="0"/>
              <w:spacing w:line="240"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eastAsia="宋体" w:cs="宋体"/>
                <w:lang w:val="en-US" w:eastAsia="zh-CN"/>
              </w:rPr>
              <w:t xml:space="preserve">10（小数点保留两位）</w:t>
            </w:r>
            <w:r>
              <w:rPr>
                <w:rFonts w:ascii="宋体" w:hAnsi="宋体" w:eastAsia="宋体" w:cs="宋体"/>
                <w:lang w:val="en-US" w:eastAsia="zh-CN"/>
              </w:rPr>
            </w:r>
            <w:r/>
          </w:p>
        </w:tc>
        <w:tc>
          <w:tcPr>
            <w:tcW w:w="647" w:type="dxa"/>
            <w:vAlign w:val="center"/>
            <w:textDirection w:val="lrTb"/>
            <w:noWrap w:val="false"/>
          </w:tcPr>
          <w:p>
            <w:pPr>
              <w:pStyle w:val="871"/>
              <w:jc w:val="center"/>
              <w:keepLines w:val="0"/>
              <w:keepNext w:val="0"/>
              <w:pageBreakBefore w:val="0"/>
              <w:spacing w:before="69"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71"/>
              <w:jc w:val="center"/>
              <w:keepLines w:val="0"/>
              <w:keepNext w:val="0"/>
              <w:pageBreakBefore w:val="0"/>
              <w:spacing w:before="258" w:line="240" w:lineRule="auto"/>
              <w:widowControl w:val="off"/>
              <w:rPr>
                <w:rFonts w:hint="eastAsia" w:ascii="宋体" w:hAnsi="宋体" w:eastAsia="宋体" w:cs="宋体"/>
                <w:lang w:eastAsia="zh-CN"/>
              </w:rPr>
            </w:pPr>
            <w:r>
              <w:rPr>
                <w:rFonts w:hint="eastAsia" w:ascii="宋体" w:hAnsi="宋体" w:eastAsia="宋体" w:cs="宋体"/>
                <w:lang w:eastAsia="zh-CN"/>
              </w:rPr>
              <w:t xml:space="preserve">价格分</w:t>
            </w:r>
            <w:r>
              <w:rPr>
                <w:rFonts w:hint="eastAsia" w:ascii="宋体" w:hAnsi="宋体" w:eastAsia="宋体" w:cs="宋体"/>
                <w:lang w:eastAsia="zh-CN"/>
              </w:rPr>
            </w:r>
            <w:r/>
          </w:p>
        </w:tc>
      </w:tr>
      <w:tr>
        <w:trPr>
          <w:trHeight w:val="460"/>
        </w:trPr>
        <w:tc>
          <w:tcPr>
            <w:gridSpan w:val="5"/>
            <w:tcW w:w="9575" w:type="dxa"/>
            <w:vAlign w:val="top"/>
            <w:textDirection w:val="lrTb"/>
            <w:noWrap w:val="false"/>
          </w:tcPr>
          <w:p>
            <w:pPr>
              <w:pStyle w:val="871"/>
              <w:ind w:left="114"/>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71"/>
              <w:ind w:right="108"/>
              <w:jc w:val="left"/>
              <w:spacing w:before="68" w:line="288" w:lineRule="auto"/>
              <w:rPr>
                <w:rFonts w:hint="eastAsia" w:ascii="宋体" w:hAnsi="宋体" w:eastAsia="宋体" w:cs="宋体"/>
                <w:spacing w:val="-2"/>
                <w:lang w:eastAsia="zh-CN"/>
              </w:rPr>
            </w:pPr>
            <w:r>
              <w:rPr>
                <w:rFonts w:ascii="宋体" w:hAnsi="宋体" w:eastAsia="宋体" w:cs="宋体"/>
                <w:spacing w:val="-2"/>
                <w:lang w:val="en-US" w:eastAsia="zh-CN"/>
              </w:rPr>
              <w:t xml:space="preserve">智慧南京中心运维服务目标理解</w:t>
            </w:r>
            <w:r>
              <w:rPr>
                <w:rFonts w:hint="eastAsia" w:ascii="宋体" w:hAnsi="宋体" w:eastAsia="宋体" w:cs="宋体"/>
                <w:spacing w:val="-2"/>
                <w:lang w:eastAsia="zh-CN"/>
              </w:rPr>
            </w:r>
            <w:r/>
          </w:p>
        </w:tc>
        <w:tc>
          <w:tcPr>
            <w:tcW w:w="6330" w:type="dxa"/>
            <w:vAlign w:val="center"/>
            <w:textDirection w:val="lrTb"/>
            <w:noWrap w:val="false"/>
          </w:tcPr>
          <w:p>
            <w:pPr>
              <w:pStyle w:val="871"/>
              <w:ind w:right="108"/>
              <w:jc w:val="left"/>
              <w:spacing w:before="68" w:line="288" w:lineRule="auto"/>
              <w:rPr>
                <w:rFonts w:hint="eastAsia" w:ascii="宋体" w:hAnsi="宋体" w:eastAsia="宋体" w:cs="宋体"/>
                <w:lang w:eastAsia="zh-CN"/>
              </w:rPr>
            </w:pPr>
            <w:r>
              <w:rPr>
                <w:rFonts w:hint="eastAsia" w:ascii="宋体" w:hAnsi="宋体" w:eastAsia="宋体" w:cs="宋体"/>
                <w:lang w:val="en-US" w:eastAsia="zh-CN"/>
              </w:rPr>
              <w:t xml:space="preserve">评委根据</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提供的</w:t>
            </w:r>
            <w:r>
              <w:rPr>
                <w:rFonts w:ascii="宋体" w:hAnsi="宋体" w:eastAsia="宋体" w:cs="宋体"/>
                <w:spacing w:val="-2"/>
                <w:lang w:val="en-US" w:eastAsia="zh-CN"/>
              </w:rPr>
              <w:t xml:space="preserve">智慧南京中心运维服务目标理解</w:t>
            </w:r>
            <w:r>
              <w:rPr>
                <w:rFonts w:ascii="宋体" w:hAnsi="宋体" w:eastAsia="宋体" w:cs="宋体"/>
                <w:spacing w:val="-2"/>
                <w:lang w:val="en-US" w:eastAsia="zh-CN"/>
              </w:rPr>
              <w:t xml:space="preserve">（</w:t>
            </w:r>
            <w:r>
              <w:rPr>
                <w:rFonts w:ascii="宋体" w:hAnsi="宋体" w:eastAsia="宋体" w:cs="宋体"/>
                <w:spacing w:val="-2"/>
                <w:lang w:val="en-US" w:eastAsia="zh-CN"/>
              </w:rPr>
              <w:t xml:space="preserve">包括</w:t>
            </w:r>
            <w:r>
              <w:rPr>
                <w:rFonts w:hint="eastAsia" w:ascii="宋体" w:hAnsi="宋体" w:eastAsia="宋体" w:cs="宋体"/>
                <w:lang w:val="en-US" w:eastAsia="zh-CN"/>
              </w:rPr>
              <w:t xml:space="preserve">本项目背景、服务目标、运维需求等方面的理解材料</w:t>
            </w:r>
            <w:r>
              <w:rPr>
                <w:rFonts w:hint="eastAsia" w:ascii="宋体" w:hAnsi="宋体" w:eastAsia="宋体" w:cs="宋体"/>
                <w:lang w:val="en-US" w:eastAsia="zh-CN"/>
              </w:rPr>
              <w:t xml:space="preserve">）</w:t>
            </w:r>
            <w:r>
              <w:rPr>
                <w:rFonts w:hint="eastAsia" w:ascii="宋体" w:hAnsi="宋体" w:eastAsia="宋体" w:cs="宋体"/>
                <w:lang w:val="en-US" w:eastAsia="zh-CN"/>
              </w:rPr>
              <w:t xml:space="preserve">综合评分：</w:t>
            </w:r>
            <w:r>
              <w:rPr>
                <w:rFonts w:hint="eastAsia" w:ascii="宋体" w:hAnsi="宋体" w:eastAsia="宋体" w:cs="宋体"/>
                <w:spacing w:val="-2"/>
                <w:lang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（1）对智慧南京中心运行保障服务背景、服务目标、运维需求等理解准确，得6分；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（2）对智慧南京中心运行保障服务背景、服务目标、运维需求等理解基本准确，得3分；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pPr>
            <w:r>
              <w:rPr>
                <w:rFonts w:hint="eastAsia" w:ascii="宋体" w:hAnsi="宋体" w:eastAsia="宋体" w:cs="宋体"/>
                <w:lang w:val="en-US" w:eastAsia="zh-CN"/>
              </w:rPr>
              <w:t xml:space="preserve">（3）对智慧南京中心运行保障服务背景、服务目标、运维需求等理解不准确或未提供的不得分。</w:t>
            </w:r>
            <w:r/>
          </w:p>
        </w:tc>
        <w:tc>
          <w:tcPr>
            <w:tcW w:w="647" w:type="dxa"/>
            <w:vAlign w:val="center"/>
            <w:textDirection w:val="lrTb"/>
            <w:noWrap w:val="false"/>
          </w:tcPr>
          <w:p>
            <w:pPr>
              <w:pStyle w:val="871"/>
              <w:jc w:val="center"/>
              <w:spacing w:before="68" w:line="288" w:lineRule="auto"/>
              <w:rPr>
                <w:rFonts w:ascii="宋体" w:hAnsi="宋体" w:eastAsia="宋体" w:cs="宋体"/>
                <w:lang w:val="en-US" w:eastAsia="zh-CN"/>
              </w:rPr>
            </w:pPr>
            <w:r>
              <w:rPr>
                <w:rFonts w:hint="eastAsia" w:ascii="宋体" w:hAnsi="宋体" w:eastAsia="宋体" w:cs="宋体"/>
                <w:highlight w:val="none"/>
                <w:lang w:val="en-US" w:eastAsia="zh-CN"/>
              </w:rPr>
              <w:t xml:space="preserve">6</w:t>
            </w:r>
            <w:r>
              <w:rPr>
                <w:rFonts w:ascii="宋体" w:hAnsi="宋体" w:eastAsia="宋体" w:cs="宋体"/>
                <w:lang w:val="en-US" w:eastAsia="zh-CN"/>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主</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315"/>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1"/>
              <w:ind w:right="108"/>
              <w:jc w:val="left"/>
              <w:spacing w:before="68" w:line="288" w:lineRule="auto"/>
              <w:rPr>
                <w:rFonts w:hint="eastAsia" w:ascii="宋体" w:hAnsi="宋体" w:eastAsia="宋体" w:cs="宋体"/>
                <w:spacing w:val="-2"/>
                <w:lang w:eastAsia="zh-CN"/>
              </w:rPr>
            </w:pPr>
            <w:r>
              <w:rPr>
                <w:rFonts w:hint="eastAsia" w:ascii="宋体" w:hAnsi="宋体" w:eastAsia="宋体" w:cs="宋体"/>
                <w:spacing w:val="-2"/>
                <w:lang w:eastAsia="zh-CN"/>
              </w:rPr>
              <w:t xml:space="preserve">智慧南京中心软件系统维护工作方案</w:t>
            </w:r>
            <w:r>
              <w:rPr>
                <w:rFonts w:hint="eastAsia" w:ascii="宋体" w:hAnsi="宋体" w:eastAsia="宋体" w:cs="宋体"/>
                <w:spacing w:val="-2"/>
                <w:lang w:eastAsia="zh-CN"/>
              </w:rPr>
            </w:r>
            <w:r/>
          </w:p>
        </w:tc>
        <w:tc>
          <w:tcPr>
            <w:tcW w:w="6330" w:type="dxa"/>
            <w:vAlign w:val="center"/>
            <w:textDirection w:val="lrTb"/>
            <w:noWrap w:val="false"/>
          </w:tcPr>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提供的智慧南京中心软件系统维护工作方案（包括针对本项中涉及的智慧南京中心软件系统维护中所需要内容清单、流程、巡检及问题处理机制等）综合评分：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（1）方案科学全面，针对本项目需求提供全面、准确的需维护软件系统明细清单，维保服务流程科学标准，具有合理的巡检及问题处理机制，得8分；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（2）方案较科学全面，针对本项目需求提供较为全面、准确的需维护软件系统明细清单，维保服务流程较科学标准，具有较合理的巡检及问题处理机制，得5分；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（3）方案基本科学全面，针对本项目需求提供基本全面、准确的需维护软件系统明细清单，维保服务流程基本科学标准，具有基本合理的巡检及问题处理机制，得2分；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（4）方案不科学全面准确，维保服务流程不科学标准，巡检及问题处理机制不合理或未提供的不得分。</w:t>
            </w:r>
            <w:r>
              <w:rPr>
                <w:rFonts w:ascii="宋体" w:hAnsi="宋体" w:eastAsia="宋体" w:cs="宋体"/>
                <w:lang w:val="en-US" w:eastAsia="zh-CN"/>
              </w:rPr>
            </w:r>
            <w:r/>
          </w:p>
        </w:tc>
        <w:tc>
          <w:tcPr>
            <w:tcW w:w="647" w:type="dxa"/>
            <w:vAlign w:val="center"/>
            <w:textDirection w:val="lrTb"/>
            <w:noWrap w:val="false"/>
          </w:tcPr>
          <w:p>
            <w:pPr>
              <w:pStyle w:val="871"/>
              <w:jc w:val="center"/>
              <w:spacing w:before="68" w:line="288" w:lineRule="auto"/>
              <w:rPr>
                <w:rFonts w:ascii="宋体" w:hAnsi="宋体" w:eastAsia="宋体" w:cs="宋体"/>
                <w:highlight w:val="none"/>
                <w:lang w:val="en-US" w:eastAsia="zh-CN"/>
              </w:rPr>
            </w:pPr>
            <w:r>
              <w:rPr>
                <w:rFonts w:hint="eastAsia" w:ascii="宋体" w:hAnsi="宋体" w:cs="宋体"/>
              </w:rPr>
              <w:t xml:space="preserve">8</w:t>
            </w:r>
            <w:r>
              <w:rPr>
                <w:rFonts w:ascii="宋体" w:hAnsi="宋体" w:eastAsia="宋体" w:cs="宋体"/>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4"/>
                <w:lang w:eastAsia="zh-CN"/>
              </w:rPr>
              <w:t xml:space="preserve">主观分</w:t>
            </w:r>
            <w:r>
              <w:rPr>
                <w:rFonts w:ascii="宋体" w:hAnsi="宋体" w:eastAsia="宋体" w:cs="宋体"/>
              </w:rPr>
            </w:r>
            <w:r/>
          </w:p>
        </w:tc>
      </w:tr>
      <w:tr>
        <w:trPr>
          <w:trHeight w:val="315"/>
        </w:trPr>
        <w:tc>
          <w:tcPr>
            <w:tcW w:w="519" w:type="dxa"/>
            <w:vAlign w:val="center"/>
            <w:textDirection w:val="lrTb"/>
            <w:noWrap w:val="false"/>
          </w:tcPr>
          <w:p>
            <w:pPr>
              <w:pStyle w:val="871"/>
              <w:jc w:val="center"/>
              <w:keepLines w:val="0"/>
              <w:keepNext w:val="0"/>
              <w:pageBreakBefore w:val="0"/>
              <w:spacing w:before="68" w:line="240" w:lineRule="auto"/>
              <w:widowControl w:val="off"/>
              <w:rPr>
                <w:rFonts w:hint="eastAsia" w:ascii="宋体" w:hAnsi="宋体" w:eastAsia="宋体" w:cs="宋体"/>
                <w:spacing w:val="-2"/>
                <w:sz w:val="21"/>
                <w:szCs w:val="21"/>
                <w:lang w:val="en-US" w:eastAsia="zh-CN" w:bidi="ar-SA"/>
              </w:rPr>
            </w:pPr>
            <w:r>
              <w:rPr>
                <w:rFonts w:hint="eastAsia" w:ascii="宋体" w:hAnsi="宋体" w:eastAsia="宋体" w:cs="宋体"/>
                <w:spacing w:val="-2"/>
                <w:lang w:val="en-US" w:eastAsia="zh-CN"/>
              </w:rPr>
              <w:t xml:space="preserve">2.3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71"/>
              <w:ind w:right="108"/>
              <w:jc w:val="left"/>
              <w:spacing w:before="68" w:line="288" w:lineRule="auto"/>
              <w:rPr>
                <w:rFonts w:ascii="宋体" w:hAnsi="宋体" w:eastAsia="宋体" w:cs="宋体"/>
                <w:spacing w:val="-2"/>
                <w:lang w:val="en-US" w:eastAsia="zh-CN"/>
              </w:rPr>
            </w:pPr>
            <w:r>
              <w:rPr>
                <w:rFonts w:hint="eastAsia" w:ascii="宋体" w:hAnsi="宋体" w:eastAsia="宋体" w:cs="宋体"/>
                <w:spacing w:val="-2"/>
                <w:lang w:eastAsia="zh-CN"/>
              </w:rPr>
              <w:t xml:space="preserve">智慧南京中心硬件系统维护方案</w:t>
            </w:r>
            <w:r>
              <w:rPr>
                <w:rFonts w:ascii="宋体" w:hAnsi="宋体" w:eastAsia="宋体" w:cs="宋体"/>
                <w:spacing w:val="-2"/>
                <w:lang w:val="en-US" w:eastAsia="zh-CN"/>
              </w:rPr>
            </w:r>
            <w:r/>
          </w:p>
        </w:tc>
        <w:tc>
          <w:tcPr>
            <w:tcW w:w="6330" w:type="dxa"/>
            <w:vAlign w:val="center"/>
            <w:textDirection w:val="lrTb"/>
            <w:noWrap w:val="false"/>
          </w:tcPr>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提供的智慧南京中心硬件系统维护方案（包括智慧南京中心网络、弱电、硬件系统等）综合评分：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（1）方案科学全面，针对本项目需求提供全面、准确的需维护硬件设备清单，维保服务流程科学标准，具有合理的巡检及问题处理机制，得8分；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（2）方案较科学全面，针对本项目硬件系统需求提供较为全面、准确的需维护硬件设备清单，维保服务流程较科学标准，具有较合理的巡检及问题处理机制，得5分；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（3）方案基本科学全面，针对本项目硬件系统需求提供基本全面、准确的需维护硬件设备清单维保服务流程基本科学标准，具有基本合理的巡检及问题处理机制，得2分；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（4）方案不科学全面准确，维保服务流程不科学标准，巡检及问题处理机制不合理或未提供的不得分。</w:t>
            </w:r>
            <w:r>
              <w:rPr>
                <w:rFonts w:hint="eastAsia" w:ascii="宋体" w:hAnsi="宋体" w:eastAsia="宋体" w:cs="宋体"/>
                <w:lang w:val="en-US" w:eastAsia="zh-CN"/>
              </w:rPr>
            </w:r>
            <w:r/>
          </w:p>
        </w:tc>
        <w:tc>
          <w:tcPr>
            <w:tcW w:w="647" w:type="dxa"/>
            <w:vAlign w:val="center"/>
            <w:textDirection w:val="lrTb"/>
            <w:noWrap w:val="false"/>
          </w:tcPr>
          <w:p>
            <w:pPr>
              <w:pStyle w:val="871"/>
              <w:jc w:val="center"/>
              <w:spacing w:before="68" w:line="288" w:lineRule="auto"/>
              <w:rPr>
                <w:rFonts w:hint="eastAsia" w:ascii="宋体" w:hAnsi="宋体" w:eastAsia="宋体" w:cs="宋体"/>
                <w:sz w:val="21"/>
                <w:szCs w:val="21"/>
                <w:highlight w:val="none"/>
                <w:lang w:val="en-US" w:eastAsia="zh-CN" w:bidi="ar-SA"/>
              </w:rPr>
            </w:pPr>
            <w:r>
              <w:rPr>
                <w:rFonts w:hint="eastAsia" w:ascii="宋体" w:hAnsi="宋体" w:cs="宋体"/>
              </w:rPr>
              <w:t xml:space="preserve">8</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lang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line="240" w:lineRule="auto"/>
              <w:widowControl w:val="off"/>
              <w:rPr>
                <w:rFonts w:ascii="宋体" w:hAnsi="宋体" w:eastAsia="宋体" w:cs="宋体"/>
                <w:sz w:val="21"/>
                <w:szCs w:val="21"/>
                <w:highlight w:val="none"/>
                <w:lang w:val="en-US" w:eastAsia="zh-CN" w:bidi="ar-SA"/>
              </w:rPr>
            </w:pPr>
            <w:r>
              <w:rPr>
                <w:rFonts w:hint="eastAsia" w:ascii="宋体" w:hAnsi="宋体" w:eastAsia="宋体" w:cs="宋体"/>
                <w:highlight w:val="none"/>
                <w:lang w:val="en-US" w:eastAsia="zh-CN"/>
              </w:rPr>
              <w:t xml:space="preserve">2.4</w:t>
            </w:r>
            <w:r>
              <w:rPr>
                <w:rFonts w:ascii="宋体" w:hAnsi="宋体" w:eastAsia="宋体" w:cs="宋体"/>
                <w:sz w:val="21"/>
                <w:szCs w:val="21"/>
                <w:highlight w:val="none"/>
                <w:lang w:val="en-US" w:eastAsia="zh-CN" w:bidi="ar-SA"/>
              </w:rPr>
            </w:r>
            <w:r/>
          </w:p>
        </w:tc>
        <w:tc>
          <w:tcPr>
            <w:tcW w:w="1179" w:type="dxa"/>
            <w:vAlign w:val="center"/>
            <w:textDirection w:val="lrTb"/>
            <w:noWrap w:val="false"/>
          </w:tcPr>
          <w:p>
            <w:pPr>
              <w:pStyle w:val="871"/>
              <w:ind w:right="108"/>
              <w:jc w:val="left"/>
              <w:spacing w:before="68" w:line="288" w:lineRule="auto"/>
              <w:rPr>
                <w:rFonts w:hint="eastAsia" w:ascii="宋体" w:hAnsi="宋体" w:eastAsia="宋体" w:cs="宋体"/>
                <w:spacing w:val="-2"/>
                <w:lang w:val="en-US" w:eastAsia="zh-CN"/>
              </w:rPr>
            </w:pPr>
            <w:r>
              <w:rPr>
                <w:rFonts w:hint="eastAsia" w:ascii="宋体" w:hAnsi="宋体" w:eastAsia="宋体" w:cs="宋体"/>
                <w:spacing w:val="-2"/>
                <w:lang w:eastAsia="zh-CN"/>
              </w:rPr>
              <w:t xml:space="preserve">智慧南京中心场所运维方案</w:t>
            </w:r>
            <w:r>
              <w:rPr>
                <w:rFonts w:hint="eastAsia" w:ascii="宋体" w:hAnsi="宋体" w:eastAsia="宋体" w:cs="宋体"/>
                <w:spacing w:val="-2"/>
                <w:lang w:val="en-US" w:eastAsia="zh-CN"/>
              </w:rPr>
            </w:r>
            <w:r/>
          </w:p>
        </w:tc>
        <w:tc>
          <w:tcPr>
            <w:tcW w:w="6330" w:type="dxa"/>
            <w:vAlign w:val="center"/>
            <w:textDirection w:val="lrTb"/>
            <w:noWrap w:val="false"/>
          </w:tcPr>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提供针对智慧南京中心场所管理方案（包括所需开展工作、流程、措施等）综合评分：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（1）现场场所管理方案中场所管理计划、管理内容、管理措施全面，操作性强，得6分；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（2）现场场所管理方案中管理计划、管理内容、管理措施较全面，具有操作性，得3分；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（3）方案中管理计划、管理内容、管理措施不全面或未提供的不得分。</w:t>
            </w:r>
            <w:r>
              <w:rPr>
                <w:rFonts w:ascii="宋体" w:hAnsi="宋体" w:eastAsia="宋体" w:cs="宋体"/>
                <w:lang w:val="en-US" w:eastAsia="zh-CN"/>
              </w:rPr>
            </w:r>
            <w:r/>
          </w:p>
        </w:tc>
        <w:tc>
          <w:tcPr>
            <w:tcW w:w="647" w:type="dxa"/>
            <w:vAlign w:val="center"/>
            <w:textDirection w:val="lrTb"/>
            <w:noWrap w:val="false"/>
          </w:tcPr>
          <w:p>
            <w:pPr>
              <w:pStyle w:val="871"/>
              <w:jc w:val="center"/>
              <w:spacing w:before="68" w:line="288" w:lineRule="auto"/>
              <w:rPr>
                <w:rFonts w:hint="eastAsia" w:ascii="宋体" w:hAnsi="宋体" w:eastAsia="宋体" w:cs="宋体"/>
                <w:highlight w:val="none"/>
                <w:lang w:val="en-US" w:eastAsia="zh-CN"/>
              </w:rPr>
            </w:pPr>
            <w:r>
              <w:rPr>
                <w:rFonts w:hint="eastAsia" w:ascii="宋体" w:hAnsi="宋体" w:cs="宋体"/>
              </w:rPr>
              <w:t xml:space="preserve">6</w:t>
            </w:r>
            <w:r>
              <w:rPr>
                <w:rFonts w:hint="eastAsia" w:ascii="宋体" w:hAnsi="宋体" w:eastAsia="宋体" w:cs="宋体"/>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6"/>
              </w:rPr>
            </w:pPr>
            <w:r>
              <w:rPr>
                <w:rFonts w:hint="eastAsia" w:ascii="宋体" w:hAnsi="宋体" w:eastAsia="宋体" w:cs="宋体"/>
                <w:spacing w:val="-4"/>
                <w:lang w:eastAsia="zh-CN"/>
              </w:rPr>
              <w:t xml:space="preserve">主观分</w:t>
            </w:r>
            <w:r>
              <w:rPr>
                <w:rFonts w:ascii="宋体" w:hAnsi="宋体" w:eastAsia="宋体" w:cs="宋体"/>
                <w:spacing w:val="-6"/>
              </w:rPr>
            </w:r>
            <w:r/>
          </w:p>
        </w:tc>
      </w:tr>
      <w:tr>
        <w:trPr>
          <w:trHeight w:val="889"/>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highlight w:val="none"/>
                <w:lang w:val="en-US" w:eastAsia="zh-CN"/>
              </w:rPr>
              <w:t xml:space="preserve">2.5</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71"/>
              <w:ind w:right="108"/>
              <w:jc w:val="left"/>
              <w:spacing w:before="68" w:line="288" w:lineRule="auto"/>
              <w:rPr>
                <w:rFonts w:hint="eastAsia" w:ascii="宋体" w:hAnsi="宋体" w:eastAsia="宋体" w:cs="宋体"/>
                <w:spacing w:val="-2"/>
                <w:lang w:val="en-US" w:eastAsia="zh-CN"/>
              </w:rPr>
            </w:pPr>
            <w:r>
              <w:rPr>
                <w:rFonts w:hint="eastAsia" w:ascii="宋体" w:hAnsi="宋体" w:eastAsia="宋体" w:cs="宋体"/>
                <w:spacing w:val="-2"/>
                <w:lang w:eastAsia="zh-CN"/>
              </w:rPr>
              <w:t xml:space="preserve">智慧南京中心安全运维管理方案</w:t>
            </w:r>
            <w:r>
              <w:rPr>
                <w:rFonts w:hint="eastAsia" w:ascii="宋体" w:hAnsi="宋体" w:eastAsia="宋体" w:cs="宋体"/>
                <w:spacing w:val="-2"/>
                <w:lang w:val="en-US" w:eastAsia="zh-CN"/>
              </w:rPr>
            </w:r>
            <w:r/>
          </w:p>
        </w:tc>
        <w:tc>
          <w:tcPr>
            <w:tcW w:w="6330" w:type="dxa"/>
            <w:vAlign w:val="center"/>
            <w:textDirection w:val="lrTb"/>
            <w:noWrap w:val="false"/>
          </w:tcPr>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提供针对智慧南京中心安全运维管理方案（包括所需开展工作、流程、措施等）综合评分：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（1）现场安全管理方案中管理内容、管理措施全面，操作性强，得6分；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（2）现场安全管理方案中管理内容、管理措施全面，具有操作性，得3分；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（3）方案中管理计划、管理内容、管理措施不全面或未提供的不得分。</w:t>
            </w:r>
            <w:r>
              <w:rPr>
                <w:rFonts w:ascii="宋体" w:hAnsi="宋体" w:eastAsia="宋体" w:cs="宋体"/>
                <w:lang w:val="en-US" w:eastAsia="zh-CN"/>
              </w:rPr>
            </w:r>
            <w:r/>
          </w:p>
        </w:tc>
        <w:tc>
          <w:tcPr>
            <w:tcW w:w="647" w:type="dxa"/>
            <w:vAlign w:val="center"/>
            <w:textDirection w:val="lrTb"/>
            <w:noWrap w:val="false"/>
          </w:tcPr>
          <w:p>
            <w:pPr>
              <w:pStyle w:val="871"/>
              <w:jc w:val="center"/>
              <w:spacing w:before="68" w:line="288" w:lineRule="auto"/>
              <w:rPr>
                <w:rFonts w:ascii="宋体" w:hAnsi="宋体" w:eastAsia="宋体" w:cs="宋体"/>
                <w:highlight w:val="none"/>
                <w:lang w:val="en-US" w:eastAsia="zh-CN"/>
              </w:rPr>
            </w:pPr>
            <w:r>
              <w:rPr>
                <w:rFonts w:hint="eastAsia" w:ascii="宋体" w:hAnsi="宋体" w:cs="宋体"/>
              </w:rPr>
              <w:t xml:space="preserve">6</w:t>
            </w:r>
            <w:r>
              <w:rPr>
                <w:rFonts w:ascii="宋体" w:hAnsi="宋体" w:eastAsia="宋体" w:cs="宋体"/>
                <w:highlight w:val="none"/>
                <w:lang w:val="en-US" w:eastAsia="zh-CN"/>
              </w:rPr>
            </w:r>
            <w:r/>
          </w:p>
        </w:tc>
        <w:tc>
          <w:tcPr>
            <w:tcW w:w="900" w:type="dxa"/>
            <w:vAlign w:val="center"/>
            <w:textDirection w:val="lrTb"/>
            <w:noWrap w:val="false"/>
          </w:tcPr>
          <w:p>
            <w:pPr>
              <w:pStyle w:val="871"/>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主观分</w:t>
            </w:r>
            <w:r>
              <w:rPr>
                <w:rFonts w:hint="eastAsia" w:ascii="宋体" w:hAnsi="宋体" w:eastAsia="宋体" w:cs="宋体"/>
                <w:highlight w:val="none"/>
                <w:lang w:val="en-US" w:eastAsia="zh-CN"/>
              </w:rPr>
            </w:r>
            <w:r/>
          </w:p>
        </w:tc>
      </w:tr>
      <w:tr>
        <w:trPr>
          <w:trHeight w:val="889"/>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2.6</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71"/>
              <w:ind w:right="108"/>
              <w:jc w:val="left"/>
              <w:spacing w:before="68" w:line="288" w:lineRule="auto"/>
              <w:rPr>
                <w:rFonts w:hint="eastAsia" w:ascii="宋体" w:hAnsi="宋体" w:eastAsia="宋体" w:cs="宋体"/>
                <w:spacing w:val="-2"/>
                <w:lang w:val="en-US" w:eastAsia="zh-CN"/>
              </w:rPr>
            </w:pPr>
            <w:r>
              <w:rPr>
                <w:rFonts w:hint="eastAsia" w:ascii="宋体" w:hAnsi="宋体" w:eastAsia="宋体" w:cs="宋体"/>
                <w:spacing w:val="-2"/>
                <w:lang w:eastAsia="zh-CN"/>
              </w:rPr>
              <w:t xml:space="preserve">智慧南京中心运维重大活动保障方案</w:t>
            </w:r>
            <w:r>
              <w:rPr>
                <w:rFonts w:hint="eastAsia" w:ascii="宋体" w:hAnsi="宋体" w:eastAsia="宋体" w:cs="宋体"/>
                <w:spacing w:val="-2"/>
                <w:lang w:val="en-US" w:eastAsia="zh-CN"/>
              </w:rPr>
            </w:r>
            <w:r/>
          </w:p>
        </w:tc>
        <w:tc>
          <w:tcPr>
            <w:tcW w:w="6330" w:type="dxa"/>
            <w:vAlign w:val="center"/>
            <w:textDirection w:val="lrTb"/>
            <w:noWrap w:val="false"/>
          </w:tcPr>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提供的重大活动保障方案（包含并不限于活动演练、人员配备、应急处置、活动总结等）综合评分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（1）方案详尽合理、科学、全面，针对性强，能够贴合重大活动保障要求，得6分；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（2）方案基本详尽合理、基本科学全面，基本贴合智慧南京中心重大活动保障要求，得3分；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ascii="宋体" w:hAnsi="宋体" w:eastAsia="宋体" w:cs="宋体"/>
                <w:lang w:val="zh-CN" w:eastAsia="zh-CN"/>
              </w:rPr>
            </w:pPr>
            <w:r>
              <w:rPr>
                <w:rFonts w:hint="eastAsia" w:ascii="宋体" w:hAnsi="宋体" w:eastAsia="宋体" w:cs="宋体"/>
                <w:lang w:val="en-US" w:eastAsia="zh-CN"/>
              </w:rPr>
              <w:t xml:space="preserve">（3）方案不科学全面，不能贴合重大活动保障要求或未提供的不得分。</w:t>
            </w:r>
            <w:r>
              <w:rPr>
                <w:rFonts w:ascii="宋体" w:hAnsi="宋体" w:eastAsia="宋体" w:cs="宋体"/>
                <w:lang w:val="zh-CN" w:eastAsia="zh-CN"/>
              </w:rPr>
            </w:r>
            <w:r/>
          </w:p>
        </w:tc>
        <w:tc>
          <w:tcPr>
            <w:tcW w:w="647" w:type="dxa"/>
            <w:vAlign w:val="center"/>
            <w:textDirection w:val="lrTb"/>
            <w:noWrap w:val="false"/>
          </w:tcPr>
          <w:p>
            <w:pPr>
              <w:pStyle w:val="871"/>
              <w:jc w:val="center"/>
              <w:spacing w:before="68" w:line="288" w:lineRule="auto"/>
              <w:rPr>
                <w:rFonts w:ascii="宋体" w:hAnsi="宋体" w:eastAsia="宋体" w:cs="宋体"/>
                <w:sz w:val="21"/>
                <w:szCs w:val="22"/>
                <w:highlight w:val="none"/>
                <w:lang w:val="en-US" w:eastAsia="zh-CN" w:bidi="ar-SA"/>
              </w:rPr>
            </w:pPr>
            <w:r>
              <w:rPr>
                <w:rFonts w:hint="eastAsia" w:ascii="宋体" w:hAnsi="宋体" w:cs="宋体"/>
              </w:rPr>
              <w:t xml:space="preserve">6</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highlight w:val="none"/>
                <w:lang w:eastAsia="zh-CN"/>
              </w:rPr>
              <w:t xml:space="preserve">主观分</w:t>
            </w:r>
            <w:r>
              <w:rPr>
                <w:rFonts w:hint="eastAsia" w:ascii="宋体" w:hAnsi="宋体" w:eastAsia="宋体" w:cs="宋体"/>
                <w:spacing w:val="-6"/>
                <w:sz w:val="21"/>
                <w:szCs w:val="22"/>
                <w:highlight w:val="none"/>
                <w:lang w:val="en-US" w:eastAsia="zh-CN" w:bidi="ar-SA"/>
              </w:rPr>
            </w:r>
            <w:r/>
          </w:p>
        </w:tc>
      </w:tr>
      <w:tr>
        <w:trPr>
          <w:trHeight w:val="889"/>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2"/>
                <w:sz w:val="21"/>
                <w:szCs w:val="22"/>
                <w:highlight w:val="none"/>
                <w:lang w:val="en-US" w:eastAsia="zh-CN" w:bidi="ar-SA"/>
              </w:rPr>
            </w:pPr>
            <w:r>
              <w:rPr>
                <w:rFonts w:hint="eastAsia" w:ascii="宋体" w:hAnsi="宋体" w:eastAsia="宋体" w:cs="宋体"/>
                <w:spacing w:val="-2"/>
                <w:sz w:val="21"/>
                <w:szCs w:val="22"/>
                <w:highlight w:val="none"/>
                <w:lang w:val="en-US" w:eastAsia="zh-CN" w:bidi="ar-SA"/>
              </w:rPr>
              <w:t xml:space="preserve">2.7</w:t>
            </w:r>
            <w:r>
              <w:rPr>
                <w:rFonts w:ascii="宋体" w:hAnsi="宋体" w:eastAsia="宋体" w:cs="宋体"/>
                <w:spacing w:val="-2"/>
                <w:sz w:val="21"/>
                <w:szCs w:val="22"/>
                <w:highlight w:val="none"/>
                <w:lang w:val="en-US" w:eastAsia="zh-CN" w:bidi="ar-SA"/>
              </w:rPr>
            </w:r>
            <w:r/>
          </w:p>
        </w:tc>
        <w:tc>
          <w:tcPr>
            <w:tcW w:w="1179" w:type="dxa"/>
            <w:vAlign w:val="center"/>
            <w:textDirection w:val="lrTb"/>
            <w:noWrap w:val="false"/>
          </w:tcPr>
          <w:p>
            <w:pPr>
              <w:pStyle w:val="871"/>
              <w:ind w:right="108"/>
              <w:jc w:val="left"/>
              <w:spacing w:before="68" w:line="288" w:lineRule="auto"/>
              <w:rPr>
                <w:rFonts w:hint="eastAsia" w:ascii="宋体" w:hAnsi="宋体" w:eastAsia="宋体" w:cs="宋体"/>
                <w:spacing w:val="-2"/>
                <w:lang w:val="en-US" w:eastAsia="zh-CN"/>
              </w:rPr>
            </w:pPr>
            <w:r>
              <w:rPr>
                <w:rFonts w:hint="eastAsia" w:ascii="宋体" w:hAnsi="宋体" w:eastAsia="宋体" w:cs="宋体"/>
                <w:spacing w:val="-2"/>
                <w:lang w:eastAsia="zh-CN"/>
              </w:rPr>
              <w:t xml:space="preserve">智慧南京中心运维服务人员管理方案</w:t>
            </w:r>
            <w:r>
              <w:rPr>
                <w:rFonts w:hint="eastAsia" w:ascii="宋体" w:hAnsi="宋体" w:eastAsia="宋体" w:cs="宋体"/>
                <w:spacing w:val="-2"/>
                <w:lang w:val="en-US" w:eastAsia="zh-CN"/>
              </w:rPr>
            </w:r>
            <w:r/>
          </w:p>
        </w:tc>
        <w:tc>
          <w:tcPr>
            <w:tcW w:w="6330" w:type="dxa"/>
            <w:vAlign w:val="center"/>
            <w:textDirection w:val="lrTb"/>
            <w:noWrap w:val="false"/>
          </w:tcPr>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w:t>
            </w: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提供的运维服务人员管理方案（包含并不限于具体运维人员分工、日常管理、管理制度等）综合评分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（1）方案全面、科学、合理，能够贴合运维服务人员分工、日常管理，并形成完善制度，得6分；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（2）方案基本全面、科学、合理，能够基本贴合运维服务人员分工、日常管理，形成部分制度，得3分；</w:t>
            </w:r>
            <w:r>
              <w:rPr>
                <w:rFonts w:hint="eastAsia" w:ascii="宋体" w:hAnsi="宋体" w:eastAsia="宋体" w:cs="宋体"/>
                <w:lang w:val="en-US" w:eastAsia="zh-CN"/>
              </w:rPr>
            </w:r>
            <w:r/>
          </w:p>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（3）方案不全面、不合理或未提供的不得分。</w:t>
            </w:r>
            <w:r>
              <w:rPr>
                <w:rFonts w:hint="eastAsia" w:ascii="宋体" w:hAnsi="宋体" w:eastAsia="宋体" w:cs="宋体"/>
                <w:lang w:val="en-US" w:eastAsia="zh-CN"/>
              </w:rPr>
            </w:r>
            <w:r/>
          </w:p>
        </w:tc>
        <w:tc>
          <w:tcPr>
            <w:tcW w:w="647" w:type="dxa"/>
            <w:vAlign w:val="center"/>
            <w:textDirection w:val="lrTb"/>
            <w:noWrap w:val="false"/>
          </w:tcPr>
          <w:p>
            <w:pPr>
              <w:pStyle w:val="871"/>
              <w:jc w:val="center"/>
              <w:spacing w:before="68" w:line="288" w:lineRule="auto"/>
              <w:rPr>
                <w:rFonts w:hint="eastAsia" w:ascii="宋体" w:hAnsi="宋体" w:eastAsia="宋体" w:cs="宋体"/>
                <w:highlight w:val="none"/>
                <w:lang w:val="en-US" w:eastAsia="zh-CN"/>
              </w:rPr>
            </w:pPr>
            <w:r>
              <w:rPr>
                <w:rFonts w:hint="eastAsia" w:ascii="宋体" w:hAnsi="宋体" w:cs="宋体"/>
              </w:rPr>
              <w:t xml:space="preserve">6</w:t>
            </w:r>
            <w:r>
              <w:rPr>
                <w:rFonts w:hint="eastAsia" w:ascii="宋体" w:hAnsi="宋体" w:eastAsia="宋体" w:cs="宋体"/>
                <w:highlight w:val="none"/>
                <w:lang w:val="en-US" w:eastAsia="zh-CN"/>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hint="eastAsia" w:ascii="宋体" w:hAnsi="宋体" w:eastAsia="宋体" w:cs="宋体"/>
                <w:spacing w:val="-6"/>
                <w:highlight w:val="none"/>
                <w:lang w:eastAsia="zh-CN"/>
              </w:rPr>
            </w:pPr>
            <w:r>
              <w:rPr>
                <w:rFonts w:hint="eastAsia" w:ascii="宋体" w:hAnsi="宋体" w:eastAsia="宋体" w:cs="宋体"/>
                <w:spacing w:val="-6"/>
                <w:highlight w:val="none"/>
                <w:lang w:eastAsia="zh-CN"/>
              </w:rPr>
              <w:t xml:space="preserve">主观分</w:t>
            </w:r>
            <w:r>
              <w:rPr>
                <w:rFonts w:hint="eastAsia" w:ascii="宋体" w:hAnsi="宋体" w:eastAsia="宋体" w:cs="宋体"/>
                <w:spacing w:val="-6"/>
                <w:highlight w:val="none"/>
                <w:lang w:eastAsia="zh-CN"/>
              </w:rPr>
            </w:r>
            <w:r/>
          </w:p>
        </w:tc>
      </w:tr>
      <w:tr>
        <w:trPr>
          <w:trHeight w:val="472"/>
        </w:trPr>
        <w:tc>
          <w:tcPr>
            <w:gridSpan w:val="5"/>
            <w:tcW w:w="9575" w:type="dxa"/>
            <w:vAlign w:val="center"/>
            <w:textDirection w:val="lrTb"/>
            <w:noWrap w:val="false"/>
          </w:tcPr>
          <w:p>
            <w:pPr>
              <w:pStyle w:val="871"/>
              <w:jc w:val="both"/>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33"/>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71"/>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Times New Roman"/>
                <w:color w:val="000000"/>
                <w:sz w:val="21"/>
                <w:szCs w:val="21"/>
                <w:highlight w:val="none"/>
                <w:lang w:val="en-US" w:eastAsia="zh-CN"/>
              </w:rPr>
              <w:t xml:space="preserve">本地化服务能力</w:t>
            </w:r>
            <w:r>
              <w:rPr>
                <w:rFonts w:hint="eastAsia" w:ascii="宋体" w:hAnsi="宋体" w:eastAsia="宋体" w:cs="宋体"/>
                <w:spacing w:val="-2"/>
                <w:lang w:val="en-US" w:eastAsia="zh-CN"/>
              </w:rPr>
            </w:r>
            <w:r/>
          </w:p>
        </w:tc>
        <w:tc>
          <w:tcPr>
            <w:tcW w:w="6330" w:type="dxa"/>
            <w:vAlign w:val="center"/>
            <w:textDirection w:val="lrTb"/>
            <w:noWrap w:val="false"/>
          </w:tcPr>
          <w:p>
            <w:pPr>
              <w:pStyle w:val="871"/>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具有本地化服务能力得</w:t>
            </w:r>
            <w:r>
              <w:rPr>
                <w:rFonts w:ascii="宋体" w:hAnsi="宋体" w:eastAsia="宋体" w:cs="宋体"/>
                <w:lang w:val="en-US" w:eastAsia="zh-CN"/>
              </w:rPr>
              <w:t xml:space="preserve">2</w:t>
            </w:r>
            <w:r>
              <w:rPr>
                <w:rFonts w:hint="eastAsia" w:ascii="宋体" w:hAnsi="宋体" w:eastAsia="宋体" w:cs="宋体"/>
                <w:lang w:val="en-US" w:eastAsia="zh-CN"/>
              </w:rPr>
              <w:t xml:space="preserve">分</w:t>
            </w:r>
            <w:r>
              <w:rPr>
                <w:rFonts w:hint="eastAsia" w:ascii="宋体" w:hAnsi="宋体" w:eastAsia="宋体" w:cs="宋体"/>
                <w:lang w:val="en-US" w:eastAsia="zh-CN"/>
              </w:rPr>
              <w:t xml:space="preserve">，</w:t>
            </w:r>
            <w:r>
              <w:rPr>
                <w:rFonts w:hint="eastAsia" w:ascii="宋体" w:hAnsi="宋体" w:eastAsia="宋体" w:cs="宋体"/>
                <w:lang w:val="en-US" w:eastAsia="zh-CN"/>
              </w:rPr>
              <w:t xml:space="preserve">未提供</w:t>
            </w:r>
            <w:r>
              <w:rPr>
                <w:rFonts w:hint="eastAsia" w:ascii="宋体" w:hAnsi="宋体" w:eastAsia="宋体" w:cs="宋体"/>
                <w:lang w:val="en-US" w:eastAsia="zh-CN"/>
              </w:rPr>
              <w:t xml:space="preserve">不得分</w:t>
            </w:r>
            <w:r>
              <w:rPr>
                <w:rFonts w:hint="eastAsia" w:ascii="宋体" w:hAnsi="宋体" w:eastAsia="宋体" w:cs="宋体"/>
                <w:lang w:val="en-US" w:eastAsia="zh-CN"/>
              </w:rPr>
              <w:t xml:space="preserve">（提供承诺书或有效证明材料）</w:t>
            </w:r>
            <w:r>
              <w:rPr>
                <w:rFonts w:hint="eastAsia" w:ascii="宋体" w:hAnsi="宋体" w:eastAsia="宋体" w:cs="宋体"/>
                <w:lang w:val="en-US" w:eastAsia="zh-CN"/>
              </w:rPr>
              <w:t xml:space="preserve">。</w:t>
            </w:r>
            <w:r>
              <w:rPr>
                <w:rFonts w:hint="eastAsia" w:ascii="宋体" w:hAnsi="宋体" w:eastAsia="宋体" w:cs="宋体"/>
                <w:lang w:val="en-US" w:eastAsia="zh-CN"/>
              </w:rPr>
            </w:r>
            <w:r/>
          </w:p>
        </w:tc>
        <w:tc>
          <w:tcPr>
            <w:tcW w:w="647"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2</w:t>
            </w:r>
            <w:r>
              <w:rPr>
                <w:rFonts w:ascii="宋体" w:hAnsi="宋体" w:eastAsia="宋体" w:cs="宋体"/>
                <w:lang w:val="en-US" w:eastAsia="zh-CN"/>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71"/>
              <w:keepLines w:val="0"/>
              <w:keepNext w:val="0"/>
              <w:pageBreakBefore w:val="0"/>
              <w:spacing w:line="24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71"/>
              <w:jc w:val="both"/>
              <w:keepLines w:val="0"/>
              <w:keepNext w:val="0"/>
              <w:pageBreakBefore w:val="0"/>
              <w:spacing w:before="69" w:line="240"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71"/>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w:t>
            </w:r>
            <w:r>
              <w:rPr>
                <w:rFonts w:hint="eastAsia" w:ascii="宋体" w:hAnsi="宋体" w:eastAsia="宋体" w:cs="宋体"/>
                <w:lang w:val="en-US" w:eastAsia="zh-CN"/>
              </w:rPr>
              <w:t xml:space="preserve">具有自2021年1月1日</w:t>
            </w:r>
            <w:r>
              <w:rPr>
                <w:rFonts w:ascii="宋体" w:hAnsi="宋体" w:eastAsia="宋体" w:cs="宋体"/>
                <w:lang w:val="en-US" w:eastAsia="zh-CN"/>
              </w:rPr>
              <w:t xml:space="preserve">（含</w:t>
            </w:r>
            <w:r>
              <w:rPr>
                <w:rFonts w:hint="eastAsia" w:ascii="宋体" w:hAnsi="宋体" w:eastAsia="宋体" w:cs="宋体"/>
                <w:lang w:val="en-US" w:eastAsia="zh-CN"/>
              </w:rPr>
              <w:t xml:space="preserve">，以合同签订日期为准</w:t>
            </w:r>
            <w:r>
              <w:rPr>
                <w:rFonts w:ascii="宋体" w:hAnsi="宋体" w:eastAsia="宋体" w:cs="宋体"/>
                <w:lang w:val="en-US" w:eastAsia="zh-CN"/>
              </w:rPr>
              <w:t xml:space="preserve">）</w:t>
            </w:r>
            <w:r>
              <w:rPr>
                <w:rFonts w:hint="eastAsia" w:ascii="宋体" w:hAnsi="宋体" w:eastAsia="宋体" w:cs="宋体"/>
                <w:lang w:val="en-US" w:eastAsia="zh-CN"/>
              </w:rPr>
              <w:t xml:space="preserve">以来完成的类似项目业绩（至少包含：软硬件运维），每提供1个得2分，最多得6分</w:t>
            </w:r>
            <w:r>
              <w:rPr>
                <w:rFonts w:hint="eastAsia" w:ascii="宋体" w:hAnsi="宋体" w:eastAsia="宋体" w:cs="宋体"/>
                <w:lang w:val="en-US" w:eastAsia="zh-CN"/>
              </w:rPr>
              <w:t xml:space="preserve">，</w:t>
            </w:r>
            <w:r>
              <w:rPr>
                <w:rFonts w:hint="eastAsia" w:ascii="宋体" w:hAnsi="宋体" w:eastAsia="宋体" w:cs="宋体"/>
                <w:lang w:val="en-US" w:eastAsia="zh-CN"/>
              </w:rPr>
              <w:t xml:space="preserve">未提供</w:t>
            </w:r>
            <w:r>
              <w:rPr>
                <w:rFonts w:hint="eastAsia" w:ascii="宋体" w:hAnsi="宋体" w:eastAsia="宋体" w:cs="宋体"/>
                <w:lang w:val="en-US" w:eastAsia="zh-CN"/>
              </w:rPr>
              <w:t xml:space="preserve">不得分</w:t>
            </w:r>
            <w:r>
              <w:rPr>
                <w:rFonts w:hint="eastAsia" w:ascii="宋体" w:hAnsi="宋体" w:eastAsia="宋体" w:cs="宋体"/>
                <w:lang w:val="en-US" w:eastAsia="zh-CN"/>
              </w:rPr>
              <w:t xml:space="preserve">（提供合同，合同须能反映项目名称和主要标的物，签订时间和签章清晰可见）</w:t>
            </w:r>
            <w:r>
              <w:rPr>
                <w:rFonts w:hint="eastAsia" w:ascii="宋体" w:hAnsi="宋体" w:eastAsia="宋体" w:cs="宋体"/>
                <w:lang w:val="en-US" w:eastAsia="zh-CN"/>
              </w:rPr>
              <w:t xml:space="preserve">。</w:t>
            </w:r>
            <w:r>
              <w:rPr>
                <w:rFonts w:hint="eastAsia" w:ascii="宋体" w:hAnsi="宋体" w:eastAsia="宋体" w:cs="宋体"/>
                <w:lang w:val="en-US" w:eastAsia="zh-CN"/>
              </w:rPr>
            </w:r>
            <w:r/>
          </w:p>
        </w:tc>
        <w:tc>
          <w:tcPr>
            <w:tcW w:w="647" w:type="dxa"/>
            <w:vAlign w:val="center"/>
            <w:textDirection w:val="lrTb"/>
            <w:noWrap w:val="false"/>
          </w:tcPr>
          <w:p>
            <w:pPr>
              <w:pStyle w:val="871"/>
              <w:jc w:val="center"/>
              <w:keepLines w:val="0"/>
              <w:keepNext w:val="0"/>
              <w:pageBreakBefore w:val="0"/>
              <w:spacing w:line="240"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lang w:val="en-US" w:eastAsia="zh-CN"/>
              </w:rPr>
              <w:t xml:space="preserve">6</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71"/>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71"/>
              <w:spacing w:before="69" w:line="288" w:lineRule="auto"/>
              <w:rPr>
                <w:rFonts w:ascii="宋体" w:hAnsi="宋体" w:eastAsia="宋体" w:cs="宋体"/>
                <w:color w:val="000000"/>
                <w:spacing w:val="-1"/>
                <w:lang w:val="en-US" w:eastAsia="zh-CN"/>
              </w:rPr>
            </w:pPr>
            <w:r>
              <w:t xml:space="preserve">驻场项目负责人</w:t>
            </w:r>
            <w:r>
              <w:rPr>
                <w:rFonts w:ascii="宋体" w:hAnsi="宋体" w:eastAsia="宋体" w:cs="宋体"/>
                <w:color w:val="000000"/>
                <w:spacing w:val="-1"/>
                <w:lang w:val="en-US" w:eastAsia="zh-CN"/>
              </w:rPr>
            </w:r>
            <w:r/>
          </w:p>
        </w:tc>
        <w:tc>
          <w:tcPr>
            <w:tcW w:w="6330" w:type="dxa"/>
            <w:vAlign w:val="center"/>
            <w:textDirection w:val="lrTb"/>
            <w:noWrap w:val="false"/>
          </w:tcPr>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lang w:val="en-US" w:eastAsia="zh-CN"/>
              </w:rPr>
              <w:t xml:space="preserve">投标人</w:t>
            </w:r>
            <w:r>
              <w:rPr>
                <w:rFonts w:hint="eastAsia" w:ascii="宋体" w:hAnsi="宋体" w:cs="宋体"/>
                <w:lang w:val="en-US" w:eastAsia="zh-CN"/>
              </w:rPr>
              <w:t xml:space="preserve">拟投入本项目的驻场项目负责人具有：</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lang w:val="en-US" w:eastAsia="zh-CN"/>
              </w:rPr>
              <w:t xml:space="preserve">（1）信息系统项目管理师证书，得2分；</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lang w:val="en-US" w:eastAsia="zh-CN"/>
              </w:rPr>
              <w:t xml:space="preserve">（2）注册信息安全工程师证书（CISP），得2分；</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lang w:val="en-US" w:eastAsia="zh-CN"/>
              </w:rPr>
              <w:t xml:space="preserve">（3）ITSS IT服务项目经理证书，得2分；</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lang w:val="en-US" w:eastAsia="zh-CN"/>
              </w:rPr>
              <w:t xml:space="preserve">（4）信息与通信专业高级工程师证书，得2分。</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lang w:val="en-US" w:eastAsia="zh-CN"/>
              </w:rPr>
              <w:t xml:space="preserve">（提供证书，证书应能反映相关信息；以及供应商为其缴纳的2024年任意一个月的社保证明。）</w:t>
            </w:r>
            <w:r>
              <w:rPr>
                <w:rFonts w:hint="eastAsia" w:ascii="宋体" w:hAnsi="宋体" w:cs="宋体"/>
              </w:rPr>
            </w:r>
            <w:r/>
          </w:p>
        </w:tc>
        <w:tc>
          <w:tcPr>
            <w:tcW w:w="647" w:type="dxa"/>
            <w:vAlign w:val="center"/>
            <w:textDirection w:val="lrTb"/>
            <w:noWrap w:val="false"/>
          </w:tcPr>
          <w:p>
            <w:pPr>
              <w:pStyle w:val="871"/>
              <w:jc w:val="center"/>
              <w:spacing w:before="68" w:line="288" w:lineRule="auto"/>
              <w:rPr>
                <w:rFonts w:ascii="宋体" w:hAnsi="宋体" w:eastAsia="宋体" w:cs="宋体"/>
                <w:color w:val="000000"/>
                <w:sz w:val="21"/>
                <w:szCs w:val="22"/>
                <w:lang w:val="en-US" w:eastAsia="zh-CN" w:bidi="ar-SA"/>
              </w:rPr>
            </w:pPr>
            <w:r>
              <w:rPr>
                <w:rFonts w:hint="eastAsia" w:ascii="宋体" w:hAnsi="宋体" w:cs="宋体"/>
              </w:rPr>
              <w:t xml:space="preserve">8</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1"/>
              <w:spacing w:before="69" w:line="288" w:lineRule="auto"/>
              <w:rPr>
                <w:rFonts w:ascii="宋体" w:hAnsi="宋体" w:eastAsia="宋体" w:cs="宋体"/>
                <w:color w:val="000000"/>
                <w:spacing w:val="-1"/>
                <w:lang w:val="en-US" w:eastAsia="zh-CN"/>
              </w:rPr>
            </w:pPr>
            <w:r>
              <w:t xml:space="preserve">驻场项目运维人员</w:t>
            </w:r>
            <w:r>
              <w:rPr>
                <w:rFonts w:ascii="宋体" w:hAnsi="宋体" w:eastAsia="宋体" w:cs="宋体"/>
                <w:color w:val="000000"/>
                <w:spacing w:val="-1"/>
                <w:lang w:val="en-US" w:eastAsia="zh-CN"/>
              </w:rPr>
            </w:r>
            <w:r/>
          </w:p>
        </w:tc>
        <w:tc>
          <w:tcPr>
            <w:tcW w:w="6330" w:type="dxa"/>
            <w:vAlign w:val="center"/>
            <w:textDirection w:val="lrTb"/>
            <w:noWrap w:val="false"/>
          </w:tcPr>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投标人</w:t>
            </w:r>
            <w:r>
              <w:rPr>
                <w:rFonts w:hint="eastAsia" w:ascii="宋体" w:hAnsi="宋体" w:cs="宋体"/>
              </w:rPr>
              <w:t xml:space="preserve">拟投入本项目的项目运维人员（除驻场项目负责人外）具有：ITSS IT</w:t>
            </w:r>
            <w:r>
              <w:rPr>
                <w:rFonts w:hint="eastAsia" w:ascii="宋体" w:hAnsi="宋体" w:cs="宋体"/>
              </w:rPr>
              <w:t xml:space="preserve">服务工程师</w:t>
            </w:r>
            <w:r>
              <w:rPr>
                <w:rFonts w:hint="eastAsia" w:ascii="宋体" w:hAnsi="宋体" w:cs="宋体"/>
              </w:rPr>
              <w:t xml:space="preserve">证书</w:t>
            </w:r>
            <w:r>
              <w:rPr>
                <w:rFonts w:hint="eastAsia" w:ascii="宋体" w:hAnsi="宋体" w:cs="宋体"/>
              </w:rPr>
              <w:t xml:space="preserve">、信息安全工程师证书，IT运维工程师证书，系统集成项目管理工程师证书、数据库系统工程师证书，每提供1个证书得2分，最多得10分，一个证书只计一次分，一人多证可同时得分。</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（提供证书，证书应能反映相关信息；以及供应商为其缴纳的2024年任意一个月的社保证明。）</w:t>
            </w:r>
            <w:r>
              <w:rPr>
                <w:rFonts w:hint="eastAsia" w:ascii="宋体" w:hAnsi="宋体" w:cs="宋体"/>
              </w:rPr>
            </w:r>
            <w:r/>
          </w:p>
        </w:tc>
        <w:tc>
          <w:tcPr>
            <w:tcW w:w="647" w:type="dxa"/>
            <w:vAlign w:val="center"/>
            <w:textDirection w:val="lrTb"/>
            <w:noWrap w:val="false"/>
          </w:tcPr>
          <w:p>
            <w:pPr>
              <w:pStyle w:val="871"/>
              <w:jc w:val="center"/>
              <w:spacing w:before="68" w:line="288" w:lineRule="auto"/>
              <w:rPr>
                <w:rFonts w:ascii="宋体" w:hAnsi="宋体" w:eastAsia="宋体" w:cs="宋体"/>
                <w:sz w:val="21"/>
                <w:szCs w:val="22"/>
                <w:lang w:val="en-US" w:eastAsia="zh-CN" w:bidi="ar-SA"/>
              </w:rPr>
            </w:pPr>
            <w:r>
              <w:rPr>
                <w:rFonts w:hint="eastAsia" w:ascii="宋体" w:hAnsi="宋体" w:cs="宋体"/>
              </w:rPr>
              <w:t xml:space="preserve">10</w:t>
            </w:r>
            <w:r>
              <w:rPr>
                <w:rFonts w:ascii="宋体" w:hAnsi="宋体" w:eastAsia="宋体" w:cs="宋体"/>
                <w:sz w:val="21"/>
                <w:szCs w:val="22"/>
                <w:lang w:val="en-US" w:eastAsia="zh-CN" w:bidi="ar-SA"/>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383"/>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5.3</w:t>
            </w:r>
            <w:r>
              <w:rPr>
                <w:rFonts w:ascii="宋体" w:hAnsi="宋体" w:eastAsia="宋体" w:cs="宋体"/>
                <w:spacing w:val="-2"/>
                <w:lang w:val="en-US" w:eastAsia="zh-CN"/>
              </w:rPr>
            </w:r>
            <w:r/>
          </w:p>
        </w:tc>
        <w:tc>
          <w:tcPr>
            <w:tcW w:w="1179" w:type="dxa"/>
            <w:vAlign w:val="center"/>
            <w:textDirection w:val="lrTb"/>
            <w:noWrap w:val="false"/>
          </w:tcPr>
          <w:p>
            <w:pPr>
              <w:pStyle w:val="871"/>
              <w:jc w:val="both"/>
              <w:keepLines w:val="0"/>
              <w:keepNext w:val="0"/>
              <w:pageBreakBefore w:val="0"/>
              <w:spacing w:before="69" w:line="240" w:lineRule="auto"/>
              <w:widowControl w:val="off"/>
              <w:rPr>
                <w:rFonts w:hint="eastAsia" w:ascii="宋体" w:hAnsi="宋体" w:eastAsia="宋体" w:cs="宋体"/>
                <w:color w:val="000000"/>
                <w:spacing w:val="-1"/>
                <w:lang w:eastAsia="zh-CN"/>
              </w:rPr>
            </w:pPr>
            <w:r>
              <w:rPr>
                <w:rFonts w:hint="eastAsia" w:ascii="宋体" w:hAnsi="宋体" w:eastAsia="宋体" w:cs="宋体"/>
                <w:lang w:val="en-US" w:eastAsia="zh-CN"/>
              </w:rPr>
              <w:t xml:space="preserve">维护管理软件</w:t>
            </w:r>
            <w:r>
              <w:rPr>
                <w:rFonts w:hint="eastAsia" w:ascii="宋体" w:hAnsi="宋体" w:eastAsia="宋体" w:cs="宋体"/>
                <w:color w:val="000000"/>
                <w:spacing w:val="-1"/>
                <w:lang w:eastAsia="zh-CN"/>
              </w:rPr>
            </w:r>
            <w:r/>
          </w:p>
        </w:tc>
        <w:tc>
          <w:tcPr>
            <w:tcW w:w="6330" w:type="dxa"/>
            <w:vAlign w:val="center"/>
            <w:textDirection w:val="lrTb"/>
            <w:noWrap w:val="false"/>
          </w:tcPr>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投标人</w:t>
            </w:r>
            <w:r>
              <w:rPr>
                <w:rFonts w:hint="eastAsia" w:ascii="宋体" w:hAnsi="宋体" w:cs="宋体"/>
              </w:rPr>
              <w:t xml:space="preserve">拟投入本项目服务的维护管理软件包含：运维人员管理、资产信息化运维服务管理、信息安全运维管理和互联网通信设备检修应用功能，提供相应功能的软件著作权证书，每提供1</w:t>
            </w:r>
            <w:r>
              <w:rPr>
                <w:rFonts w:hint="eastAsia" w:ascii="宋体" w:hAnsi="宋体" w:cs="宋体"/>
              </w:rPr>
              <w:t xml:space="preserve">类</w:t>
            </w:r>
            <w:r>
              <w:rPr>
                <w:rFonts w:hint="eastAsia" w:ascii="宋体" w:hAnsi="宋体" w:cs="宋体"/>
              </w:rPr>
              <w:t xml:space="preserve">得2分，最多得8分。</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lang w:val="en-US" w:eastAsia="zh-CN"/>
              </w:rPr>
              <w:t xml:space="preserve">备注：所提供证书</w:t>
            </w:r>
            <w:r>
              <w:rPr>
                <w:rFonts w:hint="eastAsia" w:ascii="宋体" w:hAnsi="宋体" w:cs="宋体"/>
                <w:lang w:val="en-US" w:eastAsia="zh-CN"/>
              </w:rPr>
              <w:t xml:space="preserve">“</w:t>
            </w:r>
            <w:r>
              <w:rPr>
                <w:rFonts w:hint="eastAsia" w:ascii="宋体" w:hAnsi="宋体" w:cs="宋体"/>
                <w:lang w:val="en-US" w:eastAsia="zh-CN"/>
              </w:rPr>
              <w:t xml:space="preserve">软件名称</w:t>
            </w:r>
            <w:r>
              <w:rPr>
                <w:rFonts w:hint="eastAsia" w:ascii="宋体" w:hAnsi="宋体" w:cs="宋体"/>
                <w:lang w:val="en-US" w:eastAsia="zh-CN"/>
              </w:rPr>
              <w:t xml:space="preserve">”</w:t>
            </w:r>
            <w:r>
              <w:rPr>
                <w:rFonts w:hint="eastAsia" w:ascii="宋体" w:hAnsi="宋体" w:cs="宋体"/>
                <w:lang w:val="en-US" w:eastAsia="zh-CN"/>
              </w:rPr>
              <w:t xml:space="preserve">与评分细则规定不同时，应提供符合上述要求的内容（功能）说明及关键信息，否则不予认可。</w:t>
            </w:r>
            <w:r>
              <w:rPr>
                <w:rFonts w:hint="eastAsia" w:ascii="宋体" w:hAnsi="宋体" w:cs="宋体"/>
              </w:rPr>
            </w:r>
            <w:r/>
          </w:p>
        </w:tc>
        <w:tc>
          <w:tcPr>
            <w:tcW w:w="647" w:type="dxa"/>
            <w:vAlign w:val="center"/>
            <w:textDirection w:val="lrTb"/>
            <w:noWrap w:val="false"/>
          </w:tcPr>
          <w:p>
            <w:pPr>
              <w:pStyle w:val="871"/>
              <w:jc w:val="center"/>
              <w:keepLines w:val="0"/>
              <w:keepNext w:val="0"/>
              <w:pageBreakBefore w:val="0"/>
              <w:spacing w:before="68" w:line="240"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8</w:t>
            </w:r>
            <w:r>
              <w:rPr>
                <w:rFonts w:hint="eastAsia" w:ascii="宋体" w:hAnsi="宋体" w:eastAsia="宋体" w:cs="宋体"/>
                <w:sz w:val="21"/>
                <w:szCs w:val="22"/>
                <w:lang w:val="en-US" w:eastAsia="zh-CN" w:bidi="ar-SA"/>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5.4</w:t>
            </w:r>
            <w:r>
              <w:rPr>
                <w:rFonts w:ascii="宋体" w:hAnsi="宋体" w:eastAsia="宋体" w:cs="宋体"/>
                <w:spacing w:val="-2"/>
                <w:lang w:val="en-US" w:eastAsia="zh-CN"/>
              </w:rPr>
            </w:r>
            <w:r/>
          </w:p>
        </w:tc>
        <w:tc>
          <w:tcPr>
            <w:tcW w:w="1179" w:type="dxa"/>
            <w:vAlign w:val="center"/>
            <w:textDirection w:val="lrTb"/>
            <w:noWrap w:val="false"/>
          </w:tcPr>
          <w:p>
            <w:pPr>
              <w:pStyle w:val="871"/>
              <w:jc w:val="both"/>
              <w:keepLines w:val="0"/>
              <w:keepNext w:val="0"/>
              <w:pageBreakBefore w:val="0"/>
              <w:spacing w:before="69" w:line="240" w:lineRule="auto"/>
              <w:widowControl w:val="off"/>
              <w:rPr>
                <w:rFonts w:hint="eastAsia" w:ascii="宋体" w:hAnsi="宋体" w:eastAsia="宋体" w:cs="宋体"/>
                <w:color w:val="000000"/>
                <w:spacing w:val="-1"/>
                <w:lang w:eastAsia="zh-CN"/>
              </w:rPr>
            </w:pPr>
            <w:r>
              <w:rPr>
                <w:rFonts w:hint="eastAsia" w:ascii="宋体" w:hAnsi="宋体" w:cs="宋体"/>
                <w:spacing w:val="-1"/>
              </w:rPr>
              <w:t xml:space="preserve">备品备件</w:t>
            </w:r>
            <w:r>
              <w:rPr>
                <w:rFonts w:hint="eastAsia" w:ascii="宋体" w:hAnsi="宋体" w:eastAsia="宋体" w:cs="宋体"/>
                <w:color w:val="000000"/>
                <w:spacing w:val="-1"/>
                <w:lang w:eastAsia="zh-CN"/>
              </w:rPr>
            </w:r>
            <w:r/>
          </w:p>
        </w:tc>
        <w:tc>
          <w:tcPr>
            <w:tcW w:w="6330" w:type="dxa"/>
            <w:vAlign w:val="center"/>
            <w:textDirection w:val="lrTb"/>
            <w:noWrap w:val="false"/>
          </w:tcPr>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投标人</w:t>
            </w:r>
            <w:r>
              <w:rPr>
                <w:rFonts w:hint="eastAsia" w:ascii="宋体" w:hAnsi="宋体" w:cs="宋体"/>
              </w:rPr>
              <w:t xml:space="preserve">承诺所提供的备品备件能够与现有系统兼容：</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（1）分布式节点备件，不少于2件，其备件支持 3840x2160P@60Hz，1920x1200@60Hz、1920x1080P@60Hz 等主流分辨率的采集，具有1 路视频输入接口、1 路视频环出接口、1 路 3.5mm 音频输入接口、1 路 3.5mm 音频环出接口；</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（2）音频处理器备件，不少于1件，其备件支持8路输入8路输出，输入处理部分支持高切、低切、参量均衡、噪声门等处理功能，输出处理部分支持分频、参量均衡、增益、静音等处理功能；</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（3）调音台备件，不少于1件，其备件支持20路输入，输入包含12路专业麦克风和2路的立体声和专业的数字信号输入端口，16路输出，输出包含模拟输出口、数字输出端口和监听接口；</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（4）话筒混音器备件，不少于1件，其备件为6路智能混音器；</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（5）监控摄像机备件，不少于2件，其备件支持4mm焦距和红外夜视功能且监控摄像机图像分辨率不小于1920×1080。</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每承诺提供1项得2分，最多得10分。</w:t>
            </w:r>
            <w:r>
              <w:rPr>
                <w:rFonts w:hint="eastAsia" w:ascii="宋体" w:hAnsi="宋体" w:cs="宋体"/>
              </w:rPr>
            </w:r>
            <w:r/>
          </w:p>
          <w:p>
            <w:pPr>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（提供承诺并在合同签订前提供上述满足现场使用备品备件</w:t>
            </w:r>
            <w:r>
              <w:rPr>
                <w:rFonts w:hint="eastAsia" w:ascii="宋体" w:hAnsi="宋体" w:cs="宋体"/>
              </w:rPr>
              <w:t xml:space="preserve">，</w:t>
            </w:r>
            <w:r>
              <w:rPr>
                <w:rFonts w:hint="eastAsia" w:ascii="宋体" w:hAnsi="宋体" w:cs="宋体"/>
              </w:rPr>
              <w:t xml:space="preserve">承诺书</w:t>
            </w:r>
            <w:r>
              <w:rPr>
                <w:rFonts w:hint="eastAsia" w:ascii="宋体" w:hAnsi="宋体" w:cs="宋体"/>
              </w:rPr>
              <w:t xml:space="preserve">格式自拟</w:t>
            </w:r>
            <w:r>
              <w:rPr>
                <w:rFonts w:hint="eastAsia" w:ascii="宋体" w:hAnsi="宋体" w:cs="宋体"/>
              </w:rPr>
              <w:t xml:space="preserve">）</w:t>
            </w:r>
            <w:r>
              <w:rPr>
                <w:rFonts w:hint="eastAsia" w:ascii="宋体" w:hAnsi="宋体" w:cs="宋体"/>
              </w:rPr>
            </w:r>
            <w:r/>
          </w:p>
        </w:tc>
        <w:tc>
          <w:tcPr>
            <w:tcW w:w="647" w:type="dxa"/>
            <w:vAlign w:val="center"/>
            <w:textDirection w:val="lrTb"/>
            <w:noWrap w:val="false"/>
          </w:tcPr>
          <w:p>
            <w:pPr>
              <w:pStyle w:val="871"/>
              <w:jc w:val="center"/>
              <w:keepLines w:val="0"/>
              <w:keepNext w:val="0"/>
              <w:pageBreakBefore w:val="0"/>
              <w:spacing w:before="68"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71"/>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pacing w:val="-6"/>
              </w:rPr>
            </w:r>
            <w:r/>
          </w:p>
        </w:tc>
      </w:tr>
      <w:tr>
        <w:trPr>
          <w:trHeight w:val="464"/>
        </w:trPr>
        <w:tc>
          <w:tcPr>
            <w:tcW w:w="519" w:type="dxa"/>
            <w:vAlign w:val="center"/>
            <w:textDirection w:val="lrTb"/>
            <w:noWrap w:val="false"/>
          </w:tcPr>
          <w:p>
            <w:pPr>
              <w:pStyle w:val="871"/>
              <w:jc w:val="center"/>
              <w:keepLines w:val="0"/>
              <w:keepNext w:val="0"/>
              <w:pageBreakBefore w:val="0"/>
              <w:spacing w:line="24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71"/>
              <w:ind w:left="172"/>
              <w:jc w:val="center"/>
              <w:keepLines w:val="0"/>
              <w:keepNext w:val="0"/>
              <w:pageBreakBefore w:val="0"/>
              <w:spacing w:before="123" w:line="24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71"/>
              <w:jc w:val="center"/>
              <w:keepLines w:val="0"/>
              <w:keepNext w:val="0"/>
              <w:pageBreakBefore w:val="0"/>
              <w:spacing w:line="240"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1"/>
        <w:keepLines w:val="0"/>
        <w:keepNext w:val="0"/>
        <w:pageBreakBefore w:val="0"/>
        <w:spacing w:line="240" w:lineRule="auto"/>
        <w:widowControl w:val="off"/>
        <w:rPr>
          <w:rFonts w:hint="eastAsia"/>
        </w:rPr>
      </w:pPr>
      <w:r>
        <w:rPr>
          <w:rFonts w:hint="eastAsia"/>
        </w:rPr>
      </w:r>
      <w:r/>
    </w:p>
    <w:p>
      <w:pPr>
        <w:pStyle w:val="871"/>
        <w:keepLines w:val="0"/>
        <w:keepNext w:val="0"/>
        <w:pageBreakBefore w:val="0"/>
        <w:spacing w:line="240" w:lineRule="auto"/>
        <w:widowControl w:val="off"/>
        <w:rPr>
          <w:rFonts w:hint="eastAsia"/>
        </w:rPr>
      </w:pPr>
      <w:r>
        <w:rPr>
          <w:rFonts w:hint="eastAsia"/>
        </w:rPr>
      </w:r>
      <w:r/>
    </w:p>
    <w:p>
      <w:pPr>
        <w:pStyle w:val="883"/>
        <w:keepLines w:val="0"/>
        <w:keepNext w:val="0"/>
        <w:pageBreakBefore w:val="0"/>
        <w:spacing w:line="240" w:lineRule="auto"/>
        <w:widowControl w:val="off"/>
        <w:rPr>
          <w:rFonts w:hint="eastAsia"/>
        </w:rPr>
      </w:pPr>
      <w:r>
        <w:rPr>
          <w:rFonts w:hint="eastAsia"/>
        </w:rPr>
      </w:r>
      <w:r/>
    </w:p>
    <w:p>
      <w:pPr>
        <w:pStyle w:val="871"/>
        <w:keepLines w:val="0"/>
        <w:keepNext w:val="0"/>
        <w:pageBreakBefore w:val="0"/>
        <w:spacing w:line="240" w:lineRule="auto"/>
        <w:widowControl w:val="off"/>
        <w:rPr>
          <w:rFonts w:hint="eastAsia"/>
        </w:rPr>
      </w:pPr>
      <w:r>
        <w:rPr>
          <w:rFonts w:hint="eastAsia"/>
        </w:rPr>
      </w:r>
      <w:r/>
    </w:p>
    <w:p>
      <w:pPr>
        <w:pStyle w:val="871"/>
        <w:keepLines w:val="0"/>
        <w:keepNext w:val="0"/>
        <w:pageBreakBefore w:val="0"/>
        <w:spacing w:line="240" w:lineRule="auto"/>
        <w:widowControl w:val="off"/>
        <w:rPr>
          <w:rFonts w:hint="eastAsia"/>
        </w:rPr>
      </w:pPr>
      <w:r>
        <w:rPr>
          <w:rFonts w:hint="eastAsia"/>
        </w:rPr>
      </w:r>
      <w:r/>
    </w:p>
    <w:p>
      <w:pPr>
        <w:pStyle w:val="871"/>
        <w:keepLines w:val="0"/>
        <w:keepNext w:val="0"/>
        <w:pageBreakBefore w:val="0"/>
        <w:spacing w:line="288"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83"/>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1"/>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83"/>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1"/>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1"/>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rPr>
        <w:t xml:space="preserve">文件格式 </w:t>
      </w:r>
      <w:r>
        <w:rPr>
          <w:rFonts w:hint="eastAsia" w:ascii="方正小标宋简体" w:hAnsi="方正小标宋简体" w:eastAsia="方正小标宋简体" w:cs="方正小标宋简体"/>
          <w:color w:val="000000"/>
          <w:sz w:val="36"/>
          <w:szCs w:val="36"/>
          <w:lang w:val="en-US" w:eastAsia="zh-CN"/>
        </w:rPr>
      </w:r>
      <w:r/>
    </w:p>
    <w:p>
      <w:pPr>
        <w:pStyle w:val="871"/>
        <w:jc w:val="center"/>
        <w:rPr>
          <w:rFonts w:hint="eastAsia" w:ascii="宋体" w:hAnsi="宋体"/>
          <w:b/>
          <w:sz w:val="72"/>
        </w:rPr>
      </w:pPr>
      <w:r/>
      <w:bookmarkStart w:id="194" w:name="_Hlt26955039"/>
      <w:r/>
      <w:bookmarkEnd w:id="194"/>
      <w:r/>
      <w:bookmarkStart w:id="195" w:name="_Hlt26671244"/>
      <w:r/>
      <w:bookmarkEnd w:id="195"/>
      <w:r/>
      <w:bookmarkStart w:id="196" w:name="_Toc26554094"/>
      <w:r/>
      <w:bookmarkStart w:id="197" w:name="_Toc49090576"/>
      <w:r/>
      <w:bookmarkStart w:id="198" w:name="_Toc120614282"/>
      <w:r>
        <w:rPr>
          <w:rFonts w:hint="eastAsia" w:ascii="宋体" w:hAnsi="宋体"/>
          <w:b/>
          <w:sz w:val="72"/>
        </w:rPr>
      </w:r>
      <w:r/>
    </w:p>
    <w:p>
      <w:pPr>
        <w:pStyle w:val="871"/>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72"/>
        </w:rPr>
      </w:pPr>
      <w:r>
        <w:rPr>
          <w:rFonts w:hint="eastAsia" w:ascii="宋体" w:hAnsi="宋体"/>
          <w:b/>
          <w:sz w:val="72"/>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jc w:val="center"/>
        <w:rPr>
          <w:rFonts w:hint="eastAsia" w:ascii="宋体" w:hAnsi="宋体"/>
          <w:b/>
          <w:sz w:val="36"/>
        </w:rPr>
      </w:pPr>
      <w:r>
        <w:rPr>
          <w:rFonts w:hint="eastAsia" w:ascii="宋体" w:hAnsi="宋体"/>
          <w:b/>
          <w:sz w:val="36"/>
        </w:rPr>
      </w:r>
      <w:r/>
    </w:p>
    <w:p>
      <w:pPr>
        <w:pStyle w:val="871"/>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71"/>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rPr>
      </w:pPr>
      <w:r>
        <w:rPr>
          <w:rFonts w:ascii="宋体" w:hAnsi="宋体"/>
        </w:rPr>
      </w:r>
      <w:r/>
    </w:p>
    <w:p>
      <w:pPr>
        <w:pStyle w:val="871"/>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lang w:val="en-US" w:eastAsia="zh-CN"/>
        </w:rPr>
        <w:t xml:space="preserve">实质性要求响应及偏离表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w:t>
      </w:r>
      <w:r>
        <w:rPr>
          <w:rFonts w:hint="eastAsia" w:ascii="宋体" w:hAnsi="宋体" w:eastAsia="宋体" w:cs="宋体"/>
          <w:b w:val="0"/>
          <w:bCs w:val="0"/>
          <w:i w:val="0"/>
          <w:sz w:val="28"/>
          <w:szCs w:val="28"/>
          <w:u w:val="none"/>
          <w:lang w:val="en-US" w:eastAsia="zh-CN"/>
        </w:rPr>
        <w:t xml:space="preserve">中小企业声明函</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w:t>
      </w:r>
      <w:r>
        <w:rPr>
          <w:rFonts w:hint="eastAsia" w:ascii="宋体" w:hAnsi="宋体" w:eastAsia="宋体" w:cs="宋体"/>
          <w:b w:val="0"/>
          <w:bCs w:val="0"/>
          <w:i w:val="0"/>
          <w:sz w:val="28"/>
          <w:szCs w:val="28"/>
          <w:u w:val="none"/>
          <w:lang w:val="en-US" w:eastAsia="zh-CN"/>
        </w:rPr>
        <w:t xml:space="preserve">残疾人福利性单位声明函（如有）</w:t>
      </w:r>
      <w:r>
        <w:rPr>
          <w:rFonts w:hint="eastAsia" w:ascii="宋体" w:hAnsi="宋体" w:eastAsia="宋体" w:cs="宋体"/>
          <w:b w:val="0"/>
          <w:bCs w:val="0"/>
          <w:i w:val="0"/>
          <w:sz w:val="28"/>
          <w:szCs w:val="28"/>
          <w:u w:val="none"/>
          <w:lang w:val="en-US" w:eastAsia="zh-CN"/>
        </w:rPr>
      </w:r>
      <w:r/>
    </w:p>
    <w:p>
      <w:pPr>
        <w:pStyle w:val="871"/>
        <w:ind w:firstLine="480"/>
        <w:spacing w:line="440" w:lineRule="exact"/>
        <w:rPr>
          <w:rFonts w:ascii="宋体" w:hAnsi="宋体"/>
          <w:sz w:val="24"/>
        </w:rPr>
      </w:pPr>
      <w:r>
        <w:rPr>
          <w:rFonts w:ascii="宋体" w:hAnsi="宋体"/>
          <w:sz w:val="24"/>
        </w:rPr>
      </w:r>
      <w:r/>
    </w:p>
    <w:p>
      <w:pPr>
        <w:pStyle w:val="883"/>
        <w:rPr>
          <w:rFonts w:ascii="宋体" w:hAnsi="宋体"/>
          <w:sz w:val="24"/>
        </w:rPr>
      </w:pPr>
      <w:r>
        <w:rPr>
          <w:rFonts w:ascii="宋体" w:hAnsi="宋体"/>
          <w:sz w:val="24"/>
        </w:rPr>
      </w:r>
      <w:r/>
    </w:p>
    <w:p>
      <w:pPr>
        <w:pStyle w:val="871"/>
        <w:rPr>
          <w:rFonts w:ascii="宋体" w:hAnsi="宋体"/>
          <w:sz w:val="24"/>
        </w:rPr>
      </w:pPr>
      <w:r>
        <w:rPr>
          <w:rFonts w:ascii="宋体" w:hAnsi="宋体"/>
          <w:sz w:val="24"/>
        </w:rPr>
      </w:r>
      <w:r/>
    </w:p>
    <w:p>
      <w:pPr>
        <w:pStyle w:val="883"/>
        <w:rPr>
          <w:rFonts w:ascii="宋体" w:hAnsi="宋体"/>
          <w:sz w:val="24"/>
        </w:rPr>
      </w:pPr>
      <w:r>
        <w:rPr>
          <w:rFonts w:ascii="宋体" w:hAnsi="宋体"/>
          <w:sz w:val="24"/>
        </w:rPr>
      </w:r>
      <w:r/>
    </w:p>
    <w:p>
      <w:pPr>
        <w:pStyle w:val="871"/>
        <w:rPr>
          <w:rFonts w:ascii="宋体" w:hAnsi="宋体"/>
          <w:sz w:val="24"/>
        </w:rPr>
      </w:pPr>
      <w:r>
        <w:rPr>
          <w:rFonts w:ascii="宋体" w:hAnsi="宋体"/>
          <w:sz w:val="24"/>
        </w:rPr>
      </w:r>
      <w:r/>
    </w:p>
    <w:p>
      <w:pPr>
        <w:pStyle w:val="883"/>
      </w:pPr>
      <w:r/>
      <w:r/>
    </w:p>
    <w:p>
      <w:pPr>
        <w:pStyle w:val="871"/>
        <w:ind w:firstLine="480"/>
        <w:spacing w:line="440" w:lineRule="exact"/>
        <w:rPr>
          <w:rFonts w:ascii="宋体" w:hAnsi="宋体"/>
          <w:sz w:val="24"/>
        </w:rPr>
      </w:pPr>
      <w:r>
        <w:rPr>
          <w:rFonts w:ascii="宋体" w:hAnsi="宋体"/>
          <w:sz w:val="24"/>
        </w:rPr>
      </w:r>
      <w:r/>
    </w:p>
    <w:p>
      <w:pPr>
        <w:pStyle w:val="950"/>
        <w:rPr>
          <w:rFonts w:ascii="宋体" w:hAnsi="宋体"/>
          <w:sz w:val="24"/>
        </w:rPr>
      </w:pPr>
      <w:r>
        <w:rPr>
          <w:rFonts w:ascii="宋体" w:hAnsi="宋体"/>
          <w:sz w:val="24"/>
        </w:rPr>
      </w:r>
      <w:r/>
    </w:p>
    <w:p>
      <w:pPr>
        <w:pStyle w:val="950"/>
        <w:rPr>
          <w:rFonts w:ascii="宋体" w:hAnsi="宋体"/>
          <w:sz w:val="24"/>
        </w:rPr>
      </w:pPr>
      <w:r>
        <w:rPr>
          <w:rFonts w:ascii="宋体" w:hAnsi="宋体"/>
          <w:sz w:val="24"/>
        </w:rPr>
      </w:r>
      <w:r/>
    </w:p>
    <w:p>
      <w:pPr>
        <w:pStyle w:val="950"/>
        <w:rPr>
          <w:rFonts w:ascii="宋体" w:hAnsi="宋体"/>
          <w:sz w:val="24"/>
        </w:rPr>
      </w:pPr>
      <w:r>
        <w:rPr>
          <w:rFonts w:ascii="宋体" w:hAnsi="宋体"/>
          <w:sz w:val="24"/>
        </w:rPr>
      </w:r>
      <w:r/>
    </w:p>
    <w:p>
      <w:pPr>
        <w:pStyle w:val="950"/>
        <w:rPr>
          <w:rFonts w:ascii="宋体" w:hAnsi="宋体"/>
          <w:sz w:val="24"/>
        </w:rPr>
      </w:pPr>
      <w:r>
        <w:rPr>
          <w:rFonts w:ascii="宋体" w:hAnsi="宋体"/>
          <w:sz w:val="24"/>
        </w:rPr>
      </w:r>
      <w:r/>
    </w:p>
    <w:p>
      <w:pPr>
        <w:pStyle w:val="950"/>
        <w:rPr>
          <w:rFonts w:ascii="宋体" w:hAnsi="宋体"/>
          <w:sz w:val="24"/>
        </w:rPr>
      </w:pPr>
      <w:r>
        <w:rPr>
          <w:rFonts w:ascii="宋体" w:hAnsi="宋体"/>
          <w:sz w:val="24"/>
        </w:rPr>
      </w:r>
      <w:r/>
    </w:p>
    <w:p>
      <w:pPr>
        <w:pStyle w:val="871"/>
        <w:ind w:firstLine="480"/>
        <w:spacing w:line="440" w:lineRule="exact"/>
        <w:rPr>
          <w:rFonts w:ascii="宋体" w:hAnsi="宋体"/>
          <w:sz w:val="24"/>
        </w:rPr>
      </w:pPr>
      <w:r>
        <w:rPr>
          <w:rFonts w:ascii="宋体" w:hAnsi="宋体"/>
          <w:sz w:val="24"/>
        </w:rPr>
      </w:r>
      <w:r/>
    </w:p>
    <w:p>
      <w:pPr>
        <w:pStyle w:val="871"/>
        <w:rPr>
          <w:rFonts w:hint="eastAsia" w:ascii="黑体" w:hAnsi="黑体" w:eastAsia="黑体" w:cs="Times New Roman"/>
          <w:i/>
          <w:sz w:val="32"/>
          <w:szCs w:val="32"/>
          <w:u w:val="single"/>
          <w:lang w:val="en-US" w:eastAsia="zh-CN"/>
        </w:rPr>
      </w:pPr>
      <w:r/>
      <w:bookmarkEnd w:id="196"/>
      <w:r/>
      <w:bookmarkEnd w:id="197"/>
      <w:r/>
      <w:bookmarkEnd w:id="198"/>
      <w:r/>
      <w:bookmarkStart w:id="199" w:name="_Toc120614284"/>
      <w:r>
        <w:rPr>
          <w:rFonts w:hint="eastAsia" w:ascii="黑体" w:hAnsi="黑体" w:eastAsia="黑体" w:cs="Times New Roman"/>
          <w:i/>
          <w:sz w:val="32"/>
          <w:szCs w:val="32"/>
          <w:u w:val="single"/>
          <w:lang w:val="en-US" w:eastAsia="zh-CN"/>
        </w:rPr>
      </w:r>
      <w:r/>
    </w:p>
    <w:p>
      <w:pPr>
        <w:pStyle w:val="87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sz w:val="24"/>
          <w:szCs w:val="24"/>
          <w:lang w:val="zh-CN"/>
        </w:rPr>
        <w:t xml:space="preserve">〔202</w:t>
      </w:r>
      <w:r>
        <w:rPr>
          <w:rFonts w:hint="eastAsia" w:ascii="宋体" w:hAnsi="宋体" w:cs="Times New Roman"/>
          <w:b w:val="0"/>
          <w:bCs w:val="0"/>
          <w:sz w:val="24"/>
          <w:szCs w:val="24"/>
          <w:lang w:val="en-US" w:eastAsia="zh-CN"/>
        </w:rPr>
        <w:t xml:space="preserve">1</w:t>
      </w:r>
      <w:r>
        <w:rPr>
          <w:rFonts w:hint="eastAsia" w:ascii="宋体" w:hAnsi="宋体" w:eastAsia="宋体" w:cs="Times New Roman"/>
          <w:b w:val="0"/>
          <w:bCs w:val="0"/>
          <w:sz w:val="24"/>
          <w:szCs w:val="24"/>
          <w:lang w:val="zh-CN"/>
        </w:rPr>
        <w:t xml:space="preserve">〕5号</w:t>
      </w:r>
      <w:r>
        <w:rPr>
          <w:rFonts w:hint="eastAsia" w:ascii="宋体" w:hAnsi="宋体"/>
          <w:b w:val="0"/>
          <w:bCs w:val="0"/>
          <w:sz w:val="24"/>
          <w:szCs w:val="24"/>
          <w:lang w:eastAsia="zh-CN"/>
        </w:rPr>
        <w:t xml:space="preserve">）要求。</w:t>
      </w:r>
      <w:r>
        <w:rPr>
          <w:rFonts w:hint="eastAsia" w:ascii="宋体" w:hAnsi="宋体"/>
          <w:b w:val="0"/>
          <w:bCs w:val="0"/>
          <w:sz w:val="24"/>
          <w:szCs w:val="24"/>
          <w:lang w:eastAsia="zh-CN"/>
        </w:rPr>
      </w:r>
      <w:r/>
    </w:p>
    <w:p>
      <w:pPr>
        <w:pStyle w:val="989"/>
        <w:rPr>
          <w:rFonts w:hint="eastAsia" w:ascii="宋体" w:hAnsi="宋体"/>
          <w:b/>
          <w:bCs/>
          <w:sz w:val="21"/>
          <w:szCs w:val="21"/>
          <w:lang w:eastAsia="zh-CN"/>
        </w:rPr>
      </w:pPr>
      <w:r>
        <w:rPr>
          <w:rFonts w:hint="eastAsia" w:ascii="宋体" w:hAnsi="宋体"/>
          <w:b/>
          <w:bCs/>
          <w:sz w:val="21"/>
          <w:szCs w:val="21"/>
          <w:lang w:eastAsia="zh-CN"/>
        </w:rPr>
      </w:r>
      <w:r/>
    </w:p>
    <w:p>
      <w:pPr>
        <w:pStyle w:val="871"/>
        <w:rPr>
          <w:rFonts w:hint="eastAsia"/>
          <w:lang w:eastAsia="zh-CN"/>
        </w:rPr>
      </w:pPr>
      <w:r>
        <w:rPr>
          <w:rFonts w:hint="eastAsia"/>
          <w:lang w:eastAsia="zh-CN"/>
        </w:rPr>
      </w:r>
      <w:r/>
    </w:p>
    <w:p>
      <w:pPr>
        <w:pStyle w:val="87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9"/>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9"/>
        <w:rPr>
          <w:rFonts w:hint="eastAsia"/>
        </w:rPr>
      </w:pPr>
      <w:r>
        <w:rPr>
          <w:rFonts w:hint="eastAsia"/>
        </w:rPr>
      </w:r>
      <w:r/>
    </w:p>
    <w:p>
      <w:pPr>
        <w:pStyle w:val="871"/>
        <w:rPr>
          <w:rFonts w:hint="eastAsia"/>
        </w:rPr>
      </w:pPr>
      <w:r>
        <w:rPr>
          <w:rFonts w:hint="eastAsia"/>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1"/>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9"/>
        <w:ind w:firstLine="480"/>
        <w:spacing w:line="420" w:lineRule="exact"/>
        <w:tabs>
          <w:tab w:val="left" w:pos="360" w:leader="none"/>
        </w:tabs>
        <w:rPr>
          <w:rFonts w:hint="eastAsia"/>
          <w:sz w:val="24"/>
          <w:szCs w:val="24"/>
        </w:rPr>
      </w:pP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sz w:val="24"/>
          <w:szCs w:val="24"/>
          <w:u w:val="single"/>
          <w:lang w:eastAsia="zh-CN"/>
        </w:rPr>
        <w:t xml:space="preserve">JSZC-320100-JZCG-G2024-0184</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59"/>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9"/>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9"/>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9"/>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9"/>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0" w:name="_Hlt26955070"/>
      <w:r/>
      <w:bookmarkEnd w:id="200"/>
      <w:r/>
      <w:bookmarkStart w:id="201" w:name="_格式3__银行出具的资信证明"/>
      <w:r/>
      <w:bookmarkEnd w:id="201"/>
      <w:r/>
      <w:bookmarkStart w:id="202" w:name="_Hlt26671380"/>
      <w:r/>
      <w:bookmarkEnd w:id="202"/>
      <w:r>
        <w:rPr>
          <w:rFonts w:hint="eastAsia"/>
          <w:sz w:val="24"/>
          <w:szCs w:val="24"/>
        </w:rPr>
      </w:r>
      <w:r/>
    </w:p>
    <w:p>
      <w:pPr>
        <w:pStyle w:val="886"/>
        <w:rPr>
          <w:rFonts w:hint="eastAsia"/>
          <w:i/>
          <w:sz w:val="24"/>
          <w:szCs w:val="24"/>
          <w:u w:val="single"/>
        </w:rPr>
      </w:pPr>
      <w:r>
        <w:rPr>
          <w:rFonts w:hint="eastAsia"/>
          <w:i/>
          <w:sz w:val="24"/>
          <w:szCs w:val="24"/>
          <w:u w:val="single"/>
        </w:rPr>
      </w:r>
      <w:r/>
    </w:p>
    <w:p>
      <w:pPr>
        <w:pStyle w:val="886"/>
        <w:rPr>
          <w:rFonts w:hint="eastAsia"/>
          <w:i/>
          <w:sz w:val="24"/>
          <w:szCs w:val="24"/>
          <w:u w:val="single"/>
        </w:rPr>
      </w:pPr>
      <w:r>
        <w:rPr>
          <w:rFonts w:hint="eastAsia"/>
          <w:i/>
          <w:sz w:val="24"/>
          <w:szCs w:val="24"/>
          <w:u w:val="single"/>
        </w:rPr>
      </w:r>
      <w:r/>
    </w:p>
    <w:p>
      <w:pPr>
        <w:pStyle w:val="886"/>
        <w:rPr>
          <w:rFonts w:hint="eastAsia"/>
          <w:i/>
          <w:sz w:val="24"/>
          <w:szCs w:val="24"/>
          <w:u w:val="single"/>
        </w:rPr>
      </w:pPr>
      <w:r>
        <w:rPr>
          <w:rFonts w:hint="eastAsia"/>
          <w:i/>
          <w:sz w:val="24"/>
          <w:szCs w:val="24"/>
          <w:u w:val="single"/>
        </w:rPr>
      </w:r>
      <w:r/>
    </w:p>
    <w:p>
      <w:pPr>
        <w:pStyle w:val="886"/>
        <w:ind w:firstLine="0"/>
        <w:rPr>
          <w:rFonts w:hint="eastAsia"/>
        </w:rPr>
      </w:pPr>
      <w:r>
        <w:rPr>
          <w:rFonts w:hint="eastAsia"/>
        </w:rPr>
      </w:r>
      <w:r/>
    </w:p>
    <w:p>
      <w:pPr>
        <w:pStyle w:val="871"/>
        <w:spacing w:line="460" w:lineRule="exact"/>
        <w:rPr>
          <w:rFonts w:hint="eastAsia" w:ascii="楷体" w:hAnsi="楷体" w:eastAsia="楷体"/>
          <w:bCs/>
          <w:sz w:val="24"/>
          <w:szCs w:val="24"/>
        </w:rPr>
      </w:pPr>
      <w:r>
        <w:rPr>
          <w:rFonts w:hint="eastAsia" w:ascii="楷体" w:hAnsi="楷体" w:eastAsia="楷体"/>
          <w:bCs/>
          <w:sz w:val="24"/>
          <w:szCs w:val="24"/>
        </w:rPr>
      </w:r>
      <w:r/>
    </w:p>
    <w:p>
      <w:pPr>
        <w:pStyle w:val="871"/>
        <w:spacing w:line="460" w:lineRule="exact"/>
        <w:rPr>
          <w:rFonts w:hint="eastAsia" w:ascii="宋体" w:hAnsi="宋体"/>
          <w:bCs/>
          <w:sz w:val="24"/>
        </w:rPr>
      </w:pPr>
      <w:r>
        <w:rPr>
          <w:rFonts w:hint="eastAsia" w:ascii="宋体" w:hAnsi="宋体"/>
          <w:bCs/>
          <w:sz w:val="24"/>
        </w:rPr>
      </w:r>
      <w:r/>
    </w:p>
    <w:p>
      <w:pPr>
        <w:pStyle w:val="950"/>
        <w:rPr>
          <w:rFonts w:hint="eastAsia" w:ascii="宋体" w:hAnsi="宋体"/>
          <w:bCs/>
          <w:sz w:val="24"/>
        </w:rPr>
      </w:pPr>
      <w:r>
        <w:rPr>
          <w:rFonts w:hint="eastAsia" w:ascii="宋体" w:hAnsi="宋体"/>
          <w:bCs/>
          <w:sz w:val="24"/>
        </w:rPr>
      </w:r>
      <w:r/>
    </w:p>
    <w:p>
      <w:pPr>
        <w:pStyle w:val="950"/>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sz w:val="24"/>
          <w:szCs w:val="24"/>
          <w:u w:val="single"/>
          <w:lang w:eastAsia="zh-CN"/>
        </w:rPr>
        <w:t xml:space="preserve">JSZC-320100-JZCG-G2024-0184</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61"/>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1"/>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1"/>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r>
      <w:r/>
    </w:p>
    <w:p>
      <w:pPr>
        <w:pStyle w:val="961"/>
        <w:ind w:left="420"/>
        <w:spacing w:before="0" w:after="0" w:line="420" w:lineRule="exact"/>
        <w:rPr>
          <w:rFonts w:hint="eastAsia" w:ascii="宋体" w:hAnsi="宋体"/>
          <w:szCs w:val="21"/>
        </w:rPr>
      </w:pPr>
      <w:r>
        <w:rPr>
          <w:rFonts w:hint="eastAsia" w:ascii="宋体" w:hAnsi="宋体"/>
          <w:szCs w:val="21"/>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pStyle w:val="871"/>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7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7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1"/>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小写（人民币：元）：                             </w:t>
            </w:r>
            <w:r>
              <w:rPr>
                <w:rFonts w:hint="eastAsia" w:ascii="宋体" w:hAnsi="宋体"/>
                <w:szCs w:val="21"/>
              </w:rPr>
            </w:r>
            <w:r/>
          </w:p>
        </w:tc>
      </w:tr>
    </w:tbl>
    <w:p>
      <w:pPr>
        <w:pStyle w:val="87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71"/>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71"/>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1"/>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83"/>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rPr>
          <w:rFonts w:hint="eastAsia"/>
          <w:lang w:val="en-US" w:eastAsia="zh-CN"/>
        </w:rPr>
      </w:pPr>
      <w:r>
        <w:rPr>
          <w:rFonts w:hint="eastAsia"/>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1"/>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六、实质性要求响应及偏离表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实质性要求响应及偏离表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895"/>
        <w:gridCol w:w="3081"/>
        <w:gridCol w:w="2024"/>
        <w:gridCol w:w="1116"/>
      </w:tblGrid>
      <w:tr>
        <w:trPr>
          <w:cantSplit/>
        </w:trPr>
        <w:tc>
          <w:tcPr>
            <w:tcW w:w="766" w:type="dxa"/>
            <w:vAlign w:val="center"/>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95" w:type="dxa"/>
            <w:vAlign w:val="center"/>
            <w:textDirection w:val="lrTb"/>
            <w:noWrap w:val="false"/>
          </w:tcPr>
          <w:p>
            <w:pPr>
              <w:pStyle w:val="936"/>
              <w:jc w:val="center"/>
              <w:keepLines w:val="0"/>
              <w:keepNext w:val="0"/>
              <w:pageBreakBefore w:val="0"/>
              <w:spacing w:before="0" w:beforeAutospacing="0" w:after="0" w:afterAutospacing="0" w:line="440" w:lineRule="exact"/>
              <w:widowControl/>
              <w:rPr>
                <w:rFonts w:hint="eastAsia"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技术要求和商务要求中的实质性要求</w:t>
            </w:r>
            <w:r>
              <w:rPr>
                <w:rFonts w:ascii="宋体" w:hAnsi="宋体" w:eastAsia="宋体" w:cs="宋体"/>
                <w:b/>
                <w:color w:val="000000"/>
                <w:sz w:val="24"/>
                <w:szCs w:val="24"/>
                <w:u w:val="none"/>
              </w:rPr>
              <w:t xml:space="preserve">（</w:t>
            </w:r>
            <w:r>
              <w:rPr>
                <w:rFonts w:ascii="宋体" w:hAnsi="宋体" w:eastAsia="宋体" w:cs="宋体"/>
                <w:b/>
                <w:i w:val="0"/>
                <w:iCs/>
                <w:color w:val="000000"/>
                <w:sz w:val="24"/>
                <w:szCs w:val="24"/>
                <w:u w:val="none"/>
              </w:rPr>
              <w:t xml:space="preserve">斜体下划线内容</w:t>
            </w:r>
            <w:r>
              <w:rPr>
                <w:rFonts w:ascii="宋体" w:hAnsi="宋体" w:eastAsia="宋体" w:cs="宋体"/>
                <w:b/>
                <w:bCs/>
                <w:i w:val="0"/>
                <w:iCs w:val="0"/>
                <w:color w:val="000000"/>
                <w:sz w:val="24"/>
                <w:szCs w:val="24"/>
                <w:u w:val="none"/>
              </w:rPr>
              <w:t xml:space="preserve">或</w:t>
            </w:r>
            <w:r>
              <w:rPr>
                <w:rFonts w:ascii="宋体" w:hAnsi="宋体" w:eastAsia="宋体" w:cs="宋体"/>
                <w:b/>
                <w:bCs/>
                <w:color w:val="000000"/>
                <w:sz w:val="24"/>
                <w:szCs w:val="24"/>
              </w:rPr>
              <w:t xml:space="preserve">打“★”内容）</w:t>
            </w:r>
            <w:r>
              <w:rPr>
                <w:rFonts w:hint="eastAsia" w:ascii="宋体" w:hAnsi="宋体"/>
                <w:color w:val="000000"/>
                <w:sz w:val="24"/>
                <w:szCs w:val="24"/>
              </w:rPr>
            </w:r>
            <w:r/>
          </w:p>
        </w:tc>
        <w:tc>
          <w:tcPr>
            <w:tcW w:w="3081" w:type="dxa"/>
            <w:vAlign w:val="center"/>
            <w:textDirection w:val="lrTb"/>
            <w:noWrap w:val="false"/>
          </w:tcPr>
          <w:p>
            <w:pPr>
              <w:pStyle w:val="936"/>
              <w:jc w:val="center"/>
              <w:keepLines w:val="0"/>
              <w:keepNext w:val="0"/>
              <w:pageBreakBefore w:val="0"/>
              <w:spacing w:before="0" w:beforeAutospacing="0" w:after="0" w:afterAutospacing="0" w:line="440" w:lineRule="exact"/>
              <w:widowControl/>
              <w:rPr>
                <w:rFonts w:hint="eastAsia"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响应情况</w:t>
            </w:r>
            <w:r>
              <w:rPr>
                <w:rFonts w:hint="eastAsia" w:eastAsia="宋体" w:cs="宋体"/>
                <w:color w:val="000000"/>
                <w:sz w:val="24"/>
                <w:szCs w:val="24"/>
                <w:lang w:eastAsia="zh-CN"/>
              </w:rPr>
              <w:t xml:space="preserve">（填报“响应或完全响应”）</w:t>
            </w:r>
            <w:r>
              <w:rPr>
                <w:rFonts w:hint="eastAsia" w:ascii="宋体" w:hAnsi="宋体"/>
                <w:color w:val="000000"/>
                <w:sz w:val="24"/>
                <w:szCs w:val="24"/>
              </w:rPr>
            </w:r>
            <w:r/>
          </w:p>
        </w:tc>
        <w:tc>
          <w:tcPr>
            <w:tcW w:w="2024" w:type="dxa"/>
            <w:vAlign w:val="center"/>
            <w:textDirection w:val="lrTb"/>
            <w:noWrap w:val="false"/>
          </w:tcPr>
          <w:p>
            <w:pPr>
              <w:pStyle w:val="936"/>
              <w:jc w:val="center"/>
              <w:keepLines w:val="0"/>
              <w:keepNext w:val="0"/>
              <w:pageBreakBefore w:val="0"/>
              <w:spacing w:before="0" w:beforeAutospacing="0" w:after="0" w:afterAutospacing="0" w:line="440" w:lineRule="exact"/>
              <w:widowControl/>
              <w:rPr>
                <w:rFonts w:hint="eastAsia"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lang w:eastAsia="zh-CN"/>
              </w:rPr>
              <w:t xml:space="preserve">正偏离、无偏离</w:t>
            </w:r>
            <w:r>
              <w:rPr>
                <w:rFonts w:hint="eastAsia" w:ascii="宋体" w:hAnsi="宋体"/>
                <w:color w:val="000000"/>
                <w:sz w:val="24"/>
                <w:szCs w:val="24"/>
              </w:rPr>
            </w:r>
            <w:r/>
          </w:p>
        </w:tc>
        <w:tc>
          <w:tcPr>
            <w:tcW w:w="1116" w:type="dxa"/>
            <w:vAlign w:val="center"/>
            <w:textDirection w:val="lrTb"/>
            <w:noWrap w:val="false"/>
          </w:tcPr>
          <w:p>
            <w:pPr>
              <w:pStyle w:val="871"/>
              <w:jc w:val="center"/>
              <w:keepLines w:val="0"/>
              <w:keepNext w:val="0"/>
              <w:pageBreakBefore w:val="0"/>
              <w:spacing w:line="440" w:lineRule="exact"/>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871"/>
              <w:jc w:val="center"/>
              <w:keepLines w:val="0"/>
              <w:keepNext w:val="0"/>
              <w:pageBreakBefore w:val="0"/>
              <w:spacing w:line="440" w:lineRule="exact"/>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76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3081"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6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895"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081"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2024"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c>
          <w:tcPr>
            <w:tcW w:w="1116" w:type="dxa"/>
            <w:vAlign w:val="top"/>
            <w:textDirection w:val="lrTb"/>
            <w:noWrap w:val="false"/>
          </w:tcPr>
          <w:p>
            <w:pPr>
              <w:pStyle w:val="871"/>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936"/>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1.供应商必须对技术要求和商务要求中的实质性要求（</w:t>
      </w:r>
      <w:r>
        <w:rPr>
          <w:rFonts w:ascii="宋体" w:hAnsi="宋体" w:eastAsia="宋体" w:cs="宋体"/>
          <w:b/>
          <w:bCs/>
          <w:i w:val="0"/>
          <w:iCs/>
          <w:color w:val="000000"/>
          <w:sz w:val="24"/>
          <w:szCs w:val="24"/>
          <w:u w:val="none"/>
          <w:lang w:val="en-US" w:eastAsia="zh-CN"/>
        </w:rPr>
        <w:t xml:space="preserve">斜体下划线内容</w:t>
      </w:r>
      <w:r>
        <w:rPr>
          <w:rFonts w:ascii="宋体" w:hAnsi="宋体" w:eastAsia="宋体" w:cs="宋体"/>
          <w:b/>
          <w:bCs/>
          <w:color w:val="000000"/>
          <w:sz w:val="24"/>
          <w:szCs w:val="24"/>
          <w:lang w:val="en-US" w:eastAsia="zh-CN"/>
        </w:rPr>
        <w:t xml:space="preserve">或打“★”内容</w:t>
      </w:r>
      <w:r>
        <w:rPr>
          <w:rFonts w:ascii="宋体" w:hAnsi="宋体" w:eastAsia="宋体" w:cs="宋体"/>
          <w:color w:val="000000"/>
          <w:sz w:val="24"/>
          <w:szCs w:val="24"/>
          <w:lang w:val="en-US" w:eastAsia="zh-CN"/>
        </w:rPr>
        <w:t xml:space="preserve">）做出明确响应，否则作无效响应处理。</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2.采购文件要求提供证明材料</w:t>
      </w:r>
      <w:r>
        <w:rPr>
          <w:rFonts w:hint="eastAsia" w:ascii="宋体" w:hAnsi="宋体" w:eastAsia="宋体" w:cs="宋体"/>
          <w:color w:val="000000"/>
          <w:sz w:val="24"/>
          <w:szCs w:val="24"/>
          <w:lang w:val="en-US" w:eastAsia="zh-CN"/>
        </w:rPr>
        <w:t xml:space="preserve">的</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签订合同时</w:t>
      </w:r>
      <w:r>
        <w:rPr>
          <w:rFonts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lang w:val="en-US" w:eastAsia="zh-CN"/>
        </w:rPr>
        <w:t xml:space="preserve">应按采购人要求提供相关证明材料核验（如：白皮书、彩页、手册、网站截图、</w:t>
      </w:r>
      <w:r>
        <w:rPr>
          <w:rFonts w:ascii="宋体" w:hAnsi="宋体" w:eastAsia="宋体" w:cs="宋体"/>
          <w:color w:val="000000"/>
          <w:sz w:val="24"/>
          <w:szCs w:val="24"/>
          <w:lang w:val="en-US" w:eastAsia="zh-CN"/>
        </w:rPr>
        <w:t xml:space="preserve">具有CMA标识的检测报告</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3.供应商未对实质性要求作出明确响应的，或未按采购文件要求提供证明材料的，作无效响应处理。</w:t>
      </w:r>
      <w:r>
        <w:rPr>
          <w:rFonts w:ascii="宋体" w:hAnsi="宋体" w:eastAsia="宋体" w:cs="宋体"/>
          <w:color w:val="000000"/>
          <w:sz w:val="24"/>
          <w:szCs w:val="24"/>
          <w:lang w:val="en-US" w:eastAsia="zh-CN"/>
        </w:rPr>
      </w:r>
      <w:r/>
    </w:p>
    <w:p>
      <w:pPr>
        <w:pStyle w:val="936"/>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871"/>
        <w:rPr>
          <w:rFonts w:hint="eastAsia" w:ascii="黑体" w:hAnsi="黑体" w:eastAsia="黑体" w:cs="Times New Roman"/>
          <w:i w:val="0"/>
          <w:iCs/>
          <w:sz w:val="32"/>
          <w:szCs w:val="32"/>
          <w:u w:val="none"/>
          <w:lang w:val="en-US" w:eastAsia="zh-CN"/>
        </w:rPr>
      </w:pPr>
      <w:r/>
      <w:bookmarkEnd w:id="42"/>
      <w:r/>
      <w:bookmarkEnd w:id="43"/>
      <w:r/>
      <w:bookmarkEnd w:id="199"/>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71"/>
        <w:rPr>
          <w:rFonts w:hint="eastAsia" w:ascii="黑体" w:hAnsi="黑体" w:eastAsia="黑体" w:cs="Times New Roman"/>
          <w:bCs w:val="0"/>
          <w:i w:val="0"/>
          <w:iCs/>
          <w:sz w:val="32"/>
          <w:szCs w:val="32"/>
          <w:highlight w:val="none"/>
          <w:u w:val="none"/>
          <w:lang w:val="en-US" w:eastAsia="zh-CN"/>
        </w:rPr>
      </w:pPr>
      <w:r>
        <w:rPr>
          <w:rFonts w:hint="eastAsia" w:ascii="黑体" w:hAnsi="黑体" w:eastAsia="黑体" w:cs="Times New Roman"/>
          <w:i w:val="0"/>
          <w:iCs/>
          <w:sz w:val="32"/>
          <w:szCs w:val="32"/>
          <w:u w:val="none"/>
          <w:lang w:val="en-US" w:eastAsia="zh-CN"/>
        </w:rPr>
        <w:t xml:space="preserve">七、中小企业声明函</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eastAsia="zh-CN"/>
        </w:rPr>
        <w:t xml:space="preserve">JSZC-320100-JZCG-G2024-0184</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val="0"/>
          <w:sz w:val="32"/>
          <w:szCs w:val="32"/>
          <w:u w:val="none"/>
          <w:lang w:val="en-US" w:eastAsia="zh-CN"/>
        </w:rPr>
        <w:t xml:space="preserve">八、残疾人福利性单位声明</w:t>
      </w:r>
      <w:r>
        <w:rPr>
          <w:rFonts w:hint="eastAsia" w:ascii="黑体" w:hAnsi="黑体" w:eastAsia="黑体" w:cs="Times New Roman"/>
          <w:i w:val="0"/>
          <w:iCs w:val="0"/>
          <w:sz w:val="32"/>
          <w:szCs w:val="32"/>
          <w:u w:val="none"/>
          <w:lang w:val="en-US" w:eastAsia="zh-CN"/>
        </w:rPr>
        <w:t xml:space="preserve">函</w:t>
      </w:r>
      <w:r>
        <w:rPr>
          <w:rFonts w:hint="eastAsia" w:ascii="黑体" w:hAnsi="黑体" w:eastAsia="黑体"/>
          <w:b w:val="0"/>
          <w:sz w:val="32"/>
          <w:szCs w:val="32"/>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eastAsia="zh-CN"/>
        </w:rPr>
        <w:t xml:space="preserve">JSZC-320100-JZCG-G2024-0184</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３５</w:t>
    </w:r>
    <w:r>
      <w:rPr>
        <w:rFonts w:ascii="宋体" w:hAnsi="宋体"/>
      </w:rPr>
      <w:fldChar w:fldCharType="end"/>
    </w:r>
    <w:r>
      <w:rPr>
        <w:rStyle w:val="944"/>
        <w:rFonts w:ascii="宋体" w:hAnsi="宋体"/>
      </w:rPr>
    </w:r>
    <w:r/>
  </w:p>
  <w:p>
    <w:pPr>
      <w:pStyle w:val="9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3"/>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rFonts w:ascii="Times New Roman" w:hAnsi="Times New Roman"/>
      <w:sz w:val="21"/>
      <w:szCs w:val="21"/>
      <w:lang w:val="en-US" w:eastAsia="zh-CN" w:bidi="ar-SA"/>
    </w:rPr>
  </w:style>
  <w:style w:type="paragraph" w:styleId="872">
    <w:name w:val="标题 1"/>
    <w:basedOn w:val="871"/>
    <w:next w:val="871"/>
    <w:link w:val="884"/>
    <w:qFormat/>
    <w:pPr>
      <w:jc w:val="center"/>
      <w:keepNext/>
      <w:outlineLvl w:val="0"/>
    </w:pPr>
    <w:rPr>
      <w:rFonts w:ascii="楷体_GB2312" w:eastAsia="楷体_GB2312"/>
      <w:sz w:val="28"/>
      <w:szCs w:val="28"/>
    </w:rPr>
  </w:style>
  <w:style w:type="paragraph" w:styleId="873">
    <w:name w:val="标题 2"/>
    <w:basedOn w:val="871"/>
    <w:next w:val="886"/>
    <w:link w:val="885"/>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86"/>
    <w:link w:val="888"/>
    <w:qFormat/>
    <w:pPr>
      <w:keepLines/>
      <w:keepNext/>
      <w:spacing w:before="260" w:after="260" w:line="416" w:lineRule="auto"/>
      <w:outlineLvl w:val="2"/>
    </w:pPr>
    <w:rPr>
      <w:b/>
      <w:bCs/>
      <w:sz w:val="32"/>
      <w:szCs w:val="32"/>
    </w:rPr>
  </w:style>
  <w:style w:type="paragraph" w:styleId="875">
    <w:name w:val="标题 4"/>
    <w:basedOn w:val="871"/>
    <w:next w:val="886"/>
    <w:link w:val="889"/>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86"/>
    <w:link w:val="890"/>
    <w:qFormat/>
    <w:pPr>
      <w:keepNext/>
      <w:outlineLvl w:val="4"/>
    </w:pPr>
    <w:rPr>
      <w:rFonts w:ascii="宋体"/>
      <w:color w:val="000000"/>
      <w:sz w:val="28"/>
      <w:szCs w:val="28"/>
    </w:rPr>
  </w:style>
  <w:style w:type="paragraph" w:styleId="877">
    <w:name w:val="标题 6"/>
    <w:basedOn w:val="871"/>
    <w:next w:val="871"/>
    <w:link w:val="891"/>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2"/>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3"/>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4"/>
    <w:qFormat/>
    <w:pPr>
      <w:numPr>
        <w:ilvl w:val="8"/>
        <w:numId w:val="1"/>
      </w:numPr>
      <w:keepLines/>
      <w:keepNext/>
      <w:spacing w:before="240" w:after="64" w:line="320" w:lineRule="auto"/>
      <w:outlineLvl w:val="8"/>
    </w:pPr>
    <w:rPr>
      <w:rFonts w:ascii="Arial" w:hAnsi="Arial" w:eastAsia="黑体"/>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索引 41"/>
    <w:basedOn w:val="871"/>
    <w:next w:val="871"/>
    <w:link w:val="871"/>
    <w:semiHidden/>
    <w:qFormat/>
    <w:pPr>
      <w:ind w:left="1260"/>
    </w:pPr>
    <w:rPr>
      <w:rFonts w:ascii="Calibri" w:hAnsi="Calibri" w:eastAsia="Calibri" w:cs="宋体"/>
      <w:sz w:val="20"/>
      <w:lang w:val="zh-CN"/>
    </w:rPr>
  </w:style>
  <w:style w:type="character" w:styleId="884">
    <w:name w:val="标题 1 Char"/>
    <w:next w:val="884"/>
    <w:link w:val="872"/>
    <w:rPr>
      <w:rFonts w:ascii="楷体_GB2312" w:hAnsi="Times New Roman" w:eastAsia="楷体_GB2312" w:cs="Times New Roman"/>
      <w:sz w:val="28"/>
      <w:szCs w:val="28"/>
    </w:rPr>
  </w:style>
  <w:style w:type="character" w:styleId="885">
    <w:name w:val="标题 2 Char"/>
    <w:next w:val="885"/>
    <w:link w:val="873"/>
    <w:rPr>
      <w:rFonts w:ascii="Arial" w:hAnsi="Arial" w:eastAsia="幼圆" w:cs="Arial"/>
      <w:b/>
      <w:bCs/>
      <w:sz w:val="44"/>
      <w:szCs w:val="44"/>
    </w:rPr>
  </w:style>
  <w:style w:type="paragraph" w:styleId="886">
    <w:name w:val="正文缩进"/>
    <w:basedOn w:val="871"/>
    <w:next w:val="886"/>
    <w:link w:val="887"/>
    <w:pPr>
      <w:ind w:firstLine="420"/>
    </w:pPr>
  </w:style>
  <w:style w:type="character" w:styleId="887">
    <w:name w:val="正文缩进 Char"/>
    <w:next w:val="887"/>
    <w:link w:val="886"/>
    <w:rPr>
      <w:rFonts w:ascii="Times New Roman" w:hAnsi="Times New Roman" w:eastAsia="宋体" w:cs="Times New Roman"/>
      <w:szCs w:val="21"/>
    </w:rPr>
  </w:style>
  <w:style w:type="character" w:styleId="888">
    <w:name w:val="标题 3 Char"/>
    <w:next w:val="888"/>
    <w:link w:val="874"/>
    <w:rPr>
      <w:rFonts w:ascii="Times New Roman" w:hAnsi="Times New Roman" w:eastAsia="宋体" w:cs="Times New Roman"/>
      <w:b/>
      <w:bCs/>
      <w:sz w:val="32"/>
      <w:szCs w:val="32"/>
    </w:rPr>
  </w:style>
  <w:style w:type="character" w:styleId="889">
    <w:name w:val="标题 4 Char"/>
    <w:next w:val="889"/>
    <w:link w:val="875"/>
    <w:rPr>
      <w:rFonts w:ascii="Arial" w:hAnsi="Arial" w:eastAsia="黑体" w:cs="Arial"/>
      <w:b/>
      <w:bCs/>
      <w:sz w:val="28"/>
      <w:szCs w:val="28"/>
    </w:rPr>
  </w:style>
  <w:style w:type="character" w:styleId="890">
    <w:name w:val="标题 5 Char"/>
    <w:next w:val="890"/>
    <w:link w:val="876"/>
    <w:rPr>
      <w:rFonts w:ascii="宋体" w:hAnsi="Times New Roman" w:eastAsia="宋体" w:cs="Times New Roman"/>
      <w:color w:val="000000"/>
      <w:sz w:val="28"/>
      <w:szCs w:val="28"/>
    </w:rPr>
  </w:style>
  <w:style w:type="character" w:styleId="891">
    <w:name w:val="标题 6 Char"/>
    <w:next w:val="891"/>
    <w:link w:val="877"/>
    <w:rPr>
      <w:rFonts w:ascii="Arial" w:hAnsi="Arial" w:eastAsia="黑体" w:cs="Times New Roman"/>
      <w:b/>
      <w:bCs/>
      <w:sz w:val="24"/>
      <w:szCs w:val="24"/>
    </w:rPr>
  </w:style>
  <w:style w:type="character" w:styleId="892">
    <w:name w:val="标题 7 Char"/>
    <w:next w:val="892"/>
    <w:link w:val="878"/>
    <w:rPr>
      <w:rFonts w:ascii="Times New Roman" w:hAnsi="Times New Roman" w:eastAsia="宋体" w:cs="Times New Roman"/>
      <w:b/>
      <w:bCs/>
      <w:sz w:val="24"/>
      <w:szCs w:val="24"/>
    </w:rPr>
  </w:style>
  <w:style w:type="character" w:styleId="893">
    <w:name w:val="标题 8 Char"/>
    <w:next w:val="893"/>
    <w:link w:val="879"/>
    <w:rPr>
      <w:rFonts w:ascii="Arial" w:hAnsi="Arial" w:eastAsia="黑体" w:cs="Times New Roman"/>
      <w:sz w:val="24"/>
      <w:szCs w:val="24"/>
    </w:rPr>
  </w:style>
  <w:style w:type="character" w:styleId="894">
    <w:name w:val="标题 9 Char"/>
    <w:next w:val="894"/>
    <w:link w:val="880"/>
    <w:rPr>
      <w:rFonts w:ascii="Arial" w:hAnsi="Arial" w:eastAsia="黑体" w:cs="Times New Roman"/>
      <w:szCs w:val="21"/>
    </w:rPr>
  </w:style>
  <w:style w:type="paragraph" w:styleId="895">
    <w:name w:val="列表 3"/>
    <w:basedOn w:val="871"/>
    <w:next w:val="895"/>
    <w:link w:val="871"/>
    <w:pPr>
      <w:ind w:left="100" w:hanging="200"/>
    </w:pPr>
  </w:style>
  <w:style w:type="paragraph" w:styleId="896">
    <w:name w:val="目录 7"/>
    <w:basedOn w:val="871"/>
    <w:next w:val="871"/>
    <w:link w:val="871"/>
    <w:semiHidden/>
    <w:pPr>
      <w:ind w:left="1260"/>
      <w:jc w:val="left"/>
    </w:pPr>
  </w:style>
  <w:style w:type="paragraph" w:styleId="897">
    <w:name w:val="文档结构图"/>
    <w:basedOn w:val="871"/>
    <w:next w:val="897"/>
    <w:link w:val="898"/>
    <w:semiHidden/>
    <w:pPr>
      <w:shd w:val="clear" w:color="auto" w:fill="000080"/>
    </w:pPr>
  </w:style>
  <w:style w:type="character" w:styleId="898">
    <w:name w:val="文档结构图 Char"/>
    <w:next w:val="898"/>
    <w:link w:val="897"/>
    <w:semiHidden/>
    <w:rPr>
      <w:rFonts w:ascii="Times New Roman" w:hAnsi="Times New Roman" w:eastAsia="宋体" w:cs="Times New Roman"/>
      <w:szCs w:val="21"/>
      <w:shd w:val="clear" w:color="auto" w:fill="000080"/>
    </w:rPr>
  </w:style>
  <w:style w:type="paragraph" w:styleId="899">
    <w:name w:val="批注文字"/>
    <w:basedOn w:val="871"/>
    <w:next w:val="899"/>
    <w:link w:val="900"/>
    <w:semiHidden/>
    <w:pPr>
      <w:jc w:val="left"/>
    </w:pPr>
  </w:style>
  <w:style w:type="character" w:styleId="900">
    <w:name w:val="批注文字 Char"/>
    <w:next w:val="900"/>
    <w:link w:val="899"/>
    <w:semiHidden/>
    <w:rPr>
      <w:rFonts w:ascii="Times New Roman" w:hAnsi="Times New Roman" w:eastAsia="宋体" w:cs="Times New Roman"/>
      <w:szCs w:val="21"/>
    </w:rPr>
  </w:style>
  <w:style w:type="paragraph" w:styleId="901">
    <w:name w:val="正文文本 3"/>
    <w:basedOn w:val="871"/>
    <w:next w:val="901"/>
    <w:link w:val="902"/>
    <w:rPr>
      <w:rFonts w:ascii="仿宋_GB2312" w:hAnsi="Arial" w:eastAsia="仿宋_GB2312"/>
      <w:sz w:val="32"/>
      <w:szCs w:val="32"/>
    </w:rPr>
  </w:style>
  <w:style w:type="character" w:styleId="902">
    <w:name w:val="正文文本 3 Char"/>
    <w:next w:val="902"/>
    <w:link w:val="901"/>
    <w:rPr>
      <w:rFonts w:ascii="仿宋_GB2312" w:hAnsi="Arial" w:eastAsia="仿宋_GB2312" w:cs="Times New Roman"/>
      <w:sz w:val="32"/>
      <w:szCs w:val="32"/>
    </w:rPr>
  </w:style>
  <w:style w:type="paragraph" w:styleId="903">
    <w:name w:val="正文文本"/>
    <w:basedOn w:val="871"/>
    <w:next w:val="903"/>
    <w:link w:val="904"/>
    <w:rPr>
      <w:rFonts w:ascii="楷体_GB2312" w:hAnsi="Arial" w:eastAsia="楷体_GB2312"/>
      <w:sz w:val="28"/>
      <w:szCs w:val="28"/>
    </w:rPr>
  </w:style>
  <w:style w:type="character" w:styleId="904">
    <w:name w:val="正文文本 Char"/>
    <w:next w:val="904"/>
    <w:link w:val="903"/>
    <w:rPr>
      <w:rFonts w:ascii="楷体_GB2312" w:hAnsi="Arial" w:eastAsia="楷体_GB2312" w:cs="Times New Roman"/>
      <w:sz w:val="28"/>
      <w:szCs w:val="28"/>
    </w:rPr>
  </w:style>
  <w:style w:type="paragraph" w:styleId="905">
    <w:name w:val="正文文本缩进"/>
    <w:basedOn w:val="871"/>
    <w:next w:val="907"/>
    <w:link w:val="906"/>
    <w:pPr>
      <w:ind w:firstLine="645"/>
    </w:pPr>
    <w:rPr>
      <w:rFonts w:ascii="楷体_GB2312" w:eastAsia="楷体_GB2312"/>
      <w:sz w:val="32"/>
      <w:szCs w:val="32"/>
    </w:rPr>
  </w:style>
  <w:style w:type="character" w:styleId="906">
    <w:name w:val="正文文本缩进 Char"/>
    <w:next w:val="906"/>
    <w:link w:val="905"/>
    <w:rPr>
      <w:rFonts w:ascii="楷体_GB2312" w:hAnsi="Times New Roman" w:eastAsia="楷体_GB2312" w:cs="Times New Roman"/>
      <w:sz w:val="32"/>
      <w:szCs w:val="32"/>
    </w:rPr>
  </w:style>
  <w:style w:type="paragraph" w:styleId="907">
    <w:name w:val="正文首行缩进 2"/>
    <w:basedOn w:val="905"/>
    <w:next w:val="907"/>
    <w:link w:val="908"/>
    <w:pPr>
      <w:ind w:firstLine="420"/>
      <w:spacing w:line="360" w:lineRule="auto"/>
    </w:pPr>
    <w:rPr>
      <w:rFonts w:ascii="宋体" w:hAnsi="宋体" w:eastAsia="宋体"/>
      <w:sz w:val="21"/>
      <w:szCs w:val="20"/>
    </w:rPr>
  </w:style>
  <w:style w:type="character" w:styleId="908">
    <w:name w:val="正文首行缩进 2 Char"/>
    <w:next w:val="908"/>
    <w:link w:val="907"/>
    <w:rPr>
      <w:rFonts w:ascii="宋体" w:hAnsi="宋体" w:eastAsia="宋体" w:cs="Times New Roman"/>
      <w:sz w:val="32"/>
      <w:szCs w:val="20"/>
    </w:rPr>
  </w:style>
  <w:style w:type="paragraph" w:styleId="909">
    <w:name w:val="列表 2"/>
    <w:basedOn w:val="871"/>
    <w:next w:val="909"/>
    <w:link w:val="871"/>
    <w:pPr>
      <w:ind w:left="100" w:hanging="200"/>
    </w:pPr>
  </w:style>
  <w:style w:type="paragraph" w:styleId="910">
    <w:name w:val="目录 5"/>
    <w:basedOn w:val="871"/>
    <w:next w:val="871"/>
    <w:link w:val="871"/>
    <w:semiHidden/>
    <w:pPr>
      <w:ind w:left="840"/>
      <w:jc w:val="left"/>
    </w:pPr>
  </w:style>
  <w:style w:type="paragraph" w:styleId="911">
    <w:name w:val="目录 3"/>
    <w:basedOn w:val="871"/>
    <w:next w:val="871"/>
    <w:link w:val="871"/>
    <w:semiHidden/>
    <w:pPr>
      <w:ind w:left="420"/>
      <w:jc w:val="left"/>
    </w:pPr>
    <w:rPr>
      <w:i/>
      <w:iCs/>
      <w:szCs w:val="24"/>
    </w:rPr>
  </w:style>
  <w:style w:type="paragraph" w:styleId="912">
    <w:name w:val="纯文本"/>
    <w:basedOn w:val="871"/>
    <w:next w:val="912"/>
    <w:link w:val="913"/>
    <w:rPr>
      <w:rFonts w:ascii="宋体" w:hAnsi="Courier New" w:cs="Courier New"/>
    </w:rPr>
  </w:style>
  <w:style w:type="character" w:styleId="913">
    <w:name w:val="纯文本 Char"/>
    <w:next w:val="913"/>
    <w:link w:val="912"/>
    <w:rPr>
      <w:rFonts w:ascii="宋体" w:hAnsi="Courier New" w:eastAsia="宋体" w:cs="Courier New"/>
      <w:szCs w:val="21"/>
    </w:rPr>
  </w:style>
  <w:style w:type="paragraph" w:styleId="914">
    <w:name w:val="目录 8"/>
    <w:basedOn w:val="871"/>
    <w:next w:val="871"/>
    <w:link w:val="871"/>
    <w:semiHidden/>
    <w:pPr>
      <w:ind w:left="1470"/>
      <w:jc w:val="left"/>
    </w:pPr>
  </w:style>
  <w:style w:type="paragraph" w:styleId="915">
    <w:name w:val="日期"/>
    <w:basedOn w:val="871"/>
    <w:next w:val="871"/>
    <w:link w:val="916"/>
    <w:rPr>
      <w:sz w:val="24"/>
      <w:szCs w:val="24"/>
    </w:rPr>
  </w:style>
  <w:style w:type="character" w:styleId="916">
    <w:name w:val="日期 Char"/>
    <w:next w:val="916"/>
    <w:link w:val="915"/>
    <w:rPr>
      <w:rFonts w:ascii="Times New Roman" w:hAnsi="Times New Roman" w:eastAsia="宋体" w:cs="Times New Roman"/>
      <w:sz w:val="24"/>
      <w:szCs w:val="24"/>
    </w:rPr>
  </w:style>
  <w:style w:type="paragraph" w:styleId="917">
    <w:name w:val="正文文本缩进 2"/>
    <w:basedOn w:val="871"/>
    <w:next w:val="917"/>
    <w:link w:val="918"/>
    <w:pPr>
      <w:ind w:left="630" w:firstLine="645"/>
    </w:pPr>
    <w:rPr>
      <w:rFonts w:ascii="Arial" w:hAnsi="Arial" w:eastAsia="仿宋_GB2312" w:cs="Arial"/>
      <w:sz w:val="32"/>
      <w:szCs w:val="32"/>
    </w:rPr>
  </w:style>
  <w:style w:type="character" w:styleId="918">
    <w:name w:val="正文文本缩进 2 Char"/>
    <w:next w:val="918"/>
    <w:link w:val="917"/>
    <w:rPr>
      <w:rFonts w:ascii="Arial" w:hAnsi="Arial" w:eastAsia="仿宋_GB2312" w:cs="Arial"/>
      <w:sz w:val="32"/>
      <w:szCs w:val="32"/>
    </w:rPr>
  </w:style>
  <w:style w:type="paragraph" w:styleId="919">
    <w:name w:val="批注框文本"/>
    <w:basedOn w:val="871"/>
    <w:next w:val="919"/>
    <w:link w:val="920"/>
    <w:semiHidden/>
    <w:rPr>
      <w:sz w:val="18"/>
      <w:szCs w:val="18"/>
    </w:rPr>
  </w:style>
  <w:style w:type="character" w:styleId="920">
    <w:name w:val="批注框文本 Char"/>
    <w:next w:val="920"/>
    <w:link w:val="919"/>
    <w:semiHidden/>
    <w:rPr>
      <w:rFonts w:ascii="Times New Roman" w:hAnsi="Times New Roman" w:eastAsia="宋体" w:cs="Times New Roman"/>
      <w:sz w:val="18"/>
      <w:szCs w:val="18"/>
    </w:rPr>
  </w:style>
  <w:style w:type="paragraph" w:styleId="921">
    <w:name w:val="页脚"/>
    <w:basedOn w:val="871"/>
    <w:next w:val="921"/>
    <w:link w:val="922"/>
    <w:pPr>
      <w:jc w:val="left"/>
      <w:tabs>
        <w:tab w:val="center" w:pos="4153" w:leader="none"/>
        <w:tab w:val="right" w:pos="8306" w:leader="none"/>
      </w:tabs>
    </w:pPr>
    <w:rPr>
      <w:sz w:val="18"/>
      <w:szCs w:val="18"/>
    </w:rPr>
  </w:style>
  <w:style w:type="character" w:styleId="922">
    <w:name w:val="页脚 Char"/>
    <w:next w:val="922"/>
    <w:link w:val="921"/>
    <w:rPr>
      <w:rFonts w:ascii="Times New Roman" w:hAnsi="Times New Roman" w:eastAsia="宋体" w:cs="Times New Roman"/>
      <w:sz w:val="18"/>
      <w:szCs w:val="18"/>
    </w:rPr>
  </w:style>
  <w:style w:type="paragraph" w:styleId="923">
    <w:name w:val="页眉"/>
    <w:basedOn w:val="871"/>
    <w:next w:val="923"/>
    <w:link w:val="924"/>
    <w:pPr>
      <w:jc w:val="center"/>
      <w:tabs>
        <w:tab w:val="center" w:pos="4153" w:leader="none"/>
        <w:tab w:val="right" w:pos="8306" w:leader="none"/>
      </w:tabs>
      <w:pBdr>
        <w:bottom w:val="single" w:color="000000" w:sz="6" w:space="1"/>
      </w:pBdr>
    </w:pPr>
    <w:rPr>
      <w:sz w:val="18"/>
      <w:szCs w:val="18"/>
    </w:rPr>
  </w:style>
  <w:style w:type="character" w:styleId="924">
    <w:name w:val="页眉 Char"/>
    <w:next w:val="924"/>
    <w:link w:val="923"/>
    <w:rPr>
      <w:rFonts w:ascii="Times New Roman" w:hAnsi="Times New Roman" w:eastAsia="宋体" w:cs="Times New Roman"/>
      <w:sz w:val="18"/>
      <w:szCs w:val="18"/>
    </w:rPr>
  </w:style>
  <w:style w:type="paragraph" w:styleId="925">
    <w:name w:val="目录 1"/>
    <w:basedOn w:val="871"/>
    <w:next w:val="871"/>
    <w:link w:val="871"/>
    <w:semiHidden/>
    <w:pPr>
      <w:jc w:val="left"/>
      <w:spacing w:before="120" w:after="120" w:line="400" w:lineRule="exact"/>
      <w:tabs>
        <w:tab w:val="right" w:pos="8720" w:leader="dot"/>
      </w:tabs>
    </w:pPr>
    <w:rPr>
      <w:rFonts w:ascii="宋体" w:hAnsi="宋体"/>
      <w:caps/>
      <w:sz w:val="24"/>
      <w:szCs w:val="24"/>
    </w:rPr>
  </w:style>
  <w:style w:type="paragraph" w:styleId="926">
    <w:name w:val="目录 4"/>
    <w:basedOn w:val="871"/>
    <w:next w:val="871"/>
    <w:link w:val="871"/>
    <w:semiHidden/>
    <w:pPr>
      <w:ind w:left="630"/>
      <w:jc w:val="left"/>
    </w:pPr>
  </w:style>
  <w:style w:type="paragraph" w:styleId="927">
    <w:name w:val="列表"/>
    <w:basedOn w:val="871"/>
    <w:next w:val="927"/>
    <w:link w:val="871"/>
    <w:pPr>
      <w:ind w:left="200" w:hanging="200"/>
    </w:pPr>
  </w:style>
  <w:style w:type="paragraph" w:styleId="928">
    <w:name w:val="目录 6"/>
    <w:basedOn w:val="871"/>
    <w:next w:val="871"/>
    <w:link w:val="871"/>
    <w:semiHidden/>
    <w:pPr>
      <w:ind w:left="1050"/>
      <w:jc w:val="left"/>
    </w:pPr>
  </w:style>
  <w:style w:type="paragraph" w:styleId="929">
    <w:name w:val="正文文本缩进 3"/>
    <w:basedOn w:val="871"/>
    <w:next w:val="929"/>
    <w:link w:val="930"/>
    <w:pPr>
      <w:ind w:left="645" w:firstLine="645"/>
    </w:pPr>
    <w:rPr>
      <w:rFonts w:ascii="Arial" w:hAnsi="Arial" w:eastAsia="仿宋_GB2312" w:cs="Arial"/>
      <w:color w:val="ffff00"/>
      <w:sz w:val="32"/>
      <w:szCs w:val="32"/>
    </w:rPr>
  </w:style>
  <w:style w:type="character" w:styleId="930">
    <w:name w:val="正文文本缩进 3 Char"/>
    <w:next w:val="930"/>
    <w:link w:val="929"/>
    <w:rPr>
      <w:rFonts w:ascii="Arial" w:hAnsi="Arial" w:eastAsia="仿宋_GB2312" w:cs="Arial"/>
      <w:color w:val="ffff00"/>
      <w:sz w:val="32"/>
      <w:szCs w:val="32"/>
    </w:rPr>
  </w:style>
  <w:style w:type="paragraph" w:styleId="931">
    <w:name w:val="图表目录"/>
    <w:basedOn w:val="871"/>
    <w:next w:val="871"/>
    <w:link w:val="871"/>
    <w:semiHidden/>
    <w:pPr>
      <w:ind w:left="840" w:hanging="420"/>
    </w:pPr>
  </w:style>
  <w:style w:type="paragraph" w:styleId="932">
    <w:name w:val="目录 2"/>
    <w:basedOn w:val="871"/>
    <w:next w:val="871"/>
    <w:link w:val="871"/>
    <w:semiHidden/>
    <w:pPr>
      <w:ind w:left="210"/>
      <w:jc w:val="left"/>
    </w:pPr>
    <w:rPr>
      <w:smallCaps/>
      <w:szCs w:val="24"/>
    </w:rPr>
  </w:style>
  <w:style w:type="paragraph" w:styleId="933">
    <w:name w:val="目录 9"/>
    <w:basedOn w:val="871"/>
    <w:next w:val="871"/>
    <w:link w:val="871"/>
    <w:semiHidden/>
    <w:pPr>
      <w:ind w:left="1680"/>
      <w:jc w:val="left"/>
    </w:pPr>
  </w:style>
  <w:style w:type="paragraph" w:styleId="934">
    <w:name w:val="正文文本 2"/>
    <w:basedOn w:val="871"/>
    <w:next w:val="934"/>
    <w:link w:val="935"/>
    <w:pPr>
      <w:jc w:val="center"/>
      <w:widowControl/>
    </w:pPr>
    <w:rPr>
      <w:rFonts w:ascii="楷体_GB2312" w:eastAsia="楷体_GB2312"/>
      <w:sz w:val="28"/>
      <w:szCs w:val="28"/>
    </w:rPr>
  </w:style>
  <w:style w:type="character" w:styleId="935">
    <w:name w:val="正文文本 2 Char"/>
    <w:next w:val="935"/>
    <w:link w:val="934"/>
    <w:rPr>
      <w:rFonts w:ascii="楷体_GB2312" w:hAnsi="Times New Roman" w:eastAsia="楷体_GB2312" w:cs="Times New Roman"/>
      <w:sz w:val="28"/>
      <w:szCs w:val="28"/>
    </w:rPr>
  </w:style>
  <w:style w:type="paragraph" w:styleId="936">
    <w:name w:val="普通(网站)"/>
    <w:basedOn w:val="871"/>
    <w:next w:val="936"/>
    <w:link w:val="871"/>
    <w:uiPriority w:val="99"/>
    <w:pPr>
      <w:jc w:val="left"/>
      <w:spacing w:before="100" w:beforeAutospacing="1" w:after="100" w:afterAutospacing="1"/>
      <w:widowControl/>
    </w:pPr>
    <w:rPr>
      <w:rFonts w:ascii="宋体" w:hAnsi="宋体" w:cs="宋体"/>
      <w:sz w:val="24"/>
      <w:szCs w:val="24"/>
    </w:rPr>
  </w:style>
  <w:style w:type="paragraph" w:styleId="937">
    <w:name w:val="索引 1"/>
    <w:basedOn w:val="871"/>
    <w:next w:val="871"/>
    <w:link w:val="871"/>
    <w:semiHidden/>
    <w:pPr>
      <w:spacing w:line="240" w:lineRule="atLeast"/>
    </w:pPr>
    <w:rPr>
      <w:b/>
      <w:bCs/>
    </w:rPr>
  </w:style>
  <w:style w:type="paragraph" w:styleId="938">
    <w:name w:val="批注主题"/>
    <w:basedOn w:val="899"/>
    <w:next w:val="899"/>
    <w:link w:val="939"/>
    <w:semiHidden/>
    <w:rPr>
      <w:b/>
      <w:bCs/>
    </w:rPr>
  </w:style>
  <w:style w:type="character" w:styleId="939">
    <w:name w:val="批注主题 Char"/>
    <w:next w:val="939"/>
    <w:link w:val="938"/>
    <w:semiHidden/>
    <w:rPr>
      <w:rFonts w:ascii="Times New Roman" w:hAnsi="Times New Roman" w:eastAsia="宋体" w:cs="Times New Roman"/>
      <w:b/>
      <w:bCs/>
      <w:szCs w:val="21"/>
    </w:rPr>
  </w:style>
  <w:style w:type="paragraph" w:styleId="940">
    <w:name w:val="正文首行缩进"/>
    <w:basedOn w:val="871"/>
    <w:next w:val="940"/>
    <w:link w:val="941"/>
    <w:pPr>
      <w:ind w:firstLine="200"/>
      <w:spacing w:line="360" w:lineRule="auto"/>
    </w:pPr>
    <w:rPr>
      <w:rFonts w:ascii="仿宋_GB2312" w:eastAsia="仿宋_GB2312"/>
      <w:sz w:val="30"/>
      <w:szCs w:val="30"/>
    </w:rPr>
  </w:style>
  <w:style w:type="character" w:styleId="941">
    <w:name w:val="正文首行缩进 Char"/>
    <w:next w:val="941"/>
    <w:link w:val="940"/>
    <w:rPr>
      <w:rFonts w:ascii="仿宋_GB2312" w:hAnsi="Times New Roman" w:eastAsia="仿宋_GB2312" w:cs="Times New Roman"/>
      <w:sz w:val="30"/>
      <w:szCs w:val="30"/>
    </w:rPr>
  </w:style>
  <w:style w:type="table" w:styleId="942">
    <w:name w:val="网格型"/>
    <w:basedOn w:val="882"/>
    <w:next w:val="942"/>
    <w:link w:val="871"/>
    <w:pPr>
      <w:jc w:val="both"/>
      <w:widowControl w:val="off"/>
    </w:pPr>
    <w:rPr>
      <w:rFonts w:ascii="Times New Roman" w:hAnsi="Times New Roman" w:eastAsia="宋体" w:cs="Times New Roman"/>
      <w:sz w:val="20"/>
      <w:szCs w:val="20"/>
    </w:rPr>
    <w:tblPr/>
  </w:style>
  <w:style w:type="character" w:styleId="943">
    <w:name w:val="要点"/>
    <w:next w:val="943"/>
    <w:link w:val="871"/>
    <w:qFormat/>
    <w:rPr>
      <w:b/>
      <w:bCs/>
    </w:rPr>
  </w:style>
  <w:style w:type="character" w:styleId="944">
    <w:name w:val="页码"/>
    <w:next w:val="944"/>
    <w:link w:val="871"/>
  </w:style>
  <w:style w:type="character" w:styleId="945">
    <w:name w:val="已访问的超链接"/>
    <w:next w:val="945"/>
    <w:link w:val="871"/>
    <w:rPr>
      <w:color w:val="800080"/>
      <w:u w:val="single"/>
    </w:rPr>
  </w:style>
  <w:style w:type="character" w:styleId="946">
    <w:name w:val="超链接"/>
    <w:next w:val="946"/>
    <w:link w:val="871"/>
    <w:rPr>
      <w:color w:val="0000ff"/>
      <w:u w:val="single"/>
    </w:rPr>
  </w:style>
  <w:style w:type="character" w:styleId="947">
    <w:name w:val="批注引用"/>
    <w:next w:val="947"/>
    <w:link w:val="871"/>
    <w:semiHidden/>
    <w:rPr>
      <w:sz w:val="21"/>
      <w:szCs w:val="21"/>
    </w:rPr>
  </w:style>
  <w:style w:type="paragraph" w:styleId="948">
    <w:name w:val="标题 41"/>
    <w:basedOn w:val="871"/>
    <w:next w:val="949"/>
    <w:link w:val="871"/>
    <w:qFormat/>
    <w:pPr>
      <w:keepLines/>
      <w:keepNext/>
      <w:spacing w:before="280" w:after="290" w:line="376" w:lineRule="auto"/>
      <w:outlineLvl w:val="3"/>
    </w:pPr>
    <w:rPr>
      <w:rFonts w:ascii="Arial" w:hAnsi="Arial" w:eastAsia="黑体" w:cs="Arial"/>
      <w:b/>
      <w:bCs/>
      <w:sz w:val="28"/>
      <w:szCs w:val="28"/>
    </w:rPr>
  </w:style>
  <w:style w:type="paragraph" w:styleId="949">
    <w:name w:val="正文缩进1"/>
    <w:basedOn w:val="871"/>
    <w:next w:val="949"/>
    <w:link w:val="871"/>
    <w:qFormat/>
    <w:pPr>
      <w:ind w:firstLine="420"/>
    </w:pPr>
  </w:style>
  <w:style w:type="paragraph" w:styleId="950">
    <w:name w:val="正文文本12"/>
    <w:basedOn w:val="871"/>
    <w:next w:val="950"/>
    <w:link w:val="871"/>
    <w:uiPriority w:val="1"/>
    <w:qFormat/>
    <w:pPr>
      <w:ind w:left="120"/>
    </w:pPr>
    <w:rPr>
      <w:rFonts w:ascii="宋体" w:hAnsi="宋体" w:eastAsia="宋体" w:cs="宋体"/>
      <w:sz w:val="21"/>
      <w:szCs w:val="21"/>
      <w:lang w:val="zh-CN" w:eastAsia="zh-CN" w:bidi="zh-CN"/>
    </w:rPr>
  </w:style>
  <w:style w:type="character" w:styleId="951">
    <w:name w:val="font5 Char"/>
    <w:next w:val="951"/>
    <w:link w:val="871"/>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71"/>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71"/>
    <w:next w:val="955"/>
    <w:link w:val="954"/>
    <w:qFormat/>
    <w:pPr>
      <w:contextualSpacing/>
      <w:ind w:left="720"/>
      <w:jc w:val="left"/>
      <w:widowControl/>
    </w:pPr>
    <w:rPr>
      <w:rFonts w:ascii="Calibri" w:hAnsi="Calibri" w:eastAsia="宋体" w:cs="Times New Roman"/>
      <w:sz w:val="24"/>
      <w:szCs w:val="24"/>
      <w:lang w:eastAsia="en-US" w:bidi="en-US"/>
    </w:rPr>
  </w:style>
  <w:style w:type="paragraph" w:styleId="956">
    <w:name w:val="Body Text(ch)"/>
    <w:basedOn w:val="871"/>
    <w:next w:val="903"/>
    <w:link w:val="871"/>
    <w:pPr>
      <w:spacing w:after="120"/>
    </w:pPr>
    <w:rPr>
      <w:rFonts w:ascii="宋体" w:hAnsi="Arial"/>
      <w:bCs/>
      <w:iCs/>
      <w:szCs w:val="24"/>
    </w:rPr>
  </w:style>
  <w:style w:type="paragraph" w:styleId="957">
    <w:name w:val="xl27"/>
    <w:basedOn w:val="871"/>
    <w:next w:val="95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name w:val="xl26"/>
    <w:basedOn w:val="871"/>
    <w:next w:val="958"/>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9">
    <w:name w:val="Char"/>
    <w:basedOn w:val="871"/>
    <w:next w:val="959"/>
    <w:link w:val="871"/>
    <w:pPr>
      <w:ind w:firstLine="200"/>
      <w:tabs>
        <w:tab w:val="left" w:pos="360" w:leader="none"/>
      </w:tabs>
    </w:pPr>
    <w:rPr>
      <w:sz w:val="28"/>
      <w:szCs w:val="30"/>
    </w:rPr>
  </w:style>
  <w:style w:type="paragraph" w:styleId="960">
    <w:name w:val=" Char"/>
    <w:basedOn w:val="897"/>
    <w:next w:val="960"/>
    <w:link w:val="871"/>
    <w:rPr>
      <w:rFonts w:ascii="Tahoma" w:hAnsi="Tahoma"/>
      <w:sz w:val="24"/>
      <w:szCs w:val="24"/>
    </w:rPr>
  </w:style>
  <w:style w:type="paragraph" w:styleId="961">
    <w:name w:val="普通正文"/>
    <w:basedOn w:val="871"/>
    <w:next w:val="961"/>
    <w:link w:val="871"/>
    <w:pPr>
      <w:ind w:firstLine="480"/>
      <w:jc w:val="left"/>
      <w:spacing w:before="120" w:after="120" w:line="360" w:lineRule="auto"/>
    </w:pPr>
    <w:rPr>
      <w:rFonts w:ascii="Arial" w:hAnsi="Arial"/>
      <w:sz w:val="24"/>
      <w:szCs w:val="24"/>
    </w:rPr>
  </w:style>
  <w:style w:type="paragraph" w:styleId="962">
    <w:name w:val="table_lines"/>
    <w:basedOn w:val="871"/>
    <w:next w:val="962"/>
    <w:link w:val="871"/>
    <w:pPr>
      <w:jc w:val="left"/>
      <w:widowControl/>
    </w:pPr>
    <w:rPr>
      <w:sz w:val="20"/>
      <w:szCs w:val="20"/>
      <w:lang w:val="de-DE" w:eastAsia="de-DE"/>
    </w:rPr>
  </w:style>
  <w:style w:type="paragraph" w:styleId="963">
    <w:name w:val="附录1"/>
    <w:next w:val="963"/>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4">
    <w:name w:val="font7"/>
    <w:basedOn w:val="871"/>
    <w:next w:val="964"/>
    <w:link w:val="871"/>
    <w:pPr>
      <w:jc w:val="left"/>
      <w:spacing w:before="100" w:beforeAutospacing="1" w:after="100" w:afterAutospacing="1"/>
      <w:widowControl/>
    </w:pPr>
    <w:rPr>
      <w:rFonts w:hint="eastAsia" w:ascii="宋体" w:hAnsi="宋体"/>
      <w:sz w:val="18"/>
      <w:szCs w:val="18"/>
    </w:rPr>
  </w:style>
  <w:style w:type="paragraph" w:styleId="965">
    <w:name w:val=" Char Char Char Char"/>
    <w:basedOn w:val="897"/>
    <w:next w:val="965"/>
    <w:link w:val="871"/>
    <w:pPr>
      <w:spacing w:line="360" w:lineRule="auto"/>
    </w:pPr>
    <w:rPr>
      <w:rFonts w:ascii="Tahoma" w:hAnsi="Tahoma"/>
      <w:sz w:val="24"/>
      <w:szCs w:val="24"/>
    </w:rPr>
  </w:style>
  <w:style w:type="paragraph" w:styleId="966">
    <w:name w:val="列出段落"/>
    <w:basedOn w:val="871"/>
    <w:next w:val="966"/>
    <w:link w:val="871"/>
    <w:qFormat/>
    <w:pPr>
      <w:contextualSpacing/>
      <w:ind w:left="720"/>
      <w:jc w:val="left"/>
      <w:widowControl/>
    </w:pPr>
    <w:rPr>
      <w:rFonts w:ascii="Calibri" w:hAnsi="Calibri"/>
      <w:sz w:val="24"/>
      <w:szCs w:val="24"/>
      <w:lang w:eastAsia="en-US" w:bidi="en-US"/>
    </w:rPr>
  </w:style>
  <w:style w:type="paragraph" w:styleId="967">
    <w:name w:val="4"/>
    <w:basedOn w:val="871"/>
    <w:next w:val="929"/>
    <w:link w:val="871"/>
    <w:pPr>
      <w:ind w:firstLine="420"/>
      <w:spacing w:line="360" w:lineRule="auto"/>
    </w:pPr>
    <w:rPr>
      <w:color w:val="ff0000"/>
      <w:sz w:val="24"/>
      <w:szCs w:val="24"/>
    </w:rPr>
  </w:style>
  <w:style w:type="paragraph" w:styleId="968">
    <w:name w:val="普通 (Web)"/>
    <w:basedOn w:val="871"/>
    <w:next w:val="968"/>
    <w:link w:val="871"/>
    <w:pPr>
      <w:jc w:val="left"/>
      <w:spacing w:before="100" w:beforeAutospacing="1" w:after="100" w:afterAutospacing="1"/>
      <w:widowControl/>
    </w:pPr>
    <w:rPr>
      <w:rFonts w:ascii="宋体" w:hAnsi="宋体"/>
      <w:sz w:val="24"/>
      <w:szCs w:val="24"/>
    </w:rPr>
  </w:style>
  <w:style w:type="paragraph" w:styleId="969">
    <w:name w:val=" Char Char Char Char Char Char Char Char Char Char"/>
    <w:basedOn w:val="871"/>
    <w:next w:val="969"/>
    <w:link w:val="871"/>
    <w:pPr>
      <w:spacing w:line="360" w:lineRule="auto"/>
    </w:pPr>
    <w:rPr>
      <w:sz w:val="24"/>
      <w:szCs w:val="20"/>
    </w:rPr>
  </w:style>
  <w:style w:type="paragraph" w:styleId="970">
    <w:name w:val="样式1"/>
    <w:basedOn w:val="871"/>
    <w:next w:val="970"/>
    <w:link w:val="871"/>
    <w:pPr>
      <w:numPr>
        <w:ilvl w:val="0"/>
        <w:numId w:val="3"/>
      </w:numPr>
      <w:tabs>
        <w:tab w:val="left" w:pos="709" w:leader="none"/>
      </w:tabs>
    </w:pPr>
    <w:rPr>
      <w:rFonts w:ascii="宋体" w:hAnsi="宋体"/>
    </w:rPr>
  </w:style>
  <w:style w:type="paragraph" w:styleId="971">
    <w:name w:val="font6"/>
    <w:basedOn w:val="871"/>
    <w:next w:val="971"/>
    <w:link w:val="871"/>
    <w:pPr>
      <w:jc w:val="left"/>
      <w:spacing w:before="100" w:beforeAutospacing="1" w:after="100" w:afterAutospacing="1"/>
      <w:widowControl/>
    </w:pPr>
    <w:rPr>
      <w:rFonts w:hint="eastAsia" w:ascii="宋体" w:hAnsi="宋体"/>
      <w:sz w:val="28"/>
      <w:szCs w:val="28"/>
      <w:u w:val="single"/>
    </w:rPr>
  </w:style>
  <w:style w:type="paragraph" w:styleId="972">
    <w:name w:val="xl25"/>
    <w:basedOn w:val="871"/>
    <w:next w:val="972"/>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name w:val="图标"/>
    <w:basedOn w:val="871"/>
    <w:next w:val="871"/>
    <w:link w:val="87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4">
    <w:name w:val="标题3"/>
    <w:basedOn w:val="871"/>
    <w:next w:val="871"/>
    <w:link w:val="871"/>
    <w:pPr>
      <w:ind w:firstLine="624"/>
      <w:spacing w:line="590" w:lineRule="atLeast"/>
    </w:pPr>
    <w:rPr>
      <w:rFonts w:ascii="方正黑体_GBK" w:eastAsia="方正黑体_GBK"/>
      <w:sz w:val="32"/>
      <w:szCs w:val="32"/>
    </w:rPr>
  </w:style>
  <w:style w:type="paragraph" w:styleId="975">
    <w:name w:val="xl24"/>
    <w:basedOn w:val="871"/>
    <w:next w:val="975"/>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name w:val="xl29"/>
    <w:basedOn w:val="871"/>
    <w:next w:val="976"/>
    <w:link w:val="87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7">
    <w:name w:val="Char Char Char Char Char Char Char Char"/>
    <w:basedOn w:val="871"/>
    <w:next w:val="977"/>
    <w:link w:val="871"/>
    <w:pPr>
      <w:jc w:val="left"/>
      <w:spacing w:after="160" w:line="240" w:lineRule="exact"/>
      <w:widowControl/>
    </w:pPr>
    <w:rPr>
      <w:rFonts w:ascii="Verdana" w:hAnsi="Verdana"/>
      <w:sz w:val="20"/>
      <w:szCs w:val="20"/>
      <w:lang w:eastAsia="en-US"/>
    </w:rPr>
  </w:style>
  <w:style w:type="paragraph" w:styleId="978">
    <w:name w:val="xl28"/>
    <w:basedOn w:val="871"/>
    <w:next w:val="978"/>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9">
    <w:name w:val=" Char Char Char Char Char Char Char Char"/>
    <w:basedOn w:val="871"/>
    <w:next w:val="979"/>
    <w:link w:val="871"/>
    <w:pPr>
      <w:jc w:val="left"/>
      <w:spacing w:after="160" w:line="240" w:lineRule="exact"/>
      <w:widowControl/>
    </w:pPr>
    <w:rPr>
      <w:rFonts w:ascii="Verdana" w:hAnsi="Verdana"/>
      <w:sz w:val="20"/>
      <w:szCs w:val="20"/>
      <w:lang w:eastAsia="en-US"/>
    </w:rPr>
  </w:style>
  <w:style w:type="paragraph" w:styleId="980">
    <w:name w:val="xl30"/>
    <w:basedOn w:val="871"/>
    <w:next w:val="980"/>
    <w:link w:val="871"/>
    <w:pPr>
      <w:jc w:val="center"/>
      <w:spacing w:before="100" w:beforeAutospacing="1" w:after="100" w:afterAutospacing="1"/>
      <w:widowControl/>
    </w:pPr>
    <w:rPr>
      <w:rFonts w:ascii="宋体" w:hAnsi="宋体"/>
      <w:b/>
      <w:bCs/>
      <w:sz w:val="36"/>
      <w:szCs w:val="36"/>
    </w:rPr>
  </w:style>
  <w:style w:type="paragraph" w:styleId="981">
    <w:name w:val="Char Char Char Char"/>
    <w:basedOn w:val="897"/>
    <w:next w:val="981"/>
    <w:link w:val="871"/>
    <w:pPr>
      <w:spacing w:line="360" w:lineRule="auto"/>
    </w:pPr>
    <w:rPr>
      <w:rFonts w:ascii="Tahoma" w:hAnsi="Tahoma"/>
      <w:sz w:val="24"/>
      <w:szCs w:val="24"/>
    </w:rPr>
  </w:style>
  <w:style w:type="paragraph" w:styleId="982">
    <w:name w:val="table_1stline"/>
    <w:basedOn w:val="871"/>
    <w:next w:val="982"/>
    <w:link w:val="871"/>
    <w:pPr>
      <w:jc w:val="left"/>
      <w:spacing w:before="120"/>
      <w:widowControl/>
    </w:pPr>
    <w:rPr>
      <w:bCs/>
      <w:sz w:val="20"/>
      <w:szCs w:val="20"/>
      <w:lang w:val="de-DE" w:eastAsia="de-DE"/>
    </w:rPr>
  </w:style>
  <w:style w:type="paragraph" w:styleId="983">
    <w:name w:val="font5"/>
    <w:basedOn w:val="871"/>
    <w:next w:val="983"/>
    <w:link w:val="871"/>
    <w:pPr>
      <w:jc w:val="left"/>
      <w:spacing w:before="100" w:beforeAutospacing="1" w:after="100" w:afterAutospacing="1"/>
      <w:widowControl/>
    </w:pPr>
    <w:rPr>
      <w:rFonts w:hint="eastAsia" w:ascii="宋体" w:hAnsi="宋体"/>
      <w:sz w:val="28"/>
      <w:szCs w:val="28"/>
    </w:rPr>
  </w:style>
  <w:style w:type="paragraph" w:styleId="984">
    <w:name w:val="标题1"/>
    <w:basedOn w:val="871"/>
    <w:next w:val="871"/>
    <w:link w:val="871"/>
    <w:pPr>
      <w:jc w:val="center"/>
      <w:spacing w:line="700" w:lineRule="atLeast"/>
      <w:tabs>
        <w:tab w:val="left" w:pos="9193" w:leader="none"/>
        <w:tab w:val="left" w:pos="9827" w:leader="none"/>
      </w:tabs>
    </w:pPr>
    <w:rPr>
      <w:rFonts w:ascii="方正小标宋_GBK" w:eastAsia="方正小标宋_GBK"/>
      <w:sz w:val="44"/>
      <w:szCs w:val="20"/>
    </w:rPr>
  </w:style>
  <w:style w:type="paragraph" w:styleId="985">
    <w:name w:val="修订"/>
    <w:next w:val="985"/>
    <w:link w:val="871"/>
    <w:uiPriority w:val="99"/>
    <w:semiHidden/>
    <w:rPr>
      <w:rFonts w:ascii="Times New Roman" w:hAnsi="Times New Roman"/>
      <w:sz w:val="21"/>
      <w:szCs w:val="21"/>
      <w:lang w:val="en-US" w:eastAsia="zh-CN" w:bidi="ar-SA"/>
    </w:rPr>
  </w:style>
  <w:style w:type="paragraph" w:styleId="986">
    <w:name w:val="无间隔"/>
    <w:next w:val="986"/>
    <w:link w:val="871"/>
    <w:uiPriority w:val="99"/>
    <w:qFormat/>
    <w:pPr>
      <w:jc w:val="both"/>
      <w:widowControl w:val="off"/>
    </w:pPr>
    <w:rPr>
      <w:rFonts w:ascii="Times New Roman" w:hAnsi="Times New Roman"/>
      <w:sz w:val="21"/>
      <w:szCs w:val="21"/>
      <w:lang w:val="en-US" w:eastAsia="zh-CN" w:bidi="ar-SA"/>
    </w:rPr>
  </w:style>
  <w:style w:type="paragraph" w:styleId="987">
    <w:name w:val="正文文本 211"/>
    <w:basedOn w:val="871"/>
    <w:next w:val="987"/>
    <w:link w:val="871"/>
    <w:uiPriority w:val="99"/>
    <w:qFormat/>
    <w:pPr>
      <w:jc w:val="center"/>
    </w:pPr>
    <w:rPr>
      <w:b/>
      <w:bCs/>
      <w:sz w:val="20"/>
      <w:szCs w:val="20"/>
    </w:rPr>
  </w:style>
  <w:style w:type="table" w:styleId="988">
    <w:name w:val="Table Normal"/>
    <w:next w:val="988"/>
    <w:link w:val="871"/>
    <w:qFormat/>
    <w:tblPr/>
  </w:style>
  <w:style w:type="paragraph" w:styleId="989">
    <w:name w:val="正文文本1"/>
    <w:basedOn w:val="871"/>
    <w:next w:val="871"/>
    <w:link w:val="871"/>
    <w:semiHidden/>
    <w:qFormat/>
    <w:rPr>
      <w:rFonts w:ascii="Arial" w:hAnsi="Arial" w:eastAsia="Arial" w:cs="Arial"/>
      <w:sz w:val="21"/>
      <w:szCs w:val="21"/>
      <w:lang w:val="en-US" w:eastAsia="en-US" w:bidi="ar-SA"/>
    </w:rPr>
  </w:style>
  <w:style w:type="paragraph" w:styleId="990">
    <w:name w:val="纯文本1"/>
    <w:basedOn w:val="871"/>
    <w:next w:val="990"/>
    <w:link w:val="871"/>
    <w:qFormat/>
    <w:rPr>
      <w:rFonts w:ascii="宋体" w:hAnsi="Courier New" w:cs="Courier New"/>
    </w:rPr>
  </w:style>
  <w:style w:type="table" w:styleId="991">
    <w:name w:val="网格型1"/>
    <w:basedOn w:val="992"/>
    <w:next w:val="991"/>
    <w:link w:val="871"/>
    <w:qFormat/>
    <w:pPr>
      <w:jc w:val="both"/>
      <w:widowControl w:val="off"/>
    </w:pPr>
    <w:tblPr/>
  </w:style>
  <w:style w:type="table" w:styleId="992">
    <w:name w:val="普通表格1"/>
    <w:next w:val="992"/>
    <w:link w:val="871"/>
    <w:uiPriority w:val="99"/>
    <w:unhideWhenUsed/>
    <w:qFormat/>
    <w:tbl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11</cp:revision>
  <dcterms:created xsi:type="dcterms:W3CDTF">2023-03-16T02:16:00Z</dcterms:created>
  <dcterms:modified xsi:type="dcterms:W3CDTF">2024-06-13T09:24:21Z</dcterms:modified>
</cp:coreProperties>
</file>