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46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3"/>
        <w:gridCol w:w="3598"/>
        <w:gridCol w:w="1886"/>
        <w:gridCol w:w="1212"/>
        <w:gridCol w:w="2677"/>
        <w:gridCol w:w="4569"/>
      </w:tblGrid>
      <w:tr w14:paraId="14DFF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vAlign w:val="center"/>
          </w:tcPr>
          <w:p w14:paraId="35C98994">
            <w:pPr>
              <w:spacing w:line="240" w:lineRule="auto"/>
              <w:jc w:val="center"/>
              <w:rPr>
                <w:rFonts w:hint="eastAsia" w:ascii="仿宋" w:hAnsi="仿宋" w:eastAsia="仿宋" w:cs="仿宋"/>
                <w:b/>
                <w:bCs/>
                <w:color w:val="auto"/>
                <w:sz w:val="21"/>
                <w:szCs w:val="21"/>
                <w:highlight w:val="none"/>
                <w:vertAlign w:val="baseline"/>
                <w:lang w:val="en-US" w:eastAsia="zh-CN"/>
              </w:rPr>
            </w:pPr>
            <w:r>
              <w:rPr>
                <w:rFonts w:hint="eastAsia" w:ascii="仿宋" w:hAnsi="仿宋" w:eastAsia="仿宋" w:cs="仿宋"/>
                <w:b/>
                <w:bCs/>
                <w:color w:val="auto"/>
                <w:sz w:val="21"/>
                <w:szCs w:val="21"/>
                <w:highlight w:val="none"/>
                <w:vertAlign w:val="baseline"/>
                <w:lang w:val="en-US" w:eastAsia="zh-CN"/>
              </w:rPr>
              <w:t>序号</w:t>
            </w:r>
          </w:p>
        </w:tc>
        <w:tc>
          <w:tcPr>
            <w:tcW w:w="3598" w:type="dxa"/>
            <w:vAlign w:val="center"/>
          </w:tcPr>
          <w:p w14:paraId="6C3BA897">
            <w:pPr>
              <w:spacing w:line="240" w:lineRule="auto"/>
              <w:jc w:val="center"/>
              <w:rPr>
                <w:rFonts w:hint="eastAsia" w:ascii="仿宋" w:hAnsi="仿宋" w:eastAsia="仿宋" w:cs="仿宋"/>
                <w:b/>
                <w:bCs/>
                <w:color w:val="auto"/>
                <w:sz w:val="21"/>
                <w:szCs w:val="21"/>
                <w:highlight w:val="none"/>
                <w:vertAlign w:val="baseline"/>
                <w:lang w:val="en-US" w:eastAsia="zh-CN"/>
              </w:rPr>
            </w:pPr>
            <w:r>
              <w:rPr>
                <w:rFonts w:hint="eastAsia" w:ascii="仿宋" w:hAnsi="仿宋" w:eastAsia="仿宋" w:cs="仿宋"/>
                <w:b/>
                <w:bCs/>
                <w:color w:val="auto"/>
                <w:sz w:val="21"/>
                <w:szCs w:val="21"/>
                <w:highlight w:val="none"/>
                <w:vertAlign w:val="baseline"/>
                <w:lang w:val="en-US" w:eastAsia="zh-CN"/>
              </w:rPr>
              <w:t>标准名称</w:t>
            </w:r>
          </w:p>
        </w:tc>
        <w:tc>
          <w:tcPr>
            <w:tcW w:w="1886" w:type="dxa"/>
            <w:vAlign w:val="center"/>
          </w:tcPr>
          <w:p w14:paraId="548D15BD">
            <w:pPr>
              <w:spacing w:line="240" w:lineRule="auto"/>
              <w:jc w:val="center"/>
              <w:rPr>
                <w:rFonts w:hint="eastAsia" w:ascii="仿宋" w:hAnsi="仿宋" w:eastAsia="仿宋" w:cs="仿宋"/>
                <w:b/>
                <w:bCs/>
                <w:color w:val="auto"/>
                <w:sz w:val="21"/>
                <w:szCs w:val="21"/>
                <w:highlight w:val="none"/>
                <w:vertAlign w:val="baseline"/>
                <w:lang w:val="en-US" w:eastAsia="zh-CN"/>
              </w:rPr>
            </w:pPr>
            <w:r>
              <w:rPr>
                <w:rFonts w:hint="eastAsia" w:ascii="仿宋" w:hAnsi="仿宋" w:eastAsia="仿宋" w:cs="仿宋"/>
                <w:b/>
                <w:bCs/>
                <w:color w:val="auto"/>
                <w:sz w:val="21"/>
                <w:szCs w:val="21"/>
                <w:highlight w:val="none"/>
                <w:vertAlign w:val="baseline"/>
                <w:lang w:val="en-US" w:eastAsia="zh-CN"/>
              </w:rPr>
              <w:t>标准编号</w:t>
            </w:r>
          </w:p>
        </w:tc>
        <w:tc>
          <w:tcPr>
            <w:tcW w:w="1212" w:type="dxa"/>
            <w:vAlign w:val="center"/>
          </w:tcPr>
          <w:p w14:paraId="2E96F082">
            <w:pPr>
              <w:spacing w:line="240" w:lineRule="auto"/>
              <w:jc w:val="center"/>
              <w:rPr>
                <w:rFonts w:hint="eastAsia" w:ascii="仿宋" w:hAnsi="仿宋" w:eastAsia="仿宋" w:cs="仿宋"/>
                <w:b/>
                <w:bCs/>
                <w:color w:val="auto"/>
                <w:sz w:val="21"/>
                <w:szCs w:val="21"/>
                <w:highlight w:val="none"/>
                <w:vertAlign w:val="baseline"/>
                <w:lang w:val="en-US" w:eastAsia="zh-CN"/>
              </w:rPr>
            </w:pPr>
            <w:r>
              <w:rPr>
                <w:rFonts w:hint="eastAsia" w:ascii="仿宋" w:hAnsi="仿宋" w:eastAsia="仿宋" w:cs="仿宋"/>
                <w:b/>
                <w:bCs/>
                <w:color w:val="auto"/>
                <w:sz w:val="21"/>
                <w:szCs w:val="21"/>
                <w:highlight w:val="none"/>
                <w:vertAlign w:val="baseline"/>
                <w:lang w:val="en-US" w:eastAsia="zh-CN"/>
              </w:rPr>
              <w:t>标准状态</w:t>
            </w:r>
          </w:p>
        </w:tc>
        <w:tc>
          <w:tcPr>
            <w:tcW w:w="2677" w:type="dxa"/>
            <w:vAlign w:val="center"/>
          </w:tcPr>
          <w:p w14:paraId="30C8D777">
            <w:pPr>
              <w:spacing w:line="240" w:lineRule="auto"/>
              <w:jc w:val="center"/>
              <w:rPr>
                <w:rFonts w:hint="default" w:ascii="仿宋" w:hAnsi="仿宋" w:eastAsia="仿宋" w:cs="仿宋"/>
                <w:b/>
                <w:bCs/>
                <w:color w:val="auto"/>
                <w:sz w:val="21"/>
                <w:szCs w:val="21"/>
                <w:highlight w:val="none"/>
                <w:vertAlign w:val="baseline"/>
                <w:lang w:val="en-US" w:eastAsia="zh-CN"/>
              </w:rPr>
            </w:pPr>
            <w:r>
              <w:rPr>
                <w:rFonts w:hint="eastAsia" w:ascii="仿宋" w:hAnsi="仿宋" w:eastAsia="仿宋" w:cs="仿宋"/>
                <w:b/>
                <w:bCs/>
                <w:color w:val="auto"/>
                <w:sz w:val="21"/>
                <w:szCs w:val="21"/>
                <w:highlight w:val="none"/>
                <w:vertAlign w:val="baseline"/>
                <w:lang w:val="en-US" w:eastAsia="zh-CN"/>
              </w:rPr>
              <w:t>对应产品或适用情况</w:t>
            </w:r>
          </w:p>
        </w:tc>
        <w:tc>
          <w:tcPr>
            <w:tcW w:w="4569" w:type="dxa"/>
            <w:vAlign w:val="center"/>
          </w:tcPr>
          <w:p w14:paraId="2A9F0EC9">
            <w:pPr>
              <w:spacing w:line="240" w:lineRule="auto"/>
              <w:jc w:val="center"/>
              <w:rPr>
                <w:rFonts w:hint="eastAsia" w:ascii="仿宋" w:hAnsi="仿宋" w:eastAsia="仿宋" w:cs="仿宋"/>
                <w:b/>
                <w:bCs/>
                <w:color w:val="auto"/>
                <w:sz w:val="21"/>
                <w:szCs w:val="21"/>
                <w:highlight w:val="none"/>
                <w:vertAlign w:val="baseline"/>
                <w:lang w:val="en-US" w:eastAsia="zh-CN"/>
              </w:rPr>
            </w:pPr>
            <w:r>
              <w:rPr>
                <w:rFonts w:hint="eastAsia" w:ascii="仿宋" w:hAnsi="仿宋" w:eastAsia="仿宋" w:cs="仿宋"/>
                <w:b/>
                <w:bCs/>
                <w:color w:val="auto"/>
                <w:sz w:val="21"/>
                <w:szCs w:val="21"/>
                <w:highlight w:val="none"/>
                <w:vertAlign w:val="baseline"/>
                <w:lang w:val="en-US" w:eastAsia="zh-CN"/>
              </w:rPr>
              <w:t>相关标准</w:t>
            </w:r>
          </w:p>
        </w:tc>
      </w:tr>
      <w:tr w14:paraId="412CD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vAlign w:val="center"/>
          </w:tcPr>
          <w:p w14:paraId="4DE70A70">
            <w:pPr>
              <w:spacing w:line="240" w:lineRule="auto"/>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1</w:t>
            </w:r>
          </w:p>
        </w:tc>
        <w:tc>
          <w:tcPr>
            <w:tcW w:w="3598" w:type="dxa"/>
            <w:vAlign w:val="center"/>
          </w:tcPr>
          <w:p w14:paraId="605C58E8">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rPr>
              <w:t>综合布线系统工程设计规范</w:t>
            </w:r>
          </w:p>
        </w:tc>
        <w:tc>
          <w:tcPr>
            <w:tcW w:w="1886" w:type="dxa"/>
            <w:vAlign w:val="center"/>
          </w:tcPr>
          <w:p w14:paraId="0F133C28">
            <w:pPr>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GB 50311-2016</w:t>
            </w:r>
          </w:p>
        </w:tc>
        <w:tc>
          <w:tcPr>
            <w:tcW w:w="1212" w:type="dxa"/>
            <w:vAlign w:val="center"/>
          </w:tcPr>
          <w:p w14:paraId="528AEE7B">
            <w:pPr>
              <w:spacing w:line="240" w:lineRule="auto"/>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现行</w:t>
            </w:r>
          </w:p>
        </w:tc>
        <w:tc>
          <w:tcPr>
            <w:tcW w:w="2677" w:type="dxa"/>
            <w:vAlign w:val="center"/>
          </w:tcPr>
          <w:p w14:paraId="4ACB7B94">
            <w:pPr>
              <w:spacing w:line="240" w:lineRule="auto"/>
              <w:jc w:val="center"/>
              <w:rPr>
                <w:rFonts w:hint="eastAsia" w:ascii="仿宋" w:hAnsi="仿宋" w:eastAsia="仿宋" w:cs="仿宋"/>
                <w:color w:val="auto"/>
                <w:sz w:val="21"/>
                <w:szCs w:val="21"/>
                <w:highlight w:val="none"/>
                <w:vertAlign w:val="baseline"/>
              </w:rPr>
            </w:pPr>
          </w:p>
        </w:tc>
        <w:tc>
          <w:tcPr>
            <w:tcW w:w="4569" w:type="dxa"/>
            <w:vAlign w:val="center"/>
          </w:tcPr>
          <w:p w14:paraId="0B951F13">
            <w:pPr>
              <w:spacing w:line="240" w:lineRule="auto"/>
              <w:jc w:val="center"/>
              <w:rPr>
                <w:rFonts w:hint="eastAsia" w:ascii="仿宋" w:hAnsi="仿宋" w:eastAsia="仿宋" w:cs="仿宋"/>
                <w:color w:val="auto"/>
                <w:sz w:val="21"/>
                <w:szCs w:val="21"/>
                <w:highlight w:val="none"/>
                <w:vertAlign w:val="baseline"/>
              </w:rPr>
            </w:pPr>
          </w:p>
        </w:tc>
      </w:tr>
      <w:tr w14:paraId="287A3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shd w:val="clear" w:color="auto" w:fill="auto"/>
            <w:vAlign w:val="center"/>
          </w:tcPr>
          <w:p w14:paraId="6A3FDEBA">
            <w:pPr>
              <w:spacing w:line="240" w:lineRule="auto"/>
              <w:jc w:val="center"/>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2</w:t>
            </w:r>
          </w:p>
        </w:tc>
        <w:tc>
          <w:tcPr>
            <w:tcW w:w="3598" w:type="dxa"/>
            <w:vAlign w:val="center"/>
          </w:tcPr>
          <w:p w14:paraId="2B3F565E">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综合布线系统工程验收规范</w:t>
            </w:r>
          </w:p>
        </w:tc>
        <w:tc>
          <w:tcPr>
            <w:tcW w:w="1886" w:type="dxa"/>
            <w:vAlign w:val="center"/>
          </w:tcPr>
          <w:p w14:paraId="283DEEEA">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rPr>
              <w:t>GB</w:t>
            </w:r>
            <w:r>
              <w:rPr>
                <w:rFonts w:hint="eastAsia" w:ascii="仿宋" w:hAnsi="仿宋" w:eastAsia="仿宋" w:cs="仿宋"/>
                <w:color w:val="auto"/>
                <w:sz w:val="21"/>
                <w:szCs w:val="21"/>
                <w:highlight w:val="none"/>
                <w:lang w:val="en-US" w:eastAsia="zh-CN"/>
              </w:rPr>
              <w:t>/</w:t>
            </w:r>
            <w:r>
              <w:rPr>
                <w:rFonts w:hint="eastAsia" w:ascii="仿宋" w:hAnsi="仿宋" w:eastAsia="仿宋" w:cs="仿宋"/>
                <w:color w:val="auto"/>
                <w:sz w:val="21"/>
                <w:szCs w:val="21"/>
                <w:highlight w:val="none"/>
              </w:rPr>
              <w:t>T</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50312-2016</w:t>
            </w:r>
          </w:p>
        </w:tc>
        <w:tc>
          <w:tcPr>
            <w:tcW w:w="1212" w:type="dxa"/>
            <w:vAlign w:val="center"/>
          </w:tcPr>
          <w:p w14:paraId="322071FF">
            <w:pPr>
              <w:spacing w:line="240" w:lineRule="auto"/>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现行</w:t>
            </w:r>
          </w:p>
        </w:tc>
        <w:tc>
          <w:tcPr>
            <w:tcW w:w="2677" w:type="dxa"/>
            <w:vAlign w:val="center"/>
          </w:tcPr>
          <w:p w14:paraId="1779C447">
            <w:pPr>
              <w:spacing w:line="240" w:lineRule="auto"/>
              <w:jc w:val="center"/>
              <w:rPr>
                <w:rFonts w:hint="eastAsia" w:ascii="仿宋" w:hAnsi="仿宋" w:eastAsia="仿宋" w:cs="仿宋"/>
                <w:color w:val="auto"/>
                <w:sz w:val="21"/>
                <w:szCs w:val="21"/>
                <w:highlight w:val="none"/>
                <w:vertAlign w:val="baseline"/>
                <w:lang w:val="en-US" w:eastAsia="zh-CN"/>
              </w:rPr>
            </w:pPr>
          </w:p>
        </w:tc>
        <w:tc>
          <w:tcPr>
            <w:tcW w:w="4569" w:type="dxa"/>
            <w:vAlign w:val="center"/>
          </w:tcPr>
          <w:p w14:paraId="703815F2">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ANSI/TIA-568.2-D:2018</w:t>
            </w:r>
            <w:r>
              <w:rPr>
                <w:rFonts w:hint="eastAsia" w:ascii="仿宋" w:hAnsi="仿宋" w:eastAsia="仿宋" w:cs="仿宋"/>
                <w:color w:val="auto"/>
                <w:sz w:val="21"/>
                <w:szCs w:val="21"/>
                <w:highlight w:val="none"/>
                <w:vertAlign w:val="baseline"/>
                <w:lang w:eastAsia="zh-CN"/>
              </w:rPr>
              <w:t>、TIA/EIA -568.2-D:2018</w:t>
            </w:r>
          </w:p>
        </w:tc>
      </w:tr>
      <w:tr w14:paraId="4331E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shd w:val="clear" w:color="auto" w:fill="auto"/>
            <w:vAlign w:val="center"/>
          </w:tcPr>
          <w:p w14:paraId="09112E95">
            <w:pPr>
              <w:spacing w:line="240" w:lineRule="auto"/>
              <w:jc w:val="center"/>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3</w:t>
            </w:r>
          </w:p>
        </w:tc>
        <w:tc>
          <w:tcPr>
            <w:tcW w:w="3598" w:type="dxa"/>
            <w:vAlign w:val="center"/>
          </w:tcPr>
          <w:p w14:paraId="5FB7A10A">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rPr>
              <w:t>电缆及光缆燃烧性能分级</w:t>
            </w:r>
          </w:p>
        </w:tc>
        <w:tc>
          <w:tcPr>
            <w:tcW w:w="1886" w:type="dxa"/>
            <w:vAlign w:val="center"/>
          </w:tcPr>
          <w:p w14:paraId="16830152">
            <w:pPr>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GB 31247-2014</w:t>
            </w:r>
          </w:p>
        </w:tc>
        <w:tc>
          <w:tcPr>
            <w:tcW w:w="1212" w:type="dxa"/>
            <w:vAlign w:val="center"/>
          </w:tcPr>
          <w:p w14:paraId="1F0A1390">
            <w:pPr>
              <w:spacing w:line="240" w:lineRule="auto"/>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现行</w:t>
            </w:r>
          </w:p>
        </w:tc>
        <w:tc>
          <w:tcPr>
            <w:tcW w:w="2677" w:type="dxa"/>
            <w:vAlign w:val="center"/>
          </w:tcPr>
          <w:p w14:paraId="706C89DF">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rPr>
              <w:t>电缆及光缆</w:t>
            </w:r>
          </w:p>
        </w:tc>
        <w:tc>
          <w:tcPr>
            <w:tcW w:w="4569" w:type="dxa"/>
            <w:vAlign w:val="center"/>
          </w:tcPr>
          <w:p w14:paraId="71ABC5A4">
            <w:pPr>
              <w:spacing w:line="240" w:lineRule="auto"/>
              <w:jc w:val="center"/>
              <w:rPr>
                <w:rFonts w:hint="eastAsia" w:ascii="仿宋" w:hAnsi="仿宋" w:eastAsia="仿宋" w:cs="仿宋"/>
                <w:color w:val="auto"/>
                <w:sz w:val="21"/>
                <w:szCs w:val="21"/>
                <w:highlight w:val="none"/>
                <w:vertAlign w:val="baseline"/>
              </w:rPr>
            </w:pPr>
          </w:p>
        </w:tc>
      </w:tr>
      <w:tr w14:paraId="4711D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shd w:val="clear" w:color="auto" w:fill="auto"/>
            <w:vAlign w:val="center"/>
          </w:tcPr>
          <w:p w14:paraId="756ECD5E">
            <w:pPr>
              <w:spacing w:line="240" w:lineRule="auto"/>
              <w:jc w:val="center"/>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4</w:t>
            </w:r>
          </w:p>
        </w:tc>
        <w:tc>
          <w:tcPr>
            <w:tcW w:w="3598" w:type="dxa"/>
            <w:vAlign w:val="center"/>
          </w:tcPr>
          <w:p w14:paraId="1AB5875E">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电工圆铜线</w:t>
            </w:r>
          </w:p>
        </w:tc>
        <w:tc>
          <w:tcPr>
            <w:tcW w:w="1886" w:type="dxa"/>
            <w:vAlign w:val="center"/>
          </w:tcPr>
          <w:p w14:paraId="31B16EEF">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GB/T 3953—2024</w:t>
            </w:r>
          </w:p>
        </w:tc>
        <w:tc>
          <w:tcPr>
            <w:tcW w:w="1212" w:type="dxa"/>
            <w:vAlign w:val="center"/>
          </w:tcPr>
          <w:p w14:paraId="553D3ABA">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lang w:val="en-US" w:eastAsia="zh-CN"/>
              </w:rPr>
              <w:t>现行</w:t>
            </w:r>
          </w:p>
        </w:tc>
        <w:tc>
          <w:tcPr>
            <w:tcW w:w="2677" w:type="dxa"/>
            <w:vAlign w:val="center"/>
          </w:tcPr>
          <w:p w14:paraId="6034D898">
            <w:pPr>
              <w:spacing w:line="240" w:lineRule="auto"/>
              <w:jc w:val="center"/>
              <w:rPr>
                <w:rFonts w:hint="eastAsia" w:ascii="仿宋" w:hAnsi="仿宋" w:eastAsia="仿宋" w:cs="仿宋"/>
                <w:color w:val="auto"/>
                <w:sz w:val="21"/>
                <w:szCs w:val="21"/>
                <w:highlight w:val="none"/>
                <w:vertAlign w:val="baseline"/>
                <w:lang w:eastAsia="zh-CN"/>
              </w:rPr>
            </w:pPr>
            <w:r>
              <w:rPr>
                <w:rFonts w:hint="eastAsia" w:ascii="仿宋" w:hAnsi="仿宋" w:eastAsia="仿宋" w:cs="仿宋"/>
                <w:color w:val="auto"/>
                <w:sz w:val="21"/>
                <w:szCs w:val="21"/>
                <w:highlight w:val="none"/>
                <w:vertAlign w:val="baseline"/>
              </w:rPr>
              <w:t>六类非屏蔽跳线</w:t>
            </w:r>
            <w:r>
              <w:rPr>
                <w:rFonts w:hint="eastAsia" w:ascii="仿宋" w:hAnsi="仿宋" w:eastAsia="仿宋" w:cs="仿宋"/>
                <w:color w:val="auto"/>
                <w:sz w:val="21"/>
                <w:szCs w:val="21"/>
                <w:highlight w:val="none"/>
                <w:vertAlign w:val="baseline"/>
                <w:lang w:eastAsia="zh-CN"/>
              </w:rPr>
              <w:t>、六类非屏蔽低烟无卤双绞线</w:t>
            </w:r>
          </w:p>
        </w:tc>
        <w:tc>
          <w:tcPr>
            <w:tcW w:w="4569" w:type="dxa"/>
            <w:vAlign w:val="center"/>
          </w:tcPr>
          <w:p w14:paraId="65239D7F">
            <w:pPr>
              <w:spacing w:line="240" w:lineRule="auto"/>
              <w:jc w:val="center"/>
              <w:rPr>
                <w:rFonts w:hint="eastAsia" w:ascii="仿宋" w:hAnsi="仿宋" w:eastAsia="仿宋" w:cs="仿宋"/>
                <w:color w:val="auto"/>
                <w:sz w:val="21"/>
                <w:szCs w:val="21"/>
                <w:highlight w:val="none"/>
                <w:vertAlign w:val="baseline"/>
              </w:rPr>
            </w:pPr>
          </w:p>
        </w:tc>
      </w:tr>
      <w:tr w14:paraId="4C178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shd w:val="clear" w:color="auto" w:fill="auto"/>
            <w:vAlign w:val="center"/>
          </w:tcPr>
          <w:p w14:paraId="58801C54">
            <w:pPr>
              <w:spacing w:line="240" w:lineRule="auto"/>
              <w:jc w:val="center"/>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5</w:t>
            </w:r>
          </w:p>
        </w:tc>
        <w:tc>
          <w:tcPr>
            <w:tcW w:w="3598" w:type="dxa"/>
            <w:vAlign w:val="center"/>
          </w:tcPr>
          <w:p w14:paraId="437C7DA6">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数字通信用对绞或星绞多芯对称电缆 第1部分：总规范</w:t>
            </w:r>
          </w:p>
        </w:tc>
        <w:tc>
          <w:tcPr>
            <w:tcW w:w="1886" w:type="dxa"/>
            <w:vAlign w:val="center"/>
          </w:tcPr>
          <w:p w14:paraId="7E729F92">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GB/T 18015</w:t>
            </w:r>
            <w:r>
              <w:rPr>
                <w:rFonts w:hint="eastAsia" w:ascii="仿宋" w:hAnsi="仿宋" w:eastAsia="仿宋" w:cs="仿宋"/>
                <w:color w:val="auto"/>
                <w:sz w:val="21"/>
                <w:szCs w:val="21"/>
                <w:highlight w:val="none"/>
                <w:vertAlign w:val="baseline"/>
                <w:lang w:val="en-US" w:eastAsia="zh-CN"/>
              </w:rPr>
              <w:t>.1</w:t>
            </w:r>
            <w:r>
              <w:rPr>
                <w:rFonts w:hint="eastAsia" w:ascii="仿宋" w:hAnsi="仿宋" w:eastAsia="仿宋" w:cs="仿宋"/>
                <w:color w:val="auto"/>
                <w:sz w:val="21"/>
                <w:szCs w:val="21"/>
                <w:highlight w:val="none"/>
                <w:vertAlign w:val="baseline"/>
              </w:rPr>
              <w:t>-2017</w:t>
            </w:r>
          </w:p>
        </w:tc>
        <w:tc>
          <w:tcPr>
            <w:tcW w:w="1212" w:type="dxa"/>
            <w:vAlign w:val="center"/>
          </w:tcPr>
          <w:p w14:paraId="7BB873D4">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lang w:val="en-US" w:eastAsia="zh-CN"/>
              </w:rPr>
              <w:t>现行</w:t>
            </w:r>
          </w:p>
        </w:tc>
        <w:tc>
          <w:tcPr>
            <w:tcW w:w="2677" w:type="dxa"/>
            <w:vAlign w:val="center"/>
          </w:tcPr>
          <w:p w14:paraId="399CDD92">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六类非屏蔽跳线</w:t>
            </w:r>
            <w:r>
              <w:rPr>
                <w:rFonts w:hint="eastAsia" w:ascii="仿宋" w:hAnsi="仿宋" w:eastAsia="仿宋" w:cs="仿宋"/>
                <w:color w:val="auto"/>
                <w:sz w:val="21"/>
                <w:szCs w:val="21"/>
                <w:highlight w:val="none"/>
                <w:vertAlign w:val="baseline"/>
                <w:lang w:eastAsia="zh-CN"/>
              </w:rPr>
              <w:t>、六类非屏蔽低烟无卤双绞线</w:t>
            </w:r>
          </w:p>
        </w:tc>
        <w:tc>
          <w:tcPr>
            <w:tcW w:w="4569" w:type="dxa"/>
            <w:vAlign w:val="center"/>
          </w:tcPr>
          <w:p w14:paraId="02150A8C">
            <w:pPr>
              <w:spacing w:line="240" w:lineRule="auto"/>
              <w:jc w:val="center"/>
              <w:rPr>
                <w:rFonts w:hint="eastAsia" w:ascii="仿宋" w:hAnsi="仿宋" w:eastAsia="仿宋" w:cs="仿宋"/>
                <w:color w:val="auto"/>
                <w:sz w:val="21"/>
                <w:szCs w:val="21"/>
                <w:highlight w:val="none"/>
                <w:vertAlign w:val="baseline"/>
                <w:lang w:eastAsia="zh-CN"/>
              </w:rPr>
            </w:pPr>
            <w:r>
              <w:rPr>
                <w:rFonts w:hint="eastAsia" w:ascii="仿宋" w:hAnsi="仿宋" w:eastAsia="仿宋" w:cs="仿宋"/>
                <w:color w:val="auto"/>
                <w:sz w:val="21"/>
                <w:szCs w:val="21"/>
                <w:highlight w:val="none"/>
                <w:vertAlign w:val="baseline"/>
              </w:rPr>
              <w:t>GB/T 18015.7-2017</w:t>
            </w:r>
            <w:r>
              <w:rPr>
                <w:rFonts w:hint="eastAsia" w:ascii="仿宋" w:hAnsi="仿宋" w:eastAsia="仿宋" w:cs="仿宋"/>
                <w:color w:val="auto"/>
                <w:sz w:val="21"/>
                <w:szCs w:val="21"/>
                <w:highlight w:val="none"/>
                <w:vertAlign w:val="baseline"/>
                <w:lang w:eastAsia="zh-CN"/>
              </w:rPr>
              <w:t>、GB/T 18015.8-2017</w:t>
            </w:r>
          </w:p>
        </w:tc>
      </w:tr>
      <w:tr w14:paraId="48F80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shd w:val="clear" w:color="auto" w:fill="auto"/>
            <w:vAlign w:val="center"/>
          </w:tcPr>
          <w:p w14:paraId="6AC06BA7">
            <w:pPr>
              <w:spacing w:line="240" w:lineRule="auto"/>
              <w:jc w:val="center"/>
              <w:rPr>
                <w:rFonts w:hint="eastAsia" w:ascii="仿宋" w:hAnsi="仿宋" w:eastAsia="仿宋" w:cs="仿宋"/>
                <w:color w:val="auto"/>
                <w:sz w:val="21"/>
                <w:szCs w:val="21"/>
                <w:highlight w:val="none"/>
                <w:vertAlign w:val="baseline"/>
                <w:lang w:val="en-US" w:eastAsia="zh-CN"/>
              </w:rPr>
            </w:pPr>
          </w:p>
        </w:tc>
        <w:tc>
          <w:tcPr>
            <w:tcW w:w="3598" w:type="dxa"/>
            <w:shd w:val="clear" w:color="auto" w:fill="auto"/>
            <w:vAlign w:val="center"/>
          </w:tcPr>
          <w:p w14:paraId="6AA3140E">
            <w:pPr>
              <w:spacing w:line="240" w:lineRule="auto"/>
              <w:jc w:val="center"/>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rPr>
              <w:t>数字通信用聚烯烃绝缘水平对绞电缆</w:t>
            </w:r>
          </w:p>
        </w:tc>
        <w:tc>
          <w:tcPr>
            <w:tcW w:w="1886" w:type="dxa"/>
            <w:shd w:val="clear" w:color="auto" w:fill="auto"/>
            <w:vAlign w:val="center"/>
          </w:tcPr>
          <w:p w14:paraId="561B0554">
            <w:pPr>
              <w:spacing w:line="240" w:lineRule="auto"/>
              <w:jc w:val="center"/>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rPr>
              <w:t>YD/T 1019-2023</w:t>
            </w:r>
          </w:p>
        </w:tc>
        <w:tc>
          <w:tcPr>
            <w:tcW w:w="1212" w:type="dxa"/>
            <w:shd w:val="clear" w:color="auto" w:fill="auto"/>
            <w:vAlign w:val="center"/>
          </w:tcPr>
          <w:p w14:paraId="70B37376">
            <w:pPr>
              <w:spacing w:line="240" w:lineRule="auto"/>
              <w:jc w:val="center"/>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现行</w:t>
            </w:r>
          </w:p>
        </w:tc>
        <w:tc>
          <w:tcPr>
            <w:tcW w:w="2677" w:type="dxa"/>
            <w:vAlign w:val="center"/>
          </w:tcPr>
          <w:p w14:paraId="61B0F99A">
            <w:pPr>
              <w:spacing w:line="240" w:lineRule="auto"/>
              <w:jc w:val="center"/>
              <w:rPr>
                <w:rFonts w:hint="eastAsia" w:ascii="仿宋" w:hAnsi="仿宋" w:eastAsia="仿宋" w:cs="仿宋"/>
                <w:color w:val="auto"/>
                <w:sz w:val="21"/>
                <w:szCs w:val="21"/>
                <w:highlight w:val="none"/>
                <w:vertAlign w:val="baseline"/>
              </w:rPr>
            </w:pPr>
          </w:p>
        </w:tc>
        <w:tc>
          <w:tcPr>
            <w:tcW w:w="4569" w:type="dxa"/>
            <w:vAlign w:val="center"/>
          </w:tcPr>
          <w:p w14:paraId="52E0C908">
            <w:pPr>
              <w:spacing w:line="240" w:lineRule="auto"/>
              <w:jc w:val="center"/>
              <w:rPr>
                <w:rFonts w:hint="eastAsia" w:ascii="仿宋" w:hAnsi="仿宋" w:eastAsia="仿宋" w:cs="仿宋"/>
                <w:color w:val="auto"/>
                <w:sz w:val="21"/>
                <w:szCs w:val="21"/>
                <w:highlight w:val="none"/>
                <w:vertAlign w:val="baseline"/>
              </w:rPr>
            </w:pPr>
          </w:p>
        </w:tc>
      </w:tr>
      <w:tr w14:paraId="2776D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shd w:val="clear" w:color="auto" w:fill="auto"/>
            <w:vAlign w:val="center"/>
          </w:tcPr>
          <w:p w14:paraId="19AD4EE9">
            <w:pPr>
              <w:spacing w:line="240" w:lineRule="auto"/>
              <w:jc w:val="center"/>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6</w:t>
            </w:r>
          </w:p>
        </w:tc>
        <w:tc>
          <w:tcPr>
            <w:tcW w:w="3598" w:type="dxa"/>
            <w:vAlign w:val="center"/>
          </w:tcPr>
          <w:p w14:paraId="7CCC1A5A">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阻燃和耐火电线电缆或光缆通则</w:t>
            </w:r>
          </w:p>
        </w:tc>
        <w:tc>
          <w:tcPr>
            <w:tcW w:w="1886" w:type="dxa"/>
            <w:vAlign w:val="center"/>
          </w:tcPr>
          <w:p w14:paraId="4A0B5385">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GB/T 19666-2019</w:t>
            </w:r>
          </w:p>
        </w:tc>
        <w:tc>
          <w:tcPr>
            <w:tcW w:w="1212" w:type="dxa"/>
            <w:vAlign w:val="center"/>
          </w:tcPr>
          <w:p w14:paraId="0D4E7149">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lang w:val="en-US" w:eastAsia="zh-CN"/>
              </w:rPr>
              <w:t>现行</w:t>
            </w:r>
          </w:p>
        </w:tc>
        <w:tc>
          <w:tcPr>
            <w:tcW w:w="2677" w:type="dxa"/>
            <w:vAlign w:val="center"/>
          </w:tcPr>
          <w:p w14:paraId="18EC5682">
            <w:pPr>
              <w:spacing w:line="240" w:lineRule="auto"/>
              <w:jc w:val="center"/>
              <w:rPr>
                <w:rFonts w:hint="eastAsia" w:ascii="仿宋" w:hAnsi="仿宋" w:eastAsia="仿宋" w:cs="仿宋"/>
                <w:color w:val="auto"/>
                <w:sz w:val="21"/>
                <w:szCs w:val="21"/>
                <w:highlight w:val="none"/>
                <w:vertAlign w:val="baseline"/>
              </w:rPr>
            </w:pPr>
          </w:p>
        </w:tc>
        <w:tc>
          <w:tcPr>
            <w:tcW w:w="4569" w:type="dxa"/>
            <w:vAlign w:val="center"/>
          </w:tcPr>
          <w:p w14:paraId="635C8F26">
            <w:pPr>
              <w:spacing w:line="240" w:lineRule="auto"/>
              <w:jc w:val="center"/>
              <w:rPr>
                <w:rFonts w:hint="eastAsia" w:ascii="仿宋" w:hAnsi="仿宋" w:eastAsia="仿宋" w:cs="仿宋"/>
                <w:color w:val="auto"/>
                <w:sz w:val="21"/>
                <w:szCs w:val="21"/>
                <w:highlight w:val="none"/>
                <w:vertAlign w:val="baseline"/>
                <w:lang w:eastAsia="zh-CN"/>
              </w:rPr>
            </w:pPr>
            <w:r>
              <w:rPr>
                <w:rFonts w:hint="eastAsia" w:ascii="仿宋" w:hAnsi="仿宋" w:eastAsia="仿宋" w:cs="仿宋"/>
                <w:color w:val="auto"/>
                <w:sz w:val="21"/>
                <w:szCs w:val="21"/>
                <w:highlight w:val="none"/>
                <w:vertAlign w:val="baseline"/>
              </w:rPr>
              <w:t>GB/T</w:t>
            </w:r>
            <w:r>
              <w:rPr>
                <w:rFonts w:hint="eastAsia" w:ascii="仿宋" w:hAnsi="仿宋" w:eastAsia="仿宋" w:cs="仿宋"/>
                <w:color w:val="auto"/>
                <w:sz w:val="21"/>
                <w:szCs w:val="21"/>
                <w:highlight w:val="none"/>
                <w:vertAlign w:val="baseline"/>
                <w:lang w:val="en-US" w:eastAsia="zh-CN"/>
              </w:rPr>
              <w:t xml:space="preserve"> </w:t>
            </w:r>
            <w:r>
              <w:rPr>
                <w:rFonts w:hint="eastAsia" w:ascii="仿宋" w:hAnsi="仿宋" w:eastAsia="仿宋" w:cs="仿宋"/>
                <w:color w:val="auto"/>
                <w:sz w:val="21"/>
                <w:szCs w:val="21"/>
                <w:highlight w:val="none"/>
                <w:vertAlign w:val="baseline"/>
              </w:rPr>
              <w:t>18380.12</w:t>
            </w:r>
            <w:r>
              <w:rPr>
                <w:rFonts w:hint="eastAsia" w:ascii="仿宋" w:hAnsi="仿宋" w:eastAsia="仿宋" w:cs="仿宋"/>
                <w:color w:val="auto"/>
                <w:sz w:val="21"/>
                <w:szCs w:val="21"/>
                <w:highlight w:val="none"/>
                <w:vertAlign w:val="baseline"/>
                <w:lang w:eastAsia="zh-CN"/>
              </w:rPr>
              <w:t>、GB/T 17650.1-2021、GB/T</w:t>
            </w:r>
            <w:r>
              <w:rPr>
                <w:rFonts w:hint="eastAsia" w:ascii="仿宋" w:hAnsi="仿宋" w:eastAsia="仿宋" w:cs="仿宋"/>
                <w:color w:val="auto"/>
                <w:sz w:val="21"/>
                <w:szCs w:val="21"/>
                <w:highlight w:val="none"/>
                <w:vertAlign w:val="baseline"/>
                <w:lang w:val="en-US" w:eastAsia="zh-CN"/>
              </w:rPr>
              <w:t xml:space="preserve"> </w:t>
            </w:r>
            <w:r>
              <w:rPr>
                <w:rFonts w:hint="eastAsia" w:ascii="仿宋" w:hAnsi="仿宋" w:eastAsia="仿宋" w:cs="仿宋"/>
                <w:color w:val="auto"/>
                <w:sz w:val="21"/>
                <w:szCs w:val="21"/>
                <w:highlight w:val="none"/>
                <w:vertAlign w:val="baseline"/>
                <w:lang w:eastAsia="zh-CN"/>
              </w:rPr>
              <w:t>17650.2、GB/T 17651.2-2021</w:t>
            </w:r>
          </w:p>
        </w:tc>
      </w:tr>
      <w:tr w14:paraId="444D4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shd w:val="clear" w:color="auto" w:fill="auto"/>
            <w:vAlign w:val="center"/>
          </w:tcPr>
          <w:p w14:paraId="5F9D9AD6">
            <w:pPr>
              <w:spacing w:line="240" w:lineRule="auto"/>
              <w:jc w:val="center"/>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7</w:t>
            </w:r>
          </w:p>
        </w:tc>
        <w:tc>
          <w:tcPr>
            <w:tcW w:w="3598" w:type="dxa"/>
            <w:vAlign w:val="center"/>
          </w:tcPr>
          <w:p w14:paraId="1EC2586E">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 xml:space="preserve">电缆和光缆在火焰条件下的燃烧试验 第12部分：单根绝缘电线电缆火焰垂直蔓延试验 1 kW 预混合型火焰试验方法 </w:t>
            </w:r>
          </w:p>
        </w:tc>
        <w:tc>
          <w:tcPr>
            <w:tcW w:w="1886" w:type="dxa"/>
            <w:vAlign w:val="center"/>
          </w:tcPr>
          <w:p w14:paraId="2F56C22A">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GB/T 18380.12-2022</w:t>
            </w:r>
          </w:p>
        </w:tc>
        <w:tc>
          <w:tcPr>
            <w:tcW w:w="1212" w:type="dxa"/>
            <w:vAlign w:val="center"/>
          </w:tcPr>
          <w:p w14:paraId="1594B3D6">
            <w:pPr>
              <w:spacing w:line="240" w:lineRule="auto"/>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现行</w:t>
            </w:r>
          </w:p>
        </w:tc>
        <w:tc>
          <w:tcPr>
            <w:tcW w:w="2677" w:type="dxa"/>
            <w:vAlign w:val="center"/>
          </w:tcPr>
          <w:p w14:paraId="413DAB2C">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 xml:space="preserve">本文件描述了在火焰条件下，单根绝缘电线电缆或光缆火焰垂直蔓延试验的试验方法。试验装置在IEC 60332-1-1中规定。 </w:t>
            </w:r>
          </w:p>
          <w:p w14:paraId="1B974290">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 xml:space="preserve">注1： 如果需要，将本文件的试验与GB/T 18380.13的试验同时进行。 </w:t>
            </w:r>
          </w:p>
        </w:tc>
        <w:tc>
          <w:tcPr>
            <w:tcW w:w="4569" w:type="dxa"/>
            <w:vAlign w:val="center"/>
          </w:tcPr>
          <w:p w14:paraId="570E180C">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本标准等同采用IEC国际标准：IEC 60332-1-2:2015。</w:t>
            </w:r>
          </w:p>
        </w:tc>
      </w:tr>
      <w:tr w14:paraId="6D06E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shd w:val="clear" w:color="auto" w:fill="auto"/>
            <w:vAlign w:val="center"/>
          </w:tcPr>
          <w:p w14:paraId="6A91E540">
            <w:pPr>
              <w:spacing w:line="240" w:lineRule="auto"/>
              <w:jc w:val="center"/>
              <w:rPr>
                <w:rFonts w:hint="default"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8</w:t>
            </w:r>
          </w:p>
        </w:tc>
        <w:tc>
          <w:tcPr>
            <w:tcW w:w="3598" w:type="dxa"/>
            <w:vAlign w:val="center"/>
          </w:tcPr>
          <w:p w14:paraId="5794BF7A">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 xml:space="preserve">电缆和光缆在火焰条件下的燃烧试验 第22部分：单根绝缘细电线电缆火焰垂直蔓延试验 扩散型火焰试验方法 </w:t>
            </w:r>
          </w:p>
        </w:tc>
        <w:tc>
          <w:tcPr>
            <w:tcW w:w="1886" w:type="dxa"/>
            <w:vAlign w:val="center"/>
          </w:tcPr>
          <w:p w14:paraId="6CBB38E5">
            <w:pPr>
              <w:spacing w:line="240" w:lineRule="auto"/>
              <w:jc w:val="center"/>
              <w:rPr>
                <w:rFonts w:hint="default"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rPr>
              <w:t>GB/T 18380.22</w:t>
            </w:r>
            <w:r>
              <w:rPr>
                <w:rFonts w:hint="eastAsia" w:ascii="仿宋" w:hAnsi="仿宋" w:eastAsia="仿宋" w:cs="仿宋"/>
                <w:color w:val="auto"/>
                <w:sz w:val="21"/>
                <w:szCs w:val="21"/>
                <w:highlight w:val="none"/>
                <w:vertAlign w:val="baseline"/>
                <w:lang w:val="en-US" w:eastAsia="zh-CN"/>
              </w:rPr>
              <w:t>-2008</w:t>
            </w:r>
          </w:p>
        </w:tc>
        <w:tc>
          <w:tcPr>
            <w:tcW w:w="1212" w:type="dxa"/>
            <w:vAlign w:val="center"/>
          </w:tcPr>
          <w:p w14:paraId="4B7C9A53">
            <w:pPr>
              <w:spacing w:line="240" w:lineRule="auto"/>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现行</w:t>
            </w:r>
          </w:p>
        </w:tc>
        <w:tc>
          <w:tcPr>
            <w:tcW w:w="2677" w:type="dxa"/>
            <w:vAlign w:val="center"/>
          </w:tcPr>
          <w:p w14:paraId="21C679DA">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GB/T 18380《电缆和光缆在火焰条件下的燃烧试验》分为11个部分,本部分为GB/T 18380的第22部分。</w:t>
            </w:r>
          </w:p>
          <w:p w14:paraId="024516C1">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本部分规定了在火焰条件下，单根绝缘细电线电缆或细光缆火焰垂直蔓延试验的方法。试验设备在GB/T 18380.21中规定。</w:t>
            </w:r>
          </w:p>
        </w:tc>
        <w:tc>
          <w:tcPr>
            <w:tcW w:w="4569" w:type="dxa"/>
            <w:vAlign w:val="center"/>
          </w:tcPr>
          <w:p w14:paraId="516ABED3">
            <w:pPr>
              <w:spacing w:line="240" w:lineRule="auto"/>
              <w:jc w:val="center"/>
              <w:rPr>
                <w:rFonts w:hint="eastAsia" w:ascii="仿宋" w:hAnsi="仿宋" w:eastAsia="仿宋" w:cs="仿宋"/>
                <w:color w:val="auto"/>
                <w:sz w:val="21"/>
                <w:szCs w:val="21"/>
                <w:highlight w:val="none"/>
                <w:vertAlign w:val="baseline"/>
              </w:rPr>
            </w:pPr>
          </w:p>
        </w:tc>
      </w:tr>
      <w:tr w14:paraId="4F5DA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shd w:val="clear" w:color="auto" w:fill="auto"/>
            <w:vAlign w:val="center"/>
          </w:tcPr>
          <w:p w14:paraId="2DB0A5DA">
            <w:pPr>
              <w:spacing w:line="240" w:lineRule="auto"/>
              <w:jc w:val="center"/>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9</w:t>
            </w:r>
          </w:p>
        </w:tc>
        <w:tc>
          <w:tcPr>
            <w:tcW w:w="3598" w:type="dxa"/>
            <w:vAlign w:val="center"/>
          </w:tcPr>
          <w:p w14:paraId="553B03FE">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 xml:space="preserve">电缆或光缆在特定条件下燃烧的烟密度测定 第2部分：试验程序和要求 </w:t>
            </w:r>
          </w:p>
        </w:tc>
        <w:tc>
          <w:tcPr>
            <w:tcW w:w="1886" w:type="dxa"/>
            <w:vAlign w:val="center"/>
          </w:tcPr>
          <w:p w14:paraId="05C2FBDF">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GB/T 17651.2-2021</w:t>
            </w:r>
          </w:p>
        </w:tc>
        <w:tc>
          <w:tcPr>
            <w:tcW w:w="1212" w:type="dxa"/>
            <w:vAlign w:val="center"/>
          </w:tcPr>
          <w:p w14:paraId="52424A38">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lang w:val="en-US" w:eastAsia="zh-CN"/>
              </w:rPr>
              <w:t>现行</w:t>
            </w:r>
          </w:p>
        </w:tc>
        <w:tc>
          <w:tcPr>
            <w:tcW w:w="2677" w:type="dxa"/>
            <w:vAlign w:val="center"/>
          </w:tcPr>
          <w:p w14:paraId="199160C4">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本文件描述了用来测定电缆或光缆在特定条件下燃烧时释出的烟密度的试验程序，并详细介绍被试电缆或光缆样品的制备、组装及燃烧方法，推荐有关评定试验结果的要求。</w:t>
            </w:r>
          </w:p>
        </w:tc>
        <w:tc>
          <w:tcPr>
            <w:tcW w:w="4569" w:type="dxa"/>
            <w:vAlign w:val="center"/>
          </w:tcPr>
          <w:p w14:paraId="532B7331">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本标准等同采用IEC国际标准：IEC 61034-2:2019。</w:t>
            </w:r>
          </w:p>
        </w:tc>
      </w:tr>
      <w:tr w14:paraId="490FF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shd w:val="clear" w:color="auto" w:fill="auto"/>
            <w:vAlign w:val="center"/>
          </w:tcPr>
          <w:p w14:paraId="39D9A40C">
            <w:pPr>
              <w:spacing w:line="240" w:lineRule="auto"/>
              <w:jc w:val="center"/>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10</w:t>
            </w:r>
          </w:p>
        </w:tc>
        <w:tc>
          <w:tcPr>
            <w:tcW w:w="3598" w:type="dxa"/>
            <w:vAlign w:val="center"/>
          </w:tcPr>
          <w:p w14:paraId="67BBB669">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层绞式通信用室外光缆</w:t>
            </w:r>
          </w:p>
        </w:tc>
        <w:tc>
          <w:tcPr>
            <w:tcW w:w="1886" w:type="dxa"/>
            <w:vAlign w:val="center"/>
          </w:tcPr>
          <w:p w14:paraId="15EE47CB">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YD/T</w:t>
            </w:r>
            <w:r>
              <w:rPr>
                <w:rFonts w:hint="eastAsia" w:ascii="仿宋" w:hAnsi="仿宋" w:eastAsia="仿宋" w:cs="仿宋"/>
                <w:color w:val="auto"/>
                <w:sz w:val="21"/>
                <w:szCs w:val="21"/>
                <w:highlight w:val="none"/>
                <w:vertAlign w:val="baseline"/>
                <w:lang w:val="en-US" w:eastAsia="zh-CN"/>
              </w:rPr>
              <w:t xml:space="preserve"> </w:t>
            </w:r>
            <w:r>
              <w:rPr>
                <w:rFonts w:hint="eastAsia" w:ascii="仿宋" w:hAnsi="仿宋" w:eastAsia="仿宋" w:cs="仿宋"/>
                <w:color w:val="auto"/>
                <w:sz w:val="21"/>
                <w:szCs w:val="21"/>
                <w:highlight w:val="none"/>
                <w:vertAlign w:val="baseline"/>
              </w:rPr>
              <w:t>901-2018</w:t>
            </w:r>
          </w:p>
        </w:tc>
        <w:tc>
          <w:tcPr>
            <w:tcW w:w="1212" w:type="dxa"/>
            <w:vAlign w:val="center"/>
          </w:tcPr>
          <w:p w14:paraId="5929D47B">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lang w:val="en-US" w:eastAsia="zh-CN"/>
              </w:rPr>
              <w:t>现行</w:t>
            </w:r>
          </w:p>
        </w:tc>
        <w:tc>
          <w:tcPr>
            <w:tcW w:w="2677" w:type="dxa"/>
            <w:vMerge w:val="restart"/>
            <w:vAlign w:val="center"/>
          </w:tcPr>
          <w:p w14:paraId="146483B7">
            <w:pPr>
              <w:spacing w:line="240" w:lineRule="auto"/>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光缆</w:t>
            </w:r>
          </w:p>
        </w:tc>
        <w:tc>
          <w:tcPr>
            <w:tcW w:w="4569" w:type="dxa"/>
            <w:vAlign w:val="center"/>
          </w:tcPr>
          <w:p w14:paraId="16BC2F5A">
            <w:pPr>
              <w:spacing w:line="240" w:lineRule="auto"/>
              <w:jc w:val="center"/>
              <w:rPr>
                <w:rFonts w:hint="eastAsia" w:ascii="仿宋" w:hAnsi="仿宋" w:eastAsia="仿宋" w:cs="仿宋"/>
                <w:color w:val="auto"/>
                <w:sz w:val="21"/>
                <w:szCs w:val="21"/>
                <w:highlight w:val="none"/>
                <w:vertAlign w:val="baseline"/>
                <w:lang w:eastAsia="zh-CN"/>
              </w:rPr>
            </w:pPr>
            <w:r>
              <w:rPr>
                <w:rFonts w:hint="eastAsia" w:ascii="仿宋" w:hAnsi="仿宋" w:eastAsia="仿宋" w:cs="仿宋"/>
                <w:color w:val="auto"/>
                <w:sz w:val="21"/>
                <w:szCs w:val="21"/>
                <w:highlight w:val="none"/>
                <w:vertAlign w:val="baseline"/>
              </w:rPr>
              <w:t>涵盖光缆的光学特性、结构设计及机械性能，符合IEC 60794-1标准</w:t>
            </w:r>
            <w:r>
              <w:rPr>
                <w:rFonts w:hint="eastAsia" w:ascii="仿宋" w:hAnsi="仿宋" w:eastAsia="仿宋" w:cs="仿宋"/>
                <w:color w:val="auto"/>
                <w:sz w:val="21"/>
                <w:szCs w:val="21"/>
                <w:highlight w:val="none"/>
                <w:vertAlign w:val="baseline"/>
                <w:lang w:eastAsia="zh-CN"/>
              </w:rPr>
              <w:t>。IEC  60793-2-50:2015《光纤 第2-50部分：产品规范一B 类单 模光纤分规范》、IEC60794-3:2014《 光缆  第3部分：室外光缆一分规范》(第4版)、IEC 60794-3-11: 2010《光缆 第3-11部分：室外光缆一管道和直埋用通信单模光缆详细规范》(第2.0版)和国际电联 建议ITU-T G.652:   2016《单模光纤光缆的特性》、ITU-T   G.654:2016《截止波长位移单模光纤光缆的 特性》、ITU-T  G655:2009《非零色散位移单模光纤光缆的特性》、ITU-T G.656:2010《宽波长段光传 输用非零色散单模光纤光缆的特性》和ITU-T    G.657:2012《接入网用弯曲损耗不敏感单模光纤光缆的 特性》。</w:t>
            </w:r>
          </w:p>
        </w:tc>
      </w:tr>
      <w:tr w14:paraId="1B665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shd w:val="clear" w:color="auto" w:fill="auto"/>
            <w:vAlign w:val="center"/>
          </w:tcPr>
          <w:p w14:paraId="432C6FF1">
            <w:pPr>
              <w:spacing w:line="240" w:lineRule="auto"/>
              <w:jc w:val="center"/>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kern w:val="2"/>
                <w:sz w:val="21"/>
                <w:szCs w:val="21"/>
                <w:highlight w:val="none"/>
                <w:vertAlign w:val="baseline"/>
                <w:lang w:val="en-US" w:eastAsia="zh-CN" w:bidi="ar-SA"/>
              </w:rPr>
              <w:t>11</w:t>
            </w:r>
          </w:p>
        </w:tc>
        <w:tc>
          <w:tcPr>
            <w:tcW w:w="3598" w:type="dxa"/>
            <w:vAlign w:val="center"/>
          </w:tcPr>
          <w:p w14:paraId="6F065A96">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通信用“8”字型自承式室外光缆</w:t>
            </w:r>
          </w:p>
        </w:tc>
        <w:tc>
          <w:tcPr>
            <w:tcW w:w="1886" w:type="dxa"/>
            <w:vAlign w:val="center"/>
          </w:tcPr>
          <w:p w14:paraId="78893624">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YD/T 1155-2011</w:t>
            </w:r>
          </w:p>
        </w:tc>
        <w:tc>
          <w:tcPr>
            <w:tcW w:w="1212" w:type="dxa"/>
            <w:vAlign w:val="center"/>
          </w:tcPr>
          <w:p w14:paraId="11E8FC9A">
            <w:pPr>
              <w:spacing w:line="240" w:lineRule="auto"/>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现行</w:t>
            </w:r>
          </w:p>
        </w:tc>
        <w:tc>
          <w:tcPr>
            <w:tcW w:w="2677" w:type="dxa"/>
            <w:vMerge w:val="continue"/>
            <w:vAlign w:val="center"/>
          </w:tcPr>
          <w:p w14:paraId="4301355B">
            <w:pPr>
              <w:spacing w:line="240" w:lineRule="auto"/>
              <w:jc w:val="center"/>
              <w:rPr>
                <w:rFonts w:hint="eastAsia" w:ascii="仿宋" w:hAnsi="仿宋" w:eastAsia="仿宋" w:cs="仿宋"/>
                <w:color w:val="auto"/>
                <w:sz w:val="21"/>
                <w:szCs w:val="21"/>
                <w:highlight w:val="none"/>
                <w:vertAlign w:val="baseline"/>
                <w:lang w:val="en-US" w:eastAsia="zh-CN"/>
              </w:rPr>
            </w:pPr>
          </w:p>
        </w:tc>
        <w:tc>
          <w:tcPr>
            <w:tcW w:w="4569" w:type="dxa"/>
            <w:vAlign w:val="center"/>
          </w:tcPr>
          <w:p w14:paraId="2DE817D2">
            <w:pPr>
              <w:spacing w:line="240" w:lineRule="auto"/>
              <w:jc w:val="center"/>
              <w:rPr>
                <w:rFonts w:hint="eastAsia" w:ascii="仿宋" w:hAnsi="仿宋" w:eastAsia="仿宋" w:cs="仿宋"/>
                <w:color w:val="auto"/>
                <w:sz w:val="21"/>
                <w:szCs w:val="21"/>
                <w:highlight w:val="none"/>
                <w:vertAlign w:val="baseline"/>
              </w:rPr>
            </w:pPr>
          </w:p>
        </w:tc>
      </w:tr>
      <w:tr w14:paraId="3796B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shd w:val="clear" w:color="auto" w:fill="auto"/>
            <w:vAlign w:val="center"/>
          </w:tcPr>
          <w:p w14:paraId="3301B0EC">
            <w:pPr>
              <w:spacing w:line="240" w:lineRule="auto"/>
              <w:jc w:val="center"/>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12</w:t>
            </w:r>
          </w:p>
        </w:tc>
        <w:tc>
          <w:tcPr>
            <w:tcW w:w="3598" w:type="dxa"/>
            <w:vAlign w:val="center"/>
          </w:tcPr>
          <w:p w14:paraId="5E221C0F">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管道、直埋和非自承式架空敷设用单模通信室外光缆</w:t>
            </w:r>
          </w:p>
        </w:tc>
        <w:tc>
          <w:tcPr>
            <w:tcW w:w="1886" w:type="dxa"/>
            <w:vAlign w:val="center"/>
          </w:tcPr>
          <w:p w14:paraId="137DA0E6">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GB/T 29233-2012</w:t>
            </w:r>
          </w:p>
        </w:tc>
        <w:tc>
          <w:tcPr>
            <w:tcW w:w="1212" w:type="dxa"/>
            <w:vAlign w:val="center"/>
          </w:tcPr>
          <w:p w14:paraId="114B404C">
            <w:pPr>
              <w:spacing w:line="240" w:lineRule="auto"/>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现行</w:t>
            </w:r>
          </w:p>
        </w:tc>
        <w:tc>
          <w:tcPr>
            <w:tcW w:w="2677" w:type="dxa"/>
            <w:vMerge w:val="continue"/>
            <w:vAlign w:val="center"/>
          </w:tcPr>
          <w:p w14:paraId="3201D433">
            <w:pPr>
              <w:spacing w:line="240" w:lineRule="auto"/>
              <w:jc w:val="center"/>
              <w:rPr>
                <w:rFonts w:hint="eastAsia" w:ascii="仿宋" w:hAnsi="仿宋" w:eastAsia="仿宋" w:cs="仿宋"/>
                <w:color w:val="auto"/>
                <w:sz w:val="21"/>
                <w:szCs w:val="21"/>
                <w:highlight w:val="none"/>
                <w:vertAlign w:val="baseline"/>
                <w:lang w:val="en-US" w:eastAsia="zh-CN"/>
              </w:rPr>
            </w:pPr>
          </w:p>
        </w:tc>
        <w:tc>
          <w:tcPr>
            <w:tcW w:w="4569" w:type="dxa"/>
            <w:vAlign w:val="center"/>
          </w:tcPr>
          <w:p w14:paraId="7FE67D71">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规定了光缆结构、材料、性能要求及试验方法，适用于管道、直埋和非自承式架空敷设场景</w:t>
            </w:r>
          </w:p>
        </w:tc>
      </w:tr>
      <w:tr w14:paraId="508DF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shd w:val="clear" w:color="auto" w:fill="auto"/>
            <w:vAlign w:val="center"/>
          </w:tcPr>
          <w:p w14:paraId="5E97F333">
            <w:pPr>
              <w:spacing w:line="240" w:lineRule="auto"/>
              <w:jc w:val="center"/>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13</w:t>
            </w:r>
          </w:p>
        </w:tc>
        <w:tc>
          <w:tcPr>
            <w:tcW w:w="3598" w:type="dxa"/>
            <w:vAlign w:val="center"/>
          </w:tcPr>
          <w:p w14:paraId="223B8AA2">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通信用中心管填充式室外光缆</w:t>
            </w:r>
          </w:p>
        </w:tc>
        <w:tc>
          <w:tcPr>
            <w:tcW w:w="1886" w:type="dxa"/>
            <w:vAlign w:val="center"/>
          </w:tcPr>
          <w:p w14:paraId="7B1470D3">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YD/T 769-2018</w:t>
            </w:r>
          </w:p>
        </w:tc>
        <w:tc>
          <w:tcPr>
            <w:tcW w:w="1212" w:type="dxa"/>
            <w:vAlign w:val="center"/>
          </w:tcPr>
          <w:p w14:paraId="1BD0FF1A">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lang w:val="en-US" w:eastAsia="zh-CN"/>
              </w:rPr>
              <w:t>现行</w:t>
            </w:r>
          </w:p>
        </w:tc>
        <w:tc>
          <w:tcPr>
            <w:tcW w:w="2677" w:type="dxa"/>
            <w:vMerge w:val="continue"/>
            <w:vAlign w:val="center"/>
          </w:tcPr>
          <w:p w14:paraId="03C452A2">
            <w:pPr>
              <w:spacing w:line="240" w:lineRule="auto"/>
              <w:jc w:val="center"/>
              <w:rPr>
                <w:rFonts w:hint="eastAsia" w:ascii="仿宋" w:hAnsi="仿宋" w:eastAsia="仿宋" w:cs="仿宋"/>
                <w:color w:val="auto"/>
                <w:sz w:val="21"/>
                <w:szCs w:val="21"/>
                <w:highlight w:val="none"/>
                <w:vertAlign w:val="baseline"/>
              </w:rPr>
            </w:pPr>
          </w:p>
        </w:tc>
        <w:tc>
          <w:tcPr>
            <w:tcW w:w="4569" w:type="dxa"/>
            <w:vAlign w:val="center"/>
          </w:tcPr>
          <w:p w14:paraId="05E64AA6">
            <w:pPr>
              <w:spacing w:line="240" w:lineRule="auto"/>
              <w:jc w:val="center"/>
              <w:rPr>
                <w:rFonts w:hint="eastAsia" w:ascii="仿宋" w:hAnsi="仿宋" w:eastAsia="仿宋" w:cs="仿宋"/>
                <w:color w:val="auto"/>
                <w:sz w:val="21"/>
                <w:szCs w:val="21"/>
                <w:highlight w:val="none"/>
                <w:vertAlign w:val="baseline"/>
              </w:rPr>
            </w:pPr>
          </w:p>
        </w:tc>
      </w:tr>
      <w:tr w14:paraId="6C6F1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shd w:val="clear" w:color="auto" w:fill="auto"/>
            <w:vAlign w:val="center"/>
          </w:tcPr>
          <w:p w14:paraId="0BE51523">
            <w:pPr>
              <w:spacing w:line="240" w:lineRule="auto"/>
              <w:jc w:val="center"/>
              <w:rPr>
                <w:rFonts w:hint="default"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14</w:t>
            </w:r>
          </w:p>
        </w:tc>
        <w:tc>
          <w:tcPr>
            <w:tcW w:w="3598" w:type="dxa"/>
            <w:vAlign w:val="center"/>
          </w:tcPr>
          <w:p w14:paraId="7C69CBD2">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电缆外护层 第1部分：总则</w:t>
            </w:r>
          </w:p>
        </w:tc>
        <w:tc>
          <w:tcPr>
            <w:tcW w:w="1886" w:type="dxa"/>
            <w:vAlign w:val="center"/>
          </w:tcPr>
          <w:p w14:paraId="3EE6A9C3">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GB/T 2952</w:t>
            </w:r>
            <w:r>
              <w:rPr>
                <w:rFonts w:hint="eastAsia" w:ascii="仿宋" w:hAnsi="仿宋" w:eastAsia="仿宋" w:cs="仿宋"/>
                <w:color w:val="auto"/>
                <w:sz w:val="21"/>
                <w:szCs w:val="21"/>
                <w:highlight w:val="none"/>
                <w:vertAlign w:val="baseline"/>
                <w:lang w:val="en-US" w:eastAsia="zh-CN"/>
              </w:rPr>
              <w:t>.1</w:t>
            </w:r>
            <w:r>
              <w:rPr>
                <w:rFonts w:hint="eastAsia" w:ascii="仿宋" w:hAnsi="仿宋" w:eastAsia="仿宋" w:cs="仿宋"/>
                <w:color w:val="auto"/>
                <w:sz w:val="21"/>
                <w:szCs w:val="21"/>
                <w:highlight w:val="none"/>
                <w:vertAlign w:val="baseline"/>
              </w:rPr>
              <w:t>-2008</w:t>
            </w:r>
          </w:p>
        </w:tc>
        <w:tc>
          <w:tcPr>
            <w:tcW w:w="1212" w:type="dxa"/>
            <w:vAlign w:val="center"/>
          </w:tcPr>
          <w:p w14:paraId="59E09C11">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lang w:val="en-US" w:eastAsia="zh-CN"/>
              </w:rPr>
              <w:t>现行</w:t>
            </w:r>
          </w:p>
        </w:tc>
        <w:tc>
          <w:tcPr>
            <w:tcW w:w="2677" w:type="dxa"/>
            <w:vMerge w:val="continue"/>
            <w:vAlign w:val="center"/>
          </w:tcPr>
          <w:p w14:paraId="66C1E804">
            <w:pPr>
              <w:spacing w:line="240" w:lineRule="auto"/>
              <w:jc w:val="center"/>
              <w:rPr>
                <w:rFonts w:hint="eastAsia" w:ascii="仿宋" w:hAnsi="仿宋" w:eastAsia="仿宋" w:cs="仿宋"/>
                <w:color w:val="auto"/>
                <w:sz w:val="21"/>
                <w:szCs w:val="21"/>
                <w:highlight w:val="none"/>
                <w:vertAlign w:val="baseline"/>
              </w:rPr>
            </w:pPr>
          </w:p>
        </w:tc>
        <w:tc>
          <w:tcPr>
            <w:tcW w:w="4569" w:type="dxa"/>
            <w:vAlign w:val="center"/>
          </w:tcPr>
          <w:p w14:paraId="249C10F3">
            <w:pPr>
              <w:spacing w:line="240" w:lineRule="auto"/>
              <w:jc w:val="center"/>
              <w:rPr>
                <w:rFonts w:hint="eastAsia" w:ascii="仿宋" w:hAnsi="仿宋" w:eastAsia="仿宋" w:cs="仿宋"/>
                <w:color w:val="auto"/>
                <w:sz w:val="21"/>
                <w:szCs w:val="21"/>
                <w:highlight w:val="none"/>
                <w:vertAlign w:val="baseline"/>
                <w:lang w:eastAsia="zh-CN"/>
              </w:rPr>
            </w:pPr>
            <w:r>
              <w:rPr>
                <w:rFonts w:hint="eastAsia" w:ascii="仿宋" w:hAnsi="仿宋" w:eastAsia="仿宋" w:cs="仿宋"/>
                <w:color w:val="auto"/>
                <w:sz w:val="21"/>
                <w:szCs w:val="21"/>
                <w:highlight w:val="none"/>
                <w:vertAlign w:val="baseline"/>
              </w:rPr>
              <w:t>GB/T 2952.</w:t>
            </w:r>
            <w:r>
              <w:rPr>
                <w:rFonts w:hint="eastAsia" w:ascii="仿宋" w:hAnsi="仿宋" w:eastAsia="仿宋" w:cs="仿宋"/>
                <w:color w:val="auto"/>
                <w:sz w:val="21"/>
                <w:szCs w:val="21"/>
                <w:highlight w:val="none"/>
                <w:vertAlign w:val="baseline"/>
                <w:lang w:val="en-US" w:eastAsia="zh-CN"/>
              </w:rPr>
              <w:t>2</w:t>
            </w:r>
            <w:r>
              <w:rPr>
                <w:rFonts w:hint="eastAsia" w:ascii="仿宋" w:hAnsi="仿宋" w:eastAsia="仿宋" w:cs="仿宋"/>
                <w:color w:val="auto"/>
                <w:sz w:val="21"/>
                <w:szCs w:val="21"/>
                <w:highlight w:val="none"/>
                <w:vertAlign w:val="baseline"/>
              </w:rPr>
              <w:t>-2008</w:t>
            </w:r>
            <w:r>
              <w:rPr>
                <w:rFonts w:hint="eastAsia" w:ascii="仿宋" w:hAnsi="仿宋" w:eastAsia="仿宋" w:cs="仿宋"/>
                <w:color w:val="auto"/>
                <w:sz w:val="21"/>
                <w:szCs w:val="21"/>
                <w:highlight w:val="none"/>
                <w:vertAlign w:val="baseline"/>
                <w:lang w:eastAsia="zh-CN"/>
              </w:rPr>
              <w:t>、GB/T 2952.</w:t>
            </w:r>
            <w:r>
              <w:rPr>
                <w:rFonts w:hint="eastAsia" w:ascii="仿宋" w:hAnsi="仿宋" w:eastAsia="仿宋" w:cs="仿宋"/>
                <w:color w:val="auto"/>
                <w:sz w:val="21"/>
                <w:szCs w:val="21"/>
                <w:highlight w:val="none"/>
                <w:vertAlign w:val="baseline"/>
                <w:lang w:val="en-US" w:eastAsia="zh-CN"/>
              </w:rPr>
              <w:t>3</w:t>
            </w:r>
            <w:r>
              <w:rPr>
                <w:rFonts w:hint="eastAsia" w:ascii="仿宋" w:hAnsi="仿宋" w:eastAsia="仿宋" w:cs="仿宋"/>
                <w:color w:val="auto"/>
                <w:sz w:val="21"/>
                <w:szCs w:val="21"/>
                <w:highlight w:val="none"/>
                <w:vertAlign w:val="baseline"/>
                <w:lang w:eastAsia="zh-CN"/>
              </w:rPr>
              <w:t>-2008</w:t>
            </w:r>
          </w:p>
        </w:tc>
      </w:tr>
      <w:tr w14:paraId="61C58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shd w:val="clear" w:color="auto" w:fill="auto"/>
            <w:vAlign w:val="center"/>
          </w:tcPr>
          <w:p w14:paraId="5766FC09">
            <w:pPr>
              <w:spacing w:line="240" w:lineRule="auto"/>
              <w:jc w:val="center"/>
              <w:rPr>
                <w:rFonts w:hint="default"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15</w:t>
            </w:r>
          </w:p>
        </w:tc>
        <w:tc>
          <w:tcPr>
            <w:tcW w:w="3598" w:type="dxa"/>
            <w:vAlign w:val="center"/>
          </w:tcPr>
          <w:p w14:paraId="41BEEAC9">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通信用单模光纤 第1部分：非色散位移单模光纤特性</w:t>
            </w:r>
          </w:p>
        </w:tc>
        <w:tc>
          <w:tcPr>
            <w:tcW w:w="1886" w:type="dxa"/>
            <w:vAlign w:val="center"/>
          </w:tcPr>
          <w:p w14:paraId="1F30B718">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GB/T 9771.</w:t>
            </w:r>
            <w:r>
              <w:rPr>
                <w:rFonts w:hint="eastAsia" w:ascii="仿宋" w:hAnsi="仿宋" w:eastAsia="仿宋" w:cs="仿宋"/>
                <w:color w:val="auto"/>
                <w:sz w:val="21"/>
                <w:szCs w:val="21"/>
                <w:highlight w:val="none"/>
                <w:vertAlign w:val="baseline"/>
                <w:lang w:val="en-US" w:eastAsia="zh-CN"/>
              </w:rPr>
              <w:t>1</w:t>
            </w:r>
            <w:r>
              <w:rPr>
                <w:rFonts w:hint="eastAsia" w:ascii="仿宋" w:hAnsi="仿宋" w:eastAsia="仿宋" w:cs="仿宋"/>
                <w:color w:val="auto"/>
                <w:sz w:val="21"/>
                <w:szCs w:val="21"/>
                <w:highlight w:val="none"/>
                <w:vertAlign w:val="baseline"/>
              </w:rPr>
              <w:t>-2020</w:t>
            </w:r>
          </w:p>
        </w:tc>
        <w:tc>
          <w:tcPr>
            <w:tcW w:w="1212" w:type="dxa"/>
            <w:vAlign w:val="center"/>
          </w:tcPr>
          <w:p w14:paraId="458693B7">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lang w:val="en-US" w:eastAsia="zh-CN"/>
              </w:rPr>
              <w:t>现行</w:t>
            </w:r>
          </w:p>
        </w:tc>
        <w:tc>
          <w:tcPr>
            <w:tcW w:w="2677" w:type="dxa"/>
            <w:vMerge w:val="continue"/>
            <w:vAlign w:val="center"/>
          </w:tcPr>
          <w:p w14:paraId="7F48BC90">
            <w:pPr>
              <w:spacing w:line="240" w:lineRule="auto"/>
              <w:jc w:val="center"/>
              <w:rPr>
                <w:rFonts w:hint="eastAsia" w:ascii="仿宋" w:hAnsi="仿宋" w:eastAsia="仿宋" w:cs="仿宋"/>
                <w:color w:val="auto"/>
                <w:sz w:val="21"/>
                <w:szCs w:val="21"/>
                <w:highlight w:val="none"/>
                <w:vertAlign w:val="baseline"/>
              </w:rPr>
            </w:pPr>
          </w:p>
        </w:tc>
        <w:tc>
          <w:tcPr>
            <w:tcW w:w="4569" w:type="dxa"/>
            <w:vAlign w:val="center"/>
          </w:tcPr>
          <w:p w14:paraId="67B3D515">
            <w:pPr>
              <w:spacing w:line="240" w:lineRule="auto"/>
              <w:jc w:val="center"/>
              <w:rPr>
                <w:rFonts w:hint="eastAsia" w:ascii="仿宋" w:hAnsi="仿宋" w:eastAsia="仿宋" w:cs="仿宋"/>
                <w:color w:val="auto"/>
                <w:sz w:val="21"/>
                <w:szCs w:val="21"/>
                <w:highlight w:val="none"/>
                <w:vertAlign w:val="baseline"/>
                <w:lang w:eastAsia="zh-CN"/>
              </w:rPr>
            </w:pPr>
            <w:r>
              <w:rPr>
                <w:rFonts w:hint="eastAsia" w:ascii="仿宋" w:hAnsi="仿宋" w:eastAsia="仿宋" w:cs="仿宋"/>
                <w:color w:val="auto"/>
                <w:sz w:val="21"/>
                <w:szCs w:val="21"/>
                <w:highlight w:val="none"/>
                <w:vertAlign w:val="baseline"/>
              </w:rPr>
              <w:t>GB/T 9771.</w:t>
            </w:r>
            <w:r>
              <w:rPr>
                <w:rFonts w:hint="eastAsia" w:ascii="仿宋" w:hAnsi="仿宋" w:eastAsia="仿宋" w:cs="仿宋"/>
                <w:color w:val="auto"/>
                <w:sz w:val="21"/>
                <w:szCs w:val="21"/>
                <w:highlight w:val="none"/>
                <w:vertAlign w:val="baseline"/>
                <w:lang w:val="en-US" w:eastAsia="zh-CN"/>
              </w:rPr>
              <w:t>2</w:t>
            </w:r>
            <w:r>
              <w:rPr>
                <w:rFonts w:hint="eastAsia" w:ascii="仿宋" w:hAnsi="仿宋" w:eastAsia="仿宋" w:cs="仿宋"/>
                <w:color w:val="auto"/>
                <w:sz w:val="21"/>
                <w:szCs w:val="21"/>
                <w:highlight w:val="none"/>
                <w:vertAlign w:val="baseline"/>
              </w:rPr>
              <w:t>-2020</w:t>
            </w:r>
            <w:r>
              <w:rPr>
                <w:rFonts w:hint="eastAsia" w:ascii="仿宋" w:hAnsi="仿宋" w:eastAsia="仿宋" w:cs="仿宋"/>
                <w:color w:val="auto"/>
                <w:sz w:val="21"/>
                <w:szCs w:val="21"/>
                <w:highlight w:val="none"/>
                <w:vertAlign w:val="baseline"/>
                <w:lang w:eastAsia="zh-CN"/>
              </w:rPr>
              <w:t>、</w:t>
            </w:r>
            <w:r>
              <w:rPr>
                <w:rFonts w:hint="eastAsia" w:ascii="仿宋" w:hAnsi="仿宋" w:eastAsia="仿宋" w:cs="仿宋"/>
                <w:color w:val="auto"/>
                <w:sz w:val="21"/>
                <w:szCs w:val="21"/>
                <w:highlight w:val="none"/>
                <w:vertAlign w:val="baseline"/>
              </w:rPr>
              <w:t>GB/T 9771.</w:t>
            </w:r>
            <w:r>
              <w:rPr>
                <w:rFonts w:hint="eastAsia" w:ascii="仿宋" w:hAnsi="仿宋" w:eastAsia="仿宋" w:cs="仿宋"/>
                <w:color w:val="auto"/>
                <w:sz w:val="21"/>
                <w:szCs w:val="21"/>
                <w:highlight w:val="none"/>
                <w:vertAlign w:val="baseline"/>
                <w:lang w:val="en-US" w:eastAsia="zh-CN"/>
              </w:rPr>
              <w:t>3</w:t>
            </w:r>
            <w:r>
              <w:rPr>
                <w:rFonts w:hint="eastAsia" w:ascii="仿宋" w:hAnsi="仿宋" w:eastAsia="仿宋" w:cs="仿宋"/>
                <w:color w:val="auto"/>
                <w:sz w:val="21"/>
                <w:szCs w:val="21"/>
                <w:highlight w:val="none"/>
                <w:vertAlign w:val="baseline"/>
              </w:rPr>
              <w:t>-2020</w:t>
            </w:r>
            <w:r>
              <w:rPr>
                <w:rFonts w:hint="eastAsia" w:ascii="仿宋" w:hAnsi="仿宋" w:eastAsia="仿宋" w:cs="仿宋"/>
                <w:color w:val="auto"/>
                <w:sz w:val="21"/>
                <w:szCs w:val="21"/>
                <w:highlight w:val="none"/>
                <w:vertAlign w:val="baseline"/>
                <w:lang w:eastAsia="zh-CN"/>
              </w:rPr>
              <w:t>、</w:t>
            </w:r>
            <w:r>
              <w:rPr>
                <w:rFonts w:hint="eastAsia" w:ascii="仿宋" w:hAnsi="仿宋" w:eastAsia="仿宋" w:cs="仿宋"/>
                <w:color w:val="auto"/>
                <w:sz w:val="21"/>
                <w:szCs w:val="21"/>
                <w:highlight w:val="none"/>
                <w:vertAlign w:val="baseline"/>
              </w:rPr>
              <w:t>GB/T 9771.</w:t>
            </w:r>
            <w:r>
              <w:rPr>
                <w:rFonts w:hint="eastAsia" w:ascii="仿宋" w:hAnsi="仿宋" w:eastAsia="仿宋" w:cs="仿宋"/>
                <w:color w:val="auto"/>
                <w:sz w:val="21"/>
                <w:szCs w:val="21"/>
                <w:highlight w:val="none"/>
                <w:vertAlign w:val="baseline"/>
                <w:lang w:val="en-US" w:eastAsia="zh-CN"/>
              </w:rPr>
              <w:t>3</w:t>
            </w:r>
            <w:r>
              <w:rPr>
                <w:rFonts w:hint="eastAsia" w:ascii="仿宋" w:hAnsi="仿宋" w:eastAsia="仿宋" w:cs="仿宋"/>
                <w:color w:val="auto"/>
                <w:sz w:val="21"/>
                <w:szCs w:val="21"/>
                <w:highlight w:val="none"/>
                <w:vertAlign w:val="baseline"/>
              </w:rPr>
              <w:t>-2020</w:t>
            </w:r>
            <w:r>
              <w:rPr>
                <w:rFonts w:hint="eastAsia" w:ascii="仿宋" w:hAnsi="仿宋" w:eastAsia="仿宋" w:cs="仿宋"/>
                <w:color w:val="auto"/>
                <w:sz w:val="21"/>
                <w:szCs w:val="21"/>
                <w:highlight w:val="none"/>
                <w:vertAlign w:val="baseline"/>
                <w:lang w:eastAsia="zh-CN"/>
              </w:rPr>
              <w:t>、</w:t>
            </w:r>
            <w:r>
              <w:rPr>
                <w:rFonts w:hint="eastAsia" w:ascii="仿宋" w:hAnsi="仿宋" w:eastAsia="仿宋" w:cs="仿宋"/>
                <w:color w:val="auto"/>
                <w:sz w:val="21"/>
                <w:szCs w:val="21"/>
                <w:highlight w:val="none"/>
                <w:vertAlign w:val="baseline"/>
              </w:rPr>
              <w:t>GB/T 9771.</w:t>
            </w:r>
            <w:r>
              <w:rPr>
                <w:rFonts w:hint="eastAsia" w:ascii="仿宋" w:hAnsi="仿宋" w:eastAsia="仿宋" w:cs="仿宋"/>
                <w:color w:val="auto"/>
                <w:sz w:val="21"/>
                <w:szCs w:val="21"/>
                <w:highlight w:val="none"/>
                <w:vertAlign w:val="baseline"/>
                <w:lang w:val="en-US" w:eastAsia="zh-CN"/>
              </w:rPr>
              <w:t>4</w:t>
            </w:r>
            <w:r>
              <w:rPr>
                <w:rFonts w:hint="eastAsia" w:ascii="仿宋" w:hAnsi="仿宋" w:eastAsia="仿宋" w:cs="仿宋"/>
                <w:color w:val="auto"/>
                <w:sz w:val="21"/>
                <w:szCs w:val="21"/>
                <w:highlight w:val="none"/>
                <w:vertAlign w:val="baseline"/>
              </w:rPr>
              <w:t>-2020</w:t>
            </w:r>
            <w:r>
              <w:rPr>
                <w:rFonts w:hint="eastAsia" w:ascii="仿宋" w:hAnsi="仿宋" w:eastAsia="仿宋" w:cs="仿宋"/>
                <w:color w:val="auto"/>
                <w:sz w:val="21"/>
                <w:szCs w:val="21"/>
                <w:highlight w:val="none"/>
                <w:vertAlign w:val="baseline"/>
                <w:lang w:eastAsia="zh-CN"/>
              </w:rPr>
              <w:t>、</w:t>
            </w:r>
            <w:r>
              <w:rPr>
                <w:rFonts w:hint="eastAsia" w:ascii="仿宋" w:hAnsi="仿宋" w:eastAsia="仿宋" w:cs="仿宋"/>
                <w:color w:val="auto"/>
                <w:sz w:val="21"/>
                <w:szCs w:val="21"/>
                <w:highlight w:val="none"/>
                <w:vertAlign w:val="baseline"/>
              </w:rPr>
              <w:t>GB/T 9771.</w:t>
            </w:r>
            <w:r>
              <w:rPr>
                <w:rFonts w:hint="eastAsia" w:ascii="仿宋" w:hAnsi="仿宋" w:eastAsia="仿宋" w:cs="仿宋"/>
                <w:color w:val="auto"/>
                <w:sz w:val="21"/>
                <w:szCs w:val="21"/>
                <w:highlight w:val="none"/>
                <w:vertAlign w:val="baseline"/>
                <w:lang w:val="en-US" w:eastAsia="zh-CN"/>
              </w:rPr>
              <w:t>5</w:t>
            </w:r>
            <w:r>
              <w:rPr>
                <w:rFonts w:hint="eastAsia" w:ascii="仿宋" w:hAnsi="仿宋" w:eastAsia="仿宋" w:cs="仿宋"/>
                <w:color w:val="auto"/>
                <w:sz w:val="21"/>
                <w:szCs w:val="21"/>
                <w:highlight w:val="none"/>
                <w:vertAlign w:val="baseline"/>
              </w:rPr>
              <w:t>-2020</w:t>
            </w:r>
            <w:r>
              <w:rPr>
                <w:rFonts w:hint="eastAsia" w:ascii="仿宋" w:hAnsi="仿宋" w:eastAsia="仿宋" w:cs="仿宋"/>
                <w:color w:val="auto"/>
                <w:sz w:val="21"/>
                <w:szCs w:val="21"/>
                <w:highlight w:val="none"/>
                <w:vertAlign w:val="baseline"/>
                <w:lang w:eastAsia="zh-CN"/>
              </w:rPr>
              <w:t>、</w:t>
            </w:r>
            <w:r>
              <w:rPr>
                <w:rFonts w:hint="eastAsia" w:ascii="仿宋" w:hAnsi="仿宋" w:eastAsia="仿宋" w:cs="仿宋"/>
                <w:color w:val="auto"/>
                <w:sz w:val="21"/>
                <w:szCs w:val="21"/>
                <w:highlight w:val="none"/>
                <w:vertAlign w:val="baseline"/>
              </w:rPr>
              <w:t>GB/T 9771.</w:t>
            </w:r>
            <w:r>
              <w:rPr>
                <w:rFonts w:hint="eastAsia" w:ascii="仿宋" w:hAnsi="仿宋" w:eastAsia="仿宋" w:cs="仿宋"/>
                <w:color w:val="auto"/>
                <w:sz w:val="21"/>
                <w:szCs w:val="21"/>
                <w:highlight w:val="none"/>
                <w:vertAlign w:val="baseline"/>
                <w:lang w:val="en-US" w:eastAsia="zh-CN"/>
              </w:rPr>
              <w:t>6</w:t>
            </w:r>
            <w:r>
              <w:rPr>
                <w:rFonts w:hint="eastAsia" w:ascii="仿宋" w:hAnsi="仿宋" w:eastAsia="仿宋" w:cs="仿宋"/>
                <w:color w:val="auto"/>
                <w:sz w:val="21"/>
                <w:szCs w:val="21"/>
                <w:highlight w:val="none"/>
                <w:vertAlign w:val="baseline"/>
              </w:rPr>
              <w:t>-2020</w:t>
            </w:r>
            <w:r>
              <w:rPr>
                <w:rFonts w:hint="eastAsia" w:ascii="仿宋" w:hAnsi="仿宋" w:eastAsia="仿宋" w:cs="仿宋"/>
                <w:color w:val="auto"/>
                <w:sz w:val="21"/>
                <w:szCs w:val="21"/>
                <w:highlight w:val="none"/>
                <w:vertAlign w:val="baseline"/>
                <w:lang w:eastAsia="zh-CN"/>
              </w:rPr>
              <w:t>、GB/T 9771.7-2022</w:t>
            </w:r>
          </w:p>
        </w:tc>
      </w:tr>
      <w:tr w14:paraId="1BDD6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shd w:val="clear" w:color="auto" w:fill="auto"/>
            <w:vAlign w:val="center"/>
          </w:tcPr>
          <w:p w14:paraId="14CBE339">
            <w:pPr>
              <w:spacing w:line="240" w:lineRule="auto"/>
              <w:jc w:val="center"/>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16</w:t>
            </w:r>
          </w:p>
        </w:tc>
        <w:tc>
          <w:tcPr>
            <w:tcW w:w="3598" w:type="dxa"/>
            <w:vAlign w:val="center"/>
          </w:tcPr>
          <w:p w14:paraId="53FD80EC">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 xml:space="preserve">通信用单模光纤 第3部分：波长段扩展的非色散位移单模光纤特性 </w:t>
            </w:r>
          </w:p>
        </w:tc>
        <w:tc>
          <w:tcPr>
            <w:tcW w:w="1886" w:type="dxa"/>
            <w:vAlign w:val="center"/>
          </w:tcPr>
          <w:p w14:paraId="3FE57229">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GB/T 9771.</w:t>
            </w:r>
            <w:r>
              <w:rPr>
                <w:rFonts w:hint="eastAsia" w:ascii="仿宋" w:hAnsi="仿宋" w:eastAsia="仿宋" w:cs="仿宋"/>
                <w:color w:val="auto"/>
                <w:sz w:val="21"/>
                <w:szCs w:val="21"/>
                <w:highlight w:val="none"/>
                <w:vertAlign w:val="baseline"/>
                <w:lang w:val="en-US" w:eastAsia="zh-CN"/>
              </w:rPr>
              <w:t>3</w:t>
            </w:r>
            <w:r>
              <w:rPr>
                <w:rFonts w:hint="eastAsia" w:ascii="仿宋" w:hAnsi="仿宋" w:eastAsia="仿宋" w:cs="仿宋"/>
                <w:color w:val="auto"/>
                <w:sz w:val="21"/>
                <w:szCs w:val="21"/>
                <w:highlight w:val="none"/>
                <w:vertAlign w:val="baseline"/>
              </w:rPr>
              <w:t>-2020</w:t>
            </w:r>
          </w:p>
        </w:tc>
        <w:tc>
          <w:tcPr>
            <w:tcW w:w="1212" w:type="dxa"/>
            <w:vAlign w:val="center"/>
          </w:tcPr>
          <w:p w14:paraId="7F194938">
            <w:pPr>
              <w:spacing w:line="240" w:lineRule="auto"/>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现行</w:t>
            </w:r>
          </w:p>
        </w:tc>
        <w:tc>
          <w:tcPr>
            <w:tcW w:w="2677" w:type="dxa"/>
            <w:vMerge w:val="continue"/>
            <w:vAlign w:val="center"/>
          </w:tcPr>
          <w:p w14:paraId="4138801E">
            <w:pPr>
              <w:spacing w:line="240" w:lineRule="auto"/>
              <w:jc w:val="center"/>
              <w:rPr>
                <w:rFonts w:hint="eastAsia" w:ascii="仿宋" w:hAnsi="仿宋" w:eastAsia="仿宋" w:cs="仿宋"/>
                <w:color w:val="auto"/>
                <w:sz w:val="21"/>
                <w:szCs w:val="21"/>
                <w:highlight w:val="none"/>
                <w:vertAlign w:val="baseline"/>
              </w:rPr>
            </w:pPr>
          </w:p>
        </w:tc>
        <w:tc>
          <w:tcPr>
            <w:tcW w:w="4569" w:type="dxa"/>
            <w:vAlign w:val="center"/>
          </w:tcPr>
          <w:p w14:paraId="4E01DF17">
            <w:pPr>
              <w:spacing w:line="240" w:lineRule="auto"/>
              <w:jc w:val="center"/>
              <w:rPr>
                <w:rFonts w:hint="eastAsia" w:ascii="仿宋" w:hAnsi="仿宋" w:eastAsia="仿宋" w:cs="仿宋"/>
                <w:color w:val="auto"/>
                <w:sz w:val="21"/>
                <w:szCs w:val="21"/>
                <w:highlight w:val="none"/>
                <w:vertAlign w:val="baseline"/>
              </w:rPr>
            </w:pPr>
          </w:p>
        </w:tc>
      </w:tr>
      <w:tr w14:paraId="76580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shd w:val="clear" w:color="auto" w:fill="auto"/>
            <w:vAlign w:val="center"/>
          </w:tcPr>
          <w:p w14:paraId="62E73794">
            <w:pPr>
              <w:spacing w:line="240" w:lineRule="auto"/>
              <w:jc w:val="center"/>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17</w:t>
            </w:r>
          </w:p>
        </w:tc>
        <w:tc>
          <w:tcPr>
            <w:tcW w:w="3598" w:type="dxa"/>
            <w:vAlign w:val="center"/>
          </w:tcPr>
          <w:p w14:paraId="5EE555CA">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光缆型号命名方法</w:t>
            </w:r>
          </w:p>
        </w:tc>
        <w:tc>
          <w:tcPr>
            <w:tcW w:w="1886" w:type="dxa"/>
            <w:vAlign w:val="center"/>
          </w:tcPr>
          <w:p w14:paraId="6EB55D0A">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YD/T 908-2020</w:t>
            </w:r>
          </w:p>
        </w:tc>
        <w:tc>
          <w:tcPr>
            <w:tcW w:w="1212" w:type="dxa"/>
            <w:vAlign w:val="center"/>
          </w:tcPr>
          <w:p w14:paraId="5B3A98C0">
            <w:pPr>
              <w:spacing w:line="240" w:lineRule="auto"/>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现行</w:t>
            </w:r>
          </w:p>
        </w:tc>
        <w:tc>
          <w:tcPr>
            <w:tcW w:w="2677" w:type="dxa"/>
            <w:vMerge w:val="continue"/>
            <w:vAlign w:val="center"/>
          </w:tcPr>
          <w:p w14:paraId="14181449">
            <w:pPr>
              <w:spacing w:line="240" w:lineRule="auto"/>
              <w:jc w:val="center"/>
              <w:rPr>
                <w:rFonts w:hint="eastAsia" w:ascii="仿宋" w:hAnsi="仿宋" w:eastAsia="仿宋" w:cs="仿宋"/>
                <w:color w:val="auto"/>
                <w:sz w:val="21"/>
                <w:szCs w:val="21"/>
                <w:highlight w:val="none"/>
                <w:vertAlign w:val="baseline"/>
              </w:rPr>
            </w:pPr>
          </w:p>
        </w:tc>
        <w:tc>
          <w:tcPr>
            <w:tcW w:w="4569" w:type="dxa"/>
            <w:vAlign w:val="center"/>
          </w:tcPr>
          <w:p w14:paraId="0B378587">
            <w:pPr>
              <w:spacing w:line="240" w:lineRule="auto"/>
              <w:jc w:val="center"/>
              <w:rPr>
                <w:rFonts w:hint="eastAsia" w:ascii="仿宋" w:hAnsi="仿宋" w:eastAsia="仿宋" w:cs="仿宋"/>
                <w:color w:val="auto"/>
                <w:sz w:val="21"/>
                <w:szCs w:val="21"/>
                <w:highlight w:val="none"/>
                <w:vertAlign w:val="baseline"/>
              </w:rPr>
            </w:pPr>
          </w:p>
        </w:tc>
      </w:tr>
      <w:tr w14:paraId="607C6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shd w:val="clear" w:color="auto" w:fill="auto"/>
            <w:vAlign w:val="center"/>
          </w:tcPr>
          <w:p w14:paraId="156B6E58">
            <w:pPr>
              <w:spacing w:line="240" w:lineRule="auto"/>
              <w:jc w:val="center"/>
              <w:rPr>
                <w:rFonts w:hint="default"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18</w:t>
            </w:r>
          </w:p>
        </w:tc>
        <w:tc>
          <w:tcPr>
            <w:tcW w:w="3598" w:type="dxa"/>
            <w:vAlign w:val="center"/>
          </w:tcPr>
          <w:p w14:paraId="513D2E87">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通信用轻型自承式室外光缆</w:t>
            </w:r>
          </w:p>
        </w:tc>
        <w:tc>
          <w:tcPr>
            <w:tcW w:w="1886" w:type="dxa"/>
            <w:vAlign w:val="center"/>
          </w:tcPr>
          <w:p w14:paraId="3210D37F">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YD/T 1999-2021</w:t>
            </w:r>
          </w:p>
        </w:tc>
        <w:tc>
          <w:tcPr>
            <w:tcW w:w="1212" w:type="dxa"/>
            <w:vAlign w:val="center"/>
          </w:tcPr>
          <w:p w14:paraId="093020C3">
            <w:pPr>
              <w:spacing w:line="240" w:lineRule="auto"/>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现行</w:t>
            </w:r>
          </w:p>
        </w:tc>
        <w:tc>
          <w:tcPr>
            <w:tcW w:w="2677" w:type="dxa"/>
            <w:vMerge w:val="continue"/>
            <w:vAlign w:val="center"/>
          </w:tcPr>
          <w:p w14:paraId="58169B61">
            <w:pPr>
              <w:spacing w:line="240" w:lineRule="auto"/>
              <w:jc w:val="center"/>
              <w:rPr>
                <w:rFonts w:hint="eastAsia" w:ascii="仿宋" w:hAnsi="仿宋" w:eastAsia="仿宋" w:cs="仿宋"/>
                <w:color w:val="auto"/>
                <w:sz w:val="21"/>
                <w:szCs w:val="21"/>
                <w:highlight w:val="none"/>
                <w:vertAlign w:val="baseline"/>
              </w:rPr>
            </w:pPr>
          </w:p>
        </w:tc>
        <w:tc>
          <w:tcPr>
            <w:tcW w:w="4569" w:type="dxa"/>
            <w:vAlign w:val="center"/>
          </w:tcPr>
          <w:p w14:paraId="41DB6A5F">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本标准适用于接入网引入段中敷设跨距不大于100m，缆芯由小尺寸松套管或其他小尺寸缆芯单元构成的自承式室外光缆。其他类似结构的轻型自承式室外光缆也可参照使用。</w:t>
            </w:r>
          </w:p>
        </w:tc>
      </w:tr>
      <w:tr w14:paraId="74683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shd w:val="clear" w:color="auto" w:fill="auto"/>
            <w:vAlign w:val="center"/>
          </w:tcPr>
          <w:p w14:paraId="7B5FEFA8">
            <w:pPr>
              <w:spacing w:line="240" w:lineRule="auto"/>
              <w:jc w:val="center"/>
              <w:rPr>
                <w:rFonts w:hint="default"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19</w:t>
            </w:r>
          </w:p>
        </w:tc>
        <w:tc>
          <w:tcPr>
            <w:tcW w:w="3598" w:type="dxa"/>
            <w:vAlign w:val="center"/>
          </w:tcPr>
          <w:p w14:paraId="74A6B1B6">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通信用建筑物引入光缆 第1部分：管道和直埋用引入光缆</w:t>
            </w:r>
          </w:p>
        </w:tc>
        <w:tc>
          <w:tcPr>
            <w:tcW w:w="1886" w:type="dxa"/>
            <w:vAlign w:val="center"/>
          </w:tcPr>
          <w:p w14:paraId="0B62B96B">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GB/Z 41287.1-2022</w:t>
            </w:r>
          </w:p>
        </w:tc>
        <w:tc>
          <w:tcPr>
            <w:tcW w:w="1212" w:type="dxa"/>
            <w:vAlign w:val="center"/>
          </w:tcPr>
          <w:p w14:paraId="419F6C12">
            <w:pPr>
              <w:spacing w:line="240" w:lineRule="auto"/>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现行</w:t>
            </w:r>
          </w:p>
        </w:tc>
        <w:tc>
          <w:tcPr>
            <w:tcW w:w="2677" w:type="dxa"/>
            <w:vMerge w:val="continue"/>
            <w:vAlign w:val="center"/>
          </w:tcPr>
          <w:p w14:paraId="51CDC1F6">
            <w:pPr>
              <w:spacing w:line="240" w:lineRule="auto"/>
              <w:jc w:val="center"/>
              <w:rPr>
                <w:rFonts w:hint="eastAsia" w:ascii="仿宋" w:hAnsi="仿宋" w:eastAsia="仿宋" w:cs="仿宋"/>
                <w:color w:val="auto"/>
                <w:sz w:val="21"/>
                <w:szCs w:val="21"/>
                <w:highlight w:val="none"/>
                <w:vertAlign w:val="baseline"/>
              </w:rPr>
            </w:pPr>
          </w:p>
        </w:tc>
        <w:tc>
          <w:tcPr>
            <w:tcW w:w="4569" w:type="dxa"/>
            <w:vAlign w:val="center"/>
          </w:tcPr>
          <w:p w14:paraId="07B3F19C">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本文件规定了管道和直埋方式敷设的通信用建筑物引入光缆的型式、规格、结构和材料、光纤特性、机械性能、环境性能等。本文件适用于从用户引入点到用户端接点(例如园区配线架、建筑物配线架等)或用户光节点的管道和直埋用室外引入光缆。</w:t>
            </w:r>
          </w:p>
        </w:tc>
      </w:tr>
      <w:tr w14:paraId="40345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shd w:val="clear" w:color="auto" w:fill="auto"/>
            <w:vAlign w:val="center"/>
          </w:tcPr>
          <w:p w14:paraId="4E6719C2">
            <w:pPr>
              <w:spacing w:line="240" w:lineRule="auto"/>
              <w:jc w:val="center"/>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20</w:t>
            </w:r>
          </w:p>
        </w:tc>
        <w:tc>
          <w:tcPr>
            <w:tcW w:w="3598" w:type="dxa"/>
            <w:vAlign w:val="center"/>
          </w:tcPr>
          <w:p w14:paraId="5AAAC86D">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 xml:space="preserve">通信光缆 第3部分：综合布线用室内光缆 </w:t>
            </w:r>
          </w:p>
        </w:tc>
        <w:tc>
          <w:tcPr>
            <w:tcW w:w="1886" w:type="dxa"/>
            <w:vAlign w:val="center"/>
          </w:tcPr>
          <w:p w14:paraId="0A0D2F46">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GB/T 13993.3-2014</w:t>
            </w:r>
          </w:p>
        </w:tc>
        <w:tc>
          <w:tcPr>
            <w:tcW w:w="1212" w:type="dxa"/>
            <w:vAlign w:val="center"/>
          </w:tcPr>
          <w:p w14:paraId="721B82FB">
            <w:pPr>
              <w:spacing w:line="240" w:lineRule="auto"/>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现行</w:t>
            </w:r>
          </w:p>
        </w:tc>
        <w:tc>
          <w:tcPr>
            <w:tcW w:w="2677" w:type="dxa"/>
            <w:vMerge w:val="continue"/>
            <w:vAlign w:val="center"/>
          </w:tcPr>
          <w:p w14:paraId="4BCD3580">
            <w:pPr>
              <w:spacing w:line="240" w:lineRule="auto"/>
              <w:jc w:val="center"/>
              <w:rPr>
                <w:rFonts w:hint="eastAsia" w:ascii="仿宋" w:hAnsi="仿宋" w:eastAsia="仿宋" w:cs="仿宋"/>
                <w:color w:val="auto"/>
                <w:sz w:val="21"/>
                <w:szCs w:val="21"/>
                <w:highlight w:val="none"/>
                <w:vertAlign w:val="baseline"/>
              </w:rPr>
            </w:pPr>
          </w:p>
        </w:tc>
        <w:tc>
          <w:tcPr>
            <w:tcW w:w="4569" w:type="dxa"/>
            <w:vAlign w:val="center"/>
          </w:tcPr>
          <w:p w14:paraId="6B20E82B">
            <w:pPr>
              <w:spacing w:line="240" w:lineRule="auto"/>
              <w:jc w:val="center"/>
              <w:rPr>
                <w:rFonts w:hint="eastAsia" w:ascii="仿宋" w:hAnsi="仿宋" w:eastAsia="仿宋" w:cs="仿宋"/>
                <w:color w:val="auto"/>
                <w:sz w:val="21"/>
                <w:szCs w:val="21"/>
                <w:highlight w:val="none"/>
                <w:vertAlign w:val="baseline"/>
              </w:rPr>
            </w:pPr>
          </w:p>
        </w:tc>
      </w:tr>
      <w:tr w14:paraId="45439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shd w:val="clear" w:color="auto" w:fill="auto"/>
            <w:vAlign w:val="center"/>
          </w:tcPr>
          <w:p w14:paraId="2C6B6026">
            <w:pPr>
              <w:spacing w:line="240" w:lineRule="auto"/>
              <w:jc w:val="center"/>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kern w:val="2"/>
                <w:sz w:val="21"/>
                <w:szCs w:val="21"/>
                <w:highlight w:val="none"/>
                <w:vertAlign w:val="baseline"/>
                <w:lang w:val="en-US" w:eastAsia="zh-CN" w:bidi="ar-SA"/>
              </w:rPr>
              <w:t>21</w:t>
            </w:r>
          </w:p>
        </w:tc>
        <w:tc>
          <w:tcPr>
            <w:tcW w:w="3598" w:type="dxa"/>
            <w:vAlign w:val="center"/>
          </w:tcPr>
          <w:p w14:paraId="4AE86342">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 xml:space="preserve">室内光缆 第1部分：总则 </w:t>
            </w:r>
          </w:p>
        </w:tc>
        <w:tc>
          <w:tcPr>
            <w:tcW w:w="1886" w:type="dxa"/>
            <w:vAlign w:val="center"/>
          </w:tcPr>
          <w:p w14:paraId="0151C6BF">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YD/T 1258.1-2015</w:t>
            </w:r>
          </w:p>
        </w:tc>
        <w:tc>
          <w:tcPr>
            <w:tcW w:w="1212" w:type="dxa"/>
            <w:vAlign w:val="center"/>
          </w:tcPr>
          <w:p w14:paraId="3D9FE076">
            <w:pPr>
              <w:spacing w:line="240" w:lineRule="auto"/>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现行</w:t>
            </w:r>
          </w:p>
        </w:tc>
        <w:tc>
          <w:tcPr>
            <w:tcW w:w="2677" w:type="dxa"/>
            <w:vMerge w:val="continue"/>
            <w:vAlign w:val="center"/>
          </w:tcPr>
          <w:p w14:paraId="2042FFB7">
            <w:pPr>
              <w:spacing w:line="240" w:lineRule="auto"/>
              <w:jc w:val="center"/>
              <w:rPr>
                <w:rFonts w:hint="eastAsia" w:ascii="仿宋" w:hAnsi="仿宋" w:eastAsia="仿宋" w:cs="仿宋"/>
                <w:color w:val="auto"/>
                <w:sz w:val="21"/>
                <w:szCs w:val="21"/>
                <w:highlight w:val="none"/>
                <w:vertAlign w:val="baseline"/>
              </w:rPr>
            </w:pPr>
          </w:p>
        </w:tc>
        <w:tc>
          <w:tcPr>
            <w:tcW w:w="4569" w:type="dxa"/>
            <w:vAlign w:val="center"/>
          </w:tcPr>
          <w:p w14:paraId="285938FB">
            <w:pPr>
              <w:spacing w:line="240" w:lineRule="auto"/>
              <w:jc w:val="center"/>
              <w:rPr>
                <w:rFonts w:hint="eastAsia" w:ascii="仿宋" w:hAnsi="仿宋" w:eastAsia="仿宋" w:cs="仿宋"/>
                <w:color w:val="auto"/>
                <w:sz w:val="21"/>
                <w:szCs w:val="21"/>
                <w:highlight w:val="none"/>
                <w:vertAlign w:val="baseline"/>
              </w:rPr>
            </w:pPr>
          </w:p>
        </w:tc>
      </w:tr>
      <w:tr w14:paraId="1F404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shd w:val="clear" w:color="auto" w:fill="auto"/>
            <w:vAlign w:val="center"/>
          </w:tcPr>
          <w:p w14:paraId="3F8491A2">
            <w:pPr>
              <w:spacing w:line="240" w:lineRule="auto"/>
              <w:jc w:val="center"/>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22</w:t>
            </w:r>
          </w:p>
        </w:tc>
        <w:tc>
          <w:tcPr>
            <w:tcW w:w="3598" w:type="dxa"/>
            <w:shd w:val="clear" w:color="auto" w:fill="auto"/>
            <w:vAlign w:val="center"/>
          </w:tcPr>
          <w:p w14:paraId="34685914">
            <w:pPr>
              <w:spacing w:line="240" w:lineRule="auto"/>
              <w:jc w:val="center"/>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rPr>
              <w:t>室内光缆 第4部分：多芯光缆</w:t>
            </w:r>
          </w:p>
        </w:tc>
        <w:tc>
          <w:tcPr>
            <w:tcW w:w="1886" w:type="dxa"/>
            <w:shd w:val="clear" w:color="auto" w:fill="auto"/>
            <w:vAlign w:val="center"/>
          </w:tcPr>
          <w:p w14:paraId="7DF9B1B2">
            <w:pPr>
              <w:spacing w:line="240" w:lineRule="auto"/>
              <w:jc w:val="center"/>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rPr>
              <w:t xml:space="preserve">YD/T 1258.4-2019 </w:t>
            </w:r>
          </w:p>
        </w:tc>
        <w:tc>
          <w:tcPr>
            <w:tcW w:w="1212" w:type="dxa"/>
            <w:shd w:val="clear" w:color="auto" w:fill="auto"/>
            <w:vAlign w:val="center"/>
          </w:tcPr>
          <w:p w14:paraId="43D045ED">
            <w:pPr>
              <w:spacing w:line="240" w:lineRule="auto"/>
              <w:jc w:val="center"/>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现行</w:t>
            </w:r>
          </w:p>
        </w:tc>
        <w:tc>
          <w:tcPr>
            <w:tcW w:w="2677" w:type="dxa"/>
            <w:vMerge w:val="continue"/>
            <w:vAlign w:val="center"/>
          </w:tcPr>
          <w:p w14:paraId="0F5DABA8">
            <w:pPr>
              <w:spacing w:line="240" w:lineRule="auto"/>
              <w:jc w:val="center"/>
              <w:rPr>
                <w:rFonts w:hint="eastAsia" w:ascii="仿宋" w:hAnsi="仿宋" w:eastAsia="仿宋" w:cs="仿宋"/>
                <w:color w:val="auto"/>
                <w:sz w:val="21"/>
                <w:szCs w:val="21"/>
                <w:highlight w:val="none"/>
                <w:vertAlign w:val="baseline"/>
              </w:rPr>
            </w:pPr>
          </w:p>
        </w:tc>
        <w:tc>
          <w:tcPr>
            <w:tcW w:w="4569" w:type="dxa"/>
            <w:vAlign w:val="center"/>
          </w:tcPr>
          <w:p w14:paraId="42D51EF0">
            <w:pPr>
              <w:spacing w:line="240" w:lineRule="auto"/>
              <w:jc w:val="center"/>
              <w:rPr>
                <w:rFonts w:hint="eastAsia" w:ascii="仿宋" w:hAnsi="仿宋" w:eastAsia="仿宋" w:cs="仿宋"/>
                <w:color w:val="auto"/>
                <w:sz w:val="21"/>
                <w:szCs w:val="21"/>
                <w:highlight w:val="none"/>
                <w:vertAlign w:val="baseline"/>
              </w:rPr>
            </w:pPr>
          </w:p>
        </w:tc>
      </w:tr>
      <w:tr w14:paraId="3B2C6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shd w:val="clear" w:color="auto" w:fill="auto"/>
            <w:vAlign w:val="center"/>
          </w:tcPr>
          <w:p w14:paraId="12E430A5">
            <w:pPr>
              <w:spacing w:line="240" w:lineRule="auto"/>
              <w:jc w:val="center"/>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23</w:t>
            </w:r>
          </w:p>
        </w:tc>
        <w:tc>
          <w:tcPr>
            <w:tcW w:w="3598" w:type="dxa"/>
            <w:shd w:val="clear" w:color="auto" w:fill="auto"/>
            <w:vAlign w:val="center"/>
          </w:tcPr>
          <w:p w14:paraId="0D249D3D">
            <w:pPr>
              <w:spacing w:line="240" w:lineRule="auto"/>
              <w:jc w:val="center"/>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rPr>
              <w:t xml:space="preserve">室内光缆 第5部分：光纤带光缆 </w:t>
            </w:r>
          </w:p>
        </w:tc>
        <w:tc>
          <w:tcPr>
            <w:tcW w:w="1886" w:type="dxa"/>
            <w:shd w:val="clear" w:color="auto" w:fill="auto"/>
            <w:vAlign w:val="center"/>
          </w:tcPr>
          <w:p w14:paraId="73D84CED">
            <w:pPr>
              <w:spacing w:line="240" w:lineRule="auto"/>
              <w:jc w:val="center"/>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rPr>
              <w:t>YD/T 1258.5-2019</w:t>
            </w:r>
          </w:p>
        </w:tc>
        <w:tc>
          <w:tcPr>
            <w:tcW w:w="1212" w:type="dxa"/>
            <w:shd w:val="clear" w:color="auto" w:fill="auto"/>
            <w:vAlign w:val="center"/>
          </w:tcPr>
          <w:p w14:paraId="3E7009E6">
            <w:pPr>
              <w:spacing w:line="240" w:lineRule="auto"/>
              <w:jc w:val="center"/>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现行</w:t>
            </w:r>
          </w:p>
        </w:tc>
        <w:tc>
          <w:tcPr>
            <w:tcW w:w="2677" w:type="dxa"/>
            <w:vMerge w:val="continue"/>
            <w:vAlign w:val="center"/>
          </w:tcPr>
          <w:p w14:paraId="18375ED3">
            <w:pPr>
              <w:spacing w:line="240" w:lineRule="auto"/>
              <w:jc w:val="center"/>
              <w:rPr>
                <w:rFonts w:hint="eastAsia" w:ascii="仿宋" w:hAnsi="仿宋" w:eastAsia="仿宋" w:cs="仿宋"/>
                <w:color w:val="auto"/>
                <w:sz w:val="21"/>
                <w:szCs w:val="21"/>
                <w:highlight w:val="none"/>
                <w:vertAlign w:val="baseline"/>
              </w:rPr>
            </w:pPr>
          </w:p>
        </w:tc>
        <w:tc>
          <w:tcPr>
            <w:tcW w:w="4569" w:type="dxa"/>
            <w:vAlign w:val="center"/>
          </w:tcPr>
          <w:p w14:paraId="28709112">
            <w:pPr>
              <w:spacing w:line="240" w:lineRule="auto"/>
              <w:jc w:val="center"/>
              <w:rPr>
                <w:rFonts w:hint="eastAsia" w:ascii="仿宋" w:hAnsi="仿宋" w:eastAsia="仿宋" w:cs="仿宋"/>
                <w:color w:val="auto"/>
                <w:sz w:val="21"/>
                <w:szCs w:val="21"/>
                <w:highlight w:val="none"/>
                <w:vertAlign w:val="baseline"/>
              </w:rPr>
            </w:pPr>
          </w:p>
        </w:tc>
      </w:tr>
      <w:tr w14:paraId="70C1D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shd w:val="clear" w:color="auto" w:fill="auto"/>
            <w:vAlign w:val="center"/>
          </w:tcPr>
          <w:p w14:paraId="39DC8440">
            <w:pPr>
              <w:spacing w:line="240" w:lineRule="auto"/>
              <w:jc w:val="center"/>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kern w:val="2"/>
                <w:sz w:val="21"/>
                <w:szCs w:val="21"/>
                <w:highlight w:val="none"/>
                <w:vertAlign w:val="baseline"/>
                <w:lang w:val="en-US" w:eastAsia="zh-CN" w:bidi="ar-SA"/>
              </w:rPr>
              <w:t>24</w:t>
            </w:r>
          </w:p>
        </w:tc>
        <w:tc>
          <w:tcPr>
            <w:tcW w:w="3598" w:type="dxa"/>
            <w:shd w:val="clear" w:color="auto" w:fill="auto"/>
            <w:vAlign w:val="center"/>
          </w:tcPr>
          <w:p w14:paraId="72ACE0BE">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室内光缆 第8部分：光电混合缆</w:t>
            </w:r>
          </w:p>
        </w:tc>
        <w:tc>
          <w:tcPr>
            <w:tcW w:w="1886" w:type="dxa"/>
            <w:shd w:val="clear" w:color="auto" w:fill="auto"/>
            <w:vAlign w:val="center"/>
          </w:tcPr>
          <w:p w14:paraId="3794D5BB">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YD/T 1258.8-2024</w:t>
            </w:r>
          </w:p>
        </w:tc>
        <w:tc>
          <w:tcPr>
            <w:tcW w:w="1212" w:type="dxa"/>
            <w:shd w:val="clear" w:color="auto" w:fill="auto"/>
            <w:vAlign w:val="center"/>
          </w:tcPr>
          <w:p w14:paraId="27E34411">
            <w:pPr>
              <w:spacing w:line="240" w:lineRule="auto"/>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现行</w:t>
            </w:r>
          </w:p>
        </w:tc>
        <w:tc>
          <w:tcPr>
            <w:tcW w:w="2677" w:type="dxa"/>
            <w:vMerge w:val="continue"/>
            <w:vAlign w:val="center"/>
          </w:tcPr>
          <w:p w14:paraId="6C47D018">
            <w:pPr>
              <w:spacing w:line="240" w:lineRule="auto"/>
              <w:jc w:val="center"/>
              <w:rPr>
                <w:rFonts w:hint="eastAsia" w:ascii="仿宋" w:hAnsi="仿宋" w:eastAsia="仿宋" w:cs="仿宋"/>
                <w:color w:val="auto"/>
                <w:sz w:val="21"/>
                <w:szCs w:val="21"/>
                <w:highlight w:val="none"/>
                <w:vertAlign w:val="baseline"/>
              </w:rPr>
            </w:pPr>
          </w:p>
        </w:tc>
        <w:tc>
          <w:tcPr>
            <w:tcW w:w="4569" w:type="dxa"/>
            <w:vAlign w:val="center"/>
          </w:tcPr>
          <w:p w14:paraId="72635733">
            <w:pPr>
              <w:spacing w:line="240" w:lineRule="auto"/>
              <w:jc w:val="center"/>
              <w:rPr>
                <w:rFonts w:hint="eastAsia" w:ascii="仿宋" w:hAnsi="仿宋" w:eastAsia="仿宋" w:cs="仿宋"/>
                <w:color w:val="auto"/>
                <w:sz w:val="21"/>
                <w:szCs w:val="21"/>
                <w:highlight w:val="none"/>
                <w:vertAlign w:val="baseline"/>
              </w:rPr>
            </w:pPr>
          </w:p>
        </w:tc>
      </w:tr>
      <w:tr w14:paraId="60584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shd w:val="clear" w:color="auto" w:fill="auto"/>
            <w:vAlign w:val="center"/>
          </w:tcPr>
          <w:p w14:paraId="1C0C2888">
            <w:pPr>
              <w:spacing w:line="240" w:lineRule="auto"/>
              <w:jc w:val="center"/>
              <w:rPr>
                <w:rFonts w:hint="default"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kern w:val="2"/>
                <w:sz w:val="21"/>
                <w:szCs w:val="21"/>
                <w:highlight w:val="none"/>
                <w:vertAlign w:val="baseline"/>
                <w:lang w:val="en-US" w:eastAsia="zh-CN" w:bidi="ar-SA"/>
              </w:rPr>
              <w:t>25</w:t>
            </w:r>
          </w:p>
        </w:tc>
        <w:tc>
          <w:tcPr>
            <w:tcW w:w="3598" w:type="dxa"/>
            <w:vAlign w:val="center"/>
          </w:tcPr>
          <w:p w14:paraId="3A9178FC">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通信用建筑物引入光缆 第2部分：自承式架空用引入光缆</w:t>
            </w:r>
          </w:p>
        </w:tc>
        <w:tc>
          <w:tcPr>
            <w:tcW w:w="1886" w:type="dxa"/>
            <w:vAlign w:val="center"/>
          </w:tcPr>
          <w:p w14:paraId="79E7D6F7">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 xml:space="preserve"> GB/Z 41287.2-2022</w:t>
            </w:r>
          </w:p>
        </w:tc>
        <w:tc>
          <w:tcPr>
            <w:tcW w:w="1212" w:type="dxa"/>
            <w:vAlign w:val="center"/>
          </w:tcPr>
          <w:p w14:paraId="2884EC0D">
            <w:pPr>
              <w:spacing w:line="240" w:lineRule="auto"/>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现行</w:t>
            </w:r>
          </w:p>
        </w:tc>
        <w:tc>
          <w:tcPr>
            <w:tcW w:w="2677" w:type="dxa"/>
            <w:vMerge w:val="continue"/>
            <w:vAlign w:val="center"/>
          </w:tcPr>
          <w:p w14:paraId="72FD7EC1">
            <w:pPr>
              <w:spacing w:line="240" w:lineRule="auto"/>
              <w:jc w:val="center"/>
              <w:rPr>
                <w:rFonts w:hint="eastAsia" w:ascii="仿宋" w:hAnsi="仿宋" w:eastAsia="仿宋" w:cs="仿宋"/>
                <w:color w:val="auto"/>
                <w:sz w:val="21"/>
                <w:szCs w:val="21"/>
                <w:highlight w:val="none"/>
                <w:vertAlign w:val="baseline"/>
              </w:rPr>
            </w:pPr>
          </w:p>
        </w:tc>
        <w:tc>
          <w:tcPr>
            <w:tcW w:w="4569" w:type="dxa"/>
            <w:vAlign w:val="center"/>
          </w:tcPr>
          <w:p w14:paraId="02BEBFC4">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本标准规定了自承式架空敷设的通信用建筑物引入光缆的分类、结构和材料、性能要求和试验方法等。</w:t>
            </w:r>
          </w:p>
          <w:p w14:paraId="13B31DFD">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本标准适用于从用户引入点到用户端节点（例如园区配线架、建筑物配线架等）或用户光节点的自承式架空用室外引入光缆。本标准不适用于高电压环境的ADSS等光缆。</w:t>
            </w:r>
          </w:p>
        </w:tc>
      </w:tr>
      <w:tr w14:paraId="014CD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shd w:val="clear" w:color="auto" w:fill="auto"/>
            <w:vAlign w:val="center"/>
          </w:tcPr>
          <w:p w14:paraId="69FA57FE">
            <w:pPr>
              <w:spacing w:line="240" w:lineRule="auto"/>
              <w:jc w:val="center"/>
              <w:rPr>
                <w:rFonts w:hint="default"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26</w:t>
            </w:r>
          </w:p>
        </w:tc>
        <w:tc>
          <w:tcPr>
            <w:tcW w:w="3598" w:type="dxa"/>
            <w:vAlign w:val="center"/>
          </w:tcPr>
          <w:p w14:paraId="156F09AE">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光纤活动连接器可靠性要求及试验方法</w:t>
            </w:r>
          </w:p>
        </w:tc>
        <w:tc>
          <w:tcPr>
            <w:tcW w:w="1886" w:type="dxa"/>
            <w:vAlign w:val="center"/>
          </w:tcPr>
          <w:p w14:paraId="60B13D4A">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YD/T 2152-2021</w:t>
            </w:r>
          </w:p>
        </w:tc>
        <w:tc>
          <w:tcPr>
            <w:tcW w:w="1212" w:type="dxa"/>
            <w:vAlign w:val="center"/>
          </w:tcPr>
          <w:p w14:paraId="4F859567">
            <w:pPr>
              <w:spacing w:line="240" w:lineRule="auto"/>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现行</w:t>
            </w:r>
          </w:p>
        </w:tc>
        <w:tc>
          <w:tcPr>
            <w:tcW w:w="2677" w:type="dxa"/>
            <w:vAlign w:val="center"/>
          </w:tcPr>
          <w:p w14:paraId="7AC0B5C4">
            <w:pPr>
              <w:spacing w:line="240" w:lineRule="auto"/>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vertAlign w:val="baseline"/>
              </w:rPr>
              <w:t>光纤活动连接器</w:t>
            </w:r>
          </w:p>
        </w:tc>
        <w:tc>
          <w:tcPr>
            <w:tcW w:w="4569" w:type="dxa"/>
            <w:vAlign w:val="center"/>
          </w:tcPr>
          <w:p w14:paraId="40CDC246">
            <w:pPr>
              <w:spacing w:line="240" w:lineRule="auto"/>
              <w:jc w:val="center"/>
              <w:rPr>
                <w:rFonts w:hint="eastAsia" w:ascii="仿宋" w:hAnsi="仿宋" w:eastAsia="仿宋" w:cs="仿宋"/>
                <w:color w:val="auto"/>
                <w:sz w:val="21"/>
                <w:szCs w:val="21"/>
                <w:highlight w:val="none"/>
                <w:vertAlign w:val="baseline"/>
              </w:rPr>
            </w:pPr>
          </w:p>
        </w:tc>
      </w:tr>
      <w:tr w14:paraId="13135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shd w:val="clear" w:color="auto" w:fill="auto"/>
            <w:vAlign w:val="center"/>
          </w:tcPr>
          <w:p w14:paraId="5C8AB7D3">
            <w:pPr>
              <w:spacing w:line="240" w:lineRule="auto"/>
              <w:jc w:val="center"/>
              <w:rPr>
                <w:rFonts w:hint="default"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27</w:t>
            </w:r>
          </w:p>
        </w:tc>
        <w:tc>
          <w:tcPr>
            <w:tcW w:w="3598" w:type="dxa"/>
            <w:vAlign w:val="center"/>
          </w:tcPr>
          <w:p w14:paraId="549CEA96">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铜芯聚烯烃绝缘铝塑综合护套市内通信电缆</w:t>
            </w:r>
          </w:p>
        </w:tc>
        <w:tc>
          <w:tcPr>
            <w:tcW w:w="1886" w:type="dxa"/>
            <w:vAlign w:val="center"/>
          </w:tcPr>
          <w:p w14:paraId="3B3A6917">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YD/T</w:t>
            </w:r>
            <w:r>
              <w:rPr>
                <w:rFonts w:hint="eastAsia" w:ascii="仿宋" w:hAnsi="仿宋" w:eastAsia="仿宋" w:cs="仿宋"/>
                <w:color w:val="auto"/>
                <w:sz w:val="21"/>
                <w:szCs w:val="21"/>
                <w:highlight w:val="none"/>
                <w:vertAlign w:val="baseline"/>
                <w:lang w:val="en-US" w:eastAsia="zh-CN"/>
              </w:rPr>
              <w:t xml:space="preserve"> </w:t>
            </w:r>
            <w:r>
              <w:rPr>
                <w:rFonts w:hint="eastAsia" w:ascii="仿宋" w:hAnsi="仿宋" w:eastAsia="仿宋" w:cs="仿宋"/>
                <w:color w:val="auto"/>
                <w:sz w:val="21"/>
                <w:szCs w:val="21"/>
                <w:highlight w:val="none"/>
                <w:vertAlign w:val="baseline"/>
              </w:rPr>
              <w:t>322-2013</w:t>
            </w:r>
          </w:p>
        </w:tc>
        <w:tc>
          <w:tcPr>
            <w:tcW w:w="1212" w:type="dxa"/>
            <w:vAlign w:val="center"/>
          </w:tcPr>
          <w:p w14:paraId="6B1BECE3">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lang w:val="en-US" w:eastAsia="zh-CN"/>
              </w:rPr>
              <w:t>现行</w:t>
            </w:r>
          </w:p>
        </w:tc>
        <w:tc>
          <w:tcPr>
            <w:tcW w:w="2677" w:type="dxa"/>
            <w:vAlign w:val="center"/>
          </w:tcPr>
          <w:p w14:paraId="7B663F3F">
            <w:pPr>
              <w:spacing w:line="240" w:lineRule="auto"/>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rPr>
              <w:t>大对数电话电缆</w:t>
            </w:r>
            <w:r>
              <w:rPr>
                <w:rFonts w:hint="eastAsia" w:ascii="仿宋" w:hAnsi="仿宋" w:eastAsia="仿宋" w:cs="仿宋"/>
                <w:color w:val="auto"/>
                <w:sz w:val="21"/>
                <w:szCs w:val="21"/>
                <w:highlight w:val="none"/>
                <w:lang w:val="en-US" w:eastAsia="zh-CN"/>
              </w:rPr>
              <w:t>等</w:t>
            </w:r>
          </w:p>
        </w:tc>
        <w:tc>
          <w:tcPr>
            <w:tcW w:w="4569" w:type="dxa"/>
            <w:vAlign w:val="center"/>
          </w:tcPr>
          <w:p w14:paraId="1A1EDBAE">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ISO/IEC11801:2011 Ed2.2、ANSI/TIA-568-C.2</w:t>
            </w:r>
          </w:p>
        </w:tc>
      </w:tr>
      <w:tr w14:paraId="3E801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shd w:val="clear" w:color="auto" w:fill="auto"/>
            <w:vAlign w:val="center"/>
          </w:tcPr>
          <w:p w14:paraId="5877B66C">
            <w:pPr>
              <w:spacing w:line="240" w:lineRule="auto"/>
              <w:jc w:val="center"/>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28</w:t>
            </w:r>
          </w:p>
        </w:tc>
        <w:tc>
          <w:tcPr>
            <w:tcW w:w="3598" w:type="dxa"/>
            <w:vAlign w:val="center"/>
          </w:tcPr>
          <w:p w14:paraId="0E1A5DC4">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 xml:space="preserve">数字通信用对绞/星绞对称电缆 第1部分：总则 </w:t>
            </w:r>
          </w:p>
        </w:tc>
        <w:tc>
          <w:tcPr>
            <w:tcW w:w="1886" w:type="dxa"/>
            <w:vAlign w:val="center"/>
          </w:tcPr>
          <w:p w14:paraId="2BB65ABB">
            <w:pPr>
              <w:spacing w:line="240" w:lineRule="auto"/>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rPr>
              <w:t>YD/T</w:t>
            </w:r>
            <w:r>
              <w:rPr>
                <w:rFonts w:hint="eastAsia" w:ascii="仿宋" w:hAnsi="仿宋" w:eastAsia="仿宋" w:cs="仿宋"/>
                <w:color w:val="auto"/>
                <w:sz w:val="21"/>
                <w:szCs w:val="21"/>
                <w:highlight w:val="none"/>
                <w:vertAlign w:val="baseline"/>
                <w:lang w:val="en-US" w:eastAsia="zh-CN"/>
              </w:rPr>
              <w:t xml:space="preserve"> 838.1</w:t>
            </w:r>
            <w:r>
              <w:rPr>
                <w:rFonts w:hint="eastAsia" w:ascii="仿宋" w:hAnsi="仿宋" w:eastAsia="仿宋" w:cs="仿宋"/>
                <w:color w:val="auto"/>
                <w:sz w:val="21"/>
                <w:szCs w:val="21"/>
                <w:highlight w:val="none"/>
                <w:vertAlign w:val="baseline"/>
              </w:rPr>
              <w:t>-201</w:t>
            </w:r>
            <w:r>
              <w:rPr>
                <w:rFonts w:hint="eastAsia" w:ascii="仿宋" w:hAnsi="仿宋" w:eastAsia="仿宋" w:cs="仿宋"/>
                <w:color w:val="auto"/>
                <w:sz w:val="21"/>
                <w:szCs w:val="21"/>
                <w:highlight w:val="none"/>
                <w:vertAlign w:val="baseline"/>
                <w:lang w:val="en-US" w:eastAsia="zh-CN"/>
              </w:rPr>
              <w:t>6</w:t>
            </w:r>
          </w:p>
        </w:tc>
        <w:tc>
          <w:tcPr>
            <w:tcW w:w="1212" w:type="dxa"/>
            <w:vAlign w:val="center"/>
          </w:tcPr>
          <w:p w14:paraId="1635538C">
            <w:pPr>
              <w:spacing w:line="240" w:lineRule="auto"/>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现行</w:t>
            </w:r>
          </w:p>
        </w:tc>
        <w:tc>
          <w:tcPr>
            <w:tcW w:w="2677" w:type="dxa"/>
            <w:vAlign w:val="center"/>
          </w:tcPr>
          <w:p w14:paraId="4EE99C7A">
            <w:pPr>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本部分规定了数字通信用对绞或星绞对称电缆的定义、要求及试验方法。 </w:t>
            </w:r>
          </w:p>
          <w:p w14:paraId="14C6313E">
            <w:pPr>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本部分规定的电缆适用于局域网等数字通信系统。本部分规定的定义与试验方法也适用于其它用户楼宇布线用对称电缆。</w:t>
            </w:r>
          </w:p>
        </w:tc>
        <w:tc>
          <w:tcPr>
            <w:tcW w:w="4569" w:type="dxa"/>
            <w:vAlign w:val="center"/>
          </w:tcPr>
          <w:p w14:paraId="0D516AE5">
            <w:pPr>
              <w:spacing w:line="240" w:lineRule="auto"/>
              <w:jc w:val="center"/>
              <w:rPr>
                <w:rFonts w:hint="eastAsia" w:ascii="仿宋" w:hAnsi="仿宋" w:eastAsia="仿宋" w:cs="仿宋"/>
                <w:color w:val="auto"/>
                <w:sz w:val="21"/>
                <w:szCs w:val="21"/>
                <w:highlight w:val="none"/>
                <w:vertAlign w:val="baseline"/>
              </w:rPr>
            </w:pPr>
          </w:p>
        </w:tc>
      </w:tr>
      <w:tr w14:paraId="5DFFA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shd w:val="clear" w:color="auto" w:fill="auto"/>
            <w:vAlign w:val="center"/>
          </w:tcPr>
          <w:p w14:paraId="1B1B0437">
            <w:pPr>
              <w:spacing w:line="240" w:lineRule="auto"/>
              <w:jc w:val="center"/>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29</w:t>
            </w:r>
          </w:p>
        </w:tc>
        <w:tc>
          <w:tcPr>
            <w:tcW w:w="3598" w:type="dxa"/>
            <w:vAlign w:val="center"/>
          </w:tcPr>
          <w:p w14:paraId="1A4730FD">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数字通信用对绞星绞对称电缆 第2部分：水平对绞电缆</w:t>
            </w:r>
          </w:p>
        </w:tc>
        <w:tc>
          <w:tcPr>
            <w:tcW w:w="1886" w:type="dxa"/>
            <w:vAlign w:val="center"/>
          </w:tcPr>
          <w:p w14:paraId="31407D98">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 xml:space="preserve">YD/T 838.2-2016 </w:t>
            </w:r>
          </w:p>
        </w:tc>
        <w:tc>
          <w:tcPr>
            <w:tcW w:w="1212" w:type="dxa"/>
            <w:vAlign w:val="center"/>
          </w:tcPr>
          <w:p w14:paraId="5103F911">
            <w:pPr>
              <w:spacing w:line="240" w:lineRule="auto"/>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现行</w:t>
            </w:r>
          </w:p>
        </w:tc>
        <w:tc>
          <w:tcPr>
            <w:tcW w:w="2677" w:type="dxa"/>
            <w:vAlign w:val="center"/>
          </w:tcPr>
          <w:p w14:paraId="235E35BC">
            <w:pPr>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本部分规定了数字通信用对绞/星绞对称电缆中水平对绞电缆的基本结构、主要性能、检验规则、试验方法和包装等要求。 </w:t>
            </w:r>
          </w:p>
          <w:p w14:paraId="7D653B38">
            <w:pPr>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本部分规定的水平对绞电缆,其应用范围主要适用于以下两个方面： </w:t>
            </w:r>
          </w:p>
          <w:p w14:paraId="1726C8F4">
            <w:pPr>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适用于YD/T 926《大楼通信综合布线系统》定义的水平布线（工作区通信引出端与交接间配线架之间的布线）； </w:t>
            </w:r>
          </w:p>
          <w:p w14:paraId="469AA693">
            <w:pPr>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适用于传输低电压和低功率的IEEE 802.3af/at以太网供电系统。</w:t>
            </w:r>
          </w:p>
        </w:tc>
        <w:tc>
          <w:tcPr>
            <w:tcW w:w="4569" w:type="dxa"/>
            <w:vAlign w:val="center"/>
          </w:tcPr>
          <w:p w14:paraId="445AEE82">
            <w:pPr>
              <w:spacing w:line="240" w:lineRule="auto"/>
              <w:jc w:val="center"/>
              <w:rPr>
                <w:rFonts w:hint="eastAsia" w:ascii="仿宋" w:hAnsi="仿宋" w:eastAsia="仿宋" w:cs="仿宋"/>
                <w:color w:val="auto"/>
                <w:sz w:val="21"/>
                <w:szCs w:val="21"/>
                <w:highlight w:val="none"/>
                <w:vertAlign w:val="baseline"/>
              </w:rPr>
            </w:pPr>
          </w:p>
        </w:tc>
      </w:tr>
      <w:tr w14:paraId="0E9BB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shd w:val="clear" w:color="auto" w:fill="auto"/>
            <w:vAlign w:val="center"/>
          </w:tcPr>
          <w:p w14:paraId="2D1891C2">
            <w:pPr>
              <w:spacing w:line="240" w:lineRule="auto"/>
              <w:jc w:val="center"/>
              <w:rPr>
                <w:rFonts w:hint="default"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kern w:val="2"/>
                <w:sz w:val="21"/>
                <w:szCs w:val="21"/>
                <w:highlight w:val="none"/>
                <w:vertAlign w:val="baseline"/>
                <w:lang w:val="en-US" w:eastAsia="zh-CN" w:bidi="ar-SA"/>
              </w:rPr>
              <w:t>30</w:t>
            </w:r>
          </w:p>
        </w:tc>
        <w:tc>
          <w:tcPr>
            <w:tcW w:w="3598" w:type="dxa"/>
            <w:vAlign w:val="center"/>
          </w:tcPr>
          <w:p w14:paraId="4F92D266">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光纤活动连接器 第1部分：LC型</w:t>
            </w:r>
          </w:p>
        </w:tc>
        <w:tc>
          <w:tcPr>
            <w:tcW w:w="1886" w:type="dxa"/>
            <w:vAlign w:val="center"/>
          </w:tcPr>
          <w:p w14:paraId="733A3EF6">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YD/T 1272.1-2018</w:t>
            </w:r>
          </w:p>
        </w:tc>
        <w:tc>
          <w:tcPr>
            <w:tcW w:w="1212" w:type="dxa"/>
            <w:vAlign w:val="center"/>
          </w:tcPr>
          <w:p w14:paraId="66A82B33">
            <w:pPr>
              <w:spacing w:line="240" w:lineRule="auto"/>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现行</w:t>
            </w:r>
          </w:p>
        </w:tc>
        <w:tc>
          <w:tcPr>
            <w:tcW w:w="2677" w:type="dxa"/>
            <w:vAlign w:val="center"/>
          </w:tcPr>
          <w:p w14:paraId="5D4E27A1">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lang w:val="en-US" w:eastAsia="zh-CN"/>
              </w:rPr>
              <w:t>LC型光纤活动连接器产品</w:t>
            </w:r>
          </w:p>
        </w:tc>
        <w:tc>
          <w:tcPr>
            <w:tcW w:w="4569" w:type="dxa"/>
            <w:vAlign w:val="center"/>
          </w:tcPr>
          <w:p w14:paraId="166AA679">
            <w:pPr>
              <w:spacing w:line="240" w:lineRule="auto"/>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rPr>
              <w:t>YD/T 1272.</w:t>
            </w:r>
            <w:r>
              <w:rPr>
                <w:rFonts w:hint="eastAsia" w:ascii="仿宋" w:hAnsi="仿宋" w:eastAsia="仿宋" w:cs="仿宋"/>
                <w:color w:val="auto"/>
                <w:sz w:val="21"/>
                <w:szCs w:val="21"/>
                <w:highlight w:val="none"/>
                <w:vertAlign w:val="baseline"/>
                <w:lang w:val="en-US" w:eastAsia="zh-CN"/>
              </w:rPr>
              <w:t>2</w:t>
            </w:r>
            <w:r>
              <w:rPr>
                <w:rFonts w:hint="eastAsia" w:ascii="仿宋" w:hAnsi="仿宋" w:eastAsia="仿宋" w:cs="仿宋"/>
                <w:color w:val="auto"/>
                <w:sz w:val="21"/>
                <w:szCs w:val="21"/>
                <w:highlight w:val="none"/>
                <w:vertAlign w:val="baseline"/>
              </w:rPr>
              <w:t>-2018</w:t>
            </w:r>
            <w:r>
              <w:rPr>
                <w:rFonts w:hint="eastAsia" w:ascii="仿宋" w:hAnsi="仿宋" w:eastAsia="仿宋" w:cs="仿宋"/>
                <w:color w:val="auto"/>
                <w:sz w:val="21"/>
                <w:szCs w:val="21"/>
                <w:highlight w:val="none"/>
                <w:vertAlign w:val="baseline"/>
                <w:lang w:eastAsia="zh-CN"/>
              </w:rPr>
              <w:t>、</w:t>
            </w:r>
            <w:r>
              <w:rPr>
                <w:rFonts w:hint="eastAsia" w:ascii="仿宋" w:hAnsi="仿宋" w:eastAsia="仿宋" w:cs="仿宋"/>
                <w:color w:val="auto"/>
                <w:sz w:val="21"/>
                <w:szCs w:val="21"/>
                <w:highlight w:val="none"/>
                <w:vertAlign w:val="baseline"/>
              </w:rPr>
              <w:t>YD/T 1272.</w:t>
            </w:r>
            <w:r>
              <w:rPr>
                <w:rFonts w:hint="eastAsia" w:ascii="仿宋" w:hAnsi="仿宋" w:eastAsia="仿宋" w:cs="仿宋"/>
                <w:color w:val="auto"/>
                <w:sz w:val="21"/>
                <w:szCs w:val="21"/>
                <w:highlight w:val="none"/>
                <w:vertAlign w:val="baseline"/>
                <w:lang w:val="en-US" w:eastAsia="zh-CN"/>
              </w:rPr>
              <w:t>3</w:t>
            </w:r>
            <w:r>
              <w:rPr>
                <w:rFonts w:hint="eastAsia" w:ascii="仿宋" w:hAnsi="仿宋" w:eastAsia="仿宋" w:cs="仿宋"/>
                <w:color w:val="auto"/>
                <w:sz w:val="21"/>
                <w:szCs w:val="21"/>
                <w:highlight w:val="none"/>
                <w:vertAlign w:val="baseline"/>
              </w:rPr>
              <w:t>-2018</w:t>
            </w:r>
            <w:r>
              <w:rPr>
                <w:rFonts w:hint="eastAsia" w:ascii="仿宋" w:hAnsi="仿宋" w:eastAsia="仿宋" w:cs="仿宋"/>
                <w:color w:val="auto"/>
                <w:sz w:val="21"/>
                <w:szCs w:val="21"/>
                <w:highlight w:val="none"/>
                <w:vertAlign w:val="baseline"/>
                <w:lang w:val="en-US" w:eastAsia="zh-CN"/>
              </w:rPr>
              <w:t>、</w:t>
            </w:r>
            <w:r>
              <w:rPr>
                <w:rFonts w:hint="eastAsia" w:ascii="仿宋" w:hAnsi="仿宋" w:eastAsia="仿宋" w:cs="仿宋"/>
                <w:color w:val="auto"/>
                <w:sz w:val="21"/>
                <w:szCs w:val="21"/>
                <w:highlight w:val="none"/>
                <w:vertAlign w:val="baseline"/>
              </w:rPr>
              <w:t>YD/T 1272</w:t>
            </w:r>
            <w:r>
              <w:rPr>
                <w:rFonts w:hint="eastAsia" w:ascii="仿宋" w:hAnsi="仿宋" w:eastAsia="仿宋" w:cs="仿宋"/>
                <w:color w:val="auto"/>
                <w:sz w:val="21"/>
                <w:szCs w:val="21"/>
                <w:highlight w:val="none"/>
                <w:vertAlign w:val="baseline"/>
                <w:lang w:val="en-US" w:eastAsia="zh-CN"/>
              </w:rPr>
              <w:t>.4</w:t>
            </w:r>
            <w:r>
              <w:rPr>
                <w:rFonts w:hint="eastAsia" w:ascii="仿宋" w:hAnsi="仿宋" w:eastAsia="仿宋" w:cs="仿宋"/>
                <w:color w:val="auto"/>
                <w:sz w:val="21"/>
                <w:szCs w:val="21"/>
                <w:highlight w:val="none"/>
                <w:vertAlign w:val="baseline"/>
              </w:rPr>
              <w:t>-2018</w:t>
            </w:r>
            <w:r>
              <w:rPr>
                <w:rFonts w:hint="eastAsia" w:ascii="仿宋" w:hAnsi="仿宋" w:eastAsia="仿宋" w:cs="仿宋"/>
                <w:color w:val="auto"/>
                <w:sz w:val="21"/>
                <w:szCs w:val="21"/>
                <w:highlight w:val="none"/>
                <w:vertAlign w:val="baseline"/>
                <w:lang w:eastAsia="zh-CN"/>
              </w:rPr>
              <w:t>、</w:t>
            </w:r>
            <w:r>
              <w:rPr>
                <w:rFonts w:hint="eastAsia" w:ascii="仿宋" w:hAnsi="仿宋" w:eastAsia="仿宋" w:cs="仿宋"/>
                <w:color w:val="auto"/>
                <w:sz w:val="21"/>
                <w:szCs w:val="21"/>
                <w:highlight w:val="none"/>
                <w:vertAlign w:val="baseline"/>
              </w:rPr>
              <w:t>YD/T 1272.</w:t>
            </w:r>
            <w:r>
              <w:rPr>
                <w:rFonts w:hint="eastAsia" w:ascii="仿宋" w:hAnsi="仿宋" w:eastAsia="仿宋" w:cs="仿宋"/>
                <w:color w:val="auto"/>
                <w:sz w:val="21"/>
                <w:szCs w:val="21"/>
                <w:highlight w:val="none"/>
                <w:vertAlign w:val="baseline"/>
                <w:lang w:val="en-US" w:eastAsia="zh-CN"/>
              </w:rPr>
              <w:t>5</w:t>
            </w:r>
            <w:r>
              <w:rPr>
                <w:rFonts w:hint="eastAsia" w:ascii="仿宋" w:hAnsi="仿宋" w:eastAsia="仿宋" w:cs="仿宋"/>
                <w:color w:val="auto"/>
                <w:sz w:val="21"/>
                <w:szCs w:val="21"/>
                <w:highlight w:val="none"/>
                <w:vertAlign w:val="baseline"/>
              </w:rPr>
              <w:t>-2018</w:t>
            </w:r>
            <w:r>
              <w:rPr>
                <w:rFonts w:hint="eastAsia" w:ascii="仿宋" w:hAnsi="仿宋" w:eastAsia="仿宋" w:cs="仿宋"/>
                <w:color w:val="auto"/>
                <w:sz w:val="21"/>
                <w:szCs w:val="21"/>
                <w:highlight w:val="none"/>
                <w:vertAlign w:val="baseline"/>
                <w:lang w:eastAsia="zh-CN"/>
              </w:rPr>
              <w:t>、</w:t>
            </w:r>
            <w:r>
              <w:rPr>
                <w:rFonts w:hint="eastAsia" w:ascii="仿宋" w:hAnsi="仿宋" w:eastAsia="仿宋" w:cs="仿宋"/>
                <w:color w:val="auto"/>
                <w:sz w:val="21"/>
                <w:szCs w:val="21"/>
                <w:highlight w:val="none"/>
                <w:vertAlign w:val="baseline"/>
              </w:rPr>
              <w:t>YD/T 1272.</w:t>
            </w:r>
            <w:r>
              <w:rPr>
                <w:rFonts w:hint="eastAsia" w:ascii="仿宋" w:hAnsi="仿宋" w:eastAsia="仿宋" w:cs="仿宋"/>
                <w:color w:val="auto"/>
                <w:sz w:val="21"/>
                <w:szCs w:val="21"/>
                <w:highlight w:val="none"/>
                <w:vertAlign w:val="baseline"/>
                <w:lang w:val="en-US" w:eastAsia="zh-CN"/>
              </w:rPr>
              <w:t>6</w:t>
            </w:r>
            <w:r>
              <w:rPr>
                <w:rFonts w:hint="eastAsia" w:ascii="仿宋" w:hAnsi="仿宋" w:eastAsia="仿宋" w:cs="仿宋"/>
                <w:color w:val="auto"/>
                <w:sz w:val="21"/>
                <w:szCs w:val="21"/>
                <w:highlight w:val="none"/>
                <w:vertAlign w:val="baseline"/>
              </w:rPr>
              <w:t>-2018</w:t>
            </w:r>
          </w:p>
        </w:tc>
      </w:tr>
      <w:tr w14:paraId="78704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shd w:val="clear" w:color="auto" w:fill="auto"/>
            <w:vAlign w:val="center"/>
          </w:tcPr>
          <w:p w14:paraId="3144ABFE">
            <w:pPr>
              <w:spacing w:line="240" w:lineRule="auto"/>
              <w:jc w:val="center"/>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kern w:val="2"/>
                <w:sz w:val="21"/>
                <w:szCs w:val="21"/>
                <w:highlight w:val="none"/>
                <w:vertAlign w:val="baseline"/>
                <w:lang w:val="en-US" w:eastAsia="zh-CN" w:bidi="ar-SA"/>
              </w:rPr>
              <w:t>31</w:t>
            </w:r>
          </w:p>
        </w:tc>
        <w:tc>
          <w:tcPr>
            <w:tcW w:w="3598" w:type="dxa"/>
            <w:vAlign w:val="center"/>
          </w:tcPr>
          <w:p w14:paraId="19497334">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lang w:val="en-US" w:eastAsia="zh-CN"/>
              </w:rPr>
              <w:t>光纤活动连接器 可靠性要求及试验方法</w:t>
            </w:r>
          </w:p>
        </w:tc>
        <w:tc>
          <w:tcPr>
            <w:tcW w:w="1886" w:type="dxa"/>
            <w:vAlign w:val="center"/>
          </w:tcPr>
          <w:p w14:paraId="0ED88068">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YD/T 2152-2010</w:t>
            </w:r>
          </w:p>
        </w:tc>
        <w:tc>
          <w:tcPr>
            <w:tcW w:w="1212" w:type="dxa"/>
            <w:vAlign w:val="center"/>
          </w:tcPr>
          <w:p w14:paraId="54D52579">
            <w:pPr>
              <w:spacing w:line="240" w:lineRule="auto"/>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现行</w:t>
            </w:r>
          </w:p>
        </w:tc>
        <w:tc>
          <w:tcPr>
            <w:tcW w:w="2677" w:type="dxa"/>
            <w:vAlign w:val="center"/>
          </w:tcPr>
          <w:p w14:paraId="599C5982">
            <w:pPr>
              <w:spacing w:line="240" w:lineRule="auto"/>
              <w:jc w:val="center"/>
              <w:rPr>
                <w:rFonts w:hint="eastAsia" w:ascii="仿宋" w:hAnsi="仿宋" w:eastAsia="仿宋" w:cs="仿宋"/>
                <w:color w:val="auto"/>
                <w:sz w:val="21"/>
                <w:szCs w:val="21"/>
                <w:highlight w:val="none"/>
                <w:lang w:val="en-US" w:eastAsia="zh-CN"/>
              </w:rPr>
            </w:pPr>
          </w:p>
        </w:tc>
        <w:tc>
          <w:tcPr>
            <w:tcW w:w="4569" w:type="dxa"/>
            <w:vAlign w:val="center"/>
          </w:tcPr>
          <w:p w14:paraId="329F3C18">
            <w:pPr>
              <w:spacing w:line="240" w:lineRule="auto"/>
              <w:jc w:val="center"/>
              <w:rPr>
                <w:rFonts w:hint="eastAsia" w:ascii="仿宋" w:hAnsi="仿宋" w:eastAsia="仿宋" w:cs="仿宋"/>
                <w:color w:val="auto"/>
                <w:sz w:val="21"/>
                <w:szCs w:val="21"/>
                <w:highlight w:val="none"/>
                <w:vertAlign w:val="baseline"/>
              </w:rPr>
            </w:pPr>
          </w:p>
        </w:tc>
      </w:tr>
      <w:tr w14:paraId="41563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shd w:val="clear"/>
            <w:vAlign w:val="center"/>
          </w:tcPr>
          <w:p w14:paraId="0159EB73">
            <w:pPr>
              <w:spacing w:line="240" w:lineRule="auto"/>
              <w:jc w:val="center"/>
              <w:rPr>
                <w:rFonts w:hint="default"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32</w:t>
            </w:r>
          </w:p>
        </w:tc>
        <w:tc>
          <w:tcPr>
            <w:tcW w:w="3598" w:type="dxa"/>
            <w:vAlign w:val="center"/>
          </w:tcPr>
          <w:p w14:paraId="27C77487">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光纤配线架</w:t>
            </w:r>
          </w:p>
        </w:tc>
        <w:tc>
          <w:tcPr>
            <w:tcW w:w="1886" w:type="dxa"/>
            <w:vAlign w:val="center"/>
          </w:tcPr>
          <w:p w14:paraId="0F8765E2">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YD/T</w:t>
            </w:r>
            <w:r>
              <w:rPr>
                <w:rFonts w:hint="eastAsia" w:ascii="仿宋" w:hAnsi="仿宋" w:eastAsia="仿宋" w:cs="仿宋"/>
                <w:color w:val="auto"/>
                <w:sz w:val="21"/>
                <w:szCs w:val="21"/>
                <w:highlight w:val="none"/>
                <w:vertAlign w:val="baseline"/>
                <w:lang w:val="en-US" w:eastAsia="zh-CN"/>
              </w:rPr>
              <w:t xml:space="preserve"> </w:t>
            </w:r>
            <w:r>
              <w:rPr>
                <w:rFonts w:hint="eastAsia" w:ascii="仿宋" w:hAnsi="仿宋" w:eastAsia="仿宋" w:cs="仿宋"/>
                <w:color w:val="auto"/>
                <w:sz w:val="21"/>
                <w:szCs w:val="21"/>
                <w:highlight w:val="none"/>
                <w:vertAlign w:val="baseline"/>
              </w:rPr>
              <w:t>778-2011</w:t>
            </w:r>
          </w:p>
        </w:tc>
        <w:tc>
          <w:tcPr>
            <w:tcW w:w="1212" w:type="dxa"/>
            <w:vAlign w:val="center"/>
          </w:tcPr>
          <w:p w14:paraId="0FAAA667">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lang w:val="en-US" w:eastAsia="zh-CN"/>
              </w:rPr>
              <w:t>现行</w:t>
            </w:r>
          </w:p>
        </w:tc>
        <w:tc>
          <w:tcPr>
            <w:tcW w:w="2677" w:type="dxa"/>
            <w:vAlign w:val="center"/>
          </w:tcPr>
          <w:p w14:paraId="450A6D72">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本标准适用于光纤配线架。其它类似光配线设备（如光纤配线箱）也可参照执行。</w:t>
            </w:r>
          </w:p>
        </w:tc>
        <w:tc>
          <w:tcPr>
            <w:tcW w:w="4569" w:type="dxa"/>
            <w:vAlign w:val="center"/>
          </w:tcPr>
          <w:p w14:paraId="003AEF5C">
            <w:pPr>
              <w:spacing w:line="240" w:lineRule="auto"/>
              <w:jc w:val="center"/>
              <w:rPr>
                <w:rFonts w:hint="eastAsia" w:ascii="仿宋" w:hAnsi="仿宋" w:eastAsia="仿宋" w:cs="仿宋"/>
                <w:color w:val="auto"/>
                <w:sz w:val="21"/>
                <w:szCs w:val="21"/>
                <w:highlight w:val="none"/>
                <w:vertAlign w:val="baseline"/>
              </w:rPr>
            </w:pPr>
          </w:p>
        </w:tc>
      </w:tr>
      <w:tr w14:paraId="4438A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shd w:val="clear"/>
            <w:vAlign w:val="center"/>
          </w:tcPr>
          <w:p w14:paraId="0763DD03">
            <w:pPr>
              <w:spacing w:line="240" w:lineRule="auto"/>
              <w:jc w:val="center"/>
              <w:rPr>
                <w:rFonts w:hint="default"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33</w:t>
            </w:r>
          </w:p>
        </w:tc>
        <w:tc>
          <w:tcPr>
            <w:tcW w:w="3598" w:type="dxa"/>
            <w:vAlign w:val="center"/>
          </w:tcPr>
          <w:p w14:paraId="26BCAFEE">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外壳防护等级（IP代码）</w:t>
            </w:r>
          </w:p>
        </w:tc>
        <w:tc>
          <w:tcPr>
            <w:tcW w:w="1886" w:type="dxa"/>
            <w:vAlign w:val="center"/>
          </w:tcPr>
          <w:p w14:paraId="5681D281">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GB/T 4208-2017</w:t>
            </w:r>
          </w:p>
        </w:tc>
        <w:tc>
          <w:tcPr>
            <w:tcW w:w="1212" w:type="dxa"/>
            <w:vAlign w:val="center"/>
          </w:tcPr>
          <w:p w14:paraId="2E124FBA">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lang w:val="en-US" w:eastAsia="zh-CN"/>
              </w:rPr>
              <w:t>现行</w:t>
            </w:r>
          </w:p>
        </w:tc>
        <w:tc>
          <w:tcPr>
            <w:tcW w:w="2677" w:type="dxa"/>
            <w:vAlign w:val="center"/>
          </w:tcPr>
          <w:p w14:paraId="3E7EB8BD">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本标准适用于额定电压不超过72.5 kV，借助外壳防护的电气设备的防护分级</w:t>
            </w:r>
          </w:p>
        </w:tc>
        <w:tc>
          <w:tcPr>
            <w:tcW w:w="4569" w:type="dxa"/>
            <w:vAlign w:val="center"/>
          </w:tcPr>
          <w:p w14:paraId="1057FFEE">
            <w:pPr>
              <w:spacing w:line="240" w:lineRule="auto"/>
              <w:jc w:val="center"/>
              <w:rPr>
                <w:rFonts w:hint="eastAsia" w:ascii="仿宋" w:hAnsi="仿宋" w:eastAsia="仿宋" w:cs="仿宋"/>
                <w:color w:val="auto"/>
                <w:sz w:val="21"/>
                <w:szCs w:val="21"/>
                <w:highlight w:val="none"/>
                <w:vertAlign w:val="baseline"/>
              </w:rPr>
            </w:pPr>
          </w:p>
        </w:tc>
      </w:tr>
      <w:tr w14:paraId="137DF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vAlign w:val="center"/>
          </w:tcPr>
          <w:p w14:paraId="36A080BF">
            <w:pPr>
              <w:spacing w:line="240" w:lineRule="auto"/>
              <w:jc w:val="center"/>
              <w:rPr>
                <w:rFonts w:hint="default"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34</w:t>
            </w:r>
            <w:bookmarkStart w:id="0" w:name="_GoBack"/>
            <w:bookmarkEnd w:id="0"/>
          </w:p>
        </w:tc>
        <w:tc>
          <w:tcPr>
            <w:tcW w:w="3598" w:type="dxa"/>
            <w:vAlign w:val="center"/>
          </w:tcPr>
          <w:p w14:paraId="0E0CC578">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塑料 燃烧性能的测定 水平法和垂直法</w:t>
            </w:r>
          </w:p>
        </w:tc>
        <w:tc>
          <w:tcPr>
            <w:tcW w:w="1886" w:type="dxa"/>
            <w:vAlign w:val="center"/>
          </w:tcPr>
          <w:p w14:paraId="442EC1F0">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GB/T 2408-2021</w:t>
            </w:r>
          </w:p>
        </w:tc>
        <w:tc>
          <w:tcPr>
            <w:tcW w:w="1212" w:type="dxa"/>
            <w:vAlign w:val="center"/>
          </w:tcPr>
          <w:p w14:paraId="4FBB8C24">
            <w:pPr>
              <w:spacing w:line="240" w:lineRule="auto"/>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现行</w:t>
            </w:r>
          </w:p>
        </w:tc>
        <w:tc>
          <w:tcPr>
            <w:tcW w:w="2677" w:type="dxa"/>
            <w:vAlign w:val="center"/>
          </w:tcPr>
          <w:p w14:paraId="36C04AB1">
            <w:pPr>
              <w:spacing w:line="240" w:lineRule="auto"/>
              <w:jc w:val="center"/>
              <w:rPr>
                <w:rFonts w:hint="default"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86型单品或双口面板类产品</w:t>
            </w:r>
          </w:p>
        </w:tc>
        <w:tc>
          <w:tcPr>
            <w:tcW w:w="4569" w:type="dxa"/>
            <w:vAlign w:val="center"/>
          </w:tcPr>
          <w:p w14:paraId="54599139">
            <w:pPr>
              <w:spacing w:line="240" w:lineRule="auto"/>
              <w:jc w:val="center"/>
              <w:rPr>
                <w:rFonts w:hint="default"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施行时间2022-03-01</w:t>
            </w:r>
          </w:p>
        </w:tc>
      </w:tr>
    </w:tbl>
    <w:p w14:paraId="622AA06F"/>
    <w:sectPr>
      <w:pgSz w:w="16838" w:h="11906" w:orient="landscape"/>
      <w:pgMar w:top="1179" w:right="1157" w:bottom="1179" w:left="115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C755B0"/>
    <w:rsid w:val="02A63E9D"/>
    <w:rsid w:val="054D74B4"/>
    <w:rsid w:val="07E637CC"/>
    <w:rsid w:val="087A0C14"/>
    <w:rsid w:val="0CF313ED"/>
    <w:rsid w:val="0DCF4ECF"/>
    <w:rsid w:val="0E1B687E"/>
    <w:rsid w:val="0E484B44"/>
    <w:rsid w:val="15C8287C"/>
    <w:rsid w:val="172123D6"/>
    <w:rsid w:val="1FBC1B14"/>
    <w:rsid w:val="202B4549"/>
    <w:rsid w:val="23985936"/>
    <w:rsid w:val="2A064B44"/>
    <w:rsid w:val="2DCD42C6"/>
    <w:rsid w:val="36CE3FBF"/>
    <w:rsid w:val="373B6C40"/>
    <w:rsid w:val="38963173"/>
    <w:rsid w:val="3A1D53F1"/>
    <w:rsid w:val="3F0D09C6"/>
    <w:rsid w:val="40453876"/>
    <w:rsid w:val="41DC133F"/>
    <w:rsid w:val="434C059B"/>
    <w:rsid w:val="45C755B0"/>
    <w:rsid w:val="47C22C96"/>
    <w:rsid w:val="52B85859"/>
    <w:rsid w:val="5840319A"/>
    <w:rsid w:val="5A4A5EB9"/>
    <w:rsid w:val="5D3C06AD"/>
    <w:rsid w:val="5E5D2FE7"/>
    <w:rsid w:val="600B4656"/>
    <w:rsid w:val="61F46F3D"/>
    <w:rsid w:val="63E43029"/>
    <w:rsid w:val="64D150F6"/>
    <w:rsid w:val="6A82366A"/>
    <w:rsid w:val="6DA7731C"/>
    <w:rsid w:val="6E5E49D1"/>
    <w:rsid w:val="716B25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2114</Words>
  <Characters>3125</Characters>
  <Lines>0</Lines>
  <Paragraphs>0</Paragraphs>
  <TotalTime>0</TotalTime>
  <ScaleCrop>false</ScaleCrop>
  <LinksUpToDate>false</LinksUpToDate>
  <CharactersWithSpaces>3263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2025-05-01T02:34:00Z</dcterms:created>
  <dc:creator>钱资湖畔一苇草</dc:creator>
  <cp:lastModifiedBy>彭文华</cp:lastModifiedBy>
  <dcterms:modified xsi:type="dcterms:W3CDTF">2025-05-26T12:37:40Z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364312DDBCBF4DE58D8191EEE0F16E84_11</vt:lpwstr>
  </property>
  <property fmtid="{D5CDD505-2E9C-101B-9397-08002B2CF9AE}" pid="4" name="KSOTemplateDocerSaveRecord">
    <vt:lpwstr>eyJoZGlkIjoiYTZmYWViZDY2Nzg5MWRjN2VmZDNjNTcxMjNkMWMzYzAiLCJ1c2VySWQiOiIxNjcxOTk3NTUzIn0=</vt:lpwstr>
  </property>
</Properties>
</file>