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E6F76">
      <w:pPr>
        <w:bidi w:val="0"/>
        <w:rPr>
          <w:rFonts w:hint="eastAsia"/>
        </w:rPr>
      </w:pPr>
      <w:r>
        <w:rPr>
          <w:rFonts w:hint="eastAsia"/>
        </w:rPr>
        <w:t xml:space="preserve"> </w:t>
      </w:r>
    </w:p>
    <w:p w14:paraId="6949CA06">
      <w:pPr>
        <w:bidi w:val="0"/>
        <w:rPr>
          <w:rFonts w:hint="eastAsia"/>
        </w:rPr>
      </w:pPr>
    </w:p>
    <w:p w14:paraId="1B82161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pacing w:val="20"/>
          <w:sz w:val="48"/>
          <w:szCs w:val="48"/>
        </w:rPr>
      </w:pPr>
      <w:r>
        <w:rPr>
          <w:rFonts w:hint="eastAsia" w:ascii="宋体" w:hAnsi="宋体" w:eastAsia="宋体" w:cs="宋体"/>
          <w:b/>
          <w:bCs/>
          <w:spacing w:val="20"/>
          <w:sz w:val="48"/>
          <w:szCs w:val="48"/>
        </w:rPr>
        <w:t>通州湾示范区三余镇人民政府“农村环境五位一体”长效管理项目</w:t>
      </w:r>
    </w:p>
    <w:p w14:paraId="0C7AFD8F">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pacing w:val="20"/>
          <w:sz w:val="48"/>
          <w:szCs w:val="48"/>
        </w:rPr>
      </w:pPr>
    </w:p>
    <w:p w14:paraId="675CBDB2">
      <w:pPr>
        <w:pStyle w:val="2"/>
        <w:pageBreakBefore w:val="0"/>
        <w:kinsoku/>
        <w:wordWrap/>
        <w:overflowPunct/>
        <w:topLinePunct w:val="0"/>
        <w:autoSpaceDE/>
        <w:autoSpaceDN/>
        <w:bidi w:val="0"/>
        <w:snapToGrid/>
        <w:spacing w:after="0" w:line="360" w:lineRule="auto"/>
        <w:textAlignment w:val="auto"/>
        <w:rPr>
          <w:rFonts w:hint="eastAsia" w:ascii="宋体" w:hAnsi="宋体" w:eastAsia="宋体" w:cs="宋体"/>
        </w:rPr>
      </w:pPr>
    </w:p>
    <w:p w14:paraId="208695BE">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pacing w:val="20"/>
          <w:sz w:val="48"/>
          <w:szCs w:val="48"/>
        </w:rPr>
      </w:pPr>
    </w:p>
    <w:p w14:paraId="6EE06DA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pacing w:val="20"/>
          <w:sz w:val="48"/>
          <w:szCs w:val="48"/>
        </w:rPr>
      </w:pPr>
    </w:p>
    <w:p w14:paraId="04FFBE5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100"/>
          <w:szCs w:val="100"/>
        </w:rPr>
      </w:pPr>
      <w:r>
        <w:rPr>
          <w:rFonts w:hint="eastAsia" w:ascii="宋体" w:hAnsi="宋体" w:eastAsia="宋体" w:cs="宋体"/>
          <w:bCs/>
          <w:sz w:val="100"/>
          <w:szCs w:val="100"/>
        </w:rPr>
        <w:t>招标文件</w:t>
      </w:r>
    </w:p>
    <w:p w14:paraId="4EEA3B21">
      <w:pPr>
        <w:pStyle w:val="40"/>
        <w:pageBreakBefore w:val="0"/>
        <w:kinsoku/>
        <w:wordWrap/>
        <w:overflowPunct/>
        <w:topLinePunct w:val="0"/>
        <w:autoSpaceDE/>
        <w:autoSpaceDN/>
        <w:bidi w:val="0"/>
        <w:snapToGrid/>
        <w:spacing w:before="0" w:after="0" w:line="360" w:lineRule="auto"/>
        <w:jc w:val="center"/>
        <w:textAlignment w:val="auto"/>
        <w:rPr>
          <w:rFonts w:hint="eastAsia" w:ascii="宋体" w:hAnsi="宋体" w:eastAsia="宋体" w:cs="宋体"/>
          <w:b w:val="0"/>
          <w:sz w:val="36"/>
          <w:szCs w:val="36"/>
        </w:rPr>
      </w:pPr>
      <w:r>
        <w:rPr>
          <w:rFonts w:hint="eastAsia" w:ascii="宋体" w:hAnsi="宋体" w:eastAsia="宋体" w:cs="宋体"/>
          <w:b w:val="0"/>
          <w:sz w:val="36"/>
          <w:szCs w:val="36"/>
        </w:rPr>
        <w:t>项目编号：JSZC-320692-JGGC-G2025-0007</w:t>
      </w:r>
    </w:p>
    <w:p w14:paraId="5A004111">
      <w:pPr>
        <w:pStyle w:val="199"/>
        <w:pageBreakBefore w:val="0"/>
        <w:kinsoku/>
        <w:wordWrap/>
        <w:overflowPunct/>
        <w:topLinePunct w:val="0"/>
        <w:autoSpaceDE/>
        <w:autoSpaceDN/>
        <w:bidi w:val="0"/>
        <w:snapToGrid/>
        <w:spacing w:line="360" w:lineRule="auto"/>
        <w:textAlignment w:val="auto"/>
        <w:rPr>
          <w:rFonts w:hint="eastAsia" w:ascii="宋体" w:hAnsi="宋体" w:eastAsia="宋体" w:cs="宋体"/>
          <w:b w:val="0"/>
          <w:bCs/>
        </w:rPr>
      </w:pPr>
    </w:p>
    <w:p w14:paraId="5FE49F60">
      <w:pPr>
        <w:bidi w:val="0"/>
        <w:rPr>
          <w:rFonts w:hint="eastAsia"/>
        </w:rPr>
      </w:pPr>
      <w:r>
        <w:rPr>
          <w:rFonts w:hint="eastAsia"/>
        </w:rPr>
        <w:t xml:space="preserve"> </w:t>
      </w:r>
    </w:p>
    <w:p w14:paraId="794CC9CE">
      <w:pPr>
        <w:bidi w:val="0"/>
        <w:rPr>
          <w:rFonts w:hint="eastAsia"/>
        </w:rPr>
      </w:pPr>
    </w:p>
    <w:p w14:paraId="43ADA546">
      <w:pPr>
        <w:bidi w:val="0"/>
        <w:rPr>
          <w:rFonts w:hint="eastAsia"/>
        </w:rPr>
      </w:pPr>
    </w:p>
    <w:p w14:paraId="792C3C4A">
      <w:pPr>
        <w:bidi w:val="0"/>
        <w:rPr>
          <w:rFonts w:hint="eastAsia"/>
        </w:rPr>
      </w:pPr>
    </w:p>
    <w:p w14:paraId="3DE2261E">
      <w:pPr>
        <w:bidi w:val="0"/>
        <w:rPr>
          <w:rFonts w:hint="eastAsia"/>
        </w:rPr>
      </w:pPr>
    </w:p>
    <w:p w14:paraId="7B87387F">
      <w:pPr>
        <w:bidi w:val="0"/>
        <w:rPr>
          <w:rFonts w:hint="eastAsia"/>
        </w:rPr>
      </w:pPr>
    </w:p>
    <w:p w14:paraId="5692FABA">
      <w:pPr>
        <w:pageBreakBefore w:val="0"/>
        <w:kinsoku/>
        <w:wordWrap/>
        <w:overflowPunct/>
        <w:topLinePunct w:val="0"/>
        <w:autoSpaceDE/>
        <w:autoSpaceDN/>
        <w:bidi w:val="0"/>
        <w:snapToGrid/>
        <w:spacing w:line="360" w:lineRule="auto"/>
        <w:textAlignment w:val="auto"/>
        <w:rPr>
          <w:rFonts w:hint="eastAsia" w:ascii="宋体" w:hAnsi="宋体" w:eastAsia="宋体" w:cs="宋体"/>
          <w:sz w:val="32"/>
        </w:rPr>
      </w:pPr>
    </w:p>
    <w:p w14:paraId="32BF7AB5">
      <w:pPr>
        <w:pageBreakBefore w:val="0"/>
        <w:kinsoku/>
        <w:wordWrap/>
        <w:overflowPunct/>
        <w:topLinePunct w:val="0"/>
        <w:autoSpaceDE/>
        <w:autoSpaceDN/>
        <w:bidi w:val="0"/>
        <w:snapToGrid/>
        <w:spacing w:line="360" w:lineRule="auto"/>
        <w:ind w:right="-601"/>
        <w:jc w:val="center"/>
        <w:textAlignment w:val="auto"/>
        <w:rPr>
          <w:rFonts w:hint="eastAsia" w:ascii="宋体" w:hAnsi="宋体" w:eastAsia="宋体" w:cs="宋体"/>
          <w:sz w:val="32"/>
          <w:szCs w:val="32"/>
        </w:rPr>
      </w:pPr>
      <w:r>
        <w:rPr>
          <w:rFonts w:hint="eastAsia" w:ascii="宋体" w:hAnsi="宋体" w:eastAsia="宋体" w:cs="宋体"/>
          <w:sz w:val="32"/>
          <w:szCs w:val="32"/>
        </w:rPr>
        <w:t>采 购 人：南通市通州区三余镇人民政府</w:t>
      </w:r>
    </w:p>
    <w:p w14:paraId="19107E0F">
      <w:pPr>
        <w:pageBreakBefore w:val="0"/>
        <w:kinsoku/>
        <w:wordWrap/>
        <w:overflowPunct/>
        <w:topLinePunct w:val="0"/>
        <w:autoSpaceDE/>
        <w:autoSpaceDN/>
        <w:bidi w:val="0"/>
        <w:snapToGrid/>
        <w:spacing w:line="360" w:lineRule="auto"/>
        <w:ind w:right="-601"/>
        <w:jc w:val="center"/>
        <w:textAlignment w:val="auto"/>
        <w:rPr>
          <w:rFonts w:hint="eastAsia" w:ascii="宋体" w:hAnsi="宋体" w:eastAsia="宋体" w:cs="宋体"/>
          <w:sz w:val="32"/>
          <w:szCs w:val="32"/>
        </w:rPr>
      </w:pPr>
      <w:r>
        <w:rPr>
          <w:rFonts w:hint="eastAsia" w:ascii="宋体" w:hAnsi="宋体" w:eastAsia="宋体" w:cs="宋体"/>
          <w:sz w:val="32"/>
          <w:szCs w:val="32"/>
        </w:rPr>
        <w:t>代理机构：江苏久格工程项目管理有限公司</w:t>
      </w:r>
    </w:p>
    <w:p w14:paraId="7F34AFA7">
      <w:pPr>
        <w:pageBreakBefore w:val="0"/>
        <w:kinsoku/>
        <w:wordWrap/>
        <w:overflowPunct/>
        <w:topLinePunct w:val="0"/>
        <w:autoSpaceDE/>
        <w:autoSpaceDN/>
        <w:bidi w:val="0"/>
        <w:snapToGrid/>
        <w:spacing w:line="360" w:lineRule="auto"/>
        <w:ind w:right="-601"/>
        <w:jc w:val="center"/>
        <w:textAlignment w:val="auto"/>
        <w:rPr>
          <w:rFonts w:hint="eastAsia" w:ascii="宋体" w:hAnsi="宋体" w:eastAsia="宋体" w:cs="宋体"/>
          <w:sz w:val="32"/>
          <w:szCs w:val="32"/>
        </w:rPr>
      </w:pPr>
      <w:r>
        <w:rPr>
          <w:rFonts w:hint="eastAsia" w:ascii="宋体" w:hAnsi="宋体" w:eastAsia="宋体" w:cs="宋体"/>
          <w:sz w:val="32"/>
          <w:szCs w:val="32"/>
        </w:rPr>
        <w:t>日    期：二○二五年</w:t>
      </w:r>
      <w:r>
        <w:rPr>
          <w:rFonts w:hint="eastAsia" w:ascii="宋体" w:hAnsi="宋体" w:cs="宋体"/>
          <w:sz w:val="32"/>
          <w:szCs w:val="32"/>
          <w:lang w:val="en-US" w:eastAsia="zh-CN"/>
        </w:rPr>
        <w:t>四</w:t>
      </w:r>
      <w:r>
        <w:rPr>
          <w:rFonts w:hint="eastAsia" w:ascii="宋体" w:hAnsi="宋体" w:eastAsia="宋体" w:cs="宋体"/>
          <w:sz w:val="32"/>
          <w:szCs w:val="32"/>
        </w:rPr>
        <w:t>月</w:t>
      </w:r>
    </w:p>
    <w:p w14:paraId="26AC3096">
      <w:pPr>
        <w:pageBreakBefore w:val="0"/>
        <w:kinsoku/>
        <w:wordWrap/>
        <w:overflowPunct/>
        <w:topLinePunct w:val="0"/>
        <w:autoSpaceDE/>
        <w:autoSpaceDN/>
        <w:bidi w:val="0"/>
        <w:snapToGrid/>
        <w:spacing w:line="360" w:lineRule="auto"/>
        <w:textAlignment w:val="auto"/>
        <w:rPr>
          <w:rFonts w:hint="eastAsia" w:ascii="宋体" w:hAnsi="宋体" w:eastAsia="宋体" w:cs="宋体"/>
          <w:sz w:val="36"/>
          <w:szCs w:val="36"/>
        </w:rPr>
      </w:pPr>
      <w:r>
        <w:rPr>
          <w:rFonts w:hint="eastAsia" w:ascii="宋体" w:hAnsi="宋体" w:eastAsia="宋体" w:cs="宋体"/>
          <w:sz w:val="36"/>
          <w:szCs w:val="36"/>
        </w:rPr>
        <w:br w:type="page"/>
      </w:r>
    </w:p>
    <w:p w14:paraId="5EF7502E">
      <w:pPr>
        <w:pageBreakBefore w:val="0"/>
        <w:kinsoku/>
        <w:wordWrap/>
        <w:overflowPunct/>
        <w:topLinePunct w:val="0"/>
        <w:autoSpaceDE/>
        <w:autoSpaceDN/>
        <w:bidi w:val="0"/>
        <w:snapToGrid/>
        <w:spacing w:line="360" w:lineRule="auto"/>
        <w:ind w:left="-158" w:right="-601" w:firstLine="720"/>
        <w:textAlignment w:val="auto"/>
        <w:rPr>
          <w:rFonts w:hint="eastAsia" w:ascii="宋体" w:hAnsi="宋体" w:eastAsia="宋体" w:cs="宋体"/>
          <w:sz w:val="36"/>
          <w:szCs w:val="36"/>
        </w:rPr>
      </w:pPr>
    </w:p>
    <w:p w14:paraId="095CFDFF">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32"/>
          <w:szCs w:val="32"/>
        </w:rPr>
      </w:pPr>
      <w:r>
        <w:rPr>
          <w:rFonts w:hint="eastAsia" w:ascii="宋体" w:hAnsi="宋体" w:eastAsia="宋体" w:cs="宋体"/>
          <w:sz w:val="44"/>
          <w:szCs w:val="44"/>
        </w:rPr>
        <w:t>目 录</w:t>
      </w:r>
    </w:p>
    <w:p w14:paraId="666BE710">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pacing w:val="2"/>
          <w:sz w:val="32"/>
          <w:szCs w:val="32"/>
        </w:rPr>
      </w:pPr>
      <w:r>
        <w:rPr>
          <w:rFonts w:hint="eastAsia" w:ascii="宋体" w:hAnsi="宋体" w:eastAsia="宋体" w:cs="宋体"/>
          <w:bCs/>
          <w:sz w:val="32"/>
          <w:szCs w:val="32"/>
        </w:rPr>
        <w:t>第一部分  投标邀请</w:t>
      </w:r>
    </w:p>
    <w:p w14:paraId="7E06C4ED">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pacing w:val="2"/>
          <w:sz w:val="32"/>
          <w:szCs w:val="32"/>
        </w:rPr>
      </w:pPr>
      <w:r>
        <w:rPr>
          <w:rFonts w:hint="eastAsia" w:ascii="宋体" w:hAnsi="宋体" w:eastAsia="宋体" w:cs="宋体"/>
          <w:bCs/>
          <w:sz w:val="32"/>
          <w:szCs w:val="32"/>
        </w:rPr>
        <w:t>第二部分  投标须知</w:t>
      </w:r>
    </w:p>
    <w:p w14:paraId="3A49F426">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pacing w:val="2"/>
          <w:sz w:val="32"/>
          <w:szCs w:val="32"/>
        </w:rPr>
      </w:pPr>
      <w:r>
        <w:rPr>
          <w:rFonts w:hint="eastAsia" w:ascii="宋体" w:hAnsi="宋体" w:eastAsia="宋体" w:cs="宋体"/>
          <w:bCs/>
          <w:sz w:val="32"/>
          <w:szCs w:val="32"/>
        </w:rPr>
        <w:t>第三部分  项目需求</w:t>
      </w:r>
    </w:p>
    <w:p w14:paraId="48C695E1">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t>第四部分  合同条款及格式</w:t>
      </w:r>
    </w:p>
    <w:p w14:paraId="14EA43CD">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pacing w:val="2"/>
          <w:sz w:val="32"/>
          <w:szCs w:val="32"/>
        </w:rPr>
      </w:pPr>
      <w:r>
        <w:rPr>
          <w:rFonts w:hint="eastAsia" w:ascii="宋体" w:hAnsi="宋体" w:eastAsia="宋体" w:cs="宋体"/>
          <w:sz w:val="32"/>
          <w:szCs w:val="32"/>
        </w:rPr>
        <w:t xml:space="preserve">第五部分  </w:t>
      </w:r>
      <w:r>
        <w:rPr>
          <w:rFonts w:hint="eastAsia" w:ascii="宋体" w:hAnsi="宋体" w:eastAsia="宋体" w:cs="宋体"/>
          <w:bCs/>
          <w:sz w:val="32"/>
          <w:szCs w:val="32"/>
        </w:rPr>
        <w:t>开标和评标</w:t>
      </w:r>
    </w:p>
    <w:p w14:paraId="229EFCB0">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spacing w:val="2"/>
          <w:sz w:val="32"/>
          <w:szCs w:val="32"/>
        </w:rPr>
      </w:pPr>
      <w:r>
        <w:rPr>
          <w:rFonts w:hint="eastAsia" w:ascii="宋体" w:hAnsi="宋体" w:eastAsia="宋体" w:cs="宋体"/>
          <w:bCs/>
          <w:sz w:val="32"/>
          <w:szCs w:val="32"/>
        </w:rPr>
        <w:t>第六部分  投标文件格式</w:t>
      </w:r>
    </w:p>
    <w:p w14:paraId="1B56B2BC">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p>
    <w:p w14:paraId="0C4C9439">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b/>
          <w:spacing w:val="2"/>
          <w:sz w:val="32"/>
          <w:szCs w:val="32"/>
        </w:rPr>
      </w:pPr>
    </w:p>
    <w:p w14:paraId="1C336E8C">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b/>
          <w:spacing w:val="2"/>
          <w:sz w:val="32"/>
          <w:szCs w:val="32"/>
        </w:rPr>
      </w:pPr>
    </w:p>
    <w:p w14:paraId="2F1838ED">
      <w:pPr>
        <w:pageBreakBefore w:val="0"/>
        <w:tabs>
          <w:tab w:val="left" w:pos="7740"/>
        </w:tabs>
        <w:kinsoku/>
        <w:wordWrap/>
        <w:overflowPunct/>
        <w:topLinePunct w:val="0"/>
        <w:autoSpaceDE/>
        <w:autoSpaceDN/>
        <w:bidi w:val="0"/>
        <w:snapToGrid/>
        <w:spacing w:line="360" w:lineRule="auto"/>
        <w:textAlignment w:val="auto"/>
        <w:rPr>
          <w:rFonts w:hint="eastAsia" w:ascii="宋体" w:hAnsi="宋体" w:eastAsia="宋体" w:cs="宋体"/>
          <w:b/>
          <w:bCs/>
          <w:sz w:val="32"/>
          <w:szCs w:val="32"/>
        </w:rPr>
      </w:pPr>
    </w:p>
    <w:p w14:paraId="0BFE246A">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b/>
          <w:sz w:val="44"/>
          <w:szCs w:val="44"/>
        </w:rPr>
      </w:pPr>
    </w:p>
    <w:p w14:paraId="4E0EC1D6">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765A1696">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7C18D26B">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11C8033A">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53A4824F">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3FCAE0D6">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44"/>
          <w:szCs w:val="44"/>
        </w:rPr>
      </w:pPr>
    </w:p>
    <w:p w14:paraId="5102A1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36"/>
          <w:szCs w:val="36"/>
        </w:rPr>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第一部分  </w:t>
      </w:r>
      <w:bookmarkStart w:id="0" w:name="OLE_LINK7"/>
      <w:bookmarkStart w:id="1" w:name="OLE_LINK5"/>
      <w:r>
        <w:rPr>
          <w:rFonts w:hint="eastAsia" w:ascii="宋体" w:hAnsi="宋体" w:eastAsia="宋体" w:cs="宋体"/>
          <w:bCs/>
          <w:sz w:val="36"/>
          <w:szCs w:val="36"/>
        </w:rPr>
        <w:t>投标邀请</w:t>
      </w:r>
    </w:p>
    <w:p w14:paraId="7E178172">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themeColor="text1"/>
          <w:sz w:val="24"/>
          <w:highlight w:val="none"/>
          <w14:textFill>
            <w14:solidFill>
              <w14:schemeClr w14:val="tx1"/>
            </w14:solidFill>
          </w14:textFill>
        </w:rPr>
      </w:pPr>
      <w:bookmarkStart w:id="2" w:name="OLE_LINK6"/>
      <w:r>
        <w:rPr>
          <w:rFonts w:hint="eastAsia" w:ascii="宋体" w:hAnsi="宋体" w:eastAsia="宋体" w:cs="宋体"/>
          <w:color w:val="000000" w:themeColor="text1"/>
          <w:sz w:val="24"/>
          <w:highlight w:val="none"/>
          <w:u w:val="single"/>
          <w14:textFill>
            <w14:solidFill>
              <w14:schemeClr w14:val="tx1"/>
            </w14:solidFill>
          </w14:textFill>
        </w:rPr>
        <w:t>江苏久格工程项目管理有限公司</w:t>
      </w:r>
      <w:r>
        <w:rPr>
          <w:rFonts w:hint="eastAsia" w:ascii="宋体" w:hAnsi="宋体" w:eastAsia="宋体" w:cs="宋体"/>
          <w:color w:val="000000" w:themeColor="text1"/>
          <w:sz w:val="24"/>
          <w:highlight w:val="none"/>
          <w14:textFill>
            <w14:solidFill>
              <w14:schemeClr w14:val="tx1"/>
            </w14:solidFill>
          </w14:textFill>
        </w:rPr>
        <w:t>（以下称采购代理机构）受</w:t>
      </w:r>
      <w:r>
        <w:rPr>
          <w:rFonts w:hint="eastAsia" w:ascii="宋体" w:hAnsi="宋体" w:eastAsia="宋体" w:cs="宋体"/>
          <w:color w:val="000000" w:themeColor="text1"/>
          <w:sz w:val="24"/>
          <w:highlight w:val="none"/>
          <w:u w:val="single"/>
          <w14:textFill>
            <w14:solidFill>
              <w14:schemeClr w14:val="tx1"/>
            </w14:solidFill>
          </w14:textFill>
        </w:rPr>
        <w:t>南通市通州区三余镇人民政府</w:t>
      </w:r>
      <w:r>
        <w:rPr>
          <w:rFonts w:hint="eastAsia" w:ascii="宋体" w:hAnsi="宋体" w:eastAsia="宋体" w:cs="宋体"/>
          <w:color w:val="000000" w:themeColor="text1"/>
          <w:sz w:val="24"/>
          <w:highlight w:val="none"/>
          <w14:textFill>
            <w14:solidFill>
              <w14:schemeClr w14:val="tx1"/>
            </w14:solidFill>
          </w14:textFill>
        </w:rPr>
        <w:t>（以下称采购人）的委托就[</w:t>
      </w:r>
      <w:r>
        <w:rPr>
          <w:rFonts w:hint="eastAsia" w:ascii="宋体" w:hAnsi="宋体" w:eastAsia="宋体" w:cs="宋体"/>
          <w:bCs/>
          <w:color w:val="000000" w:themeColor="text1"/>
          <w:sz w:val="24"/>
          <w:highlight w:val="none"/>
          <w14:textFill>
            <w14:solidFill>
              <w14:schemeClr w14:val="tx1"/>
            </w14:solidFill>
          </w14:textFill>
        </w:rPr>
        <w:t>通州湾示范区三余镇人民政府“农村环境五位一体”长效管理项目</w:t>
      </w:r>
      <w:r>
        <w:rPr>
          <w:rFonts w:hint="eastAsia" w:ascii="宋体" w:hAnsi="宋体" w:eastAsia="宋体" w:cs="宋体"/>
          <w:color w:val="000000" w:themeColor="text1"/>
          <w:sz w:val="24"/>
          <w:highlight w:val="none"/>
          <w14:textFill>
            <w14:solidFill>
              <w14:schemeClr w14:val="tx1"/>
            </w14:solidFill>
          </w14:textFill>
        </w:rPr>
        <w:t>](项目编号: JSZC-320692-JGGC-G2025-0007 )进行公开招标采购，欢迎符合条件的供应商投标。</w:t>
      </w:r>
    </w:p>
    <w:p w14:paraId="659D7BB2">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项目概况</w:t>
      </w:r>
    </w:p>
    <w:p w14:paraId="68C66AC9">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通州湾示范区三余镇人民政府“农村环境五位一体”长效管理项目</w:t>
      </w:r>
      <w:r>
        <w:rPr>
          <w:rFonts w:hint="eastAsia" w:ascii="宋体" w:hAnsi="宋体" w:eastAsia="宋体" w:cs="宋体"/>
          <w:color w:val="000000" w:themeColor="text1"/>
          <w:sz w:val="24"/>
          <w:highlight w:val="none"/>
          <w14:textFill>
            <w14:solidFill>
              <w14:schemeClr w14:val="tx1"/>
            </w14:solidFill>
          </w14:textFill>
        </w:rPr>
        <w:t>的潜在投标人应在</w:t>
      </w:r>
      <w:r>
        <w:rPr>
          <w:rFonts w:hint="eastAsia" w:ascii="宋体" w:hAnsi="宋体" w:eastAsia="宋体" w:cs="宋体"/>
          <w:color w:val="000000" w:themeColor="text1"/>
          <w:sz w:val="24"/>
          <w:highlight w:val="none"/>
          <w:u w:val="single"/>
          <w14:textFill>
            <w14:solidFill>
              <w14:schemeClr w14:val="tx1"/>
            </w14:solidFill>
          </w14:textFill>
        </w:rPr>
        <w:t>苏采云系统</w:t>
      </w:r>
      <w:r>
        <w:rPr>
          <w:rFonts w:hint="eastAsia" w:ascii="宋体" w:hAnsi="宋体" w:eastAsia="宋体" w:cs="宋体"/>
          <w:color w:val="000000" w:themeColor="text1"/>
          <w:sz w:val="24"/>
          <w:highlight w:val="none"/>
          <w14:textFill>
            <w14:solidFill>
              <w14:schemeClr w14:val="tx1"/>
            </w14:solidFill>
          </w14:textFill>
        </w:rPr>
        <w:t>内获取招标文件，并于</w:t>
      </w:r>
      <w:r>
        <w:rPr>
          <w:rFonts w:hint="eastAsia" w:ascii="宋体" w:hAnsi="宋体" w:eastAsia="宋体" w:cs="宋体"/>
          <w:b/>
          <w:bCs/>
          <w:color w:val="000000" w:themeColor="text1"/>
          <w:sz w:val="24"/>
          <w:highlight w:val="none"/>
          <w:u w:val="single"/>
          <w14:textFill>
            <w14:solidFill>
              <w14:schemeClr w14:val="tx1"/>
            </w14:solidFill>
          </w14:textFill>
        </w:rPr>
        <w:t>2025年</w:t>
      </w:r>
      <w:r>
        <w:rPr>
          <w:rFonts w:hint="eastAsia" w:ascii="宋体" w:hAnsi="宋体" w:cs="宋体"/>
          <w:b/>
          <w:bCs/>
          <w:color w:val="000000" w:themeColor="text1"/>
          <w:sz w:val="24"/>
          <w:highlight w:val="none"/>
          <w:u w:val="single"/>
          <w:lang w:val="en-US" w:eastAsia="zh-CN"/>
          <w14:textFill>
            <w14:solidFill>
              <w14:schemeClr w14:val="tx1"/>
            </w14:solidFill>
          </w14:textFill>
        </w:rPr>
        <w:t>5月13</w:t>
      </w:r>
      <w:r>
        <w:rPr>
          <w:rFonts w:hint="eastAsia" w:ascii="宋体" w:hAnsi="宋体" w:eastAsia="宋体" w:cs="宋体"/>
          <w:b/>
          <w:bCs/>
          <w:color w:val="000000" w:themeColor="text1"/>
          <w:sz w:val="24"/>
          <w:highlight w:val="none"/>
          <w:u w:val="single"/>
          <w14:textFill>
            <w14:solidFill>
              <w14:schemeClr w14:val="tx1"/>
            </w14:solidFill>
          </w14:textFill>
        </w:rPr>
        <w:t>日</w:t>
      </w:r>
      <w:r>
        <w:rPr>
          <w:rFonts w:hint="eastAsia" w:ascii="宋体" w:hAnsi="宋体" w:cs="宋体"/>
          <w:b/>
          <w:bCs/>
          <w:color w:val="000000" w:themeColor="text1"/>
          <w:sz w:val="24"/>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 w:val="24"/>
          <w:highlight w:val="none"/>
          <w:u w:val="single"/>
          <w14:textFill>
            <w14:solidFill>
              <w14:schemeClr w14:val="tx1"/>
            </w14:solidFill>
          </w14:textFill>
        </w:rPr>
        <w:t>时</w:t>
      </w:r>
      <w:r>
        <w:rPr>
          <w:rFonts w:hint="eastAsia" w:ascii="宋体" w:hAnsi="宋体" w:cs="宋体"/>
          <w:b/>
          <w:bCs/>
          <w:color w:val="000000" w:themeColor="text1"/>
          <w:sz w:val="24"/>
          <w:highlight w:val="none"/>
          <w:u w:val="single"/>
          <w:lang w:val="en-US" w:eastAsia="zh-CN"/>
          <w14:textFill>
            <w14:solidFill>
              <w14:schemeClr w14:val="tx1"/>
            </w14:solidFill>
          </w14:textFill>
        </w:rPr>
        <w:t>30</w:t>
      </w:r>
      <w:r>
        <w:rPr>
          <w:rFonts w:hint="eastAsia" w:ascii="宋体" w:hAnsi="宋体" w:eastAsia="宋体" w:cs="宋体"/>
          <w:b/>
          <w:bCs/>
          <w:color w:val="000000" w:themeColor="text1"/>
          <w:sz w:val="24"/>
          <w:highlight w:val="none"/>
          <w:u w:val="single"/>
          <w14:textFill>
            <w14:solidFill>
              <w14:schemeClr w14:val="tx1"/>
            </w14:solidFill>
          </w14:textFill>
        </w:rPr>
        <w:t>分</w:t>
      </w:r>
      <w:r>
        <w:rPr>
          <w:rFonts w:hint="eastAsia" w:ascii="宋体" w:hAnsi="宋体" w:eastAsia="宋体" w:cs="宋体"/>
          <w:b/>
          <w:bCs/>
          <w:color w:val="000000" w:themeColor="text1"/>
          <w:sz w:val="24"/>
          <w:highlight w:val="none"/>
          <w14:textFill>
            <w14:solidFill>
              <w14:schemeClr w14:val="tx1"/>
            </w14:solidFill>
          </w14:textFill>
        </w:rPr>
        <w:t>（北京时间）</w:t>
      </w:r>
      <w:r>
        <w:rPr>
          <w:rFonts w:hint="eastAsia" w:ascii="宋体" w:hAnsi="宋体" w:eastAsia="宋体" w:cs="宋体"/>
          <w:color w:val="000000" w:themeColor="text1"/>
          <w:sz w:val="24"/>
          <w:highlight w:val="none"/>
          <w14:textFill>
            <w14:solidFill>
              <w14:schemeClr w14:val="tx1"/>
            </w14:solidFill>
          </w14:textFill>
        </w:rPr>
        <w:t>前递交投标文件。</w:t>
      </w:r>
    </w:p>
    <w:p w14:paraId="4A8B23BD">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一、项目基本情况</w:t>
      </w:r>
    </w:p>
    <w:p w14:paraId="08E162B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1.项目编号：JSZC-320692-JGGC-G2025-0007</w:t>
      </w:r>
    </w:p>
    <w:p w14:paraId="4368D4C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2.项目名称：</w:t>
      </w:r>
      <w:r>
        <w:rPr>
          <w:rFonts w:hint="eastAsia" w:ascii="宋体" w:hAnsi="宋体" w:eastAsia="宋体" w:cs="宋体"/>
          <w:bCs/>
          <w:color w:val="000000" w:themeColor="text1"/>
          <w:sz w:val="24"/>
          <w:highlight w:val="none"/>
          <w14:textFill>
            <w14:solidFill>
              <w14:schemeClr w14:val="tx1"/>
            </w14:solidFill>
          </w14:textFill>
        </w:rPr>
        <w:t>通州湾示范区三余镇人民政府“农村环境五位一体”长效管理项目</w:t>
      </w:r>
    </w:p>
    <w:p w14:paraId="7D44363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3.预算金额：112</w:t>
      </w:r>
      <w:r>
        <w:rPr>
          <w:rFonts w:hint="eastAsia" w:ascii="宋体" w:hAnsi="宋体" w:eastAsia="宋体" w:cs="宋体"/>
          <w:color w:val="000000" w:themeColor="text1"/>
          <w:sz w:val="24"/>
          <w:highlight w:val="none"/>
          <w:lang w:val="en-US" w:eastAsia="zh-CN"/>
          <w14:textFill>
            <w14:solidFill>
              <w14:schemeClr w14:val="tx1"/>
            </w14:solidFill>
          </w14:textFill>
        </w:rPr>
        <w:t>0</w:t>
      </w:r>
      <w:r>
        <w:rPr>
          <w:rFonts w:hint="eastAsia" w:ascii="宋体" w:hAnsi="宋体" w:eastAsia="宋体" w:cs="宋体"/>
          <w:color w:val="000000" w:themeColor="text1"/>
          <w:sz w:val="24"/>
          <w:highlight w:val="none"/>
          <w14:textFill>
            <w14:solidFill>
              <w14:schemeClr w14:val="tx1"/>
            </w14:solidFill>
          </w14:textFill>
        </w:rPr>
        <w:t>万元/年。</w:t>
      </w:r>
    </w:p>
    <w:p w14:paraId="3CA807BF">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4.最高限价：</w:t>
      </w:r>
      <w:r>
        <w:rPr>
          <w:rFonts w:hint="eastAsia" w:ascii="宋体" w:hAnsi="宋体" w:eastAsia="宋体" w:cs="宋体"/>
          <w:color w:val="000000" w:themeColor="text1"/>
          <w:sz w:val="24"/>
          <w:highlight w:val="none"/>
          <w14:textFill>
            <w14:solidFill>
              <w14:schemeClr w14:val="tx1"/>
            </w14:solidFill>
          </w14:textFill>
        </w:rPr>
        <w:t>本项目分为两个标段采购。其中：一标段控制价为</w:t>
      </w:r>
      <w:r>
        <w:rPr>
          <w:rFonts w:hint="eastAsia" w:ascii="宋体" w:hAnsi="宋体" w:eastAsia="宋体" w:cs="宋体"/>
          <w:color w:val="000000" w:themeColor="text1"/>
          <w:sz w:val="24"/>
          <w:highlight w:val="none"/>
          <w:lang w:val="en-US" w:eastAsia="zh-CN"/>
          <w14:textFill>
            <w14:solidFill>
              <w14:schemeClr w14:val="tx1"/>
            </w14:solidFill>
          </w14:textFill>
        </w:rPr>
        <w:t>540.7</w:t>
      </w:r>
      <w:r>
        <w:rPr>
          <w:rFonts w:hint="eastAsia" w:ascii="宋体" w:hAnsi="宋体" w:eastAsia="宋体" w:cs="宋体"/>
          <w:color w:val="000000" w:themeColor="text1"/>
          <w:sz w:val="24"/>
          <w:highlight w:val="none"/>
          <w14:textFill>
            <w14:solidFill>
              <w14:schemeClr w14:val="tx1"/>
            </w14:solidFill>
          </w14:textFill>
        </w:rPr>
        <w:t>万元/年、二标段控制价为</w:t>
      </w:r>
      <w:r>
        <w:rPr>
          <w:rFonts w:hint="eastAsia" w:ascii="宋体" w:hAnsi="宋体" w:eastAsia="宋体" w:cs="宋体"/>
          <w:color w:val="000000" w:themeColor="text1"/>
          <w:sz w:val="24"/>
          <w:highlight w:val="none"/>
          <w:lang w:val="en-US" w:eastAsia="zh-CN"/>
          <w14:textFill>
            <w14:solidFill>
              <w14:schemeClr w14:val="tx1"/>
            </w14:solidFill>
          </w14:textFill>
        </w:rPr>
        <w:t>579.2</w:t>
      </w:r>
      <w:r>
        <w:rPr>
          <w:rFonts w:hint="eastAsia" w:ascii="宋体" w:hAnsi="宋体" w:eastAsia="宋体" w:cs="宋体"/>
          <w:color w:val="000000" w:themeColor="text1"/>
          <w:sz w:val="24"/>
          <w:highlight w:val="none"/>
          <w14:textFill>
            <w14:solidFill>
              <w14:schemeClr w14:val="tx1"/>
            </w14:solidFill>
          </w14:textFill>
        </w:rPr>
        <w:t>万元/年。</w:t>
      </w:r>
      <w:r>
        <w:rPr>
          <w:rFonts w:hint="eastAsia" w:ascii="宋体" w:hAnsi="宋体" w:eastAsia="宋体" w:cs="宋体"/>
          <w:b/>
          <w:bCs/>
          <w:color w:val="000000" w:themeColor="text1"/>
          <w:sz w:val="24"/>
          <w:highlight w:val="none"/>
          <w14:textFill>
            <w14:solidFill>
              <w14:schemeClr w14:val="tx1"/>
            </w14:solidFill>
          </w14:textFill>
        </w:rPr>
        <w:t>本项目价格评审按一年投标报价为准，报价超过最高限价的为无效投标。</w:t>
      </w:r>
    </w:p>
    <w:p w14:paraId="05BF366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5.采购需求：详见招标文件第三部分项目需求，请仔细研究。</w:t>
      </w:r>
    </w:p>
    <w:p w14:paraId="7FDC35F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6.合同履行期限：双方二年一签，实际合同服务期为合同签订之日起两年。合同到期后如中标人通过采购人考核最多可再续签一</w:t>
      </w:r>
      <w:r>
        <w:rPr>
          <w:rFonts w:hint="eastAsia" w:ascii="宋体" w:hAnsi="宋体" w:eastAsia="宋体" w:cs="宋体"/>
          <w:color w:val="000000" w:themeColor="text1"/>
          <w:sz w:val="24"/>
          <w:highlight w:val="none"/>
          <w:lang w:val="en-US" w:eastAsia="zh-CN"/>
          <w14:textFill>
            <w14:solidFill>
              <w14:schemeClr w14:val="tx1"/>
            </w14:solidFill>
          </w14:textFill>
        </w:rPr>
        <w:t>年</w:t>
      </w:r>
      <w:r>
        <w:rPr>
          <w:rFonts w:hint="eastAsia" w:ascii="宋体" w:hAnsi="宋体" w:eastAsia="宋体" w:cs="宋体"/>
          <w:color w:val="000000" w:themeColor="text1"/>
          <w:sz w:val="24"/>
          <w:highlight w:val="none"/>
          <w14:textFill>
            <w14:solidFill>
              <w14:schemeClr w14:val="tx1"/>
            </w14:solidFill>
          </w14:textFill>
        </w:rPr>
        <w:t>。</w:t>
      </w:r>
    </w:p>
    <w:p w14:paraId="252A3711">
      <w:pPr>
        <w:pageBreakBefore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区域范围：</w:t>
      </w:r>
    </w:p>
    <w:p w14:paraId="40DAB27B">
      <w:pPr>
        <w:pageBreakBefore w:val="0"/>
        <w:kinsoku/>
        <w:wordWrap/>
        <w:overflowPunct/>
        <w:topLinePunct w:val="0"/>
        <w:autoSpaceDE/>
        <w:autoSpaceDN/>
        <w:bidi w:val="0"/>
        <w:adjustRightInd w:val="0"/>
        <w:snapToGrid/>
        <w:spacing w:line="360" w:lineRule="auto"/>
        <w:ind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一标段：</w:t>
      </w:r>
      <w:r>
        <w:rPr>
          <w:rFonts w:hint="eastAsia" w:ascii="宋体" w:hAnsi="宋体" w:eastAsia="宋体" w:cs="宋体"/>
          <w:color w:val="000000" w:themeColor="text1"/>
          <w:sz w:val="24"/>
          <w:highlight w:val="none"/>
          <w14:textFill>
            <w14:solidFill>
              <w14:schemeClr w14:val="tx1"/>
            </w14:solidFill>
          </w14:textFill>
        </w:rPr>
        <w:t>新闸竖河以东（含竖河）——闸东村、中闸村、海防村、海丰村、建新村、东余村（有集镇）、永平村、东晋村、海晏村（有集镇）、东海村、闸北村、东凌社区（有集镇）、东港村、新闸村（有集镇）；</w:t>
      </w:r>
    </w:p>
    <w:p w14:paraId="7B85A92B">
      <w:pPr>
        <w:pageBreakBefore w:val="0"/>
        <w:kinsoku/>
        <w:wordWrap/>
        <w:overflowPunct/>
        <w:topLinePunct w:val="0"/>
        <w:autoSpaceDE/>
        <w:autoSpaceDN/>
        <w:bidi w:val="0"/>
        <w:adjustRightInd w:val="0"/>
        <w:snapToGrid/>
        <w:spacing w:line="360" w:lineRule="auto"/>
        <w:ind w:firstLine="482"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二标段：</w:t>
      </w:r>
      <w:r>
        <w:rPr>
          <w:rFonts w:hint="eastAsia" w:ascii="宋体" w:hAnsi="宋体" w:eastAsia="宋体" w:cs="宋体"/>
          <w:color w:val="000000" w:themeColor="text1"/>
          <w:sz w:val="24"/>
          <w:highlight w:val="none"/>
          <w14:textFill>
            <w14:solidFill>
              <w14:schemeClr w14:val="tx1"/>
            </w14:solidFill>
          </w14:textFill>
        </w:rPr>
        <w:t>1、新闸竖河以西：安平村、新华村（有集镇）、光明村、合兴村、广运村、大乐村、新民村、德兴村、同盟村、育新村、恒兴村、红专村、贡安村、一社村、胜利村。2、三余镇区——北至老平海路，南至三海路，东至环镇东路，西至省222范围内（包含这四条路的两侧），为三余镇区范围。该范围内任务划分为：a、镇区范围内，属于门前三包的，由执法局安排城管人员进行督促管理和执法处理；b、镇区范围内（包括乐海家园整个西侧和北侧）的生活垃圾捡拾及清运、杂草割除、树枝修剪、道路清扫、洒水、公厕保洁等均由镇环卫所负责；c、镇区范围内有主建筑垃圾，谁产生谁负责，由执法局安排城管人员督促管理和执法处理；无主建筑垃圾由二标段的中标方清运处理；d、镇区范围内所有河道的保洁整治由二标段中标方负责，保洁整治标准，等同标书中等级河道之管理要求。</w:t>
      </w:r>
    </w:p>
    <w:p w14:paraId="22FFFE30">
      <w:pPr>
        <w:pStyle w:val="2"/>
        <w:pageBreakBefore w:val="0"/>
        <w:kinsoku/>
        <w:wordWrap/>
        <w:overflowPunct/>
        <w:topLinePunct w:val="0"/>
        <w:autoSpaceDE/>
        <w:autoSpaceDN/>
        <w:bidi w:val="0"/>
        <w:snapToGrid/>
        <w:spacing w:after="0"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该标书中，中标方清运承包范围内的农村环境五位一体中的其中一位——垃圾管理，仅指生活垃圾，其余秸秆等农业废弃物、生产垃圾、建筑垃圾、工业垃圾等所有非生活垃圾由各村属地管理，但三余镇区范围内的无主建筑垃圾由二标段的中标方清运。（按环保要求，禁止将其它垃圾放入生活垃圾混送电厂）。</w:t>
      </w:r>
    </w:p>
    <w:p w14:paraId="354DCDE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7.本项目（是/否）接受联合体投标：否。</w:t>
      </w:r>
    </w:p>
    <w:p w14:paraId="57110F85">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二、申请人的资格要求：</w:t>
      </w:r>
    </w:p>
    <w:p w14:paraId="321F81B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1.满足《中华人民共和国政府采购法》第二十二条规定；提供投标人符合《政府采购法》第二十二条规定条件的声明函。</w:t>
      </w:r>
    </w:p>
    <w:p w14:paraId="0F33F7D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2.落实政府采购政策需满足的资格要求：</w:t>
      </w:r>
      <w:r>
        <w:rPr>
          <w:rFonts w:hint="eastAsia" w:ascii="宋体" w:hAnsi="宋体" w:eastAsia="宋体" w:cs="宋体"/>
          <w:b/>
          <w:bCs/>
          <w:color w:val="000000" w:themeColor="text1"/>
          <w:sz w:val="24"/>
          <w:highlight w:val="none"/>
          <w14:textFill>
            <w14:solidFill>
              <w14:schemeClr w14:val="tx1"/>
            </w14:solidFill>
          </w14:textFill>
        </w:rPr>
        <w:t>本项目专门面向中小企业采购（供应商应为中小微企业或残疾人福利性单位）</w:t>
      </w:r>
      <w:r>
        <w:rPr>
          <w:rFonts w:hint="eastAsia" w:ascii="宋体" w:hAnsi="宋体" w:eastAsia="宋体" w:cs="宋体"/>
          <w:color w:val="000000" w:themeColor="text1"/>
          <w:sz w:val="24"/>
          <w:highlight w:val="none"/>
          <w14:textFill>
            <w14:solidFill>
              <w14:schemeClr w14:val="tx1"/>
            </w14:solidFill>
          </w14:textFill>
        </w:rPr>
        <w:t>。</w:t>
      </w:r>
    </w:p>
    <w:p w14:paraId="0473899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3.本项目的特定资格要求：</w:t>
      </w:r>
    </w:p>
    <w:p w14:paraId="46A7B47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3.1投标人具有有效的法人或者其他组织的营业执照等证明文件；提供相关证明材料并加盖投标单位公章。</w:t>
      </w:r>
    </w:p>
    <w:p w14:paraId="7FE2170A">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w:t>
      </w:r>
    </w:p>
    <w:p w14:paraId="77B94B2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w:t>
      </w:r>
      <w:r>
        <w:rPr>
          <w:rFonts w:hint="eastAsia" w:ascii="宋体" w:hAnsi="宋体" w:eastAsia="宋体" w:cs="宋体"/>
          <w:bCs/>
          <w:color w:val="000000" w:themeColor="text1"/>
          <w:sz w:val="24"/>
          <w:highlight w:val="none"/>
          <w14:textFill>
            <w14:solidFill>
              <w14:schemeClr w14:val="tx1"/>
            </w14:solidFill>
          </w14:textFill>
        </w:rPr>
        <w:t>投标单位须具备办理《城市生活垃圾经营性清扫、收集、运输服务许可证》的能力并承诺一旦中标在合同签订之前向采购人递交该许可证（承诺书格式自拟），许可内容包含清扫、收集、运输。</w:t>
      </w:r>
    </w:p>
    <w:p w14:paraId="087E172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3.4供应商信用承诺书。</w:t>
      </w:r>
    </w:p>
    <w:p w14:paraId="5DC9C93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3.5提供投标函。</w:t>
      </w:r>
    </w:p>
    <w:p w14:paraId="3D50B5B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3.6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由代理机构现场查询并截图保存留档</w:t>
      </w:r>
      <w:r>
        <w:rPr>
          <w:rFonts w:hint="eastAsia" w:ascii="宋体" w:hAnsi="宋体" w:eastAsia="宋体" w:cs="宋体"/>
          <w:color w:val="000000" w:themeColor="text1"/>
          <w:sz w:val="24"/>
          <w:highlight w:val="none"/>
          <w14:textFill>
            <w14:solidFill>
              <w14:schemeClr w14:val="tx1"/>
            </w14:solidFill>
          </w14:textFill>
        </w:rPr>
        <w:t>）。</w:t>
      </w:r>
    </w:p>
    <w:p w14:paraId="6EE98411">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3.7中小企业声明函</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08C2AF2B">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【特别提醒】</w:t>
      </w:r>
      <w:r>
        <w:rPr>
          <w:rFonts w:hint="eastAsia" w:ascii="宋体" w:hAnsi="宋体" w:eastAsia="宋体" w:cs="宋体"/>
          <w:color w:val="000000" w:themeColor="text1"/>
          <w:sz w:val="24"/>
          <w:highlight w:val="none"/>
          <w14:textFill>
            <w14:solidFill>
              <w14:schemeClr w14:val="tx1"/>
            </w14:solidFill>
          </w14:textFill>
        </w:rPr>
        <w:t>单位负责人为同一人或者存在直接控股、管理关系的不同供应商，不得参加同一合同项下的政府采购活动。</w:t>
      </w:r>
    </w:p>
    <w:p w14:paraId="1743C7EE">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三、获取招标文件</w:t>
      </w:r>
    </w:p>
    <w:p w14:paraId="13C2EA9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1.时间：自招标文件公告发布之日起5个工作日。</w:t>
      </w:r>
    </w:p>
    <w:p w14:paraId="2A613E5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2.地点：苏采云系统内。</w:t>
      </w:r>
    </w:p>
    <w:p w14:paraId="345715E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3.方式：自行下载。</w:t>
      </w:r>
    </w:p>
    <w:p w14:paraId="643CE1E1">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4.售价：0.00元。</w:t>
      </w:r>
    </w:p>
    <w:p w14:paraId="1CC996A0">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四、提交投标文件截止时间、开标时间和地点</w:t>
      </w:r>
    </w:p>
    <w:p w14:paraId="5CAF3C0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提交投标文件截止时间及开标时间：</w:t>
      </w:r>
      <w:r>
        <w:rPr>
          <w:rFonts w:hint="eastAsia" w:ascii="宋体" w:hAnsi="宋体" w:eastAsia="宋体" w:cs="宋体"/>
          <w:color w:val="000000" w:themeColor="text1"/>
          <w:sz w:val="24"/>
          <w:highlight w:val="none"/>
          <w:u w:val="single"/>
          <w14:textFill>
            <w14:solidFill>
              <w14:schemeClr w14:val="tx1"/>
            </w14:solidFill>
          </w14:textFill>
        </w:rPr>
        <w:t>2025年</w:t>
      </w:r>
      <w:r>
        <w:rPr>
          <w:rFonts w:hint="eastAsia" w:ascii="宋体" w:hAnsi="宋体" w:cs="宋体"/>
          <w:color w:val="000000" w:themeColor="text1"/>
          <w:sz w:val="24"/>
          <w:highlight w:val="none"/>
          <w:u w:val="single"/>
          <w:lang w:val="en-US" w:eastAsia="zh-CN"/>
          <w14:textFill>
            <w14:solidFill>
              <w14:schemeClr w14:val="tx1"/>
            </w14:solidFill>
          </w14:textFill>
        </w:rPr>
        <w:t>5</w:t>
      </w:r>
      <w:r>
        <w:rPr>
          <w:rFonts w:hint="eastAsia" w:ascii="宋体" w:hAnsi="宋体" w:eastAsia="宋体" w:cs="宋体"/>
          <w:color w:val="000000" w:themeColor="text1"/>
          <w:sz w:val="24"/>
          <w:highlight w:val="none"/>
          <w:u w:val="singl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13</w:t>
      </w:r>
      <w:r>
        <w:rPr>
          <w:rFonts w:hint="eastAsia" w:ascii="宋体" w:hAnsi="宋体" w:eastAsia="宋体" w:cs="宋体"/>
          <w:color w:val="000000" w:themeColor="text1"/>
          <w:sz w:val="24"/>
          <w:highlight w:val="none"/>
          <w:u w:val="single"/>
          <w14:textFill>
            <w14:solidFill>
              <w14:schemeClr w14:val="tx1"/>
            </w14:solidFill>
          </w14:textFill>
        </w:rPr>
        <w:t>日</w:t>
      </w:r>
      <w:r>
        <w:rPr>
          <w:rFonts w:hint="eastAsia" w:ascii="宋体" w:hAnsi="宋体" w:cs="宋体"/>
          <w:color w:val="000000" w:themeColor="text1"/>
          <w:sz w:val="24"/>
          <w:highlight w:val="none"/>
          <w:u w:val="single"/>
          <w:lang w:val="en-US" w:eastAsia="zh-CN"/>
          <w14:textFill>
            <w14:solidFill>
              <w14:schemeClr w14:val="tx1"/>
            </w14:solidFill>
          </w14:textFill>
        </w:rPr>
        <w:t>09</w:t>
      </w:r>
      <w:r>
        <w:rPr>
          <w:rFonts w:hint="eastAsia" w:ascii="宋体" w:hAnsi="宋体" w:eastAsia="宋体" w:cs="宋体"/>
          <w:color w:val="000000" w:themeColor="text1"/>
          <w:sz w:val="24"/>
          <w:highlight w:val="none"/>
          <w:u w:val="single"/>
          <w14:textFill>
            <w14:solidFill>
              <w14:schemeClr w14:val="tx1"/>
            </w14:solidFill>
          </w14:textFill>
        </w:rPr>
        <w:t>点</w:t>
      </w:r>
      <w:r>
        <w:rPr>
          <w:rFonts w:hint="eastAsia" w:ascii="宋体" w:hAnsi="宋体" w:cs="宋体"/>
          <w:color w:val="000000" w:themeColor="text1"/>
          <w:sz w:val="24"/>
          <w:highlight w:val="none"/>
          <w:u w:val="single"/>
          <w:lang w:val="en-US" w:eastAsia="zh-CN"/>
          <w14:textFill>
            <w14:solidFill>
              <w14:schemeClr w14:val="tx1"/>
            </w14:solidFill>
          </w14:textFill>
        </w:rPr>
        <w:t>30</w:t>
      </w:r>
      <w:r>
        <w:rPr>
          <w:rFonts w:hint="eastAsia" w:ascii="宋体" w:hAnsi="宋体" w:eastAsia="宋体" w:cs="宋体"/>
          <w:color w:val="000000" w:themeColor="text1"/>
          <w:sz w:val="24"/>
          <w:highlight w:val="none"/>
          <w:u w:val="single"/>
          <w14:textFill>
            <w14:solidFill>
              <w14:schemeClr w14:val="tx1"/>
            </w14:solidFill>
          </w14:textFill>
        </w:rPr>
        <w:t>分</w:t>
      </w:r>
      <w:r>
        <w:rPr>
          <w:rFonts w:hint="eastAsia" w:ascii="宋体" w:hAnsi="宋体" w:eastAsia="宋体" w:cs="宋体"/>
          <w:color w:val="000000" w:themeColor="text1"/>
          <w:sz w:val="24"/>
          <w:highlight w:val="none"/>
          <w14:textFill>
            <w14:solidFill>
              <w14:schemeClr w14:val="tx1"/>
            </w14:solidFill>
          </w14:textFill>
        </w:rPr>
        <w:t>（北京时间）；逾时，“苏采云”系统将拒绝接受上传投标文件电子文档。</w:t>
      </w:r>
    </w:p>
    <w:p w14:paraId="2E7A67E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提交投标文件地点：“苏采云”系统（网址：http://jszfcg.jsczt.cn/）。</w:t>
      </w:r>
    </w:p>
    <w:p w14:paraId="674AB7F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线上开标地点：“苏采云”系统（网址：http://jszfcg.jsczt.cn/）“开标大厅”。</w:t>
      </w:r>
    </w:p>
    <w:p w14:paraId="45E40A41">
      <w:pPr>
        <w:pageBreakBefore w:val="0"/>
        <w:kinsoku/>
        <w:wordWrap/>
        <w:overflowPunct/>
        <w:topLinePunct w:val="0"/>
        <w:autoSpaceDE/>
        <w:autoSpaceDN/>
        <w:bidi w:val="0"/>
        <w:snapToGrid/>
        <w:spacing w:line="360" w:lineRule="auto"/>
        <w:ind w:firstLine="482"/>
        <w:jc w:val="left"/>
        <w:textAlignment w:val="auto"/>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项目经理答辩地点：通州湾示范区三余镇便民服务中心103会议室（中国建设银行（三余分理处）北对面）</w:t>
      </w:r>
    </w:p>
    <w:p w14:paraId="6B1B7018">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五、公告期限</w:t>
      </w:r>
    </w:p>
    <w:p w14:paraId="7742E36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自本公告发布之日起5个工作日。</w:t>
      </w:r>
    </w:p>
    <w:p w14:paraId="7220E517">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六、其他补充事宜</w:t>
      </w:r>
    </w:p>
    <w:p w14:paraId="7E18A63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1.投标保证金：免收。</w:t>
      </w:r>
    </w:p>
    <w:p w14:paraId="0A3EDAD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2.项目开标活动模式：不见面远程开标模式，投标人在各自地点通过不见面交易系统参加开标会。</w:t>
      </w:r>
    </w:p>
    <w:p w14:paraId="44C4DE12">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3.项目类型：服务。</w:t>
      </w:r>
    </w:p>
    <w:p w14:paraId="1A880E46">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4.本项目所属行业：环卫服务。</w:t>
      </w:r>
    </w:p>
    <w:p w14:paraId="7DCF1BC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本项目（是/否）接受联合体投标：否</w:t>
      </w:r>
    </w:p>
    <w:p w14:paraId="041B121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本项目（是/否）接受分包：否</w:t>
      </w:r>
    </w:p>
    <w:p w14:paraId="372DB79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.项目演示、样品、答辩等（如有请描述）：</w:t>
      </w:r>
      <w:r>
        <w:rPr>
          <w:rFonts w:hint="eastAsia" w:ascii="宋体" w:hAnsi="宋体" w:eastAsia="宋体" w:cs="宋体"/>
          <w:b/>
          <w:bCs/>
          <w:color w:val="000000" w:themeColor="text1"/>
          <w:sz w:val="24"/>
          <w:highlight w:val="none"/>
          <w:lang w:val="en-US" w:eastAsia="zh-CN"/>
          <w14:textFill>
            <w14:solidFill>
              <w14:schemeClr w14:val="tx1"/>
            </w14:solidFill>
          </w14:textFill>
        </w:rPr>
        <w:t>项目负责人须到场述标</w:t>
      </w:r>
      <w:r>
        <w:rPr>
          <w:rFonts w:hint="eastAsia" w:ascii="宋体" w:hAnsi="宋体" w:eastAsia="宋体" w:cs="宋体"/>
          <w:color w:val="000000" w:themeColor="text1"/>
          <w:sz w:val="24"/>
          <w:highlight w:val="none"/>
          <w14:textFill>
            <w14:solidFill>
              <w14:schemeClr w14:val="tx1"/>
            </w14:solidFill>
          </w14:textFill>
        </w:rPr>
        <w:t>。</w:t>
      </w:r>
    </w:p>
    <w:p w14:paraId="269AAC0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p>
    <w:p w14:paraId="61DF07F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14:textFill>
            <w14:solidFill>
              <w14:schemeClr w14:val="tx1"/>
            </w14:solidFill>
          </w14:textFill>
        </w:rPr>
        <w:t>.有关本次招标的事项若存在变动或修改，均以江苏政府采购网发布的更正或补充通知为准，敬请及时关注。</w:t>
      </w:r>
    </w:p>
    <w:p w14:paraId="19528930">
      <w:pPr>
        <w:pageBreakBefore w:val="0"/>
        <w:shd w:val="clear" w:color="auto" w:fill="FFFFFF"/>
        <w:kinsoku/>
        <w:wordWrap/>
        <w:overflowPunct/>
        <w:topLinePunct w:val="0"/>
        <w:autoSpaceDE/>
        <w:autoSpaceDN/>
        <w:bidi w:val="0"/>
        <w:snapToGrid/>
        <w:spacing w:line="360" w:lineRule="auto"/>
        <w:ind w:firstLine="468"/>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0BA0DBE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11</w:t>
      </w:r>
      <w:r>
        <w:rPr>
          <w:rFonts w:hint="eastAsia" w:ascii="宋体" w:hAnsi="宋体" w:eastAsia="宋体" w:cs="宋体"/>
          <w:color w:val="000000" w:themeColor="text1"/>
          <w:sz w:val="24"/>
          <w:highlight w:val="none"/>
          <w14:textFill>
            <w14:solidFill>
              <w14:schemeClr w14:val="tx1"/>
            </w14:solidFill>
          </w14:textFill>
        </w:rPr>
        <w:t>.潜在供应商访问电子招标响应交易平台的网络地址和方法：</w:t>
      </w:r>
    </w:p>
    <w:p w14:paraId="5B8F417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A2BF99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.潜在供应商访问“苏采云”系统的网络地址和方法：“苏采云”系统的网址：http://jszfcg.jsczt.cn/。</w:t>
      </w:r>
    </w:p>
    <w:p w14:paraId="2105E15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.“CA数字证书”的获取：</w:t>
      </w:r>
    </w:p>
    <w:p w14:paraId="0FB5B6D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响应供应商需办理“CA数字证书”，CA办理指南及“苏采云”操作手册可至江苏政府采购网―办事指南-资料下载中心下载。</w:t>
      </w:r>
    </w:p>
    <w:p w14:paraId="0C17B3B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通过苏采云系统首页（http://jszfcg.jscz.gov.cn/）的“苏采云控件驱动下载”，选择“政务CA、方正签章控件驱动安装包及安装说明”下载安装，具体安装方法详见下载文件内的《安装说明》。</w:t>
      </w:r>
    </w:p>
    <w:p w14:paraId="0CA84EC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8066AC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.采购文件（后缀名为“.kedt”）、供应商操作手册及政府采购客户端工具可通过“苏采云”系统--已报名项目--报名详情页面内相应链接进行下载。</w:t>
      </w:r>
    </w:p>
    <w:p w14:paraId="3890C9C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 xml:space="preserve">.采购人或采购代理机构将数据电文形式的采购文件加载至“苏采云”系统，供潜在供应商下载或者查阅。 </w:t>
      </w:r>
    </w:p>
    <w:p w14:paraId="04936E6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.请潜在供应商提前安装相应的控件（详见《江苏省政府采购管理交易系统（苏采云）供应商操作手册》）并登录“苏采云”系统参与不见面开评标。</w:t>
      </w:r>
    </w:p>
    <w:p w14:paraId="32BE4DD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586781D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.投标文件的解密：开标当天投标人应及时登录“苏采云”不见面开标大厅，并在规定时间内自行实施远程解密。</w:t>
      </w:r>
      <w:r>
        <w:rPr>
          <w:rFonts w:hint="eastAsia" w:ascii="宋体" w:hAnsi="宋体" w:eastAsia="宋体" w:cs="宋体"/>
          <w:b/>
          <w:color w:val="000000" w:themeColor="text1"/>
          <w:sz w:val="24"/>
          <w:highlight w:val="none"/>
          <w14:textFill>
            <w14:solidFill>
              <w14:schemeClr w14:val="tx1"/>
            </w14:solidFill>
          </w14:textFill>
        </w:rPr>
        <w:t>投标人解密时间限定为投标文件解密指令发出后30分钟（投标人应当充分考虑网络延时造成的本地网络计时不一致风险，提前完成解密动作）。</w:t>
      </w:r>
      <w:r>
        <w:rPr>
          <w:rFonts w:hint="eastAsia" w:ascii="宋体" w:hAnsi="宋体" w:eastAsia="宋体" w:cs="宋体"/>
          <w:b/>
          <w:bCs/>
          <w:color w:val="000000" w:themeColor="text1"/>
          <w:sz w:val="24"/>
          <w:highlight w:val="none"/>
          <w14:textFill>
            <w14:solidFill>
              <w14:schemeClr w14:val="tx1"/>
            </w14:solidFill>
          </w14:textFill>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eastAsia="宋体" w:cs="宋体"/>
          <w:color w:val="000000" w:themeColor="text1"/>
          <w:sz w:val="24"/>
          <w:highlight w:val="none"/>
          <w14:textFill>
            <w14:solidFill>
              <w14:schemeClr w14:val="tx1"/>
            </w14:solidFill>
          </w14:textFill>
        </w:rPr>
        <w:t>因采购人（或采购代理机构）原因或网上招投标平台发生故障，导致无法按时完成投标文件解密或开、评标工作无法进行的，可根据实际情况相应延迟解密时间或调整开、评标时间。</w:t>
      </w:r>
    </w:p>
    <w:p w14:paraId="55E152D4">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注：如潜在供应商未按上述要求操作，将自行承担所产生的风险。</w:t>
      </w:r>
    </w:p>
    <w:p w14:paraId="5053FB0A">
      <w:pPr>
        <w:pageBreakBefore w:val="0"/>
        <w:widowControl/>
        <w:shd w:val="clear" w:color="auto" w:fill="FFFFFF"/>
        <w:kinsoku/>
        <w:wordWrap/>
        <w:overflowPunct/>
        <w:topLinePunct w:val="0"/>
        <w:autoSpaceDE/>
        <w:autoSpaceDN/>
        <w:bidi w:val="0"/>
        <w:snapToGrid/>
        <w:spacing w:line="360" w:lineRule="auto"/>
        <w:ind w:firstLine="470"/>
        <w:jc w:val="left"/>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七、对本次招标提出询问，请按以下方式联系。</w:t>
      </w:r>
    </w:p>
    <w:p w14:paraId="048360F8">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1.采购人信息</w:t>
      </w:r>
    </w:p>
    <w:p w14:paraId="28AE77CB">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名称：南通市通州区三余镇人民政府</w:t>
      </w:r>
    </w:p>
    <w:p w14:paraId="09AFE84D">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kern w:val="2"/>
          <w:sz w:val="24"/>
          <w:highlight w:val="none"/>
          <w14:textFill>
            <w14:solidFill>
              <w14:schemeClr w14:val="tx1"/>
            </w14:solidFill>
          </w14:textFill>
        </w:rPr>
        <w:t>南通市通州湾示范区三余镇</w:t>
      </w:r>
      <w:r>
        <w:rPr>
          <w:rFonts w:hint="eastAsia" w:ascii="宋体" w:hAnsi="宋体" w:eastAsia="宋体" w:cs="宋体"/>
          <w:color w:val="000000" w:themeColor="text1"/>
          <w:kern w:val="2"/>
          <w:sz w:val="24"/>
          <w:highlight w:val="none"/>
          <w:lang w:val="en-US" w:eastAsia="zh-CN"/>
          <w14:textFill>
            <w14:solidFill>
              <w14:schemeClr w14:val="tx1"/>
            </w14:solidFill>
          </w14:textFill>
        </w:rPr>
        <w:t>人民政府</w:t>
      </w:r>
    </w:p>
    <w:p w14:paraId="3B56CD86">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联系人：施先生</w:t>
      </w:r>
    </w:p>
    <w:p w14:paraId="693BA98B">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联系方式：13814733263  </w:t>
      </w:r>
    </w:p>
    <w:p w14:paraId="6C73EC49">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2.采购代理机构信息</w:t>
      </w:r>
    </w:p>
    <w:p w14:paraId="428C4EF1">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名称：江苏久格工程项目管理有限公司</w:t>
      </w:r>
    </w:p>
    <w:p w14:paraId="5E0538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lang w:val="zh-CN" w:bidi="zh-CN"/>
          <w14:textFill>
            <w14:solidFill>
              <w14:schemeClr w14:val="tx1"/>
            </w14:solidFill>
          </w14:textFill>
        </w:rPr>
        <w:t>江苏省南通市崇川区人民中路 255号</w:t>
      </w:r>
      <w:r>
        <w:rPr>
          <w:rFonts w:hint="eastAsia" w:ascii="宋体" w:hAnsi="宋体" w:cs="宋体"/>
          <w:color w:val="000000" w:themeColor="text1"/>
          <w:sz w:val="24"/>
          <w:szCs w:val="24"/>
          <w:highlight w:val="none"/>
          <w:lang w:val="zh-CN" w:bidi="zh-CN"/>
          <w14:textFill>
            <w14:solidFill>
              <w14:schemeClr w14:val="tx1"/>
            </w14:solidFill>
          </w14:textFill>
        </w:rPr>
        <w:t>（</w:t>
      </w:r>
      <w:r>
        <w:rPr>
          <w:rFonts w:hint="eastAsia" w:ascii="宋体" w:hAnsi="宋体" w:eastAsia="宋体" w:cs="宋体"/>
          <w:color w:val="000000" w:themeColor="text1"/>
          <w:sz w:val="24"/>
          <w:szCs w:val="24"/>
          <w:highlight w:val="none"/>
          <w:lang w:val="zh-CN" w:bidi="zh-CN"/>
          <w14:textFill>
            <w14:solidFill>
              <w14:schemeClr w14:val="tx1"/>
            </w14:solidFill>
          </w14:textFill>
        </w:rPr>
        <w:t>南通中关村信息谷</w:t>
      </w:r>
      <w:r>
        <w:rPr>
          <w:rFonts w:hint="eastAsia" w:ascii="宋体" w:hAnsi="宋体" w:cs="宋体"/>
          <w:color w:val="000000" w:themeColor="text1"/>
          <w:sz w:val="24"/>
          <w:szCs w:val="24"/>
          <w:highlight w:val="none"/>
          <w:lang w:val="zh-CN" w:bidi="zh-CN"/>
          <w14:textFill>
            <w14:solidFill>
              <w14:schemeClr w14:val="tx1"/>
            </w14:solidFill>
          </w14:textFill>
        </w:rPr>
        <w:t>）</w:t>
      </w:r>
      <w:r>
        <w:rPr>
          <w:rFonts w:hint="eastAsia" w:ascii="宋体" w:hAnsi="宋体" w:eastAsia="宋体" w:cs="宋体"/>
          <w:color w:val="000000" w:themeColor="text1"/>
          <w:sz w:val="24"/>
          <w:szCs w:val="24"/>
          <w:highlight w:val="none"/>
          <w:lang w:val="zh-CN" w:bidi="zh-CN"/>
          <w14:textFill>
            <w14:solidFill>
              <w14:schemeClr w14:val="tx1"/>
            </w14:solidFill>
          </w14:textFill>
        </w:rPr>
        <w:t>9号楼B座 12层1202室、1203室</w:t>
      </w:r>
    </w:p>
    <w:p w14:paraId="2308582C">
      <w:pPr>
        <w:pageBreakBefore w:val="0"/>
        <w:kinsoku/>
        <w:wordWrap/>
        <w:overflowPunct/>
        <w:topLinePunct w:val="0"/>
        <w:autoSpaceDE/>
        <w:autoSpaceDN/>
        <w:bidi w:val="0"/>
        <w:snapToGrid/>
        <w:spacing w:line="360" w:lineRule="auto"/>
        <w:ind w:firstLine="480"/>
        <w:jc w:val="left"/>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lang w:val="en-US" w:eastAsia="zh-CN"/>
          <w14:textFill>
            <w14:solidFill>
              <w14:schemeClr w14:val="tx1"/>
            </w14:solidFill>
          </w14:textFill>
        </w:rPr>
        <w:t>蔡</w:t>
      </w:r>
      <w:r>
        <w:rPr>
          <w:rFonts w:hint="eastAsia" w:ascii="宋体" w:hAnsi="宋体" w:cs="宋体"/>
          <w:color w:val="000000" w:themeColor="text1"/>
          <w:sz w:val="24"/>
          <w:highlight w:val="none"/>
          <w:lang w:val="en-US" w:eastAsia="zh-CN"/>
          <w14:textFill>
            <w14:solidFill>
              <w14:schemeClr w14:val="tx1"/>
            </w14:solidFill>
          </w14:textFill>
        </w:rPr>
        <w:t>东栾、曾蕾</w:t>
      </w:r>
      <w:bookmarkStart w:id="97" w:name="_GoBack"/>
      <w:bookmarkEnd w:id="97"/>
    </w:p>
    <w:p w14:paraId="27ED613B">
      <w:pPr>
        <w:pageBreakBefore w:val="0"/>
        <w:kinsoku/>
        <w:wordWrap/>
        <w:overflowPunct/>
        <w:topLinePunct w:val="0"/>
        <w:autoSpaceDE/>
        <w:autoSpaceDN/>
        <w:bidi w:val="0"/>
        <w:snapToGrid/>
        <w:spacing w:line="360" w:lineRule="auto"/>
        <w:ind w:firstLine="480"/>
        <w:jc w:val="left"/>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eastAsia="宋体" w:cs="宋体"/>
          <w:color w:val="000000" w:themeColor="text1"/>
          <w:sz w:val="24"/>
          <w:highlight w:val="none"/>
          <w:lang w:val="en-US" w:eastAsia="zh-CN"/>
          <w14:textFill>
            <w14:solidFill>
              <w14:schemeClr w14:val="tx1"/>
            </w14:solidFill>
          </w14:textFill>
        </w:rPr>
        <w:t>15006289912</w:t>
      </w:r>
      <w:r>
        <w:rPr>
          <w:rFonts w:hint="eastAsia" w:ascii="宋体" w:hAnsi="宋体" w:cs="宋体"/>
          <w:color w:val="000000" w:themeColor="text1"/>
          <w:sz w:val="24"/>
          <w:highlight w:val="none"/>
          <w:lang w:val="en-US" w:eastAsia="zh-CN"/>
          <w14:textFill>
            <w14:solidFill>
              <w14:schemeClr w14:val="tx1"/>
            </w14:solidFill>
          </w14:textFill>
        </w:rPr>
        <w:t>、13615209148</w:t>
      </w:r>
    </w:p>
    <w:p w14:paraId="0616885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电子邮箱：</w:t>
      </w:r>
      <w:r>
        <w:rPr>
          <w:rFonts w:hint="eastAsia" w:ascii="宋体" w:hAnsi="宋体" w:eastAsia="宋体" w:cs="宋体"/>
          <w:color w:val="000000" w:themeColor="text1"/>
          <w:sz w:val="24"/>
          <w:szCs w:val="24"/>
          <w:highlight w:val="none"/>
          <w:lang w:val="en-US" w:bidi="zh-CN"/>
          <w14:textFill>
            <w14:solidFill>
              <w14:schemeClr w14:val="tx1"/>
            </w14:solidFill>
          </w14:textFill>
        </w:rPr>
        <w:t>1443010909@qq.com</w:t>
      </w:r>
    </w:p>
    <w:p w14:paraId="39785752">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3.项目联系方式</w:t>
      </w:r>
    </w:p>
    <w:p w14:paraId="36CB854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招标文件制作人: </w:t>
      </w:r>
      <w:r>
        <w:rPr>
          <w:rFonts w:hint="eastAsia" w:ascii="宋体" w:hAnsi="宋体" w:eastAsia="宋体" w:cs="宋体"/>
          <w:color w:val="000000" w:themeColor="text1"/>
          <w:sz w:val="24"/>
          <w:highlight w:val="none"/>
          <w:lang w:val="en-US" w:eastAsia="zh-CN"/>
          <w14:textFill>
            <w14:solidFill>
              <w14:schemeClr w14:val="tx1"/>
            </w14:solidFill>
          </w14:textFill>
        </w:rPr>
        <w:t>蔡女士15006289912</w:t>
      </w:r>
    </w:p>
    <w:p w14:paraId="2C8C1336">
      <w:pPr>
        <w:pageBreakBefore w:val="0"/>
        <w:kinsoku/>
        <w:wordWrap/>
        <w:overflowPunct/>
        <w:topLinePunct w:val="0"/>
        <w:autoSpaceDE/>
        <w:autoSpaceDN/>
        <w:bidi w:val="0"/>
        <w:snapToGrid/>
        <w:spacing w:line="360" w:lineRule="auto"/>
        <w:ind w:firstLine="47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项目采购经办人：施先生13814733263  </w:t>
      </w:r>
    </w:p>
    <w:p w14:paraId="352EDCF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color w:val="000000" w:themeColor="text1"/>
          <w:sz w:val="24"/>
          <w:highlight w:val="none"/>
          <w14:textFill>
            <w14:solidFill>
              <w14:schemeClr w14:val="tx1"/>
            </w14:solidFill>
          </w14:textFill>
        </w:rPr>
        <w:t>软件技术支持电话：0519-86722801、0519-86722806</w:t>
      </w:r>
    </w:p>
    <w:p w14:paraId="1E417DD6">
      <w:pPr>
        <w:pageBreakBefore w:val="0"/>
        <w:kinsoku/>
        <w:wordWrap/>
        <w:overflowPunct/>
        <w:topLinePunct w:val="0"/>
        <w:autoSpaceDE/>
        <w:autoSpaceDN/>
        <w:bidi w:val="0"/>
        <w:snapToGrid/>
        <w:spacing w:line="360" w:lineRule="auto"/>
        <w:jc w:val="center"/>
        <w:textAlignment w:val="auto"/>
        <w:outlineLvl w:val="0"/>
        <w:rPr>
          <w:rFonts w:hint="eastAsia" w:ascii="宋体" w:hAnsi="宋体" w:eastAsia="宋体" w:cs="宋体"/>
          <w:b/>
          <w:bCs w:val="0"/>
          <w:sz w:val="32"/>
          <w:szCs w:val="32"/>
        </w:rPr>
      </w:pPr>
      <w:r>
        <w:rPr>
          <w:rFonts w:hint="eastAsia" w:ascii="宋体" w:hAnsi="宋体" w:eastAsia="宋体" w:cs="宋体"/>
          <w:bCs/>
          <w:sz w:val="36"/>
          <w:szCs w:val="36"/>
        </w:rPr>
        <w:br w:type="page" w:clear="all"/>
      </w:r>
      <w:r>
        <w:rPr>
          <w:rFonts w:hint="eastAsia" w:ascii="宋体" w:hAnsi="宋体" w:eastAsia="宋体" w:cs="宋体"/>
          <w:b/>
          <w:bCs w:val="0"/>
          <w:sz w:val="32"/>
          <w:szCs w:val="32"/>
        </w:rPr>
        <w:t>第二部分  投标须知</w:t>
      </w:r>
    </w:p>
    <w:p w14:paraId="5C148BEF">
      <w:pPr>
        <w:pStyle w:val="196"/>
        <w:pageBreakBefore w:val="0"/>
        <w:kinsoku/>
        <w:wordWrap/>
        <w:overflowPunct/>
        <w:topLinePunct w:val="0"/>
        <w:autoSpaceDE/>
        <w:autoSpaceDN/>
        <w:bidi w:val="0"/>
        <w:snapToGrid/>
        <w:spacing w:before="0" w:after="0" w:line="360" w:lineRule="auto"/>
        <w:textAlignment w:val="auto"/>
        <w:rPr>
          <w:rFonts w:hint="eastAsia" w:ascii="宋体" w:hAnsi="宋体" w:eastAsia="宋体" w:cs="宋体"/>
          <w:sz w:val="24"/>
          <w:szCs w:val="24"/>
        </w:rPr>
      </w:pPr>
      <w:bookmarkStart w:id="3" w:name="_Toc513029203"/>
      <w:bookmarkStart w:id="4" w:name="_Toc20823275"/>
      <w:bookmarkStart w:id="5" w:name="_Toc120614214"/>
      <w:bookmarkStart w:id="6" w:name="_Toc16938519"/>
      <w:r>
        <w:rPr>
          <w:rFonts w:hint="eastAsia" w:ascii="宋体" w:hAnsi="宋体" w:eastAsia="宋体" w:cs="宋体"/>
          <w:sz w:val="24"/>
          <w:szCs w:val="24"/>
        </w:rPr>
        <w:t>（一）总则</w:t>
      </w:r>
      <w:bookmarkEnd w:id="3"/>
      <w:bookmarkEnd w:id="4"/>
      <w:bookmarkEnd w:id="5"/>
      <w:bookmarkEnd w:id="6"/>
    </w:p>
    <w:p w14:paraId="5B2FC3FE">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szCs w:val="24"/>
        </w:rPr>
      </w:pPr>
      <w:bookmarkStart w:id="7" w:name="_Hlt16619475"/>
      <w:bookmarkEnd w:id="7"/>
      <w:bookmarkStart w:id="8" w:name="_Toc458694821"/>
      <w:bookmarkStart w:id="9" w:name="_Toc513029204"/>
      <w:bookmarkStart w:id="10" w:name="_Toc16938520"/>
      <w:bookmarkStart w:id="11" w:name="_Toc20823276"/>
      <w:r>
        <w:rPr>
          <w:rFonts w:hint="eastAsia" w:ascii="宋体" w:hAnsi="宋体" w:eastAsia="宋体" w:cs="宋体"/>
          <w:sz w:val="24"/>
          <w:szCs w:val="24"/>
        </w:rPr>
        <w:t>1</w:t>
      </w:r>
      <w:bookmarkEnd w:id="8"/>
      <w:r>
        <w:rPr>
          <w:rFonts w:hint="eastAsia" w:ascii="宋体" w:hAnsi="宋体" w:eastAsia="宋体" w:cs="宋体"/>
          <w:sz w:val="24"/>
          <w:szCs w:val="24"/>
        </w:rPr>
        <w:t>.招标方式</w:t>
      </w:r>
      <w:bookmarkEnd w:id="9"/>
      <w:bookmarkEnd w:id="10"/>
      <w:bookmarkEnd w:id="11"/>
    </w:p>
    <w:p w14:paraId="7EC4F17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1.1本次招标采取公开招标方式，本招标文件仅适用于招标公告中所述项目。</w:t>
      </w:r>
    </w:p>
    <w:p w14:paraId="0E533AC4">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szCs w:val="24"/>
        </w:rPr>
      </w:pPr>
      <w:bookmarkStart w:id="12" w:name="_Toc513029205"/>
      <w:bookmarkStart w:id="13" w:name="_Toc16938521"/>
      <w:bookmarkStart w:id="14" w:name="_Toc20823277"/>
      <w:r>
        <w:rPr>
          <w:rFonts w:hint="eastAsia" w:ascii="宋体" w:hAnsi="宋体" w:eastAsia="宋体" w:cs="宋体"/>
          <w:sz w:val="24"/>
          <w:szCs w:val="24"/>
        </w:rPr>
        <w:t>2.合格的投标人</w:t>
      </w:r>
      <w:bookmarkEnd w:id="12"/>
      <w:bookmarkEnd w:id="13"/>
      <w:bookmarkEnd w:id="14"/>
    </w:p>
    <w:p w14:paraId="57DC9DA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2.1满足招标公告中供应商的资格要求的规定。</w:t>
      </w:r>
    </w:p>
    <w:p w14:paraId="4BBDF82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2.2满足本文件实质性条款的规定。</w:t>
      </w:r>
    </w:p>
    <w:p w14:paraId="31388C80">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szCs w:val="24"/>
        </w:rPr>
      </w:pPr>
      <w:bookmarkStart w:id="15" w:name="_Toc20823278"/>
      <w:bookmarkStart w:id="16" w:name="_Toc513029206"/>
      <w:bookmarkStart w:id="17" w:name="_Toc16938522"/>
      <w:r>
        <w:rPr>
          <w:rFonts w:hint="eastAsia" w:ascii="宋体" w:hAnsi="宋体" w:eastAsia="宋体" w:cs="宋体"/>
          <w:sz w:val="24"/>
          <w:szCs w:val="24"/>
        </w:rPr>
        <w:t>3.适用法律</w:t>
      </w:r>
      <w:bookmarkEnd w:id="15"/>
      <w:bookmarkEnd w:id="16"/>
      <w:bookmarkEnd w:id="17"/>
    </w:p>
    <w:p w14:paraId="68F3E51C">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z w:val="24"/>
        </w:rPr>
      </w:pPr>
      <w:r>
        <w:rPr>
          <w:rFonts w:hint="eastAsia" w:ascii="宋体" w:hAnsi="宋体" w:eastAsia="宋体" w:cs="宋体"/>
          <w:sz w:val="24"/>
        </w:rPr>
        <w:t>3.1本次招标及由此产生的合同受中华人民共和国有关的法律法规制约和保护。</w:t>
      </w:r>
    </w:p>
    <w:p w14:paraId="7C5E40E6">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szCs w:val="24"/>
        </w:rPr>
      </w:pPr>
      <w:bookmarkStart w:id="18" w:name="_Toc16938523"/>
      <w:bookmarkStart w:id="19" w:name="_Toc513029207"/>
      <w:bookmarkStart w:id="20" w:name="_Toc20823279"/>
      <w:bookmarkStart w:id="21" w:name="_Toc462564067"/>
      <w:r>
        <w:rPr>
          <w:rFonts w:hint="eastAsia" w:ascii="宋体" w:hAnsi="宋体" w:eastAsia="宋体" w:cs="宋体"/>
          <w:sz w:val="24"/>
          <w:szCs w:val="24"/>
        </w:rPr>
        <w:t>4.投标费用</w:t>
      </w:r>
      <w:bookmarkEnd w:id="18"/>
      <w:bookmarkEnd w:id="19"/>
      <w:bookmarkEnd w:id="20"/>
      <w:bookmarkEnd w:id="21"/>
    </w:p>
    <w:p w14:paraId="4AF2468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highlight w:val="none"/>
        </w:rPr>
      </w:pPr>
      <w:r>
        <w:rPr>
          <w:rFonts w:hint="eastAsia" w:ascii="宋体" w:hAnsi="宋体" w:eastAsia="宋体" w:cs="宋体"/>
          <w:bCs/>
          <w:sz w:val="24"/>
        </w:rPr>
        <w:t>4.1</w:t>
      </w:r>
      <w:r>
        <w:rPr>
          <w:rFonts w:hint="eastAsia" w:ascii="宋体" w:hAnsi="宋体" w:eastAsia="宋体" w:cs="宋体"/>
          <w:sz w:val="24"/>
        </w:rPr>
        <w:t>投标人应自行承担所有与参加投标有关的费用，无论投标过程中的做法和结果如何，</w:t>
      </w:r>
      <w:r>
        <w:rPr>
          <w:rFonts w:hint="eastAsia" w:ascii="宋体" w:hAnsi="宋体" w:eastAsia="宋体" w:cs="宋体"/>
          <w:b/>
          <w:bCs/>
          <w:sz w:val="24"/>
          <w:highlight w:val="none"/>
        </w:rPr>
        <w:t>采购人</w:t>
      </w:r>
      <w:r>
        <w:rPr>
          <w:rFonts w:hint="eastAsia" w:ascii="宋体" w:hAnsi="宋体" w:eastAsia="宋体" w:cs="宋体"/>
          <w:sz w:val="24"/>
          <w:highlight w:val="none"/>
        </w:rPr>
        <w:t>在任何情况下均无义务和责任承担这些费用。</w:t>
      </w:r>
    </w:p>
    <w:p w14:paraId="1544CAE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4.2本项目的招标代理费用由中标人承担，由投标人在投标报价时综合考虑并包含在报价内（不单列），招标代理费的计费基数为中标金额。由中标人在领取中标通知书前一次性支付给采购代理机构。 </w:t>
      </w:r>
    </w:p>
    <w:p w14:paraId="75270F33">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szCs w:val="24"/>
        </w:rPr>
      </w:pPr>
      <w:r>
        <w:rPr>
          <w:rFonts w:hint="eastAsia" w:ascii="宋体" w:hAnsi="宋体" w:eastAsia="宋体" w:cs="宋体"/>
          <w:sz w:val="24"/>
          <w:szCs w:val="24"/>
        </w:rPr>
        <w:t>5.招标文件的约束力</w:t>
      </w:r>
    </w:p>
    <w:p w14:paraId="25642BA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5.1</w:t>
      </w:r>
      <w:r>
        <w:rPr>
          <w:rFonts w:hint="eastAsia" w:ascii="宋体" w:hAnsi="宋体" w:eastAsia="宋体" w:cs="宋体"/>
          <w:sz w:val="24"/>
        </w:rPr>
        <w:t>投标人一旦参加本项目采购活动，即被认为接受了本招标文件的规定和约束。</w:t>
      </w:r>
    </w:p>
    <w:p w14:paraId="05C4D839">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6.招标文件的解释</w:t>
      </w:r>
    </w:p>
    <w:p w14:paraId="0B27776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6.1</w:t>
      </w:r>
      <w:r>
        <w:rPr>
          <w:rFonts w:hint="eastAsia" w:ascii="宋体" w:hAnsi="宋体" w:eastAsia="宋体" w:cs="宋体"/>
          <w:b/>
          <w:bCs/>
          <w:sz w:val="24"/>
        </w:rPr>
        <w:t>招标文件需求部分（供应商资格要求、项目需求、商务技术评分标准）由采购人解释，其它部分由代理机构解释。</w:t>
      </w:r>
    </w:p>
    <w:p w14:paraId="27444A47">
      <w:pPr>
        <w:pStyle w:val="196"/>
        <w:pageBreakBefore w:val="0"/>
        <w:kinsoku/>
        <w:wordWrap/>
        <w:overflowPunct/>
        <w:topLinePunct w:val="0"/>
        <w:autoSpaceDE/>
        <w:autoSpaceDN/>
        <w:bidi w:val="0"/>
        <w:snapToGrid/>
        <w:spacing w:before="0" w:after="0" w:line="360" w:lineRule="auto"/>
        <w:jc w:val="left"/>
        <w:textAlignment w:val="auto"/>
        <w:rPr>
          <w:rFonts w:hint="eastAsia" w:ascii="宋体" w:hAnsi="宋体" w:eastAsia="宋体" w:cs="宋体"/>
          <w:sz w:val="24"/>
          <w:szCs w:val="24"/>
        </w:rPr>
      </w:pPr>
      <w:bookmarkStart w:id="22" w:name="_Toc120614215"/>
      <w:bookmarkStart w:id="23" w:name="_Toc20823281"/>
      <w:bookmarkStart w:id="24" w:name="_Toc16938525"/>
      <w:bookmarkStart w:id="25" w:name="_Toc513029209"/>
      <w:r>
        <w:rPr>
          <w:rFonts w:hint="eastAsia" w:ascii="宋体" w:hAnsi="宋体" w:eastAsia="宋体" w:cs="宋体"/>
          <w:sz w:val="24"/>
          <w:szCs w:val="24"/>
        </w:rPr>
        <w:t>（二）招标文件</w:t>
      </w:r>
      <w:bookmarkEnd w:id="22"/>
      <w:bookmarkEnd w:id="23"/>
      <w:bookmarkEnd w:id="24"/>
      <w:bookmarkEnd w:id="25"/>
    </w:p>
    <w:p w14:paraId="0AB1C630">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bookmarkStart w:id="26" w:name="_Toc20823282"/>
      <w:bookmarkStart w:id="27" w:name="_Toc16938526"/>
      <w:bookmarkStart w:id="28" w:name="_Toc513029210"/>
      <w:r>
        <w:rPr>
          <w:rFonts w:hint="eastAsia" w:ascii="宋体" w:hAnsi="宋体" w:eastAsia="宋体" w:cs="宋体"/>
          <w:sz w:val="24"/>
          <w:szCs w:val="24"/>
        </w:rPr>
        <w:t>1.招标文件构成</w:t>
      </w:r>
      <w:bookmarkEnd w:id="26"/>
      <w:bookmarkEnd w:id="27"/>
      <w:bookmarkEnd w:id="28"/>
    </w:p>
    <w:p w14:paraId="75EBABB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1.1</w:t>
      </w:r>
      <w:r>
        <w:rPr>
          <w:rFonts w:hint="eastAsia" w:ascii="宋体" w:hAnsi="宋体" w:eastAsia="宋体" w:cs="宋体"/>
          <w:sz w:val="24"/>
        </w:rPr>
        <w:t>招标文件由以下部分组成：</w:t>
      </w:r>
    </w:p>
    <w:p w14:paraId="2D195906">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bCs/>
          <w:sz w:val="24"/>
        </w:rPr>
      </w:pPr>
      <w:r>
        <w:rPr>
          <w:rFonts w:hint="eastAsia" w:ascii="宋体" w:hAnsi="宋体" w:eastAsia="宋体" w:cs="宋体"/>
          <w:sz w:val="24"/>
        </w:rPr>
        <w:t>（1）</w:t>
      </w:r>
      <w:r>
        <w:rPr>
          <w:rFonts w:hint="eastAsia" w:ascii="宋体" w:hAnsi="宋体" w:eastAsia="宋体" w:cs="宋体"/>
          <w:bCs/>
          <w:sz w:val="24"/>
        </w:rPr>
        <w:t>投标邀请</w:t>
      </w:r>
    </w:p>
    <w:p w14:paraId="2DF9C217">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（2）投标须知</w:t>
      </w:r>
    </w:p>
    <w:p w14:paraId="711AC750">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（3）项目需求</w:t>
      </w:r>
    </w:p>
    <w:p w14:paraId="76CB900B">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（4）合同条款及格式</w:t>
      </w:r>
    </w:p>
    <w:p w14:paraId="0C6BB235">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（5）开标和评标</w:t>
      </w:r>
    </w:p>
    <w:p w14:paraId="0D655C3A">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（6）投标文件格式</w:t>
      </w:r>
    </w:p>
    <w:p w14:paraId="247E6290">
      <w:pPr>
        <w:pageBreakBefore w:val="0"/>
        <w:kinsoku/>
        <w:wordWrap/>
        <w:overflowPunct/>
        <w:topLinePunct w:val="0"/>
        <w:autoSpaceDE/>
        <w:autoSpaceDN/>
        <w:bidi w:val="0"/>
        <w:snapToGrid/>
        <w:spacing w:line="360" w:lineRule="auto"/>
        <w:ind w:firstLine="360"/>
        <w:jc w:val="left"/>
        <w:textAlignment w:val="auto"/>
        <w:rPr>
          <w:rFonts w:hint="eastAsia" w:ascii="宋体" w:hAnsi="宋体" w:eastAsia="宋体" w:cs="宋体"/>
          <w:sz w:val="24"/>
        </w:rPr>
      </w:pPr>
      <w:r>
        <w:rPr>
          <w:rFonts w:hint="eastAsia" w:ascii="宋体" w:hAnsi="宋体" w:eastAsia="宋体" w:cs="宋体"/>
          <w:sz w:val="24"/>
        </w:rPr>
        <w:t>（7）附件（如有）</w:t>
      </w:r>
    </w:p>
    <w:p w14:paraId="36E8D69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请仔细检查招标文件是否齐全，如有缺漏请立即与</w:t>
      </w:r>
      <w:r>
        <w:rPr>
          <w:rFonts w:hint="eastAsia" w:ascii="宋体" w:hAnsi="宋体" w:eastAsia="宋体" w:cs="宋体"/>
          <w:bCs/>
          <w:sz w:val="24"/>
        </w:rPr>
        <w:t>代理机构</w:t>
      </w:r>
      <w:r>
        <w:rPr>
          <w:rFonts w:hint="eastAsia" w:ascii="宋体" w:hAnsi="宋体" w:eastAsia="宋体" w:cs="宋体"/>
          <w:sz w:val="24"/>
        </w:rPr>
        <w:t>联系解决。</w:t>
      </w:r>
    </w:p>
    <w:p w14:paraId="4ABFE14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1.2</w:t>
      </w:r>
      <w:r>
        <w:rPr>
          <w:rFonts w:hint="eastAsia" w:ascii="宋体" w:hAnsi="宋体" w:eastAsia="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F341A4A">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bookmarkStart w:id="29" w:name="_Toc16938527"/>
      <w:bookmarkStart w:id="30" w:name="_Toc513029211"/>
      <w:bookmarkStart w:id="31" w:name="_Toc462564070"/>
      <w:bookmarkStart w:id="32" w:name="_Toc20823283"/>
      <w:r>
        <w:rPr>
          <w:rFonts w:hint="eastAsia" w:ascii="宋体" w:hAnsi="宋体" w:eastAsia="宋体" w:cs="宋体"/>
          <w:sz w:val="24"/>
          <w:szCs w:val="24"/>
        </w:rPr>
        <w:t>2.招标文件的澄清</w:t>
      </w:r>
      <w:bookmarkEnd w:id="29"/>
      <w:bookmarkEnd w:id="30"/>
      <w:bookmarkEnd w:id="31"/>
      <w:bookmarkEnd w:id="32"/>
    </w:p>
    <w:p w14:paraId="0ADBB7B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2.1</w:t>
      </w:r>
      <w:r>
        <w:rPr>
          <w:rFonts w:hint="eastAsia" w:ascii="宋体" w:hAnsi="宋体" w:eastAsia="宋体" w:cs="宋体"/>
          <w:sz w:val="24"/>
        </w:rPr>
        <w:t>任何要求对招标文件进行澄清的投标人，应在投标截止期十日前按招标公告中的通讯地址，以书面形式通知采购人。采购人有权对发出的招标文件进行必要的澄清或修改。</w:t>
      </w:r>
    </w:p>
    <w:p w14:paraId="46D3A5F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2.2采购人视情组织答疑会</w:t>
      </w:r>
    </w:p>
    <w:p w14:paraId="1F952AF0">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bookmarkStart w:id="33" w:name="_Toc462564071"/>
      <w:bookmarkStart w:id="34" w:name="_Toc20823284"/>
      <w:bookmarkStart w:id="35" w:name="_Toc513029212"/>
      <w:bookmarkStart w:id="36" w:name="_Toc16938528"/>
      <w:r>
        <w:rPr>
          <w:rFonts w:hint="eastAsia" w:ascii="宋体" w:hAnsi="宋体" w:eastAsia="宋体" w:cs="宋体"/>
          <w:sz w:val="24"/>
          <w:szCs w:val="24"/>
        </w:rPr>
        <w:t>3.招标文件的修改</w:t>
      </w:r>
      <w:bookmarkEnd w:id="33"/>
      <w:bookmarkEnd w:id="34"/>
      <w:bookmarkEnd w:id="35"/>
      <w:bookmarkEnd w:id="36"/>
    </w:p>
    <w:p w14:paraId="5F08A06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3.1</w:t>
      </w:r>
      <w:r>
        <w:rPr>
          <w:rFonts w:hint="eastAsia" w:ascii="宋体" w:hAnsi="宋体" w:eastAsia="宋体" w:cs="宋体"/>
          <w:sz w:val="24"/>
        </w:rPr>
        <w:t>在提交投标文件截止时间前，</w:t>
      </w:r>
      <w:r>
        <w:rPr>
          <w:rFonts w:hint="eastAsia" w:ascii="宋体" w:hAnsi="宋体" w:eastAsia="宋体" w:cs="宋体"/>
          <w:bCs/>
          <w:sz w:val="24"/>
        </w:rPr>
        <w:t>采购人或代理机构</w:t>
      </w:r>
      <w:r>
        <w:rPr>
          <w:rFonts w:hint="eastAsia" w:ascii="宋体" w:hAnsi="宋体" w:eastAsia="宋体" w:cs="宋体"/>
          <w:sz w:val="24"/>
        </w:rPr>
        <w:t>可以对招标文件进行修改。</w:t>
      </w:r>
    </w:p>
    <w:p w14:paraId="5A1F1B0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3.2采购人或代理机构</w:t>
      </w:r>
      <w:r>
        <w:rPr>
          <w:rFonts w:hint="eastAsia" w:ascii="宋体" w:hAnsi="宋体" w:eastAsia="宋体" w:cs="宋体"/>
          <w:sz w:val="24"/>
        </w:rPr>
        <w:t>有权按照法定的要求推迟提交投标文件截止日期和开标日期。</w:t>
      </w:r>
    </w:p>
    <w:p w14:paraId="09E5EAB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3.3</w:t>
      </w:r>
      <w:r>
        <w:rPr>
          <w:rFonts w:hint="eastAsia" w:ascii="宋体" w:hAnsi="宋体" w:eastAsia="宋体" w:cs="宋体"/>
          <w:sz w:val="24"/>
        </w:rPr>
        <w:t>招标文件的修改将在江苏政府采购网公布，补充文件将作为招标文件的组成部分，并对投标人具有约束力。</w:t>
      </w:r>
      <w:bookmarkStart w:id="37" w:name="_Toc120614216"/>
      <w:bookmarkStart w:id="38" w:name="_Toc16938529"/>
      <w:bookmarkStart w:id="39" w:name="_Toc462564072"/>
      <w:bookmarkStart w:id="40" w:name="_Toc20823285"/>
      <w:bookmarkStart w:id="41" w:name="_Toc513029213"/>
    </w:p>
    <w:p w14:paraId="1174E75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u w:val="single"/>
        </w:rPr>
      </w:pPr>
      <w:r>
        <w:rPr>
          <w:rFonts w:hint="eastAsia" w:ascii="宋体" w:hAnsi="宋体" w:eastAsia="宋体" w:cs="宋体"/>
          <w:sz w:val="24"/>
        </w:rPr>
        <w:t>3.4</w:t>
      </w:r>
      <w:r>
        <w:rPr>
          <w:rFonts w:hint="eastAsia" w:ascii="宋体" w:hAnsi="宋体" w:eastAsia="宋体" w:cs="宋体"/>
          <w:b/>
          <w:sz w:val="24"/>
          <w:u w:val="single"/>
        </w:rPr>
        <w:t>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EF619E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p>
    <w:p w14:paraId="475BFAAA">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4.采购项目涉及到的现场勘察</w:t>
      </w:r>
    </w:p>
    <w:p w14:paraId="77D10D3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4.1招标文件所提供的项目相关数据仅做参考，根据自身需要，</w:t>
      </w:r>
      <w:r>
        <w:rPr>
          <w:rFonts w:hint="eastAsia" w:ascii="宋体" w:hAnsi="宋体" w:eastAsia="宋体" w:cs="宋体"/>
          <w:sz w:val="24"/>
        </w:rPr>
        <w:t>投标人</w:t>
      </w:r>
      <w:r>
        <w:rPr>
          <w:rFonts w:hint="eastAsia" w:ascii="宋体" w:hAnsi="宋体" w:eastAsia="宋体" w:cs="宋体"/>
          <w:bCs/>
          <w:sz w:val="24"/>
        </w:rPr>
        <w:t>可在</w:t>
      </w:r>
      <w:r>
        <w:rPr>
          <w:rFonts w:hint="eastAsia" w:ascii="宋体" w:hAnsi="宋体" w:eastAsia="宋体" w:cs="宋体"/>
          <w:sz w:val="24"/>
        </w:rPr>
        <w:t>提交投标文件截止</w:t>
      </w:r>
      <w:r>
        <w:rPr>
          <w:rFonts w:hint="eastAsia" w:ascii="宋体" w:hAnsi="宋体" w:eastAsia="宋体" w:cs="宋体"/>
          <w:bCs/>
          <w:sz w:val="24"/>
        </w:rPr>
        <w:t>之日前对有关现场和周围环境进行勘察，以获取编制</w:t>
      </w:r>
      <w:r>
        <w:rPr>
          <w:rFonts w:hint="eastAsia" w:ascii="宋体" w:hAnsi="宋体" w:eastAsia="宋体" w:cs="宋体"/>
          <w:sz w:val="24"/>
        </w:rPr>
        <w:t>投标</w:t>
      </w:r>
      <w:r>
        <w:rPr>
          <w:rFonts w:hint="eastAsia" w:ascii="宋体" w:hAnsi="宋体" w:eastAsia="宋体" w:cs="宋体"/>
          <w:bCs/>
          <w:sz w:val="24"/>
        </w:rPr>
        <w:t>文件和签署合同所需的信息。勘察现场所发生的费用由</w:t>
      </w:r>
      <w:r>
        <w:rPr>
          <w:rFonts w:hint="eastAsia" w:ascii="宋体" w:hAnsi="宋体" w:eastAsia="宋体" w:cs="宋体"/>
          <w:sz w:val="24"/>
        </w:rPr>
        <w:t>投标人</w:t>
      </w:r>
      <w:r>
        <w:rPr>
          <w:rFonts w:hint="eastAsia" w:ascii="宋体" w:hAnsi="宋体" w:eastAsia="宋体" w:cs="宋体"/>
          <w:bCs/>
          <w:sz w:val="24"/>
        </w:rPr>
        <w:t>自己承担。</w:t>
      </w:r>
    </w:p>
    <w:p w14:paraId="686DAA4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4.2采购人向</w:t>
      </w:r>
      <w:r>
        <w:rPr>
          <w:rFonts w:hint="eastAsia" w:ascii="宋体" w:hAnsi="宋体" w:eastAsia="宋体" w:cs="宋体"/>
          <w:sz w:val="24"/>
        </w:rPr>
        <w:t>投标人</w:t>
      </w:r>
      <w:r>
        <w:rPr>
          <w:rFonts w:hint="eastAsia" w:ascii="宋体" w:hAnsi="宋体" w:eastAsia="宋体" w:cs="宋体"/>
          <w:bCs/>
          <w:sz w:val="24"/>
        </w:rPr>
        <w:t>提供的有关现场的资料和数据，是采购人现有的并认为能使</w:t>
      </w:r>
      <w:r>
        <w:rPr>
          <w:rFonts w:hint="eastAsia" w:ascii="宋体" w:hAnsi="宋体" w:eastAsia="宋体" w:cs="宋体"/>
          <w:sz w:val="24"/>
        </w:rPr>
        <w:t>投标人</w:t>
      </w:r>
      <w:r>
        <w:rPr>
          <w:rFonts w:hint="eastAsia" w:ascii="宋体" w:hAnsi="宋体" w:eastAsia="宋体" w:cs="宋体"/>
          <w:bCs/>
          <w:sz w:val="24"/>
        </w:rPr>
        <w:t>可利用的资料。采购人对</w:t>
      </w:r>
      <w:r>
        <w:rPr>
          <w:rFonts w:hint="eastAsia" w:ascii="宋体" w:hAnsi="宋体" w:eastAsia="宋体" w:cs="宋体"/>
          <w:sz w:val="24"/>
        </w:rPr>
        <w:t>投标人</w:t>
      </w:r>
      <w:r>
        <w:rPr>
          <w:rFonts w:hint="eastAsia" w:ascii="宋体" w:hAnsi="宋体" w:eastAsia="宋体" w:cs="宋体"/>
          <w:bCs/>
          <w:sz w:val="24"/>
        </w:rPr>
        <w:t>由此而做出的推论、理解和结论概不负责。</w:t>
      </w:r>
    </w:p>
    <w:p w14:paraId="19F751D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4.3经采购人允许，</w:t>
      </w:r>
      <w:r>
        <w:rPr>
          <w:rFonts w:hint="eastAsia" w:ascii="宋体" w:hAnsi="宋体" w:eastAsia="宋体" w:cs="宋体"/>
          <w:sz w:val="24"/>
        </w:rPr>
        <w:t>投标人</w:t>
      </w:r>
      <w:r>
        <w:rPr>
          <w:rFonts w:hint="eastAsia" w:ascii="宋体" w:hAnsi="宋体" w:eastAsia="宋体" w:cs="宋体"/>
          <w:bCs/>
          <w:sz w:val="24"/>
        </w:rPr>
        <w:t>可为勘察目的进入采购人的项目现场，但</w:t>
      </w:r>
      <w:r>
        <w:rPr>
          <w:rFonts w:hint="eastAsia" w:ascii="宋体" w:hAnsi="宋体" w:eastAsia="宋体" w:cs="宋体"/>
          <w:sz w:val="24"/>
        </w:rPr>
        <w:t>投标人</w:t>
      </w:r>
      <w:r>
        <w:rPr>
          <w:rFonts w:hint="eastAsia" w:ascii="宋体" w:hAnsi="宋体" w:eastAsia="宋体" w:cs="宋体"/>
          <w:bCs/>
          <w:sz w:val="24"/>
        </w:rPr>
        <w:t>不得因此使采购人承担有关的责任和蒙受损失。</w:t>
      </w:r>
      <w:r>
        <w:rPr>
          <w:rFonts w:hint="eastAsia" w:ascii="宋体" w:hAnsi="宋体" w:eastAsia="宋体" w:cs="宋体"/>
          <w:sz w:val="24"/>
        </w:rPr>
        <w:t>投标人</w:t>
      </w:r>
      <w:r>
        <w:rPr>
          <w:rFonts w:hint="eastAsia" w:ascii="宋体" w:hAnsi="宋体" w:eastAsia="宋体" w:cs="宋体"/>
          <w:bCs/>
          <w:sz w:val="24"/>
        </w:rPr>
        <w:t>应承担勘察现场的责任和风险。</w:t>
      </w:r>
    </w:p>
    <w:p w14:paraId="5D870AD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4.4</w:t>
      </w:r>
      <w:r>
        <w:rPr>
          <w:rFonts w:hint="eastAsia" w:ascii="宋体" w:hAnsi="宋体" w:eastAsia="宋体" w:cs="宋体"/>
          <w:sz w:val="24"/>
        </w:rPr>
        <w:t>投标人</w:t>
      </w:r>
      <w:r>
        <w:rPr>
          <w:rFonts w:hint="eastAsia" w:ascii="宋体" w:hAnsi="宋体" w:eastAsia="宋体" w:cs="宋体"/>
          <w:bCs/>
          <w:sz w:val="24"/>
        </w:rPr>
        <w:t>应认真踏勘现场。在现场勘察时，熟悉作业现场、现场周围交通道路等情况，以获得一切可能影响其投标的直接资料。投标人中标后，不得以不完全了解现场情况为理由而向采购人提出任何索赔的要求，对此采购人不承担任何责任并将不作任何答复与考虑。</w:t>
      </w:r>
    </w:p>
    <w:p w14:paraId="4335CFA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（三）投标文件的编制</w:t>
      </w:r>
      <w:bookmarkEnd w:id="37"/>
      <w:bookmarkEnd w:id="38"/>
      <w:bookmarkEnd w:id="39"/>
      <w:bookmarkEnd w:id="40"/>
      <w:bookmarkEnd w:id="41"/>
      <w:bookmarkStart w:id="42" w:name="_Toc16938530"/>
      <w:bookmarkStart w:id="43" w:name="_Toc513029214"/>
      <w:bookmarkStart w:id="44" w:name="_Toc462564073"/>
      <w:bookmarkStart w:id="45" w:name="_Toc20823286"/>
    </w:p>
    <w:p w14:paraId="0E731162">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1.投标文件的语言及度量衡单位</w:t>
      </w:r>
      <w:bookmarkEnd w:id="42"/>
      <w:bookmarkEnd w:id="43"/>
      <w:bookmarkEnd w:id="44"/>
      <w:bookmarkEnd w:id="45"/>
    </w:p>
    <w:p w14:paraId="7823E7E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1.1</w:t>
      </w:r>
      <w:r>
        <w:rPr>
          <w:rFonts w:hint="eastAsia" w:ascii="宋体" w:hAnsi="宋体" w:eastAsia="宋体" w:cs="宋体"/>
          <w:sz w:val="24"/>
        </w:rPr>
        <w:t>投标人提交的投标文件以及投标人与</w:t>
      </w:r>
      <w:r>
        <w:rPr>
          <w:rFonts w:hint="eastAsia" w:ascii="宋体" w:hAnsi="宋体" w:eastAsia="宋体" w:cs="宋体"/>
          <w:bCs/>
          <w:sz w:val="24"/>
        </w:rPr>
        <w:t>采购人或代理机构</w:t>
      </w:r>
      <w:r>
        <w:rPr>
          <w:rFonts w:hint="eastAsia" w:ascii="宋体" w:hAnsi="宋体" w:eastAsia="宋体" w:cs="宋体"/>
          <w:sz w:val="24"/>
        </w:rPr>
        <w:t>就有关投标的所有来往通知、函件和文件均应使用</w:t>
      </w:r>
      <w:r>
        <w:rPr>
          <w:rFonts w:hint="eastAsia" w:ascii="宋体" w:hAnsi="宋体" w:eastAsia="宋体" w:cs="宋体"/>
          <w:bCs/>
          <w:sz w:val="24"/>
        </w:rPr>
        <w:t>简体中文</w:t>
      </w:r>
      <w:r>
        <w:rPr>
          <w:rFonts w:hint="eastAsia" w:ascii="宋体" w:hAnsi="宋体" w:eastAsia="宋体" w:cs="宋体"/>
          <w:sz w:val="24"/>
        </w:rPr>
        <w:t>。</w:t>
      </w:r>
    </w:p>
    <w:p w14:paraId="04FAE4A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1.2</w:t>
      </w:r>
      <w:r>
        <w:rPr>
          <w:rFonts w:hint="eastAsia" w:ascii="宋体" w:hAnsi="宋体" w:eastAsia="宋体" w:cs="宋体"/>
          <w:sz w:val="24"/>
        </w:rPr>
        <w:t>除技术性能另有规定外，投标文件所使用的度量衡单位，均须采用国家法定计量单位。</w:t>
      </w:r>
      <w:bookmarkStart w:id="46" w:name="_Toc462564074"/>
      <w:bookmarkStart w:id="47" w:name="_Toc513029215"/>
      <w:bookmarkStart w:id="48" w:name="_Toc20823287"/>
      <w:bookmarkStart w:id="49" w:name="_Toc16938531"/>
    </w:p>
    <w:p w14:paraId="45CF7E8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2.投标文件构成</w:t>
      </w:r>
      <w:bookmarkEnd w:id="46"/>
      <w:bookmarkEnd w:id="47"/>
      <w:bookmarkEnd w:id="48"/>
      <w:bookmarkEnd w:id="49"/>
      <w:bookmarkStart w:id="50" w:name="_Hlt26668975"/>
      <w:bookmarkEnd w:id="50"/>
      <w:bookmarkStart w:id="51" w:name="_Hlt26670360"/>
      <w:bookmarkEnd w:id="51"/>
      <w:bookmarkStart w:id="52" w:name="_Hlt26954838"/>
      <w:bookmarkEnd w:id="52"/>
      <w:bookmarkStart w:id="53" w:name="_Toc49090511"/>
      <w:bookmarkStart w:id="54" w:name="_Toc14577360"/>
    </w:p>
    <w:p w14:paraId="540B56E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2.1 投标人编写的投标文件应包括资格证明文件、符合性证明文件、开标一览表、技术部分正负偏离表、商务部分正负偏离表、其他证明文件等部分，</w:t>
      </w:r>
      <w:r>
        <w:rPr>
          <w:rFonts w:hint="eastAsia" w:ascii="宋体" w:hAnsi="宋体" w:eastAsia="宋体" w:cs="宋体"/>
          <w:b/>
          <w:bCs/>
          <w:sz w:val="24"/>
        </w:rPr>
        <w:t>具体详见系统内电子投标文件组成</w:t>
      </w:r>
      <w:r>
        <w:rPr>
          <w:rFonts w:hint="eastAsia" w:ascii="宋体" w:hAnsi="宋体" w:eastAsia="宋体" w:cs="宋体"/>
          <w:sz w:val="24"/>
        </w:rPr>
        <w:t>。供应商按“第六部分 投标文件格式”要求编写投标文件。</w:t>
      </w:r>
    </w:p>
    <w:p w14:paraId="619DEC3C">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8"/>
          <w:szCs w:val="28"/>
        </w:rPr>
      </w:pPr>
      <w:r>
        <w:rPr>
          <w:rFonts w:hint="eastAsia" w:ascii="宋体" w:hAnsi="宋体" w:eastAsia="宋体" w:cs="宋体"/>
          <w:sz w:val="24"/>
        </w:rPr>
        <w:t>2.2如标书制作工具中格式和内容与“江苏政府采购网”发布的招标文件不一致，请以“江苏政府采购网”发布的招标文件为准。</w:t>
      </w:r>
    </w:p>
    <w:p w14:paraId="1C3BA61F">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3.投标有效期</w:t>
      </w:r>
      <w:bookmarkEnd w:id="53"/>
      <w:bookmarkEnd w:id="54"/>
    </w:p>
    <w:p w14:paraId="05F38AA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3.1投标有效期为采购人规定的开标之日后</w:t>
      </w:r>
      <w:r>
        <w:rPr>
          <w:rFonts w:hint="eastAsia" w:ascii="宋体" w:hAnsi="宋体" w:eastAsia="宋体" w:cs="宋体"/>
          <w:sz w:val="24"/>
          <w:u w:val="single"/>
        </w:rPr>
        <w:t>六十（60）天</w:t>
      </w:r>
      <w:r>
        <w:rPr>
          <w:rFonts w:hint="eastAsia" w:ascii="宋体" w:hAnsi="宋体" w:eastAsia="宋体" w:cs="宋体"/>
          <w:bCs/>
          <w:sz w:val="24"/>
        </w:rPr>
        <w:t>。投标有效期比规定短的将被视为非响应性投标而予以拒绝。</w:t>
      </w:r>
    </w:p>
    <w:p w14:paraId="451FB670">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4.投标有效期的延长</w:t>
      </w:r>
    </w:p>
    <w:p w14:paraId="52BCED7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4.1在特殊情况下，采购人于原投标有效期满之前，可向投标人提出延长投标有效期的要求。这种要求与答复均应采用书面形式。投标人可以拒绝</w:t>
      </w:r>
      <w:r>
        <w:rPr>
          <w:rFonts w:hint="eastAsia" w:ascii="宋体" w:hAnsi="宋体" w:eastAsia="宋体" w:cs="宋体"/>
          <w:sz w:val="24"/>
        </w:rPr>
        <w:t>采购人</w:t>
      </w:r>
      <w:r>
        <w:rPr>
          <w:rFonts w:hint="eastAsia" w:ascii="宋体" w:hAnsi="宋体" w:eastAsia="宋体" w:cs="宋体"/>
          <w:bCs/>
          <w:sz w:val="24"/>
        </w:rPr>
        <w:t>的这一要求而放弃投标，同意延长投标有效期的投标人既不能要求也不允许修改其投标文件。</w:t>
      </w:r>
      <w:r>
        <w:rPr>
          <w:rFonts w:hint="eastAsia" w:ascii="宋体" w:hAnsi="宋体" w:eastAsia="宋体" w:cs="宋体"/>
          <w:sz w:val="24"/>
        </w:rPr>
        <w:t>受投标有效期约束的所有权利与义务均延长至新的有效期</w:t>
      </w:r>
      <w:r>
        <w:rPr>
          <w:rFonts w:hint="eastAsia" w:ascii="宋体" w:hAnsi="宋体" w:eastAsia="宋体" w:cs="宋体"/>
          <w:bCs/>
          <w:sz w:val="24"/>
        </w:rPr>
        <w:t>。</w:t>
      </w:r>
    </w:p>
    <w:p w14:paraId="690294A3">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5.电子投标文件其他要求</w:t>
      </w:r>
    </w:p>
    <w:p w14:paraId="5D86A3A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5.1电子招标投标交易平台（即“苏采云”系统）相关要求是本采购文件的组成部分。</w:t>
      </w:r>
    </w:p>
    <w:p w14:paraId="3586D9C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5.2投标人应对CA证书妥善保管，如被他人盗用投标，因此带来的结果均由投标人自行承担。</w:t>
      </w:r>
    </w:p>
    <w:p w14:paraId="253E9AC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5.3投标人应当对招标文件提出的实质性要求和条件作出实质性响应，并在电子投标系统逐条应答。</w:t>
      </w:r>
    </w:p>
    <w:p w14:paraId="3D38951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5.4投标人应对要求提供的资格证明文件（如资质证书、资格证书）、技术资料（如白皮书、彩页、手册、检测报告等）扫描上传至投标系统。</w:t>
      </w:r>
    </w:p>
    <w:p w14:paraId="356DF0E8">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6.投标人应当在招标文件要求</w:t>
      </w:r>
      <w:r>
        <w:rPr>
          <w:rFonts w:hint="eastAsia" w:ascii="宋体" w:hAnsi="宋体" w:eastAsia="宋体" w:cs="宋体"/>
          <w:sz w:val="24"/>
        </w:rPr>
        <w:t>提交投标文件截止</w:t>
      </w:r>
      <w:r>
        <w:rPr>
          <w:rFonts w:hint="eastAsia" w:ascii="宋体" w:hAnsi="宋体" w:eastAsia="宋体" w:cs="宋体"/>
          <w:bCs/>
          <w:sz w:val="24"/>
        </w:rPr>
        <w:t>时间前，将投标文件提交至“苏采云”系统，逾期提交的投标文件，“苏采云”系统将自动拒收。各投标人应在规定时间内凭CA证书进行网上解密。</w:t>
      </w:r>
    </w:p>
    <w:p w14:paraId="32D9A75A">
      <w:pPr>
        <w:keepNext/>
        <w:keepLines/>
        <w:pageBreakBefore w:val="0"/>
        <w:kinsoku/>
        <w:wordWrap/>
        <w:overflowPunct/>
        <w:topLinePunct w:val="0"/>
        <w:autoSpaceDE/>
        <w:autoSpaceDN/>
        <w:bidi w:val="0"/>
        <w:snapToGrid/>
        <w:spacing w:line="360" w:lineRule="auto"/>
        <w:ind w:firstLine="482"/>
        <w:jc w:val="left"/>
        <w:textAlignment w:val="auto"/>
        <w:outlineLvl w:val="2"/>
        <w:rPr>
          <w:rFonts w:hint="eastAsia" w:ascii="宋体" w:hAnsi="宋体" w:eastAsia="宋体" w:cs="宋体"/>
          <w:b/>
          <w:bCs/>
          <w:sz w:val="24"/>
        </w:rPr>
      </w:pPr>
      <w:bookmarkStart w:id="55" w:name="_Hlt26954852"/>
      <w:bookmarkEnd w:id="55"/>
      <w:bookmarkStart w:id="56" w:name="_Hlt26954739"/>
      <w:bookmarkEnd w:id="56"/>
      <w:bookmarkStart w:id="57" w:name="_Toc20823296"/>
      <w:bookmarkStart w:id="58" w:name="_Toc16938540"/>
      <w:bookmarkStart w:id="59" w:name="_Toc513029224"/>
      <w:bookmarkStart w:id="60" w:name="_Toc120614217"/>
      <w:bookmarkStart w:id="61" w:name="_Toc20823301"/>
      <w:bookmarkStart w:id="62" w:name="_Toc513029229"/>
      <w:bookmarkStart w:id="63" w:name="_Toc120614218"/>
      <w:bookmarkStart w:id="64" w:name="_Toc16938545"/>
      <w:r>
        <w:rPr>
          <w:rFonts w:hint="eastAsia" w:ascii="宋体" w:hAnsi="宋体" w:eastAsia="宋体" w:cs="宋体"/>
          <w:b/>
          <w:bCs/>
          <w:sz w:val="24"/>
        </w:rPr>
        <w:t>（四）投标文件的提交</w:t>
      </w:r>
      <w:bookmarkEnd w:id="57"/>
      <w:bookmarkEnd w:id="58"/>
      <w:bookmarkEnd w:id="59"/>
      <w:bookmarkEnd w:id="60"/>
    </w:p>
    <w:p w14:paraId="672E757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bookmarkStart w:id="65" w:name="_Toc513029225"/>
      <w:bookmarkStart w:id="66" w:name="_Toc20823297"/>
      <w:bookmarkStart w:id="67" w:name="_Toc462564084"/>
      <w:bookmarkStart w:id="68" w:name="_Toc16938541"/>
      <w:r>
        <w:rPr>
          <w:rFonts w:hint="eastAsia" w:ascii="宋体" w:hAnsi="宋体" w:eastAsia="宋体" w:cs="宋体"/>
          <w:bCs/>
          <w:sz w:val="24"/>
        </w:rPr>
        <w:t>1.投标文件</w:t>
      </w:r>
      <w:bookmarkEnd w:id="65"/>
      <w:bookmarkEnd w:id="66"/>
      <w:bookmarkEnd w:id="67"/>
      <w:bookmarkEnd w:id="68"/>
      <w:r>
        <w:rPr>
          <w:rFonts w:hint="eastAsia" w:ascii="宋体" w:hAnsi="宋体" w:eastAsia="宋体" w:cs="宋体"/>
          <w:bCs/>
          <w:sz w:val="24"/>
        </w:rPr>
        <w:t>的提交</w:t>
      </w:r>
    </w:p>
    <w:p w14:paraId="6B4808D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1.1线上提交与接收地点：投标人应当通过“苏采云”系统提交数据电文形式的投标文件（即电子投标），“苏采云”系统自动接收。</w:t>
      </w:r>
    </w:p>
    <w:p w14:paraId="7E7915DD">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rPr>
      </w:pPr>
      <w:r>
        <w:rPr>
          <w:rFonts w:hint="eastAsia" w:ascii="宋体" w:hAnsi="宋体" w:eastAsia="宋体" w:cs="宋体"/>
          <w:b/>
          <w:bCs/>
          <w:sz w:val="24"/>
        </w:rPr>
        <w:t>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p>
    <w:p w14:paraId="54822BA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2.提交投标文件截止日期</w:t>
      </w:r>
    </w:p>
    <w:p w14:paraId="74B2B71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2.1投标人上传电子投标文件的时间不得迟于采购公告中规定的提交投标文件截止时间。</w:t>
      </w:r>
    </w:p>
    <w:p w14:paraId="54A6C2F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投标人应充分考虑到网络环境、网络带宽等风险因素，如因投标人自身原因造成的电子投标文件上传不成功由投标人自行承担全部责任。</w:t>
      </w:r>
    </w:p>
    <w:p w14:paraId="0FDEA39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2.2采购人或采购代理机构可以按照规定，通过修改投标文件酌情延长提交投标文件截止日期，在此情况下，投标人的所有权利和义务以及投标人受制的截止日期均应以延长后新的截止日期为准。</w:t>
      </w:r>
    </w:p>
    <w:p w14:paraId="766F7BC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3.投标文件的密封（加密）要求：</w:t>
      </w:r>
    </w:p>
    <w:p w14:paraId="1325DA6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3.1投标人应当按照采购文件和“苏采云”系统的要求编制并加密投标文件。本项目投标人须通过“苏采云”系统提供的政府采购客户端工具（使用“CA数字证书”）对其数据电文形式的投标文件加密。</w:t>
      </w:r>
    </w:p>
    <w:p w14:paraId="19B7B6F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3.2投标人须通过“苏采云”系统提供的政府采购客户端工具（使用“CA数字证书”）加盖电子签章。</w:t>
      </w:r>
    </w:p>
    <w:p w14:paraId="5869E51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说明：投标人应在用CA数字证书以及自备的能够登录“苏采云”系统的电脑，在达到开标时间后，使用CA数字证书解密各自投标文件。</w:t>
      </w:r>
    </w:p>
    <w:p w14:paraId="595BF04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3.3投标人未按规定加密的投标文件，“苏采云”系统将拒收并提示。</w:t>
      </w:r>
    </w:p>
    <w:p w14:paraId="3718D07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4.投标文件的拒收</w:t>
      </w:r>
    </w:p>
    <w:p w14:paraId="691FC98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4.1采购人（或采购代理机构）拒绝接收在其规定的提交投标文件截止时间后上传的任何投标文件。</w:t>
      </w:r>
    </w:p>
    <w:p w14:paraId="5F8BC30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5.投标文件的撤回和修改</w:t>
      </w:r>
    </w:p>
    <w:p w14:paraId="0B5895C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5.1投标文件的撤回</w:t>
      </w:r>
    </w:p>
    <w:p w14:paraId="3AEEFBD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5.1.1电子投标文件的撤回</w:t>
      </w:r>
    </w:p>
    <w:p w14:paraId="0E7D992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投标人可在提交投标文件截止时间前，撤回其投标文件，具体操作方法见“苏采云”系统供应商操作手册。</w:t>
      </w:r>
    </w:p>
    <w:p w14:paraId="493C2BC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5.1.2投标人撤回电子投标文件，则认为其不再参与本项目投标活动。</w:t>
      </w:r>
    </w:p>
    <w:p w14:paraId="56DB74A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5.2投标文件的修改</w:t>
      </w:r>
    </w:p>
    <w:p w14:paraId="2D675B0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投标人可在提交投标文件截止时间前，对其电子投标文件进行修改。具体操作方法见“苏采云”系统供应商操作手册。</w:t>
      </w:r>
    </w:p>
    <w:p w14:paraId="3CB6410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5.3在提交投标文件截止时间之后，投标人不得对其电子投标文件作任何修改。</w:t>
      </w:r>
    </w:p>
    <w:p w14:paraId="4BF7FEB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5.4在提交投标文件截止时间至招标文件中规定的投标有效期满之间的这段时间内，投标人不得撤回其投标文件。</w:t>
      </w:r>
    </w:p>
    <w:p w14:paraId="26B7F64C">
      <w:pPr>
        <w:pStyle w:val="196"/>
        <w:pageBreakBefore w:val="0"/>
        <w:kinsoku/>
        <w:wordWrap/>
        <w:overflowPunct/>
        <w:topLinePunct w:val="0"/>
        <w:autoSpaceDE/>
        <w:autoSpaceDN/>
        <w:bidi w:val="0"/>
        <w:snapToGrid/>
        <w:spacing w:before="0" w:after="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（五）投标报价</w:t>
      </w:r>
    </w:p>
    <w:p w14:paraId="653ED4A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highlight w:val="none"/>
        </w:rPr>
      </w:pPr>
      <w:r>
        <w:rPr>
          <w:rFonts w:hint="eastAsia" w:ascii="宋体" w:hAnsi="宋体" w:eastAsia="宋体" w:cs="宋体"/>
          <w:b/>
          <w:sz w:val="24"/>
          <w:highlight w:val="none"/>
        </w:rPr>
        <w:t>1.本项目不接受任何有选择的报价。</w:t>
      </w:r>
    </w:p>
    <w:p w14:paraId="4CA013C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rPr>
      </w:pPr>
      <w:r>
        <w:rPr>
          <w:rFonts w:hint="eastAsia" w:ascii="宋体" w:hAnsi="宋体" w:eastAsia="宋体" w:cs="宋体"/>
          <w:b/>
          <w:sz w:val="24"/>
          <w:highlight w:val="none"/>
        </w:rPr>
        <w:t>2.投标报价应包含</w:t>
      </w:r>
      <w:r>
        <w:rPr>
          <w:rFonts w:hint="eastAsia" w:ascii="宋体" w:hAnsi="宋体" w:eastAsia="宋体" w:cs="宋体"/>
          <w:b/>
          <w:sz w:val="24"/>
          <w:highlight w:val="none"/>
          <w:lang w:val="en-US" w:eastAsia="zh-CN"/>
        </w:rPr>
        <w:t>但不限于人工费</w:t>
      </w:r>
      <w:r>
        <w:rPr>
          <w:rFonts w:hint="eastAsia" w:ascii="宋体" w:hAnsi="宋体" w:eastAsia="宋体" w:cs="宋体"/>
          <w:b/>
          <w:sz w:val="24"/>
          <w:highlight w:val="none"/>
        </w:rPr>
        <w:t>、运输费、装卸费、维护费、交通安全措施费、车辆设备费、保险费、招标代理费、管理费、税金、</w:t>
      </w:r>
      <w:r>
        <w:rPr>
          <w:rFonts w:hint="eastAsia" w:ascii="宋体" w:hAnsi="宋体" w:eastAsia="宋体" w:cs="宋体"/>
          <w:b/>
          <w:sz w:val="24"/>
          <w:highlight w:val="none"/>
          <w:lang w:val="zh-CN"/>
        </w:rPr>
        <w:t>合理利润等及政策性文件规定及合同包含的所有风险、责任等各项应有费用</w:t>
      </w:r>
      <w:r>
        <w:rPr>
          <w:rFonts w:hint="eastAsia" w:ascii="宋体" w:hAnsi="宋体" w:eastAsia="宋体" w:cs="宋体"/>
          <w:b/>
          <w:sz w:val="24"/>
          <w:highlight w:val="none"/>
        </w:rPr>
        <w:t>。无论本文件是否以文字形式规定，投标人应具备足够的专业知识和能力判定本项目所需的一切设备采购、服务等各种未预见费</w:t>
      </w:r>
      <w:r>
        <w:rPr>
          <w:rFonts w:hint="eastAsia" w:ascii="宋体" w:hAnsi="宋体" w:eastAsia="宋体" w:cs="宋体"/>
          <w:b/>
          <w:sz w:val="24"/>
        </w:rPr>
        <w:t>用，采购方不接受任何可选择的报价。请各投标人在报价时请充分考虑各种因素</w:t>
      </w:r>
      <w:r>
        <w:rPr>
          <w:rFonts w:hint="eastAsia" w:ascii="宋体" w:hAnsi="宋体" w:eastAsia="宋体" w:cs="宋体"/>
          <w:b/>
          <w:sz w:val="24"/>
          <w:lang w:eastAsia="zh-CN"/>
        </w:rPr>
        <w:t>，</w:t>
      </w:r>
      <w:r>
        <w:rPr>
          <w:rFonts w:hint="eastAsia" w:ascii="宋体" w:hAnsi="宋体" w:eastAsia="宋体" w:cs="宋体"/>
          <w:b/>
          <w:sz w:val="24"/>
          <w:lang w:val="en-US" w:eastAsia="zh-CN"/>
        </w:rPr>
        <w:t>报价一次包定,采购方不再支付本次招标价格以外的任何费用</w:t>
      </w:r>
      <w:r>
        <w:rPr>
          <w:rFonts w:hint="eastAsia" w:ascii="宋体" w:hAnsi="宋体" w:eastAsia="宋体" w:cs="宋体"/>
          <w:b/>
          <w:sz w:val="24"/>
        </w:rPr>
        <w:t>。</w:t>
      </w:r>
    </w:p>
    <w:p w14:paraId="2C808EB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rPr>
      </w:pPr>
      <w:r>
        <w:rPr>
          <w:rFonts w:hint="eastAsia" w:ascii="宋体" w:hAnsi="宋体" w:eastAsia="宋体" w:cs="宋体"/>
          <w:b/>
          <w:sz w:val="24"/>
        </w:rPr>
        <w:t>3.供应商应结合招标文件、项目需求、技术要求、作业现场的环境等，考虑本项目各项费用风险，周密调研，理性报价。</w:t>
      </w:r>
    </w:p>
    <w:p w14:paraId="15CE04F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sz w:val="24"/>
          <w:highlight w:val="cyan"/>
        </w:rPr>
      </w:pPr>
      <w:r>
        <w:rPr>
          <w:rFonts w:hint="eastAsia" w:ascii="宋体" w:hAnsi="宋体" w:eastAsia="宋体" w:cs="宋体"/>
          <w:b/>
          <w:sz w:val="24"/>
        </w:rPr>
        <w:t>4.除合同条款另有规定外，中标价在合同实施期间不因市场变化因素而变动。</w:t>
      </w:r>
    </w:p>
    <w:p w14:paraId="3437748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rPr>
      </w:pPr>
      <w:r>
        <w:rPr>
          <w:rFonts w:hint="eastAsia" w:ascii="宋体" w:hAnsi="宋体" w:eastAsia="宋体" w:cs="宋体"/>
          <w:b/>
          <w:sz w:val="24"/>
        </w:rPr>
        <w:t>5.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p>
    <w:p w14:paraId="3D2AC88C">
      <w:pPr>
        <w:pStyle w:val="196"/>
        <w:pageBreakBefore w:val="0"/>
        <w:kinsoku/>
        <w:wordWrap/>
        <w:overflowPunct/>
        <w:topLinePunct w:val="0"/>
        <w:autoSpaceDE/>
        <w:autoSpaceDN/>
        <w:bidi w:val="0"/>
        <w:snapToGrid/>
        <w:spacing w:before="0" w:after="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（六）开标与评标</w:t>
      </w:r>
      <w:bookmarkEnd w:id="61"/>
      <w:bookmarkEnd w:id="62"/>
      <w:bookmarkEnd w:id="63"/>
      <w:bookmarkEnd w:id="64"/>
    </w:p>
    <w:p w14:paraId="0761C49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bookmarkStart w:id="69" w:name="_Toc513029231"/>
      <w:bookmarkStart w:id="70" w:name="_Toc20823303"/>
      <w:bookmarkStart w:id="71" w:name="_Toc16938547"/>
      <w:r>
        <w:rPr>
          <w:rFonts w:hint="eastAsia" w:ascii="宋体" w:hAnsi="宋体" w:eastAsia="宋体" w:cs="宋体"/>
          <w:bCs/>
          <w:sz w:val="24"/>
        </w:rPr>
        <w:t>1.开标仪式</w:t>
      </w:r>
    </w:p>
    <w:p w14:paraId="149A324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1.1采购代理将在招标公告中规定的时间和地点组织公开开标</w:t>
      </w:r>
      <w:r>
        <w:rPr>
          <w:rFonts w:hint="eastAsia" w:ascii="宋体" w:hAnsi="宋体" w:eastAsia="宋体" w:cs="宋体"/>
          <w:sz w:val="24"/>
        </w:rPr>
        <w:t>。投标人应当按照《江苏省政府采购管理交易系统（苏采云）供应商操作手册》规定，参加开标活动和在苏采云系统规定的时间内对投标文件进行解密。</w:t>
      </w:r>
    </w:p>
    <w:p w14:paraId="6716074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开标当天投标人应及时登录“苏采云”不见面开标大厅，并在规定时间内自行实施远程解密。</w:t>
      </w:r>
      <w:r>
        <w:rPr>
          <w:rFonts w:hint="eastAsia" w:ascii="宋体" w:hAnsi="宋体" w:eastAsia="宋体" w:cs="宋体"/>
          <w:b/>
          <w:sz w:val="24"/>
        </w:rPr>
        <w:t>投标人解密时间限定为投标文件解密指令发出后30分钟（投标人应当充分考虑网络延时造成的本地网络计时不一致风险，提前完成解密动作）。</w:t>
      </w:r>
      <w:r>
        <w:rPr>
          <w:rFonts w:hint="eastAsia" w:ascii="宋体" w:hAnsi="宋体" w:eastAsia="宋体" w:cs="宋体"/>
          <w:b/>
          <w:bCs/>
          <w:sz w:val="24"/>
        </w:rPr>
        <w:t>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eastAsia="宋体" w:cs="宋体"/>
          <w:sz w:val="24"/>
        </w:rPr>
        <w:t>因采购人（或采购代理机构）原因或网上招投标平台发生故障，导致无法按时完成投标文件解密或开、评标工作无法进行的，可根据实际情况相应延迟解密时间或调整开、评标时间。</w:t>
      </w:r>
    </w:p>
    <w:p w14:paraId="37C8818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1.2开标仪式由采购代理机构组织。苏采云系统将自动对项目进行开标，并宣布各投标人名称和投标价格。</w:t>
      </w:r>
    </w:p>
    <w:p w14:paraId="25B0889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1.3投标人在开标过程中涉及到的投标文件解密、开标结果确认等工作，应按照《江苏省政府采购管理交易系统（苏采云）供应商操作手册》规定执行。</w:t>
      </w:r>
    </w:p>
    <w:p w14:paraId="3A47DFA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2.评标委员会</w:t>
      </w:r>
    </w:p>
    <w:p w14:paraId="6F86F56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2.1 开标后，采购</w:t>
      </w:r>
      <w:r>
        <w:rPr>
          <w:rFonts w:hint="eastAsia" w:ascii="宋体" w:hAnsi="宋体" w:eastAsia="宋体" w:cs="宋体"/>
          <w:bCs/>
          <w:sz w:val="24"/>
        </w:rPr>
        <w:t>代理机构</w:t>
      </w:r>
      <w:r>
        <w:rPr>
          <w:rFonts w:hint="eastAsia" w:ascii="宋体" w:hAnsi="宋体" w:eastAsia="宋体" w:cs="宋体"/>
          <w:sz w:val="24"/>
        </w:rPr>
        <w:t>将立即组织评标委员会（以下简称评委会）进行评标。</w:t>
      </w:r>
    </w:p>
    <w:p w14:paraId="2A079CF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2.2 评委会由采购人代表和有关技术、经济等方面的专家组成，且人员构成符合政府采购有关规定。评标专家应当从政府采购评审专家库内相关专业的专家名单中随机抽取。情况特殊、通过随机方式难以确定合适的评标专家的，经主管预算单位同意，可以自行选定评标专家。</w:t>
      </w:r>
    </w:p>
    <w:p w14:paraId="6FDBE0B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2.3评委会独立工作，负责评审所有投标文件并确定中标侯选人。</w:t>
      </w:r>
    </w:p>
    <w:p w14:paraId="66820C8F">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3.评标过程的保密与公正</w:t>
      </w:r>
      <w:bookmarkEnd w:id="69"/>
      <w:bookmarkEnd w:id="70"/>
      <w:bookmarkEnd w:id="71"/>
    </w:p>
    <w:p w14:paraId="09D0876C">
      <w:pPr>
        <w:pageBreakBefore w:val="0"/>
        <w:tabs>
          <w:tab w:val="left" w:pos="900"/>
        </w:tabs>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3.1评委会、采购人和采购代理机构工作人员、相关监督人员等与评标工作有关的人员，对评标情况以及在评标过程中获悉的国家秘密、商业秘密负有保密责任。</w:t>
      </w:r>
    </w:p>
    <w:p w14:paraId="4108567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3.2在评标过程中，投标人不得以任何行为影响评标过程，否则其投标文件将被作为无效投标文件。</w:t>
      </w:r>
    </w:p>
    <w:p w14:paraId="433C1AC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3.3公开开标后，直至向中标人授予合同时止，凡是与审查、澄清、评价和比较投标的有关资料以及授标建议等，采购人、评委、</w:t>
      </w:r>
      <w:r>
        <w:rPr>
          <w:rFonts w:hint="eastAsia" w:ascii="宋体" w:hAnsi="宋体" w:eastAsia="宋体" w:cs="宋体"/>
          <w:sz w:val="24"/>
        </w:rPr>
        <w:t>代理机构</w:t>
      </w:r>
      <w:r>
        <w:rPr>
          <w:rFonts w:hint="eastAsia" w:ascii="宋体" w:hAnsi="宋体" w:eastAsia="宋体" w:cs="宋体"/>
          <w:bCs/>
          <w:sz w:val="24"/>
        </w:rPr>
        <w:t>均不得向投标人或与评标无关的其他人员透露。</w:t>
      </w:r>
    </w:p>
    <w:p w14:paraId="4CAC934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3.4在评标期间，</w:t>
      </w:r>
      <w:r>
        <w:rPr>
          <w:rFonts w:hint="eastAsia" w:ascii="宋体" w:hAnsi="宋体" w:eastAsia="宋体" w:cs="宋体"/>
          <w:bCs/>
          <w:sz w:val="24"/>
        </w:rPr>
        <w:t>采购人或代理机构</w:t>
      </w:r>
      <w:r>
        <w:rPr>
          <w:rFonts w:hint="eastAsia" w:ascii="宋体" w:hAnsi="宋体" w:eastAsia="宋体" w:cs="宋体"/>
          <w:sz w:val="24"/>
        </w:rPr>
        <w:t>将设专门人员与投标人联系。</w:t>
      </w:r>
    </w:p>
    <w:p w14:paraId="1209103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3.5</w:t>
      </w:r>
      <w:r>
        <w:rPr>
          <w:rFonts w:hint="eastAsia" w:ascii="宋体" w:hAnsi="宋体" w:eastAsia="宋体" w:cs="宋体"/>
          <w:bCs/>
          <w:sz w:val="24"/>
        </w:rPr>
        <w:t>采购人、代理机构</w:t>
      </w:r>
      <w:r>
        <w:rPr>
          <w:rFonts w:hint="eastAsia" w:ascii="宋体" w:hAnsi="宋体" w:eastAsia="宋体" w:cs="宋体"/>
          <w:sz w:val="24"/>
        </w:rPr>
        <w:t>和评标委员会不向未中标的投标人解释未中标原因，也不公布评标过程中的相关细节。</w:t>
      </w:r>
      <w:bookmarkStart w:id="72" w:name="_Toc16938548"/>
      <w:bookmarkStart w:id="73" w:name="_Toc513029232"/>
      <w:bookmarkStart w:id="74" w:name="_Toc20823304"/>
    </w:p>
    <w:p w14:paraId="51B5668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3.6采用综合评分法的项目，未中标的投标人可于中标结果公告期限届满之日起通过苏采云系统查看自己的评审得分及排序情况。</w:t>
      </w:r>
    </w:p>
    <w:p w14:paraId="210C3B8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4.投标的澄清</w:t>
      </w:r>
      <w:bookmarkEnd w:id="72"/>
      <w:bookmarkEnd w:id="73"/>
      <w:bookmarkEnd w:id="74"/>
    </w:p>
    <w:p w14:paraId="375B8FE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4.1评标期间，评委会对投标文件中含义不明确、同类问题表述不一致或者有明显文字和计算错误的内容 ，有权要求投标人作出必要的澄清、说明或者补正。</w:t>
      </w:r>
    </w:p>
    <w:p w14:paraId="20C404B9">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536D6B26">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szCs w:val="24"/>
        </w:rPr>
        <w:t>评标委员会并非对每个投标人都做澄清要求。</w:t>
      </w:r>
    </w:p>
    <w:p w14:paraId="1979B04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B0BE1B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4.3接到评委会澄清、说明和补正要求的投标人如未按规定做出澄清、说明和补正，其风险由投标人自行承担。</w:t>
      </w:r>
    </w:p>
    <w:p w14:paraId="24ECB889">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bookmarkStart w:id="75" w:name="_Toc20823305"/>
      <w:bookmarkStart w:id="76" w:name="_Toc513029233"/>
      <w:bookmarkStart w:id="77" w:name="_Toc16938549"/>
      <w:r>
        <w:rPr>
          <w:rFonts w:hint="eastAsia" w:ascii="宋体" w:hAnsi="宋体" w:eastAsia="宋体" w:cs="宋体"/>
          <w:sz w:val="24"/>
          <w:szCs w:val="24"/>
        </w:rPr>
        <w:t>5.对投标文件的初审</w:t>
      </w:r>
      <w:bookmarkEnd w:id="75"/>
      <w:bookmarkEnd w:id="76"/>
      <w:bookmarkEnd w:id="77"/>
    </w:p>
    <w:p w14:paraId="107C995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5.1</w:t>
      </w:r>
      <w:r>
        <w:rPr>
          <w:rFonts w:hint="eastAsia" w:ascii="宋体" w:hAnsi="宋体" w:eastAsia="宋体" w:cs="宋体"/>
          <w:bCs/>
          <w:sz w:val="24"/>
        </w:rPr>
        <w:t>投标文件初审分为资格审查和符合性审查。</w:t>
      </w:r>
    </w:p>
    <w:p w14:paraId="2BBC6C0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5.1.1资格审查：依据法律法规和招标文件的规定，由采购人对投标文件中的资格审查证明材料进行审查。资格审查的结论，采购人以书面形式向评委会进行反馈。</w:t>
      </w:r>
    </w:p>
    <w:p w14:paraId="629CCAC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采购人在进行资格性审查的同时，将在“信用中国”网站（www.creditchina.gov.cn）查询投标人的信用记录，以确定投标人是否具备投标资格,查询结果留存并归档。</w:t>
      </w:r>
    </w:p>
    <w:p w14:paraId="3D9E9B4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1A617FE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5.1.2符合性审查：依据招标文件的规定，由评委会从投标文件的有效性、完整性和对招标文件的响应程度进行审查，以确定是否对招标文件的实质性要求作出响应。</w:t>
      </w:r>
    </w:p>
    <w:p w14:paraId="7C67072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5.1.3未通过资格审查或符合性审查的投标人，采购代理将在苏采云系统中告知未通过资格审查或符合性审查的原因，评标结束后，采购代理将不再告知未通过资格审查或符合性审查的原因。</w:t>
      </w:r>
    </w:p>
    <w:p w14:paraId="51852E4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5.2在详细评标之前，评委会将首先审查每份投标文件是否实质性响应了招标文件的要求。实质性响应的投标应该是与招标文件要求的全部条款、条件和规格相符，没有重大偏离或保留的投标。</w:t>
      </w:r>
    </w:p>
    <w:p w14:paraId="639823E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562890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5.3如果投标文件实质上没有响应招标文件的要求，评委会将予以拒绝，投标人不得通过修改或撤销不合要求的偏离或保留而使其投标成为实质性响应的投标。</w:t>
      </w:r>
    </w:p>
    <w:p w14:paraId="47E45BC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5.4</w:t>
      </w:r>
      <w:r>
        <w:rPr>
          <w:rFonts w:hint="eastAsia" w:ascii="宋体" w:hAnsi="宋体" w:eastAsia="宋体" w:cs="宋体"/>
          <w:bCs/>
          <w:sz w:val="24"/>
        </w:rPr>
        <w:t>评委会将对确定为实质性响应的投标进行进一步审核，确定其是否有计算上或累加上的算术错误，修正错误的原则如下：</w:t>
      </w:r>
    </w:p>
    <w:p w14:paraId="6C91472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（1）投标文件中开标一览表内容与投标文件中相应内容不一致的，以开标一览表为准。</w:t>
      </w:r>
    </w:p>
    <w:p w14:paraId="042D203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（2）大写金额和小写金额不一致的，以大写金额为准。</w:t>
      </w:r>
    </w:p>
    <w:p w14:paraId="23A8A66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（3）单价金额小数点或者百分比有明显错位的，以开标一览表的总价为准，并修改单价。</w:t>
      </w:r>
    </w:p>
    <w:p w14:paraId="1F7C707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（4）总价金额与按单价汇总金额不一致的，以单价金额计算结果为准。</w:t>
      </w:r>
    </w:p>
    <w:p w14:paraId="35FDB46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同时出现两种以上错误的，按照前款规定的顺序修正。</w:t>
      </w:r>
    </w:p>
    <w:p w14:paraId="2C00693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5.5</w:t>
      </w:r>
      <w:r>
        <w:rPr>
          <w:rFonts w:hint="eastAsia" w:ascii="宋体" w:hAnsi="宋体" w:eastAsia="宋体" w:cs="宋体"/>
          <w:bCs/>
          <w:sz w:val="24"/>
        </w:rPr>
        <w:t>评委会将按上述修正错误的方法调整投标文件中的报价，并通过苏采云系统告</w:t>
      </w:r>
      <w:r>
        <w:rPr>
          <w:rFonts w:hint="eastAsia" w:ascii="宋体" w:hAnsi="宋体" w:eastAsia="宋体" w:cs="宋体"/>
          <w:sz w:val="24"/>
        </w:rPr>
        <w:t>知投标人，调整后的价格应对投标人具有约束力。如果投标人不接受修正后的价格，则其投标将被拒绝。</w:t>
      </w:r>
    </w:p>
    <w:p w14:paraId="746CE0F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bookmarkStart w:id="78" w:name="_Toc16938550"/>
      <w:bookmarkStart w:id="79" w:name="_Toc513029234"/>
      <w:bookmarkStart w:id="80" w:name="_Toc20823306"/>
      <w:r>
        <w:rPr>
          <w:rFonts w:hint="eastAsia" w:ascii="宋体" w:hAnsi="宋体" w:eastAsia="宋体" w:cs="宋体"/>
          <w:sz w:val="24"/>
        </w:rPr>
        <w:t>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188FDA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中标候选人，其他同品牌投标人不作为中标候选人。</w:t>
      </w:r>
    </w:p>
    <w:p w14:paraId="103FA78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非单一产品采购项目，招标文件中将载明其中的核心产品。多家投标人提供的核心产品品牌相同的，按前两款规定处理。</w:t>
      </w:r>
    </w:p>
    <w:p w14:paraId="07DA810A">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z w:val="24"/>
        </w:rPr>
      </w:pPr>
      <w:r>
        <w:rPr>
          <w:rFonts w:hint="eastAsia" w:ascii="宋体" w:hAnsi="宋体" w:eastAsia="宋体" w:cs="宋体"/>
          <w:sz w:val="24"/>
        </w:rPr>
        <w:t>5.7投标人在开、评标全过程中应保持通讯畅通，及时登录苏采云系统查阅、答复相关信息，并安排专人与采购中心及评标委员会联系。</w:t>
      </w:r>
      <w:bookmarkEnd w:id="78"/>
      <w:bookmarkEnd w:id="79"/>
      <w:bookmarkEnd w:id="80"/>
    </w:p>
    <w:p w14:paraId="68C14441">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6.无效投标条款和废标条款</w:t>
      </w:r>
    </w:p>
    <w:p w14:paraId="4CC230DE">
      <w:pPr>
        <w:pageBreakBefore w:val="0"/>
        <w:tabs>
          <w:tab w:val="left" w:pos="6555"/>
          <w:tab w:val="right" w:pos="8306"/>
        </w:tabs>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rPr>
      </w:pPr>
      <w:bookmarkStart w:id="81" w:name="_Toc16938551"/>
      <w:bookmarkStart w:id="82" w:name="_Toc20823307"/>
      <w:bookmarkStart w:id="83" w:name="_Toc513029235"/>
      <w:r>
        <w:rPr>
          <w:rFonts w:hint="eastAsia" w:ascii="宋体" w:hAnsi="宋体" w:eastAsia="宋体" w:cs="宋体"/>
          <w:bCs/>
          <w:sz w:val="24"/>
        </w:rPr>
        <w:t>6.1无效投标条款</w:t>
      </w:r>
      <w:r>
        <w:rPr>
          <w:rFonts w:hint="eastAsia" w:ascii="宋体" w:hAnsi="宋体" w:eastAsia="宋体" w:cs="宋体"/>
          <w:bCs/>
          <w:sz w:val="24"/>
        </w:rPr>
        <w:tab/>
      </w:r>
      <w:r>
        <w:rPr>
          <w:rFonts w:hint="eastAsia" w:ascii="宋体" w:hAnsi="宋体" w:eastAsia="宋体" w:cs="宋体"/>
          <w:b/>
          <w:sz w:val="24"/>
        </w:rPr>
        <w:tab/>
      </w:r>
    </w:p>
    <w:p w14:paraId="7D47F51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6.1.1投标人在苏采云系统规定的时间内未成功解密电子投标文件的。</w:t>
      </w:r>
    </w:p>
    <w:p w14:paraId="1B40CFF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6.1.2投标人未按照招标文件要求上传电子投标文件的。</w:t>
      </w:r>
    </w:p>
    <w:p w14:paraId="03009AA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6.1.3同一投标人提交两个（含两个）以上不同的投标报价的。</w:t>
      </w:r>
    </w:p>
    <w:p w14:paraId="6C95897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6.1.4投标人不具备招标文件中规定资格要求的。</w:t>
      </w:r>
    </w:p>
    <w:p w14:paraId="1EF14FF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6.1.5投标报价超过项目最高限价的。</w:t>
      </w:r>
    </w:p>
    <w:p w14:paraId="040AA77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6.1.6</w:t>
      </w:r>
      <w:r>
        <w:rPr>
          <w:rFonts w:hint="eastAsia" w:ascii="宋体" w:hAnsi="宋体" w:eastAsia="宋体" w:cs="宋体"/>
          <w:bCs/>
          <w:sz w:val="24"/>
        </w:rPr>
        <w:t>未通过符合性审查的。</w:t>
      </w:r>
    </w:p>
    <w:p w14:paraId="6F078B1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6.1.7</w:t>
      </w:r>
      <w:r>
        <w:rPr>
          <w:rFonts w:hint="eastAsia" w:ascii="宋体" w:hAnsi="宋体" w:eastAsia="宋体" w:cs="宋体"/>
          <w:bCs/>
          <w:sz w:val="24"/>
        </w:rPr>
        <w:t>不符合招标文件中规定的其他实质性要求和条件的。</w:t>
      </w:r>
    </w:p>
    <w:p w14:paraId="50DFDCF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6.1.8</w:t>
      </w:r>
      <w:r>
        <w:rPr>
          <w:rFonts w:hint="eastAsia" w:ascii="宋体" w:hAnsi="宋体" w:eastAsia="宋体" w:cs="宋体"/>
          <w:bCs/>
          <w:sz w:val="24"/>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442186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6.1.9</w:t>
      </w:r>
      <w:r>
        <w:rPr>
          <w:rFonts w:hint="eastAsia" w:ascii="宋体" w:hAnsi="宋体" w:eastAsia="宋体" w:cs="宋体"/>
          <w:bCs/>
          <w:sz w:val="24"/>
        </w:rPr>
        <w:t>投标文件含有采购人不能接受的附加条件的。</w:t>
      </w:r>
    </w:p>
    <w:p w14:paraId="31C1928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6.1.10</w:t>
      </w:r>
      <w:r>
        <w:rPr>
          <w:rFonts w:hint="eastAsia" w:ascii="宋体" w:hAnsi="宋体" w:eastAsia="宋体" w:cs="宋体"/>
          <w:bCs/>
          <w:sz w:val="24"/>
        </w:rPr>
        <w:t>评标委员会认为投标人的报价明显低于其他通过符合性审查投标人的报价，有可能影响产品质量或者不能诚信履约的，将通过</w:t>
      </w:r>
      <w:r>
        <w:rPr>
          <w:rFonts w:hint="eastAsia" w:ascii="宋体" w:hAnsi="宋体" w:eastAsia="宋体" w:cs="宋体"/>
          <w:sz w:val="24"/>
        </w:rPr>
        <w:t>苏采云系统</w:t>
      </w:r>
      <w:r>
        <w:rPr>
          <w:rFonts w:hint="eastAsia" w:ascii="宋体" w:hAnsi="宋体" w:eastAsia="宋体" w:cs="宋体"/>
          <w:bCs/>
          <w:sz w:val="24"/>
        </w:rPr>
        <w:t>要求其在合理的时间内提供说明，必要时提交相关证明材料；投标人不能证明其报价合理性的，评标委员会应当将其作为无效投标处理。</w:t>
      </w:r>
    </w:p>
    <w:p w14:paraId="057099B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32F0C2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6.1.12</w:t>
      </w:r>
      <w:r>
        <w:rPr>
          <w:rFonts w:hint="eastAsia" w:ascii="宋体" w:hAnsi="宋体" w:eastAsia="宋体" w:cs="宋体"/>
          <w:bCs/>
          <w:sz w:val="24"/>
        </w:rPr>
        <w:t>投标文件未按照招标文件要求进行签章。</w:t>
      </w:r>
    </w:p>
    <w:p w14:paraId="7214DBE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6.1.13</w:t>
      </w:r>
      <w:r>
        <w:rPr>
          <w:rFonts w:hint="eastAsia" w:ascii="宋体" w:hAnsi="宋体" w:eastAsia="宋体" w:cs="宋体"/>
          <w:bCs/>
          <w:sz w:val="24"/>
        </w:rPr>
        <w:t>其他法律、法规及本招标文件规定的属无效投标的情形。</w:t>
      </w:r>
    </w:p>
    <w:p w14:paraId="40651E7A">
      <w:pPr>
        <w:pageBreakBefore w:val="0"/>
        <w:kinsoku/>
        <w:wordWrap/>
        <w:overflowPunct/>
        <w:topLinePunct w:val="0"/>
        <w:autoSpaceDE/>
        <w:autoSpaceDN/>
        <w:bidi w:val="0"/>
        <w:snapToGrid/>
        <w:spacing w:line="360" w:lineRule="auto"/>
        <w:ind w:firstLine="480"/>
        <w:jc w:val="left"/>
        <w:textAlignment w:val="auto"/>
        <w:outlineLvl w:val="1"/>
        <w:rPr>
          <w:rFonts w:hint="eastAsia" w:ascii="宋体" w:hAnsi="宋体" w:eastAsia="宋体" w:cs="宋体"/>
          <w:sz w:val="24"/>
        </w:rPr>
      </w:pPr>
      <w:r>
        <w:rPr>
          <w:rFonts w:hint="eastAsia" w:ascii="宋体" w:hAnsi="宋体" w:eastAsia="宋体" w:cs="宋体"/>
          <w:sz w:val="24"/>
        </w:rPr>
        <w:t>6.2废标条款</w:t>
      </w:r>
    </w:p>
    <w:p w14:paraId="166666F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6.2.1符合专业条件的投标人或者对招标文件作实质响应的投标人不足三家的。</w:t>
      </w:r>
    </w:p>
    <w:p w14:paraId="6D0E10B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6.2.2出现影响采购公正的违法、违规行为的。</w:t>
      </w:r>
    </w:p>
    <w:p w14:paraId="457C601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6.2.3因重大变故，采购任务取消的。</w:t>
      </w:r>
    </w:p>
    <w:p w14:paraId="6B1ADC5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6.2.4评标委员会认定招标文件存在歧义、重大缺陷导致评标工作无法进行。</w:t>
      </w:r>
    </w:p>
    <w:p w14:paraId="37327FD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6.2.5因</w:t>
      </w:r>
      <w:r>
        <w:rPr>
          <w:rFonts w:hint="eastAsia" w:ascii="宋体" w:hAnsi="宋体" w:eastAsia="宋体" w:cs="宋体"/>
          <w:sz w:val="24"/>
        </w:rPr>
        <w:t>苏采云系统</w:t>
      </w:r>
      <w:r>
        <w:rPr>
          <w:rFonts w:hint="eastAsia" w:ascii="宋体" w:hAnsi="宋体" w:eastAsia="宋体" w:cs="宋体"/>
          <w:bCs/>
          <w:sz w:val="24"/>
        </w:rPr>
        <w:t>系统故障原因造成开标不成功的。</w:t>
      </w:r>
    </w:p>
    <w:p w14:paraId="3BA29C2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6.3 提交投标文件截止时间结束后参加投标的投标人不足三家的处理：</w:t>
      </w:r>
    </w:p>
    <w:p w14:paraId="5752070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6.3.1如出现提交投标文件截止时间结束后参加投标的投标人或者在评标期间对招标文件做出实质响应的投标人不足三家情况，按政府采购相关规定执行。</w:t>
      </w:r>
      <w:bookmarkEnd w:id="81"/>
      <w:bookmarkEnd w:id="82"/>
      <w:bookmarkEnd w:id="83"/>
      <w:bookmarkStart w:id="84" w:name="_Toc120614219"/>
    </w:p>
    <w:p w14:paraId="204776A6">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rPr>
      </w:pPr>
      <w:r>
        <w:rPr>
          <w:rFonts w:hint="eastAsia" w:ascii="宋体" w:hAnsi="宋体" w:eastAsia="宋体" w:cs="宋体"/>
          <w:b/>
          <w:bCs/>
          <w:sz w:val="24"/>
        </w:rPr>
        <w:t>（七）定标</w:t>
      </w:r>
      <w:bookmarkEnd w:id="84"/>
      <w:bookmarkStart w:id="85" w:name="_Toc20823310"/>
      <w:bookmarkStart w:id="86" w:name="_Toc16938554"/>
    </w:p>
    <w:p w14:paraId="7CF7412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rPr>
      </w:pPr>
      <w:r>
        <w:rPr>
          <w:rFonts w:hint="eastAsia" w:ascii="宋体" w:hAnsi="宋体" w:eastAsia="宋体" w:cs="宋体"/>
          <w:sz w:val="24"/>
        </w:rPr>
        <w:t>1.确定</w:t>
      </w:r>
      <w:bookmarkEnd w:id="85"/>
      <w:bookmarkEnd w:id="86"/>
      <w:r>
        <w:rPr>
          <w:rFonts w:hint="eastAsia" w:ascii="宋体" w:hAnsi="宋体" w:eastAsia="宋体" w:cs="宋体"/>
          <w:sz w:val="24"/>
        </w:rPr>
        <w:t>中标单位</w:t>
      </w:r>
    </w:p>
    <w:p w14:paraId="7DDD203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 xml:space="preserve">1.1中标候选人的选取原则和数量见招标文件第五部分规定。 </w:t>
      </w:r>
    </w:p>
    <w:p w14:paraId="4433DB0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1.2</w:t>
      </w:r>
      <w:r>
        <w:rPr>
          <w:rFonts w:hint="eastAsia" w:ascii="宋体" w:hAnsi="宋体" w:eastAsia="宋体" w:cs="宋体"/>
          <w:sz w:val="24"/>
        </w:rPr>
        <w:t>采购人委托评标委员会直接</w:t>
      </w:r>
      <w:r>
        <w:rPr>
          <w:rFonts w:hint="eastAsia" w:ascii="宋体" w:hAnsi="宋体" w:eastAsia="宋体" w:cs="宋体"/>
          <w:bCs/>
          <w:sz w:val="24"/>
        </w:rPr>
        <w:t>确定中标人。</w:t>
      </w:r>
    </w:p>
    <w:p w14:paraId="34C9B37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1.3采购人或采购代理机构将在“江苏政府采购网”发布中标公告，公告期限为1个工作日。</w:t>
      </w:r>
    </w:p>
    <w:p w14:paraId="64D662A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1.4若有充分证据证明，中标人出现下列情况之一的，一经查实，将被取消中标资格：</w:t>
      </w:r>
    </w:p>
    <w:p w14:paraId="3B96772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1.4.1提供虚假材料谋取中标的。</w:t>
      </w:r>
    </w:p>
    <w:p w14:paraId="7497DEA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1.4.2</w:t>
      </w:r>
      <w:bookmarkStart w:id="87" w:name="_Hlk107999356"/>
      <w:r>
        <w:rPr>
          <w:rFonts w:hint="eastAsia" w:ascii="宋体" w:hAnsi="宋体" w:eastAsia="宋体" w:cs="宋体"/>
          <w:sz w:val="24"/>
        </w:rPr>
        <w:t>向采购人、采购代理机构行贿或者提供其他不正当利益的。</w:t>
      </w:r>
      <w:bookmarkEnd w:id="87"/>
    </w:p>
    <w:p w14:paraId="03EC5DC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1.4.3属于本文件规定的无效条件，但在评标过程中又未被评委会发现的。</w:t>
      </w:r>
    </w:p>
    <w:p w14:paraId="1BB79AF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1.4.4与采购人或者其他投标人恶意串通的。</w:t>
      </w:r>
    </w:p>
    <w:p w14:paraId="3A1773D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1.4.5采取不正当手段诋毁、排挤其他投标人的。</w:t>
      </w:r>
    </w:p>
    <w:p w14:paraId="04A62F8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bookmarkStart w:id="88" w:name="_Toc200451960"/>
      <w:r>
        <w:rPr>
          <w:rFonts w:hint="eastAsia" w:ascii="宋体" w:hAnsi="宋体" w:eastAsia="宋体" w:cs="宋体"/>
          <w:sz w:val="24"/>
        </w:rPr>
        <w:t>1.5.有下列情形之一的，视为投标人串通投标，投标无效：</w:t>
      </w:r>
    </w:p>
    <w:p w14:paraId="67D5B23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1.5.1不同投标人的投标文件由同一单位或者个人编制；</w:t>
      </w:r>
    </w:p>
    <w:p w14:paraId="46FF7BE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1.5.2不同投标人委托同一单位或者个人办理投标事宜；</w:t>
      </w:r>
    </w:p>
    <w:p w14:paraId="110E598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1.5.3不同投标人的投标文件载明的项目管理成员或者联系人员为同一人；</w:t>
      </w:r>
    </w:p>
    <w:p w14:paraId="3B644C1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1.5.4不同投标人的投标文件异常一致或者投标报价呈规律性差异；</w:t>
      </w:r>
    </w:p>
    <w:p w14:paraId="0E48B8FB">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szCs w:val="24"/>
        </w:rPr>
      </w:pPr>
      <w:r>
        <w:rPr>
          <w:rFonts w:hint="eastAsia" w:ascii="宋体" w:hAnsi="宋体" w:eastAsia="宋体" w:cs="宋体"/>
          <w:sz w:val="24"/>
          <w:szCs w:val="24"/>
        </w:rPr>
        <w:t>2.质疑处理</w:t>
      </w:r>
      <w:bookmarkEnd w:id="88"/>
    </w:p>
    <w:p w14:paraId="554819A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2.1 提出质疑的投标人应当是参与所质疑项目采购活动的投标人。潜在投标人依法获取其可质疑的招标文件的，可以对招标文件提出质疑。</w:t>
      </w:r>
    </w:p>
    <w:p w14:paraId="35A3FF6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2.2投标人认为招标文件、采购过程和采购结果使自己的权益受到损害的，可以在知道或应知其权益受到损害之日起七个工作日内，以书面形式向采购人提出质疑。上述应知其权益受到损害之日，是指：</w:t>
      </w:r>
    </w:p>
    <w:p w14:paraId="5587A95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lang w:eastAsia="zh-CN"/>
        </w:rPr>
      </w:pPr>
      <w:r>
        <w:rPr>
          <w:rFonts w:hint="eastAsia" w:ascii="宋体" w:hAnsi="宋体" w:eastAsia="宋体" w:cs="宋体"/>
          <w:sz w:val="24"/>
        </w:rPr>
        <w:t>2.2.1对可以质疑的招标文件提出质疑的，为收到招标文件之日或者招标文件公告期限届满之日；</w:t>
      </w:r>
    </w:p>
    <w:p w14:paraId="4952B72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lang w:eastAsia="zh-CN"/>
        </w:rPr>
      </w:pPr>
      <w:r>
        <w:rPr>
          <w:rFonts w:hint="eastAsia" w:ascii="宋体" w:hAnsi="宋体" w:eastAsia="宋体" w:cs="宋体"/>
          <w:sz w:val="24"/>
        </w:rPr>
        <w:t>　　2.2.2对采购过程提出质疑的，为各采购程序环节结束之日；</w:t>
      </w:r>
    </w:p>
    <w:p w14:paraId="57F92DA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　　2.2.3对中标或者成交结果提出质疑的，为中标或者成交结果公告期限届满之日。</w:t>
      </w:r>
    </w:p>
    <w:p w14:paraId="6E8D589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投标人应当在法定质疑期内一次性提出针对同一采购程序环节的质疑。投标人如在法定期限内对同一采购程序环节提出多次质疑的，采购人、采购代理机构将只对供应商第一次质疑作出答复。</w:t>
      </w:r>
    </w:p>
    <w:p w14:paraId="65227ED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2.3质疑函必须按照本招标文件中《质疑函范本》要求的格式和内容进行填写。</w:t>
      </w:r>
    </w:p>
    <w:p w14:paraId="2AE85CD7">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r>
        <w:rPr>
          <w:rFonts w:hint="eastAsia" w:ascii="宋体" w:hAnsi="宋体" w:eastAsia="宋体" w:cs="宋体"/>
          <w:sz w:val="24"/>
        </w:rPr>
        <w:t>投标人如组成联合体参加投标，则《质疑函范本》中要求签字、盖章、加盖公章之处，联合体各方均须按要求签字、盖章、加盖公章。</w:t>
      </w:r>
    </w:p>
    <w:p w14:paraId="418B0EC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p>
    <w:p w14:paraId="0F6DB4E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采购人及采购代理机构只接收以纸质原件形式送达的质疑。若采用邮寄方式提交质疑的，采购人和采购代理机构不接受未填写快递运单的快件。</w:t>
      </w:r>
    </w:p>
    <w:p w14:paraId="4CF50AF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采购人、采购代理机构质疑接收人及联系方式见招标文件第一章。</w:t>
      </w:r>
    </w:p>
    <w:p w14:paraId="724E7DF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2.5 以下情形的质疑不予受理</w:t>
      </w:r>
    </w:p>
    <w:p w14:paraId="5260E54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2.5.1 内容不符合《政府采购质疑和投诉办法》第十二条规定的质疑。</w:t>
      </w:r>
    </w:p>
    <w:p w14:paraId="37A24A9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2.5.2 超出政府采购法定期限的质疑。</w:t>
      </w:r>
    </w:p>
    <w:p w14:paraId="2DE45FA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2.5.3以传真、电子邮件等方式递交的非原件形式的质疑。</w:t>
      </w:r>
    </w:p>
    <w:p w14:paraId="05C4D78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2.5.4未参加投标活动的投标人或在投标活动中自身权益未受到损害的投标人所提出的质疑。</w:t>
      </w:r>
    </w:p>
    <w:p w14:paraId="69F2D857">
      <w:pPr>
        <w:pageBreakBefore w:val="0"/>
        <w:kinsoku/>
        <w:wordWrap/>
        <w:overflowPunct/>
        <w:topLinePunct w:val="0"/>
        <w:autoSpaceDE/>
        <w:autoSpaceDN/>
        <w:bidi w:val="0"/>
        <w:snapToGrid/>
        <w:spacing w:line="360" w:lineRule="auto"/>
        <w:ind w:firstLine="468"/>
        <w:jc w:val="left"/>
        <w:textAlignment w:val="auto"/>
        <w:rPr>
          <w:rFonts w:hint="eastAsia" w:ascii="宋体" w:hAnsi="宋体" w:eastAsia="宋体" w:cs="宋体"/>
          <w:sz w:val="24"/>
        </w:rPr>
      </w:pPr>
      <w:r>
        <w:rPr>
          <w:rFonts w:hint="eastAsia" w:ascii="宋体" w:hAnsi="宋体" w:eastAsia="宋体" w:cs="宋体"/>
          <w:sz w:val="24"/>
        </w:rPr>
        <w:t>2.5.5供应商组成联合体参加投标，联合体中任何一方或多方未按要求签字、盖章、加盖公章的质疑。</w:t>
      </w:r>
    </w:p>
    <w:p w14:paraId="4F5B5017">
      <w:pPr>
        <w:pageBreakBefore w:val="0"/>
        <w:kinsoku/>
        <w:wordWrap/>
        <w:overflowPunct/>
        <w:topLinePunct w:val="0"/>
        <w:autoSpaceDE/>
        <w:autoSpaceDN/>
        <w:bidi w:val="0"/>
        <w:snapToGrid/>
        <w:spacing w:line="360" w:lineRule="auto"/>
        <w:ind w:firstLine="468"/>
        <w:jc w:val="left"/>
        <w:textAlignment w:val="auto"/>
        <w:rPr>
          <w:rFonts w:hint="eastAsia" w:ascii="宋体" w:hAnsi="宋体" w:eastAsia="宋体" w:cs="宋体"/>
          <w:sz w:val="24"/>
        </w:rPr>
      </w:pPr>
      <w:r>
        <w:rPr>
          <w:rFonts w:hint="eastAsia" w:ascii="宋体" w:hAnsi="宋体" w:eastAsia="宋体" w:cs="宋体"/>
          <w:sz w:val="24"/>
        </w:rPr>
        <w:t>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p>
    <w:p w14:paraId="2F170AE7">
      <w:pPr>
        <w:keepNext/>
        <w:pageBreakBefore w:val="0"/>
        <w:kinsoku/>
        <w:wordWrap/>
        <w:overflowPunct/>
        <w:topLinePunct w:val="0"/>
        <w:autoSpaceDE/>
        <w:autoSpaceDN/>
        <w:bidi w:val="0"/>
        <w:snapToGrid/>
        <w:spacing w:line="360" w:lineRule="auto"/>
        <w:ind w:firstLine="480"/>
        <w:jc w:val="left"/>
        <w:textAlignment w:val="auto"/>
        <w:outlineLvl w:val="3"/>
        <w:rPr>
          <w:rFonts w:hint="eastAsia" w:ascii="宋体" w:hAnsi="宋体" w:eastAsia="宋体" w:cs="宋体"/>
          <w:b/>
          <w:sz w:val="24"/>
        </w:rPr>
      </w:pPr>
      <w:r>
        <w:rPr>
          <w:rFonts w:hint="eastAsia" w:ascii="宋体" w:hAnsi="宋体" w:eastAsia="宋体" w:cs="宋体"/>
          <w:sz w:val="24"/>
        </w:rPr>
        <w:t>3．中标通知书</w:t>
      </w:r>
    </w:p>
    <w:p w14:paraId="3B6F81C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3F3158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3.2中标通知书将是合同的一个组成部分。对采购人和中标人均具有法律效力。中标通知书发出后，采购人改变中标结果的，或者中标人放弃中标项目的，应当依法承担法律责任。</w:t>
      </w:r>
    </w:p>
    <w:p w14:paraId="57C77FE6">
      <w:pPr>
        <w:pStyle w:val="196"/>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szCs w:val="24"/>
        </w:rPr>
      </w:pPr>
      <w:bookmarkStart w:id="89" w:name="_Toc20823308"/>
      <w:bookmarkStart w:id="90" w:name="_Toc16938552"/>
      <w:bookmarkStart w:id="91" w:name="_Toc120614220"/>
      <w:bookmarkStart w:id="92" w:name="_Toc513029236"/>
      <w:r>
        <w:rPr>
          <w:rFonts w:hint="eastAsia" w:ascii="宋体" w:hAnsi="宋体" w:eastAsia="宋体" w:cs="宋体"/>
          <w:sz w:val="24"/>
          <w:szCs w:val="24"/>
        </w:rPr>
        <w:t>（八）授予合同</w:t>
      </w:r>
      <w:bookmarkEnd w:id="89"/>
      <w:bookmarkEnd w:id="90"/>
      <w:bookmarkEnd w:id="91"/>
      <w:bookmarkEnd w:id="92"/>
    </w:p>
    <w:p w14:paraId="34FF9EF8">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sz w:val="24"/>
          <w:szCs w:val="24"/>
        </w:rPr>
      </w:pPr>
      <w:bookmarkStart w:id="93" w:name="_Toc16938553"/>
      <w:bookmarkStart w:id="94" w:name="_Toc20823309"/>
      <w:bookmarkStart w:id="95" w:name="_Toc513029237"/>
      <w:r>
        <w:rPr>
          <w:rFonts w:hint="eastAsia" w:ascii="宋体" w:hAnsi="宋体" w:eastAsia="宋体" w:cs="宋体"/>
          <w:sz w:val="24"/>
          <w:szCs w:val="24"/>
        </w:rPr>
        <w:t>1.签订合同</w:t>
      </w:r>
    </w:p>
    <w:p w14:paraId="7E59965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bCs/>
          <w:sz w:val="24"/>
        </w:rPr>
        <w:t>1</w:t>
      </w:r>
      <w:r>
        <w:rPr>
          <w:rFonts w:hint="eastAsia" w:ascii="宋体" w:hAnsi="宋体" w:eastAsia="宋体" w:cs="宋体"/>
          <w:sz w:val="24"/>
        </w:rPr>
        <w:t>.l中标人应当在中标通知书发出之日起三十日内，按照招标文件确定的事项与采购人签订政府采购合同。</w:t>
      </w:r>
    </w:p>
    <w:p w14:paraId="495BFA0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1.2招标文件、中标人的投标文件及招标过程中有关澄清、承诺文件均应作为合同附件。</w:t>
      </w:r>
    </w:p>
    <w:p w14:paraId="5AF38ABB">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288DAE01">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2.服务（包含与服务相关的货物）的追加</w:t>
      </w:r>
    </w:p>
    <w:p w14:paraId="7D85D78A">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2.1政府采购合同履行中，采购人需追加与合同标的相同的服务（包含与服务相关的货物），在不改变合同其他条款的前提下，可以与中标人协商签订补充合同，但所有补充合同的采购金额不超过原合同金额10%。</w:t>
      </w:r>
      <w:bookmarkEnd w:id="93"/>
      <w:bookmarkEnd w:id="94"/>
      <w:bookmarkEnd w:id="95"/>
    </w:p>
    <w:p w14:paraId="2F29905A">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3.货物（包含与货物相关的服务）的追加</w:t>
      </w:r>
    </w:p>
    <w:p w14:paraId="4395A86A">
      <w:pPr>
        <w:pStyle w:val="197"/>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3.1政府采购合同履行中，采购人需追加与合同标的相同的货物（包含与货物相关的服务）的，在不改变合同其他条款的前提下，可以与中标人协商签订补充合同，但所有补充合同的采购金额不超过原合同金额10%。</w:t>
      </w:r>
    </w:p>
    <w:p w14:paraId="06BEC87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4.政府采购合同信用融资扶持政策</w:t>
      </w:r>
    </w:p>
    <w:p w14:paraId="6E3FD5CF">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rPr>
      </w:pPr>
      <w:r>
        <w:rPr>
          <w:rFonts w:hint="eastAsia" w:ascii="宋体" w:hAnsi="宋体" w:eastAsia="宋体" w:cs="宋体"/>
          <w:b/>
          <w:bCs/>
          <w:sz w:val="24"/>
        </w:rPr>
        <w:t>4.1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41F8CF2B">
      <w:pPr>
        <w:pStyle w:val="38"/>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4.2根据《关于深入开展南通市政府采购线上合同信用融资业务的通知》（通财购〔2022〕68号），中标供应商可通过中征应收账款融资服务平台（简称“中征平台”）办理“政采贷”融资贷款，具体业务操作流程如下： </w:t>
      </w:r>
    </w:p>
    <w:p w14:paraId="186FCBF2">
      <w:pPr>
        <w:pStyle w:val="38"/>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4.2.1确定融资意向。中标供应商取得成交通知书后，联系意向金融机构，商治融资事项，确定融资意向。</w:t>
      </w:r>
    </w:p>
    <w:p w14:paraId="5A9CA32D">
      <w:pPr>
        <w:pStyle w:val="38"/>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4.2.2签订采购合同。中标供应商与采购人签订政府采购合同时，应将自身融资需求告知采购人或其委托的采购代理机构，提醒 (或协助 ) 其当天在“苏采云”上传合同的同时将“供应商是否融资”选为“是”</w:t>
      </w:r>
    </w:p>
    <w:p w14:paraId="0B636746">
      <w:pPr>
        <w:pStyle w:val="38"/>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4.2.3提交融资申请。中标供应商登录“中征平台”进行用户注册，查看“政采贷”融资产品，向确定合作的金融机构提交融资申请。</w:t>
      </w:r>
    </w:p>
    <w:p w14:paraId="7605EA42">
      <w:pPr>
        <w:pStyle w:val="38"/>
        <w:pageBreakBefore w:val="0"/>
        <w:kinsoku/>
        <w:wordWrap/>
        <w:overflowPunct/>
        <w:topLinePunct w:val="0"/>
        <w:autoSpaceDE/>
        <w:autoSpaceDN/>
        <w:bidi w:val="0"/>
        <w:snapToGrid/>
        <w:spacing w:before="0" w:after="0" w:line="360" w:lineRule="auto"/>
        <w:ind w:firstLine="482"/>
        <w:jc w:val="left"/>
        <w:textAlignment w:val="auto"/>
        <w:rPr>
          <w:rFonts w:hint="eastAsia" w:ascii="宋体" w:hAnsi="宋体" w:eastAsia="宋体" w:cs="宋体"/>
          <w:sz w:val="24"/>
          <w:lang w:eastAsia="en-US"/>
        </w:rPr>
      </w:pPr>
      <w:r>
        <w:rPr>
          <w:rFonts w:hint="eastAsia" w:ascii="宋体" w:hAnsi="宋体" w:eastAsia="宋体" w:cs="宋体"/>
          <w:sz w:val="24"/>
          <w:szCs w:val="24"/>
        </w:rPr>
        <w:t>4.2.4确认回款账户。金融机构填写需要锁定的回款账户信息后中标供应商应登录“中征平台”确认账户信息，以实现回款账户的锁定。</w:t>
      </w:r>
    </w:p>
    <w:p w14:paraId="51F03DF2">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bCs/>
          <w:sz w:val="24"/>
        </w:rPr>
      </w:pPr>
      <w:r>
        <w:rPr>
          <w:rFonts w:hint="eastAsia" w:ascii="宋体" w:hAnsi="宋体" w:eastAsia="宋体" w:cs="宋体"/>
          <w:b/>
          <w:bCs/>
          <w:sz w:val="24"/>
        </w:rPr>
        <w:t>（九）电子招标投标交易平台</w:t>
      </w:r>
    </w:p>
    <w:p w14:paraId="62D152AA">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eastAsia="en-US"/>
        </w:rPr>
      </w:pPr>
      <w:r>
        <w:rPr>
          <w:rFonts w:hint="eastAsia" w:ascii="宋体" w:hAnsi="宋体" w:eastAsia="宋体" w:cs="宋体"/>
          <w:sz w:val="24"/>
          <w:lang w:eastAsia="en-US"/>
        </w:rPr>
        <w:t>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"http://jszfcg.jsczt.cn/）相关要求是本采购文件的组成部分。" </w:instrText>
      </w:r>
      <w:r>
        <w:rPr>
          <w:rFonts w:hint="eastAsia" w:ascii="宋体" w:hAnsi="宋体" w:eastAsia="宋体" w:cs="宋体"/>
        </w:rPr>
        <w:fldChar w:fldCharType="separate"/>
      </w:r>
      <w:r>
        <w:rPr>
          <w:rFonts w:hint="eastAsia" w:ascii="宋体" w:hAnsi="宋体" w:eastAsia="宋体" w:cs="宋体"/>
          <w:sz w:val="24"/>
          <w:lang w:eastAsia="en-US"/>
        </w:rPr>
        <w:t>http://jszfcg.jsczt.cn/）相关要求是本采购文件的组成部分。</w:t>
      </w:r>
      <w:r>
        <w:rPr>
          <w:rFonts w:hint="eastAsia" w:ascii="宋体" w:hAnsi="宋体" w:eastAsia="宋体" w:cs="宋体"/>
          <w:sz w:val="24"/>
          <w:lang w:eastAsia="en-US"/>
        </w:rPr>
        <w:fldChar w:fldCharType="end"/>
      </w:r>
    </w:p>
    <w:p w14:paraId="7938C08A">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bCs/>
          <w:sz w:val="24"/>
        </w:rPr>
      </w:pPr>
      <w:r>
        <w:rPr>
          <w:rFonts w:hint="eastAsia" w:ascii="宋体" w:hAnsi="宋体" w:eastAsia="宋体" w:cs="宋体"/>
          <w:b/>
          <w:bCs/>
          <w:sz w:val="24"/>
        </w:rPr>
        <w:t>（十）未尽事宜</w:t>
      </w:r>
    </w:p>
    <w:p w14:paraId="2BC659FD">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按《中华人民共和国政府采购法》、《政府采购货物和服务招标投标管理办法》及其他有关法律法规的规定执行。</w:t>
      </w:r>
    </w:p>
    <w:p w14:paraId="15980FA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p>
    <w:p w14:paraId="429470F0">
      <w:pPr>
        <w:pageBreakBefore w:val="0"/>
        <w:kinsoku/>
        <w:wordWrap/>
        <w:overflowPunct/>
        <w:topLinePunct w:val="0"/>
        <w:autoSpaceDE/>
        <w:autoSpaceDN/>
        <w:bidi w:val="0"/>
        <w:snapToGrid/>
        <w:spacing w:line="360" w:lineRule="auto"/>
        <w:textAlignment w:val="auto"/>
        <w:rPr>
          <w:rFonts w:hint="eastAsia" w:ascii="宋体" w:hAnsi="宋体" w:eastAsia="宋体" w:cs="宋体"/>
        </w:rPr>
        <w:sectPr>
          <w:footerReference r:id="rId5" w:type="first"/>
          <w:headerReference r:id="rId3" w:type="default"/>
          <w:footerReference r:id="rId4" w:type="default"/>
          <w:pgSz w:w="11906" w:h="16838"/>
          <w:pgMar w:top="1134" w:right="1134" w:bottom="1134" w:left="1134" w:header="851" w:footer="992" w:gutter="0"/>
          <w:pgNumType w:fmt="decimal"/>
          <w:cols w:space="0" w:num="1"/>
          <w:rtlGutter w:val="0"/>
          <w:docGrid w:linePitch="360" w:charSpace="0"/>
        </w:sectPr>
      </w:pPr>
    </w:p>
    <w:p w14:paraId="69B92922">
      <w:pPr>
        <w:pageBreakBefore w:val="0"/>
        <w:kinsoku/>
        <w:wordWrap/>
        <w:overflowPunct/>
        <w:topLinePunct w:val="0"/>
        <w:autoSpaceDE/>
        <w:autoSpaceDN/>
        <w:bidi w:val="0"/>
        <w:snapToGrid/>
        <w:spacing w:line="360" w:lineRule="auto"/>
        <w:jc w:val="center"/>
        <w:textAlignment w:val="auto"/>
        <w:outlineLvl w:val="0"/>
        <w:rPr>
          <w:rFonts w:hint="eastAsia" w:ascii="宋体" w:hAnsi="宋体" w:eastAsia="宋体" w:cs="宋体"/>
          <w:b/>
          <w:bCs w:val="0"/>
          <w:sz w:val="32"/>
          <w:szCs w:val="32"/>
        </w:rPr>
      </w:pPr>
      <w:r>
        <w:rPr>
          <w:rFonts w:hint="eastAsia" w:ascii="宋体" w:hAnsi="宋体" w:eastAsia="宋体" w:cs="宋体"/>
          <w:b/>
          <w:bCs w:val="0"/>
          <w:sz w:val="32"/>
          <w:szCs w:val="32"/>
        </w:rPr>
        <w:t>第三部分  项目需求</w:t>
      </w:r>
    </w:p>
    <w:p w14:paraId="5DD3ADB7">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u w:val="single"/>
        </w:rPr>
      </w:pPr>
      <w:bookmarkStart w:id="96" w:name="十、其他相关的要求"/>
      <w:bookmarkEnd w:id="96"/>
      <w:r>
        <w:rPr>
          <w:rFonts w:hint="eastAsia" w:ascii="宋体" w:hAnsi="宋体" w:eastAsia="宋体" w:cs="宋体"/>
          <w:sz w:val="24"/>
          <w:u w:val="singl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F85B92D">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u w:val="single"/>
        </w:rPr>
      </w:pPr>
      <w:r>
        <w:rPr>
          <w:rFonts w:hint="eastAsia" w:ascii="宋体" w:hAnsi="宋体" w:eastAsia="宋体" w:cs="宋体"/>
          <w:sz w:val="24"/>
          <w:u w:val="singl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535E9FFE">
      <w:pPr>
        <w:pageBreakBefore w:val="0"/>
        <w:numPr>
          <w:ilvl w:val="0"/>
          <w:numId w:val="0"/>
        </w:numPr>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项目名称：</w:t>
      </w:r>
      <w:r>
        <w:rPr>
          <w:rFonts w:hint="eastAsia" w:ascii="宋体" w:hAnsi="宋体" w:eastAsia="宋体" w:cs="宋体"/>
          <w:sz w:val="24"/>
          <w:szCs w:val="24"/>
          <w:highlight w:val="none"/>
        </w:rPr>
        <w:t>通州湾示范区三余镇人民政府“农村环境五位一体”长效管理项目</w:t>
      </w:r>
      <w:r>
        <w:rPr>
          <w:rFonts w:hint="eastAsia" w:ascii="宋体" w:hAnsi="宋体" w:eastAsia="宋体" w:cs="宋体"/>
          <w:sz w:val="24"/>
          <w:szCs w:val="24"/>
          <w:highlight w:val="none"/>
          <w:lang w:eastAsia="zh-CN"/>
        </w:rPr>
        <w:t>。</w:t>
      </w:r>
    </w:p>
    <w:p w14:paraId="5765364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采购人：</w:t>
      </w:r>
      <w:r>
        <w:rPr>
          <w:rFonts w:hint="eastAsia" w:ascii="宋体" w:hAnsi="宋体" w:eastAsia="宋体" w:cs="宋体"/>
          <w:sz w:val="24"/>
          <w:szCs w:val="24"/>
          <w:highlight w:val="none"/>
        </w:rPr>
        <w:t>南通市通州区三余镇人民政府</w:t>
      </w:r>
      <w:r>
        <w:rPr>
          <w:rFonts w:hint="eastAsia" w:ascii="宋体" w:hAnsi="宋体" w:eastAsia="宋体" w:cs="宋体"/>
          <w:sz w:val="24"/>
          <w:szCs w:val="24"/>
          <w:highlight w:val="none"/>
          <w:lang w:eastAsia="zh-CN"/>
        </w:rPr>
        <w:t>。</w:t>
      </w:r>
    </w:p>
    <w:p w14:paraId="6BE86D05">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Cs/>
          <w:sz w:val="24"/>
          <w:szCs w:val="24"/>
          <w:highlight w:val="none"/>
          <w:lang w:eastAsia="zh-CN"/>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项目地点：</w:t>
      </w:r>
      <w:r>
        <w:rPr>
          <w:rFonts w:hint="eastAsia" w:ascii="宋体" w:hAnsi="宋体" w:eastAsia="宋体" w:cs="宋体"/>
          <w:bCs/>
          <w:sz w:val="24"/>
          <w:szCs w:val="24"/>
          <w:highlight w:val="none"/>
        </w:rPr>
        <w:t>三余镇</w:t>
      </w:r>
      <w:r>
        <w:rPr>
          <w:rFonts w:hint="eastAsia" w:ascii="宋体" w:hAnsi="宋体" w:eastAsia="宋体" w:cs="宋体"/>
          <w:bCs/>
          <w:sz w:val="24"/>
          <w:szCs w:val="24"/>
          <w:highlight w:val="none"/>
          <w:lang w:eastAsia="zh-CN"/>
        </w:rPr>
        <w:t>。</w:t>
      </w:r>
    </w:p>
    <w:p w14:paraId="504791A9">
      <w:pPr>
        <w:pageBreakBefore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合同履行期限</w:t>
      </w:r>
      <w:r>
        <w:rPr>
          <w:rFonts w:hint="eastAsia" w:ascii="宋体" w:hAnsi="宋体" w:eastAsia="宋体" w:cs="宋体"/>
          <w:color w:val="auto"/>
          <w:sz w:val="24"/>
          <w:szCs w:val="24"/>
          <w:highlight w:val="none"/>
        </w:rPr>
        <w:t>两年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双方二年一签，实际合同服务期为合同签订之日起两年。合同到期后如中标人通过采购人考核最多可再续签一年。</w:t>
      </w:r>
    </w:p>
    <w:p w14:paraId="3B84E4D4">
      <w:pPr>
        <w:keepNext/>
        <w:keepLines/>
        <w:pageBreakBefore w:val="0"/>
        <w:kinsoku/>
        <w:wordWrap/>
        <w:overflowPunct/>
        <w:topLinePunct w:val="0"/>
        <w:autoSpaceDE/>
        <w:autoSpaceDN/>
        <w:bidi w:val="0"/>
        <w:adjustRightInd w:val="0"/>
        <w:snapToGrid/>
        <w:spacing w:beforeAutospacing="0" w:afterAutospacing="0" w:line="360" w:lineRule="auto"/>
        <w:ind w:firstLine="482" w:firstLineChars="20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项目服务范围：</w:t>
      </w:r>
    </w:p>
    <w:p w14:paraId="7DD2568B">
      <w:pPr>
        <w:pageBreakBefore w:val="0"/>
        <w:tabs>
          <w:tab w:val="left" w:pos="900"/>
        </w:tabs>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一标段：新闸竖河以东（含竖河）——闸东村、中闸村、海防村、海丰村、建新村、东余村（有集镇）、永平村、东晋村、海晏村（有集镇）、东海村、闸北村、东凌社区（有集镇）、东港</w:t>
      </w:r>
      <w:r>
        <w:rPr>
          <w:rFonts w:hint="eastAsia" w:ascii="宋体" w:hAnsi="宋体" w:eastAsia="宋体" w:cs="宋体"/>
          <w:sz w:val="24"/>
          <w:szCs w:val="24"/>
          <w:highlight w:val="none"/>
        </w:rPr>
        <w:t>村、新闸村（有集镇）</w:t>
      </w:r>
      <w:r>
        <w:rPr>
          <w:rFonts w:hint="eastAsia" w:ascii="宋体" w:hAnsi="宋体" w:eastAsia="宋体" w:cs="宋体"/>
          <w:sz w:val="24"/>
          <w:szCs w:val="24"/>
          <w:highlight w:val="none"/>
          <w:lang w:eastAsia="zh-CN"/>
        </w:rPr>
        <w:t>。</w:t>
      </w:r>
    </w:p>
    <w:p w14:paraId="0F7E914A">
      <w:pPr>
        <w:keepNext w:val="0"/>
        <w:keepLines w:val="0"/>
        <w:pageBreakBefore w:val="0"/>
        <w:tabs>
          <w:tab w:val="left" w:pos="900"/>
        </w:tabs>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标段：1、新闸竖河以西：安平村、新华村（有集镇）、光明村、合兴村、广运村、大乐村、新民村、德兴村、同盟村、育新村、恒兴村、红专村、贡安村、一社村、胜利村。2、三余镇区——北至老平海路，南至三海路，东至环镇东路，西至省222范围内（包含这四条路的两侧），为三余镇区范围。该范围内任务划分为：a、镇区范围内，属于门前三包的，由执法局安排城管人员进行督促管理和执法处理；b、镇区范围内（包括乐海家园整个西侧和北侧）的生活垃圾捡拾及清运、杂草割除、树枝修剪、道路清扫、洒水、公厕保洁等均由镇环卫所负责；c、镇区范围内有主建筑垃圾，谁产生谁负责，由执法局安排城管人员督促管理和执法处理；无主建筑垃圾由二标段的中标方清运处理；d、镇区范围内所有河道的保洁整治由二标段中标方负责，保洁整治标准，等同标书中等级河道之管理要求。</w:t>
      </w:r>
    </w:p>
    <w:p w14:paraId="7A4FB1CF">
      <w:pPr>
        <w:keepNext w:val="0"/>
        <w:keepLines w:val="0"/>
        <w:pageBreakBefore w:val="0"/>
        <w:widowControl/>
        <w:kinsoku/>
        <w:wordWrap/>
        <w:overflowPunct/>
        <w:topLinePunct w:val="0"/>
        <w:autoSpaceDE/>
        <w:autoSpaceDN/>
        <w:bidi w:val="0"/>
        <w:adjustRightInd w:val="0"/>
        <w:snapToGrid/>
        <w:spacing w:beforeAutospacing="0" w:afterAutospacing="0"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备注：该标书中，中标方清运承包范围内的农村环境五位一体中的其中一位——垃圾管理，仅指生活垃圾，其余秸秆等农业废弃物、生产垃圾、建筑垃圾、工业垃圾等所有非生活垃圾由各村属地管理，但三余镇区范围内的无主建筑垃圾由二标段的中标方清运。（按环保要求，禁止将其它垃圾放入生活垃圾混送电厂）</w:t>
      </w:r>
      <w:r>
        <w:rPr>
          <w:rFonts w:hint="eastAsia" w:ascii="宋体" w:hAnsi="宋体" w:eastAsia="宋体" w:cs="宋体"/>
          <w:sz w:val="24"/>
          <w:szCs w:val="24"/>
          <w:lang w:eastAsia="zh-CN"/>
        </w:rPr>
        <w:t>。</w:t>
      </w:r>
    </w:p>
    <w:p w14:paraId="4EA50F5D">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、项目服务内容（项目服务内容的明细，详见本章）</w:t>
      </w:r>
    </w:p>
    <w:p w14:paraId="2FE77DE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农村环境五位一体：1、农村生活垃圾清运（并在各行政村村部所在自然村开展生活垃圾分类工作）；2、农路环境（路面保洁和路肩杂草割除）；3、河道环境；4、农路两侧绿化管护（修剪等）；5、小型水利设施管护（对防渗渠、涵、闸、站等设施周边进行保洁）。</w:t>
      </w:r>
    </w:p>
    <w:p w14:paraId="26DF29AD">
      <w:pPr>
        <w:pageBreakBefore w:val="0"/>
        <w:numPr>
          <w:ilvl w:val="0"/>
          <w:numId w:val="0"/>
        </w:numPr>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七、</w:t>
      </w:r>
      <w:r>
        <w:rPr>
          <w:rFonts w:hint="eastAsia" w:ascii="宋体" w:hAnsi="宋体" w:eastAsia="宋体" w:cs="宋体"/>
          <w:b/>
          <w:bCs/>
          <w:sz w:val="24"/>
          <w:szCs w:val="24"/>
        </w:rPr>
        <w:t>本项目需配备的设备和人员要求</w:t>
      </w:r>
    </w:p>
    <w:tbl>
      <w:tblPr>
        <w:tblStyle w:val="29"/>
        <w:tblpPr w:leftFromText="180" w:rightFromText="180" w:vertAnchor="text" w:horzAnchor="page" w:tblpX="1255" w:tblpY="533"/>
        <w:tblOverlap w:val="never"/>
        <w:tblW w:w="9750" w:type="dxa"/>
        <w:tblInd w:w="0" w:type="dxa"/>
        <w:tblLayout w:type="fixed"/>
        <w:tblCellMar>
          <w:top w:w="0" w:type="dxa"/>
          <w:left w:w="108" w:type="dxa"/>
          <w:bottom w:w="0" w:type="dxa"/>
          <w:right w:w="108" w:type="dxa"/>
        </w:tblCellMar>
      </w:tblPr>
      <w:tblGrid>
        <w:gridCol w:w="793"/>
        <w:gridCol w:w="2784"/>
        <w:gridCol w:w="1116"/>
        <w:gridCol w:w="5057"/>
      </w:tblGrid>
      <w:tr w14:paraId="197570F0">
        <w:tblPrEx>
          <w:tblCellMar>
            <w:top w:w="0" w:type="dxa"/>
            <w:left w:w="108" w:type="dxa"/>
            <w:bottom w:w="0" w:type="dxa"/>
            <w:right w:w="108" w:type="dxa"/>
          </w:tblCellMar>
        </w:tblPrEx>
        <w:trPr>
          <w:trHeight w:val="737" w:hRule="atLeast"/>
        </w:trPr>
        <w:tc>
          <w:tcPr>
            <w:tcW w:w="9750" w:type="dxa"/>
            <w:gridSpan w:val="4"/>
            <w:tcBorders>
              <w:top w:val="single" w:color="auto" w:sz="4" w:space="0"/>
              <w:left w:val="single" w:color="auto" w:sz="4" w:space="0"/>
              <w:bottom w:val="single" w:color="auto" w:sz="4" w:space="0"/>
              <w:right w:val="single" w:color="auto" w:sz="4" w:space="0"/>
            </w:tcBorders>
            <w:noWrap w:val="0"/>
            <w:vAlign w:val="center"/>
          </w:tcPr>
          <w:p w14:paraId="0A0A7D75">
            <w:pPr>
              <w:keepNext w:val="0"/>
              <w:keepLines w:val="0"/>
              <w:pageBreakBefore w:val="0"/>
              <w:widowControl/>
              <w:tabs>
                <w:tab w:val="left" w:pos="3532"/>
              </w:tabs>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一标段要求的设备投入</w:t>
            </w:r>
          </w:p>
        </w:tc>
      </w:tr>
      <w:tr w14:paraId="72C20459">
        <w:tblPrEx>
          <w:tblCellMar>
            <w:top w:w="0" w:type="dxa"/>
            <w:left w:w="108" w:type="dxa"/>
            <w:bottom w:w="0" w:type="dxa"/>
            <w:right w:w="108" w:type="dxa"/>
          </w:tblCellMar>
        </w:tblPrEx>
        <w:trPr>
          <w:trHeight w:val="737" w:hRule="atLeast"/>
        </w:trPr>
        <w:tc>
          <w:tcPr>
            <w:tcW w:w="793" w:type="dxa"/>
            <w:tcBorders>
              <w:top w:val="single" w:color="auto" w:sz="4" w:space="0"/>
              <w:left w:val="single" w:color="auto" w:sz="4" w:space="0"/>
              <w:bottom w:val="single" w:color="auto" w:sz="4" w:space="0"/>
              <w:right w:val="single" w:color="auto" w:sz="4" w:space="0"/>
            </w:tcBorders>
            <w:noWrap w:val="0"/>
            <w:vAlign w:val="center"/>
          </w:tcPr>
          <w:p w14:paraId="2FC7427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序号</w:t>
            </w:r>
          </w:p>
        </w:tc>
        <w:tc>
          <w:tcPr>
            <w:tcW w:w="2784" w:type="dxa"/>
            <w:tcBorders>
              <w:top w:val="single" w:color="auto" w:sz="4" w:space="0"/>
              <w:left w:val="nil"/>
              <w:bottom w:val="single" w:color="auto" w:sz="4" w:space="0"/>
              <w:right w:val="single" w:color="auto" w:sz="4" w:space="0"/>
            </w:tcBorders>
            <w:noWrap w:val="0"/>
            <w:vAlign w:val="center"/>
          </w:tcPr>
          <w:p w14:paraId="6A4235C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设备名称</w:t>
            </w:r>
          </w:p>
        </w:tc>
        <w:tc>
          <w:tcPr>
            <w:tcW w:w="1116" w:type="dxa"/>
            <w:tcBorders>
              <w:top w:val="single" w:color="auto" w:sz="4" w:space="0"/>
              <w:left w:val="nil"/>
              <w:bottom w:val="single" w:color="auto" w:sz="4" w:space="0"/>
              <w:right w:val="single" w:color="auto" w:sz="4" w:space="0"/>
            </w:tcBorders>
            <w:noWrap w:val="0"/>
            <w:vAlign w:val="center"/>
          </w:tcPr>
          <w:p w14:paraId="7BB5D81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数量</w:t>
            </w:r>
          </w:p>
        </w:tc>
        <w:tc>
          <w:tcPr>
            <w:tcW w:w="5057" w:type="dxa"/>
            <w:tcBorders>
              <w:top w:val="single" w:color="auto" w:sz="4" w:space="0"/>
              <w:left w:val="nil"/>
              <w:bottom w:val="single" w:color="auto" w:sz="4" w:space="0"/>
              <w:right w:val="single" w:color="auto" w:sz="4" w:space="0"/>
            </w:tcBorders>
            <w:noWrap w:val="0"/>
            <w:vAlign w:val="center"/>
          </w:tcPr>
          <w:p w14:paraId="26A77AE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配置明细</w:t>
            </w:r>
          </w:p>
        </w:tc>
      </w:tr>
      <w:tr w14:paraId="7A69926B">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549AF1C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1</w:t>
            </w:r>
          </w:p>
        </w:tc>
        <w:tc>
          <w:tcPr>
            <w:tcW w:w="2784" w:type="dxa"/>
            <w:tcBorders>
              <w:top w:val="nil"/>
              <w:left w:val="nil"/>
              <w:bottom w:val="single" w:color="auto" w:sz="4" w:space="0"/>
              <w:right w:val="single" w:color="auto" w:sz="4" w:space="0"/>
            </w:tcBorders>
            <w:noWrap w:val="0"/>
            <w:vAlign w:val="center"/>
          </w:tcPr>
          <w:p w14:paraId="07E8E81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总质量</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b w:val="0"/>
                <w:bCs w:val="0"/>
                <w:color w:val="000000" w:themeColor="text1"/>
                <w:kern w:val="0"/>
                <w:sz w:val="24"/>
                <w:szCs w:val="24"/>
                <w:highlight w:val="none"/>
                <w14:textFill>
                  <w14:solidFill>
                    <w14:schemeClr w14:val="tx1"/>
                  </w14:solidFill>
                </w14:textFill>
              </w:rPr>
              <w:t>以上型号（装运</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量3</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b w:val="0"/>
                <w:bCs w:val="0"/>
                <w:color w:val="000000" w:themeColor="text1"/>
                <w:kern w:val="0"/>
                <w:sz w:val="24"/>
                <w:szCs w:val="24"/>
                <w:highlight w:val="none"/>
                <w14:textFill>
                  <w14:solidFill>
                    <w14:schemeClr w14:val="tx1"/>
                  </w14:solidFill>
                </w14:textFill>
              </w:rPr>
              <w:t>以上）垃圾压缩清运车</w:t>
            </w:r>
          </w:p>
        </w:tc>
        <w:tc>
          <w:tcPr>
            <w:tcW w:w="1116" w:type="dxa"/>
            <w:tcBorders>
              <w:top w:val="nil"/>
              <w:left w:val="nil"/>
              <w:bottom w:val="single" w:color="auto" w:sz="4" w:space="0"/>
              <w:right w:val="single" w:color="auto" w:sz="4" w:space="0"/>
            </w:tcBorders>
            <w:noWrap w:val="0"/>
            <w:vAlign w:val="center"/>
          </w:tcPr>
          <w:p w14:paraId="7C1FBC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6-7</w:t>
            </w:r>
          </w:p>
        </w:tc>
        <w:tc>
          <w:tcPr>
            <w:tcW w:w="5057" w:type="dxa"/>
            <w:tcBorders>
              <w:top w:val="nil"/>
              <w:left w:val="nil"/>
              <w:bottom w:val="single" w:color="auto" w:sz="4" w:space="0"/>
              <w:right w:val="single" w:color="auto" w:sz="4" w:space="0"/>
            </w:tcBorders>
            <w:noWrap w:val="0"/>
            <w:vAlign w:val="center"/>
          </w:tcPr>
          <w:p w14:paraId="3221CFD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区域内每天</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生活</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垃圾产生量日均约30吨</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节假日明显增多</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。根据“垃圾不落地”的清运要求，需配备</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吨及以上的垃圾压缩清运车</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辆</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实行直运模式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考虑到车辆维修保养</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及节假日</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情况，</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另</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需备用清运车1</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辆</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w:t>
            </w:r>
          </w:p>
          <w:p w14:paraId="610210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投标人如有其他可实现“垃圾不落地”的清运模式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如“以桶换桶”清运模式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，应充分说明</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该模式在本地的适用性，并附详细方案，且需</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明确配套车辆和人员。</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采用其他模式需在技术偏离表中注明，是</w:t>
            </w:r>
            <w:r>
              <w:rPr>
                <w:rFonts w:hint="eastAsia" w:ascii="宋体" w:hAnsi="宋体" w:eastAsia="宋体" w:cs="宋体"/>
                <w:color w:val="000000" w:themeColor="text1"/>
                <w:sz w:val="24"/>
                <w:szCs w:val="24"/>
                <w:highlight w:val="none"/>
                <w14:textFill>
                  <w14:solidFill>
                    <w14:schemeClr w14:val="tx1"/>
                  </w14:solidFill>
                </w14:textFill>
              </w:rPr>
              <w:t>否响应招标文件，由评委认定</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w:t>
            </w:r>
          </w:p>
        </w:tc>
      </w:tr>
      <w:tr w14:paraId="678AFE5E">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1BF2DCD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p>
        </w:tc>
        <w:tc>
          <w:tcPr>
            <w:tcW w:w="2784" w:type="dxa"/>
            <w:tcBorders>
              <w:top w:val="nil"/>
              <w:left w:val="nil"/>
              <w:bottom w:val="single" w:color="auto" w:sz="4" w:space="0"/>
              <w:right w:val="single" w:color="auto" w:sz="4" w:space="0"/>
            </w:tcBorders>
            <w:noWrap w:val="0"/>
            <w:vAlign w:val="center"/>
          </w:tcPr>
          <w:p w14:paraId="7BE2E97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密封垃圾收集车</w:t>
            </w:r>
          </w:p>
        </w:tc>
        <w:tc>
          <w:tcPr>
            <w:tcW w:w="1116" w:type="dxa"/>
            <w:tcBorders>
              <w:top w:val="nil"/>
              <w:left w:val="nil"/>
              <w:bottom w:val="single" w:color="auto" w:sz="4" w:space="0"/>
              <w:right w:val="single" w:color="auto" w:sz="4" w:space="0"/>
            </w:tcBorders>
            <w:noWrap w:val="0"/>
            <w:vAlign w:val="center"/>
          </w:tcPr>
          <w:p w14:paraId="158EE86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不少于14</w:t>
            </w:r>
          </w:p>
        </w:tc>
        <w:tc>
          <w:tcPr>
            <w:tcW w:w="5057" w:type="dxa"/>
            <w:tcBorders>
              <w:top w:val="nil"/>
              <w:left w:val="nil"/>
              <w:bottom w:val="single" w:color="auto" w:sz="4" w:space="0"/>
              <w:right w:val="single" w:color="auto" w:sz="4" w:space="0"/>
            </w:tcBorders>
            <w:noWrap w:val="0"/>
            <w:vAlign w:val="center"/>
          </w:tcPr>
          <w:p w14:paraId="4D12A832">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cs="宋体"/>
                <w:color w:val="000000" w:themeColor="text1"/>
                <w:kern w:val="0"/>
                <w:sz w:val="24"/>
                <w:szCs w:val="24"/>
                <w:highlight w:val="none"/>
                <w:lang w:val="en-US" w:eastAsia="zh-CN"/>
                <w14:textFill>
                  <w14:solidFill>
                    <w14:schemeClr w14:val="tx1"/>
                  </w14:solidFill>
                </w14:textFill>
              </w:rPr>
              <w:t>不少于1</w:t>
            </w:r>
            <w:r>
              <w:rPr>
                <w:rFonts w:hint="eastAsia" w:ascii="宋体" w:hAnsi="宋体" w:eastAsia="宋体" w:cs="宋体"/>
                <w:color w:val="000000" w:themeColor="text1"/>
                <w:kern w:val="0"/>
                <w:sz w:val="24"/>
                <w:szCs w:val="24"/>
                <w:highlight w:val="none"/>
                <w14:textFill>
                  <w14:solidFill>
                    <w14:schemeClr w14:val="tx1"/>
                  </w14:solidFill>
                </w14:textFill>
              </w:rPr>
              <w:t>辆密封垃圾收集车（用于将</w:t>
            </w:r>
            <w:r>
              <w:rPr>
                <w:rFonts w:hint="eastAsia" w:ascii="宋体" w:hAnsi="宋体" w:cs="宋体"/>
                <w:color w:val="000000" w:themeColor="text1"/>
                <w:kern w:val="0"/>
                <w:sz w:val="24"/>
                <w:szCs w:val="24"/>
                <w:highlight w:val="none"/>
                <w:lang w:val="en-US" w:eastAsia="zh-CN"/>
                <w14:textFill>
                  <w14:solidFill>
                    <w14:schemeClr w14:val="tx1"/>
                  </w14:solidFill>
                </w14:textFill>
              </w:rPr>
              <w:t>部分道路进出条件有限区域的</w:t>
            </w:r>
            <w:r>
              <w:rPr>
                <w:rFonts w:hint="eastAsia" w:ascii="宋体" w:hAnsi="宋体" w:eastAsia="宋体" w:cs="宋体"/>
                <w:color w:val="000000" w:themeColor="text1"/>
                <w:kern w:val="0"/>
                <w:sz w:val="24"/>
                <w:szCs w:val="24"/>
                <w:highlight w:val="none"/>
                <w14:textFill>
                  <w14:solidFill>
                    <w14:schemeClr w14:val="tx1"/>
                  </w14:solidFill>
                </w14:textFill>
              </w:rPr>
              <w:t>垃圾桶内垃圾清运至指定地点）</w:t>
            </w:r>
          </w:p>
        </w:tc>
      </w:tr>
      <w:tr w14:paraId="408BA9C3">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7AA1227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2784" w:type="dxa"/>
            <w:tcBorders>
              <w:top w:val="nil"/>
              <w:left w:val="nil"/>
              <w:bottom w:val="single" w:color="auto" w:sz="4" w:space="0"/>
              <w:right w:val="single" w:color="auto" w:sz="4" w:space="0"/>
            </w:tcBorders>
            <w:noWrap w:val="0"/>
            <w:vAlign w:val="center"/>
          </w:tcPr>
          <w:p w14:paraId="0553879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厨余垃圾收集车</w:t>
            </w:r>
          </w:p>
        </w:tc>
        <w:tc>
          <w:tcPr>
            <w:tcW w:w="1116" w:type="dxa"/>
            <w:tcBorders>
              <w:top w:val="nil"/>
              <w:left w:val="nil"/>
              <w:bottom w:val="single" w:color="auto" w:sz="4" w:space="0"/>
              <w:right w:val="single" w:color="auto" w:sz="4" w:space="0"/>
            </w:tcBorders>
            <w:noWrap w:val="0"/>
            <w:vAlign w:val="center"/>
          </w:tcPr>
          <w:p w14:paraId="1161F85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p>
        </w:tc>
        <w:tc>
          <w:tcPr>
            <w:tcW w:w="5057" w:type="dxa"/>
            <w:tcBorders>
              <w:top w:val="nil"/>
              <w:left w:val="nil"/>
              <w:bottom w:val="single" w:color="auto" w:sz="4" w:space="0"/>
              <w:right w:val="single" w:color="auto" w:sz="4" w:space="0"/>
            </w:tcBorders>
            <w:noWrap w:val="0"/>
            <w:vAlign w:val="center"/>
          </w:tcPr>
          <w:p w14:paraId="48283B16">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用于厨余垃圾收集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中标人须每天将各行政村村部所在自然村的厨余垃圾统一收集并清运至指定地点。中标人须根据业主方要求协助处置可回收垃圾、有毒有害垃圾。</w:t>
            </w:r>
          </w:p>
        </w:tc>
      </w:tr>
      <w:tr w14:paraId="493821C3">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522AD6A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2784" w:type="dxa"/>
            <w:tcBorders>
              <w:top w:val="nil"/>
              <w:left w:val="nil"/>
              <w:bottom w:val="single" w:color="auto" w:sz="4" w:space="0"/>
              <w:right w:val="single" w:color="auto" w:sz="4" w:space="0"/>
            </w:tcBorders>
            <w:noWrap w:val="0"/>
            <w:vAlign w:val="center"/>
          </w:tcPr>
          <w:p w14:paraId="53BA386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三轮保洁车</w:t>
            </w:r>
          </w:p>
        </w:tc>
        <w:tc>
          <w:tcPr>
            <w:tcW w:w="1116" w:type="dxa"/>
            <w:tcBorders>
              <w:top w:val="nil"/>
              <w:left w:val="nil"/>
              <w:bottom w:val="single" w:color="auto" w:sz="4" w:space="0"/>
              <w:right w:val="single" w:color="auto" w:sz="4" w:space="0"/>
            </w:tcBorders>
            <w:noWrap w:val="0"/>
            <w:vAlign w:val="center"/>
          </w:tcPr>
          <w:p w14:paraId="1E73134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42</w:t>
            </w:r>
          </w:p>
        </w:tc>
        <w:tc>
          <w:tcPr>
            <w:tcW w:w="5057" w:type="dxa"/>
            <w:tcBorders>
              <w:top w:val="nil"/>
              <w:left w:val="nil"/>
              <w:bottom w:val="single" w:color="auto" w:sz="4" w:space="0"/>
              <w:right w:val="single" w:color="auto" w:sz="4" w:space="0"/>
            </w:tcBorders>
            <w:noWrap w:val="0"/>
            <w:vAlign w:val="center"/>
          </w:tcPr>
          <w:p w14:paraId="01480615">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辆三轮保洁车，用于道路保洁、树枝修剪</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w:t>
            </w:r>
          </w:p>
        </w:tc>
      </w:tr>
      <w:tr w14:paraId="49B1AC7B">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4376F6A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2784" w:type="dxa"/>
            <w:tcBorders>
              <w:top w:val="nil"/>
              <w:left w:val="nil"/>
              <w:bottom w:val="single" w:color="auto" w:sz="4" w:space="0"/>
              <w:right w:val="single" w:color="auto" w:sz="4" w:space="0"/>
            </w:tcBorders>
            <w:noWrap w:val="0"/>
            <w:vAlign w:val="center"/>
          </w:tcPr>
          <w:p w14:paraId="616EF4C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割草机</w:t>
            </w:r>
          </w:p>
        </w:tc>
        <w:tc>
          <w:tcPr>
            <w:tcW w:w="1116" w:type="dxa"/>
            <w:tcBorders>
              <w:top w:val="nil"/>
              <w:left w:val="nil"/>
              <w:bottom w:val="single" w:color="auto" w:sz="4" w:space="0"/>
              <w:right w:val="single" w:color="auto" w:sz="4" w:space="0"/>
            </w:tcBorders>
            <w:noWrap w:val="0"/>
            <w:vAlign w:val="center"/>
          </w:tcPr>
          <w:p w14:paraId="53920EA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20</w:t>
            </w:r>
          </w:p>
        </w:tc>
        <w:tc>
          <w:tcPr>
            <w:tcW w:w="5057" w:type="dxa"/>
            <w:tcBorders>
              <w:top w:val="nil"/>
              <w:left w:val="nil"/>
              <w:bottom w:val="single" w:color="auto" w:sz="4" w:space="0"/>
              <w:right w:val="single" w:color="auto" w:sz="4" w:space="0"/>
            </w:tcBorders>
            <w:noWrap w:val="0"/>
            <w:vAlign w:val="center"/>
          </w:tcPr>
          <w:p w14:paraId="7535DE3A">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用于标段范围内割草</w:t>
            </w:r>
          </w:p>
        </w:tc>
      </w:tr>
      <w:tr w14:paraId="722D903B">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272D108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2784" w:type="dxa"/>
            <w:tcBorders>
              <w:top w:val="nil"/>
              <w:left w:val="nil"/>
              <w:bottom w:val="single" w:color="auto" w:sz="4" w:space="0"/>
              <w:right w:val="single" w:color="auto" w:sz="4" w:space="0"/>
            </w:tcBorders>
            <w:noWrap w:val="0"/>
            <w:vAlign w:val="center"/>
          </w:tcPr>
          <w:p w14:paraId="7B87450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机械全自动打捞船（载重量2T含2T以上）</w:t>
            </w:r>
          </w:p>
        </w:tc>
        <w:tc>
          <w:tcPr>
            <w:tcW w:w="1116" w:type="dxa"/>
            <w:tcBorders>
              <w:top w:val="nil"/>
              <w:left w:val="nil"/>
              <w:bottom w:val="single" w:color="auto" w:sz="4" w:space="0"/>
              <w:right w:val="single" w:color="auto" w:sz="4" w:space="0"/>
            </w:tcBorders>
            <w:noWrap w:val="0"/>
            <w:vAlign w:val="center"/>
          </w:tcPr>
          <w:p w14:paraId="4CDBBBE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057" w:type="dxa"/>
            <w:vMerge w:val="restart"/>
            <w:tcBorders>
              <w:top w:val="nil"/>
              <w:left w:val="nil"/>
              <w:right w:val="single" w:color="auto" w:sz="4" w:space="0"/>
            </w:tcBorders>
            <w:noWrap w:val="0"/>
            <w:vAlign w:val="center"/>
          </w:tcPr>
          <w:p w14:paraId="58566C40">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用于河面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漂浮物、</w:t>
            </w:r>
            <w:r>
              <w:rPr>
                <w:rFonts w:hint="eastAsia" w:ascii="宋体" w:hAnsi="宋体" w:eastAsia="宋体" w:cs="宋体"/>
                <w:color w:val="000000" w:themeColor="text1"/>
                <w:kern w:val="0"/>
                <w:sz w:val="24"/>
                <w:szCs w:val="24"/>
                <w:highlight w:val="none"/>
                <w14:textFill>
                  <w14:solidFill>
                    <w14:schemeClr w14:val="tx1"/>
                  </w14:solidFill>
                </w14:textFill>
              </w:rPr>
              <w:t>水生</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物</w:t>
            </w:r>
            <w:r>
              <w:rPr>
                <w:rFonts w:hint="eastAsia" w:ascii="宋体" w:hAnsi="宋体" w:eastAsia="宋体" w:cs="宋体"/>
                <w:color w:val="000000" w:themeColor="text1"/>
                <w:kern w:val="0"/>
                <w:sz w:val="24"/>
                <w:szCs w:val="24"/>
                <w:highlight w:val="none"/>
                <w14:textFill>
                  <w14:solidFill>
                    <w14:schemeClr w14:val="tx1"/>
                  </w14:solidFill>
                </w14:textFill>
              </w:rPr>
              <w:t>打</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捞等保洁</w:t>
            </w:r>
          </w:p>
        </w:tc>
      </w:tr>
      <w:tr w14:paraId="6CA2019F">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468AD15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2784" w:type="dxa"/>
            <w:tcBorders>
              <w:top w:val="nil"/>
              <w:left w:val="nil"/>
              <w:bottom w:val="single" w:color="auto" w:sz="4" w:space="0"/>
              <w:right w:val="single" w:color="auto" w:sz="4" w:space="0"/>
            </w:tcBorders>
            <w:noWrap w:val="0"/>
            <w:vAlign w:val="center"/>
          </w:tcPr>
          <w:p w14:paraId="58D348B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机动保洁船</w:t>
            </w:r>
          </w:p>
        </w:tc>
        <w:tc>
          <w:tcPr>
            <w:tcW w:w="1116" w:type="dxa"/>
            <w:tcBorders>
              <w:top w:val="nil"/>
              <w:left w:val="nil"/>
              <w:bottom w:val="single" w:color="auto" w:sz="4" w:space="0"/>
              <w:right w:val="single" w:color="auto" w:sz="4" w:space="0"/>
            </w:tcBorders>
            <w:noWrap w:val="0"/>
            <w:vAlign w:val="center"/>
          </w:tcPr>
          <w:p w14:paraId="3D542CE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5057" w:type="dxa"/>
            <w:vMerge w:val="continue"/>
            <w:tcBorders>
              <w:left w:val="nil"/>
              <w:right w:val="single" w:color="auto" w:sz="4" w:space="0"/>
            </w:tcBorders>
            <w:noWrap w:val="0"/>
            <w:vAlign w:val="center"/>
          </w:tcPr>
          <w:p w14:paraId="64A81C84">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p>
        </w:tc>
      </w:tr>
      <w:tr w14:paraId="62EF47FE">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20EF7D4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2784" w:type="dxa"/>
            <w:tcBorders>
              <w:top w:val="nil"/>
              <w:left w:val="nil"/>
              <w:bottom w:val="single" w:color="auto" w:sz="4" w:space="0"/>
              <w:right w:val="single" w:color="auto" w:sz="4" w:space="0"/>
            </w:tcBorders>
            <w:noWrap w:val="0"/>
            <w:vAlign w:val="center"/>
          </w:tcPr>
          <w:p w14:paraId="6017188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非机动</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小型保洁船</w:t>
            </w:r>
          </w:p>
        </w:tc>
        <w:tc>
          <w:tcPr>
            <w:tcW w:w="1116" w:type="dxa"/>
            <w:tcBorders>
              <w:top w:val="nil"/>
              <w:left w:val="nil"/>
              <w:bottom w:val="single" w:color="auto" w:sz="4" w:space="0"/>
              <w:right w:val="single" w:color="auto" w:sz="4" w:space="0"/>
            </w:tcBorders>
            <w:noWrap w:val="0"/>
            <w:vAlign w:val="center"/>
          </w:tcPr>
          <w:p w14:paraId="2E37F77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28</w:t>
            </w:r>
          </w:p>
        </w:tc>
        <w:tc>
          <w:tcPr>
            <w:tcW w:w="5057" w:type="dxa"/>
            <w:vMerge w:val="continue"/>
            <w:tcBorders>
              <w:left w:val="nil"/>
              <w:bottom w:val="single" w:color="auto" w:sz="4" w:space="0"/>
              <w:right w:val="single" w:color="auto" w:sz="4" w:space="0"/>
            </w:tcBorders>
            <w:noWrap w:val="0"/>
            <w:vAlign w:val="center"/>
          </w:tcPr>
          <w:p w14:paraId="068415A7">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tc>
      </w:tr>
      <w:tr w14:paraId="5EEC3418">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0D6321B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2784" w:type="dxa"/>
            <w:tcBorders>
              <w:top w:val="nil"/>
              <w:left w:val="nil"/>
              <w:bottom w:val="single" w:color="auto" w:sz="4" w:space="0"/>
              <w:right w:val="single" w:color="auto" w:sz="4" w:space="0"/>
            </w:tcBorders>
            <w:noWrap w:val="0"/>
            <w:vAlign w:val="center"/>
          </w:tcPr>
          <w:p w14:paraId="5B8ED79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四轮机动汽车</w:t>
            </w:r>
          </w:p>
        </w:tc>
        <w:tc>
          <w:tcPr>
            <w:tcW w:w="1116" w:type="dxa"/>
            <w:tcBorders>
              <w:top w:val="nil"/>
              <w:left w:val="nil"/>
              <w:bottom w:val="single" w:color="auto" w:sz="4" w:space="0"/>
              <w:right w:val="single" w:color="auto" w:sz="4" w:space="0"/>
            </w:tcBorders>
            <w:noWrap w:val="0"/>
            <w:vAlign w:val="center"/>
          </w:tcPr>
          <w:p w14:paraId="418D5D6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p>
        </w:tc>
        <w:tc>
          <w:tcPr>
            <w:tcW w:w="5057" w:type="dxa"/>
            <w:tcBorders>
              <w:top w:val="nil"/>
              <w:left w:val="nil"/>
              <w:bottom w:val="single" w:color="auto" w:sz="4" w:space="0"/>
              <w:right w:val="single" w:color="auto" w:sz="4" w:space="0"/>
            </w:tcBorders>
            <w:noWrap w:val="0"/>
            <w:vAlign w:val="center"/>
          </w:tcPr>
          <w:p w14:paraId="014A34AC">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平均裸车价不低于八万元每辆</w:t>
            </w:r>
          </w:p>
        </w:tc>
      </w:tr>
      <w:tr w14:paraId="00494B70">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7254DA6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2784" w:type="dxa"/>
            <w:tcBorders>
              <w:top w:val="nil"/>
              <w:left w:val="nil"/>
              <w:bottom w:val="single" w:color="auto" w:sz="4" w:space="0"/>
              <w:right w:val="single" w:color="auto" w:sz="4" w:space="0"/>
            </w:tcBorders>
            <w:noWrap w:val="0"/>
            <w:vAlign w:val="center"/>
          </w:tcPr>
          <w:p w14:paraId="7BC75A7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各片区片长使用的电动车</w:t>
            </w:r>
          </w:p>
        </w:tc>
        <w:tc>
          <w:tcPr>
            <w:tcW w:w="1116" w:type="dxa"/>
            <w:tcBorders>
              <w:top w:val="nil"/>
              <w:left w:val="nil"/>
              <w:bottom w:val="single" w:color="auto" w:sz="4" w:space="0"/>
              <w:right w:val="single" w:color="auto" w:sz="4" w:space="0"/>
            </w:tcBorders>
            <w:noWrap w:val="0"/>
            <w:vAlign w:val="center"/>
          </w:tcPr>
          <w:p w14:paraId="3CDC932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w:t>
            </w:r>
          </w:p>
        </w:tc>
        <w:tc>
          <w:tcPr>
            <w:tcW w:w="5057" w:type="dxa"/>
            <w:tcBorders>
              <w:top w:val="nil"/>
              <w:left w:val="nil"/>
              <w:bottom w:val="single" w:color="auto" w:sz="4" w:space="0"/>
              <w:right w:val="single" w:color="auto" w:sz="4" w:space="0"/>
            </w:tcBorders>
            <w:noWrap w:val="0"/>
            <w:vAlign w:val="center"/>
          </w:tcPr>
          <w:p w14:paraId="45079A9F">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中标方对承包片区进行</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合理</w:t>
            </w:r>
            <w:r>
              <w:rPr>
                <w:rFonts w:hint="eastAsia" w:ascii="宋体" w:hAnsi="宋体" w:eastAsia="宋体" w:cs="宋体"/>
                <w:color w:val="000000" w:themeColor="text1"/>
                <w:kern w:val="0"/>
                <w:sz w:val="24"/>
                <w:szCs w:val="24"/>
                <w:highlight w:val="none"/>
                <w14:textFill>
                  <w14:solidFill>
                    <w14:schemeClr w14:val="tx1"/>
                  </w14:solidFill>
                </w14:textFill>
              </w:rPr>
              <w:t>划分，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至少</w:t>
            </w:r>
            <w:r>
              <w:rPr>
                <w:rFonts w:hint="eastAsia" w:ascii="宋体" w:hAnsi="宋体" w:eastAsia="宋体" w:cs="宋体"/>
                <w:color w:val="000000" w:themeColor="text1"/>
                <w:kern w:val="0"/>
                <w:sz w:val="24"/>
                <w:szCs w:val="24"/>
                <w:highlight w:val="none"/>
                <w14:textFill>
                  <w14:solidFill>
                    <w14:schemeClr w14:val="tx1"/>
                  </w14:solidFill>
                </w14:textFill>
              </w:rPr>
              <w:t>分成</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个片区，</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每名</w:t>
            </w:r>
            <w:r>
              <w:rPr>
                <w:rFonts w:hint="eastAsia" w:ascii="宋体" w:hAnsi="宋体" w:eastAsia="宋体" w:cs="宋体"/>
                <w:color w:val="000000" w:themeColor="text1"/>
                <w:kern w:val="0"/>
                <w:sz w:val="24"/>
                <w:szCs w:val="24"/>
                <w:highlight w:val="none"/>
                <w14:textFill>
                  <w14:solidFill>
                    <w14:schemeClr w14:val="tx1"/>
                  </w14:solidFill>
                </w14:textFill>
              </w:rPr>
              <w:t>片长配置</w:t>
            </w: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辆</w:t>
            </w:r>
            <w:r>
              <w:rPr>
                <w:rFonts w:hint="eastAsia" w:ascii="宋体" w:hAnsi="宋体" w:cs="宋体"/>
                <w:color w:val="000000" w:themeColor="text1"/>
                <w:kern w:val="0"/>
                <w:sz w:val="24"/>
                <w:szCs w:val="24"/>
                <w:highlight w:val="none"/>
                <w:lang w:val="en-US" w:eastAsia="zh-CN"/>
                <w14:textFill>
                  <w14:solidFill>
                    <w14:schemeClr w14:val="tx1"/>
                  </w14:solidFill>
                </w14:textFill>
              </w:rPr>
              <w:t>国标</w:t>
            </w:r>
            <w:r>
              <w:rPr>
                <w:rFonts w:hint="eastAsia" w:ascii="宋体" w:hAnsi="宋体" w:eastAsia="宋体" w:cs="宋体"/>
                <w:color w:val="000000" w:themeColor="text1"/>
                <w:kern w:val="0"/>
                <w:sz w:val="24"/>
                <w:szCs w:val="24"/>
                <w:highlight w:val="none"/>
                <w14:textFill>
                  <w14:solidFill>
                    <w14:schemeClr w14:val="tx1"/>
                  </w14:solidFill>
                </w14:textFill>
              </w:rPr>
              <w:t>电动车，进行日常现场管理和效果督查</w:t>
            </w:r>
          </w:p>
        </w:tc>
      </w:tr>
      <w:tr w14:paraId="73962886">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118B769D">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2784" w:type="dxa"/>
            <w:tcBorders>
              <w:top w:val="nil"/>
              <w:left w:val="nil"/>
              <w:bottom w:val="single" w:color="auto" w:sz="4" w:space="0"/>
              <w:right w:val="single" w:color="auto" w:sz="4" w:space="0"/>
            </w:tcBorders>
            <w:noWrap w:val="0"/>
            <w:vAlign w:val="center"/>
          </w:tcPr>
          <w:p w14:paraId="399F4B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垃圾分类知识宣传亭</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维护</w:t>
            </w:r>
          </w:p>
        </w:tc>
        <w:tc>
          <w:tcPr>
            <w:tcW w:w="1116" w:type="dxa"/>
            <w:tcBorders>
              <w:top w:val="nil"/>
              <w:left w:val="nil"/>
              <w:bottom w:val="single" w:color="auto" w:sz="4" w:space="0"/>
              <w:right w:val="single" w:color="auto" w:sz="4" w:space="0"/>
            </w:tcBorders>
            <w:noWrap w:val="0"/>
            <w:vAlign w:val="center"/>
          </w:tcPr>
          <w:p w14:paraId="2FB74F5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34</w:t>
            </w:r>
          </w:p>
        </w:tc>
        <w:tc>
          <w:tcPr>
            <w:tcW w:w="5057" w:type="dxa"/>
            <w:tcBorders>
              <w:top w:val="nil"/>
              <w:left w:val="nil"/>
              <w:bottom w:val="single" w:color="auto" w:sz="4" w:space="0"/>
              <w:right w:val="single" w:color="auto" w:sz="4" w:space="0"/>
            </w:tcBorders>
            <w:noWrap w:val="0"/>
            <w:vAlign w:val="center"/>
          </w:tcPr>
          <w:p w14:paraId="179E836B">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服务范围内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已建</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垃圾分类设施</w:t>
            </w:r>
            <w:r>
              <w:rPr>
                <w:rFonts w:hint="eastAsia" w:ascii="宋体" w:hAnsi="宋体" w:cs="宋体"/>
                <w:color w:val="000000" w:themeColor="text1"/>
                <w:kern w:val="0"/>
                <w:sz w:val="24"/>
                <w:szCs w:val="24"/>
                <w:highlight w:val="none"/>
                <w:lang w:val="en-US" w:eastAsia="zh-CN"/>
                <w14:textFill>
                  <w14:solidFill>
                    <w14:schemeClr w14:val="tx1"/>
                  </w14:solidFill>
                </w14:textFill>
              </w:rPr>
              <w:t>管理维护。</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本次项目中标单位，需与所在标段现保洁公司协商购买</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配备的分类设施内垃圾桶（双方应对桶的配备齐全、完好等情况现场考察后协商购买）</w:t>
            </w:r>
          </w:p>
        </w:tc>
      </w:tr>
      <w:tr w14:paraId="1E640717">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00BFE1E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2784" w:type="dxa"/>
            <w:tcBorders>
              <w:top w:val="nil"/>
              <w:left w:val="nil"/>
              <w:bottom w:val="single" w:color="auto" w:sz="4" w:space="0"/>
              <w:right w:val="single" w:color="auto" w:sz="4" w:space="0"/>
            </w:tcBorders>
            <w:noWrap w:val="0"/>
            <w:vAlign w:val="center"/>
          </w:tcPr>
          <w:p w14:paraId="3C2ACE7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240L垃圾桶</w:t>
            </w:r>
          </w:p>
        </w:tc>
        <w:tc>
          <w:tcPr>
            <w:tcW w:w="1116" w:type="dxa"/>
            <w:tcBorders>
              <w:top w:val="nil"/>
              <w:left w:val="nil"/>
              <w:bottom w:val="single" w:color="auto" w:sz="4" w:space="0"/>
              <w:right w:val="single" w:color="auto" w:sz="4" w:space="0"/>
            </w:tcBorders>
            <w:noWrap w:val="0"/>
            <w:vAlign w:val="center"/>
          </w:tcPr>
          <w:p w14:paraId="14CDADF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p>
        </w:tc>
        <w:tc>
          <w:tcPr>
            <w:tcW w:w="5057" w:type="dxa"/>
            <w:tcBorders>
              <w:top w:val="nil"/>
              <w:left w:val="nil"/>
              <w:bottom w:val="single" w:color="auto" w:sz="4" w:space="0"/>
              <w:right w:val="single" w:color="auto" w:sz="4" w:space="0"/>
            </w:tcBorders>
            <w:noWrap w:val="0"/>
            <w:vAlign w:val="center"/>
          </w:tcPr>
          <w:p w14:paraId="3B7178BB">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现已实行</w:t>
            </w:r>
            <w:r>
              <w:rPr>
                <w:rFonts w:hint="eastAsia" w:ascii="宋体" w:hAnsi="宋体" w:eastAsia="宋体" w:cs="宋体"/>
                <w:color w:val="000000" w:themeColor="text1"/>
                <w:kern w:val="0"/>
                <w:sz w:val="24"/>
                <w:szCs w:val="24"/>
                <w:highlight w:val="none"/>
                <w14:textFill>
                  <w14:solidFill>
                    <w14:schemeClr w14:val="tx1"/>
                  </w14:solidFill>
                </w14:textFill>
              </w:rPr>
              <w:t>“垃圾不落地”要求，</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由中标单位</w:t>
            </w:r>
            <w:r>
              <w:rPr>
                <w:rFonts w:hint="eastAsia" w:ascii="宋体" w:hAnsi="宋体" w:eastAsia="宋体" w:cs="宋体"/>
                <w:color w:val="000000" w:themeColor="text1"/>
                <w:kern w:val="0"/>
                <w:sz w:val="24"/>
                <w:szCs w:val="24"/>
                <w:highlight w:val="none"/>
                <w14:textFill>
                  <w14:solidFill>
                    <w14:schemeClr w14:val="tx1"/>
                  </w14:solidFill>
                </w14:textFill>
              </w:rPr>
              <w:t>根据工作模式，垃圾池不配备或适当配备</w:t>
            </w:r>
          </w:p>
        </w:tc>
      </w:tr>
      <w:tr w14:paraId="6BB5D587">
        <w:tblPrEx>
          <w:tblCellMar>
            <w:top w:w="0" w:type="dxa"/>
            <w:left w:w="108" w:type="dxa"/>
            <w:bottom w:w="0" w:type="dxa"/>
            <w:right w:w="108" w:type="dxa"/>
          </w:tblCellMar>
        </w:tblPrEx>
        <w:trPr>
          <w:trHeight w:val="737" w:hRule="atLeast"/>
        </w:trPr>
        <w:tc>
          <w:tcPr>
            <w:tcW w:w="793" w:type="dxa"/>
            <w:tcBorders>
              <w:top w:val="nil"/>
              <w:left w:val="single" w:color="auto" w:sz="4" w:space="0"/>
              <w:bottom w:val="single" w:color="auto" w:sz="4" w:space="0"/>
              <w:right w:val="single" w:color="auto" w:sz="4" w:space="0"/>
            </w:tcBorders>
            <w:noWrap w:val="0"/>
            <w:vAlign w:val="center"/>
          </w:tcPr>
          <w:p w14:paraId="78CFA68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2784" w:type="dxa"/>
            <w:tcBorders>
              <w:top w:val="nil"/>
              <w:left w:val="nil"/>
              <w:bottom w:val="single" w:color="auto" w:sz="4" w:space="0"/>
              <w:right w:val="single" w:color="auto" w:sz="4" w:space="0"/>
            </w:tcBorders>
            <w:noWrap w:val="0"/>
            <w:vAlign w:val="center"/>
          </w:tcPr>
          <w:p w14:paraId="73A930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不少于120L容积的</w:t>
            </w:r>
            <w:r>
              <w:rPr>
                <w:rFonts w:hint="eastAsia" w:ascii="宋体" w:hAnsi="宋体" w:eastAsia="宋体" w:cs="宋体"/>
                <w:color w:val="000000" w:themeColor="text1"/>
                <w:kern w:val="0"/>
                <w:sz w:val="24"/>
                <w:szCs w:val="24"/>
                <w:highlight w:val="none"/>
                <w14:textFill>
                  <w14:solidFill>
                    <w14:schemeClr w14:val="tx1"/>
                  </w14:solidFill>
                </w14:textFill>
              </w:rPr>
              <w:t>垃圾桶</w:t>
            </w:r>
          </w:p>
        </w:tc>
        <w:tc>
          <w:tcPr>
            <w:tcW w:w="1116" w:type="dxa"/>
            <w:tcBorders>
              <w:top w:val="nil"/>
              <w:left w:val="nil"/>
              <w:bottom w:val="single" w:color="auto" w:sz="4" w:space="0"/>
              <w:right w:val="single" w:color="auto" w:sz="4" w:space="0"/>
            </w:tcBorders>
            <w:noWrap w:val="0"/>
            <w:vAlign w:val="center"/>
          </w:tcPr>
          <w:p w14:paraId="4CAFF3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10639</w:t>
            </w:r>
          </w:p>
        </w:tc>
        <w:tc>
          <w:tcPr>
            <w:tcW w:w="5057" w:type="dxa"/>
            <w:tcBorders>
              <w:top w:val="nil"/>
              <w:left w:val="nil"/>
              <w:bottom w:val="single" w:color="auto" w:sz="4" w:space="0"/>
              <w:right w:val="single" w:color="auto" w:sz="4" w:space="0"/>
            </w:tcBorders>
            <w:noWrap w:val="0"/>
            <w:vAlign w:val="center"/>
          </w:tcPr>
          <w:p w14:paraId="5BE8C5FB">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每2户配备1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个</w:t>
            </w:r>
            <w:r>
              <w:rPr>
                <w:rFonts w:hint="eastAsia" w:ascii="宋体" w:hAnsi="宋体" w:eastAsia="宋体" w:cs="宋体"/>
                <w:color w:val="000000" w:themeColor="text1"/>
                <w:kern w:val="0"/>
                <w:sz w:val="24"/>
                <w:szCs w:val="24"/>
                <w:highlight w:val="none"/>
                <w14:textFill>
                  <w14:solidFill>
                    <w14:schemeClr w14:val="tx1"/>
                  </w14:solidFill>
                </w14:textFill>
              </w:rPr>
              <w:t>垃圾桶；集镇处据实际情况增加，确保符合使用</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tc>
      </w:tr>
    </w:tbl>
    <w:tbl>
      <w:tblPr>
        <w:tblStyle w:val="29"/>
        <w:tblpPr w:leftFromText="180" w:rightFromText="180" w:vertAnchor="text" w:horzAnchor="page" w:tblpX="1270" w:tblpY="2477"/>
        <w:tblOverlap w:val="never"/>
        <w:tblW w:w="9720" w:type="dxa"/>
        <w:tblInd w:w="0" w:type="dxa"/>
        <w:tblLayout w:type="fixed"/>
        <w:tblCellMar>
          <w:top w:w="0" w:type="dxa"/>
          <w:left w:w="108" w:type="dxa"/>
          <w:bottom w:w="0" w:type="dxa"/>
          <w:right w:w="108" w:type="dxa"/>
        </w:tblCellMar>
      </w:tblPr>
      <w:tblGrid>
        <w:gridCol w:w="778"/>
        <w:gridCol w:w="2784"/>
        <w:gridCol w:w="1116"/>
        <w:gridCol w:w="5042"/>
      </w:tblGrid>
      <w:tr w14:paraId="74A00F18">
        <w:tblPrEx>
          <w:tblCellMar>
            <w:top w:w="0" w:type="dxa"/>
            <w:left w:w="108" w:type="dxa"/>
            <w:bottom w:w="0" w:type="dxa"/>
            <w:right w:w="108" w:type="dxa"/>
          </w:tblCellMar>
        </w:tblPrEx>
        <w:trPr>
          <w:trHeight w:val="270" w:hRule="atLeast"/>
        </w:trPr>
        <w:tc>
          <w:tcPr>
            <w:tcW w:w="9720" w:type="dxa"/>
            <w:gridSpan w:val="4"/>
            <w:tcBorders>
              <w:top w:val="single" w:color="auto" w:sz="4" w:space="0"/>
              <w:left w:val="nil"/>
              <w:bottom w:val="single" w:color="auto" w:sz="4" w:space="0"/>
              <w:right w:val="nil"/>
            </w:tcBorders>
            <w:noWrap w:val="0"/>
            <w:vAlign w:val="center"/>
          </w:tcPr>
          <w:p w14:paraId="2F16BE2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43DF6B21">
        <w:tblPrEx>
          <w:tblCellMar>
            <w:top w:w="0" w:type="dxa"/>
            <w:left w:w="108" w:type="dxa"/>
            <w:bottom w:w="0" w:type="dxa"/>
            <w:right w:w="108" w:type="dxa"/>
          </w:tblCellMar>
        </w:tblPrEx>
        <w:trPr>
          <w:trHeight w:val="270" w:hRule="atLeast"/>
        </w:trPr>
        <w:tc>
          <w:tcPr>
            <w:tcW w:w="9720" w:type="dxa"/>
            <w:gridSpan w:val="4"/>
            <w:tcBorders>
              <w:top w:val="single" w:color="auto" w:sz="4" w:space="0"/>
              <w:left w:val="single" w:color="auto" w:sz="4" w:space="0"/>
              <w:bottom w:val="single" w:color="auto" w:sz="4" w:space="0"/>
              <w:right w:val="single" w:color="auto" w:sz="4" w:space="0"/>
            </w:tcBorders>
            <w:noWrap w:val="0"/>
            <w:vAlign w:val="center"/>
          </w:tcPr>
          <w:p w14:paraId="52FF2272">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一标段要求的人员投入</w:t>
            </w:r>
          </w:p>
        </w:tc>
      </w:tr>
      <w:tr w14:paraId="349B1F6C">
        <w:tblPrEx>
          <w:tblCellMar>
            <w:top w:w="0" w:type="dxa"/>
            <w:left w:w="108" w:type="dxa"/>
            <w:bottom w:w="0" w:type="dxa"/>
            <w:right w:w="108" w:type="dxa"/>
          </w:tblCellMar>
        </w:tblPrEx>
        <w:trPr>
          <w:trHeight w:val="737" w:hRule="atLeast"/>
        </w:trPr>
        <w:tc>
          <w:tcPr>
            <w:tcW w:w="778" w:type="dxa"/>
            <w:tcBorders>
              <w:top w:val="single" w:color="auto" w:sz="4" w:space="0"/>
              <w:left w:val="single" w:color="auto" w:sz="4" w:space="0"/>
              <w:bottom w:val="single" w:color="auto" w:sz="4" w:space="0"/>
              <w:right w:val="single" w:color="auto" w:sz="4" w:space="0"/>
            </w:tcBorders>
            <w:noWrap w:val="0"/>
            <w:vAlign w:val="center"/>
          </w:tcPr>
          <w:p w14:paraId="6E90B5D8">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序号</w:t>
            </w:r>
          </w:p>
        </w:tc>
        <w:tc>
          <w:tcPr>
            <w:tcW w:w="2784" w:type="dxa"/>
            <w:tcBorders>
              <w:top w:val="single" w:color="auto" w:sz="4" w:space="0"/>
              <w:left w:val="nil"/>
              <w:bottom w:val="single" w:color="auto" w:sz="4" w:space="0"/>
              <w:right w:val="single" w:color="auto" w:sz="4" w:space="0"/>
            </w:tcBorders>
            <w:noWrap w:val="0"/>
            <w:vAlign w:val="center"/>
          </w:tcPr>
          <w:p w14:paraId="47535A05">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岗位</w:t>
            </w:r>
          </w:p>
        </w:tc>
        <w:tc>
          <w:tcPr>
            <w:tcW w:w="1116" w:type="dxa"/>
            <w:tcBorders>
              <w:top w:val="single" w:color="auto" w:sz="4" w:space="0"/>
              <w:left w:val="nil"/>
              <w:bottom w:val="single" w:color="auto" w:sz="4" w:space="0"/>
              <w:right w:val="single" w:color="auto" w:sz="4" w:space="0"/>
            </w:tcBorders>
            <w:noWrap w:val="0"/>
            <w:vAlign w:val="center"/>
          </w:tcPr>
          <w:p w14:paraId="70342604">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人数</w:t>
            </w:r>
          </w:p>
        </w:tc>
        <w:tc>
          <w:tcPr>
            <w:tcW w:w="5042" w:type="dxa"/>
            <w:tcBorders>
              <w:top w:val="single" w:color="auto" w:sz="4" w:space="0"/>
              <w:left w:val="nil"/>
              <w:bottom w:val="single" w:color="auto" w:sz="4" w:space="0"/>
              <w:right w:val="single" w:color="auto" w:sz="4" w:space="0"/>
            </w:tcBorders>
            <w:noWrap w:val="0"/>
            <w:vAlign w:val="center"/>
          </w:tcPr>
          <w:p w14:paraId="02286158">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配置说明</w:t>
            </w:r>
          </w:p>
        </w:tc>
      </w:tr>
      <w:tr w14:paraId="006E47A8">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431ACFC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2784" w:type="dxa"/>
            <w:tcBorders>
              <w:top w:val="nil"/>
              <w:left w:val="nil"/>
              <w:bottom w:val="single" w:color="auto" w:sz="4" w:space="0"/>
              <w:right w:val="single" w:color="auto" w:sz="4" w:space="0"/>
            </w:tcBorders>
            <w:noWrap w:val="0"/>
            <w:vAlign w:val="center"/>
          </w:tcPr>
          <w:p w14:paraId="16DAEDF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w:t>
            </w:r>
          </w:p>
        </w:tc>
        <w:tc>
          <w:tcPr>
            <w:tcW w:w="1116" w:type="dxa"/>
            <w:tcBorders>
              <w:top w:val="nil"/>
              <w:left w:val="nil"/>
              <w:bottom w:val="single" w:color="auto" w:sz="4" w:space="0"/>
              <w:right w:val="single" w:color="auto" w:sz="4" w:space="0"/>
            </w:tcBorders>
            <w:noWrap w:val="0"/>
            <w:vAlign w:val="center"/>
          </w:tcPr>
          <w:p w14:paraId="3BB3BE5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042" w:type="dxa"/>
            <w:tcBorders>
              <w:top w:val="nil"/>
              <w:left w:val="nil"/>
              <w:bottom w:val="single" w:color="auto" w:sz="4" w:space="0"/>
              <w:right w:val="single" w:color="auto" w:sz="4" w:space="0"/>
            </w:tcBorders>
            <w:noWrap w:val="0"/>
            <w:vAlign w:val="center"/>
          </w:tcPr>
          <w:p w14:paraId="7DD109BB">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对整个项目进行运营管理</w:t>
            </w:r>
          </w:p>
        </w:tc>
      </w:tr>
      <w:tr w14:paraId="47F47063">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4EEEF42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2784" w:type="dxa"/>
            <w:tcBorders>
              <w:top w:val="nil"/>
              <w:left w:val="nil"/>
              <w:bottom w:val="single" w:color="auto" w:sz="4" w:space="0"/>
              <w:right w:val="single" w:color="auto" w:sz="4" w:space="0"/>
            </w:tcBorders>
            <w:noWrap w:val="0"/>
            <w:vAlign w:val="center"/>
          </w:tcPr>
          <w:p w14:paraId="16F5257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项目助理</w:t>
            </w:r>
          </w:p>
        </w:tc>
        <w:tc>
          <w:tcPr>
            <w:tcW w:w="1116" w:type="dxa"/>
            <w:tcBorders>
              <w:top w:val="nil"/>
              <w:left w:val="nil"/>
              <w:bottom w:val="single" w:color="auto" w:sz="4" w:space="0"/>
              <w:right w:val="single" w:color="auto" w:sz="4" w:space="0"/>
            </w:tcBorders>
            <w:noWrap w:val="0"/>
            <w:vAlign w:val="center"/>
          </w:tcPr>
          <w:p w14:paraId="6D3B9C3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042" w:type="dxa"/>
            <w:tcBorders>
              <w:top w:val="nil"/>
              <w:left w:val="nil"/>
              <w:bottom w:val="single" w:color="auto" w:sz="4" w:space="0"/>
              <w:right w:val="single" w:color="auto" w:sz="4" w:space="0"/>
            </w:tcBorders>
            <w:noWrap w:val="0"/>
            <w:vAlign w:val="center"/>
          </w:tcPr>
          <w:p w14:paraId="2D9CDF32">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协助项目经理对整个项目进行运营管理</w:t>
            </w:r>
          </w:p>
        </w:tc>
      </w:tr>
      <w:tr w14:paraId="2F8CC22B">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2B91805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2784" w:type="dxa"/>
            <w:tcBorders>
              <w:top w:val="nil"/>
              <w:left w:val="nil"/>
              <w:bottom w:val="single" w:color="auto" w:sz="4" w:space="0"/>
              <w:right w:val="single" w:color="auto" w:sz="4" w:space="0"/>
            </w:tcBorders>
            <w:noWrap w:val="0"/>
            <w:vAlign w:val="center"/>
          </w:tcPr>
          <w:p w14:paraId="620D32F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项目内勤</w:t>
            </w:r>
          </w:p>
        </w:tc>
        <w:tc>
          <w:tcPr>
            <w:tcW w:w="1116" w:type="dxa"/>
            <w:tcBorders>
              <w:top w:val="nil"/>
              <w:left w:val="nil"/>
              <w:bottom w:val="single" w:color="auto" w:sz="4" w:space="0"/>
              <w:right w:val="single" w:color="auto" w:sz="4" w:space="0"/>
            </w:tcBorders>
            <w:noWrap w:val="0"/>
            <w:vAlign w:val="center"/>
          </w:tcPr>
          <w:p w14:paraId="08EED3F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042" w:type="dxa"/>
            <w:tcBorders>
              <w:top w:val="nil"/>
              <w:left w:val="nil"/>
              <w:bottom w:val="single" w:color="auto" w:sz="4" w:space="0"/>
              <w:right w:val="single" w:color="auto" w:sz="4" w:space="0"/>
            </w:tcBorders>
            <w:noWrap w:val="0"/>
            <w:vAlign w:val="center"/>
          </w:tcPr>
          <w:p w14:paraId="09177931">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项目人员考勤、物资、台账等管理</w:t>
            </w:r>
          </w:p>
        </w:tc>
      </w:tr>
      <w:tr w14:paraId="27747866">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25EA411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w:t>
            </w:r>
          </w:p>
        </w:tc>
        <w:tc>
          <w:tcPr>
            <w:tcW w:w="2784" w:type="dxa"/>
            <w:tcBorders>
              <w:top w:val="nil"/>
              <w:left w:val="nil"/>
              <w:bottom w:val="single" w:color="auto" w:sz="4" w:space="0"/>
              <w:right w:val="single" w:color="auto" w:sz="4" w:space="0"/>
            </w:tcBorders>
            <w:noWrap w:val="0"/>
            <w:vAlign w:val="center"/>
          </w:tcPr>
          <w:p w14:paraId="6891F96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各片督察管理片长</w:t>
            </w:r>
          </w:p>
        </w:tc>
        <w:tc>
          <w:tcPr>
            <w:tcW w:w="1116" w:type="dxa"/>
            <w:tcBorders>
              <w:top w:val="nil"/>
              <w:left w:val="nil"/>
              <w:bottom w:val="single" w:color="auto" w:sz="4" w:space="0"/>
              <w:right w:val="single" w:color="auto" w:sz="4" w:space="0"/>
            </w:tcBorders>
            <w:noWrap w:val="0"/>
            <w:vAlign w:val="center"/>
          </w:tcPr>
          <w:p w14:paraId="47EE531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5</w:t>
            </w:r>
          </w:p>
        </w:tc>
        <w:tc>
          <w:tcPr>
            <w:tcW w:w="5042" w:type="dxa"/>
            <w:tcBorders>
              <w:top w:val="nil"/>
              <w:left w:val="nil"/>
              <w:bottom w:val="single" w:color="auto" w:sz="4" w:space="0"/>
              <w:right w:val="single" w:color="auto" w:sz="4" w:space="0"/>
            </w:tcBorders>
            <w:noWrap w:val="0"/>
            <w:vAlign w:val="center"/>
          </w:tcPr>
          <w:p w14:paraId="03ABA85E">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中标方对承包片区进行合理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划</w:t>
            </w:r>
            <w:r>
              <w:rPr>
                <w:rFonts w:hint="eastAsia" w:ascii="宋体" w:hAnsi="宋体" w:eastAsia="宋体" w:cs="宋体"/>
                <w:color w:val="000000" w:themeColor="text1"/>
                <w:kern w:val="0"/>
                <w:sz w:val="24"/>
                <w:szCs w:val="24"/>
                <w:highlight w:val="none"/>
                <w14:textFill>
                  <w14:solidFill>
                    <w14:schemeClr w14:val="tx1"/>
                  </w14:solidFill>
                </w14:textFill>
              </w:rPr>
              <w:t>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至少分</w:t>
            </w:r>
            <w:r>
              <w:rPr>
                <w:rFonts w:hint="eastAsia" w:ascii="宋体" w:hAnsi="宋体" w:eastAsia="宋体" w:cs="宋体"/>
                <w:color w:val="000000" w:themeColor="text1"/>
                <w:kern w:val="0"/>
                <w:sz w:val="24"/>
                <w:szCs w:val="24"/>
                <w:highlight w:val="none"/>
                <w14:textFill>
                  <w14:solidFill>
                    <w14:schemeClr w14:val="tx1"/>
                  </w14:solidFill>
                </w14:textFill>
              </w:rPr>
              <w:t>成</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片，各片长进行日常现场管理和效果督查</w:t>
            </w:r>
          </w:p>
        </w:tc>
      </w:tr>
      <w:tr w14:paraId="5F63A114">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572F8F8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2784" w:type="dxa"/>
            <w:tcBorders>
              <w:top w:val="nil"/>
              <w:left w:val="nil"/>
              <w:bottom w:val="single" w:color="auto" w:sz="4" w:space="0"/>
              <w:right w:val="single" w:color="auto" w:sz="4" w:space="0"/>
            </w:tcBorders>
            <w:noWrap w:val="0"/>
            <w:vAlign w:val="center"/>
          </w:tcPr>
          <w:p w14:paraId="79996EC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垃圾收集员</w:t>
            </w:r>
          </w:p>
        </w:tc>
        <w:tc>
          <w:tcPr>
            <w:tcW w:w="1116" w:type="dxa"/>
            <w:tcBorders>
              <w:top w:val="nil"/>
              <w:left w:val="nil"/>
              <w:bottom w:val="single" w:color="auto" w:sz="4" w:space="0"/>
              <w:right w:val="single" w:color="auto" w:sz="4" w:space="0"/>
            </w:tcBorders>
            <w:noWrap w:val="0"/>
            <w:vAlign w:val="center"/>
          </w:tcPr>
          <w:p w14:paraId="5CBA84E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14</w:t>
            </w:r>
          </w:p>
        </w:tc>
        <w:tc>
          <w:tcPr>
            <w:tcW w:w="5042" w:type="dxa"/>
            <w:tcBorders>
              <w:top w:val="nil"/>
              <w:left w:val="nil"/>
              <w:bottom w:val="single" w:color="auto" w:sz="4" w:space="0"/>
              <w:right w:val="single" w:color="auto" w:sz="4" w:space="0"/>
            </w:tcBorders>
            <w:noWrap w:val="0"/>
            <w:vAlign w:val="center"/>
          </w:tcPr>
          <w:p w14:paraId="6F94B0A3">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每村</w:t>
            </w:r>
            <w:r>
              <w:rPr>
                <w:rFonts w:hint="eastAsia" w:ascii="宋体" w:hAnsi="宋体" w:cs="宋体"/>
                <w:color w:val="000000" w:themeColor="text1"/>
                <w:kern w:val="0"/>
                <w:sz w:val="24"/>
                <w:szCs w:val="24"/>
                <w:highlight w:val="none"/>
                <w:lang w:val="en-US" w:eastAsia="zh-CN"/>
                <w14:textFill>
                  <w14:solidFill>
                    <w14:schemeClr w14:val="tx1"/>
                  </w14:solidFill>
                </w14:textFill>
              </w:rPr>
              <w:t>至少安排1</w:t>
            </w:r>
            <w:r>
              <w:rPr>
                <w:rFonts w:hint="eastAsia" w:ascii="宋体" w:hAnsi="宋体" w:eastAsia="宋体" w:cs="宋体"/>
                <w:color w:val="000000" w:themeColor="text1"/>
                <w:kern w:val="0"/>
                <w:sz w:val="24"/>
                <w:szCs w:val="24"/>
                <w:highlight w:val="none"/>
                <w14:textFill>
                  <w14:solidFill>
                    <w14:schemeClr w14:val="tx1"/>
                  </w14:solidFill>
                </w14:textFill>
              </w:rPr>
              <w:t>名垃圾收集员，将</w:t>
            </w:r>
            <w:r>
              <w:rPr>
                <w:rFonts w:hint="eastAsia" w:ascii="宋体" w:hAnsi="宋体" w:cs="宋体"/>
                <w:color w:val="000000" w:themeColor="text1"/>
                <w:kern w:val="0"/>
                <w:sz w:val="24"/>
                <w:szCs w:val="24"/>
                <w:highlight w:val="none"/>
                <w:lang w:val="en-US" w:eastAsia="zh-CN"/>
                <w14:textFill>
                  <w14:solidFill>
                    <w14:schemeClr w14:val="tx1"/>
                  </w14:solidFill>
                </w14:textFill>
              </w:rPr>
              <w:t>部分道路进出条件有限区域的</w:t>
            </w:r>
            <w:r>
              <w:rPr>
                <w:rFonts w:hint="eastAsia" w:ascii="宋体" w:hAnsi="宋体" w:eastAsia="宋体" w:cs="宋体"/>
                <w:color w:val="000000" w:themeColor="text1"/>
                <w:kern w:val="0"/>
                <w:sz w:val="24"/>
                <w:szCs w:val="24"/>
                <w:highlight w:val="none"/>
                <w14:textFill>
                  <w14:solidFill>
                    <w14:schemeClr w14:val="tx1"/>
                  </w14:solidFill>
                </w14:textFill>
              </w:rPr>
              <w:t>垃圾桶内垃圾清运至指定地点</w:t>
            </w:r>
          </w:p>
        </w:tc>
      </w:tr>
      <w:tr w14:paraId="25B067B8">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4DF951A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2784" w:type="dxa"/>
            <w:tcBorders>
              <w:top w:val="nil"/>
              <w:left w:val="nil"/>
              <w:bottom w:val="single" w:color="auto" w:sz="4" w:space="0"/>
              <w:right w:val="single" w:color="auto" w:sz="4" w:space="0"/>
            </w:tcBorders>
            <w:noWrap w:val="0"/>
            <w:vAlign w:val="center"/>
          </w:tcPr>
          <w:p w14:paraId="35632E2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分类垃圾收集员</w:t>
            </w:r>
          </w:p>
        </w:tc>
        <w:tc>
          <w:tcPr>
            <w:tcW w:w="1116" w:type="dxa"/>
            <w:tcBorders>
              <w:top w:val="nil"/>
              <w:left w:val="nil"/>
              <w:bottom w:val="single" w:color="auto" w:sz="4" w:space="0"/>
              <w:right w:val="single" w:color="auto" w:sz="4" w:space="0"/>
            </w:tcBorders>
            <w:noWrap w:val="0"/>
            <w:vAlign w:val="center"/>
          </w:tcPr>
          <w:p w14:paraId="6DB91E1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p>
        </w:tc>
        <w:tc>
          <w:tcPr>
            <w:tcW w:w="5042" w:type="dxa"/>
            <w:tcBorders>
              <w:top w:val="nil"/>
              <w:left w:val="nil"/>
              <w:bottom w:val="single" w:color="auto" w:sz="4" w:space="0"/>
              <w:right w:val="single" w:color="auto" w:sz="4" w:space="0"/>
            </w:tcBorders>
            <w:noWrap w:val="0"/>
            <w:vAlign w:val="center"/>
          </w:tcPr>
          <w:p w14:paraId="569A7973">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主要负责餐厨垃圾清运，同时协助</w:t>
            </w:r>
            <w:r>
              <w:rPr>
                <w:rFonts w:hint="eastAsia" w:ascii="宋体" w:hAnsi="宋体" w:eastAsia="宋体" w:cs="宋体"/>
                <w:color w:val="000000" w:themeColor="text1"/>
                <w:kern w:val="0"/>
                <w:sz w:val="24"/>
                <w:szCs w:val="24"/>
                <w:highlight w:val="none"/>
                <w14:textFill>
                  <w14:solidFill>
                    <w14:schemeClr w14:val="tx1"/>
                  </w14:solidFill>
                </w14:textFill>
              </w:rPr>
              <w:t>可回收垃圾、有毒有害垃圾的收集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和合规处置</w:t>
            </w:r>
          </w:p>
        </w:tc>
      </w:tr>
      <w:tr w14:paraId="771E2C79">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71C5333D">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2784" w:type="dxa"/>
            <w:tcBorders>
              <w:top w:val="nil"/>
              <w:left w:val="nil"/>
              <w:bottom w:val="single" w:color="auto" w:sz="4" w:space="0"/>
              <w:right w:val="single" w:color="auto" w:sz="4" w:space="0"/>
            </w:tcBorders>
            <w:noWrap w:val="0"/>
            <w:vAlign w:val="center"/>
          </w:tcPr>
          <w:p w14:paraId="39063F4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村域集镇保洁员</w:t>
            </w:r>
          </w:p>
        </w:tc>
        <w:tc>
          <w:tcPr>
            <w:tcW w:w="1116" w:type="dxa"/>
            <w:tcBorders>
              <w:top w:val="nil"/>
              <w:left w:val="nil"/>
              <w:bottom w:val="single" w:color="auto" w:sz="4" w:space="0"/>
              <w:right w:val="single" w:color="auto" w:sz="4" w:space="0"/>
            </w:tcBorders>
            <w:noWrap w:val="0"/>
            <w:vAlign w:val="center"/>
          </w:tcPr>
          <w:p w14:paraId="7BDF0AB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042" w:type="dxa"/>
            <w:tcBorders>
              <w:top w:val="nil"/>
              <w:left w:val="nil"/>
              <w:bottom w:val="single" w:color="auto" w:sz="4" w:space="0"/>
              <w:right w:val="single" w:color="auto" w:sz="4" w:space="0"/>
            </w:tcBorders>
            <w:noWrap w:val="0"/>
            <w:vAlign w:val="center"/>
          </w:tcPr>
          <w:p w14:paraId="1AF6913A">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东凌社区、东余村、海晏村</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新闸村有集镇，每个集镇配2名日常保洁员。</w:t>
            </w:r>
          </w:p>
        </w:tc>
      </w:tr>
      <w:tr w14:paraId="406C9A86">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00AADBC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2784" w:type="dxa"/>
            <w:tcBorders>
              <w:top w:val="nil"/>
              <w:left w:val="nil"/>
              <w:bottom w:val="single" w:color="auto" w:sz="4" w:space="0"/>
              <w:right w:val="single" w:color="auto" w:sz="4" w:space="0"/>
            </w:tcBorders>
            <w:noWrap w:val="0"/>
            <w:vAlign w:val="center"/>
          </w:tcPr>
          <w:p w14:paraId="56064BC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衔接工作专员</w:t>
            </w:r>
          </w:p>
        </w:tc>
        <w:tc>
          <w:tcPr>
            <w:tcW w:w="1116" w:type="dxa"/>
            <w:tcBorders>
              <w:top w:val="nil"/>
              <w:left w:val="nil"/>
              <w:bottom w:val="single" w:color="auto" w:sz="4" w:space="0"/>
              <w:right w:val="single" w:color="auto" w:sz="4" w:space="0"/>
            </w:tcBorders>
            <w:noWrap w:val="0"/>
            <w:vAlign w:val="center"/>
          </w:tcPr>
          <w:p w14:paraId="270A54F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042" w:type="dxa"/>
            <w:tcBorders>
              <w:top w:val="nil"/>
              <w:left w:val="nil"/>
              <w:bottom w:val="single" w:color="auto" w:sz="4" w:space="0"/>
              <w:right w:val="single" w:color="auto" w:sz="4" w:space="0"/>
            </w:tcBorders>
            <w:noWrap w:val="0"/>
            <w:vAlign w:val="center"/>
          </w:tcPr>
          <w:p w14:paraId="52CBE956">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大</w:t>
            </w:r>
            <w:r>
              <w:rPr>
                <w:rFonts w:hint="eastAsia" w:ascii="宋体" w:hAnsi="宋体" w:eastAsia="宋体" w:cs="宋体"/>
                <w:color w:val="000000" w:themeColor="text1"/>
                <w:kern w:val="0"/>
                <w:sz w:val="24"/>
                <w:szCs w:val="24"/>
                <w:highlight w:val="none"/>
                <w14:textFill>
                  <w14:solidFill>
                    <w14:schemeClr w14:val="tx1"/>
                  </w14:solidFill>
                </w14:textFill>
              </w:rPr>
              <w:t>专</w:t>
            </w:r>
            <w:r>
              <w:rPr>
                <w:rFonts w:hint="eastAsia" w:ascii="宋体" w:hAnsi="宋体" w:cs="宋体"/>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color w:val="000000" w:themeColor="text1"/>
                <w:kern w:val="0"/>
                <w:sz w:val="24"/>
                <w:szCs w:val="24"/>
                <w:highlight w:val="none"/>
                <w14:textFill>
                  <w14:solidFill>
                    <w14:schemeClr w14:val="tx1"/>
                  </w14:solidFill>
                </w14:textFill>
              </w:rPr>
              <w:t>以上学历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男女不限，四十岁以下，电脑运用熟练</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汽车驾驶熟练</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具体见届时招聘要求</w:t>
            </w:r>
          </w:p>
        </w:tc>
      </w:tr>
      <w:tr w14:paraId="32E3AF76">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4D6B73B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2784" w:type="dxa"/>
            <w:tcBorders>
              <w:top w:val="nil"/>
              <w:left w:val="nil"/>
              <w:bottom w:val="single" w:color="auto" w:sz="4" w:space="0"/>
              <w:right w:val="single" w:color="auto" w:sz="4" w:space="0"/>
            </w:tcBorders>
            <w:noWrap w:val="0"/>
            <w:vAlign w:val="center"/>
          </w:tcPr>
          <w:p w14:paraId="106C4B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河道</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道路</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保洁员</w:t>
            </w:r>
          </w:p>
        </w:tc>
        <w:tc>
          <w:tcPr>
            <w:tcW w:w="1116" w:type="dxa"/>
            <w:tcBorders>
              <w:top w:val="nil"/>
              <w:left w:val="nil"/>
              <w:bottom w:val="single" w:color="auto" w:sz="4" w:space="0"/>
              <w:right w:val="single" w:color="auto" w:sz="4" w:space="0"/>
            </w:tcBorders>
            <w:noWrap w:val="0"/>
            <w:vAlign w:val="center"/>
          </w:tcPr>
          <w:p w14:paraId="754C1C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70</w:t>
            </w:r>
          </w:p>
        </w:tc>
        <w:tc>
          <w:tcPr>
            <w:tcW w:w="5042" w:type="dxa"/>
            <w:tcBorders>
              <w:top w:val="nil"/>
              <w:left w:val="nil"/>
              <w:bottom w:val="single" w:color="auto" w:sz="4" w:space="0"/>
              <w:right w:val="single" w:color="auto" w:sz="4" w:space="0"/>
            </w:tcBorders>
            <w:noWrap w:val="0"/>
            <w:vAlign w:val="center"/>
          </w:tcPr>
          <w:p w14:paraId="1EDF759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名河道</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道路</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保洁员</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负责道路保洁、路肩割草、树木治虫、修建、刷白、河道保洁。</w:t>
            </w:r>
          </w:p>
        </w:tc>
      </w:tr>
      <w:tr w14:paraId="3E9C85A7">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42AFBD2D">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10</w:t>
            </w:r>
          </w:p>
        </w:tc>
        <w:tc>
          <w:tcPr>
            <w:tcW w:w="2784" w:type="dxa"/>
            <w:tcBorders>
              <w:top w:val="nil"/>
              <w:left w:val="nil"/>
              <w:bottom w:val="single" w:color="auto" w:sz="4" w:space="0"/>
              <w:right w:val="single" w:color="auto" w:sz="4" w:space="0"/>
            </w:tcBorders>
            <w:noWrap w:val="0"/>
            <w:vAlign w:val="center"/>
          </w:tcPr>
          <w:p w14:paraId="4BA33F2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机动</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船驾驶员</w:t>
            </w:r>
          </w:p>
        </w:tc>
        <w:tc>
          <w:tcPr>
            <w:tcW w:w="1116" w:type="dxa"/>
            <w:tcBorders>
              <w:top w:val="nil"/>
              <w:left w:val="nil"/>
              <w:bottom w:val="single" w:color="auto" w:sz="4" w:space="0"/>
              <w:right w:val="single" w:color="auto" w:sz="4" w:space="0"/>
            </w:tcBorders>
            <w:noWrap w:val="0"/>
            <w:vAlign w:val="center"/>
          </w:tcPr>
          <w:p w14:paraId="46CB736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5</w:t>
            </w:r>
          </w:p>
        </w:tc>
        <w:tc>
          <w:tcPr>
            <w:tcW w:w="5042" w:type="dxa"/>
            <w:tcBorders>
              <w:top w:val="nil"/>
              <w:left w:val="nil"/>
              <w:bottom w:val="single" w:color="auto" w:sz="4" w:space="0"/>
              <w:right w:val="single" w:color="auto" w:sz="4" w:space="0"/>
            </w:tcBorders>
            <w:noWrap w:val="0"/>
            <w:vAlign w:val="center"/>
          </w:tcPr>
          <w:p w14:paraId="3C0A2210">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5艘机动船配备的5名驾驶员</w:t>
            </w:r>
          </w:p>
        </w:tc>
      </w:tr>
      <w:tr w14:paraId="07358692">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1A6C713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11</w:t>
            </w:r>
          </w:p>
        </w:tc>
        <w:tc>
          <w:tcPr>
            <w:tcW w:w="2784" w:type="dxa"/>
            <w:tcBorders>
              <w:top w:val="nil"/>
              <w:left w:val="nil"/>
              <w:bottom w:val="single" w:color="auto" w:sz="4" w:space="0"/>
              <w:right w:val="single" w:color="auto" w:sz="4" w:space="0"/>
            </w:tcBorders>
            <w:noWrap w:val="0"/>
            <w:vAlign w:val="center"/>
          </w:tcPr>
          <w:p w14:paraId="5077678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清运车</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驾驶员</w:t>
            </w:r>
          </w:p>
        </w:tc>
        <w:tc>
          <w:tcPr>
            <w:tcW w:w="1116" w:type="dxa"/>
            <w:tcBorders>
              <w:top w:val="nil"/>
              <w:left w:val="nil"/>
              <w:bottom w:val="single" w:color="auto" w:sz="4" w:space="0"/>
              <w:right w:val="single" w:color="auto" w:sz="4" w:space="0"/>
            </w:tcBorders>
            <w:noWrap w:val="0"/>
            <w:vAlign w:val="center"/>
          </w:tcPr>
          <w:p w14:paraId="29CB66D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lang w:val="en-US" w:eastAsia="zh-CN"/>
                <w14:textFill>
                  <w14:solidFill>
                    <w14:schemeClr w14:val="tx1"/>
                  </w14:solidFill>
                </w14:textFill>
              </w:rPr>
              <w:t>5</w:t>
            </w:r>
          </w:p>
        </w:tc>
        <w:tc>
          <w:tcPr>
            <w:tcW w:w="5042" w:type="dxa"/>
            <w:tcBorders>
              <w:top w:val="nil"/>
              <w:left w:val="nil"/>
              <w:bottom w:val="single" w:color="auto" w:sz="4" w:space="0"/>
              <w:right w:val="single" w:color="auto" w:sz="4" w:space="0"/>
            </w:tcBorders>
            <w:noWrap w:val="0"/>
            <w:vAlign w:val="center"/>
          </w:tcPr>
          <w:p w14:paraId="3E4C7D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每辆清运车配备1名驾驶员</w:t>
            </w:r>
          </w:p>
        </w:tc>
      </w:tr>
      <w:tr w14:paraId="34B09048">
        <w:tblPrEx>
          <w:tblCellMar>
            <w:top w:w="0" w:type="dxa"/>
            <w:left w:w="108" w:type="dxa"/>
            <w:bottom w:w="0" w:type="dxa"/>
            <w:right w:w="108" w:type="dxa"/>
          </w:tblCellMar>
        </w:tblPrEx>
        <w:trPr>
          <w:trHeight w:val="737" w:hRule="atLeast"/>
        </w:trPr>
        <w:tc>
          <w:tcPr>
            <w:tcW w:w="778" w:type="dxa"/>
            <w:tcBorders>
              <w:top w:val="nil"/>
              <w:left w:val="single" w:color="auto" w:sz="4" w:space="0"/>
              <w:bottom w:val="single" w:color="auto" w:sz="4" w:space="0"/>
              <w:right w:val="single" w:color="auto" w:sz="4" w:space="0"/>
            </w:tcBorders>
            <w:noWrap w:val="0"/>
            <w:vAlign w:val="center"/>
          </w:tcPr>
          <w:p w14:paraId="564B046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2784" w:type="dxa"/>
            <w:tcBorders>
              <w:top w:val="nil"/>
              <w:left w:val="nil"/>
              <w:bottom w:val="single" w:color="auto" w:sz="4" w:space="0"/>
              <w:right w:val="single" w:color="auto" w:sz="4" w:space="0"/>
            </w:tcBorders>
            <w:noWrap w:val="0"/>
            <w:vAlign w:val="center"/>
          </w:tcPr>
          <w:p w14:paraId="4EE3DF6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辅工</w:t>
            </w:r>
          </w:p>
        </w:tc>
        <w:tc>
          <w:tcPr>
            <w:tcW w:w="1116" w:type="dxa"/>
            <w:tcBorders>
              <w:top w:val="nil"/>
              <w:left w:val="nil"/>
              <w:bottom w:val="single" w:color="auto" w:sz="4" w:space="0"/>
              <w:right w:val="single" w:color="auto" w:sz="4" w:space="0"/>
            </w:tcBorders>
            <w:noWrap w:val="0"/>
            <w:vAlign w:val="center"/>
          </w:tcPr>
          <w:p w14:paraId="5DBB2D6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w:t>
            </w:r>
          </w:p>
        </w:tc>
        <w:tc>
          <w:tcPr>
            <w:tcW w:w="5042" w:type="dxa"/>
            <w:tcBorders>
              <w:top w:val="nil"/>
              <w:left w:val="nil"/>
              <w:bottom w:val="single" w:color="auto" w:sz="4" w:space="0"/>
              <w:right w:val="single" w:color="auto" w:sz="4" w:space="0"/>
            </w:tcBorders>
            <w:noWrap w:val="0"/>
            <w:vAlign w:val="center"/>
          </w:tcPr>
          <w:p w14:paraId="60B7F89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每辆清运车配备2名辅工</w:t>
            </w:r>
          </w:p>
        </w:tc>
      </w:tr>
      <w:tr w14:paraId="3F8D8153">
        <w:tblPrEx>
          <w:tblCellMar>
            <w:top w:w="0" w:type="dxa"/>
            <w:left w:w="108" w:type="dxa"/>
            <w:bottom w:w="0" w:type="dxa"/>
            <w:right w:w="108" w:type="dxa"/>
          </w:tblCellMar>
        </w:tblPrEx>
        <w:trPr>
          <w:trHeight w:val="737" w:hRule="atLeast"/>
        </w:trPr>
        <w:tc>
          <w:tcPr>
            <w:tcW w:w="3562" w:type="dxa"/>
            <w:gridSpan w:val="2"/>
            <w:tcBorders>
              <w:top w:val="single" w:color="auto" w:sz="4" w:space="0"/>
              <w:left w:val="single" w:color="auto" w:sz="4" w:space="0"/>
              <w:bottom w:val="single" w:color="auto" w:sz="4" w:space="0"/>
              <w:right w:val="single" w:color="auto" w:sz="4" w:space="0"/>
            </w:tcBorders>
            <w:noWrap w:val="0"/>
            <w:vAlign w:val="center"/>
          </w:tcPr>
          <w:p w14:paraId="0165E8CA">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合计</w:t>
            </w:r>
          </w:p>
        </w:tc>
        <w:tc>
          <w:tcPr>
            <w:tcW w:w="1116" w:type="dxa"/>
            <w:tcBorders>
              <w:top w:val="single" w:color="auto" w:sz="4" w:space="0"/>
              <w:left w:val="single" w:color="auto" w:sz="4" w:space="0"/>
              <w:bottom w:val="single" w:color="auto" w:sz="4" w:space="0"/>
              <w:right w:val="single" w:color="auto" w:sz="4" w:space="0"/>
            </w:tcBorders>
            <w:noWrap w:val="0"/>
            <w:vAlign w:val="center"/>
          </w:tcPr>
          <w:p w14:paraId="55BED1E2">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124</w:t>
            </w:r>
          </w:p>
        </w:tc>
        <w:tc>
          <w:tcPr>
            <w:tcW w:w="5042" w:type="dxa"/>
            <w:tcBorders>
              <w:top w:val="single" w:color="auto" w:sz="4" w:space="0"/>
              <w:left w:val="single" w:color="auto" w:sz="4" w:space="0"/>
              <w:bottom w:val="single" w:color="auto" w:sz="4" w:space="0"/>
              <w:right w:val="single" w:color="auto" w:sz="4" w:space="0"/>
            </w:tcBorders>
            <w:noWrap w:val="0"/>
            <w:vAlign w:val="center"/>
          </w:tcPr>
          <w:p w14:paraId="76847BAB">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　</w:t>
            </w:r>
          </w:p>
        </w:tc>
      </w:tr>
      <w:tr w14:paraId="13792B64">
        <w:tblPrEx>
          <w:tblCellMar>
            <w:top w:w="0" w:type="dxa"/>
            <w:left w:w="108" w:type="dxa"/>
            <w:bottom w:w="0" w:type="dxa"/>
            <w:right w:w="108" w:type="dxa"/>
          </w:tblCellMar>
        </w:tblPrEx>
        <w:trPr>
          <w:trHeight w:val="270" w:hRule="atLeast"/>
        </w:trPr>
        <w:tc>
          <w:tcPr>
            <w:tcW w:w="9720" w:type="dxa"/>
            <w:gridSpan w:val="4"/>
            <w:tcBorders>
              <w:top w:val="single" w:color="auto" w:sz="4" w:space="0"/>
              <w:left w:val="nil"/>
              <w:bottom w:val="nil"/>
              <w:right w:val="nil"/>
            </w:tcBorders>
            <w:noWrap w:val="0"/>
            <w:vAlign w:val="top"/>
          </w:tcPr>
          <w:p w14:paraId="3742502D">
            <w:pPr>
              <w:keepNext w:val="0"/>
              <w:keepLines w:val="0"/>
              <w:pageBreakBefore w:val="0"/>
              <w:widowControl/>
              <w:kinsoku/>
              <w:wordWrap/>
              <w:overflowPunct/>
              <w:topLinePunct w:val="0"/>
              <w:autoSpaceDE/>
              <w:autoSpaceDN/>
              <w:bidi w:val="0"/>
              <w:adjustRightInd/>
              <w:snapToGrid/>
              <w:spacing w:beforeAutospacing="0" w:afterAutospacing="0" w:line="480" w:lineRule="exact"/>
              <w:jc w:val="left"/>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p>
        </w:tc>
      </w:tr>
    </w:tbl>
    <w:tbl>
      <w:tblPr>
        <w:tblStyle w:val="29"/>
        <w:tblpPr w:leftFromText="180" w:rightFromText="180" w:vertAnchor="text" w:horzAnchor="page" w:tblpX="1285" w:tblpY="1819"/>
        <w:tblOverlap w:val="never"/>
        <w:tblW w:w="9675" w:type="dxa"/>
        <w:tblInd w:w="0" w:type="dxa"/>
        <w:tblLayout w:type="fixed"/>
        <w:tblCellMar>
          <w:top w:w="0" w:type="dxa"/>
          <w:left w:w="108" w:type="dxa"/>
          <w:bottom w:w="0" w:type="dxa"/>
          <w:right w:w="108" w:type="dxa"/>
        </w:tblCellMar>
      </w:tblPr>
      <w:tblGrid>
        <w:gridCol w:w="763"/>
        <w:gridCol w:w="2784"/>
        <w:gridCol w:w="1116"/>
        <w:gridCol w:w="5012"/>
      </w:tblGrid>
      <w:tr w14:paraId="31D4E37C">
        <w:tblPrEx>
          <w:tblCellMar>
            <w:top w:w="0" w:type="dxa"/>
            <w:left w:w="108" w:type="dxa"/>
            <w:bottom w:w="0" w:type="dxa"/>
            <w:right w:w="108" w:type="dxa"/>
          </w:tblCellMar>
        </w:tblPrEx>
        <w:trPr>
          <w:trHeight w:val="737" w:hRule="atLeast"/>
        </w:trPr>
        <w:tc>
          <w:tcPr>
            <w:tcW w:w="9675" w:type="dxa"/>
            <w:gridSpan w:val="4"/>
            <w:tcBorders>
              <w:top w:val="single" w:color="auto" w:sz="4" w:space="0"/>
              <w:left w:val="single" w:color="auto" w:sz="4" w:space="0"/>
              <w:bottom w:val="single" w:color="auto" w:sz="4" w:space="0"/>
              <w:right w:val="single" w:color="auto" w:sz="4" w:space="0"/>
            </w:tcBorders>
            <w:noWrap w:val="0"/>
            <w:vAlign w:val="center"/>
          </w:tcPr>
          <w:p w14:paraId="0861E638">
            <w:pPr>
              <w:keepNext w:val="0"/>
              <w:keepLines w:val="0"/>
              <w:pageBreakBefore w:val="0"/>
              <w:widowControl/>
              <w:tabs>
                <w:tab w:val="left" w:pos="3382"/>
              </w:tabs>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二标段要求的设备投入</w:t>
            </w:r>
          </w:p>
        </w:tc>
      </w:tr>
      <w:tr w14:paraId="5F571FD1">
        <w:tblPrEx>
          <w:tblCellMar>
            <w:top w:w="0" w:type="dxa"/>
            <w:left w:w="108" w:type="dxa"/>
            <w:bottom w:w="0" w:type="dxa"/>
            <w:right w:w="108" w:type="dxa"/>
          </w:tblCellMar>
        </w:tblPrEx>
        <w:trPr>
          <w:trHeight w:val="737"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14:paraId="68E6BF06">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序号</w:t>
            </w:r>
          </w:p>
        </w:tc>
        <w:tc>
          <w:tcPr>
            <w:tcW w:w="2784" w:type="dxa"/>
            <w:tcBorders>
              <w:top w:val="single" w:color="auto" w:sz="4" w:space="0"/>
              <w:left w:val="nil"/>
              <w:bottom w:val="single" w:color="auto" w:sz="4" w:space="0"/>
              <w:right w:val="single" w:color="auto" w:sz="4" w:space="0"/>
            </w:tcBorders>
            <w:noWrap w:val="0"/>
            <w:vAlign w:val="center"/>
          </w:tcPr>
          <w:p w14:paraId="0C6E40F4">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设备名称</w:t>
            </w:r>
          </w:p>
        </w:tc>
        <w:tc>
          <w:tcPr>
            <w:tcW w:w="1116" w:type="dxa"/>
            <w:tcBorders>
              <w:top w:val="single" w:color="auto" w:sz="4" w:space="0"/>
              <w:left w:val="nil"/>
              <w:bottom w:val="single" w:color="auto" w:sz="4" w:space="0"/>
              <w:right w:val="single" w:color="auto" w:sz="4" w:space="0"/>
            </w:tcBorders>
            <w:noWrap w:val="0"/>
            <w:vAlign w:val="center"/>
          </w:tcPr>
          <w:p w14:paraId="31DC3C7E">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数量</w:t>
            </w:r>
          </w:p>
        </w:tc>
        <w:tc>
          <w:tcPr>
            <w:tcW w:w="5012" w:type="dxa"/>
            <w:tcBorders>
              <w:top w:val="single" w:color="auto" w:sz="4" w:space="0"/>
              <w:left w:val="nil"/>
              <w:bottom w:val="single" w:color="auto" w:sz="4" w:space="0"/>
              <w:right w:val="single" w:color="auto" w:sz="4" w:space="0"/>
            </w:tcBorders>
            <w:noWrap w:val="0"/>
            <w:vAlign w:val="center"/>
          </w:tcPr>
          <w:p w14:paraId="21E839BD">
            <w:pPr>
              <w:keepNext w:val="0"/>
              <w:keepLines w:val="0"/>
              <w:pageBreakBefore w:val="0"/>
              <w:widowControl/>
              <w:kinsoku/>
              <w:wordWrap/>
              <w:overflowPunct/>
              <w:topLinePunct w:val="0"/>
              <w:autoSpaceDE/>
              <w:autoSpaceDN/>
              <w:bidi w:val="0"/>
              <w:adjustRightInd/>
              <w:snapToGrid/>
              <w:spacing w:beforeAutospacing="0" w:afterAutospacing="0" w:line="48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配置明细</w:t>
            </w:r>
          </w:p>
        </w:tc>
      </w:tr>
      <w:tr w14:paraId="399887F6">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1DCD9DA5">
            <w:pPr>
              <w:keepNext w:val="0"/>
              <w:keepLines w:val="0"/>
              <w:pageBreakBefore w:val="0"/>
              <w:widowControl/>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1</w:t>
            </w:r>
          </w:p>
        </w:tc>
        <w:tc>
          <w:tcPr>
            <w:tcW w:w="2784" w:type="dxa"/>
            <w:tcBorders>
              <w:top w:val="nil"/>
              <w:left w:val="nil"/>
              <w:bottom w:val="single" w:color="auto" w:sz="4" w:space="0"/>
              <w:right w:val="single" w:color="auto" w:sz="4" w:space="0"/>
            </w:tcBorders>
            <w:noWrap w:val="0"/>
            <w:vAlign w:val="center"/>
          </w:tcPr>
          <w:p w14:paraId="7518740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总质量</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b w:val="0"/>
                <w:bCs w:val="0"/>
                <w:color w:val="000000" w:themeColor="text1"/>
                <w:kern w:val="0"/>
                <w:sz w:val="24"/>
                <w:szCs w:val="24"/>
                <w:highlight w:val="none"/>
                <w14:textFill>
                  <w14:solidFill>
                    <w14:schemeClr w14:val="tx1"/>
                  </w14:solidFill>
                </w14:textFill>
              </w:rPr>
              <w:t>以上型号（装运</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量3</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b w:val="0"/>
                <w:bCs w:val="0"/>
                <w:color w:val="000000" w:themeColor="text1"/>
                <w:kern w:val="0"/>
                <w:sz w:val="24"/>
                <w:szCs w:val="24"/>
                <w:highlight w:val="none"/>
                <w14:textFill>
                  <w14:solidFill>
                    <w14:schemeClr w14:val="tx1"/>
                  </w14:solidFill>
                </w14:textFill>
              </w:rPr>
              <w:t>以上）垃圾压缩清运车</w:t>
            </w:r>
          </w:p>
        </w:tc>
        <w:tc>
          <w:tcPr>
            <w:tcW w:w="1116" w:type="dxa"/>
            <w:tcBorders>
              <w:top w:val="nil"/>
              <w:left w:val="nil"/>
              <w:bottom w:val="single" w:color="auto" w:sz="4" w:space="0"/>
              <w:right w:val="single" w:color="auto" w:sz="4" w:space="0"/>
            </w:tcBorders>
            <w:noWrap w:val="0"/>
            <w:vAlign w:val="center"/>
          </w:tcPr>
          <w:p w14:paraId="345C7CE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6-7</w:t>
            </w:r>
          </w:p>
        </w:tc>
        <w:tc>
          <w:tcPr>
            <w:tcW w:w="5012" w:type="dxa"/>
            <w:tcBorders>
              <w:top w:val="nil"/>
              <w:left w:val="nil"/>
              <w:bottom w:val="single" w:color="auto" w:sz="4" w:space="0"/>
              <w:right w:val="single" w:color="auto" w:sz="4" w:space="0"/>
            </w:tcBorders>
            <w:noWrap w:val="0"/>
            <w:vAlign w:val="center"/>
          </w:tcPr>
          <w:p w14:paraId="483F6A0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区域内每天</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生活</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垃圾产生量日均约30吨</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节假日明显增多</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。根据“垃圾不落地”的清运要求，需配备</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吨及以上的垃圾压缩清运车</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辆</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实行直运模式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考虑到车辆维修保养</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及节假日</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情况，</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另</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需备用清运车1</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辆</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w:t>
            </w:r>
          </w:p>
          <w:p w14:paraId="4602315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投标人如有其他可实现“垃圾不落地”的清运模式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如“以桶换桶”清运模式</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，应充分说明</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该模式在本地的适用性，并附详细方案，且需</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明确配套车辆和人员。</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采用其他模式需在技术偏离表中注明，是</w:t>
            </w:r>
            <w:r>
              <w:rPr>
                <w:rFonts w:hint="eastAsia" w:ascii="宋体" w:hAnsi="宋体" w:eastAsia="宋体" w:cs="宋体"/>
                <w:color w:val="000000" w:themeColor="text1"/>
                <w:sz w:val="24"/>
                <w:szCs w:val="24"/>
                <w:highlight w:val="none"/>
                <w14:textFill>
                  <w14:solidFill>
                    <w14:schemeClr w14:val="tx1"/>
                  </w14:solidFill>
                </w14:textFill>
              </w:rPr>
              <w:t>否响应招标文件，由评委认定</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w:t>
            </w:r>
          </w:p>
        </w:tc>
      </w:tr>
      <w:tr w14:paraId="55B64B2A">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451C5C24">
            <w:pPr>
              <w:keepNext w:val="0"/>
              <w:keepLines w:val="0"/>
              <w:pageBreakBefore w:val="0"/>
              <w:widowControl/>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p>
        </w:tc>
        <w:tc>
          <w:tcPr>
            <w:tcW w:w="2784" w:type="dxa"/>
            <w:tcBorders>
              <w:top w:val="nil"/>
              <w:left w:val="nil"/>
              <w:bottom w:val="single" w:color="auto" w:sz="4" w:space="0"/>
              <w:right w:val="single" w:color="auto" w:sz="4" w:space="0"/>
            </w:tcBorders>
            <w:noWrap w:val="0"/>
            <w:vAlign w:val="center"/>
          </w:tcPr>
          <w:p w14:paraId="461C0D1D">
            <w:pPr>
              <w:keepNext w:val="0"/>
              <w:keepLines w:val="0"/>
              <w:pageBreakBefore w:val="0"/>
              <w:widowControl/>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密封垃圾收集车</w:t>
            </w:r>
          </w:p>
        </w:tc>
        <w:tc>
          <w:tcPr>
            <w:tcW w:w="1116" w:type="dxa"/>
            <w:tcBorders>
              <w:top w:val="nil"/>
              <w:left w:val="nil"/>
              <w:bottom w:val="single" w:color="auto" w:sz="4" w:space="0"/>
              <w:right w:val="single" w:color="auto" w:sz="4" w:space="0"/>
            </w:tcBorders>
            <w:noWrap w:val="0"/>
            <w:vAlign w:val="center"/>
          </w:tcPr>
          <w:p w14:paraId="6111660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不少于15</w:t>
            </w:r>
          </w:p>
        </w:tc>
        <w:tc>
          <w:tcPr>
            <w:tcW w:w="5012" w:type="dxa"/>
            <w:tcBorders>
              <w:top w:val="nil"/>
              <w:left w:val="nil"/>
              <w:bottom w:val="single" w:color="auto" w:sz="4" w:space="0"/>
              <w:right w:val="single" w:color="auto" w:sz="4" w:space="0"/>
            </w:tcBorders>
            <w:noWrap w:val="0"/>
            <w:vAlign w:val="center"/>
          </w:tcPr>
          <w:p w14:paraId="453B457F">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cs="宋体"/>
                <w:color w:val="000000" w:themeColor="text1"/>
                <w:kern w:val="0"/>
                <w:sz w:val="24"/>
                <w:szCs w:val="24"/>
                <w:highlight w:val="none"/>
                <w:lang w:val="en-US" w:eastAsia="zh-CN"/>
                <w14:textFill>
                  <w14:solidFill>
                    <w14:schemeClr w14:val="tx1"/>
                  </w14:solidFill>
                </w14:textFill>
              </w:rPr>
              <w:t>不少于1</w:t>
            </w:r>
            <w:r>
              <w:rPr>
                <w:rFonts w:hint="eastAsia" w:ascii="宋体" w:hAnsi="宋体" w:eastAsia="宋体" w:cs="宋体"/>
                <w:color w:val="000000" w:themeColor="text1"/>
                <w:kern w:val="0"/>
                <w:sz w:val="24"/>
                <w:szCs w:val="24"/>
                <w:highlight w:val="none"/>
                <w14:textFill>
                  <w14:solidFill>
                    <w14:schemeClr w14:val="tx1"/>
                  </w14:solidFill>
                </w14:textFill>
              </w:rPr>
              <w:t>辆密封垃圾收集车（用于将</w:t>
            </w:r>
            <w:r>
              <w:rPr>
                <w:rFonts w:hint="eastAsia" w:ascii="宋体" w:hAnsi="宋体" w:cs="宋体"/>
                <w:color w:val="000000" w:themeColor="text1"/>
                <w:kern w:val="0"/>
                <w:sz w:val="24"/>
                <w:szCs w:val="24"/>
                <w:highlight w:val="none"/>
                <w:lang w:val="en-US" w:eastAsia="zh-CN"/>
                <w14:textFill>
                  <w14:solidFill>
                    <w14:schemeClr w14:val="tx1"/>
                  </w14:solidFill>
                </w14:textFill>
              </w:rPr>
              <w:t>部分道路进出条件有限区域的</w:t>
            </w:r>
            <w:r>
              <w:rPr>
                <w:rFonts w:hint="eastAsia" w:ascii="宋体" w:hAnsi="宋体" w:eastAsia="宋体" w:cs="宋体"/>
                <w:color w:val="000000" w:themeColor="text1"/>
                <w:kern w:val="0"/>
                <w:sz w:val="24"/>
                <w:szCs w:val="24"/>
                <w:highlight w:val="none"/>
                <w14:textFill>
                  <w14:solidFill>
                    <w14:schemeClr w14:val="tx1"/>
                  </w14:solidFill>
                </w14:textFill>
              </w:rPr>
              <w:t>垃圾桶内垃圾清运至指定地点）</w:t>
            </w:r>
          </w:p>
        </w:tc>
      </w:tr>
      <w:tr w14:paraId="4C65E55A">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0903A12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2784" w:type="dxa"/>
            <w:tcBorders>
              <w:top w:val="nil"/>
              <w:left w:val="nil"/>
              <w:bottom w:val="single" w:color="auto" w:sz="4" w:space="0"/>
              <w:right w:val="single" w:color="auto" w:sz="4" w:space="0"/>
            </w:tcBorders>
            <w:noWrap w:val="0"/>
            <w:vAlign w:val="center"/>
          </w:tcPr>
          <w:p w14:paraId="2B06550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厨余垃圾收集车</w:t>
            </w:r>
          </w:p>
        </w:tc>
        <w:tc>
          <w:tcPr>
            <w:tcW w:w="1116" w:type="dxa"/>
            <w:tcBorders>
              <w:top w:val="nil"/>
              <w:left w:val="nil"/>
              <w:bottom w:val="single" w:color="auto" w:sz="4" w:space="0"/>
              <w:right w:val="single" w:color="auto" w:sz="4" w:space="0"/>
            </w:tcBorders>
            <w:noWrap w:val="0"/>
            <w:vAlign w:val="center"/>
          </w:tcPr>
          <w:p w14:paraId="7A2C8A8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5012" w:type="dxa"/>
            <w:tcBorders>
              <w:top w:val="nil"/>
              <w:left w:val="nil"/>
              <w:bottom w:val="single" w:color="auto" w:sz="4" w:space="0"/>
              <w:right w:val="single" w:color="auto" w:sz="4" w:space="0"/>
            </w:tcBorders>
            <w:noWrap w:val="0"/>
            <w:vAlign w:val="center"/>
          </w:tcPr>
          <w:p w14:paraId="3D98D942">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用于厨余垃圾收集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中标人须每天将各行政村村部所在自然村的厨余垃圾统一收集并清运至指定地点。中标人须根据业主方要求协助处置可回收垃圾、有毒有害垃圾。</w:t>
            </w:r>
          </w:p>
        </w:tc>
      </w:tr>
      <w:tr w14:paraId="40A5B3F1">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262868A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2784" w:type="dxa"/>
            <w:tcBorders>
              <w:top w:val="nil"/>
              <w:left w:val="nil"/>
              <w:bottom w:val="single" w:color="auto" w:sz="4" w:space="0"/>
              <w:right w:val="single" w:color="auto" w:sz="4" w:space="0"/>
            </w:tcBorders>
            <w:noWrap w:val="0"/>
            <w:vAlign w:val="center"/>
          </w:tcPr>
          <w:p w14:paraId="3E73BB5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三轮保洁车</w:t>
            </w:r>
          </w:p>
        </w:tc>
        <w:tc>
          <w:tcPr>
            <w:tcW w:w="1116" w:type="dxa"/>
            <w:tcBorders>
              <w:top w:val="nil"/>
              <w:left w:val="nil"/>
              <w:bottom w:val="single" w:color="auto" w:sz="4" w:space="0"/>
              <w:right w:val="single" w:color="auto" w:sz="4" w:space="0"/>
            </w:tcBorders>
            <w:noWrap w:val="0"/>
            <w:vAlign w:val="center"/>
          </w:tcPr>
          <w:p w14:paraId="1AD5E05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012" w:type="dxa"/>
            <w:tcBorders>
              <w:top w:val="nil"/>
              <w:left w:val="nil"/>
              <w:bottom w:val="single" w:color="auto" w:sz="4" w:space="0"/>
              <w:right w:val="single" w:color="auto" w:sz="4" w:space="0"/>
            </w:tcBorders>
            <w:noWrap w:val="0"/>
            <w:vAlign w:val="center"/>
          </w:tcPr>
          <w:p w14:paraId="3F028201">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辆三轮保洁车，用于道路保洁、树枝修剪</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w:t>
            </w:r>
          </w:p>
        </w:tc>
      </w:tr>
      <w:tr w14:paraId="24527D2D">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1D6B8A4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2784" w:type="dxa"/>
            <w:tcBorders>
              <w:top w:val="nil"/>
              <w:left w:val="nil"/>
              <w:bottom w:val="single" w:color="auto" w:sz="4" w:space="0"/>
              <w:right w:val="single" w:color="auto" w:sz="4" w:space="0"/>
            </w:tcBorders>
            <w:noWrap w:val="0"/>
            <w:vAlign w:val="center"/>
          </w:tcPr>
          <w:p w14:paraId="679334F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割草机</w:t>
            </w:r>
          </w:p>
        </w:tc>
        <w:tc>
          <w:tcPr>
            <w:tcW w:w="1116" w:type="dxa"/>
            <w:tcBorders>
              <w:top w:val="nil"/>
              <w:left w:val="nil"/>
              <w:bottom w:val="single" w:color="auto" w:sz="4" w:space="0"/>
              <w:right w:val="single" w:color="auto" w:sz="4" w:space="0"/>
            </w:tcBorders>
            <w:noWrap w:val="0"/>
            <w:vAlign w:val="center"/>
          </w:tcPr>
          <w:p w14:paraId="245CFAB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25</w:t>
            </w:r>
          </w:p>
        </w:tc>
        <w:tc>
          <w:tcPr>
            <w:tcW w:w="5012" w:type="dxa"/>
            <w:tcBorders>
              <w:top w:val="nil"/>
              <w:left w:val="nil"/>
              <w:bottom w:val="single" w:color="auto" w:sz="4" w:space="0"/>
              <w:right w:val="single" w:color="auto" w:sz="4" w:space="0"/>
            </w:tcBorders>
            <w:noWrap w:val="0"/>
            <w:vAlign w:val="center"/>
          </w:tcPr>
          <w:p w14:paraId="4A545F15">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用于标段范围内割草</w:t>
            </w:r>
          </w:p>
        </w:tc>
      </w:tr>
      <w:tr w14:paraId="2F8D7853">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6225DBA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2784" w:type="dxa"/>
            <w:tcBorders>
              <w:top w:val="nil"/>
              <w:left w:val="nil"/>
              <w:bottom w:val="single" w:color="auto" w:sz="4" w:space="0"/>
              <w:right w:val="single" w:color="auto" w:sz="4" w:space="0"/>
            </w:tcBorders>
            <w:noWrap w:val="0"/>
            <w:vAlign w:val="center"/>
          </w:tcPr>
          <w:p w14:paraId="12A322E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机械全自动打捞船（载重量2T含2T以上）</w:t>
            </w:r>
          </w:p>
        </w:tc>
        <w:tc>
          <w:tcPr>
            <w:tcW w:w="1116" w:type="dxa"/>
            <w:tcBorders>
              <w:top w:val="nil"/>
              <w:left w:val="nil"/>
              <w:bottom w:val="single" w:color="auto" w:sz="4" w:space="0"/>
              <w:right w:val="single" w:color="auto" w:sz="4" w:space="0"/>
            </w:tcBorders>
            <w:noWrap w:val="0"/>
            <w:vAlign w:val="center"/>
          </w:tcPr>
          <w:p w14:paraId="7C40AAA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012" w:type="dxa"/>
            <w:vMerge w:val="restart"/>
            <w:tcBorders>
              <w:top w:val="nil"/>
              <w:left w:val="nil"/>
              <w:right w:val="single" w:color="auto" w:sz="4" w:space="0"/>
            </w:tcBorders>
            <w:noWrap w:val="0"/>
            <w:vAlign w:val="center"/>
          </w:tcPr>
          <w:p w14:paraId="04CC9085">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用于河面</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漂浮物、</w:t>
            </w:r>
            <w:r>
              <w:rPr>
                <w:rFonts w:hint="eastAsia" w:ascii="宋体" w:hAnsi="宋体" w:eastAsia="宋体" w:cs="宋体"/>
                <w:color w:val="000000" w:themeColor="text1"/>
                <w:kern w:val="0"/>
                <w:sz w:val="24"/>
                <w:szCs w:val="24"/>
                <w:highlight w:val="none"/>
                <w14:textFill>
                  <w14:solidFill>
                    <w14:schemeClr w14:val="tx1"/>
                  </w14:solidFill>
                </w14:textFill>
              </w:rPr>
              <w:t>水生</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物</w:t>
            </w:r>
            <w:r>
              <w:rPr>
                <w:rFonts w:hint="eastAsia" w:ascii="宋体" w:hAnsi="宋体" w:eastAsia="宋体" w:cs="宋体"/>
                <w:color w:val="000000" w:themeColor="text1"/>
                <w:kern w:val="0"/>
                <w:sz w:val="24"/>
                <w:szCs w:val="24"/>
                <w:highlight w:val="none"/>
                <w14:textFill>
                  <w14:solidFill>
                    <w14:schemeClr w14:val="tx1"/>
                  </w14:solidFill>
                </w14:textFill>
              </w:rPr>
              <w:t>打</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捞</w:t>
            </w:r>
          </w:p>
        </w:tc>
      </w:tr>
      <w:tr w14:paraId="1ED20096">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780CC98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2784" w:type="dxa"/>
            <w:tcBorders>
              <w:top w:val="nil"/>
              <w:left w:val="nil"/>
              <w:bottom w:val="single" w:color="auto" w:sz="4" w:space="0"/>
              <w:right w:val="single" w:color="auto" w:sz="4" w:space="0"/>
            </w:tcBorders>
            <w:noWrap w:val="0"/>
            <w:vAlign w:val="center"/>
          </w:tcPr>
          <w:p w14:paraId="14CAA0E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机动保洁船</w:t>
            </w:r>
          </w:p>
        </w:tc>
        <w:tc>
          <w:tcPr>
            <w:tcW w:w="1116" w:type="dxa"/>
            <w:tcBorders>
              <w:top w:val="nil"/>
              <w:left w:val="nil"/>
              <w:bottom w:val="single" w:color="auto" w:sz="4" w:space="0"/>
              <w:right w:val="single" w:color="auto" w:sz="4" w:space="0"/>
            </w:tcBorders>
            <w:noWrap w:val="0"/>
            <w:vAlign w:val="center"/>
          </w:tcPr>
          <w:p w14:paraId="27B8FBF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5012" w:type="dxa"/>
            <w:vMerge w:val="continue"/>
            <w:tcBorders>
              <w:left w:val="nil"/>
              <w:right w:val="single" w:color="auto" w:sz="4" w:space="0"/>
            </w:tcBorders>
            <w:noWrap w:val="0"/>
            <w:vAlign w:val="center"/>
          </w:tcPr>
          <w:p w14:paraId="047E248D">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tc>
      </w:tr>
      <w:tr w14:paraId="646047E2">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49DCB6C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2784" w:type="dxa"/>
            <w:tcBorders>
              <w:top w:val="nil"/>
              <w:left w:val="nil"/>
              <w:bottom w:val="single" w:color="auto" w:sz="4" w:space="0"/>
              <w:right w:val="single" w:color="auto" w:sz="4" w:space="0"/>
            </w:tcBorders>
            <w:noWrap w:val="0"/>
            <w:vAlign w:val="center"/>
          </w:tcPr>
          <w:p w14:paraId="67CB7EB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非机动</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小型保洁船</w:t>
            </w:r>
          </w:p>
        </w:tc>
        <w:tc>
          <w:tcPr>
            <w:tcW w:w="1116" w:type="dxa"/>
            <w:tcBorders>
              <w:top w:val="nil"/>
              <w:left w:val="nil"/>
              <w:bottom w:val="single" w:color="auto" w:sz="4" w:space="0"/>
              <w:right w:val="single" w:color="auto" w:sz="4" w:space="0"/>
            </w:tcBorders>
            <w:noWrap w:val="0"/>
            <w:vAlign w:val="center"/>
          </w:tcPr>
          <w:p w14:paraId="56F3B9B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30</w:t>
            </w:r>
          </w:p>
        </w:tc>
        <w:tc>
          <w:tcPr>
            <w:tcW w:w="5012" w:type="dxa"/>
            <w:vMerge w:val="continue"/>
            <w:tcBorders>
              <w:left w:val="nil"/>
              <w:bottom w:val="single" w:color="auto" w:sz="4" w:space="0"/>
              <w:right w:val="single" w:color="auto" w:sz="4" w:space="0"/>
            </w:tcBorders>
            <w:noWrap w:val="0"/>
            <w:vAlign w:val="center"/>
          </w:tcPr>
          <w:p w14:paraId="77F36997">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tc>
      </w:tr>
      <w:tr w14:paraId="1683839B">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0AA67BD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2784" w:type="dxa"/>
            <w:tcBorders>
              <w:top w:val="nil"/>
              <w:left w:val="nil"/>
              <w:bottom w:val="single" w:color="auto" w:sz="4" w:space="0"/>
              <w:right w:val="single" w:color="auto" w:sz="4" w:space="0"/>
            </w:tcBorders>
            <w:noWrap w:val="0"/>
            <w:vAlign w:val="center"/>
          </w:tcPr>
          <w:p w14:paraId="1FD4032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装载机</w:t>
            </w:r>
          </w:p>
        </w:tc>
        <w:tc>
          <w:tcPr>
            <w:tcW w:w="1116" w:type="dxa"/>
            <w:tcBorders>
              <w:top w:val="nil"/>
              <w:left w:val="nil"/>
              <w:bottom w:val="single" w:color="auto" w:sz="4" w:space="0"/>
              <w:right w:val="single" w:color="auto" w:sz="4" w:space="0"/>
            </w:tcBorders>
            <w:noWrap w:val="0"/>
            <w:vAlign w:val="center"/>
          </w:tcPr>
          <w:p w14:paraId="09734A8D">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012" w:type="dxa"/>
            <w:tcBorders>
              <w:top w:val="nil"/>
              <w:left w:val="nil"/>
              <w:bottom w:val="single" w:color="auto" w:sz="4" w:space="0"/>
              <w:right w:val="single" w:color="auto" w:sz="4" w:space="0"/>
            </w:tcBorders>
            <w:noWrap w:val="0"/>
            <w:vAlign w:val="center"/>
          </w:tcPr>
          <w:p w14:paraId="53A4B491">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收集和装运镇区无主建筑垃圾</w:t>
            </w:r>
          </w:p>
        </w:tc>
      </w:tr>
      <w:tr w14:paraId="7E6F47C7">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2CDEFA7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2784" w:type="dxa"/>
            <w:tcBorders>
              <w:top w:val="nil"/>
              <w:left w:val="nil"/>
              <w:bottom w:val="single" w:color="auto" w:sz="4" w:space="0"/>
              <w:right w:val="single" w:color="auto" w:sz="4" w:space="0"/>
            </w:tcBorders>
            <w:noWrap w:val="0"/>
            <w:vAlign w:val="center"/>
          </w:tcPr>
          <w:p w14:paraId="22D51FB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四轮机动汽车</w:t>
            </w:r>
          </w:p>
        </w:tc>
        <w:tc>
          <w:tcPr>
            <w:tcW w:w="1116" w:type="dxa"/>
            <w:tcBorders>
              <w:top w:val="nil"/>
              <w:left w:val="nil"/>
              <w:bottom w:val="single" w:color="auto" w:sz="4" w:space="0"/>
              <w:right w:val="single" w:color="auto" w:sz="4" w:space="0"/>
            </w:tcBorders>
            <w:noWrap w:val="0"/>
            <w:vAlign w:val="center"/>
          </w:tcPr>
          <w:p w14:paraId="5A44618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p>
        </w:tc>
        <w:tc>
          <w:tcPr>
            <w:tcW w:w="5012" w:type="dxa"/>
            <w:tcBorders>
              <w:top w:val="nil"/>
              <w:left w:val="nil"/>
              <w:bottom w:val="single" w:color="auto" w:sz="4" w:space="0"/>
              <w:right w:val="single" w:color="auto" w:sz="4" w:space="0"/>
            </w:tcBorders>
            <w:noWrap w:val="0"/>
            <w:vAlign w:val="center"/>
          </w:tcPr>
          <w:p w14:paraId="39589466">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平均裸车价不低于八万元每辆</w:t>
            </w:r>
          </w:p>
        </w:tc>
      </w:tr>
      <w:tr w14:paraId="6C401A40">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0096E2A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2784" w:type="dxa"/>
            <w:tcBorders>
              <w:top w:val="nil"/>
              <w:left w:val="nil"/>
              <w:bottom w:val="single" w:color="auto" w:sz="4" w:space="0"/>
              <w:right w:val="single" w:color="auto" w:sz="4" w:space="0"/>
            </w:tcBorders>
            <w:noWrap w:val="0"/>
            <w:vAlign w:val="center"/>
          </w:tcPr>
          <w:p w14:paraId="6A441EF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各片区片长使用的电动车</w:t>
            </w:r>
          </w:p>
        </w:tc>
        <w:tc>
          <w:tcPr>
            <w:tcW w:w="1116" w:type="dxa"/>
            <w:tcBorders>
              <w:top w:val="nil"/>
              <w:left w:val="nil"/>
              <w:bottom w:val="single" w:color="auto" w:sz="4" w:space="0"/>
              <w:right w:val="single" w:color="auto" w:sz="4" w:space="0"/>
            </w:tcBorders>
            <w:noWrap w:val="0"/>
            <w:vAlign w:val="center"/>
          </w:tcPr>
          <w:p w14:paraId="54BC62A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p>
        </w:tc>
        <w:tc>
          <w:tcPr>
            <w:tcW w:w="5012" w:type="dxa"/>
            <w:tcBorders>
              <w:top w:val="nil"/>
              <w:left w:val="nil"/>
              <w:bottom w:val="single" w:color="auto" w:sz="4" w:space="0"/>
              <w:right w:val="single" w:color="auto" w:sz="4" w:space="0"/>
            </w:tcBorders>
            <w:noWrap w:val="0"/>
            <w:vAlign w:val="center"/>
          </w:tcPr>
          <w:p w14:paraId="0E579E13">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中标方对承包片区进行</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合理</w:t>
            </w:r>
            <w:r>
              <w:rPr>
                <w:rFonts w:hint="eastAsia" w:ascii="宋体" w:hAnsi="宋体" w:eastAsia="宋体" w:cs="宋体"/>
                <w:color w:val="000000" w:themeColor="text1"/>
                <w:kern w:val="0"/>
                <w:sz w:val="24"/>
                <w:szCs w:val="24"/>
                <w:highlight w:val="none"/>
                <w14:textFill>
                  <w14:solidFill>
                    <w14:schemeClr w14:val="tx1"/>
                  </w14:solidFill>
                </w14:textFill>
              </w:rPr>
              <w:t>划分，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至少</w:t>
            </w:r>
            <w:r>
              <w:rPr>
                <w:rFonts w:hint="eastAsia" w:ascii="宋体" w:hAnsi="宋体" w:eastAsia="宋体" w:cs="宋体"/>
                <w:color w:val="000000" w:themeColor="text1"/>
                <w:kern w:val="0"/>
                <w:sz w:val="24"/>
                <w:szCs w:val="24"/>
                <w:highlight w:val="none"/>
                <w14:textFill>
                  <w14:solidFill>
                    <w14:schemeClr w14:val="tx1"/>
                  </w14:solidFill>
                </w14:textFill>
              </w:rPr>
              <w:t>分成</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个片区，</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每名</w:t>
            </w:r>
            <w:r>
              <w:rPr>
                <w:rFonts w:hint="eastAsia" w:ascii="宋体" w:hAnsi="宋体" w:eastAsia="宋体" w:cs="宋体"/>
                <w:color w:val="000000" w:themeColor="text1"/>
                <w:kern w:val="0"/>
                <w:sz w:val="24"/>
                <w:szCs w:val="24"/>
                <w:highlight w:val="none"/>
                <w14:textFill>
                  <w14:solidFill>
                    <w14:schemeClr w14:val="tx1"/>
                  </w14:solidFill>
                </w14:textFill>
              </w:rPr>
              <w:t>片长配置一辆</w:t>
            </w:r>
            <w:r>
              <w:rPr>
                <w:rFonts w:hint="eastAsia" w:ascii="宋体" w:hAnsi="宋体" w:cs="宋体"/>
                <w:color w:val="000000" w:themeColor="text1"/>
                <w:kern w:val="0"/>
                <w:sz w:val="24"/>
                <w:szCs w:val="24"/>
                <w:highlight w:val="none"/>
                <w:lang w:val="en-US" w:eastAsia="zh-CN"/>
                <w14:textFill>
                  <w14:solidFill>
                    <w14:schemeClr w14:val="tx1"/>
                  </w14:solidFill>
                </w14:textFill>
              </w:rPr>
              <w:t>国标</w:t>
            </w:r>
            <w:r>
              <w:rPr>
                <w:rFonts w:hint="eastAsia" w:ascii="宋体" w:hAnsi="宋体" w:eastAsia="宋体" w:cs="宋体"/>
                <w:color w:val="000000" w:themeColor="text1"/>
                <w:kern w:val="0"/>
                <w:sz w:val="24"/>
                <w:szCs w:val="24"/>
                <w:highlight w:val="none"/>
                <w14:textFill>
                  <w14:solidFill>
                    <w14:schemeClr w14:val="tx1"/>
                  </w14:solidFill>
                </w14:textFill>
              </w:rPr>
              <w:t>电动车，进行日常现场管理和效果督查</w:t>
            </w:r>
          </w:p>
        </w:tc>
      </w:tr>
      <w:tr w14:paraId="059E2A51">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1DC0391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14</w:t>
            </w:r>
          </w:p>
        </w:tc>
        <w:tc>
          <w:tcPr>
            <w:tcW w:w="2784" w:type="dxa"/>
            <w:tcBorders>
              <w:top w:val="nil"/>
              <w:left w:val="nil"/>
              <w:bottom w:val="single" w:color="auto" w:sz="4" w:space="0"/>
              <w:right w:val="single" w:color="auto" w:sz="4" w:space="0"/>
            </w:tcBorders>
            <w:noWrap w:val="0"/>
            <w:vAlign w:val="center"/>
          </w:tcPr>
          <w:p w14:paraId="6A2B839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垃圾分类知识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宣传</w:t>
            </w:r>
            <w:r>
              <w:rPr>
                <w:rFonts w:hint="eastAsia" w:ascii="宋体" w:hAnsi="宋体" w:eastAsia="宋体" w:cs="宋体"/>
                <w:color w:val="000000" w:themeColor="text1"/>
                <w:kern w:val="0"/>
                <w:sz w:val="24"/>
                <w:szCs w:val="24"/>
                <w:highlight w:val="none"/>
                <w14:textFill>
                  <w14:solidFill>
                    <w14:schemeClr w14:val="tx1"/>
                  </w14:solidFill>
                </w14:textFill>
              </w:rPr>
              <w:t>亭</w:t>
            </w:r>
          </w:p>
        </w:tc>
        <w:tc>
          <w:tcPr>
            <w:tcW w:w="1116" w:type="dxa"/>
            <w:tcBorders>
              <w:top w:val="nil"/>
              <w:left w:val="nil"/>
              <w:bottom w:val="single" w:color="auto" w:sz="4" w:space="0"/>
              <w:right w:val="single" w:color="auto" w:sz="4" w:space="0"/>
            </w:tcBorders>
            <w:noWrap w:val="0"/>
            <w:vAlign w:val="center"/>
          </w:tcPr>
          <w:p w14:paraId="08BC632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68</w:t>
            </w:r>
          </w:p>
        </w:tc>
        <w:tc>
          <w:tcPr>
            <w:tcW w:w="5012" w:type="dxa"/>
            <w:tcBorders>
              <w:top w:val="nil"/>
              <w:left w:val="nil"/>
              <w:bottom w:val="single" w:color="auto" w:sz="4" w:space="0"/>
              <w:right w:val="single" w:color="auto" w:sz="4" w:space="0"/>
            </w:tcBorders>
            <w:noWrap w:val="0"/>
            <w:vAlign w:val="center"/>
          </w:tcPr>
          <w:p w14:paraId="645B7606">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服务范围内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已建</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垃圾分类设施</w:t>
            </w:r>
            <w:r>
              <w:rPr>
                <w:rFonts w:hint="eastAsia" w:ascii="宋体" w:hAnsi="宋体" w:cs="宋体"/>
                <w:color w:val="000000" w:themeColor="text1"/>
                <w:kern w:val="0"/>
                <w:sz w:val="24"/>
                <w:szCs w:val="24"/>
                <w:highlight w:val="none"/>
                <w:lang w:val="en-US" w:eastAsia="zh-CN"/>
                <w14:textFill>
                  <w14:solidFill>
                    <w14:schemeClr w14:val="tx1"/>
                  </w14:solidFill>
                </w14:textFill>
              </w:rPr>
              <w:t>管理维护。</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本次项目中标单位，需与所在标段现保洁公司协商购买</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kern w:val="0"/>
                <w:sz w:val="24"/>
                <w:szCs w:val="24"/>
                <w:highlight w:val="none"/>
                <w:lang w:eastAsia="zh-CN"/>
                <w14:textFill>
                  <w14:solidFill>
                    <w14:schemeClr w14:val="tx1"/>
                  </w14:solidFill>
                </w14:textFill>
              </w:rPr>
              <w:t>配备的分类设施内垃圾桶（双方应对桶的配备齐全、完好等情况现场考察后协商购买）</w:t>
            </w:r>
          </w:p>
        </w:tc>
      </w:tr>
      <w:tr w14:paraId="31E4A127">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3FC6E71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2784" w:type="dxa"/>
            <w:tcBorders>
              <w:top w:val="nil"/>
              <w:left w:val="nil"/>
              <w:bottom w:val="single" w:color="auto" w:sz="4" w:space="0"/>
              <w:right w:val="single" w:color="auto" w:sz="4" w:space="0"/>
            </w:tcBorders>
            <w:noWrap w:val="0"/>
            <w:vAlign w:val="center"/>
          </w:tcPr>
          <w:p w14:paraId="6F0CB79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240L垃圾桶</w:t>
            </w:r>
          </w:p>
        </w:tc>
        <w:tc>
          <w:tcPr>
            <w:tcW w:w="1116" w:type="dxa"/>
            <w:tcBorders>
              <w:top w:val="nil"/>
              <w:left w:val="nil"/>
              <w:bottom w:val="single" w:color="auto" w:sz="4" w:space="0"/>
              <w:right w:val="single" w:color="auto" w:sz="4" w:space="0"/>
            </w:tcBorders>
            <w:noWrap w:val="0"/>
            <w:vAlign w:val="center"/>
          </w:tcPr>
          <w:p w14:paraId="7E78819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p>
        </w:tc>
        <w:tc>
          <w:tcPr>
            <w:tcW w:w="5012" w:type="dxa"/>
            <w:tcBorders>
              <w:top w:val="nil"/>
              <w:left w:val="nil"/>
              <w:bottom w:val="single" w:color="auto" w:sz="4" w:space="0"/>
              <w:right w:val="single" w:color="auto" w:sz="4" w:space="0"/>
            </w:tcBorders>
            <w:noWrap w:val="0"/>
            <w:vAlign w:val="center"/>
          </w:tcPr>
          <w:p w14:paraId="3E6BDB0D">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现已实行</w:t>
            </w:r>
            <w:r>
              <w:rPr>
                <w:rFonts w:hint="eastAsia" w:ascii="宋体" w:hAnsi="宋体" w:eastAsia="宋体" w:cs="宋体"/>
                <w:color w:val="000000" w:themeColor="text1"/>
                <w:kern w:val="0"/>
                <w:sz w:val="24"/>
                <w:szCs w:val="24"/>
                <w:highlight w:val="none"/>
                <w14:textFill>
                  <w14:solidFill>
                    <w14:schemeClr w14:val="tx1"/>
                  </w14:solidFill>
                </w14:textFill>
              </w:rPr>
              <w:t>“垃圾不落地”要求，</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由中标单位</w:t>
            </w:r>
            <w:r>
              <w:rPr>
                <w:rFonts w:hint="eastAsia" w:ascii="宋体" w:hAnsi="宋体" w:eastAsia="宋体" w:cs="宋体"/>
                <w:color w:val="000000" w:themeColor="text1"/>
                <w:kern w:val="0"/>
                <w:sz w:val="24"/>
                <w:szCs w:val="24"/>
                <w:highlight w:val="none"/>
                <w14:textFill>
                  <w14:solidFill>
                    <w14:schemeClr w14:val="tx1"/>
                  </w14:solidFill>
                </w14:textFill>
              </w:rPr>
              <w:t>根据工作模式，垃圾池不配备或适当配备</w:t>
            </w:r>
          </w:p>
        </w:tc>
      </w:tr>
      <w:tr w14:paraId="742D5956">
        <w:tblPrEx>
          <w:tblCellMar>
            <w:top w:w="0" w:type="dxa"/>
            <w:left w:w="108" w:type="dxa"/>
            <w:bottom w:w="0" w:type="dxa"/>
            <w:right w:w="108" w:type="dxa"/>
          </w:tblCellMar>
        </w:tblPrEx>
        <w:trPr>
          <w:trHeight w:val="737" w:hRule="atLeast"/>
        </w:trPr>
        <w:tc>
          <w:tcPr>
            <w:tcW w:w="763" w:type="dxa"/>
            <w:tcBorders>
              <w:top w:val="nil"/>
              <w:left w:val="single" w:color="auto" w:sz="4" w:space="0"/>
              <w:bottom w:val="single" w:color="auto" w:sz="4" w:space="0"/>
              <w:right w:val="single" w:color="auto" w:sz="4" w:space="0"/>
            </w:tcBorders>
            <w:noWrap w:val="0"/>
            <w:vAlign w:val="center"/>
          </w:tcPr>
          <w:p w14:paraId="3BA049C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2784" w:type="dxa"/>
            <w:tcBorders>
              <w:top w:val="nil"/>
              <w:left w:val="nil"/>
              <w:bottom w:val="single" w:color="auto" w:sz="4" w:space="0"/>
              <w:right w:val="single" w:color="auto" w:sz="4" w:space="0"/>
            </w:tcBorders>
            <w:noWrap w:val="0"/>
            <w:vAlign w:val="center"/>
          </w:tcPr>
          <w:p w14:paraId="1E7C5AF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不少于120L容积的</w:t>
            </w:r>
            <w:r>
              <w:rPr>
                <w:rFonts w:hint="eastAsia" w:ascii="宋体" w:hAnsi="宋体" w:eastAsia="宋体" w:cs="宋体"/>
                <w:color w:val="000000" w:themeColor="text1"/>
                <w:kern w:val="0"/>
                <w:sz w:val="24"/>
                <w:szCs w:val="24"/>
                <w:highlight w:val="none"/>
                <w14:textFill>
                  <w14:solidFill>
                    <w14:schemeClr w14:val="tx1"/>
                  </w14:solidFill>
                </w14:textFill>
              </w:rPr>
              <w:t>垃圾桶</w:t>
            </w:r>
          </w:p>
        </w:tc>
        <w:tc>
          <w:tcPr>
            <w:tcW w:w="1116" w:type="dxa"/>
            <w:tcBorders>
              <w:top w:val="nil"/>
              <w:left w:val="nil"/>
              <w:bottom w:val="single" w:color="auto" w:sz="4" w:space="0"/>
              <w:right w:val="single" w:color="auto" w:sz="4" w:space="0"/>
            </w:tcBorders>
            <w:noWrap w:val="0"/>
            <w:vAlign w:val="center"/>
          </w:tcPr>
          <w:p w14:paraId="1E7E33D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w:t>
            </w:r>
            <w:r>
              <w:rPr>
                <w:rFonts w:hint="eastAsia" w:ascii="宋体" w:hAnsi="宋体" w:cs="宋体"/>
                <w:color w:val="000000" w:themeColor="text1"/>
                <w:kern w:val="0"/>
                <w:sz w:val="24"/>
                <w:szCs w:val="24"/>
                <w:highlight w:val="none"/>
                <w:lang w:val="en-US" w:eastAsia="zh-CN"/>
                <w14:textFill>
                  <w14:solidFill>
                    <w14:schemeClr w14:val="tx1"/>
                  </w14:solidFill>
                </w14:textFill>
              </w:rPr>
              <w:t>324</w:t>
            </w:r>
          </w:p>
        </w:tc>
        <w:tc>
          <w:tcPr>
            <w:tcW w:w="5012" w:type="dxa"/>
            <w:tcBorders>
              <w:top w:val="nil"/>
              <w:left w:val="nil"/>
              <w:bottom w:val="single" w:color="auto" w:sz="4" w:space="0"/>
              <w:right w:val="single" w:color="auto" w:sz="4" w:space="0"/>
            </w:tcBorders>
            <w:noWrap w:val="0"/>
            <w:vAlign w:val="center"/>
          </w:tcPr>
          <w:p w14:paraId="1B126F80">
            <w:pPr>
              <w:keepNext w:val="0"/>
              <w:keepLines w:val="0"/>
              <w:pageBreakBefore w:val="0"/>
              <w:widowControl/>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每2户配备1</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个</w:t>
            </w:r>
            <w:r>
              <w:rPr>
                <w:rFonts w:hint="eastAsia" w:ascii="宋体" w:hAnsi="宋体" w:eastAsia="宋体" w:cs="宋体"/>
                <w:color w:val="000000" w:themeColor="text1"/>
                <w:kern w:val="0"/>
                <w:sz w:val="24"/>
                <w:szCs w:val="24"/>
                <w:highlight w:val="none"/>
                <w14:textFill>
                  <w14:solidFill>
                    <w14:schemeClr w14:val="tx1"/>
                  </w14:solidFill>
                </w14:textFill>
              </w:rPr>
              <w:t>垃圾桶；集镇处据实际情况增加，确保符合使用</w:t>
            </w:r>
          </w:p>
        </w:tc>
      </w:tr>
    </w:tbl>
    <w:tbl>
      <w:tblPr>
        <w:tblStyle w:val="29"/>
        <w:tblpPr w:leftFromText="180" w:rightFromText="180" w:vertAnchor="text" w:horzAnchor="page" w:tblpX="1308" w:tblpY="1241"/>
        <w:tblOverlap w:val="never"/>
        <w:tblW w:w="9630" w:type="dxa"/>
        <w:tblInd w:w="0" w:type="dxa"/>
        <w:tblLayout w:type="fixed"/>
        <w:tblCellMar>
          <w:top w:w="0" w:type="dxa"/>
          <w:left w:w="108" w:type="dxa"/>
          <w:bottom w:w="0" w:type="dxa"/>
          <w:right w:w="108" w:type="dxa"/>
        </w:tblCellMar>
      </w:tblPr>
      <w:tblGrid>
        <w:gridCol w:w="748"/>
        <w:gridCol w:w="2772"/>
        <w:gridCol w:w="1128"/>
        <w:gridCol w:w="4982"/>
      </w:tblGrid>
      <w:tr w14:paraId="69C1A1E0">
        <w:tblPrEx>
          <w:tblCellMar>
            <w:top w:w="0" w:type="dxa"/>
            <w:left w:w="108" w:type="dxa"/>
            <w:bottom w:w="0" w:type="dxa"/>
            <w:right w:w="108" w:type="dxa"/>
          </w:tblCellMar>
        </w:tblPrEx>
        <w:trPr>
          <w:trHeight w:val="737" w:hRule="atLeast"/>
        </w:trPr>
        <w:tc>
          <w:tcPr>
            <w:tcW w:w="9630" w:type="dxa"/>
            <w:gridSpan w:val="4"/>
            <w:tcBorders>
              <w:top w:val="nil"/>
              <w:left w:val="single" w:color="auto" w:sz="4" w:space="0"/>
              <w:bottom w:val="single" w:color="auto" w:sz="4" w:space="0"/>
              <w:right w:val="single" w:color="auto" w:sz="4" w:space="0"/>
            </w:tcBorders>
            <w:noWrap w:val="0"/>
            <w:vAlign w:val="center"/>
          </w:tcPr>
          <w:p w14:paraId="1B050C4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二标段要求的人员投入</w:t>
            </w:r>
          </w:p>
        </w:tc>
      </w:tr>
      <w:tr w14:paraId="7DC227DD">
        <w:tblPrEx>
          <w:tblCellMar>
            <w:top w:w="0" w:type="dxa"/>
            <w:left w:w="108" w:type="dxa"/>
            <w:bottom w:w="0" w:type="dxa"/>
            <w:right w:w="108" w:type="dxa"/>
          </w:tblCellMar>
        </w:tblPrEx>
        <w:trPr>
          <w:trHeight w:val="737" w:hRule="atLeast"/>
        </w:trPr>
        <w:tc>
          <w:tcPr>
            <w:tcW w:w="748" w:type="dxa"/>
            <w:tcBorders>
              <w:top w:val="single" w:color="auto" w:sz="4" w:space="0"/>
              <w:left w:val="single" w:color="auto" w:sz="4" w:space="0"/>
              <w:bottom w:val="single" w:color="auto" w:sz="4" w:space="0"/>
              <w:right w:val="single" w:color="auto" w:sz="4" w:space="0"/>
            </w:tcBorders>
            <w:noWrap w:val="0"/>
            <w:vAlign w:val="center"/>
          </w:tcPr>
          <w:p w14:paraId="7426BD3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序号</w:t>
            </w:r>
          </w:p>
        </w:tc>
        <w:tc>
          <w:tcPr>
            <w:tcW w:w="2772" w:type="dxa"/>
            <w:tcBorders>
              <w:top w:val="single" w:color="auto" w:sz="4" w:space="0"/>
              <w:left w:val="nil"/>
              <w:bottom w:val="single" w:color="auto" w:sz="4" w:space="0"/>
              <w:right w:val="single" w:color="auto" w:sz="4" w:space="0"/>
            </w:tcBorders>
            <w:noWrap w:val="0"/>
            <w:vAlign w:val="center"/>
          </w:tcPr>
          <w:p w14:paraId="0DC16A8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岗位</w:t>
            </w:r>
          </w:p>
        </w:tc>
        <w:tc>
          <w:tcPr>
            <w:tcW w:w="1128" w:type="dxa"/>
            <w:tcBorders>
              <w:top w:val="single" w:color="auto" w:sz="4" w:space="0"/>
              <w:left w:val="nil"/>
              <w:bottom w:val="single" w:color="auto" w:sz="4" w:space="0"/>
              <w:right w:val="single" w:color="auto" w:sz="4" w:space="0"/>
            </w:tcBorders>
            <w:noWrap w:val="0"/>
            <w:vAlign w:val="center"/>
          </w:tcPr>
          <w:p w14:paraId="66B5653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人数</w:t>
            </w:r>
          </w:p>
        </w:tc>
        <w:tc>
          <w:tcPr>
            <w:tcW w:w="4982" w:type="dxa"/>
            <w:tcBorders>
              <w:top w:val="single" w:color="auto" w:sz="4" w:space="0"/>
              <w:left w:val="nil"/>
              <w:bottom w:val="single" w:color="auto" w:sz="4" w:space="0"/>
              <w:right w:val="single" w:color="auto" w:sz="4" w:space="0"/>
            </w:tcBorders>
            <w:noWrap w:val="0"/>
            <w:vAlign w:val="center"/>
          </w:tcPr>
          <w:p w14:paraId="0FF20C9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配置说明</w:t>
            </w:r>
          </w:p>
        </w:tc>
      </w:tr>
      <w:tr w14:paraId="2B220983">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7BEEAFD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2772" w:type="dxa"/>
            <w:tcBorders>
              <w:top w:val="nil"/>
              <w:left w:val="nil"/>
              <w:bottom w:val="single" w:color="auto" w:sz="4" w:space="0"/>
              <w:right w:val="single" w:color="auto" w:sz="4" w:space="0"/>
            </w:tcBorders>
            <w:noWrap w:val="0"/>
            <w:vAlign w:val="center"/>
          </w:tcPr>
          <w:p w14:paraId="747A3C5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w:t>
            </w:r>
          </w:p>
        </w:tc>
        <w:tc>
          <w:tcPr>
            <w:tcW w:w="1128" w:type="dxa"/>
            <w:tcBorders>
              <w:top w:val="nil"/>
              <w:left w:val="nil"/>
              <w:bottom w:val="single" w:color="auto" w:sz="4" w:space="0"/>
              <w:right w:val="single" w:color="auto" w:sz="4" w:space="0"/>
            </w:tcBorders>
            <w:noWrap w:val="0"/>
            <w:vAlign w:val="center"/>
          </w:tcPr>
          <w:p w14:paraId="510C6D7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4982" w:type="dxa"/>
            <w:tcBorders>
              <w:top w:val="nil"/>
              <w:left w:val="nil"/>
              <w:bottom w:val="single" w:color="auto" w:sz="4" w:space="0"/>
              <w:right w:val="single" w:color="auto" w:sz="4" w:space="0"/>
            </w:tcBorders>
            <w:noWrap w:val="0"/>
            <w:vAlign w:val="center"/>
          </w:tcPr>
          <w:p w14:paraId="377DD97F">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对整个项目进行运营管理</w:t>
            </w:r>
          </w:p>
        </w:tc>
      </w:tr>
      <w:tr w14:paraId="5F56989E">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41764C6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2772" w:type="dxa"/>
            <w:tcBorders>
              <w:top w:val="nil"/>
              <w:left w:val="nil"/>
              <w:bottom w:val="single" w:color="auto" w:sz="4" w:space="0"/>
              <w:right w:val="single" w:color="auto" w:sz="4" w:space="0"/>
            </w:tcBorders>
            <w:noWrap w:val="0"/>
            <w:vAlign w:val="center"/>
          </w:tcPr>
          <w:p w14:paraId="69C27E1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项目助理</w:t>
            </w:r>
          </w:p>
        </w:tc>
        <w:tc>
          <w:tcPr>
            <w:tcW w:w="1128" w:type="dxa"/>
            <w:tcBorders>
              <w:top w:val="nil"/>
              <w:left w:val="nil"/>
              <w:bottom w:val="single" w:color="auto" w:sz="4" w:space="0"/>
              <w:right w:val="single" w:color="auto" w:sz="4" w:space="0"/>
            </w:tcBorders>
            <w:noWrap w:val="0"/>
            <w:vAlign w:val="center"/>
          </w:tcPr>
          <w:p w14:paraId="6F82F6F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4982" w:type="dxa"/>
            <w:tcBorders>
              <w:top w:val="nil"/>
              <w:left w:val="nil"/>
              <w:bottom w:val="single" w:color="auto" w:sz="4" w:space="0"/>
              <w:right w:val="single" w:color="auto" w:sz="4" w:space="0"/>
            </w:tcBorders>
            <w:noWrap w:val="0"/>
            <w:vAlign w:val="center"/>
          </w:tcPr>
          <w:p w14:paraId="21C4E7FF">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协助项目经理对整个项目进行运营管理</w:t>
            </w:r>
          </w:p>
        </w:tc>
      </w:tr>
      <w:tr w14:paraId="2777030B">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7BA9C98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2772" w:type="dxa"/>
            <w:tcBorders>
              <w:top w:val="nil"/>
              <w:left w:val="nil"/>
              <w:bottom w:val="single" w:color="auto" w:sz="4" w:space="0"/>
              <w:right w:val="single" w:color="auto" w:sz="4" w:space="0"/>
            </w:tcBorders>
            <w:noWrap w:val="0"/>
            <w:vAlign w:val="center"/>
          </w:tcPr>
          <w:p w14:paraId="387E3E0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项目内勤</w:t>
            </w:r>
          </w:p>
        </w:tc>
        <w:tc>
          <w:tcPr>
            <w:tcW w:w="1128" w:type="dxa"/>
            <w:tcBorders>
              <w:top w:val="nil"/>
              <w:left w:val="nil"/>
              <w:bottom w:val="single" w:color="auto" w:sz="4" w:space="0"/>
              <w:right w:val="single" w:color="auto" w:sz="4" w:space="0"/>
            </w:tcBorders>
            <w:noWrap w:val="0"/>
            <w:vAlign w:val="center"/>
          </w:tcPr>
          <w:p w14:paraId="62B7D0E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4982" w:type="dxa"/>
            <w:tcBorders>
              <w:top w:val="nil"/>
              <w:left w:val="nil"/>
              <w:bottom w:val="single" w:color="auto" w:sz="8" w:space="0"/>
              <w:right w:val="single" w:color="auto" w:sz="8" w:space="0"/>
            </w:tcBorders>
            <w:noWrap w:val="0"/>
            <w:vAlign w:val="center"/>
          </w:tcPr>
          <w:p w14:paraId="21CB3CC8">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负责项目人员考勤、物资、台账等管理</w:t>
            </w:r>
          </w:p>
        </w:tc>
      </w:tr>
      <w:tr w14:paraId="3B834D80">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7744858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w:t>
            </w:r>
          </w:p>
        </w:tc>
        <w:tc>
          <w:tcPr>
            <w:tcW w:w="2772" w:type="dxa"/>
            <w:tcBorders>
              <w:top w:val="nil"/>
              <w:left w:val="nil"/>
              <w:bottom w:val="single" w:color="auto" w:sz="4" w:space="0"/>
              <w:right w:val="single" w:color="auto" w:sz="4" w:space="0"/>
            </w:tcBorders>
            <w:noWrap w:val="0"/>
            <w:vAlign w:val="center"/>
          </w:tcPr>
          <w:p w14:paraId="1D5D8523">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各片督察管理片长</w:t>
            </w:r>
          </w:p>
        </w:tc>
        <w:tc>
          <w:tcPr>
            <w:tcW w:w="1128" w:type="dxa"/>
            <w:tcBorders>
              <w:top w:val="nil"/>
              <w:left w:val="nil"/>
              <w:bottom w:val="single" w:color="auto" w:sz="4" w:space="0"/>
              <w:right w:val="single" w:color="auto" w:sz="4" w:space="0"/>
            </w:tcBorders>
            <w:noWrap w:val="0"/>
            <w:vAlign w:val="center"/>
          </w:tcPr>
          <w:p w14:paraId="59F7226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p>
        </w:tc>
        <w:tc>
          <w:tcPr>
            <w:tcW w:w="4982" w:type="dxa"/>
            <w:tcBorders>
              <w:top w:val="single" w:color="auto" w:sz="4" w:space="0"/>
              <w:left w:val="nil"/>
              <w:bottom w:val="single" w:color="auto" w:sz="4" w:space="0"/>
              <w:right w:val="single" w:color="auto" w:sz="4" w:space="0"/>
            </w:tcBorders>
            <w:noWrap w:val="0"/>
            <w:vAlign w:val="center"/>
          </w:tcPr>
          <w:p w14:paraId="3F745AC6">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中标方对承包片区进行合理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划分，至少</w:t>
            </w:r>
            <w:r>
              <w:rPr>
                <w:rFonts w:hint="eastAsia" w:ascii="宋体" w:hAnsi="宋体" w:eastAsia="宋体" w:cs="宋体"/>
                <w:color w:val="000000" w:themeColor="text1"/>
                <w:kern w:val="0"/>
                <w:sz w:val="24"/>
                <w:szCs w:val="24"/>
                <w:highlight w:val="none"/>
                <w14:textFill>
                  <w14:solidFill>
                    <w14:schemeClr w14:val="tx1"/>
                  </w14:solidFill>
                </w14:textFill>
              </w:rPr>
              <w:t>分成5片，各片长进行日常现场管理和效果督查</w:t>
            </w:r>
          </w:p>
        </w:tc>
      </w:tr>
      <w:tr w14:paraId="681D37E3">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2A2B13A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2772" w:type="dxa"/>
            <w:tcBorders>
              <w:top w:val="nil"/>
              <w:left w:val="nil"/>
              <w:bottom w:val="single" w:color="auto" w:sz="4" w:space="0"/>
              <w:right w:val="single" w:color="auto" w:sz="4" w:space="0"/>
            </w:tcBorders>
            <w:noWrap w:val="0"/>
            <w:vAlign w:val="center"/>
          </w:tcPr>
          <w:p w14:paraId="1194D05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垃圾收集员</w:t>
            </w:r>
          </w:p>
        </w:tc>
        <w:tc>
          <w:tcPr>
            <w:tcW w:w="1128" w:type="dxa"/>
            <w:tcBorders>
              <w:top w:val="nil"/>
              <w:left w:val="nil"/>
              <w:bottom w:val="single" w:color="auto" w:sz="4" w:space="0"/>
              <w:right w:val="single" w:color="auto" w:sz="4" w:space="0"/>
            </w:tcBorders>
            <w:noWrap w:val="0"/>
            <w:vAlign w:val="center"/>
          </w:tcPr>
          <w:p w14:paraId="4F7A31E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15</w:t>
            </w:r>
          </w:p>
        </w:tc>
        <w:tc>
          <w:tcPr>
            <w:tcW w:w="4982" w:type="dxa"/>
            <w:tcBorders>
              <w:top w:val="single" w:color="auto" w:sz="4" w:space="0"/>
              <w:left w:val="nil"/>
              <w:bottom w:val="single" w:color="auto" w:sz="4" w:space="0"/>
              <w:right w:val="single" w:color="auto" w:sz="4" w:space="0"/>
            </w:tcBorders>
            <w:noWrap w:val="0"/>
            <w:vAlign w:val="center"/>
          </w:tcPr>
          <w:p w14:paraId="01B4F8A0">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每村</w:t>
            </w:r>
            <w:r>
              <w:rPr>
                <w:rFonts w:hint="eastAsia" w:ascii="宋体" w:hAnsi="宋体" w:cs="宋体"/>
                <w:color w:val="000000" w:themeColor="text1"/>
                <w:kern w:val="0"/>
                <w:sz w:val="24"/>
                <w:szCs w:val="24"/>
                <w:highlight w:val="none"/>
                <w:lang w:val="en-US" w:eastAsia="zh-CN"/>
                <w14:textFill>
                  <w14:solidFill>
                    <w14:schemeClr w14:val="tx1"/>
                  </w14:solidFill>
                </w14:textFill>
              </w:rPr>
              <w:t>至少安排1</w:t>
            </w:r>
            <w:r>
              <w:rPr>
                <w:rFonts w:hint="eastAsia" w:ascii="宋体" w:hAnsi="宋体" w:eastAsia="宋体" w:cs="宋体"/>
                <w:color w:val="000000" w:themeColor="text1"/>
                <w:kern w:val="0"/>
                <w:sz w:val="24"/>
                <w:szCs w:val="24"/>
                <w:highlight w:val="none"/>
                <w14:textFill>
                  <w14:solidFill>
                    <w14:schemeClr w14:val="tx1"/>
                  </w14:solidFill>
                </w14:textFill>
              </w:rPr>
              <w:t>名垃圾收集员，将</w:t>
            </w:r>
            <w:r>
              <w:rPr>
                <w:rFonts w:hint="eastAsia" w:ascii="宋体" w:hAnsi="宋体" w:cs="宋体"/>
                <w:color w:val="000000" w:themeColor="text1"/>
                <w:kern w:val="0"/>
                <w:sz w:val="24"/>
                <w:szCs w:val="24"/>
                <w:highlight w:val="none"/>
                <w:lang w:val="en-US" w:eastAsia="zh-CN"/>
                <w14:textFill>
                  <w14:solidFill>
                    <w14:schemeClr w14:val="tx1"/>
                  </w14:solidFill>
                </w14:textFill>
              </w:rPr>
              <w:t>部分道路进出条件有限区域的</w:t>
            </w:r>
            <w:r>
              <w:rPr>
                <w:rFonts w:hint="eastAsia" w:ascii="宋体" w:hAnsi="宋体" w:eastAsia="宋体" w:cs="宋体"/>
                <w:color w:val="000000" w:themeColor="text1"/>
                <w:kern w:val="0"/>
                <w:sz w:val="24"/>
                <w:szCs w:val="24"/>
                <w:highlight w:val="none"/>
                <w14:textFill>
                  <w14:solidFill>
                    <w14:schemeClr w14:val="tx1"/>
                  </w14:solidFill>
                </w14:textFill>
              </w:rPr>
              <w:t>垃圾桶内垃圾清运至指定地点</w:t>
            </w:r>
          </w:p>
        </w:tc>
      </w:tr>
      <w:tr w14:paraId="64DE23EA">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3A69FD1D">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2772" w:type="dxa"/>
            <w:tcBorders>
              <w:top w:val="nil"/>
              <w:left w:val="nil"/>
              <w:bottom w:val="single" w:color="auto" w:sz="4" w:space="0"/>
              <w:right w:val="single" w:color="auto" w:sz="4" w:space="0"/>
            </w:tcBorders>
            <w:noWrap w:val="0"/>
            <w:vAlign w:val="center"/>
          </w:tcPr>
          <w:p w14:paraId="3A04B9B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分类垃圾收集员</w:t>
            </w:r>
          </w:p>
        </w:tc>
        <w:tc>
          <w:tcPr>
            <w:tcW w:w="1128" w:type="dxa"/>
            <w:tcBorders>
              <w:top w:val="nil"/>
              <w:left w:val="nil"/>
              <w:bottom w:val="single" w:color="auto" w:sz="4" w:space="0"/>
              <w:right w:val="single" w:color="auto" w:sz="4" w:space="0"/>
            </w:tcBorders>
            <w:noWrap w:val="0"/>
            <w:vAlign w:val="center"/>
          </w:tcPr>
          <w:p w14:paraId="5B96C9EE">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w:t>
            </w:r>
          </w:p>
        </w:tc>
        <w:tc>
          <w:tcPr>
            <w:tcW w:w="4982" w:type="dxa"/>
            <w:tcBorders>
              <w:top w:val="single" w:color="auto" w:sz="4" w:space="0"/>
              <w:left w:val="nil"/>
              <w:bottom w:val="single" w:color="auto" w:sz="4" w:space="0"/>
              <w:right w:val="single" w:color="auto" w:sz="4" w:space="0"/>
            </w:tcBorders>
            <w:noWrap w:val="0"/>
            <w:vAlign w:val="center"/>
          </w:tcPr>
          <w:p w14:paraId="232D2086">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可回收垃圾和有毒有害垃圾</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kern w:val="0"/>
                <w:sz w:val="24"/>
                <w:szCs w:val="24"/>
                <w:highlight w:val="none"/>
                <w14:textFill>
                  <w14:solidFill>
                    <w14:schemeClr w14:val="tx1"/>
                  </w14:solidFill>
                </w14:textFill>
              </w:rPr>
              <w:t>收集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和合规处置</w:t>
            </w:r>
          </w:p>
        </w:tc>
      </w:tr>
      <w:tr w14:paraId="7EBD2A70">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24DC51D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2772" w:type="dxa"/>
            <w:tcBorders>
              <w:top w:val="nil"/>
              <w:left w:val="nil"/>
              <w:bottom w:val="single" w:color="auto" w:sz="4" w:space="0"/>
              <w:right w:val="single" w:color="auto" w:sz="4" w:space="0"/>
            </w:tcBorders>
            <w:noWrap w:val="0"/>
            <w:vAlign w:val="center"/>
          </w:tcPr>
          <w:p w14:paraId="7D587E4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村域集镇保洁员</w:t>
            </w:r>
          </w:p>
        </w:tc>
        <w:tc>
          <w:tcPr>
            <w:tcW w:w="1128" w:type="dxa"/>
            <w:tcBorders>
              <w:top w:val="nil"/>
              <w:left w:val="nil"/>
              <w:bottom w:val="single" w:color="auto" w:sz="4" w:space="0"/>
              <w:right w:val="single" w:color="auto" w:sz="4" w:space="0"/>
            </w:tcBorders>
            <w:noWrap w:val="0"/>
            <w:vAlign w:val="center"/>
          </w:tcPr>
          <w:p w14:paraId="074BDC8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w:t>
            </w:r>
          </w:p>
        </w:tc>
        <w:tc>
          <w:tcPr>
            <w:tcW w:w="4982" w:type="dxa"/>
            <w:tcBorders>
              <w:top w:val="nil"/>
              <w:left w:val="nil"/>
              <w:bottom w:val="single" w:color="auto" w:sz="4" w:space="0"/>
              <w:right w:val="single" w:color="auto" w:sz="4" w:space="0"/>
            </w:tcBorders>
            <w:noWrap w:val="0"/>
            <w:vAlign w:val="center"/>
          </w:tcPr>
          <w:p w14:paraId="05A2950E">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新华村</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集镇</w:t>
            </w:r>
            <w:r>
              <w:rPr>
                <w:rFonts w:hint="eastAsia" w:ascii="宋体" w:hAnsi="宋体" w:eastAsia="宋体" w:cs="宋体"/>
                <w:color w:val="000000" w:themeColor="text1"/>
                <w:kern w:val="0"/>
                <w:sz w:val="24"/>
                <w:szCs w:val="24"/>
                <w:highlight w:val="none"/>
                <w14:textFill>
                  <w14:solidFill>
                    <w14:schemeClr w14:val="tx1"/>
                  </w14:solidFill>
                </w14:textFill>
              </w:rPr>
              <w:t>配2名日常保洁员</w:t>
            </w:r>
          </w:p>
        </w:tc>
      </w:tr>
      <w:tr w14:paraId="2C51B3EE">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4295B37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2772" w:type="dxa"/>
            <w:tcBorders>
              <w:top w:val="nil"/>
              <w:left w:val="nil"/>
              <w:bottom w:val="single" w:color="auto" w:sz="4" w:space="0"/>
              <w:right w:val="single" w:color="auto" w:sz="4" w:space="0"/>
            </w:tcBorders>
            <w:noWrap w:val="0"/>
            <w:vAlign w:val="center"/>
          </w:tcPr>
          <w:p w14:paraId="131CD245">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河道</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道路</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保洁员</w:t>
            </w:r>
          </w:p>
        </w:tc>
        <w:tc>
          <w:tcPr>
            <w:tcW w:w="1128" w:type="dxa"/>
            <w:tcBorders>
              <w:top w:val="nil"/>
              <w:left w:val="nil"/>
              <w:bottom w:val="single" w:color="auto" w:sz="4" w:space="0"/>
              <w:right w:val="single" w:color="auto" w:sz="4" w:space="0"/>
            </w:tcBorders>
            <w:noWrap w:val="0"/>
            <w:vAlign w:val="center"/>
          </w:tcPr>
          <w:p w14:paraId="45FE5761">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77</w:t>
            </w:r>
          </w:p>
        </w:tc>
        <w:tc>
          <w:tcPr>
            <w:tcW w:w="4982" w:type="dxa"/>
            <w:tcBorders>
              <w:top w:val="nil"/>
              <w:left w:val="nil"/>
              <w:bottom w:val="single" w:color="auto" w:sz="4" w:space="0"/>
              <w:right w:val="single" w:color="auto" w:sz="4" w:space="0"/>
            </w:tcBorders>
            <w:noWrap w:val="0"/>
            <w:vAlign w:val="center"/>
          </w:tcPr>
          <w:p w14:paraId="4B190EA4">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每个村配备</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名河道</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道路</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保洁员</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负责道路保洁、路肩割草、树木治虫、修建、刷白、河道保洁。</w:t>
            </w:r>
            <w:r>
              <w:rPr>
                <w:rFonts w:hint="eastAsia" w:ascii="宋体" w:hAnsi="宋体" w:eastAsia="宋体" w:cs="宋体"/>
                <w:color w:val="000000" w:themeColor="text1"/>
                <w:kern w:val="0"/>
                <w:sz w:val="24"/>
                <w:szCs w:val="24"/>
                <w:highlight w:val="none"/>
                <w14:textFill>
                  <w14:solidFill>
                    <w14:schemeClr w14:val="tx1"/>
                  </w14:solidFill>
                </w14:textFill>
              </w:rPr>
              <w:t>（加</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上镇区中属于二标段承做</w:t>
            </w:r>
            <w:r>
              <w:rPr>
                <w:rFonts w:hint="eastAsia" w:ascii="宋体" w:hAnsi="宋体" w:eastAsia="宋体" w:cs="宋体"/>
                <w:color w:val="000000" w:themeColor="text1"/>
                <w:kern w:val="0"/>
                <w:sz w:val="24"/>
                <w:szCs w:val="24"/>
                <w:highlight w:val="none"/>
                <w14:textFill>
                  <w14:solidFill>
                    <w14:schemeClr w14:val="tx1"/>
                  </w14:solidFill>
                </w14:textFill>
              </w:rPr>
              <w:t>范围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部分，需</w:t>
            </w:r>
            <w:r>
              <w:rPr>
                <w:rFonts w:hint="eastAsia" w:ascii="宋体" w:hAnsi="宋体" w:eastAsia="宋体" w:cs="宋体"/>
                <w:color w:val="000000" w:themeColor="text1"/>
                <w:kern w:val="0"/>
                <w:sz w:val="24"/>
                <w:szCs w:val="24"/>
                <w:highlight w:val="none"/>
                <w14:textFill>
                  <w14:solidFill>
                    <w14:schemeClr w14:val="tx1"/>
                  </w14:solidFill>
                </w14:textFill>
              </w:rPr>
              <w:t>配置2名））</w:t>
            </w:r>
          </w:p>
        </w:tc>
      </w:tr>
      <w:tr w14:paraId="64D461FB">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3ED66CBB">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2772" w:type="dxa"/>
            <w:tcBorders>
              <w:top w:val="nil"/>
              <w:left w:val="nil"/>
              <w:bottom w:val="single" w:color="auto" w:sz="4" w:space="0"/>
              <w:right w:val="single" w:color="auto" w:sz="4" w:space="0"/>
            </w:tcBorders>
            <w:noWrap w:val="0"/>
            <w:vAlign w:val="center"/>
          </w:tcPr>
          <w:p w14:paraId="7E657D6A">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衔接工作专员</w:t>
            </w:r>
          </w:p>
        </w:tc>
        <w:tc>
          <w:tcPr>
            <w:tcW w:w="1128" w:type="dxa"/>
            <w:tcBorders>
              <w:top w:val="nil"/>
              <w:left w:val="nil"/>
              <w:bottom w:val="single" w:color="auto" w:sz="4" w:space="0"/>
              <w:right w:val="single" w:color="auto" w:sz="4" w:space="0"/>
            </w:tcBorders>
            <w:noWrap w:val="0"/>
            <w:vAlign w:val="center"/>
          </w:tcPr>
          <w:p w14:paraId="41899EB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4982" w:type="dxa"/>
            <w:tcBorders>
              <w:top w:val="nil"/>
              <w:left w:val="nil"/>
              <w:bottom w:val="single" w:color="auto" w:sz="4" w:space="0"/>
              <w:right w:val="single" w:color="auto" w:sz="4" w:space="0"/>
            </w:tcBorders>
            <w:noWrap w:val="0"/>
            <w:vAlign w:val="center"/>
          </w:tcPr>
          <w:p w14:paraId="64FD4D29">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大</w:t>
            </w:r>
            <w:r>
              <w:rPr>
                <w:rFonts w:hint="eastAsia" w:ascii="宋体" w:hAnsi="宋体" w:eastAsia="宋体" w:cs="宋体"/>
                <w:color w:val="000000" w:themeColor="text1"/>
                <w:kern w:val="0"/>
                <w:sz w:val="24"/>
                <w:szCs w:val="24"/>
                <w:highlight w:val="none"/>
                <w14:textFill>
                  <w14:solidFill>
                    <w14:schemeClr w14:val="tx1"/>
                  </w14:solidFill>
                </w14:textFill>
              </w:rPr>
              <w:t>专</w:t>
            </w:r>
            <w:r>
              <w:rPr>
                <w:rFonts w:hint="eastAsia" w:ascii="宋体" w:hAnsi="宋体" w:cs="宋体"/>
                <w:color w:val="000000" w:themeColor="text1"/>
                <w:kern w:val="0"/>
                <w:sz w:val="24"/>
                <w:szCs w:val="24"/>
                <w:highlight w:val="none"/>
                <w:lang w:val="en-US" w:eastAsia="zh-CN"/>
                <w14:textFill>
                  <w14:solidFill>
                    <w14:schemeClr w14:val="tx1"/>
                  </w14:solidFill>
                </w14:textFill>
              </w:rPr>
              <w:t>及</w:t>
            </w:r>
            <w:r>
              <w:rPr>
                <w:rFonts w:hint="eastAsia" w:ascii="宋体" w:hAnsi="宋体" w:eastAsia="宋体" w:cs="宋体"/>
                <w:color w:val="000000" w:themeColor="text1"/>
                <w:kern w:val="0"/>
                <w:sz w:val="24"/>
                <w:szCs w:val="24"/>
                <w:highlight w:val="none"/>
                <w14:textFill>
                  <w14:solidFill>
                    <w14:schemeClr w14:val="tx1"/>
                  </w14:solidFill>
                </w14:textFill>
              </w:rPr>
              <w:t>以上学历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男女不限，四十岁以下，电脑运用熟练</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汽车驾驶熟练</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具体见届时招聘要求</w:t>
            </w:r>
          </w:p>
        </w:tc>
      </w:tr>
      <w:tr w14:paraId="60E9BEDF">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4C4E3DB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10</w:t>
            </w:r>
          </w:p>
        </w:tc>
        <w:tc>
          <w:tcPr>
            <w:tcW w:w="2772" w:type="dxa"/>
            <w:tcBorders>
              <w:top w:val="nil"/>
              <w:left w:val="nil"/>
              <w:bottom w:val="single" w:color="auto" w:sz="4" w:space="0"/>
              <w:right w:val="single" w:color="auto" w:sz="4" w:space="0"/>
            </w:tcBorders>
            <w:noWrap w:val="0"/>
            <w:vAlign w:val="center"/>
          </w:tcPr>
          <w:p w14:paraId="3C2CE5E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机动船</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驾驶员</w:t>
            </w:r>
          </w:p>
        </w:tc>
        <w:tc>
          <w:tcPr>
            <w:tcW w:w="1128" w:type="dxa"/>
            <w:tcBorders>
              <w:top w:val="nil"/>
              <w:left w:val="nil"/>
              <w:bottom w:val="single" w:color="auto" w:sz="4" w:space="0"/>
              <w:right w:val="single" w:color="auto" w:sz="4" w:space="0"/>
            </w:tcBorders>
            <w:noWrap w:val="0"/>
            <w:vAlign w:val="center"/>
          </w:tcPr>
          <w:p w14:paraId="6094AA22">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5</w:t>
            </w:r>
          </w:p>
        </w:tc>
        <w:tc>
          <w:tcPr>
            <w:tcW w:w="4982" w:type="dxa"/>
            <w:tcBorders>
              <w:top w:val="nil"/>
              <w:left w:val="nil"/>
              <w:bottom w:val="single" w:color="auto" w:sz="4" w:space="0"/>
              <w:right w:val="single" w:color="auto" w:sz="4" w:space="0"/>
            </w:tcBorders>
            <w:noWrap w:val="0"/>
            <w:vAlign w:val="center"/>
          </w:tcPr>
          <w:p w14:paraId="44A012D2">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艘</w:t>
            </w: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机动</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船配备</w:t>
            </w:r>
            <w:r>
              <w:rPr>
                <w:rFonts w:hint="eastAsia" w:ascii="宋体" w:hAnsi="宋体" w:cs="宋体"/>
                <w:b w:val="0"/>
                <w:bCs w:val="0"/>
                <w:i w:val="0"/>
                <w:iCs w:val="0"/>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名驾驶员</w:t>
            </w:r>
          </w:p>
        </w:tc>
      </w:tr>
      <w:tr w14:paraId="4A99BB3A">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56F27E9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11</w:t>
            </w:r>
          </w:p>
        </w:tc>
        <w:tc>
          <w:tcPr>
            <w:tcW w:w="2772" w:type="dxa"/>
            <w:tcBorders>
              <w:top w:val="nil"/>
              <w:left w:val="nil"/>
              <w:bottom w:val="single" w:color="auto" w:sz="4" w:space="0"/>
              <w:right w:val="single" w:color="auto" w:sz="4" w:space="0"/>
            </w:tcBorders>
            <w:noWrap w:val="0"/>
            <w:vAlign w:val="center"/>
          </w:tcPr>
          <w:p w14:paraId="14BCEDD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t>清运</w:t>
            </w:r>
            <w:r>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t>车驾驶员</w:t>
            </w:r>
          </w:p>
        </w:tc>
        <w:tc>
          <w:tcPr>
            <w:tcW w:w="1128" w:type="dxa"/>
            <w:tcBorders>
              <w:top w:val="nil"/>
              <w:left w:val="nil"/>
              <w:bottom w:val="single" w:color="auto" w:sz="4" w:space="0"/>
              <w:right w:val="single" w:color="auto" w:sz="4" w:space="0"/>
            </w:tcBorders>
            <w:noWrap w:val="0"/>
            <w:vAlign w:val="center"/>
          </w:tcPr>
          <w:p w14:paraId="01BB62BF">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val="0"/>
                <w:bCs w:val="0"/>
                <w:i w:val="0"/>
                <w:i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i w:val="0"/>
                <w:iCs w:val="0"/>
                <w:color w:val="000000" w:themeColor="text1"/>
                <w:kern w:val="0"/>
                <w:sz w:val="24"/>
                <w:szCs w:val="24"/>
                <w:highlight w:val="none"/>
                <w:lang w:val="en-US" w:eastAsia="zh-CN"/>
                <w14:textFill>
                  <w14:solidFill>
                    <w14:schemeClr w14:val="tx1"/>
                  </w14:solidFill>
                </w14:textFill>
              </w:rPr>
              <w:t>5</w:t>
            </w:r>
          </w:p>
        </w:tc>
        <w:tc>
          <w:tcPr>
            <w:tcW w:w="4982" w:type="dxa"/>
            <w:tcBorders>
              <w:top w:val="nil"/>
              <w:left w:val="nil"/>
              <w:bottom w:val="single" w:color="auto" w:sz="4" w:space="0"/>
              <w:right w:val="single" w:color="auto" w:sz="4" w:space="0"/>
            </w:tcBorders>
            <w:noWrap w:val="0"/>
            <w:vAlign w:val="center"/>
          </w:tcPr>
          <w:p w14:paraId="7E3124DD">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b w:val="0"/>
                <w:bCs w:val="0"/>
                <w:i w:val="0"/>
                <w:iCs w:val="0"/>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每辆清运车配备</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名驾驶员</w:t>
            </w:r>
          </w:p>
        </w:tc>
      </w:tr>
      <w:tr w14:paraId="251249CC">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3FE78B90">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2772" w:type="dxa"/>
            <w:tcBorders>
              <w:top w:val="nil"/>
              <w:left w:val="nil"/>
              <w:bottom w:val="single" w:color="auto" w:sz="4" w:space="0"/>
              <w:right w:val="single" w:color="auto" w:sz="4" w:space="0"/>
            </w:tcBorders>
            <w:noWrap w:val="0"/>
            <w:vAlign w:val="center"/>
          </w:tcPr>
          <w:p w14:paraId="0DEEE1B7">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镇区无主建筑垃圾清运驾驶员</w:t>
            </w:r>
          </w:p>
        </w:tc>
        <w:tc>
          <w:tcPr>
            <w:tcW w:w="1128" w:type="dxa"/>
            <w:tcBorders>
              <w:top w:val="nil"/>
              <w:left w:val="nil"/>
              <w:bottom w:val="single" w:color="auto" w:sz="4" w:space="0"/>
              <w:right w:val="single" w:color="auto" w:sz="4" w:space="0"/>
            </w:tcBorders>
            <w:noWrap w:val="0"/>
            <w:vAlign w:val="center"/>
          </w:tcPr>
          <w:p w14:paraId="0C7AAEB9">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4982" w:type="dxa"/>
            <w:tcBorders>
              <w:top w:val="nil"/>
              <w:left w:val="nil"/>
              <w:bottom w:val="single" w:color="auto" w:sz="4" w:space="0"/>
              <w:right w:val="single" w:color="auto" w:sz="4" w:space="0"/>
            </w:tcBorders>
            <w:noWrap w:val="0"/>
            <w:vAlign w:val="center"/>
          </w:tcPr>
          <w:p w14:paraId="6D704390">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镇区无主建筑垃圾收集和装运的装载机所需配备的驾驶员</w:t>
            </w:r>
          </w:p>
        </w:tc>
      </w:tr>
      <w:tr w14:paraId="3802AA99">
        <w:tblPrEx>
          <w:tblCellMar>
            <w:top w:w="0" w:type="dxa"/>
            <w:left w:w="108" w:type="dxa"/>
            <w:bottom w:w="0" w:type="dxa"/>
            <w:right w:w="108" w:type="dxa"/>
          </w:tblCellMar>
        </w:tblPrEx>
        <w:trPr>
          <w:trHeight w:val="737" w:hRule="atLeast"/>
        </w:trPr>
        <w:tc>
          <w:tcPr>
            <w:tcW w:w="748" w:type="dxa"/>
            <w:tcBorders>
              <w:top w:val="nil"/>
              <w:left w:val="single" w:color="auto" w:sz="4" w:space="0"/>
              <w:bottom w:val="single" w:color="auto" w:sz="4" w:space="0"/>
              <w:right w:val="single" w:color="auto" w:sz="4" w:space="0"/>
            </w:tcBorders>
            <w:noWrap w:val="0"/>
            <w:vAlign w:val="center"/>
          </w:tcPr>
          <w:p w14:paraId="6B7539F6">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2772" w:type="dxa"/>
            <w:tcBorders>
              <w:top w:val="nil"/>
              <w:left w:val="nil"/>
              <w:bottom w:val="single" w:color="auto" w:sz="4" w:space="0"/>
              <w:right w:val="single" w:color="auto" w:sz="4" w:space="0"/>
            </w:tcBorders>
            <w:noWrap w:val="0"/>
            <w:vAlign w:val="center"/>
          </w:tcPr>
          <w:p w14:paraId="2DC2FA62">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240" w:firstLineChars="10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辅工</w:t>
            </w:r>
          </w:p>
        </w:tc>
        <w:tc>
          <w:tcPr>
            <w:tcW w:w="1128" w:type="dxa"/>
            <w:tcBorders>
              <w:top w:val="nil"/>
              <w:left w:val="nil"/>
              <w:bottom w:val="single" w:color="auto" w:sz="4" w:space="0"/>
              <w:right w:val="single" w:color="auto" w:sz="4" w:space="0"/>
            </w:tcBorders>
            <w:noWrap w:val="0"/>
            <w:vAlign w:val="center"/>
          </w:tcPr>
          <w:p w14:paraId="305A273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w:t>
            </w:r>
          </w:p>
        </w:tc>
        <w:tc>
          <w:tcPr>
            <w:tcW w:w="4982" w:type="dxa"/>
            <w:tcBorders>
              <w:top w:val="nil"/>
              <w:left w:val="nil"/>
              <w:bottom w:val="single" w:color="auto" w:sz="4" w:space="0"/>
              <w:right w:val="single" w:color="auto" w:sz="4" w:space="0"/>
            </w:tcBorders>
            <w:noWrap w:val="0"/>
            <w:vAlign w:val="center"/>
          </w:tcPr>
          <w:p w14:paraId="4EDA7FB8">
            <w:pPr>
              <w:keepNext w:val="0"/>
              <w:keepLines w:val="0"/>
              <w:pageBreakBefore w:val="0"/>
              <w:widowControl/>
              <w:kinsoku/>
              <w:wordWrap/>
              <w:overflowPunct/>
              <w:topLinePunct w:val="0"/>
              <w:autoSpaceDE/>
              <w:autoSpaceDN/>
              <w:bidi w:val="0"/>
              <w:adjustRightInd/>
              <w:snapToGrid/>
              <w:spacing w:beforeAutospacing="0" w:afterAutospacing="0" w:line="40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每辆</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清运车</w:t>
            </w:r>
            <w:r>
              <w:rPr>
                <w:rFonts w:hint="eastAsia" w:ascii="宋体" w:hAnsi="宋体" w:eastAsia="宋体" w:cs="宋体"/>
                <w:color w:val="000000" w:themeColor="text1"/>
                <w:kern w:val="0"/>
                <w:sz w:val="24"/>
                <w:szCs w:val="24"/>
                <w:highlight w:val="none"/>
                <w14:textFill>
                  <w14:solidFill>
                    <w14:schemeClr w14:val="tx1"/>
                  </w14:solidFill>
                </w14:textFill>
              </w:rPr>
              <w:t>车配备2名辅工</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镇区无主建筑垃圾装载机配备2名辅工，协助装运</w:t>
            </w:r>
            <w:r>
              <w:rPr>
                <w:rFonts w:hint="eastAsia" w:ascii="宋体" w:hAnsi="宋体" w:cs="宋体"/>
                <w:color w:val="000000" w:themeColor="text1"/>
                <w:kern w:val="0"/>
                <w:sz w:val="24"/>
                <w:szCs w:val="24"/>
                <w:highlight w:val="none"/>
                <w:lang w:eastAsia="zh-CN"/>
                <w14:textFill>
                  <w14:solidFill>
                    <w14:schemeClr w14:val="tx1"/>
                  </w14:solidFill>
                </w14:textFill>
              </w:rPr>
              <w:t>）</w:t>
            </w:r>
          </w:p>
        </w:tc>
      </w:tr>
      <w:tr w14:paraId="5F8E7F67">
        <w:tblPrEx>
          <w:tblCellMar>
            <w:top w:w="0" w:type="dxa"/>
            <w:left w:w="108" w:type="dxa"/>
            <w:bottom w:w="0" w:type="dxa"/>
            <w:right w:w="108" w:type="dxa"/>
          </w:tblCellMar>
        </w:tblPrEx>
        <w:trPr>
          <w:trHeight w:val="737" w:hRule="atLeast"/>
        </w:trPr>
        <w:tc>
          <w:tcPr>
            <w:tcW w:w="3520" w:type="dxa"/>
            <w:gridSpan w:val="2"/>
            <w:tcBorders>
              <w:top w:val="single" w:color="auto" w:sz="4" w:space="0"/>
              <w:left w:val="single" w:color="auto" w:sz="4" w:space="0"/>
              <w:bottom w:val="single" w:color="auto" w:sz="4" w:space="0"/>
              <w:right w:val="single" w:color="000000" w:sz="4" w:space="0"/>
            </w:tcBorders>
            <w:noWrap w:val="0"/>
            <w:vAlign w:val="center"/>
          </w:tcPr>
          <w:p w14:paraId="64C109A8">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合计</w:t>
            </w:r>
          </w:p>
        </w:tc>
        <w:tc>
          <w:tcPr>
            <w:tcW w:w="1128" w:type="dxa"/>
            <w:tcBorders>
              <w:top w:val="nil"/>
              <w:left w:val="nil"/>
              <w:bottom w:val="single" w:color="auto" w:sz="4" w:space="0"/>
              <w:right w:val="single" w:color="auto" w:sz="4" w:space="0"/>
            </w:tcBorders>
            <w:noWrap w:val="0"/>
            <w:vAlign w:val="center"/>
          </w:tcPr>
          <w:p w14:paraId="6EAAD124">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default"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1</w:t>
            </w:r>
            <w:r>
              <w:rPr>
                <w:rFonts w:hint="eastAsia" w:ascii="宋体" w:hAnsi="宋体" w:cs="宋体"/>
                <w:b/>
                <w:bCs/>
                <w:color w:val="000000" w:themeColor="text1"/>
                <w:kern w:val="0"/>
                <w:sz w:val="24"/>
                <w:szCs w:val="24"/>
                <w:highlight w:val="none"/>
                <w:lang w:val="en-US" w:eastAsia="zh-CN"/>
                <w14:textFill>
                  <w14:solidFill>
                    <w14:schemeClr w14:val="tx1"/>
                  </w14:solidFill>
                </w14:textFill>
              </w:rPr>
              <w:t>27</w:t>
            </w:r>
          </w:p>
        </w:tc>
        <w:tc>
          <w:tcPr>
            <w:tcW w:w="4982" w:type="dxa"/>
            <w:tcBorders>
              <w:top w:val="nil"/>
              <w:left w:val="nil"/>
              <w:bottom w:val="single" w:color="auto" w:sz="4" w:space="0"/>
              <w:right w:val="single" w:color="auto" w:sz="4" w:space="0"/>
            </w:tcBorders>
            <w:noWrap w:val="0"/>
            <w:vAlign w:val="center"/>
          </w:tcPr>
          <w:p w14:paraId="27F9741C">
            <w:pPr>
              <w:keepNext w:val="0"/>
              <w:keepLines w:val="0"/>
              <w:pageBreakBefore w:val="0"/>
              <w:widowControl/>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　</w:t>
            </w:r>
          </w:p>
        </w:tc>
      </w:tr>
    </w:tbl>
    <w:p w14:paraId="029D1D84">
      <w:pPr>
        <w:pageBreakBefore w:val="0"/>
        <w:tabs>
          <w:tab w:val="left" w:pos="900"/>
        </w:tabs>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备注：</w:t>
      </w:r>
    </w:p>
    <w:p w14:paraId="19BEAF6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中标方在中标后十五日内必须将所有设备和人员投入到位并成立项目部。中标后第十六天至第十八天，为采购方验审期，中标方将所有设备实物和中标方购买发票、所有机动车辆还需提供行驶证和有效期内的保险单据、投入设备情况一览表（见附件4-1）、投入人员一览表（见附件4-4）提交采购方验审；</w:t>
      </w:r>
    </w:p>
    <w:p w14:paraId="3E5416C3">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采购方根据项目需求逐一对照验审，若未按期或未按项目需求投入到位，视为中标方自动放弃本次中标，采购方可将中标方列为采购人失信名单，三年内禁止其参与采购人及其下属单位所有项目，采购方有权重新开标；</w:t>
      </w:r>
    </w:p>
    <w:p w14:paraId="42DC1A0A">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3、配备的所有设备需为投标供应商所有，车辆的总质量以行驶证上的数据为准；</w:t>
      </w:r>
    </w:p>
    <w:p w14:paraId="5C89DF15">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4、为应对节日垃圾量增大的情况，需有可供调剂的车辆，确保垃圾的及时清运；</w:t>
      </w:r>
    </w:p>
    <w:p w14:paraId="3EAE7632">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5、所有人员年龄需在社保年限范围内，人员工资不得低于南通市规定的最低工资标准，中标人需为所有本项目人员按规定缴纳相关保险；</w:t>
      </w:r>
    </w:p>
    <w:p w14:paraId="4223F8AF">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6、中秋、春节需为员工发放过节费或过节福利、高温季节为员工发放高温费、为员工发放雨衣、雨靴、马甲、手套、口罩等劳保防护用品，水上作业者还要配备救生衣；</w:t>
      </w:r>
    </w:p>
    <w:p w14:paraId="104CAD61">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auto"/>
          <w:sz w:val="24"/>
          <w:szCs w:val="24"/>
          <w:highlight w:val="none"/>
          <w:lang w:val="en-US" w:eastAsia="zh-CN"/>
        </w:rPr>
        <w:t>7、所有机动车辆设备驾驶员要持有有效期内且与所驾车辆设备相匹配的驾驶证，特种车</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辆还需要具备特种作业操作证；</w:t>
      </w:r>
    </w:p>
    <w:p w14:paraId="024A29A3">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8、符合相关法律、法规规定的其他要求。</w:t>
      </w:r>
    </w:p>
    <w:p w14:paraId="4E2BC4B0">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9、中标方应积极配合业主单位完成招商引资、</w:t>
      </w:r>
      <w:r>
        <w:rPr>
          <w:rFonts w:hint="eastAsia" w:ascii="宋体" w:hAnsi="宋体" w:cs="宋体"/>
          <w:b w:val="0"/>
          <w:bCs/>
          <w:color w:val="000000" w:themeColor="text1"/>
          <w:sz w:val="24"/>
          <w:szCs w:val="24"/>
          <w:highlight w:val="none"/>
          <w:lang w:val="en-US" w:eastAsia="zh-CN"/>
          <w14:textFill>
            <w14:solidFill>
              <w14:schemeClr w14:val="tx1"/>
            </w14:solidFill>
          </w14:textFill>
        </w:rPr>
        <w:t>项目建设、</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重大活动等相关工作。</w:t>
      </w:r>
    </w:p>
    <w:p w14:paraId="6C155349">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10、鉴于省、市关于农村长效管理标准在不断提高完善，如有与本项目有关的具体要求，必须以上级要求为准，中标方应积极配合。</w:t>
      </w:r>
    </w:p>
    <w:p w14:paraId="0CC30BD8">
      <w:pPr>
        <w:pageBreakBefore w:val="0"/>
        <w:numPr>
          <w:ilvl w:val="0"/>
          <w:numId w:val="0"/>
        </w:numPr>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八、项目考核要求</w:t>
      </w:r>
    </w:p>
    <w:p w14:paraId="1C78D7EA">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（一）垃圾收集转运保洁要求（3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分）</w:t>
      </w:r>
    </w:p>
    <w:p w14:paraId="3E51CC54">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“垃圾不落地”要求。垃圾清运过程中必须做到“垃圾不落地”</w:t>
      </w:r>
      <w:r>
        <w:rPr>
          <w:rFonts w:hint="eastAsia" w:ascii="宋体" w:hAnsi="宋体" w:eastAsia="宋体" w:cs="宋体"/>
          <w:b/>
          <w:bCs/>
          <w:color w:val="000000" w:themeColor="text1"/>
          <w:sz w:val="24"/>
          <w:szCs w:val="24"/>
          <w:highlight w:val="none"/>
          <w14:textFill>
            <w14:solidFill>
              <w14:schemeClr w14:val="tx1"/>
            </w14:solidFill>
          </w14:textFill>
        </w:rPr>
        <w:t>（投标人必须提供实施“垃圾不落地”的工作方案，方案中必须说明实施方法，以及相配套的人员数量和资质、设备规格和数量</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未提供做无效标处理</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319A95C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逐步开展生活垃圾分类工作（</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中标方应在各行政村村部所在自然村开展生活垃圾分类工作，除普通生活垃圾清运工作，增加餐厨垃圾清运内容（相关垃圾分类工作还在同步推进中，待明确专业餐厨垃圾收集清运单位和清运路线后，中标方每天收集到相关指定地点；参考其他地区实施经验，初期工作量不大），辅助清运有害垃圾（参考其他地区实施经验，需每季度或每半年，中标方辅助运送至示范区指定中转点）。</w:t>
      </w:r>
    </w:p>
    <w:p w14:paraId="7BA6734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垃圾桶：摆放不影响路面通行和交通安全；无破损、有盖、定期清洗及消杀；桶周一并清洁(6分)，每发现一桶不符合要求的扣1分；</w:t>
      </w:r>
    </w:p>
    <w:p w14:paraId="3390F7E1">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垃圾池和垃圾桶垃圾：需日产日清，垃圾池</w:t>
      </w:r>
      <w:r>
        <w:rPr>
          <w:rFonts w:hint="eastAsia" w:ascii="宋体" w:hAnsi="宋体" w:cs="宋体"/>
          <w:color w:val="000000" w:themeColor="text1"/>
          <w:sz w:val="24"/>
          <w:szCs w:val="24"/>
          <w:highlight w:val="none"/>
          <w:lang w:val="en-US" w:eastAsia="zh-CN"/>
          <w14:textFill>
            <w14:solidFill>
              <w14:schemeClr w14:val="tx1"/>
            </w14:solidFill>
          </w14:textFill>
        </w:rPr>
        <w:t>内外无积存垃圾</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垃圾</w:t>
      </w:r>
      <w:r>
        <w:rPr>
          <w:rFonts w:hint="eastAsia" w:ascii="宋体" w:hAnsi="宋体" w:eastAsia="宋体" w:cs="宋体"/>
          <w:color w:val="000000" w:themeColor="text1"/>
          <w:sz w:val="24"/>
          <w:szCs w:val="24"/>
          <w:highlight w:val="none"/>
          <w14:textFill>
            <w14:solidFill>
              <w14:schemeClr w14:val="tx1"/>
            </w14:solidFill>
          </w14:textFill>
        </w:rPr>
        <w:t>桶上无乱贴乱画(10分)，每发现一池不符合要求的扣1分；</w:t>
      </w:r>
    </w:p>
    <w:p w14:paraId="442E457B">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、中标方可根据实际情况使用各村已建设的垃圾池，但必须做好维护修缮（2分）</w:t>
      </w:r>
      <w:r>
        <w:rPr>
          <w:rFonts w:hint="eastAsia" w:ascii="宋体" w:hAnsi="宋体" w:eastAsia="宋体" w:cs="宋体"/>
          <w:sz w:val="24"/>
          <w:szCs w:val="24"/>
        </w:rPr>
        <w:t>，每发现一池不符合要求的扣1分；</w:t>
      </w:r>
    </w:p>
    <w:p w14:paraId="0B0B918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、装卸垃圾应符合作业要求：收集时轻拿轻放，尽量减少噪音，收集结束后，收集桶（箱）应放回原地（2分），每发现一次不符合要求的扣1分；</w:t>
      </w:r>
    </w:p>
    <w:p w14:paraId="787B42D8">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、垃圾收集车辆在收集运输过程中应保持密闭，禁止抛洒滴漏，垃圾装运量应以车辆的额定载重和有效容积为限，不得超重、超高运输（2分），每发现一次不符合要求的扣1分；</w:t>
      </w:r>
    </w:p>
    <w:p w14:paraId="3265B4F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lang w:val="en-US" w:eastAsia="zh-CN"/>
        </w:rPr>
        <w:t>8</w:t>
      </w:r>
      <w:r>
        <w:rPr>
          <w:rFonts w:hint="eastAsia" w:ascii="宋体" w:hAnsi="宋体" w:eastAsia="宋体" w:cs="宋体"/>
          <w:sz w:val="24"/>
          <w:szCs w:val="24"/>
        </w:rPr>
        <w:t>、收集后的垃圾不得乱倒、填埋、严禁焚烧垃圾（4分）（每发现一次不符合要求的扣1分，情节严重，加重扣分，若为中标公司人员焚烧垃圾，一经发现扣4分，且两年内，不</w:t>
      </w:r>
      <w:r>
        <w:rPr>
          <w:rFonts w:hint="eastAsia" w:ascii="宋体" w:hAnsi="宋体" w:eastAsia="宋体" w:cs="宋体"/>
          <w:color w:val="000000" w:themeColor="text1"/>
          <w:sz w:val="24"/>
          <w:szCs w:val="24"/>
          <w:highlight w:val="none"/>
          <w14:textFill>
            <w14:solidFill>
              <w14:schemeClr w14:val="tx1"/>
            </w14:solidFill>
          </w14:textFill>
        </w:rPr>
        <w:t>得再参加采购方此类项目的投标）；</w:t>
      </w:r>
    </w:p>
    <w:p w14:paraId="5DE42741">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负责做好项目所在村的垃圾分类设施维护（2分）。</w:t>
      </w:r>
      <w:r>
        <w:rPr>
          <w:rFonts w:hint="eastAsia" w:ascii="宋体" w:hAnsi="宋体" w:eastAsia="宋体" w:cs="宋体"/>
          <w:color w:val="000000" w:themeColor="text1"/>
          <w:sz w:val="24"/>
          <w:szCs w:val="24"/>
          <w:highlight w:val="none"/>
          <w14:textFill>
            <w14:solidFill>
              <w14:schemeClr w14:val="tx1"/>
            </w14:solidFill>
          </w14:textFill>
        </w:rPr>
        <w:t>各行政村已在村部所在自然村设立生活垃圾四分类亭和二分类围栏，一标段现</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服务单位</w:t>
      </w:r>
      <w:r>
        <w:rPr>
          <w:rFonts w:hint="eastAsia" w:ascii="宋体" w:hAnsi="宋体" w:eastAsia="宋体" w:cs="宋体"/>
          <w:color w:val="000000" w:themeColor="text1"/>
          <w:sz w:val="24"/>
          <w:szCs w:val="24"/>
          <w:highlight w:val="none"/>
          <w14:textFill>
            <w14:solidFill>
              <w14:schemeClr w14:val="tx1"/>
            </w14:solidFill>
          </w14:textFill>
        </w:rPr>
        <w:t>和二标段现</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服务单位</w:t>
      </w:r>
      <w:r>
        <w:rPr>
          <w:rFonts w:hint="eastAsia" w:ascii="宋体" w:hAnsi="宋体" w:eastAsia="宋体" w:cs="宋体"/>
          <w:color w:val="000000" w:themeColor="text1"/>
          <w:sz w:val="24"/>
          <w:szCs w:val="24"/>
          <w:highlight w:val="none"/>
          <w14:textFill>
            <w14:solidFill>
              <w14:schemeClr w14:val="tx1"/>
            </w14:solidFill>
          </w14:textFill>
        </w:rPr>
        <w:t>配合建设进度于2024年12月-2025年1月相应配备分类垃圾桶。本次项目中标单位，需与所在标段现保洁公司协商购买现配备的分类设施内垃圾桶（双方应对桶的配备齐全、完好等情况现场考察后协商购买）</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2FDE549">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（二）农村道路保洁要求（1</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p>
    <w:p w14:paraId="27ED875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1、路面、桥面、路肩清洁、无垃圾、无高草（高于15cm的）</w:t>
      </w:r>
      <w:r>
        <w:rPr>
          <w:rFonts w:hint="eastAsia" w:ascii="宋体" w:hAnsi="宋体" w:eastAsia="宋体" w:cs="宋体"/>
          <w:sz w:val="24"/>
          <w:szCs w:val="24"/>
          <w:lang w:eastAsia="zh-CN"/>
        </w:rPr>
        <w:t>，</w:t>
      </w:r>
      <w:r>
        <w:rPr>
          <w:rFonts w:hint="eastAsia" w:ascii="宋体" w:hAnsi="宋体" w:eastAsia="宋体" w:cs="宋体"/>
          <w:sz w:val="24"/>
          <w:szCs w:val="24"/>
          <w:highlight w:val="none"/>
          <w:lang w:val="en-US" w:eastAsia="zh-CN"/>
        </w:rPr>
        <w:t>并负责服务范围内所有非政府公益性广告及破旧政府公益性广告清理</w:t>
      </w:r>
      <w:r>
        <w:rPr>
          <w:rFonts w:hint="eastAsia" w:ascii="宋体" w:hAnsi="宋体" w:eastAsia="宋体" w:cs="宋体"/>
          <w:sz w:val="24"/>
          <w:szCs w:val="24"/>
        </w:rPr>
        <w:t>（8分），每发现一处不符合要求的扣1分，每发现一处不符合要求且面积达5平方米的扣2分，面积达10平方米的扣4分；</w:t>
      </w:r>
    </w:p>
    <w:p w14:paraId="68EE4222">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2、国、省、县级与农路交界的过境段的两侧非机动车道外沿﹙含绿化带﹚有专人保洁、捡拾（4分），每发现一处不符合要求的，扣1分。</w:t>
      </w:r>
    </w:p>
    <w:p w14:paraId="37CD92A5">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（三）河道保洁要求（14分）</w:t>
      </w:r>
    </w:p>
    <w:p w14:paraId="32BA842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1、除泯沟以外的所有等级河道的河坡，除芦苇以外的杂草，每年三月、六月、九月各切割一次(3分)，每发现一处不符合要求的，扣1分，每发现一处不符合要求的面积达5平方米的，扣2分，达10平方米的，扣3分；</w:t>
      </w:r>
    </w:p>
    <w:p w14:paraId="73C05EE9">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等级河道要求(无水花生、水葫芦、水浮莲、浮萍等水生植物、无漂浮垃圾、无动物尸体、无各类秸秆、枯树枝等阻水物)；非等级河道要求(无漂浮垃圾、无水花生)（8分)。每发现一处不符合要求的扣1分，每发现一处不符合要求的面积达5平方米的，扣2分，达10平方米的，扣4分；</w:t>
      </w:r>
    </w:p>
    <w:p w14:paraId="2973E8E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3、标段范围内所有河坡和沟头坝埂无水花生、无暴露垃圾</w:t>
      </w:r>
      <w:r>
        <w:rPr>
          <w:rFonts w:hint="eastAsia" w:ascii="宋体" w:hAnsi="宋体" w:eastAsia="宋体" w:cs="宋体"/>
          <w:sz w:val="24"/>
          <w:szCs w:val="24"/>
          <w:highlight w:val="none"/>
          <w:lang w:val="en-US" w:eastAsia="zh-CN"/>
        </w:rPr>
        <w:t>和加拿大一枝黄花</w:t>
      </w:r>
      <w:r>
        <w:rPr>
          <w:rFonts w:hint="eastAsia" w:ascii="宋体" w:hAnsi="宋体" w:eastAsia="宋体" w:cs="宋体"/>
          <w:sz w:val="24"/>
          <w:szCs w:val="24"/>
          <w:highlight w:val="none"/>
        </w:rPr>
        <w:t>（3分），每发现一处不符合要求的，扣1分，每发现一处不符合要求的面积达5平方米的，扣3分。</w:t>
      </w:r>
    </w:p>
    <w:p w14:paraId="7FF52448">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除恶劣天气和必要维护检修，保洁船必须每周清理等级河道不少于40小时，直到满足河面清洁要求。</w:t>
      </w:r>
    </w:p>
    <w:p w14:paraId="29C1D623">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清理频次要求：一二三级河道每周至少清理一次（夏秋季每周至少2次），四级河道、泯沟每两周至少清理一次（夏秋季每周至少1次），直到满足河面清洁要求。</w:t>
      </w:r>
    </w:p>
    <w:p w14:paraId="47C3F6D5">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（四）绿化管护要求（5分）</w:t>
      </w:r>
      <w:r>
        <w:rPr>
          <w:rFonts w:hint="eastAsia" w:ascii="宋体" w:hAnsi="宋体" w:eastAsia="宋体" w:cs="宋体"/>
          <w:sz w:val="24"/>
          <w:szCs w:val="24"/>
          <w:highlight w:val="none"/>
        </w:rPr>
        <w:t xml:space="preserve"> </w:t>
      </w:r>
    </w:p>
    <w:p w14:paraId="475568C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1、对农路两侧的树木不得损坏，否则，需予补植到位；每年修剪二次（有影响视线通行之处，需及时修剪）；每年治虫二次；每年冬季刷白一次（4分），每发现一处不符合要求的扣1分；</w:t>
      </w:r>
    </w:p>
    <w:p w14:paraId="04F8B928">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2、路肩绿化及绿化带内无暴露垃圾（1分），每发现一处不符合要求的扣0.5分，每发现一处不符合要求的面积达3平方米的，扣1分</w:t>
      </w:r>
      <w:r>
        <w:rPr>
          <w:rFonts w:hint="eastAsia" w:ascii="宋体" w:hAnsi="宋体" w:eastAsia="宋体" w:cs="宋体"/>
          <w:sz w:val="24"/>
          <w:szCs w:val="24"/>
          <w:lang w:eastAsia="zh-CN"/>
        </w:rPr>
        <w:t>。</w:t>
      </w:r>
    </w:p>
    <w:p w14:paraId="4E9450AB">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（五）小型水利设施管护要求（2分）</w:t>
      </w:r>
    </w:p>
    <w:p w14:paraId="7948EDC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对桥下、防渗渠、涵、闸、站周边进行保洁，做到无垃圾、无水生物、无阻水物等任何堆积物。每发现一处不符合要求的扣1分，每发现一处不符合要求的面积达5平方米的，扣2分。</w:t>
      </w:r>
    </w:p>
    <w:p w14:paraId="156672C9">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（六）农村小集镇保洁要求（10分）</w:t>
      </w:r>
    </w:p>
    <w:p w14:paraId="18DB0CA1">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1、道路清扫实行不低于8小时动态保洁（1分），每发现一次不符合要求的扣0.5分；</w:t>
      </w:r>
    </w:p>
    <w:p w14:paraId="0CAFFEBC">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道路清扫保洁要达到“四无五净”要求（1分），即：无零星垃圾、杂草、杂物；无果皮、纸屑、烟蒂；无积灰泥、积水、污物；无堵塞窨井、沟眼；路面（人行道）净，窨井沟眼净，人行道板树穴净，路肩边角净，花坛周边及隔离护栏下净。路面积尘较多的路段应定期用高压清洗车冲洗，保证路面见本色，每发现一处不符合要求的扣0.5分； </w:t>
      </w:r>
    </w:p>
    <w:p w14:paraId="3302E05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3、路面清扫的垃圾，必须及时清理并在当日清运干净(1分)，每发现一处不符合要求的扣0.5分；</w:t>
      </w:r>
    </w:p>
    <w:p w14:paraId="073390DF">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4、实行机械化清扫的路段，每日清扫应不少于1次，清扫作业时必须洒水，做到清扫不扬尘、不漏土（1分），每发现一次不符合要求的扣0.5分；</w:t>
      </w:r>
    </w:p>
    <w:p w14:paraId="6E5CC6D3">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5、道旁可视范围内绿化带的日常保洁，应与行车道、人行道等同步保洁，做到绿化带内无垃圾（1分），每发现一处不符合要求的扣0.5分，每发现一处不符合要求的面积达5平方米的，扣1分；</w:t>
      </w:r>
    </w:p>
    <w:p w14:paraId="05CBDC54">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6、下雨天应清扫路沟边、护栏下泥沙，保持雨水口通畅，不得将垃圾或污水扫入、倒入雨水口及绿地内；雨、雪后积水及时清扫(1分)，每发现一处不符合要求的扣0.5分；</w:t>
      </w:r>
    </w:p>
    <w:p w14:paraId="5C9CF001">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7、落叶季节应及时清扫落叶（1分），无落叶堆积，每发现一处不符合要求的扣0.5分，每发现一处不符合要求的面积达5平方米的，扣1分；</w:t>
      </w:r>
    </w:p>
    <w:p w14:paraId="2C3480B2">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8、农贸市场外围的四周、街道、公交站台附近，更易产生垃圾的路段需加强保洁，做到可视范围内无垃圾（2分），每发现一处不符合要求的扣1分，每发现一处不符合要求的面积超过3平方米的，扣2分；</w:t>
      </w:r>
    </w:p>
    <w:p w14:paraId="399EBCD2">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9、属于小集镇范围公路两侧的路肩草，若公路上没有及时切割的，按农路两侧路肩草管护的要求同等管护（1分），每发现一处不符合要求的扣0.5分</w:t>
      </w:r>
      <w:r>
        <w:rPr>
          <w:rFonts w:hint="eastAsia" w:ascii="宋体" w:hAnsi="宋体" w:eastAsia="宋体" w:cs="宋体"/>
          <w:sz w:val="24"/>
          <w:szCs w:val="24"/>
          <w:lang w:val="en-US" w:eastAsia="zh-CN"/>
        </w:rPr>
        <w:t>。</w:t>
      </w:r>
    </w:p>
    <w:p w14:paraId="0AFB4133">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（七）日常管理要求（7分）</w:t>
      </w:r>
    </w:p>
    <w:p w14:paraId="200BFB9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1、保洁人员责任区域公示（2分），需有人员照片、姓名、联系电话、包干区域等在村部公示，每发现一村次未按要求公示的，扣1分；</w:t>
      </w:r>
    </w:p>
    <w:p w14:paraId="50FE582A">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2、保洁工人作业时需穿着工作服，河上作业人员需着装救生衣（1分），每发现一人次未达要求的，扣0.5分；</w:t>
      </w:r>
    </w:p>
    <w:p w14:paraId="3AB5F2E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3、垃圾清运驾驶人员和车辆，均需需证件齐全（1分），每人或每车辆，每发现一次不符合要求的，扣0.5分；</w:t>
      </w:r>
    </w:p>
    <w:p w14:paraId="0E9A4BE3">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4、业主单位布置的日报、整治前后对比图等与工作相关的汇报是否报送，报送的是否及时和合格（2分），未报送的，每次扣1分，报送不及时或不合格的每次扣0.5分；</w:t>
      </w:r>
    </w:p>
    <w:p w14:paraId="2908A0E2">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5、作业车辆和工具保持整洁,作业时不妨碍行人、其它车辆通行，保洁人员应文明作业、不得擅自离岗、聚众聊天（1分），每发现一人次扣0.5分（保洁人员作业时间内有看牌或打牌等较严重情况的，每人次扣1分）</w:t>
      </w:r>
      <w:r>
        <w:rPr>
          <w:rFonts w:hint="eastAsia" w:ascii="宋体" w:hAnsi="宋体" w:eastAsia="宋体" w:cs="宋体"/>
          <w:sz w:val="24"/>
          <w:szCs w:val="24"/>
          <w:lang w:eastAsia="zh-CN"/>
        </w:rPr>
        <w:t>。</w:t>
      </w:r>
    </w:p>
    <w:p w14:paraId="03EABCB6">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（八）、机械设备及人员</w:t>
      </w:r>
      <w:r>
        <w:rPr>
          <w:rFonts w:hint="eastAsia" w:ascii="宋体" w:hAnsi="宋体" w:eastAsia="宋体" w:cs="宋体"/>
          <w:b/>
          <w:bCs/>
          <w:sz w:val="24"/>
          <w:szCs w:val="24"/>
          <w:lang w:val="en-US" w:eastAsia="zh-CN"/>
        </w:rPr>
        <w:t>配置和维护</w:t>
      </w:r>
      <w:r>
        <w:rPr>
          <w:rFonts w:hint="eastAsia" w:ascii="宋体" w:hAnsi="宋体" w:eastAsia="宋体" w:cs="宋体"/>
          <w:b/>
          <w:bCs/>
          <w:sz w:val="24"/>
          <w:szCs w:val="24"/>
        </w:rPr>
        <w:t>要求（10分）</w:t>
      </w:r>
    </w:p>
    <w:p w14:paraId="226B5450">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1、按招标文件要求，配置各类机械设备及人员，并做好维护工作（9分，其中人员5分，设备4分，按不定期抽查到的人员或设备占应该配备的人员或设备的占比来计算扣分）；</w:t>
      </w:r>
    </w:p>
    <w:p w14:paraId="1803DE7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b/>
          <w:bCs/>
          <w:sz w:val="24"/>
          <w:szCs w:val="24"/>
        </w:rPr>
      </w:pPr>
      <w:r>
        <w:rPr>
          <w:rFonts w:hint="eastAsia" w:ascii="宋体" w:hAnsi="宋体" w:eastAsia="宋体" w:cs="宋体"/>
          <w:sz w:val="24"/>
          <w:szCs w:val="24"/>
        </w:rPr>
        <w:t>2、全自动保洁船需安装智能管理系统，保证业主能随时掌握保洁船只的作业状态和行驶轨迹（1分），安装了，却无法查询到行驶轨迹的，每次扣0.5分，未安装的扣1分。</w:t>
      </w:r>
    </w:p>
    <w:p w14:paraId="67BACB2A">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（九）垃圾分类</w:t>
      </w:r>
      <w:r>
        <w:rPr>
          <w:rFonts w:hint="eastAsia" w:ascii="宋体" w:hAnsi="宋体" w:eastAsia="宋体" w:cs="宋体"/>
          <w:b/>
          <w:bCs/>
          <w:sz w:val="24"/>
          <w:szCs w:val="24"/>
          <w:lang w:val="en-US" w:eastAsia="zh-CN"/>
        </w:rPr>
        <w:t>知识</w:t>
      </w:r>
      <w:r>
        <w:rPr>
          <w:rFonts w:hint="eastAsia" w:ascii="宋体" w:hAnsi="宋体" w:eastAsia="宋体" w:cs="宋体"/>
          <w:b/>
          <w:bCs/>
          <w:sz w:val="24"/>
          <w:szCs w:val="24"/>
        </w:rPr>
        <w:t>宣传活动开展要求（6分）</w:t>
      </w:r>
    </w:p>
    <w:p w14:paraId="4919E135">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1、在29个村，至少每年每村开展一场次垃圾分类知识宣传活动，共计29场次（3分），每缺一场次扣0.5分，累计缺场次达4场时，扣3分；</w:t>
      </w:r>
    </w:p>
    <w:p w14:paraId="70BFB38F">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29个农业村的所有“原建档立卡户”，由二个标段对应各自区域范围，做好环境整治的长效帮扶，保持宅周置放之物整齐洁净、无杂草、无垃圾，窗明几净；每户“原建档立卡户”放置一个垃圾桶；宅周的河道内等同于本标书中等级河道整治要求，且河边杂草长效整治（3分），每发现一户不符合要求的，扣0.5分，若在区市级及以上的上级检查考核中，被批评的，扣3分每次。</w:t>
      </w:r>
    </w:p>
    <w:p w14:paraId="36018355">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（十）自然灾害天气的应急预案（2分）</w:t>
      </w:r>
    </w:p>
    <w:p w14:paraId="4B4C7B0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应急预案至少要包含人员、车辆、物资、警示牌、灯等足够应急的配备明细以及妥善处理的应急流程，如无应急预案，扣1分，如在应急中处置不力，给采购方带来不良影响的，扣2分，给采购方带来损失的，按损失赔付。</w:t>
      </w:r>
    </w:p>
    <w:p w14:paraId="46AF32C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合计总分100分，其中每项的扣分，上不封顶，可以超过该项分值。</w:t>
      </w:r>
    </w:p>
    <w:p w14:paraId="032BD34E">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（十一）联动监管（额外加分、减分项）</w:t>
      </w:r>
    </w:p>
    <w:p w14:paraId="0B67DF6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12345平台举报件，接到通知，中标方应及时派人现场查看，属于标段承包范围的，及时处理，不属于标段承包范围的，应及时向业主单位回复情况。举报件的处理时间，最迟不得迟于举报件规定回复时间的前一天，否则产生的相关影响，由中标单位承担。在此时限范围内，举报方予以撤诉的，不予扣款，在此时限范围内，举报方未予撤诉的，距举报件发生之时起三日内处理完毕的，扣0.2分每个件，距举报件发生之时起五日内处理完毕的，扣0.5分每个件，因未及时处理，给业主方带来不良影响的，每个件加扣1-3分；</w:t>
      </w:r>
    </w:p>
    <w:p w14:paraId="581C6CB7">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2、中标方在项目承包期间发生人、事等纠纷的，应尽快解决，若给三余镇人民政府或通州湾示范区带来不良影响的，每次酌情扣3-5分；</w:t>
      </w:r>
    </w:p>
    <w:p w14:paraId="4D2CAC8D">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3、被区、镇以书面形式、公众号等公开表扬（批评）的，每次酌情加（扣）3-5分；</w:t>
      </w:r>
    </w:p>
    <w:p w14:paraId="10CCA74A">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4、在环境整治突击或重大活动期间，环卫保障表现出色的每次酌情加2-5分；表现失利，给三余镇人民政府或通州湾示范区带来不良影响的，每次酌情扣2-5分；</w:t>
      </w:r>
    </w:p>
    <w:p w14:paraId="2B553AF2">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在市级（及以上）的有关部门对我镇相关工作的检查考核中，中标单位表现出色，使我镇排名居全市前列的，或较上轮有明显进步的（排名提升5名及以上），或者使我镇被市级（含以上）媒体表扬的，每次酌情加3-10分；表现失利，给三余镇人民政府或通州湾示范区带来不良影响的，每次酌情扣3-10分。</w:t>
      </w:r>
    </w:p>
    <w:p w14:paraId="272605AA">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备注：进入实施阶段，由“三余镇人居办”依据本标书中的要求，组织实施对中标人的管理、考核</w:t>
      </w:r>
      <w:r>
        <w:rPr>
          <w:rFonts w:hint="eastAsia" w:ascii="宋体" w:hAnsi="宋体" w:eastAsia="宋体" w:cs="宋体"/>
          <w:sz w:val="24"/>
          <w:szCs w:val="24"/>
        </w:rPr>
        <w:t>。</w:t>
      </w:r>
    </w:p>
    <w:p w14:paraId="1958EBB3">
      <w:pPr>
        <w:pageBreakBefore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kern w:val="0"/>
          <w:sz w:val="24"/>
          <w:szCs w:val="24"/>
          <w:u w:val="single"/>
        </w:rPr>
      </w:pPr>
      <w:r>
        <w:rPr>
          <w:rFonts w:hint="eastAsia" w:ascii="宋体" w:hAnsi="宋体" w:eastAsia="宋体" w:cs="宋体"/>
          <w:b/>
          <w:bCs/>
          <w:sz w:val="24"/>
          <w:szCs w:val="24"/>
          <w:lang w:val="en-US" w:eastAsia="zh-CN"/>
        </w:rPr>
        <w:t>九、其他</w:t>
      </w:r>
    </w:p>
    <w:p w14:paraId="520E44C9">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b w:val="0"/>
          <w:bCs w:val="0"/>
          <w:kern w:val="0"/>
          <w:sz w:val="24"/>
          <w:szCs w:val="24"/>
          <w:u w:val="single"/>
        </w:rPr>
      </w:pPr>
      <w:r>
        <w:rPr>
          <w:rFonts w:hint="eastAsia" w:ascii="宋体" w:hAnsi="宋体" w:eastAsia="宋体" w:cs="宋体"/>
          <w:b w:val="0"/>
          <w:bCs w:val="0"/>
          <w:kern w:val="0"/>
          <w:sz w:val="24"/>
          <w:szCs w:val="24"/>
          <w:u w:val="single"/>
        </w:rPr>
        <w:t>1、中标人需为投入本项目人员缴纳</w:t>
      </w:r>
      <w:r>
        <w:rPr>
          <w:rFonts w:hint="eastAsia" w:ascii="宋体" w:hAnsi="宋体" w:eastAsia="宋体" w:cs="宋体"/>
          <w:b w:val="0"/>
          <w:bCs w:val="0"/>
          <w:kern w:val="0"/>
          <w:sz w:val="24"/>
          <w:szCs w:val="24"/>
          <w:u w:val="single"/>
          <w:lang w:val="en-US" w:eastAsia="zh-CN"/>
        </w:rPr>
        <w:t>相关</w:t>
      </w:r>
      <w:r>
        <w:rPr>
          <w:rFonts w:hint="eastAsia" w:ascii="宋体" w:hAnsi="宋体" w:eastAsia="宋体" w:cs="宋体"/>
          <w:b w:val="0"/>
          <w:bCs w:val="0"/>
          <w:kern w:val="0"/>
          <w:sz w:val="24"/>
          <w:szCs w:val="24"/>
          <w:u w:val="single"/>
        </w:rPr>
        <w:t>保险，招标人在</w:t>
      </w:r>
      <w:r>
        <w:rPr>
          <w:rFonts w:hint="eastAsia" w:ascii="宋体" w:hAnsi="宋体" w:eastAsia="宋体" w:cs="宋体"/>
          <w:b w:val="0"/>
          <w:bCs w:val="0"/>
          <w:kern w:val="0"/>
          <w:sz w:val="24"/>
          <w:szCs w:val="24"/>
          <w:u w:val="single"/>
          <w:lang w:val="en-US" w:eastAsia="zh-CN"/>
        </w:rPr>
        <w:t>设置最高限价</w:t>
      </w:r>
      <w:r>
        <w:rPr>
          <w:rFonts w:hint="eastAsia" w:ascii="宋体" w:hAnsi="宋体" w:eastAsia="宋体" w:cs="宋体"/>
          <w:b w:val="0"/>
          <w:bCs w:val="0"/>
          <w:kern w:val="0"/>
          <w:sz w:val="24"/>
          <w:szCs w:val="24"/>
          <w:u w:val="single"/>
        </w:rPr>
        <w:t>时已充分考虑了该因素，如中标人与本项目员工发生劳务纠纷，与招标人无关，中标人必须妥善处理。</w:t>
      </w:r>
    </w:p>
    <w:p w14:paraId="10B2FB66">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b w:val="0"/>
          <w:bCs w:val="0"/>
          <w:kern w:val="0"/>
          <w:sz w:val="24"/>
          <w:szCs w:val="24"/>
          <w:u w:val="single"/>
        </w:rPr>
      </w:pPr>
      <w:r>
        <w:rPr>
          <w:rFonts w:hint="eastAsia" w:ascii="宋体" w:hAnsi="宋体" w:eastAsia="宋体" w:cs="宋体"/>
          <w:b w:val="0"/>
          <w:bCs w:val="0"/>
          <w:kern w:val="0"/>
          <w:sz w:val="24"/>
          <w:szCs w:val="24"/>
          <w:u w:val="single"/>
        </w:rPr>
        <w:t>2、中标人在项目实施过程中应采取相应的安全措施保证员工安全和作业安全，发生安全事故由中标人负责和承担损失，与招标人无关。</w:t>
      </w:r>
    </w:p>
    <w:p w14:paraId="4475308F">
      <w:pPr>
        <w:pageBreakBefore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b/>
          <w:bCs/>
          <w:sz w:val="24"/>
          <w:highlight w:val="none"/>
        </w:rPr>
      </w:pPr>
      <w:r>
        <w:rPr>
          <w:rFonts w:hint="eastAsia" w:ascii="宋体" w:hAnsi="宋体" w:eastAsia="宋体" w:cs="宋体"/>
          <w:b w:val="0"/>
          <w:bCs w:val="0"/>
          <w:kern w:val="0"/>
          <w:sz w:val="24"/>
          <w:szCs w:val="24"/>
          <w:u w:val="single"/>
        </w:rPr>
        <w:t>3、</w:t>
      </w:r>
      <w:r>
        <w:rPr>
          <w:rFonts w:hint="eastAsia" w:ascii="宋体" w:hAnsi="宋体" w:eastAsia="宋体" w:cs="宋体"/>
          <w:b w:val="0"/>
          <w:bCs w:val="0"/>
          <w:color w:val="auto"/>
          <w:kern w:val="0"/>
          <w:sz w:val="24"/>
          <w:szCs w:val="24"/>
          <w:u w:val="single"/>
        </w:rPr>
        <w:t>中标人</w:t>
      </w:r>
      <w:r>
        <w:rPr>
          <w:rFonts w:hint="eastAsia" w:ascii="宋体" w:hAnsi="宋体" w:eastAsia="宋体" w:cs="宋体"/>
          <w:b w:val="0"/>
          <w:bCs w:val="0"/>
          <w:color w:val="auto"/>
          <w:kern w:val="0"/>
          <w:sz w:val="24"/>
          <w:szCs w:val="24"/>
          <w:u w:val="single"/>
          <w:lang w:val="en-US" w:eastAsia="zh-CN"/>
        </w:rPr>
        <w:t>中标后，</w:t>
      </w:r>
      <w:r>
        <w:rPr>
          <w:rFonts w:hint="eastAsia" w:ascii="宋体" w:hAnsi="宋体" w:eastAsia="宋体" w:cs="宋体"/>
          <w:b w:val="0"/>
          <w:bCs w:val="0"/>
          <w:color w:val="auto"/>
          <w:kern w:val="0"/>
          <w:sz w:val="24"/>
          <w:szCs w:val="24"/>
          <w:u w:val="single"/>
        </w:rPr>
        <w:t>需按投标文件中</w:t>
      </w:r>
      <w:r>
        <w:rPr>
          <w:rFonts w:hint="eastAsia" w:ascii="宋体" w:hAnsi="宋体" w:eastAsia="宋体" w:cs="宋体"/>
          <w:b w:val="0"/>
          <w:bCs w:val="0"/>
          <w:color w:val="auto"/>
          <w:kern w:val="0"/>
          <w:sz w:val="24"/>
          <w:szCs w:val="24"/>
          <w:u w:val="single"/>
          <w:lang w:val="en-US" w:eastAsia="zh-CN"/>
        </w:rPr>
        <w:t>的</w:t>
      </w:r>
      <w:r>
        <w:rPr>
          <w:rFonts w:hint="eastAsia" w:ascii="宋体" w:hAnsi="宋体" w:eastAsia="宋体" w:cs="宋体"/>
          <w:b w:val="0"/>
          <w:bCs w:val="0"/>
          <w:color w:val="auto"/>
          <w:kern w:val="0"/>
          <w:sz w:val="24"/>
          <w:szCs w:val="24"/>
          <w:u w:val="single"/>
        </w:rPr>
        <w:t>承诺</w:t>
      </w:r>
      <w:r>
        <w:rPr>
          <w:rFonts w:hint="eastAsia" w:ascii="宋体" w:hAnsi="宋体" w:eastAsia="宋体" w:cs="宋体"/>
          <w:b w:val="0"/>
          <w:bCs w:val="0"/>
          <w:color w:val="auto"/>
          <w:kern w:val="0"/>
          <w:sz w:val="24"/>
          <w:szCs w:val="24"/>
          <w:u w:val="single"/>
          <w:lang w:val="en-US" w:eastAsia="zh-CN"/>
        </w:rPr>
        <w:t>(中标人对设备和人员投入按招标文件规定提交的承诺书），对</w:t>
      </w:r>
      <w:r>
        <w:rPr>
          <w:rFonts w:hint="eastAsia" w:ascii="宋体" w:hAnsi="宋体" w:eastAsia="宋体" w:cs="宋体"/>
          <w:b w:val="0"/>
          <w:bCs w:val="0"/>
          <w:kern w:val="0"/>
          <w:sz w:val="24"/>
          <w:szCs w:val="24"/>
          <w:u w:val="single"/>
        </w:rPr>
        <w:t>人员和机械设备配备投入并成立项目部，招标人将检查人员和机械设备的投入和项目部成立情况，如不能达到投标文件中承诺的情况或未成立项目部，招标人将有权终止</w:t>
      </w:r>
      <w:r>
        <w:rPr>
          <w:rFonts w:hint="eastAsia" w:ascii="宋体" w:hAnsi="宋体" w:eastAsia="宋体" w:cs="宋体"/>
          <w:b w:val="0"/>
          <w:bCs w:val="0"/>
          <w:kern w:val="0"/>
          <w:sz w:val="24"/>
          <w:szCs w:val="24"/>
          <w:highlight w:val="none"/>
          <w:u w:val="single"/>
        </w:rPr>
        <w:t>合同，并且履约保证金不予退还，中标人因此产生的损失自负</w:t>
      </w:r>
      <w:r>
        <w:rPr>
          <w:rFonts w:hint="eastAsia" w:ascii="宋体" w:hAnsi="宋体" w:eastAsia="宋体" w:cs="宋体"/>
          <w:b w:val="0"/>
          <w:bCs w:val="0"/>
          <w:kern w:val="0"/>
          <w:sz w:val="24"/>
          <w:szCs w:val="24"/>
          <w:highlight w:val="none"/>
          <w:u w:val="none"/>
        </w:rPr>
        <w:t>。</w:t>
      </w:r>
    </w:p>
    <w:p w14:paraId="456F7435">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十、履约保证金</w:t>
      </w:r>
    </w:p>
    <w:p w14:paraId="0C5A2882">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highlight w:val="none"/>
        </w:rPr>
        <w:t>1、本项目中标后的履约保证金为项目中标价的10%，中标供应商的履约保证金须在中标通知书发出之日起至合同签订前汇入采购单位账户（应当</w:t>
      </w:r>
      <w:r>
        <w:rPr>
          <w:rFonts w:hint="eastAsia" w:ascii="宋体" w:hAnsi="宋体" w:eastAsia="宋体" w:cs="宋体"/>
          <w:sz w:val="24"/>
        </w:rPr>
        <w:t>以支票、汇票或者金融机构、担保机构出具的保函等非现金形式提交），中标供应商凭中标通知书与采购单位签订合同。超期或未有协商，则视为自动放弃中标资格。</w:t>
      </w:r>
    </w:p>
    <w:p w14:paraId="3A76EDB0">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2、中标供应商全部履约合同义务，经采购单位验收合格无质量、安全等问题的，采购人在验收合格后一次性退还履约保证金。</w:t>
      </w:r>
    </w:p>
    <w:p w14:paraId="2B599CA0">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3、发生以下情况的，履约保证金不予退或部分退还：</w:t>
      </w:r>
    </w:p>
    <w:p w14:paraId="25EC7494">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a.签订合同后，中标供应商不履行合同义务的，采购单位有权全额扣除履约保证金，全额不予退还，同时采购单位亦有权终止合同，中标供应商还须承担相应的法律赔偿责任。</w:t>
      </w:r>
    </w:p>
    <w:p w14:paraId="52EB5368">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b.中标供应商在履约过程中发生违约行为，给采购单位造成损失的，采购单位有权在中标供应商缴纳的履约保证金中予以扣款，以弥补采购单位经济损失，不足的部分成交供应商另外补齐。</w:t>
      </w:r>
    </w:p>
    <w:p w14:paraId="3E6E1798">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rPr>
        <w:t>4、逾期退还履约保证金的违约责任：采购人无正当理由逾期退还履约保证金的，按照同期银行间同业拆借中心公布的1年期贷款市场报价利率支付违约金。</w:t>
      </w:r>
    </w:p>
    <w:p w14:paraId="66909A68">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bCs/>
          <w:sz w:val="24"/>
        </w:rPr>
      </w:pPr>
      <w:r>
        <w:rPr>
          <w:rFonts w:hint="eastAsia" w:ascii="宋体" w:hAnsi="宋体" w:eastAsia="宋体" w:cs="宋体"/>
          <w:b/>
          <w:bCs/>
          <w:sz w:val="24"/>
        </w:rPr>
        <w:t>5、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20F1D77D">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bCs/>
          <w:sz w:val="24"/>
        </w:rPr>
      </w:pPr>
      <w:r>
        <w:rPr>
          <w:rFonts w:hint="eastAsia" w:ascii="宋体" w:hAnsi="宋体" w:eastAsia="宋体" w:cs="宋体"/>
          <w:b/>
          <w:bCs/>
          <w:sz w:val="24"/>
        </w:rPr>
        <w:t>十四、本项目不接受进口产品参与。</w:t>
      </w:r>
      <w:bookmarkEnd w:id="0"/>
      <w:bookmarkEnd w:id="1"/>
      <w:bookmarkEnd w:id="2"/>
    </w:p>
    <w:p w14:paraId="0290D28F">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36"/>
          <w:szCs w:val="36"/>
        </w:rPr>
      </w:pPr>
      <w:r>
        <w:rPr>
          <w:rFonts w:hint="eastAsia" w:ascii="宋体" w:hAnsi="宋体" w:eastAsia="宋体" w:cs="宋体"/>
          <w:bCs/>
          <w:sz w:val="36"/>
          <w:szCs w:val="36"/>
        </w:rPr>
        <w:br w:type="page" w:clear="all"/>
      </w:r>
    </w:p>
    <w:p w14:paraId="4DEC0A58">
      <w:pPr>
        <w:pageBreakBefore w:val="0"/>
        <w:kinsoku/>
        <w:wordWrap/>
        <w:overflowPunct/>
        <w:topLinePunct w:val="0"/>
        <w:autoSpaceDE/>
        <w:autoSpaceDN/>
        <w:bidi w:val="0"/>
        <w:snapToGrid/>
        <w:spacing w:line="360" w:lineRule="auto"/>
        <w:jc w:val="center"/>
        <w:textAlignment w:val="auto"/>
        <w:outlineLvl w:val="0"/>
        <w:rPr>
          <w:rFonts w:hint="eastAsia" w:ascii="宋体" w:hAnsi="宋体" w:eastAsia="宋体" w:cs="宋体"/>
          <w:bCs/>
          <w:sz w:val="36"/>
          <w:szCs w:val="36"/>
          <w:highlight w:val="none"/>
        </w:rPr>
      </w:pPr>
      <w:r>
        <w:rPr>
          <w:rFonts w:hint="eastAsia" w:ascii="宋体" w:hAnsi="宋体" w:eastAsia="宋体" w:cs="宋体"/>
          <w:bCs/>
          <w:sz w:val="36"/>
          <w:szCs w:val="36"/>
          <w:highlight w:val="none"/>
        </w:rPr>
        <w:t>第四部分  合同条款及格式</w:t>
      </w:r>
    </w:p>
    <w:p w14:paraId="74580FB7">
      <w:pPr>
        <w:keepNext w:val="0"/>
        <w:keepLines w:val="0"/>
        <w:pageBreakBefore w:val="0"/>
        <w:widowControl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甲方：（发包人）</w:t>
      </w:r>
      <w:r>
        <w:rPr>
          <w:rFonts w:hint="eastAsia" w:ascii="宋体" w:hAnsi="宋体" w:eastAsia="宋体" w:cs="宋体"/>
          <w:b/>
          <w:bCs w:val="0"/>
          <w:sz w:val="24"/>
          <w:szCs w:val="24"/>
          <w:highlight w:val="none"/>
          <w:u w:val="single"/>
        </w:rPr>
        <w:t xml:space="preserve"> 南通市通州区三余镇人民政府   </w:t>
      </w:r>
    </w:p>
    <w:p w14:paraId="7897E9BF">
      <w:pPr>
        <w:keepNext w:val="0"/>
        <w:keepLines w:val="0"/>
        <w:pageBreakBefore w:val="0"/>
        <w:widowControl w:val="0"/>
        <w:kinsoku/>
        <w:wordWrap/>
        <w:overflowPunct/>
        <w:topLinePunct w:val="0"/>
        <w:autoSpaceDE/>
        <w:autoSpaceDN/>
        <w:bidi w:val="0"/>
        <w:snapToGrid/>
        <w:spacing w:beforeAutospacing="0" w:afterAutospacing="0" w:line="360" w:lineRule="auto"/>
        <w:ind w:firstLine="482" w:firstLineChars="200"/>
        <w:textAlignment w:val="auto"/>
        <w:rPr>
          <w:rFonts w:hint="eastAsia" w:ascii="宋体" w:hAnsi="宋体" w:eastAsia="宋体" w:cs="宋体"/>
          <w:b/>
          <w:sz w:val="24"/>
          <w:szCs w:val="24"/>
          <w:highlight w:val="none"/>
          <w:u w:val="single"/>
        </w:rPr>
      </w:pPr>
      <w:r>
        <w:rPr>
          <w:rFonts w:hint="eastAsia" w:ascii="宋体" w:hAnsi="宋体" w:eastAsia="宋体" w:cs="宋体"/>
          <w:b/>
          <w:bCs w:val="0"/>
          <w:sz w:val="24"/>
          <w:szCs w:val="24"/>
          <w:highlight w:val="none"/>
        </w:rPr>
        <w:t>乙方：（承包人）</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rPr>
        <w:t xml:space="preserve">                   </w:t>
      </w:r>
    </w:p>
    <w:p w14:paraId="6496C4CF">
      <w:pPr>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为了进一步巩固和提升“农村五位一体长效管护”、积极完成既定的工作目标、按照责、权、利相结合的原则，甲方对三余镇人民政府</w:t>
      </w:r>
      <w:r>
        <w:rPr>
          <w:rFonts w:hint="eastAsia" w:ascii="宋体" w:hAnsi="宋体" w:eastAsia="宋体" w:cs="宋体"/>
          <w:sz w:val="24"/>
          <w:szCs w:val="24"/>
          <w:lang w:eastAsia="zh-CN"/>
        </w:rPr>
        <w:t>“</w:t>
      </w:r>
      <w:r>
        <w:rPr>
          <w:rFonts w:hint="eastAsia" w:ascii="宋体" w:hAnsi="宋体" w:eastAsia="宋体" w:cs="宋体"/>
          <w:sz w:val="24"/>
          <w:szCs w:val="24"/>
        </w:rPr>
        <w:t>农村环境五位一体</w:t>
      </w:r>
      <w:r>
        <w:rPr>
          <w:rFonts w:hint="eastAsia" w:ascii="宋体" w:hAnsi="宋体" w:eastAsia="宋体" w:cs="宋体"/>
          <w:sz w:val="24"/>
          <w:szCs w:val="24"/>
          <w:lang w:eastAsia="zh-CN"/>
        </w:rPr>
        <w:t>”</w:t>
      </w:r>
      <w:r>
        <w:rPr>
          <w:rFonts w:hint="eastAsia" w:ascii="宋体" w:hAnsi="宋体" w:eastAsia="宋体" w:cs="宋体"/>
          <w:sz w:val="24"/>
          <w:szCs w:val="24"/>
        </w:rPr>
        <w:t>工作实行了公开招标，乙方在</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日甲方举行的招标过程中，获得通州湾示范区三余镇人民政府“农村环境五位一体”长效管理项目工作实施权，经双方协商，签订本合同，并共同遵守下列条款。</w:t>
      </w:r>
    </w:p>
    <w:p w14:paraId="170EFDE7">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1、乙方以 </w:t>
      </w:r>
      <w:r>
        <w:rPr>
          <w:rFonts w:hint="eastAsia" w:ascii="宋体" w:hAnsi="宋体" w:eastAsia="宋体" w:cs="宋体"/>
          <w:sz w:val="24"/>
          <w:szCs w:val="24"/>
          <w:u w:val="single"/>
        </w:rPr>
        <w:t xml:space="preserve">      </w:t>
      </w:r>
      <w:r>
        <w:rPr>
          <w:rFonts w:hint="eastAsia" w:ascii="宋体" w:hAnsi="宋体" w:eastAsia="宋体" w:cs="宋体"/>
          <w:sz w:val="24"/>
          <w:szCs w:val="24"/>
        </w:rPr>
        <w:t>万元/年的中标价，承包三余镇人民政府“农村环境五位一体”长效管理工作的实施权，服务期限为两年，即自</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BE89A4C">
      <w:pPr>
        <w:keepNext w:val="0"/>
        <w:keepLines w:val="0"/>
        <w:pageBreakBefore w:val="0"/>
        <w:widowControl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2、乙方须按标书规定,从</w:t>
      </w:r>
      <w:r>
        <w:rPr>
          <w:rFonts w:hint="eastAsia" w:ascii="宋体" w:hAnsi="宋体" w:eastAsia="宋体" w:cs="宋体"/>
          <w:sz w:val="24"/>
          <w:szCs w:val="24"/>
          <w:lang w:val="en-US" w:eastAsia="zh-CN"/>
        </w:rPr>
        <w:t>收到中标通知书之日起至签订本合同前</w:t>
      </w:r>
      <w:r>
        <w:rPr>
          <w:rFonts w:hint="eastAsia" w:ascii="宋体" w:hAnsi="宋体" w:eastAsia="宋体" w:cs="宋体"/>
          <w:sz w:val="24"/>
          <w:szCs w:val="24"/>
        </w:rPr>
        <w:t>，向甲方缴纳履约保证金</w:t>
      </w:r>
      <w:r>
        <w:rPr>
          <w:rFonts w:hint="eastAsia" w:ascii="宋体" w:hAnsi="宋体" w:eastAsia="宋体" w:cs="宋体"/>
          <w:b/>
          <w:sz w:val="24"/>
          <w:szCs w:val="24"/>
          <w:u w:val="single"/>
        </w:rPr>
        <w:t xml:space="preserve">       </w:t>
      </w:r>
      <w:r>
        <w:rPr>
          <w:rFonts w:hint="eastAsia" w:ascii="宋体" w:hAnsi="宋体" w:eastAsia="宋体" w:cs="宋体"/>
          <w:sz w:val="24"/>
          <w:szCs w:val="24"/>
        </w:rPr>
        <w:t>万元，款项缴至南通市通州湾示范区三余镇财政局，账号32050164743809999999（若有变动，以业主单位变动后为准），开户行中国建设银行股份有限公司南通三余支行，合同期满，根据二年服务期内的考核情况，由甲方决定是否全额返还。</w:t>
      </w:r>
    </w:p>
    <w:p w14:paraId="20F5CB1F">
      <w:pPr>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3、中标人按</w:t>
      </w:r>
      <w:r>
        <w:rPr>
          <w:rFonts w:hint="eastAsia" w:ascii="宋体" w:hAnsi="宋体" w:eastAsia="宋体" w:cs="宋体"/>
          <w:sz w:val="24"/>
          <w:szCs w:val="24"/>
          <w:lang w:val="en-US" w:eastAsia="zh-CN"/>
        </w:rPr>
        <w:t>招</w:t>
      </w:r>
      <w:r>
        <w:rPr>
          <w:rFonts w:hint="eastAsia" w:ascii="宋体" w:hAnsi="宋体" w:eastAsia="宋体" w:cs="宋体"/>
          <w:sz w:val="24"/>
          <w:szCs w:val="24"/>
        </w:rPr>
        <w:t>标文件中</w:t>
      </w:r>
      <w:r>
        <w:rPr>
          <w:rFonts w:hint="eastAsia" w:ascii="宋体" w:hAnsi="宋体" w:eastAsia="宋体" w:cs="宋体"/>
          <w:sz w:val="24"/>
          <w:szCs w:val="24"/>
          <w:lang w:val="en-US" w:eastAsia="zh-CN"/>
        </w:rPr>
        <w:t>规定的</w:t>
      </w:r>
      <w:r>
        <w:rPr>
          <w:rFonts w:hint="eastAsia" w:ascii="宋体" w:hAnsi="宋体" w:eastAsia="宋体" w:cs="宋体"/>
          <w:sz w:val="24"/>
          <w:szCs w:val="24"/>
        </w:rPr>
        <w:t>人员和机械设备配备表</w:t>
      </w:r>
      <w:r>
        <w:rPr>
          <w:rFonts w:hint="eastAsia" w:ascii="宋体" w:hAnsi="宋体" w:eastAsia="宋体" w:cs="宋体"/>
          <w:sz w:val="24"/>
          <w:szCs w:val="24"/>
          <w:lang w:val="en-US" w:eastAsia="zh-CN"/>
        </w:rPr>
        <w:t>以及规定的投入时间，</w:t>
      </w:r>
      <w:r>
        <w:rPr>
          <w:rFonts w:hint="eastAsia" w:ascii="宋体" w:hAnsi="宋体" w:eastAsia="宋体" w:cs="宋体"/>
          <w:sz w:val="24"/>
          <w:szCs w:val="24"/>
        </w:rPr>
        <w:t>投入人员和机械设备并成立项目部。有固定的办公场所，并向甲方提供所有该项目上投入的人员明细表及设备明细表（每页加盖乙方公章</w:t>
      </w:r>
      <w:r>
        <w:rPr>
          <w:rFonts w:hint="eastAsia" w:ascii="宋体" w:hAnsi="宋体" w:eastAsia="宋体" w:cs="宋体"/>
          <w:sz w:val="24"/>
          <w:szCs w:val="24"/>
          <w:lang w:val="en-US" w:eastAsia="zh-CN"/>
        </w:rPr>
        <w:t>和</w:t>
      </w:r>
      <w:r>
        <w:rPr>
          <w:rFonts w:hint="eastAsia" w:ascii="宋体" w:hAnsi="宋体" w:eastAsia="宋体" w:cs="宋体"/>
          <w:sz w:val="24"/>
          <w:szCs w:val="24"/>
        </w:rPr>
        <w:t>乙方法人代表签字）。在服务期内，甲方对乙方人员和机械设备的投入情况、工作标准执行情况、对甲方工作指令执行情况等，可随时进行不定期检查，如乙方不能达到投标文件中规定的标准，除按标书中考核规则进行考核外，第一次视情处罚2</w:t>
      </w:r>
      <w:r>
        <w:rPr>
          <w:rFonts w:hint="eastAsia" w:ascii="宋体" w:hAnsi="宋体" w:eastAsia="宋体" w:cs="宋体"/>
          <w:sz w:val="24"/>
          <w:szCs w:val="24"/>
          <w:lang w:val="en-US" w:eastAsia="zh-CN"/>
        </w:rPr>
        <w:t>万</w:t>
      </w:r>
      <w:r>
        <w:rPr>
          <w:rFonts w:hint="eastAsia" w:ascii="宋体" w:hAnsi="宋体" w:eastAsia="宋体" w:cs="宋体"/>
          <w:sz w:val="24"/>
          <w:szCs w:val="24"/>
        </w:rPr>
        <w:t>-3万元，第二次视情处罚3</w:t>
      </w:r>
      <w:r>
        <w:rPr>
          <w:rFonts w:hint="eastAsia" w:ascii="宋体" w:hAnsi="宋体" w:eastAsia="宋体" w:cs="宋体"/>
          <w:sz w:val="24"/>
          <w:szCs w:val="24"/>
          <w:lang w:val="en-US" w:eastAsia="zh-CN"/>
        </w:rPr>
        <w:t>万</w:t>
      </w:r>
      <w:r>
        <w:rPr>
          <w:rFonts w:hint="eastAsia" w:ascii="宋体" w:hAnsi="宋体" w:eastAsia="宋体" w:cs="宋体"/>
          <w:sz w:val="24"/>
          <w:szCs w:val="24"/>
        </w:rPr>
        <w:t>-5万元，第三次甲方有权终止合同，履约保证金不予退还，因此产生的损失由乙方自负。</w:t>
      </w:r>
    </w:p>
    <w:p w14:paraId="479A305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乙方项目上所有管理人员，合同承包期内不得随意变动、更换，确需变动、更换的必须以书面形式报甲方同意，若擅自变更，发现一人扣10分，情节严重或造成不良后果的，甲方有权终止合同，并且因此引起的损失，由乙方承担。</w:t>
      </w:r>
    </w:p>
    <w:p w14:paraId="4AA7E13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5、乙方项目上的所有人员必须服从甲方管理，若不服从的，甲方有权要求乙方解聘，乙方须无条件执行。</w:t>
      </w:r>
    </w:p>
    <w:p w14:paraId="4723B980">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为了减少不必要的劳动纠纷，乙方必须为所有员工办理相关保险，确保员工合法权利，甲方在测算经费时已将乙方用工人员的保险（失业、养老、医疗、生育、工伤）列入投标总报价，若发生劳动纠纷或工伤事故等，一律与甲方无关。</w:t>
      </w:r>
    </w:p>
    <w:p w14:paraId="47D7331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7、乙方在本项目服务期内须加强人员业务知识、安全教育等与工作开展相关的各类培训，若发生安全事故，由乙方负全责并承担相关费用，和甲方无关。</w:t>
      </w:r>
    </w:p>
    <w:p w14:paraId="6D985429">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8、乙方须建立与标书要求相配套的管理制度、考核办法等，配合甲方不定期对乙方项目部、管理</w:t>
      </w:r>
      <w:r>
        <w:rPr>
          <w:rFonts w:hint="eastAsia" w:ascii="宋体" w:hAnsi="宋体" w:eastAsia="宋体" w:cs="宋体"/>
          <w:sz w:val="24"/>
          <w:szCs w:val="24"/>
          <w:lang w:val="en-US" w:eastAsia="zh-CN"/>
        </w:rPr>
        <w:t>台账</w:t>
      </w:r>
      <w:r>
        <w:rPr>
          <w:rFonts w:hint="eastAsia" w:ascii="宋体" w:hAnsi="宋体" w:eastAsia="宋体" w:cs="宋体"/>
          <w:sz w:val="24"/>
          <w:szCs w:val="24"/>
        </w:rPr>
        <w:t>等相关检查。</w:t>
      </w:r>
    </w:p>
    <w:p w14:paraId="13A8C49B">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9、乙方制订的作息时间，须上报给甲方，但甲方根据实际情况有权作出相应调整，乙方必须无条件执行，特别是遇到重要活动等，必须按甲方规定的时间出勤，完成好甲方安排的工作任务。</w:t>
      </w:r>
    </w:p>
    <w:p w14:paraId="3D6A2C84">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10、乙方必须遵守甲方的各项规章制度，服从甲方管理并积极完成甲方交给的突击性任务，且不得将竞标所得</w:t>
      </w:r>
      <w:r>
        <w:rPr>
          <w:rFonts w:hint="eastAsia" w:ascii="宋体" w:hAnsi="宋体" w:eastAsia="宋体" w:cs="宋体"/>
          <w:sz w:val="24"/>
          <w:szCs w:val="24"/>
          <w:lang w:val="en-US" w:eastAsia="zh-CN"/>
        </w:rPr>
        <w:t>本</w:t>
      </w:r>
      <w:r>
        <w:rPr>
          <w:rFonts w:hint="eastAsia" w:ascii="宋体" w:hAnsi="宋体" w:eastAsia="宋体" w:cs="宋体"/>
          <w:sz w:val="24"/>
          <w:szCs w:val="24"/>
        </w:rPr>
        <w:t>项目转包予他人，否则甲方有权终止合同，乙方不得有任何疑义。</w:t>
      </w:r>
    </w:p>
    <w:p w14:paraId="6C5AC88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 乙方保洁质量必须符合本标书项目考核要求，实行全天候保洁。乙方未按标书和合同规定提供相关服务和履行相关义务的，甲方按考核要求</w:t>
      </w:r>
      <w:r>
        <w:rPr>
          <w:rFonts w:hint="eastAsia" w:ascii="宋体" w:hAnsi="宋体" w:eastAsia="宋体" w:cs="宋体"/>
          <w:sz w:val="24"/>
          <w:szCs w:val="24"/>
          <w:lang w:val="en-US" w:eastAsia="zh-CN"/>
        </w:rPr>
        <w:t>考核扣罚</w:t>
      </w:r>
      <w:r>
        <w:rPr>
          <w:rFonts w:hint="eastAsia" w:ascii="宋体" w:hAnsi="宋体" w:eastAsia="宋体" w:cs="宋体"/>
          <w:sz w:val="24"/>
          <w:szCs w:val="24"/>
        </w:rPr>
        <w:t>；</w:t>
      </w:r>
      <w:r>
        <w:rPr>
          <w:rFonts w:hint="eastAsia" w:ascii="宋体" w:hAnsi="宋体" w:eastAsia="宋体" w:cs="宋体"/>
          <w:sz w:val="24"/>
          <w:szCs w:val="24"/>
          <w:lang w:val="en-US" w:eastAsia="zh-CN"/>
        </w:rPr>
        <w:t>对于限期整改的，</w:t>
      </w:r>
      <w:r>
        <w:rPr>
          <w:rFonts w:hint="eastAsia" w:ascii="宋体" w:hAnsi="宋体" w:eastAsia="宋体" w:cs="宋体"/>
          <w:sz w:val="24"/>
          <w:szCs w:val="24"/>
        </w:rPr>
        <w:t>逾期不整改或整改后仍达不到甲方要求的，甲方有权加倍处罚或终止合同，若由此造成甲方经济损失的，乙方还应当承担赔偿责任，同时乙方应向甲方支付合同总价</w:t>
      </w:r>
      <w:r>
        <w:rPr>
          <w:rFonts w:hint="eastAsia" w:ascii="宋体" w:hAnsi="宋体" w:eastAsia="宋体" w:cs="宋体"/>
          <w:sz w:val="24"/>
          <w:szCs w:val="24"/>
          <w:lang w:val="en-US" w:eastAsia="zh-CN"/>
        </w:rPr>
        <w:t>的</w:t>
      </w:r>
      <w:r>
        <w:rPr>
          <w:rFonts w:hint="eastAsia" w:ascii="宋体" w:hAnsi="宋体" w:eastAsia="宋体" w:cs="宋体"/>
          <w:sz w:val="24"/>
          <w:szCs w:val="24"/>
        </w:rPr>
        <w:t>5%</w:t>
      </w:r>
      <w:r>
        <w:rPr>
          <w:rFonts w:hint="eastAsia" w:ascii="宋体" w:hAnsi="宋体" w:eastAsia="宋体" w:cs="宋体"/>
          <w:sz w:val="24"/>
          <w:szCs w:val="24"/>
          <w:lang w:val="en-US" w:eastAsia="zh-CN"/>
        </w:rPr>
        <w:t>作为</w:t>
      </w:r>
      <w:r>
        <w:rPr>
          <w:rFonts w:hint="eastAsia" w:ascii="宋体" w:hAnsi="宋体" w:eastAsia="宋体" w:cs="宋体"/>
          <w:sz w:val="24"/>
          <w:szCs w:val="24"/>
        </w:rPr>
        <w:t>违约金。</w:t>
      </w:r>
    </w:p>
    <w:p w14:paraId="3507A6CC">
      <w:pPr>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12、费用支付：</w:t>
      </w:r>
      <w:r>
        <w:rPr>
          <w:rFonts w:hint="eastAsia" w:ascii="宋体" w:hAnsi="宋体" w:eastAsia="宋体" w:cs="宋体"/>
          <w:sz w:val="24"/>
          <w:szCs w:val="24"/>
          <w:lang w:val="en-US" w:eastAsia="zh-CN"/>
        </w:rPr>
        <w:t>项目服务期间</w:t>
      </w:r>
      <w:r>
        <w:rPr>
          <w:rFonts w:hint="eastAsia" w:ascii="宋体" w:hAnsi="宋体" w:eastAsia="宋体" w:cs="宋体"/>
          <w:sz w:val="24"/>
          <w:szCs w:val="24"/>
        </w:rPr>
        <w:t>甲方依据本标书对乙方进行考核</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以95分为考核基准分，低于95分的，按得分占95分的比例付与款项）</w:t>
      </w:r>
      <w:r>
        <w:rPr>
          <w:rFonts w:hint="eastAsia" w:ascii="宋体" w:hAnsi="宋体" w:eastAsia="宋体" w:cs="宋体"/>
          <w:sz w:val="24"/>
          <w:szCs w:val="24"/>
        </w:rPr>
        <w:t>，根据考核结果，按季支付给乙方服务费用，当季费用的支付时间一般为下一季度尾月20日前</w:t>
      </w:r>
      <w:r>
        <w:rPr>
          <w:rFonts w:hint="eastAsia" w:ascii="宋体" w:hAnsi="宋体" w:eastAsia="宋体" w:cs="宋体"/>
          <w:sz w:val="24"/>
          <w:szCs w:val="24"/>
          <w:lang w:eastAsia="zh-CN"/>
        </w:rPr>
        <w:t>。（</w:t>
      </w:r>
      <w:r>
        <w:rPr>
          <w:rFonts w:hint="eastAsia" w:ascii="宋体" w:hAnsi="宋体" w:eastAsia="宋体" w:cs="宋体"/>
          <w:sz w:val="24"/>
          <w:szCs w:val="24"/>
        </w:rPr>
        <w:t>如因甲方资金问题可延期支付，但最</w:t>
      </w:r>
      <w:r>
        <w:rPr>
          <w:rFonts w:hint="eastAsia" w:ascii="宋体" w:hAnsi="宋体" w:eastAsia="宋体" w:cs="宋体"/>
          <w:sz w:val="24"/>
          <w:szCs w:val="24"/>
          <w:highlight w:val="none"/>
        </w:rPr>
        <w:t>迟不得超过应支付时间的三个月，甲方有权要求乙方提供本项目上所有人员待遇的发放明细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月考核得分低于80分的为不合格，在前述扣除经费基础上，每低一分相应再从乙方服务费用中扣除1%的金额，并对乙方给予警告一次，一个年度内累计警告三次终止合同。有过一次警告或发生事故不积极处理造成不良影响的，不可再续签合同。</w:t>
      </w:r>
    </w:p>
    <w:p w14:paraId="7F2AE058">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13、若在本轮合同期结束，</w:t>
      </w:r>
      <w:r>
        <w:rPr>
          <w:rFonts w:hint="eastAsia" w:ascii="宋体" w:hAnsi="宋体" w:eastAsia="宋体" w:cs="宋体"/>
          <w:sz w:val="24"/>
          <w:szCs w:val="24"/>
          <w:lang w:val="en-US" w:eastAsia="zh-CN"/>
        </w:rPr>
        <w:t>新</w:t>
      </w:r>
      <w:r>
        <w:rPr>
          <w:rFonts w:hint="eastAsia" w:ascii="宋体" w:hAnsi="宋体" w:eastAsia="宋体" w:cs="宋体"/>
          <w:sz w:val="24"/>
          <w:szCs w:val="24"/>
        </w:rPr>
        <w:t>一轮中标方还未确定，此间的时期，甲方有权决定是否与乙方签订延期服务合同，乙方须无条件服从，一经签订，和本合同具有同等法律效力，延续期间，乙方服务质效不得低</w:t>
      </w:r>
      <w:r>
        <w:rPr>
          <w:rFonts w:hint="eastAsia" w:ascii="宋体" w:hAnsi="宋体" w:eastAsia="宋体" w:cs="宋体"/>
          <w:sz w:val="24"/>
          <w:szCs w:val="24"/>
          <w:lang w:val="en-US" w:eastAsia="zh-CN"/>
        </w:rPr>
        <w:t>于本轮标书规定</w:t>
      </w:r>
      <w:r>
        <w:rPr>
          <w:rFonts w:hint="eastAsia" w:ascii="宋体" w:hAnsi="宋体" w:eastAsia="宋体" w:cs="宋体"/>
          <w:sz w:val="24"/>
          <w:szCs w:val="24"/>
        </w:rPr>
        <w:t>，否则甲方</w:t>
      </w:r>
      <w:r>
        <w:rPr>
          <w:rFonts w:hint="eastAsia" w:ascii="宋体" w:hAnsi="宋体" w:eastAsia="宋体" w:cs="宋体"/>
          <w:sz w:val="24"/>
          <w:szCs w:val="24"/>
          <w:lang w:val="en-US" w:eastAsia="zh-CN"/>
        </w:rPr>
        <w:t>除按本轮标书进行考核扣款外，可</w:t>
      </w:r>
      <w:r>
        <w:rPr>
          <w:rFonts w:hint="eastAsia" w:ascii="宋体" w:hAnsi="宋体" w:eastAsia="宋体" w:cs="宋体"/>
          <w:sz w:val="24"/>
          <w:szCs w:val="24"/>
        </w:rPr>
        <w:t>酌情从本轮合同履约保证金中予以扣除。</w:t>
      </w:r>
    </w:p>
    <w:p w14:paraId="1CE8FB1F">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若有补充或更改</w:t>
      </w:r>
      <w:r>
        <w:rPr>
          <w:rFonts w:hint="eastAsia" w:ascii="宋体" w:hAnsi="宋体" w:eastAsia="宋体" w:cs="宋体"/>
          <w:sz w:val="24"/>
          <w:szCs w:val="24"/>
        </w:rPr>
        <w:t>事宜，双方另行商定</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商定的合同或协议条款具有同等法律效力</w:t>
      </w:r>
      <w:r>
        <w:rPr>
          <w:rFonts w:hint="eastAsia" w:ascii="宋体" w:hAnsi="宋体" w:eastAsia="宋体" w:cs="宋体"/>
          <w:sz w:val="24"/>
          <w:szCs w:val="24"/>
        </w:rPr>
        <w:t>。</w:t>
      </w:r>
    </w:p>
    <w:p w14:paraId="20DE3971">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本协议一式六份，协议双方各执两份及相关单位备案。</w:t>
      </w:r>
    </w:p>
    <w:p w14:paraId="14432315">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发  包  人（公章）：           承  包  人（公章）：</w:t>
      </w:r>
    </w:p>
    <w:p w14:paraId="5F399332">
      <w:pPr>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法定代表人（签字）：            法定代表人（签字）：</w:t>
      </w:r>
    </w:p>
    <w:p w14:paraId="0C86AB3E">
      <w:pPr>
        <w:keepNext w:val="0"/>
        <w:keepLines w:val="0"/>
        <w:pageBreakBefore w:val="0"/>
        <w:widowControl w:val="0"/>
        <w:kinsoku/>
        <w:wordWrap/>
        <w:overflowPunct/>
        <w:topLinePunct w:val="0"/>
        <w:autoSpaceDE/>
        <w:autoSpaceDN/>
        <w:bidi w:val="0"/>
        <w:snapToGrid/>
        <w:spacing w:beforeAutospacing="0" w:afterAutospacing="0" w:line="360" w:lineRule="auto"/>
        <w:ind w:firstLine="960" w:firstLineChars="400"/>
        <w:textAlignment w:val="auto"/>
        <w:rPr>
          <w:rFonts w:hint="eastAsia" w:ascii="宋体" w:hAnsi="宋体" w:eastAsia="宋体" w:cs="宋体"/>
          <w:sz w:val="24"/>
          <w:szCs w:val="24"/>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6143ADCE">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8"/>
          <w:szCs w:val="28"/>
        </w:rPr>
      </w:pPr>
    </w:p>
    <w:p w14:paraId="469CD4AB">
      <w:pPr>
        <w:pageBreakBefore w:val="0"/>
        <w:kinsoku/>
        <w:wordWrap/>
        <w:overflowPunct/>
        <w:topLinePunct w:val="0"/>
        <w:autoSpaceDE/>
        <w:autoSpaceDN/>
        <w:bidi w:val="0"/>
        <w:snapToGrid/>
        <w:spacing w:line="360" w:lineRule="auto"/>
        <w:ind w:firstLine="542"/>
        <w:jc w:val="left"/>
        <w:textAlignment w:val="auto"/>
        <w:rPr>
          <w:rFonts w:hint="eastAsia" w:ascii="宋体" w:hAnsi="宋体" w:eastAsia="宋体" w:cs="宋体"/>
          <w:sz w:val="24"/>
        </w:rPr>
      </w:pPr>
      <w:r>
        <w:rPr>
          <w:rFonts w:hint="eastAsia" w:ascii="宋体" w:hAnsi="宋体" w:eastAsia="宋体" w:cs="宋体"/>
          <w:b/>
          <w:bCs/>
          <w:sz w:val="18"/>
          <w:szCs w:val="18"/>
        </w:rPr>
        <w:t>备注：采购人保留对合同修改和完善的权利。</w:t>
      </w:r>
    </w:p>
    <w:p w14:paraId="582179D7">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36"/>
          <w:szCs w:val="36"/>
        </w:rPr>
      </w:pPr>
      <w:r>
        <w:rPr>
          <w:rFonts w:hint="eastAsia" w:ascii="宋体" w:hAnsi="宋体" w:eastAsia="宋体" w:cs="宋体"/>
          <w:bCs/>
          <w:sz w:val="36"/>
          <w:szCs w:val="36"/>
        </w:rPr>
        <w:br w:type="page"/>
      </w:r>
    </w:p>
    <w:p w14:paraId="0B54885D">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36"/>
          <w:szCs w:val="36"/>
        </w:rPr>
      </w:pPr>
      <w:r>
        <w:rPr>
          <w:rFonts w:hint="eastAsia" w:ascii="宋体" w:hAnsi="宋体" w:eastAsia="宋体" w:cs="宋体"/>
          <w:b/>
          <w:bCs w:val="0"/>
          <w:sz w:val="32"/>
          <w:szCs w:val="32"/>
        </w:rPr>
        <w:t>第五部分  开标和评标</w:t>
      </w:r>
    </w:p>
    <w:p w14:paraId="4B5817AF">
      <w:pPr>
        <w:pStyle w:val="317"/>
        <w:pageBreakBefore w:val="0"/>
        <w:kinsoku/>
        <w:wordWrap/>
        <w:overflowPunct/>
        <w:topLinePunct w:val="0"/>
        <w:autoSpaceDE/>
        <w:autoSpaceDN/>
        <w:bidi w:val="0"/>
        <w:snapToGrid/>
        <w:spacing w:before="0" w:after="0" w:line="360" w:lineRule="auto"/>
        <w:ind w:left="0" w:right="0" w:firstLine="482"/>
        <w:jc w:val="left"/>
        <w:textAlignment w:val="auto"/>
        <w:rPr>
          <w:rFonts w:hint="eastAsia" w:ascii="宋体" w:hAnsi="宋体" w:eastAsia="宋体" w:cs="宋体"/>
          <w:b/>
        </w:rPr>
      </w:pPr>
      <w:r>
        <w:rPr>
          <w:rFonts w:hint="eastAsia" w:ascii="宋体" w:hAnsi="宋体" w:eastAsia="宋体" w:cs="宋体"/>
          <w:b/>
        </w:rPr>
        <w:t>一、开标</w:t>
      </w:r>
    </w:p>
    <w:p w14:paraId="46172642">
      <w:pPr>
        <w:pageBreakBefore w:val="0"/>
        <w:tabs>
          <w:tab w:val="left" w:pos="3585"/>
        </w:tabs>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本项目采用不见面远程开标模式：投标人在各自地点通过苏采云系统及时登录不见面开标大厅，参加开标会。</w:t>
      </w:r>
    </w:p>
    <w:p w14:paraId="7AAB412D">
      <w:pPr>
        <w:pStyle w:val="317"/>
        <w:pageBreakBefore w:val="0"/>
        <w:kinsoku/>
        <w:wordWrap/>
        <w:overflowPunct/>
        <w:topLinePunct w:val="0"/>
        <w:autoSpaceDE/>
        <w:autoSpaceDN/>
        <w:bidi w:val="0"/>
        <w:snapToGrid/>
        <w:spacing w:before="0" w:after="0" w:line="360" w:lineRule="auto"/>
        <w:ind w:left="0" w:right="0" w:firstLine="482"/>
        <w:jc w:val="left"/>
        <w:textAlignment w:val="auto"/>
        <w:rPr>
          <w:rFonts w:hint="eastAsia" w:ascii="宋体" w:hAnsi="宋体" w:eastAsia="宋体" w:cs="宋体"/>
          <w:b/>
        </w:rPr>
      </w:pPr>
      <w:r>
        <w:rPr>
          <w:rFonts w:hint="eastAsia" w:ascii="宋体" w:hAnsi="宋体" w:eastAsia="宋体" w:cs="宋体"/>
          <w:b/>
        </w:rPr>
        <w:t>二、评标流程和评标标准</w:t>
      </w:r>
    </w:p>
    <w:p w14:paraId="1BE2DED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采用综合评分法，总分值为100分。</w:t>
      </w:r>
    </w:p>
    <w:p w14:paraId="52B1B100">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7F1FE6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评标结果按评审后总得分由高到低顺序排列，确定中标候选人名单并按顺序确定中标人。得分相同的，按投标报价由低到高顺序排列。得分相同且投标报价相同的由采购人现场抽签确定。投标文件满足招标文件全部实质性要求，且按照评审</w:t>
      </w:r>
    </w:p>
    <w:p w14:paraId="4CBE722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因素的量化指标评审得分最高的投标人为排名第一的中标候选人。</w:t>
      </w:r>
    </w:p>
    <w:p w14:paraId="3A811A8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评委在认真审阅投标文件的基础上，根据各投标文件的响应程度独立评判，不得统一打分。</w:t>
      </w:r>
    </w:p>
    <w:p w14:paraId="286BFF9A">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sz w:val="24"/>
        </w:rPr>
      </w:pPr>
      <w:r>
        <w:rPr>
          <w:rFonts w:hint="eastAsia" w:ascii="宋体" w:hAnsi="宋体" w:eastAsia="宋体" w:cs="宋体"/>
          <w:b/>
          <w:bCs/>
          <w:sz w:val="24"/>
          <w:szCs w:val="24"/>
        </w:rPr>
        <w:t>本项目分为两个标段，投标人可同时参加多个标段投标，但不得兼中，一标段第一中标候选人不得参加二标段评审。</w:t>
      </w:r>
    </w:p>
    <w:p w14:paraId="1376BBCD">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sz w:val="24"/>
        </w:rPr>
      </w:pPr>
      <w:r>
        <w:rPr>
          <w:rFonts w:hint="eastAsia" w:ascii="宋体" w:hAnsi="宋体" w:eastAsia="宋体" w:cs="宋体"/>
          <w:b/>
          <w:sz w:val="24"/>
        </w:rPr>
        <w:t>（一）采购人（代表）对投标人资格进行审查。</w:t>
      </w:r>
    </w:p>
    <w:p w14:paraId="1F665BAB">
      <w:pPr>
        <w:pStyle w:val="314"/>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投标人资格不合格的，其投标文件判定为无效投标文件。</w:t>
      </w:r>
    </w:p>
    <w:p w14:paraId="039FC152">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sz w:val="24"/>
        </w:rPr>
      </w:pPr>
      <w:r>
        <w:rPr>
          <w:rFonts w:hint="eastAsia" w:ascii="宋体" w:hAnsi="宋体" w:eastAsia="宋体" w:cs="宋体"/>
          <w:b/>
          <w:sz w:val="24"/>
        </w:rPr>
        <w:t>（二）评标委员会对符合资格投标人的投标文件进行符合性审查。</w:t>
      </w:r>
    </w:p>
    <w:p w14:paraId="22A5DF26">
      <w:pPr>
        <w:pStyle w:val="314"/>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未通过符合性审查的投标文件，将被判为不满足招标文件实质性要求。 </w:t>
      </w:r>
    </w:p>
    <w:p w14:paraId="36AC72D6">
      <w:pPr>
        <w:pageBreakBefore w:val="0"/>
        <w:tabs>
          <w:tab w:val="left" w:pos="900"/>
        </w:tabs>
        <w:kinsoku/>
        <w:wordWrap/>
        <w:overflowPunct/>
        <w:topLinePunct w:val="0"/>
        <w:autoSpaceDE/>
        <w:autoSpaceDN/>
        <w:bidi w:val="0"/>
        <w:snapToGrid/>
        <w:spacing w:line="360" w:lineRule="auto"/>
        <w:ind w:firstLine="482"/>
        <w:jc w:val="left"/>
        <w:textAlignment w:val="auto"/>
        <w:rPr>
          <w:rFonts w:hint="eastAsia" w:ascii="宋体" w:hAnsi="宋体" w:eastAsia="宋体" w:cs="宋体"/>
          <w:bCs/>
          <w:sz w:val="24"/>
        </w:rPr>
      </w:pPr>
      <w:r>
        <w:rPr>
          <w:rFonts w:hint="eastAsia" w:ascii="宋体" w:hAnsi="宋体" w:eastAsia="宋体" w:cs="宋体"/>
          <w:b/>
          <w:sz w:val="24"/>
        </w:rPr>
        <w:t>（</w:t>
      </w:r>
      <w:r>
        <w:rPr>
          <w:rFonts w:hint="eastAsia" w:ascii="宋体" w:hAnsi="宋体" w:eastAsia="宋体" w:cs="宋体"/>
          <w:b/>
          <w:sz w:val="24"/>
          <w:lang w:val="zh-CN"/>
        </w:rPr>
        <w:t>三</w:t>
      </w:r>
      <w:r>
        <w:rPr>
          <w:rFonts w:hint="eastAsia" w:ascii="宋体" w:hAnsi="宋体" w:eastAsia="宋体" w:cs="宋体"/>
          <w:b/>
          <w:sz w:val="24"/>
        </w:rPr>
        <w:t>）</w:t>
      </w:r>
      <w:r>
        <w:rPr>
          <w:rFonts w:hint="eastAsia" w:ascii="宋体" w:hAnsi="宋体" w:eastAsia="宋体" w:cs="宋体"/>
          <w:b/>
          <w:sz w:val="24"/>
          <w:lang w:val="zh-CN"/>
        </w:rPr>
        <w:t>商务技术分</w:t>
      </w:r>
      <w:r>
        <w:rPr>
          <w:rFonts w:hint="eastAsia" w:ascii="宋体" w:hAnsi="宋体" w:eastAsia="宋体" w:cs="宋体"/>
          <w:sz w:val="24"/>
          <w:lang w:val="zh-CN"/>
        </w:rPr>
        <w:t>：</w:t>
      </w:r>
      <w:r>
        <w:rPr>
          <w:rFonts w:hint="eastAsia" w:ascii="宋体" w:hAnsi="宋体" w:eastAsia="宋体" w:cs="宋体"/>
          <w:b/>
          <w:bCs/>
          <w:sz w:val="24"/>
          <w:lang w:val="en-US" w:eastAsia="zh-CN"/>
        </w:rPr>
        <w:t>8</w:t>
      </w:r>
      <w:r>
        <w:rPr>
          <w:rFonts w:hint="eastAsia" w:ascii="宋体" w:hAnsi="宋体" w:eastAsia="宋体" w:cs="宋体"/>
          <w:b/>
          <w:bCs/>
          <w:sz w:val="24"/>
        </w:rPr>
        <w:t>0</w:t>
      </w:r>
      <w:r>
        <w:rPr>
          <w:rFonts w:hint="eastAsia" w:ascii="宋体" w:hAnsi="宋体" w:eastAsia="宋体" w:cs="宋体"/>
          <w:b/>
          <w:bCs/>
          <w:sz w:val="24"/>
          <w:lang w:val="zh-CN"/>
        </w:rPr>
        <w:t>分</w:t>
      </w:r>
    </w:p>
    <w:p w14:paraId="7FD8EC8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各投标人得分为评委会成员评分的算术平均分，分值四舍五入保留两位小数。</w:t>
      </w:r>
    </w:p>
    <w:tbl>
      <w:tblPr>
        <w:tblStyle w:val="29"/>
        <w:tblW w:w="9624"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788"/>
        <w:gridCol w:w="6514"/>
        <w:gridCol w:w="1119"/>
      </w:tblGrid>
      <w:tr w14:paraId="7AF8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3" w:type="dxa"/>
            <w:tcBorders>
              <w:left w:val="single" w:color="auto" w:sz="4" w:space="0"/>
              <w:right w:val="single" w:color="auto" w:sz="4" w:space="0"/>
            </w:tcBorders>
            <w:noWrap w:val="0"/>
            <w:vAlign w:val="center"/>
          </w:tcPr>
          <w:p w14:paraId="3162E764">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评分内容</w:t>
            </w:r>
          </w:p>
        </w:tc>
        <w:tc>
          <w:tcPr>
            <w:tcW w:w="788" w:type="dxa"/>
            <w:tcBorders>
              <w:left w:val="single" w:color="auto" w:sz="4" w:space="0"/>
              <w:right w:val="single" w:color="auto" w:sz="4" w:space="0"/>
            </w:tcBorders>
            <w:noWrap w:val="0"/>
            <w:vAlign w:val="center"/>
          </w:tcPr>
          <w:p w14:paraId="4AA0818B">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分值</w:t>
            </w:r>
          </w:p>
        </w:tc>
        <w:tc>
          <w:tcPr>
            <w:tcW w:w="6514" w:type="dxa"/>
            <w:tcBorders>
              <w:left w:val="single" w:color="auto" w:sz="4" w:space="0"/>
              <w:right w:val="single" w:color="auto" w:sz="4" w:space="0"/>
            </w:tcBorders>
            <w:noWrap w:val="0"/>
            <w:vAlign w:val="center"/>
          </w:tcPr>
          <w:p w14:paraId="3338F02A">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评分标准</w:t>
            </w:r>
          </w:p>
        </w:tc>
        <w:tc>
          <w:tcPr>
            <w:tcW w:w="1119" w:type="dxa"/>
            <w:tcBorders>
              <w:left w:val="single" w:color="auto" w:sz="4" w:space="0"/>
              <w:right w:val="single" w:color="auto" w:sz="4" w:space="0"/>
            </w:tcBorders>
            <w:noWrap w:val="0"/>
            <w:vAlign w:val="center"/>
          </w:tcPr>
          <w:p w14:paraId="6F119023">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14:paraId="37FE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3" w:type="dxa"/>
            <w:tcBorders>
              <w:left w:val="single" w:color="auto" w:sz="4" w:space="0"/>
              <w:right w:val="single" w:color="auto" w:sz="4" w:space="0"/>
            </w:tcBorders>
            <w:noWrap w:val="0"/>
            <w:vAlign w:val="center"/>
          </w:tcPr>
          <w:p w14:paraId="2FFF08E8">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bCs/>
                <w:color w:val="000000" w:themeColor="text1"/>
                <w:kern w:val="0"/>
                <w:sz w:val="22"/>
                <w:szCs w:val="21"/>
                <w:highlight w:val="none"/>
                <w:lang w:val="en-US" w:eastAsia="zh-CN" w:bidi="ar"/>
                <w14:textFill>
                  <w14:solidFill>
                    <w14:schemeClr w14:val="tx1"/>
                  </w14:solidFill>
                </w14:textFill>
              </w:rPr>
              <w:t>项目</w:t>
            </w:r>
            <w:r>
              <w:rPr>
                <w:rFonts w:hint="eastAsia" w:ascii="宋体" w:hAnsi="宋体" w:cs="仿宋"/>
                <w:bCs/>
                <w:color w:val="000000" w:themeColor="text1"/>
                <w:kern w:val="0"/>
                <w:sz w:val="22"/>
                <w:szCs w:val="21"/>
                <w:highlight w:val="none"/>
                <w:lang w:bidi="ar"/>
                <w14:textFill>
                  <w14:solidFill>
                    <w14:schemeClr w14:val="tx1"/>
                  </w14:solidFill>
                </w14:textFill>
              </w:rPr>
              <w:t>管理及考核管理</w:t>
            </w:r>
          </w:p>
        </w:tc>
        <w:tc>
          <w:tcPr>
            <w:tcW w:w="788" w:type="dxa"/>
            <w:tcBorders>
              <w:left w:val="single" w:color="auto" w:sz="4" w:space="0"/>
              <w:right w:val="single" w:color="auto" w:sz="4" w:space="0"/>
            </w:tcBorders>
            <w:noWrap w:val="0"/>
            <w:vAlign w:val="center"/>
          </w:tcPr>
          <w:p w14:paraId="35DCE0EE">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7分</w:t>
            </w:r>
          </w:p>
        </w:tc>
        <w:tc>
          <w:tcPr>
            <w:tcW w:w="6514" w:type="dxa"/>
            <w:tcBorders>
              <w:left w:val="single" w:color="auto" w:sz="4" w:space="0"/>
              <w:right w:val="single" w:color="auto" w:sz="4" w:space="0"/>
            </w:tcBorders>
            <w:noWrap w:val="0"/>
            <w:vAlign w:val="center"/>
          </w:tcPr>
          <w:p w14:paraId="67ED4AE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根据投标人提供的组织机构设置及人员配置和管理规章制度，从作业劳动纪律、人员工作职责、质量管理制度、信息反馈及处理机制、人员的录用淘汰机制、日常考核</w:t>
            </w:r>
            <w:r>
              <w:rPr>
                <w:rFonts w:hint="eastAsia" w:ascii="宋体" w:hAnsi="宋体" w:cs="宋体"/>
                <w:bCs/>
                <w:color w:val="000000" w:themeColor="text1"/>
                <w:kern w:val="0"/>
                <w:sz w:val="24"/>
                <w:szCs w:val="24"/>
                <w:highlight w:val="none"/>
                <w:lang w:val="en-US" w:eastAsia="zh-CN"/>
                <w14:textFill>
                  <w14:solidFill>
                    <w14:schemeClr w14:val="tx1"/>
                  </w14:solidFill>
                </w14:textFill>
              </w:rPr>
              <w:t>激励机制</w:t>
            </w:r>
            <w:r>
              <w:rPr>
                <w:rFonts w:hint="eastAsia" w:ascii="宋体" w:hAnsi="宋体" w:eastAsia="宋体" w:cs="宋体"/>
                <w:bCs/>
                <w:color w:val="000000" w:themeColor="text1"/>
                <w:kern w:val="0"/>
                <w:sz w:val="24"/>
                <w:szCs w:val="24"/>
                <w:highlight w:val="none"/>
                <w14:textFill>
                  <w14:solidFill>
                    <w14:schemeClr w14:val="tx1"/>
                  </w14:solidFill>
                </w14:textFill>
              </w:rPr>
              <w:t>、财务管理等企业管理规章制度各方面进行综合比较打分。</w:t>
            </w:r>
          </w:p>
          <w:p w14:paraId="4EEDF877">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注：管理规章制度能够根据本项目实际情况制作，详细、具体，可行性、操作性高，各项规章制度完整、科学，得7分；管理规章制度比较详细、可行，不够完整，可得5分；管理规章制度比较简单，不具体的得2分；未提供的不得分。</w:t>
            </w:r>
          </w:p>
        </w:tc>
        <w:tc>
          <w:tcPr>
            <w:tcW w:w="1119" w:type="dxa"/>
            <w:tcBorders>
              <w:left w:val="single" w:color="auto" w:sz="4" w:space="0"/>
              <w:right w:val="single" w:color="auto" w:sz="4" w:space="0"/>
            </w:tcBorders>
            <w:noWrap w:val="0"/>
            <w:vAlign w:val="center"/>
          </w:tcPr>
          <w:p w14:paraId="3DDF5DE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68AD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1203" w:type="dxa"/>
            <w:tcBorders>
              <w:left w:val="single" w:color="auto" w:sz="4" w:space="0"/>
              <w:right w:val="single" w:color="auto" w:sz="4" w:space="0"/>
            </w:tcBorders>
            <w:noWrap w:val="0"/>
            <w:vAlign w:val="center"/>
          </w:tcPr>
          <w:p w14:paraId="183F5945">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作业方案</w:t>
            </w:r>
          </w:p>
        </w:tc>
        <w:tc>
          <w:tcPr>
            <w:tcW w:w="788" w:type="dxa"/>
            <w:tcBorders>
              <w:left w:val="single" w:color="auto" w:sz="4" w:space="0"/>
              <w:right w:val="single" w:color="auto" w:sz="4" w:space="0"/>
            </w:tcBorders>
            <w:noWrap w:val="0"/>
            <w:vAlign w:val="center"/>
          </w:tcPr>
          <w:p w14:paraId="592F3B64">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18分</w:t>
            </w:r>
          </w:p>
        </w:tc>
        <w:tc>
          <w:tcPr>
            <w:tcW w:w="6514" w:type="dxa"/>
            <w:tcBorders>
              <w:left w:val="single" w:color="auto" w:sz="4" w:space="0"/>
              <w:right w:val="single" w:color="auto" w:sz="4" w:space="0"/>
            </w:tcBorders>
            <w:noWrap w:val="0"/>
            <w:vAlign w:val="center"/>
          </w:tcPr>
          <w:p w14:paraId="03789DCE">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包括：①</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对承包范围现场情况分析：</w:t>
            </w:r>
            <w:r>
              <w:rPr>
                <w:rFonts w:hint="eastAsia" w:ascii="宋体" w:hAnsi="宋体" w:cs="宋体"/>
                <w:bCs/>
                <w:color w:val="000000" w:themeColor="text1"/>
                <w:kern w:val="0"/>
                <w:sz w:val="24"/>
                <w:szCs w:val="24"/>
                <w:highlight w:val="none"/>
                <w:lang w:val="en-US" w:eastAsia="zh-CN"/>
                <w14:textFill>
                  <w14:solidFill>
                    <w14:schemeClr w14:val="tx1"/>
                  </w14:solidFill>
                </w14:textFill>
              </w:rPr>
              <w:t>进行现场踏勘，了解并分析区域内农村“五位一体”工作特点</w:t>
            </w:r>
            <w:r>
              <w:rPr>
                <w:rFonts w:hint="eastAsia" w:ascii="宋体" w:hAnsi="宋体" w:eastAsia="宋体" w:cs="宋体"/>
                <w:bCs/>
                <w:color w:val="000000" w:themeColor="text1"/>
                <w:kern w:val="0"/>
                <w:sz w:val="24"/>
                <w:szCs w:val="24"/>
                <w:highlight w:val="none"/>
                <w14:textFill>
                  <w14:solidFill>
                    <w14:schemeClr w14:val="tx1"/>
                  </w14:solidFill>
                </w14:textFill>
              </w:rPr>
              <w:t>（</w:t>
            </w:r>
            <w:r>
              <w:rPr>
                <w:rFonts w:hint="eastAsia" w:ascii="宋体" w:hAnsi="宋体" w:cs="宋体"/>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kern w:val="0"/>
                <w:sz w:val="24"/>
                <w:szCs w:val="24"/>
                <w:highlight w:val="none"/>
                <w14:textFill>
                  <w14:solidFill>
                    <w14:schemeClr w14:val="tx1"/>
                  </w14:solidFill>
                </w14:textFill>
              </w:rPr>
              <w:t>分）</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w:t>
            </w:r>
          </w:p>
          <w:p w14:paraId="605C47B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default" w:ascii="宋体" w:hAnsi="宋体" w:eastAsia="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注：了解分析全面、合理的得2分，一般</w:t>
            </w:r>
            <w:r>
              <w:rPr>
                <w:rFonts w:hint="eastAsia" w:ascii="宋体" w:hAnsi="宋体" w:cs="宋体"/>
                <w:bCs/>
                <w:color w:val="000000" w:themeColor="text1"/>
                <w:kern w:val="0"/>
                <w:sz w:val="24"/>
                <w:szCs w:val="24"/>
                <w:highlight w:val="none"/>
                <w:lang w:eastAsia="zh-CN"/>
                <w14:textFill>
                  <w14:solidFill>
                    <w14:schemeClr w14:val="tx1"/>
                  </w14:solidFill>
                </w14:textFill>
              </w:rPr>
              <w:t>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lang w:eastAsia="zh-CN"/>
                <w14:textFill>
                  <w14:solidFill>
                    <w14:schemeClr w14:val="tx1"/>
                  </w14:solidFill>
                </w14:textFill>
              </w:rPr>
              <w:t>分，缺项的不得分。</w:t>
            </w:r>
          </w:p>
          <w:p w14:paraId="335C4A08">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kern w:val="0"/>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②</w:t>
            </w:r>
            <w:r>
              <w:rPr>
                <w:rFonts w:hint="eastAsia" w:ascii="宋体" w:hAnsi="宋体" w:cs="宋体"/>
                <w:bCs/>
                <w:color w:val="000000" w:themeColor="text1"/>
                <w:kern w:val="0"/>
                <w:sz w:val="24"/>
                <w:szCs w:val="24"/>
                <w:highlight w:val="none"/>
                <w:lang w:val="en-US" w:eastAsia="zh-CN"/>
                <w14:textFill>
                  <w14:solidFill>
                    <w14:schemeClr w14:val="tx1"/>
                  </w14:solidFill>
                </w14:textFill>
              </w:rPr>
              <w:t>针对农村“五位一体”要求的生活垃圾清运（6分）、农路环境（3分）、河道保洁（5分）、农路两侧绿化管护（1分）、小型水利设施管护（1分）等工作，提供完整作业流程和方案，</w:t>
            </w:r>
            <w:r>
              <w:rPr>
                <w:rFonts w:hint="eastAsia" w:ascii="宋体" w:hAnsi="宋体" w:eastAsia="宋体" w:cs="宋体"/>
                <w:bCs/>
                <w:color w:val="000000" w:themeColor="text1"/>
                <w:kern w:val="0"/>
                <w:sz w:val="24"/>
                <w:szCs w:val="24"/>
                <w:highlight w:val="none"/>
                <w14:textFill>
                  <w14:solidFill>
                    <w14:schemeClr w14:val="tx1"/>
                  </w14:solidFill>
                </w14:textFill>
              </w:rPr>
              <w:t>作业人员和设备投入合理</w:t>
            </w:r>
            <w:r>
              <w:rPr>
                <w:rFonts w:hint="eastAsia" w:ascii="宋体" w:hAnsi="宋体" w:cs="宋体"/>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Cs/>
                <w:color w:val="000000" w:themeColor="text1"/>
                <w:kern w:val="0"/>
                <w:sz w:val="24"/>
                <w:szCs w:val="24"/>
                <w:highlight w:val="none"/>
                <w14:textFill>
                  <w14:solidFill>
                    <w14:schemeClr w14:val="tx1"/>
                  </w14:solidFill>
                </w14:textFill>
              </w:rPr>
              <w:t>作业工作流程设计合理</w:t>
            </w:r>
            <w:r>
              <w:rPr>
                <w:rFonts w:hint="eastAsia" w:ascii="宋体" w:hAnsi="宋体" w:cs="宋体"/>
                <w:bCs/>
                <w:color w:val="000000" w:themeColor="text1"/>
                <w:kern w:val="0"/>
                <w:sz w:val="24"/>
                <w:szCs w:val="24"/>
                <w:highlight w:val="none"/>
                <w:lang w:val="en-US" w:eastAsia="zh-CN"/>
                <w14:textFill>
                  <w14:solidFill>
                    <w14:schemeClr w14:val="tx1"/>
                  </w14:solidFill>
                </w14:textFill>
              </w:rPr>
              <w:t>，达到本招标文件中第三章项目需求（共16分）。</w:t>
            </w:r>
          </w:p>
          <w:p w14:paraId="78B5A05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作业方案内容完整、流程科学合理，</w:t>
            </w:r>
            <w:r>
              <w:rPr>
                <w:rFonts w:hint="eastAsia" w:ascii="宋体" w:hAnsi="宋体" w:eastAsia="宋体" w:cs="宋体"/>
                <w:bCs/>
                <w:color w:val="000000" w:themeColor="text1"/>
                <w:kern w:val="0"/>
                <w:sz w:val="24"/>
                <w:szCs w:val="24"/>
                <w:highlight w:val="none"/>
                <w14:textFill>
                  <w14:solidFill>
                    <w14:schemeClr w14:val="tx1"/>
                  </w14:solidFill>
                </w14:textFill>
              </w:rPr>
              <w:t>能有效解决作业过程中产生的二次污染、溅水、对交通的影响等</w:t>
            </w:r>
            <w:r>
              <w:rPr>
                <w:rFonts w:hint="eastAsia" w:ascii="宋体" w:hAnsi="宋体" w:cs="宋体"/>
                <w:bCs/>
                <w:color w:val="000000" w:themeColor="text1"/>
                <w:kern w:val="0"/>
                <w:sz w:val="24"/>
                <w:szCs w:val="24"/>
                <w:highlight w:val="none"/>
                <w:lang w:val="en-US" w:eastAsia="zh-CN"/>
                <w14:textFill>
                  <w14:solidFill>
                    <w14:schemeClr w14:val="tx1"/>
                  </w14:solidFill>
                </w14:textFill>
              </w:rPr>
              <w:t>问题</w:t>
            </w:r>
            <w:r>
              <w:rPr>
                <w:rFonts w:hint="eastAsia" w:ascii="宋体" w:hAnsi="宋体" w:eastAsia="宋体" w:cs="宋体"/>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符合项目实际、能完</w:t>
            </w:r>
            <w:r>
              <w:rPr>
                <w:rFonts w:hint="eastAsia" w:ascii="宋体" w:hAnsi="宋体" w:cs="宋体"/>
                <w:bCs/>
                <w:color w:val="000000" w:themeColor="text1"/>
                <w:kern w:val="0"/>
                <w:sz w:val="24"/>
                <w:szCs w:val="24"/>
                <w:highlight w:val="none"/>
                <w:lang w:val="en-US" w:eastAsia="zh-CN"/>
                <w14:textFill>
                  <w14:solidFill>
                    <w14:schemeClr w14:val="tx1"/>
                  </w14:solidFill>
                </w14:textFill>
              </w:rPr>
              <w:t>全达到本项目的用户需求得16分；各部分方案视对需求满足程度在分值内赋分；方案有</w:t>
            </w:r>
            <w:r>
              <w:rPr>
                <w:rFonts w:hint="eastAsia" w:ascii="宋体" w:hAnsi="宋体" w:cs="宋体"/>
                <w:bCs/>
                <w:color w:val="000000" w:themeColor="text1"/>
                <w:kern w:val="0"/>
                <w:sz w:val="24"/>
                <w:szCs w:val="24"/>
                <w:highlight w:val="none"/>
                <w:lang w:eastAsia="zh-CN"/>
                <w14:textFill>
                  <w14:solidFill>
                    <w14:schemeClr w14:val="tx1"/>
                  </w14:solidFill>
                </w14:textFill>
              </w:rPr>
              <w:t>缺项的</w:t>
            </w:r>
            <w:r>
              <w:rPr>
                <w:rFonts w:hint="eastAsia" w:ascii="宋体" w:hAnsi="宋体" w:cs="宋体"/>
                <w:bCs/>
                <w:color w:val="000000" w:themeColor="text1"/>
                <w:kern w:val="0"/>
                <w:sz w:val="24"/>
                <w:szCs w:val="24"/>
                <w:highlight w:val="none"/>
                <w:lang w:val="en-US" w:eastAsia="zh-CN"/>
                <w14:textFill>
                  <w14:solidFill>
                    <w14:schemeClr w14:val="tx1"/>
                  </w14:solidFill>
                </w14:textFill>
              </w:rPr>
              <w:t>相应部分</w:t>
            </w:r>
            <w:r>
              <w:rPr>
                <w:rFonts w:hint="eastAsia" w:ascii="宋体" w:hAnsi="宋体" w:cs="宋体"/>
                <w:bCs/>
                <w:color w:val="000000" w:themeColor="text1"/>
                <w:kern w:val="0"/>
                <w:sz w:val="24"/>
                <w:szCs w:val="24"/>
                <w:highlight w:val="none"/>
                <w:lang w:eastAsia="zh-CN"/>
                <w14:textFill>
                  <w14:solidFill>
                    <w14:schemeClr w14:val="tx1"/>
                  </w14:solidFill>
                </w14:textFill>
              </w:rPr>
              <w:t>不得分。</w:t>
            </w:r>
          </w:p>
          <w:p w14:paraId="3FD3971B">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default" w:ascii="宋体" w:hAnsi="宋体" w:eastAsia="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注：生活</w:t>
            </w:r>
            <w:r>
              <w:rPr>
                <w:rFonts w:hint="eastAsia" w:ascii="宋体" w:hAnsi="宋体" w:eastAsia="宋体" w:cs="宋体"/>
                <w:bCs/>
                <w:color w:val="000000" w:themeColor="text1"/>
                <w:kern w:val="0"/>
                <w:sz w:val="24"/>
                <w:szCs w:val="24"/>
                <w:highlight w:val="none"/>
                <w14:textFill>
                  <w14:solidFill>
                    <w14:schemeClr w14:val="tx1"/>
                  </w14:solidFill>
                </w14:textFill>
              </w:rPr>
              <w:t>垃圾</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清运</w:t>
            </w:r>
            <w:r>
              <w:rPr>
                <w:rFonts w:hint="eastAsia" w:ascii="宋体" w:hAnsi="宋体" w:eastAsia="宋体" w:cs="宋体"/>
                <w:bCs/>
                <w:color w:val="000000" w:themeColor="text1"/>
                <w:kern w:val="0"/>
                <w:sz w:val="24"/>
                <w:szCs w:val="24"/>
                <w:highlight w:val="none"/>
                <w14:textFill>
                  <w14:solidFill>
                    <w14:schemeClr w14:val="tx1"/>
                  </w14:solidFill>
                </w14:textFill>
              </w:rPr>
              <w:t>方案</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应体现</w:t>
            </w:r>
            <w:r>
              <w:rPr>
                <w:rFonts w:hint="eastAsia" w:ascii="宋体" w:hAnsi="宋体" w:eastAsia="宋体" w:cs="宋体"/>
                <w:bCs/>
                <w:color w:val="000000" w:themeColor="text1"/>
                <w:kern w:val="0"/>
                <w:sz w:val="24"/>
                <w:szCs w:val="24"/>
                <w:highlight w:val="none"/>
                <w14:textFill>
                  <w14:solidFill>
                    <w14:schemeClr w14:val="tx1"/>
                  </w14:solidFill>
                </w14:textFill>
              </w:rPr>
              <w:t>符合行业要求的“垃圾不落地”和“垃圾分类”</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要求，并附清运路线图。</w:t>
            </w:r>
          </w:p>
        </w:tc>
        <w:tc>
          <w:tcPr>
            <w:tcW w:w="1119" w:type="dxa"/>
            <w:tcBorders>
              <w:left w:val="single" w:color="auto" w:sz="4" w:space="0"/>
              <w:right w:val="single" w:color="auto" w:sz="4" w:space="0"/>
            </w:tcBorders>
            <w:noWrap w:val="0"/>
            <w:vAlign w:val="center"/>
          </w:tcPr>
          <w:p w14:paraId="2813A71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579E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1203" w:type="dxa"/>
            <w:tcBorders>
              <w:left w:val="single" w:color="auto" w:sz="4" w:space="0"/>
              <w:right w:val="single" w:color="auto" w:sz="4" w:space="0"/>
            </w:tcBorders>
            <w:noWrap w:val="0"/>
            <w:vAlign w:val="center"/>
          </w:tcPr>
          <w:p w14:paraId="67202F33">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安全</w:t>
            </w:r>
            <w:r>
              <w:rPr>
                <w:rFonts w:hint="eastAsia" w:ascii="宋体" w:hAnsi="宋体" w:cs="宋体"/>
                <w:bCs/>
                <w:color w:val="000000" w:themeColor="text1"/>
                <w:kern w:val="0"/>
                <w:sz w:val="24"/>
                <w:szCs w:val="24"/>
                <w:highlight w:val="none"/>
                <w:lang w:val="en-US" w:eastAsia="zh-CN"/>
                <w14:textFill>
                  <w14:solidFill>
                    <w14:schemeClr w14:val="tx1"/>
                  </w14:solidFill>
                </w14:textFill>
              </w:rPr>
              <w:t>管理方案</w:t>
            </w:r>
          </w:p>
        </w:tc>
        <w:tc>
          <w:tcPr>
            <w:tcW w:w="788" w:type="dxa"/>
            <w:tcBorders>
              <w:left w:val="single" w:color="auto" w:sz="4" w:space="0"/>
              <w:right w:val="single" w:color="auto" w:sz="4" w:space="0"/>
            </w:tcBorders>
            <w:noWrap w:val="0"/>
            <w:vAlign w:val="center"/>
          </w:tcPr>
          <w:p w14:paraId="038CDEB6">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kern w:val="0"/>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center"/>
          </w:tcPr>
          <w:p w14:paraId="45501023">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包括</w:t>
            </w:r>
            <w:r>
              <w:rPr>
                <w:rFonts w:hint="eastAsia" w:ascii="宋体" w:hAnsi="宋体" w:cs="宋体"/>
                <w:bCs/>
                <w:color w:val="000000" w:themeColor="text1"/>
                <w:kern w:val="0"/>
                <w:sz w:val="24"/>
                <w:szCs w:val="24"/>
                <w:highlight w:val="none"/>
                <w:lang w:val="en-US" w:eastAsia="zh-CN"/>
                <w14:textFill>
                  <w14:solidFill>
                    <w14:schemeClr w14:val="tx1"/>
                  </w14:solidFill>
                </w14:textFill>
              </w:rPr>
              <w:t>设备和人员的</w:t>
            </w:r>
            <w:r>
              <w:rPr>
                <w:rFonts w:hint="eastAsia" w:ascii="宋体" w:hAnsi="宋体" w:eastAsia="宋体" w:cs="宋体"/>
                <w:bCs/>
                <w:color w:val="000000" w:themeColor="text1"/>
                <w:kern w:val="0"/>
                <w:sz w:val="24"/>
                <w:szCs w:val="24"/>
                <w:highlight w:val="none"/>
                <w14:textFill>
                  <w14:solidFill>
                    <w14:schemeClr w14:val="tx1"/>
                  </w14:solidFill>
                </w14:textFill>
              </w:rPr>
              <w:t>安全制度、安全预案、安全</w:t>
            </w:r>
            <w:r>
              <w:rPr>
                <w:rFonts w:hint="eastAsia" w:ascii="宋体" w:hAnsi="宋体" w:cs="宋体"/>
                <w:bCs/>
                <w:color w:val="000000" w:themeColor="text1"/>
                <w:kern w:val="0"/>
                <w:sz w:val="24"/>
                <w:szCs w:val="24"/>
                <w:highlight w:val="none"/>
                <w:lang w:val="en-US" w:eastAsia="zh-CN"/>
                <w14:textFill>
                  <w14:solidFill>
                    <w14:schemeClr w14:val="tx1"/>
                  </w14:solidFill>
                </w14:textFill>
              </w:rPr>
              <w:t>设施</w:t>
            </w:r>
            <w:r>
              <w:rPr>
                <w:rFonts w:hint="eastAsia" w:ascii="宋体" w:hAnsi="宋体" w:eastAsia="宋体" w:cs="宋体"/>
                <w:bCs/>
                <w:color w:val="000000" w:themeColor="text1"/>
                <w:kern w:val="0"/>
                <w:sz w:val="24"/>
                <w:szCs w:val="24"/>
                <w:highlight w:val="none"/>
                <w14:textFill>
                  <w14:solidFill>
                    <w14:schemeClr w14:val="tx1"/>
                  </w14:solidFill>
                </w14:textFill>
              </w:rPr>
              <w:t>配备、安全检查及记录、规范用工及安全文明作业</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过程</w:t>
            </w:r>
            <w:r>
              <w:rPr>
                <w:rFonts w:hint="eastAsia" w:ascii="宋体" w:hAnsi="宋体" w:eastAsia="宋体" w:cs="宋体"/>
                <w:bCs/>
                <w:color w:val="000000" w:themeColor="text1"/>
                <w:kern w:val="0"/>
                <w:sz w:val="24"/>
                <w:szCs w:val="24"/>
                <w:highlight w:val="none"/>
                <w14:textFill>
                  <w14:solidFill>
                    <w14:schemeClr w14:val="tx1"/>
                  </w14:solidFill>
                </w14:textFill>
              </w:rPr>
              <w:t>等保障措施、劳动保护、安全事故处理措施</w:t>
            </w:r>
            <w:r>
              <w:rPr>
                <w:rFonts w:hint="eastAsia" w:ascii="宋体" w:hAnsi="宋体" w:cs="宋体"/>
                <w:bCs/>
                <w:color w:val="000000" w:themeColor="text1"/>
                <w:kern w:val="0"/>
                <w:sz w:val="24"/>
                <w:szCs w:val="24"/>
                <w:highlight w:val="none"/>
                <w:lang w:val="en-US" w:eastAsia="zh-CN"/>
                <w14:textFill>
                  <w14:solidFill>
                    <w14:schemeClr w14:val="tx1"/>
                  </w14:solidFill>
                </w14:textFill>
              </w:rPr>
              <w:t>等。</w:t>
            </w:r>
          </w:p>
          <w:p w14:paraId="55B39451">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cs="宋体"/>
                <w:bCs/>
                <w:color w:val="000000" w:themeColor="text1"/>
                <w:kern w:val="0"/>
                <w:sz w:val="24"/>
                <w:szCs w:val="24"/>
                <w:highlight w:val="none"/>
                <w:lang w:val="en-US"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注：设备和人员</w:t>
            </w:r>
            <w:r>
              <w:rPr>
                <w:rFonts w:hint="eastAsia" w:ascii="宋体" w:hAnsi="宋体" w:cs="宋体"/>
                <w:bCs/>
                <w:color w:val="000000" w:themeColor="text1"/>
                <w:kern w:val="0"/>
                <w:sz w:val="24"/>
                <w:szCs w:val="24"/>
                <w:highlight w:val="none"/>
                <w:lang w:eastAsia="zh-CN"/>
                <w14:textFill>
                  <w14:solidFill>
                    <w14:schemeClr w14:val="tx1"/>
                  </w14:solidFill>
                </w14:textFill>
              </w:rPr>
              <w:t>安全管理方案全面、合理的得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8</w:t>
            </w:r>
            <w:r>
              <w:rPr>
                <w:rFonts w:hint="eastAsia" w:ascii="宋体" w:hAnsi="宋体" w:cs="宋体"/>
                <w:bCs/>
                <w:color w:val="000000" w:themeColor="text1"/>
                <w:kern w:val="0"/>
                <w:sz w:val="24"/>
                <w:szCs w:val="24"/>
                <w:highlight w:val="none"/>
                <w:lang w:eastAsia="zh-CN"/>
                <w14:textFill>
                  <w14:solidFill>
                    <w14:schemeClr w14:val="tx1"/>
                  </w14:solidFill>
                </w14:textFill>
              </w:rPr>
              <w:t>分；方案较为合理的得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lang w:eastAsia="zh-CN"/>
                <w14:textFill>
                  <w14:solidFill>
                    <w14:schemeClr w14:val="tx1"/>
                  </w14:solidFill>
                </w14:textFill>
              </w:rPr>
              <w:t>分；方案不全面的得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lang w:eastAsia="zh-CN"/>
                <w14:textFill>
                  <w14:solidFill>
                    <w14:schemeClr w14:val="tx1"/>
                  </w14:solidFill>
                </w14:textFill>
              </w:rPr>
              <w:t>分；缺项的不得分。</w:t>
            </w:r>
          </w:p>
        </w:tc>
        <w:tc>
          <w:tcPr>
            <w:tcW w:w="1119" w:type="dxa"/>
            <w:tcBorders>
              <w:left w:val="single" w:color="auto" w:sz="4" w:space="0"/>
              <w:right w:val="single" w:color="auto" w:sz="4" w:space="0"/>
            </w:tcBorders>
            <w:noWrap w:val="0"/>
            <w:vAlign w:val="center"/>
          </w:tcPr>
          <w:p w14:paraId="164DAD5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7D81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1203" w:type="dxa"/>
            <w:tcBorders>
              <w:left w:val="single" w:color="auto" w:sz="4" w:space="0"/>
              <w:right w:val="single" w:color="auto" w:sz="4" w:space="0"/>
            </w:tcBorders>
            <w:noWrap w:val="0"/>
            <w:vAlign w:val="center"/>
          </w:tcPr>
          <w:p w14:paraId="57008967">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重大活动、突发事件的</w:t>
            </w:r>
            <w:r>
              <w:rPr>
                <w:rFonts w:hint="eastAsia" w:ascii="宋体" w:hAnsi="宋体" w:eastAsia="宋体" w:cs="宋体"/>
                <w:bCs/>
                <w:color w:val="000000" w:themeColor="text1"/>
                <w:kern w:val="0"/>
                <w:sz w:val="24"/>
                <w:szCs w:val="24"/>
                <w:highlight w:val="none"/>
                <w14:textFill>
                  <w14:solidFill>
                    <w14:schemeClr w14:val="tx1"/>
                  </w14:solidFill>
                </w14:textFill>
              </w:rPr>
              <w:t>应急</w:t>
            </w:r>
            <w:r>
              <w:rPr>
                <w:rFonts w:hint="eastAsia" w:ascii="宋体" w:hAnsi="宋体" w:cs="宋体"/>
                <w:bCs/>
                <w:color w:val="000000" w:themeColor="text1"/>
                <w:kern w:val="0"/>
                <w:sz w:val="24"/>
                <w:szCs w:val="24"/>
                <w:highlight w:val="none"/>
                <w:lang w:val="en-US" w:eastAsia="zh-CN"/>
                <w14:textFill>
                  <w14:solidFill>
                    <w14:schemeClr w14:val="tx1"/>
                  </w14:solidFill>
                </w14:textFill>
              </w:rPr>
              <w:t>方案</w:t>
            </w:r>
          </w:p>
        </w:tc>
        <w:tc>
          <w:tcPr>
            <w:tcW w:w="788" w:type="dxa"/>
            <w:tcBorders>
              <w:left w:val="single" w:color="auto" w:sz="4" w:space="0"/>
              <w:right w:val="single" w:color="auto" w:sz="4" w:space="0"/>
            </w:tcBorders>
            <w:noWrap w:val="0"/>
            <w:vAlign w:val="center"/>
          </w:tcPr>
          <w:p w14:paraId="7C4FADB7">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5分</w:t>
            </w:r>
          </w:p>
        </w:tc>
        <w:tc>
          <w:tcPr>
            <w:tcW w:w="6514" w:type="dxa"/>
            <w:tcBorders>
              <w:left w:val="single" w:color="auto" w:sz="4" w:space="0"/>
              <w:right w:val="single" w:color="auto" w:sz="4" w:space="0"/>
            </w:tcBorders>
            <w:noWrap w:val="0"/>
            <w:vAlign w:val="center"/>
          </w:tcPr>
          <w:p w14:paraId="59C5B5A8">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cs="宋体"/>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包括节假日预案、迎接重大活动及检查评比的保障措施、突发事件的处理方案及措施等</w:t>
            </w:r>
            <w:r>
              <w:rPr>
                <w:rFonts w:hint="eastAsia" w:ascii="宋体" w:hAnsi="宋体" w:cs="宋体"/>
                <w:bCs/>
                <w:color w:val="000000" w:themeColor="text1"/>
                <w:kern w:val="0"/>
                <w:sz w:val="24"/>
                <w:szCs w:val="24"/>
                <w:highlight w:val="none"/>
                <w:lang w:eastAsia="zh-CN"/>
                <w14:textFill>
                  <w14:solidFill>
                    <w14:schemeClr w14:val="tx1"/>
                  </w14:solidFill>
                </w14:textFill>
              </w:rPr>
              <w:t>。</w:t>
            </w:r>
          </w:p>
          <w:p w14:paraId="66494A4F">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kern w:val="0"/>
                <w:sz w:val="24"/>
                <w:szCs w:val="24"/>
                <w:highlight w:val="none"/>
                <w:lang w:val="en-US" w:eastAsia="zh-CN"/>
                <w14:textFill>
                  <w14:solidFill>
                    <w14:schemeClr w14:val="tx1"/>
                  </w14:solidFill>
                </w14:textFill>
              </w:rPr>
              <w:t>注：</w:t>
            </w:r>
            <w:r>
              <w:rPr>
                <w:rFonts w:hint="eastAsia" w:ascii="宋体" w:hAnsi="宋体" w:cs="宋体"/>
                <w:bCs/>
                <w:color w:val="000000" w:themeColor="text1"/>
                <w:kern w:val="0"/>
                <w:sz w:val="24"/>
                <w:szCs w:val="24"/>
                <w:highlight w:val="none"/>
                <w:lang w:eastAsia="zh-CN"/>
                <w14:textFill>
                  <w14:solidFill>
                    <w14:schemeClr w14:val="tx1"/>
                  </w14:solidFill>
                </w14:textFill>
              </w:rPr>
              <w:t>重大活动、突发事件的应急方案详细、具体，可行性、操作性高，在所有投标人方案中突出的得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lang w:eastAsia="zh-CN"/>
                <w14:textFill>
                  <w14:solidFill>
                    <w14:schemeClr w14:val="tx1"/>
                  </w14:solidFill>
                </w14:textFill>
              </w:rPr>
              <w:t>分：应急方案比较详细、可行，在所有投标人方案中显得一般的得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lang w:eastAsia="zh-CN"/>
                <w14:textFill>
                  <w14:solidFill>
                    <w14:schemeClr w14:val="tx1"/>
                  </w14:solidFill>
                </w14:textFill>
              </w:rPr>
              <w:t>分；应急方案简单、不具体，在所有投标人方案中显得较差的得</w:t>
            </w:r>
            <w:r>
              <w:rPr>
                <w:rFonts w:hint="eastAsia" w:ascii="宋体" w:hAnsi="宋体" w:cs="宋体"/>
                <w:bCs/>
                <w:color w:val="000000" w:themeColor="text1"/>
                <w:kern w:val="0"/>
                <w:sz w:val="24"/>
                <w:szCs w:val="24"/>
                <w:highlight w:val="none"/>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lang w:eastAsia="zh-CN"/>
                <w14:textFill>
                  <w14:solidFill>
                    <w14:schemeClr w14:val="tx1"/>
                  </w14:solidFill>
                </w14:textFill>
              </w:rPr>
              <w:t>分；未提供的不得分。</w:t>
            </w:r>
          </w:p>
        </w:tc>
        <w:tc>
          <w:tcPr>
            <w:tcW w:w="1119" w:type="dxa"/>
            <w:tcBorders>
              <w:left w:val="single" w:color="auto" w:sz="4" w:space="0"/>
              <w:right w:val="single" w:color="auto" w:sz="4" w:space="0"/>
            </w:tcBorders>
            <w:noWrap w:val="0"/>
            <w:vAlign w:val="center"/>
          </w:tcPr>
          <w:p w14:paraId="4836EC2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742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1203" w:type="dxa"/>
            <w:tcBorders>
              <w:left w:val="single" w:color="auto" w:sz="4" w:space="0"/>
              <w:right w:val="single" w:color="auto" w:sz="4" w:space="0"/>
            </w:tcBorders>
            <w:noWrap w:val="0"/>
            <w:vAlign w:val="center"/>
          </w:tcPr>
          <w:p w14:paraId="30E0BBFB">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各项承诺</w:t>
            </w:r>
          </w:p>
        </w:tc>
        <w:tc>
          <w:tcPr>
            <w:tcW w:w="788" w:type="dxa"/>
            <w:tcBorders>
              <w:left w:val="single" w:color="auto" w:sz="4" w:space="0"/>
              <w:right w:val="single" w:color="auto" w:sz="4" w:space="0"/>
            </w:tcBorders>
            <w:noWrap w:val="0"/>
            <w:vAlign w:val="center"/>
          </w:tcPr>
          <w:p w14:paraId="255EDF8C">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kern w:val="0"/>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center"/>
          </w:tcPr>
          <w:p w14:paraId="36A728A8">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包括</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投入的人员和设备承诺、</w:t>
            </w:r>
            <w:r>
              <w:rPr>
                <w:rFonts w:hint="eastAsia" w:ascii="宋体" w:hAnsi="宋体" w:eastAsia="宋体" w:cs="宋体"/>
                <w:bCs/>
                <w:color w:val="000000" w:themeColor="text1"/>
                <w:sz w:val="24"/>
                <w:szCs w:val="24"/>
                <w:highlight w:val="none"/>
                <w14:textFill>
                  <w14:solidFill>
                    <w14:schemeClr w14:val="tx1"/>
                  </w14:solidFill>
                </w14:textFill>
              </w:rPr>
              <w:t>质量承诺、对发生各类安全事故善后处理承诺、依法规范用工承诺及应对履约期内各类风险承诺等。</w:t>
            </w:r>
          </w:p>
          <w:p w14:paraId="4FD3ABDB">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88" w:lineRule="auto"/>
              <w:ind w:firstLine="0" w:firstLineChars="0"/>
              <w:textAlignment w:val="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Cs/>
                <w:color w:val="000000" w:themeColor="text1"/>
                <w:sz w:val="24"/>
                <w:szCs w:val="24"/>
                <w:highlight w:val="none"/>
                <w14:textFill>
                  <w14:solidFill>
                    <w14:schemeClr w14:val="tx1"/>
                  </w14:solidFill>
                </w14:textFill>
              </w:rPr>
              <w:t>需提供承诺书，格式自拟，</w:t>
            </w:r>
            <w:r>
              <w:rPr>
                <w:rFonts w:hint="eastAsia" w:ascii="宋体" w:hAnsi="宋体" w:cs="宋体"/>
                <w:bCs/>
                <w:color w:val="000000" w:themeColor="text1"/>
                <w:sz w:val="24"/>
                <w:szCs w:val="24"/>
                <w:highlight w:val="none"/>
                <w:lang w:val="en-US" w:eastAsia="zh-CN"/>
                <w14:textFill>
                  <w14:solidFill>
                    <w14:schemeClr w14:val="tx1"/>
                  </w14:solidFill>
                </w14:textFill>
              </w:rPr>
              <w:t>提供1项得1分，未提供不得分</w:t>
            </w:r>
            <w:r>
              <w:rPr>
                <w:rFonts w:hint="eastAsia" w:ascii="宋体" w:hAnsi="宋体" w:eastAsia="宋体" w:cs="宋体"/>
                <w:bCs/>
                <w:color w:val="000000" w:themeColor="text1"/>
                <w:sz w:val="24"/>
                <w:szCs w:val="24"/>
                <w:highlight w:val="none"/>
                <w14:textFill>
                  <w14:solidFill>
                    <w14:schemeClr w14:val="tx1"/>
                  </w14:solidFill>
                </w14:textFill>
              </w:rPr>
              <w:t>。</w:t>
            </w:r>
          </w:p>
        </w:tc>
        <w:tc>
          <w:tcPr>
            <w:tcW w:w="1119" w:type="dxa"/>
            <w:tcBorders>
              <w:left w:val="single" w:color="auto" w:sz="4" w:space="0"/>
              <w:right w:val="single" w:color="auto" w:sz="4" w:space="0"/>
            </w:tcBorders>
            <w:noWrap w:val="0"/>
            <w:vAlign w:val="center"/>
          </w:tcPr>
          <w:p w14:paraId="472BA88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6C3D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8" w:hRule="atLeast"/>
        </w:trPr>
        <w:tc>
          <w:tcPr>
            <w:tcW w:w="1203" w:type="dxa"/>
            <w:tcBorders>
              <w:left w:val="single" w:color="auto" w:sz="4" w:space="0"/>
              <w:right w:val="single" w:color="auto" w:sz="4" w:space="0"/>
            </w:tcBorders>
            <w:noWrap w:val="0"/>
            <w:vAlign w:val="center"/>
          </w:tcPr>
          <w:p w14:paraId="3046EC2F">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企业业绩</w:t>
            </w:r>
          </w:p>
        </w:tc>
        <w:tc>
          <w:tcPr>
            <w:tcW w:w="788" w:type="dxa"/>
            <w:tcBorders>
              <w:left w:val="single" w:color="auto" w:sz="4" w:space="0"/>
              <w:right w:val="single" w:color="auto" w:sz="4" w:space="0"/>
            </w:tcBorders>
            <w:noWrap w:val="0"/>
            <w:vAlign w:val="center"/>
          </w:tcPr>
          <w:p w14:paraId="22478CC4">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top"/>
          </w:tcPr>
          <w:p w14:paraId="51C4A49B">
            <w:pPr>
              <w:keepNext w:val="0"/>
              <w:keepLines w:val="0"/>
              <w:pageBreakBefore w:val="0"/>
              <w:widowControl/>
              <w:kinsoku/>
              <w:wordWrap/>
              <w:overflowPunct/>
              <w:topLinePunct w:val="0"/>
              <w:autoSpaceDE/>
              <w:autoSpaceDN/>
              <w:bidi w:val="0"/>
              <w:adjustRightInd/>
              <w:snapToGrid/>
              <w:spacing w:beforeAutospacing="0" w:afterAutospacing="0" w:line="288" w:lineRule="auto"/>
              <w:ind w:firstLine="480" w:firstLineChars="200"/>
              <w:contextualSpacing/>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近五年以来（20</w:t>
            </w: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年1月</w:t>
            </w:r>
            <w:r>
              <w:rPr>
                <w:rFonts w:hint="eastAsia" w:ascii="宋体" w:hAnsi="宋体" w:cs="宋体"/>
                <w:color w:val="000000" w:themeColor="text1"/>
                <w:sz w:val="24"/>
                <w:szCs w:val="24"/>
                <w:highlight w:val="none"/>
                <w:lang w:val="en-US" w:eastAsia="zh-CN"/>
                <w14:textFill>
                  <w14:solidFill>
                    <w14:schemeClr w14:val="tx1"/>
                  </w14:solidFill>
                </w14:textFill>
              </w:rPr>
              <w:t>1日</w:t>
            </w:r>
            <w:r>
              <w:rPr>
                <w:rFonts w:hint="eastAsia" w:ascii="宋体" w:hAnsi="宋体" w:eastAsia="宋体" w:cs="宋体"/>
                <w:color w:val="000000" w:themeColor="text1"/>
                <w:sz w:val="24"/>
                <w:szCs w:val="24"/>
                <w:highlight w:val="none"/>
                <w14:textFill>
                  <w14:solidFill>
                    <w14:schemeClr w14:val="tx1"/>
                  </w14:solidFill>
                </w14:textFill>
              </w:rPr>
              <w:t>以来）投标企业承担过环境保洁服务类项目，项目内容包含农村环境保洁服务类内容，但可不止于农村环境保洁服务类内容</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内容无法体现</w:t>
            </w:r>
            <w:r>
              <w:rPr>
                <w:rFonts w:hint="eastAsia" w:ascii="宋体" w:hAnsi="宋体" w:eastAsia="宋体" w:cs="宋体"/>
                <w:color w:val="000000" w:themeColor="text1"/>
                <w:sz w:val="24"/>
                <w:szCs w:val="24"/>
                <w:highlight w:val="none"/>
                <w14:textFill>
                  <w14:solidFill>
                    <w14:schemeClr w14:val="tx1"/>
                  </w14:solidFill>
                </w14:textFill>
              </w:rPr>
              <w:t>农村环境保洁服务类内容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的，视为无效业绩</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6BA69AB">
            <w:pPr>
              <w:keepNext w:val="0"/>
              <w:keepLines w:val="0"/>
              <w:pageBreakBefore w:val="0"/>
              <w:widowControl/>
              <w:kinsoku/>
              <w:wordWrap/>
              <w:overflowPunct/>
              <w:topLinePunct w:val="0"/>
              <w:autoSpaceDE/>
              <w:autoSpaceDN/>
              <w:bidi w:val="0"/>
              <w:adjustRightInd/>
              <w:snapToGrid/>
              <w:spacing w:beforeAutospacing="0" w:afterAutospacing="0" w:line="288" w:lineRule="auto"/>
              <w:ind w:firstLine="480" w:firstLineChars="2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项目已经实际运营的：提供①项目服务合同、②</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提供项目实施过程中，任意一张</w:t>
            </w:r>
            <w:r>
              <w:rPr>
                <w:rFonts w:hint="eastAsia" w:ascii="宋体" w:hAnsi="宋体" w:eastAsia="宋体" w:cs="宋体"/>
                <w:color w:val="000000" w:themeColor="text1"/>
                <w:sz w:val="24"/>
                <w:szCs w:val="24"/>
                <w:highlight w:val="none"/>
                <w14:textFill>
                  <w14:solidFill>
                    <w14:schemeClr w14:val="tx1"/>
                  </w14:solidFill>
                </w14:textFill>
              </w:rPr>
              <w:t>开给项目业主的付款发票</w:t>
            </w:r>
            <w:r>
              <w:rPr>
                <w:rFonts w:hint="eastAsia" w:ascii="宋体" w:hAnsi="宋体" w:eastAsia="宋体" w:cs="宋体"/>
                <w:color w:val="000000" w:themeColor="text1"/>
                <w:sz w:val="24"/>
                <w:szCs w:val="24"/>
                <w:highlight w:val="none"/>
                <w:lang w:val="en-US" w:eastAsia="zh-CN"/>
                <w14:textFill>
                  <w14:solidFill>
                    <w14:schemeClr w14:val="tx1"/>
                  </w14:solidFill>
                </w14:textFill>
              </w:rPr>
              <w:t>扫描件及同时提供“国家税务总局全国增值税发票查验平台”关于所提供发票的查证截图，如未提供，投标人将承担投标失败的风险。</w:t>
            </w:r>
          </w:p>
          <w:p w14:paraId="73F63ED2">
            <w:pPr>
              <w:keepNext w:val="0"/>
              <w:keepLines w:val="0"/>
              <w:pageBreakBefore w:val="0"/>
              <w:widowControl/>
              <w:kinsoku/>
              <w:wordWrap/>
              <w:overflowPunct/>
              <w:topLinePunct w:val="0"/>
              <w:autoSpaceDE/>
              <w:autoSpaceDN/>
              <w:bidi w:val="0"/>
              <w:adjustRightInd/>
              <w:snapToGrid/>
              <w:spacing w:beforeAutospacing="0" w:afterAutospacing="0" w:line="288" w:lineRule="auto"/>
              <w:ind w:firstLine="480" w:firstLineChars="2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项目没有落地运营的：提供①项目服务合同、②提供中标通知书和中标公示截图。</w:t>
            </w:r>
          </w:p>
          <w:p w14:paraId="2B37357D">
            <w:pPr>
              <w:keepNext w:val="0"/>
              <w:keepLines w:val="0"/>
              <w:pageBreakBefore w:val="0"/>
              <w:widowControl/>
              <w:kinsoku/>
              <w:wordWrap/>
              <w:overflowPunct/>
              <w:topLinePunct w:val="0"/>
              <w:autoSpaceDE/>
              <w:autoSpaceDN/>
              <w:bidi w:val="0"/>
              <w:adjustRightInd/>
              <w:snapToGrid/>
              <w:spacing w:beforeAutospacing="0" w:afterAutospacing="0" w:line="288" w:lineRule="auto"/>
              <w:ind w:firstLine="480" w:firstLineChars="200"/>
              <w:contextualSpacing/>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以上每</w:t>
            </w:r>
            <w:r>
              <w:rPr>
                <w:rFonts w:hint="eastAsia" w:ascii="宋体" w:hAnsi="宋体" w:eastAsia="宋体" w:cs="宋体"/>
                <w:color w:val="000000" w:themeColor="text1"/>
                <w:sz w:val="24"/>
                <w:szCs w:val="24"/>
                <w:highlight w:val="none"/>
                <w14:textFill>
                  <w14:solidFill>
                    <w14:schemeClr w14:val="tx1"/>
                  </w14:solidFill>
                </w14:textFill>
              </w:rPr>
              <w:t>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一个</w:t>
            </w:r>
            <w:r>
              <w:rPr>
                <w:rFonts w:hint="eastAsia" w:ascii="宋体" w:hAnsi="宋体" w:eastAsia="宋体" w:cs="宋体"/>
                <w:color w:val="000000" w:themeColor="text1"/>
                <w:sz w:val="24"/>
                <w:szCs w:val="24"/>
                <w:highlight w:val="none"/>
                <w14:textFill>
                  <w14:solidFill>
                    <w14:schemeClr w14:val="tx1"/>
                  </w14:solidFill>
                </w14:textFill>
              </w:rPr>
              <w:t>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材料及内容符合要求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的，有一个项目</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209BFFD">
            <w:pPr>
              <w:keepNext w:val="0"/>
              <w:keepLines w:val="0"/>
              <w:pageBreakBefore w:val="0"/>
              <w:widowControl/>
              <w:kinsoku/>
              <w:wordWrap/>
              <w:overflowPunct/>
              <w:topLinePunct w:val="0"/>
              <w:autoSpaceDE/>
              <w:autoSpaceDN/>
              <w:bidi w:val="0"/>
              <w:adjustRightInd/>
              <w:snapToGrid/>
              <w:spacing w:beforeAutospacing="0" w:afterAutospacing="0" w:line="288" w:lineRule="auto"/>
              <w:ind w:firstLine="480" w:firstLineChars="2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企业业绩这一类项，</w:t>
            </w:r>
            <w:r>
              <w:rPr>
                <w:rFonts w:hint="eastAsia" w:ascii="宋体" w:hAnsi="宋体" w:eastAsia="宋体" w:cs="宋体"/>
                <w:color w:val="000000" w:themeColor="text1"/>
                <w:sz w:val="24"/>
                <w:szCs w:val="24"/>
                <w:highlight w:val="none"/>
                <w14:textFill>
                  <w14:solidFill>
                    <w14:schemeClr w14:val="tx1"/>
                  </w14:solidFill>
                </w14:textFill>
              </w:rPr>
              <w:t>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得分16</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c>
          <w:tcPr>
            <w:tcW w:w="1119" w:type="dxa"/>
            <w:tcBorders>
              <w:left w:val="single" w:color="auto" w:sz="4" w:space="0"/>
              <w:right w:val="single" w:color="auto" w:sz="4" w:space="0"/>
            </w:tcBorders>
            <w:noWrap w:val="0"/>
            <w:vAlign w:val="center"/>
          </w:tcPr>
          <w:p w14:paraId="5E370873">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w:t>
            </w:r>
          </w:p>
        </w:tc>
      </w:tr>
      <w:tr w14:paraId="721B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203" w:type="dxa"/>
            <w:tcBorders>
              <w:left w:val="single" w:color="auto" w:sz="4" w:space="0"/>
              <w:right w:val="single" w:color="auto" w:sz="4" w:space="0"/>
            </w:tcBorders>
            <w:noWrap w:val="0"/>
            <w:vAlign w:val="center"/>
          </w:tcPr>
          <w:p w14:paraId="6A3DC2A2">
            <w:pPr>
              <w:keepNext w:val="0"/>
              <w:keepLines w:val="0"/>
              <w:pageBreakBefore w:val="0"/>
              <w:widowControl/>
              <w:kinsoku/>
              <w:wordWrap/>
              <w:overflowPunct/>
              <w:topLinePunct w:val="0"/>
              <w:autoSpaceDE/>
              <w:autoSpaceDN/>
              <w:bidi w:val="0"/>
              <w:adjustRightInd/>
              <w:snapToGrid/>
              <w:spacing w:beforeAutospacing="0" w:afterAutospacing="0" w:line="288"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人员资质</w:t>
            </w:r>
          </w:p>
        </w:tc>
        <w:tc>
          <w:tcPr>
            <w:tcW w:w="788" w:type="dxa"/>
            <w:tcBorders>
              <w:left w:val="single" w:color="auto" w:sz="4" w:space="0"/>
              <w:right w:val="single" w:color="auto" w:sz="4" w:space="0"/>
            </w:tcBorders>
            <w:noWrap w:val="0"/>
            <w:vAlign w:val="center"/>
          </w:tcPr>
          <w:p w14:paraId="25EE29BA">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center"/>
          </w:tcPr>
          <w:p w14:paraId="7A4E1D54">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拟派项目经理</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相关要求</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2EA2BD4">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从事类似项目管理经验达到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年的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有</w:t>
            </w:r>
            <w:r>
              <w:rPr>
                <w:rFonts w:hint="eastAsia" w:ascii="宋体" w:hAnsi="宋体" w:eastAsia="宋体" w:cs="宋体"/>
                <w:color w:val="000000" w:themeColor="text1"/>
                <w:sz w:val="24"/>
                <w:szCs w:val="24"/>
                <w:highlight w:val="none"/>
                <w14:textFill>
                  <w14:solidFill>
                    <w14:schemeClr w14:val="tx1"/>
                  </w14:solidFill>
                </w14:textFill>
              </w:rPr>
              <w:t>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相对应的</w:t>
            </w:r>
            <w:r>
              <w:rPr>
                <w:rFonts w:hint="eastAsia" w:ascii="宋体" w:hAnsi="宋体" w:eastAsia="宋体" w:cs="宋体"/>
                <w:color w:val="000000" w:themeColor="text1"/>
                <w:sz w:val="24"/>
                <w:szCs w:val="24"/>
                <w:highlight w:val="none"/>
                <w14:textFill>
                  <w14:solidFill>
                    <w14:schemeClr w14:val="tx1"/>
                  </w14:solidFill>
                </w14:textFill>
              </w:rPr>
              <w:t>业主方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单位出</w:t>
            </w:r>
            <w:r>
              <w:rPr>
                <w:rFonts w:hint="eastAsia" w:ascii="宋体" w:hAnsi="宋体" w:eastAsia="宋体" w:cs="宋体"/>
                <w:color w:val="000000" w:themeColor="text1"/>
                <w:sz w:val="24"/>
                <w:szCs w:val="24"/>
                <w:highlight w:val="none"/>
                <w14:textFill>
                  <w14:solidFill>
                    <w14:schemeClr w14:val="tx1"/>
                  </w14:solidFill>
                </w14:textFill>
              </w:rPr>
              <w:t>具</w:t>
            </w:r>
            <w:r>
              <w:rPr>
                <w:rFonts w:hint="eastAsia" w:ascii="宋体" w:hAnsi="宋体" w:eastAsia="宋体" w:cs="宋体"/>
                <w:color w:val="000000" w:themeColor="text1"/>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sz w:val="24"/>
                <w:szCs w:val="24"/>
                <w:highlight w:val="none"/>
                <w14:textFill>
                  <w14:solidFill>
                    <w14:schemeClr w14:val="tx1"/>
                  </w14:solidFill>
                </w14:textFill>
              </w:rPr>
              <w:t>盖</w:t>
            </w:r>
            <w:r>
              <w:rPr>
                <w:rFonts w:hint="eastAsia" w:ascii="宋体" w:hAnsi="宋体" w:eastAsia="宋体" w:cs="宋体"/>
                <w:color w:val="000000" w:themeColor="text1"/>
                <w:sz w:val="24"/>
                <w:szCs w:val="24"/>
                <w:highlight w:val="none"/>
                <w:lang w:val="en-US" w:eastAsia="zh-CN"/>
                <w14:textFill>
                  <w14:solidFill>
                    <w14:schemeClr w14:val="tx1"/>
                  </w14:solidFill>
                </w14:textFill>
              </w:rPr>
              <w:t>公</w:t>
            </w:r>
            <w:r>
              <w:rPr>
                <w:rFonts w:hint="eastAsia" w:ascii="宋体" w:hAnsi="宋体" w:eastAsia="宋体" w:cs="宋体"/>
                <w:color w:val="000000" w:themeColor="text1"/>
                <w:sz w:val="24"/>
                <w:szCs w:val="24"/>
                <w:highlight w:val="none"/>
                <w14:textFill>
                  <w14:solidFill>
                    <w14:schemeClr w14:val="tx1"/>
                  </w14:solidFill>
                </w14:textFill>
              </w:rPr>
              <w:t>章的有效证明材料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，本项最高得3分；</w:t>
            </w:r>
          </w:p>
          <w:p w14:paraId="6B4B5D4D">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（备注：提供证明材料扫描件及相关证书扫描件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p w14:paraId="1E656739">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2、项目组成员相关要求</w:t>
            </w:r>
          </w:p>
          <w:p w14:paraId="40FA6220">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投标企业拟派本项目人员内</w:t>
            </w:r>
            <w:r>
              <w:rPr>
                <w:rFonts w:hint="eastAsia" w:ascii="宋体" w:hAnsi="宋体" w:eastAsia="宋体" w:cs="宋体"/>
                <w:color w:val="000000" w:themeColor="text1"/>
                <w:sz w:val="24"/>
                <w:szCs w:val="24"/>
                <w:highlight w:val="none"/>
                <w:lang w:eastAsia="zh-CN"/>
                <w14:textFill>
                  <w14:solidFill>
                    <w14:schemeClr w14:val="tx1"/>
                  </w14:solidFill>
                </w14:textFill>
              </w:rPr>
              <w:t>（不含项目经理）</w:t>
            </w:r>
            <w:r>
              <w:rPr>
                <w:rFonts w:hint="eastAsia" w:ascii="宋体" w:hAnsi="宋体" w:eastAsia="宋体" w:cs="宋体"/>
                <w:color w:val="000000" w:themeColor="text1"/>
                <w:sz w:val="24"/>
                <w:szCs w:val="24"/>
                <w:highlight w:val="none"/>
                <w14:textFill>
                  <w14:solidFill>
                    <w14:schemeClr w14:val="tx1"/>
                  </w14:solidFill>
                </w14:textFill>
              </w:rPr>
              <w:t>，具有“安全管理证书”的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每</w:t>
            </w:r>
            <w:r>
              <w:rPr>
                <w:rFonts w:hint="eastAsia" w:ascii="宋体" w:hAnsi="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本项最高</w:t>
            </w:r>
            <w:r>
              <w:rPr>
                <w:rFonts w:hint="eastAsia" w:ascii="宋体" w:hAnsi="宋体" w:eastAsia="宋体" w:cs="宋体"/>
                <w:color w:val="000000" w:themeColor="text1"/>
                <w:sz w:val="24"/>
                <w:szCs w:val="24"/>
                <w:highlight w:val="none"/>
                <w:lang w:eastAsia="zh-CN"/>
                <w14:textFill>
                  <w14:solidFill>
                    <w14:schemeClr w14:val="tx1"/>
                  </w14:solidFill>
                </w14:textFill>
              </w:rPr>
              <w:t>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09BD45F">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leftChars="200" w:firstLine="240" w:firstLineChars="100"/>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人员资质这一类项，最高得分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p w14:paraId="6B1AD289">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leftChars="200" w:firstLine="240" w:firstLineChars="100"/>
              <w:textAlignment w:val="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注：项目组人员需为投标单位正式员工，需提供近一月养老保险证明（如公司成立或员工入职未满3个月的，提交公司与员工签订的劳动合同）。</w:t>
            </w:r>
          </w:p>
        </w:tc>
        <w:tc>
          <w:tcPr>
            <w:tcW w:w="1119" w:type="dxa"/>
            <w:tcBorders>
              <w:left w:val="single" w:color="auto" w:sz="4" w:space="0"/>
              <w:right w:val="single" w:color="auto" w:sz="4" w:space="0"/>
            </w:tcBorders>
            <w:noWrap w:val="0"/>
            <w:vAlign w:val="center"/>
          </w:tcPr>
          <w:p w14:paraId="316E4A0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提供相应材料和相应证书</w:t>
            </w:r>
          </w:p>
        </w:tc>
      </w:tr>
      <w:tr w14:paraId="6442B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3" w:type="dxa"/>
            <w:tcBorders>
              <w:left w:val="single" w:color="auto" w:sz="4" w:space="0"/>
              <w:right w:val="single" w:color="auto" w:sz="4" w:space="0"/>
            </w:tcBorders>
            <w:noWrap w:val="0"/>
            <w:vAlign w:val="center"/>
          </w:tcPr>
          <w:p w14:paraId="6F3B7FBE">
            <w:pPr>
              <w:keepNext w:val="0"/>
              <w:keepLines w:val="0"/>
              <w:pageBreakBefore w:val="0"/>
              <w:widowControl/>
              <w:kinsoku/>
              <w:wordWrap/>
              <w:overflowPunct/>
              <w:topLinePunct w:val="0"/>
              <w:autoSpaceDE/>
              <w:autoSpaceDN/>
              <w:bidi w:val="0"/>
              <w:adjustRightInd/>
              <w:snapToGrid/>
              <w:spacing w:beforeAutospacing="0" w:afterAutospacing="0" w:line="288" w:lineRule="auto"/>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企业资</w:t>
            </w:r>
            <w:r>
              <w:rPr>
                <w:rFonts w:hint="eastAsia" w:ascii="宋体" w:hAnsi="宋体" w:eastAsia="宋体" w:cs="宋体"/>
                <w:color w:val="000000" w:themeColor="text1"/>
                <w:sz w:val="24"/>
                <w:szCs w:val="24"/>
                <w:highlight w:val="none"/>
                <w:lang w:val="en-US" w:eastAsia="zh-CN"/>
                <w14:textFill>
                  <w14:solidFill>
                    <w14:schemeClr w14:val="tx1"/>
                  </w14:solidFill>
                </w14:textFill>
              </w:rPr>
              <w:t>信</w:t>
            </w:r>
          </w:p>
        </w:tc>
        <w:tc>
          <w:tcPr>
            <w:tcW w:w="788" w:type="dxa"/>
            <w:tcBorders>
              <w:left w:val="single" w:color="auto" w:sz="4" w:space="0"/>
              <w:right w:val="single" w:color="auto" w:sz="4" w:space="0"/>
            </w:tcBorders>
            <w:noWrap w:val="0"/>
            <w:vAlign w:val="center"/>
          </w:tcPr>
          <w:p w14:paraId="2F351700">
            <w:pPr>
              <w:keepNext w:val="0"/>
              <w:keepLines w:val="0"/>
              <w:pageBreakBefore w:val="0"/>
              <w:widowControl/>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center"/>
          </w:tcPr>
          <w:p w14:paraId="47CA68B0">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1、投标企业具备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“质量体系认证证书”得1分；</w:t>
            </w:r>
          </w:p>
          <w:p w14:paraId="755B3F7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2、投标企业具备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“环境体系认证证书”得1分；</w:t>
            </w:r>
          </w:p>
          <w:p w14:paraId="31E2E70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3、投标企业具备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“职业健康安全管理体系认证证书”得1分；</w:t>
            </w:r>
          </w:p>
          <w:p w14:paraId="7DD164A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4、投标企业具备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社会责任管理体系认证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”得1分；</w:t>
            </w:r>
          </w:p>
          <w:p w14:paraId="7232F776">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5、投标企业具备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生活垃圾分类服务能力认证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”得1分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2B90F9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企业资信这一类项，最高得分5分</w:t>
            </w:r>
            <w:r>
              <w:rPr>
                <w:rFonts w:hint="eastAsia" w:ascii="宋体" w:hAnsi="宋体" w:eastAsia="宋体" w:cs="宋体"/>
                <w:color w:val="000000" w:themeColor="text1"/>
                <w:sz w:val="24"/>
                <w:szCs w:val="24"/>
                <w:highlight w:val="none"/>
                <w14:textFill>
                  <w14:solidFill>
                    <w14:schemeClr w14:val="tx1"/>
                  </w14:solidFill>
                </w14:textFill>
              </w:rPr>
              <w:t>）</w:t>
            </w:r>
          </w:p>
        </w:tc>
        <w:tc>
          <w:tcPr>
            <w:tcW w:w="1119" w:type="dxa"/>
            <w:tcBorders>
              <w:left w:val="single" w:color="auto" w:sz="4" w:space="0"/>
              <w:right w:val="single" w:color="auto" w:sz="4" w:space="0"/>
            </w:tcBorders>
            <w:noWrap w:val="0"/>
            <w:vAlign w:val="center"/>
          </w:tcPr>
          <w:p w14:paraId="1B71628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提供相应证书</w:t>
            </w:r>
          </w:p>
        </w:tc>
      </w:tr>
      <w:tr w14:paraId="1C9C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3" w:type="dxa"/>
            <w:tcBorders>
              <w:left w:val="single" w:color="auto" w:sz="4" w:space="0"/>
              <w:right w:val="single" w:color="auto" w:sz="4" w:space="0"/>
            </w:tcBorders>
            <w:noWrap w:val="0"/>
            <w:vAlign w:val="center"/>
          </w:tcPr>
          <w:p w14:paraId="59A2CB7B">
            <w:pPr>
              <w:keepNext w:val="0"/>
              <w:keepLines w:val="0"/>
              <w:pageBreakBefore w:val="0"/>
              <w:kinsoku/>
              <w:wordWrap/>
              <w:overflowPunct/>
              <w:topLinePunct w:val="0"/>
              <w:autoSpaceDE/>
              <w:autoSpaceDN/>
              <w:bidi w:val="0"/>
              <w:adjustRightInd/>
              <w:snapToGrid/>
              <w:spacing w:beforeAutospacing="0" w:afterAutospacing="0" w:line="288"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企业荣誉</w:t>
            </w:r>
          </w:p>
        </w:tc>
        <w:tc>
          <w:tcPr>
            <w:tcW w:w="788" w:type="dxa"/>
            <w:tcBorders>
              <w:left w:val="single" w:color="auto" w:sz="4" w:space="0"/>
              <w:right w:val="single" w:color="auto" w:sz="4" w:space="0"/>
            </w:tcBorders>
            <w:noWrap w:val="0"/>
            <w:vAlign w:val="center"/>
          </w:tcPr>
          <w:p w14:paraId="2AFB6E2D">
            <w:pPr>
              <w:keepNext w:val="0"/>
              <w:keepLines w:val="0"/>
              <w:pageBreakBefore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6分</w:t>
            </w:r>
          </w:p>
        </w:tc>
        <w:tc>
          <w:tcPr>
            <w:tcW w:w="6514" w:type="dxa"/>
            <w:tcBorders>
              <w:left w:val="single" w:color="auto" w:sz="4" w:space="0"/>
              <w:right w:val="single" w:color="auto" w:sz="4" w:space="0"/>
            </w:tcBorders>
            <w:noWrap w:val="0"/>
            <w:vAlign w:val="center"/>
          </w:tcPr>
          <w:p w14:paraId="64CA78FF">
            <w:pPr>
              <w:keepNext w:val="0"/>
              <w:keepLines w:val="0"/>
              <w:pageBreakBefore w:val="0"/>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投标企业获得政府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行政管理</w:t>
            </w:r>
            <w:r>
              <w:rPr>
                <w:rFonts w:hint="eastAsia" w:ascii="宋体" w:hAnsi="宋体" w:eastAsia="宋体" w:cs="宋体"/>
                <w:b w:val="0"/>
                <w:bCs w:val="0"/>
                <w:color w:val="000000" w:themeColor="text1"/>
                <w:sz w:val="24"/>
                <w:szCs w:val="24"/>
                <w:highlight w:val="none"/>
                <w14:textFill>
                  <w14:solidFill>
                    <w14:schemeClr w14:val="tx1"/>
                  </w14:solidFill>
                </w14:textFill>
              </w:rPr>
              <w:t>部门</w:t>
            </w:r>
            <w:r>
              <w:rPr>
                <w:rFonts w:hint="eastAsia" w:ascii="宋体" w:hAnsi="宋体" w:eastAsia="宋体" w:cs="宋体"/>
                <w:color w:val="000000" w:themeColor="text1"/>
                <w:sz w:val="24"/>
                <w:szCs w:val="24"/>
                <w:highlight w:val="none"/>
                <w14:textFill>
                  <w14:solidFill>
                    <w14:schemeClr w14:val="tx1"/>
                  </w14:solidFill>
                </w14:textFill>
              </w:rPr>
              <w:t>颁发的与环卫工作相关的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乡镇（街道）及以上</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奖项、荣誉信誉证书</w:t>
            </w:r>
            <w:r>
              <w:rPr>
                <w:rFonts w:hint="eastAsia" w:ascii="宋体" w:hAnsi="宋体" w:cs="宋体"/>
                <w:color w:val="000000" w:themeColor="text1"/>
                <w:sz w:val="24"/>
                <w:szCs w:val="24"/>
                <w:highlight w:val="none"/>
                <w:lang w:val="en-US" w:eastAsia="zh-CN"/>
                <w14:textFill>
                  <w14:solidFill>
                    <w14:schemeClr w14:val="tx1"/>
                  </w14:solidFill>
                </w14:textFill>
              </w:rPr>
              <w:t>或县（区）及以上考核排名文件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每提供一份，得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2529F3D">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企业荣誉这一类项，最高得分</w:t>
            </w:r>
            <w:r>
              <w:rPr>
                <w:rFonts w:hint="eastAsia" w:ascii="宋体" w:hAnsi="宋体" w:cs="宋体"/>
                <w:color w:val="000000" w:themeColor="text1"/>
                <w:sz w:val="24"/>
                <w:szCs w:val="24"/>
                <w:highlight w:val="none"/>
                <w:lang w:val="en-US" w:eastAsia="zh-CN"/>
                <w14:textFill>
                  <w14:solidFill>
                    <w14:schemeClr w14:val="tx1"/>
                  </w14:solidFill>
                </w14:textFill>
              </w:rPr>
              <w:t>6分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c>
          <w:tcPr>
            <w:tcW w:w="1119" w:type="dxa"/>
            <w:tcBorders>
              <w:left w:val="single" w:color="auto" w:sz="4" w:space="0"/>
              <w:right w:val="single" w:color="auto" w:sz="4" w:space="0"/>
            </w:tcBorders>
            <w:noWrap w:val="0"/>
            <w:vAlign w:val="center"/>
          </w:tcPr>
          <w:p w14:paraId="261D888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提供获奖证书</w:t>
            </w:r>
          </w:p>
        </w:tc>
      </w:tr>
      <w:tr w14:paraId="02C8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3" w:type="dxa"/>
            <w:tcBorders>
              <w:left w:val="single" w:color="auto" w:sz="4" w:space="0"/>
              <w:right w:val="single" w:color="auto" w:sz="4" w:space="0"/>
            </w:tcBorders>
            <w:noWrap w:val="0"/>
            <w:vAlign w:val="center"/>
          </w:tcPr>
          <w:p w14:paraId="785DBBF0">
            <w:pPr>
              <w:keepNext w:val="0"/>
              <w:keepLines w:val="0"/>
              <w:pageBreakBefore w:val="0"/>
              <w:kinsoku/>
              <w:wordWrap/>
              <w:overflowPunct/>
              <w:topLinePunct w:val="0"/>
              <w:autoSpaceDE/>
              <w:autoSpaceDN/>
              <w:bidi w:val="0"/>
              <w:adjustRightInd/>
              <w:snapToGrid/>
              <w:spacing w:beforeAutospacing="0" w:afterAutospacing="0" w:line="288" w:lineRule="auto"/>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项目负责人现场述标</w:t>
            </w:r>
            <w:r>
              <w:rPr>
                <w:rFonts w:hint="eastAsia" w:ascii="宋体" w:hAnsi="宋体" w:eastAsia="宋体" w:cs="宋体"/>
                <w:color w:val="000000" w:themeColor="text1"/>
                <w:sz w:val="24"/>
                <w:highlight w:val="none"/>
                <w14:textFill>
                  <w14:solidFill>
                    <w14:schemeClr w14:val="tx1"/>
                  </w14:solidFill>
                </w14:textFill>
              </w:rPr>
              <w:t>。</w:t>
            </w:r>
          </w:p>
        </w:tc>
        <w:tc>
          <w:tcPr>
            <w:tcW w:w="788" w:type="dxa"/>
            <w:tcBorders>
              <w:left w:val="single" w:color="auto" w:sz="4" w:space="0"/>
              <w:right w:val="single" w:color="auto" w:sz="4" w:space="0"/>
            </w:tcBorders>
            <w:noWrap w:val="0"/>
            <w:vAlign w:val="center"/>
          </w:tcPr>
          <w:p w14:paraId="69348DD3">
            <w:pPr>
              <w:keepNext w:val="0"/>
              <w:keepLines w:val="0"/>
              <w:pageBreakBefore w:val="0"/>
              <w:kinsoku/>
              <w:wordWrap/>
              <w:overflowPunct/>
              <w:topLinePunct w:val="0"/>
              <w:autoSpaceDE/>
              <w:autoSpaceDN/>
              <w:bidi w:val="0"/>
              <w:adjustRightInd/>
              <w:snapToGrid/>
              <w:spacing w:beforeAutospacing="0" w:afterAutospacing="0" w:line="288" w:lineRule="auto"/>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514" w:type="dxa"/>
            <w:tcBorders>
              <w:left w:val="single" w:color="auto" w:sz="4" w:space="0"/>
              <w:right w:val="single" w:color="auto" w:sz="4" w:space="0"/>
            </w:tcBorders>
            <w:noWrap w:val="0"/>
            <w:vAlign w:val="center"/>
          </w:tcPr>
          <w:p w14:paraId="5A7F7415">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拟派</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cs="宋体"/>
                <w:color w:val="000000" w:themeColor="text1"/>
                <w:sz w:val="24"/>
                <w:szCs w:val="24"/>
                <w:highlight w:val="none"/>
                <w:lang w:val="en-US" w:eastAsia="zh-CN"/>
                <w14:textFill>
                  <w14:solidFill>
                    <w14:schemeClr w14:val="tx1"/>
                  </w14:solidFill>
                </w14:textFill>
              </w:rPr>
              <w:t>经理</w:t>
            </w:r>
            <w:r>
              <w:rPr>
                <w:rFonts w:hint="eastAsia" w:ascii="宋体" w:hAnsi="宋体" w:eastAsia="宋体" w:cs="宋体"/>
                <w:color w:val="000000" w:themeColor="text1"/>
                <w:sz w:val="24"/>
                <w:szCs w:val="24"/>
                <w:highlight w:val="none"/>
                <w:lang w:eastAsia="zh-CN"/>
                <w14:textFill>
                  <w14:solidFill>
                    <w14:schemeClr w14:val="tx1"/>
                  </w14:solidFill>
                </w14:textFill>
              </w:rPr>
              <w:t>开标</w:t>
            </w:r>
            <w:r>
              <w:rPr>
                <w:rFonts w:hint="eastAsia" w:ascii="宋体" w:hAnsi="宋体" w:eastAsia="宋体" w:cs="宋体"/>
                <w:color w:val="000000" w:themeColor="text1"/>
                <w:sz w:val="24"/>
                <w:szCs w:val="24"/>
                <w:highlight w:val="none"/>
                <w:lang w:val="en-US" w:eastAsia="zh-CN"/>
                <w14:textFill>
                  <w14:solidFill>
                    <w14:schemeClr w14:val="tx1"/>
                  </w14:solidFill>
                </w14:textFill>
              </w:rPr>
              <w:t>时到</w:t>
            </w:r>
            <w:r>
              <w:rPr>
                <w:rFonts w:hint="eastAsia" w:ascii="宋体" w:hAnsi="宋体" w:eastAsia="宋体" w:cs="宋体"/>
                <w:color w:val="000000" w:themeColor="text1"/>
                <w:sz w:val="24"/>
                <w:szCs w:val="24"/>
                <w:highlight w:val="none"/>
                <w:lang w:eastAsia="zh-CN"/>
                <w14:textFill>
                  <w14:solidFill>
                    <w14:schemeClr w14:val="tx1"/>
                  </w14:solidFill>
                </w14:textFill>
              </w:rPr>
              <w:t>现场进行技术框架方案多媒体讲解并解答评审专家提问，方案讲解时间控制在20分钟以内，答专家问时间控制在10分钟以内。</w:t>
            </w:r>
          </w:p>
          <w:p w14:paraId="31DDDD67">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1、汇报方案非常合理、思路非常清晰、回答专家提问非常优秀的，得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p w14:paraId="40681A8F">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2、汇报方案比较合理、思路比较清晰、回答专家提问比较优秀的，得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p w14:paraId="3158B745">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3、汇报方案不合理、思路不清晰、无法回答专家提问，得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p w14:paraId="6D8C48C2">
            <w:pPr>
              <w:keepNext w:val="0"/>
              <w:keepLines w:val="0"/>
              <w:pageBreakBefore w:val="0"/>
              <w:numPr>
                <w:ilvl w:val="0"/>
                <w:numId w:val="0"/>
              </w:numPr>
              <w:kinsoku/>
              <w:wordWrap/>
              <w:overflowPunct/>
              <w:topLinePunct w:val="0"/>
              <w:autoSpaceDE/>
              <w:autoSpaceDN/>
              <w:bidi w:val="0"/>
              <w:adjustRightInd/>
              <w:snapToGrid/>
              <w:spacing w:beforeAutospacing="0" w:afterAutospacing="0" w:line="288"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项目负责人开标时未到现场</w:t>
            </w:r>
            <w:r>
              <w:rPr>
                <w:rFonts w:hint="eastAsia" w:ascii="宋体" w:hAnsi="宋体" w:eastAsia="宋体" w:cs="宋体"/>
                <w:color w:val="000000" w:themeColor="text1"/>
                <w:sz w:val="24"/>
                <w:szCs w:val="24"/>
                <w:highlight w:val="none"/>
                <w:lang w:eastAsia="zh-CN"/>
                <w14:textFill>
                  <w14:solidFill>
                    <w14:schemeClr w14:val="tx1"/>
                  </w14:solidFill>
                </w14:textFill>
              </w:rPr>
              <w:t>述标</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，本项</w:t>
            </w:r>
            <w:r>
              <w:rPr>
                <w:rFonts w:hint="eastAsia" w:ascii="宋体" w:hAnsi="宋体" w:eastAsia="宋体" w:cs="宋体"/>
                <w:color w:val="000000" w:themeColor="text1"/>
                <w:sz w:val="24"/>
                <w:szCs w:val="24"/>
                <w:highlight w:val="none"/>
                <w:lang w:eastAsia="zh-CN"/>
                <w14:textFill>
                  <w14:solidFill>
                    <w14:schemeClr w14:val="tx1"/>
                  </w14:solidFill>
                </w14:textFill>
              </w:rPr>
              <w:t>不得分。</w:t>
            </w:r>
          </w:p>
        </w:tc>
        <w:tc>
          <w:tcPr>
            <w:tcW w:w="1119" w:type="dxa"/>
            <w:tcBorders>
              <w:left w:val="single" w:color="auto" w:sz="4" w:space="0"/>
              <w:right w:val="single" w:color="auto" w:sz="4" w:space="0"/>
            </w:tcBorders>
            <w:noWrap w:val="0"/>
            <w:vAlign w:val="center"/>
          </w:tcPr>
          <w:p w14:paraId="4F90CB4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w:t>
            </w:r>
          </w:p>
        </w:tc>
      </w:tr>
    </w:tbl>
    <w:p w14:paraId="40DE4C85">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rPr>
      </w:pPr>
      <w:r>
        <w:rPr>
          <w:rFonts w:hint="eastAsia" w:ascii="宋体" w:hAnsi="宋体" w:eastAsia="宋体" w:cs="宋体"/>
          <w:sz w:val="24"/>
          <w:szCs w:val="24"/>
        </w:rPr>
        <w:t>备注:未提供评分标准中涉及的证书证明等资料扫描件，相应条款不得分；所提供的证书证明等资料扫描件必须扫描清楚，若评委经商讨后，定为无法看清的，视为未提供。</w:t>
      </w:r>
    </w:p>
    <w:p w14:paraId="4E27A639">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szCs w:val="21"/>
        </w:rPr>
      </w:pPr>
      <w:r>
        <w:rPr>
          <w:rFonts w:hint="eastAsia" w:ascii="宋体" w:hAnsi="宋体" w:eastAsia="宋体" w:cs="宋体"/>
          <w:b/>
          <w:bCs/>
          <w:sz w:val="24"/>
        </w:rPr>
        <w:t>（四）价格分：</w:t>
      </w:r>
      <w:r>
        <w:rPr>
          <w:rFonts w:hint="eastAsia" w:ascii="宋体" w:hAnsi="宋体" w:eastAsia="宋体" w:cs="宋体"/>
          <w:b/>
          <w:bCs/>
          <w:sz w:val="24"/>
          <w:lang w:val="en-US" w:eastAsia="zh-CN"/>
        </w:rPr>
        <w:t>2</w:t>
      </w:r>
      <w:r>
        <w:rPr>
          <w:rFonts w:hint="eastAsia" w:ascii="宋体" w:hAnsi="宋体" w:eastAsia="宋体" w:cs="宋体"/>
          <w:b/>
          <w:bCs/>
          <w:sz w:val="24"/>
        </w:rPr>
        <w:t>0</w:t>
      </w:r>
      <w:r>
        <w:rPr>
          <w:rFonts w:hint="eastAsia" w:ascii="宋体" w:hAnsi="宋体" w:eastAsia="宋体" w:cs="宋体"/>
          <w:b/>
          <w:bCs/>
          <w:sz w:val="24"/>
          <w:lang w:val="zh-CN"/>
        </w:rPr>
        <w:t>分</w:t>
      </w:r>
    </w:p>
    <w:p w14:paraId="6FF3502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价格分统一采用低价优先法计算，即满足招标文件要求且投标价格最低的投标报价为评标基准价，其价格分为满分。其他投标人的价格分统一按照下列公式计算：</w:t>
      </w:r>
    </w:p>
    <w:p w14:paraId="4125D33D">
      <w:pPr>
        <w:pStyle w:val="2"/>
        <w:pageBreakBefore w:val="0"/>
        <w:kinsoku/>
        <w:wordWrap/>
        <w:overflowPunct/>
        <w:topLinePunct w:val="0"/>
        <w:autoSpaceDE/>
        <w:autoSpaceDN/>
        <w:bidi w:val="0"/>
        <w:snapToGrid/>
        <w:spacing w:after="0" w:line="360" w:lineRule="auto"/>
        <w:ind w:firstLine="240"/>
        <w:textAlignment w:val="auto"/>
        <w:rPr>
          <w:rFonts w:hint="eastAsia" w:ascii="宋体" w:hAnsi="宋体" w:eastAsia="宋体" w:cs="宋体"/>
        </w:rPr>
      </w:pPr>
      <w:r>
        <w:rPr>
          <w:rFonts w:hint="eastAsia" w:ascii="宋体" w:hAnsi="宋体" w:eastAsia="宋体" w:cs="宋体"/>
        </w:rPr>
        <w:t>投标报价得分=（评标基准价/投标报价）×</w:t>
      </w:r>
      <w:r>
        <w:rPr>
          <w:rFonts w:hint="eastAsia" w:ascii="宋体" w:hAnsi="宋体" w:eastAsia="宋体" w:cs="宋体"/>
          <w:lang w:val="en-US" w:eastAsia="zh-CN"/>
        </w:rPr>
        <w:t>2</w:t>
      </w:r>
      <w:r>
        <w:rPr>
          <w:rFonts w:hint="eastAsia" w:ascii="宋体" w:hAnsi="宋体" w:eastAsia="宋体" w:cs="宋体"/>
        </w:rPr>
        <w:t>0%×100</w:t>
      </w:r>
    </w:p>
    <w:p w14:paraId="45ED8A0F">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lang w:eastAsia="zh-CN"/>
        </w:rPr>
      </w:pPr>
      <w:r>
        <w:rPr>
          <w:rFonts w:hint="eastAsia" w:ascii="宋体" w:hAnsi="宋体" w:eastAsia="宋体" w:cs="宋体"/>
          <w:b/>
          <w:sz w:val="24"/>
        </w:rPr>
        <w:t>（</w:t>
      </w:r>
      <w:r>
        <w:rPr>
          <w:rFonts w:hint="eastAsia" w:ascii="宋体" w:hAnsi="宋体" w:eastAsia="宋体" w:cs="宋体"/>
          <w:b/>
          <w:bCs/>
          <w:sz w:val="24"/>
        </w:rPr>
        <w:t>五</w:t>
      </w:r>
      <w:r>
        <w:rPr>
          <w:rFonts w:hint="eastAsia" w:ascii="宋体" w:hAnsi="宋体" w:eastAsia="宋体" w:cs="宋体"/>
          <w:b/>
          <w:sz w:val="24"/>
        </w:rPr>
        <w:t>）</w:t>
      </w:r>
      <w:r>
        <w:rPr>
          <w:rFonts w:hint="eastAsia" w:ascii="宋体" w:hAnsi="宋体" w:eastAsia="宋体" w:cs="宋体"/>
          <w:b/>
          <w:bCs/>
          <w:sz w:val="24"/>
        </w:rPr>
        <w:t>政府采购政策功能落实</w:t>
      </w:r>
      <w:r>
        <w:rPr>
          <w:rFonts w:hint="eastAsia" w:ascii="宋体" w:hAnsi="宋体" w:eastAsia="宋体" w:cs="宋体"/>
          <w:b/>
          <w:bCs/>
          <w:sz w:val="24"/>
          <w:lang w:eastAsia="zh-CN"/>
        </w:rPr>
        <w:t>：（本项目专门面向中小企业采购）</w:t>
      </w:r>
    </w:p>
    <w:p w14:paraId="72C3982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1、小微型企业价格扣除</w:t>
      </w:r>
    </w:p>
    <w:p w14:paraId="23E739D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（1）本项目对小型和微型企业产品给予</w:t>
      </w:r>
      <w:r>
        <w:rPr>
          <w:rFonts w:hint="eastAsia" w:ascii="宋体" w:hAnsi="宋体" w:eastAsia="宋体" w:cs="宋体"/>
          <w:b/>
          <w:sz w:val="24"/>
        </w:rPr>
        <w:t>10%</w:t>
      </w:r>
      <w:r>
        <w:rPr>
          <w:rFonts w:hint="eastAsia" w:ascii="宋体" w:hAnsi="宋体" w:eastAsia="宋体" w:cs="宋体"/>
          <w:bCs/>
          <w:sz w:val="24"/>
        </w:rPr>
        <w:t>的扣除价格，用扣除后的价格参与评审。</w:t>
      </w:r>
    </w:p>
    <w:p w14:paraId="6E01F7E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（2）投标人需按照招标文件的要求提供相应的《中小企业声明函》。</w:t>
      </w:r>
    </w:p>
    <w:p w14:paraId="2F7BCAD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（3）企业标准请参照《关于印发中小企业划型标准规定的通知》（工信部联企业[2011]300号）文件规定自行填写。</w:t>
      </w:r>
    </w:p>
    <w:p w14:paraId="535AC91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2、残疾人福利单位价格扣除</w:t>
      </w:r>
    </w:p>
    <w:p w14:paraId="2058758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（1）本项目对残疾人福利性单位视同小型、微型企业，给予</w:t>
      </w:r>
      <w:r>
        <w:rPr>
          <w:rFonts w:hint="eastAsia" w:ascii="宋体" w:hAnsi="宋体" w:eastAsia="宋体" w:cs="宋体"/>
          <w:b/>
          <w:sz w:val="24"/>
        </w:rPr>
        <w:t>10%</w:t>
      </w:r>
      <w:r>
        <w:rPr>
          <w:rFonts w:hint="eastAsia" w:ascii="宋体" w:hAnsi="宋体" w:eastAsia="宋体" w:cs="宋体"/>
          <w:bCs/>
          <w:sz w:val="24"/>
        </w:rPr>
        <w:t>的价格扣除，用扣除后的价格参与评审。</w:t>
      </w:r>
    </w:p>
    <w:p w14:paraId="100525C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（2）残疾人福利单位需按照招标文件的要求提供《残疾人福利性单位声明函》。</w:t>
      </w:r>
    </w:p>
    <w:p w14:paraId="40C204E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（3）残疾人福利单位标准请参照《关于促进残疾人就业政府采购政策的通知》（财库〔2017〕141号）。</w:t>
      </w:r>
    </w:p>
    <w:p w14:paraId="70DE8C99">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3、监狱和戒毒企业价格扣除</w:t>
      </w:r>
    </w:p>
    <w:p w14:paraId="10E13C5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（1）本项目对监狱和戒毒企业（简称监狱企业）视同小型、微型企业，给予</w:t>
      </w:r>
      <w:r>
        <w:rPr>
          <w:rFonts w:hint="eastAsia" w:ascii="宋体" w:hAnsi="宋体" w:eastAsia="宋体" w:cs="宋体"/>
          <w:b/>
          <w:sz w:val="24"/>
        </w:rPr>
        <w:t>10%</w:t>
      </w:r>
      <w:r>
        <w:rPr>
          <w:rFonts w:hint="eastAsia" w:ascii="宋体" w:hAnsi="宋体" w:eastAsia="宋体" w:cs="宋体"/>
          <w:bCs/>
          <w:sz w:val="24"/>
        </w:rPr>
        <w:t>的价格扣除，用扣除后的价格参与评审。</w:t>
      </w:r>
    </w:p>
    <w:p w14:paraId="1C8E5FE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（2）监狱企业参加政府采购活动时，需提供由省级以上监狱管理局、戒毒管理局(含新疆生产建设兵团)出具的属于监狱企业的证明文件。投标人如不提供上述证明文件，价格将不做相应扣除。</w:t>
      </w:r>
    </w:p>
    <w:p w14:paraId="5BD1F98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（3）监狱企业标准请参照《关于政府采购支持监狱企业发展有关问题的通知》（财库[2014]68号）。</w:t>
      </w:r>
    </w:p>
    <w:p w14:paraId="7BF550DF">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4、残疾人福利单位、监狱企业属于小型、微型企业的，不重复享受政策。</w:t>
      </w:r>
    </w:p>
    <w:p w14:paraId="45BAC932">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62EF58CD">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6、联合体各方均为小型、微型企业（残疾人福利单位、监狱企业）的，联合体享受</w:t>
      </w:r>
      <w:r>
        <w:rPr>
          <w:rFonts w:hint="eastAsia" w:ascii="宋体" w:hAnsi="宋体" w:eastAsia="宋体" w:cs="宋体"/>
          <w:b/>
          <w:sz w:val="24"/>
        </w:rPr>
        <w:t>10%</w:t>
      </w:r>
      <w:r>
        <w:rPr>
          <w:rFonts w:hint="eastAsia" w:ascii="宋体" w:hAnsi="宋体" w:eastAsia="宋体" w:cs="宋体"/>
          <w:bCs/>
          <w:sz w:val="24"/>
        </w:rPr>
        <w:t>价格扣除，用扣除后的价格参与评审。</w:t>
      </w:r>
    </w:p>
    <w:p w14:paraId="67BF029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bCs/>
          <w:sz w:val="24"/>
        </w:rPr>
        <w:t>7、根据《江苏省政府采购信用管理暂行办法》的规定，投标人信用评价结果为三星的扣2分，评价结果为二星的扣3分，评价结果为一星的扣4分。</w:t>
      </w:r>
    </w:p>
    <w:p w14:paraId="462DC2D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
          <w:bCs w:val="0"/>
          <w:sz w:val="24"/>
          <w:highlight w:val="none"/>
        </w:rPr>
      </w:pPr>
      <w:r>
        <w:rPr>
          <w:rFonts w:hint="eastAsia" w:ascii="宋体" w:hAnsi="宋体" w:eastAsia="宋体" w:cs="宋体"/>
          <w:b/>
          <w:bCs w:val="0"/>
          <w:sz w:val="24"/>
          <w:highlight w:val="none"/>
        </w:rPr>
        <w:t>8、专门面向中小企业采购的项目或者采购包，不再执行价格评审优惠的扶持政策。</w:t>
      </w:r>
    </w:p>
    <w:p w14:paraId="1BD133D2">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Cs/>
          <w:sz w:val="24"/>
        </w:rPr>
      </w:pPr>
      <w:r>
        <w:rPr>
          <w:rFonts w:hint="eastAsia" w:ascii="宋体" w:hAnsi="宋体" w:eastAsia="宋体" w:cs="宋体"/>
          <w:b/>
          <w:sz w:val="24"/>
        </w:rPr>
        <w:t>（六）中标人的确定</w:t>
      </w:r>
    </w:p>
    <w:p w14:paraId="5A30397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评委会汇总各评委评分后，按照总得分从高到低的顺序推荐三名中标候选人，并编写评标报告。</w:t>
      </w:r>
    </w:p>
    <w:p w14:paraId="6579EFCA">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 xml:space="preserve">采购人委托评标委员会直接确定中标人。 </w:t>
      </w:r>
    </w:p>
    <w:p w14:paraId="7DD38DD4">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sz w:val="24"/>
        </w:rPr>
      </w:pPr>
      <w:r>
        <w:rPr>
          <w:rFonts w:hint="eastAsia" w:ascii="宋体" w:hAnsi="宋体" w:eastAsia="宋体" w:cs="宋体"/>
          <w:b/>
          <w:sz w:val="24"/>
        </w:rPr>
        <w:t>（七）公告中标结果</w:t>
      </w:r>
    </w:p>
    <w:p w14:paraId="6C6651D6">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rPr>
      </w:pPr>
      <w:r>
        <w:rPr>
          <w:rFonts w:hint="eastAsia" w:ascii="宋体" w:hAnsi="宋体" w:eastAsia="宋体" w:cs="宋体"/>
          <w:sz w:val="24"/>
        </w:rPr>
        <w:t>自确定中标人之日起2个工作日内，在江苏政府采购网公告中标结果，公告期限为1个工作日。</w:t>
      </w:r>
    </w:p>
    <w:p w14:paraId="4075995A">
      <w:pPr>
        <w:pageBreakBefore w:val="0"/>
        <w:kinsoku/>
        <w:wordWrap/>
        <w:overflowPunct/>
        <w:topLinePunct w:val="0"/>
        <w:autoSpaceDE/>
        <w:autoSpaceDN/>
        <w:bidi w:val="0"/>
        <w:snapToGrid/>
        <w:spacing w:line="360" w:lineRule="auto"/>
        <w:ind w:firstLine="482"/>
        <w:jc w:val="left"/>
        <w:textAlignment w:val="auto"/>
        <w:rPr>
          <w:rFonts w:hint="eastAsia" w:ascii="宋体" w:hAnsi="宋体" w:eastAsia="宋体" w:cs="宋体"/>
          <w:b/>
          <w:bCs/>
          <w:sz w:val="24"/>
        </w:rPr>
      </w:pPr>
      <w:r>
        <w:rPr>
          <w:rFonts w:hint="eastAsia" w:ascii="宋体" w:hAnsi="宋体" w:eastAsia="宋体" w:cs="宋体"/>
          <w:b/>
          <w:sz w:val="24"/>
        </w:rPr>
        <w:t>（</w:t>
      </w:r>
      <w:r>
        <w:rPr>
          <w:rFonts w:hint="eastAsia" w:ascii="宋体" w:hAnsi="宋体" w:eastAsia="宋体" w:cs="宋体"/>
          <w:b/>
          <w:bCs/>
          <w:sz w:val="24"/>
        </w:rPr>
        <w:t>八</w:t>
      </w:r>
      <w:r>
        <w:rPr>
          <w:rFonts w:hint="eastAsia" w:ascii="宋体" w:hAnsi="宋体" w:eastAsia="宋体" w:cs="宋体"/>
          <w:b/>
          <w:sz w:val="24"/>
        </w:rPr>
        <w:t>）</w:t>
      </w:r>
      <w:r>
        <w:rPr>
          <w:rFonts w:hint="eastAsia" w:ascii="宋体" w:hAnsi="宋体" w:eastAsia="宋体" w:cs="宋体"/>
          <w:b/>
          <w:bCs/>
          <w:sz w:val="24"/>
        </w:rPr>
        <w:t>发放中标通知书</w:t>
      </w:r>
    </w:p>
    <w:p w14:paraId="30BD1FF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bCs/>
          <w:sz w:val="24"/>
        </w:rPr>
      </w:pPr>
      <w:r>
        <w:rPr>
          <w:rFonts w:hint="eastAsia" w:ascii="宋体" w:hAnsi="宋体" w:eastAsia="宋体" w:cs="宋体"/>
          <w:sz w:val="24"/>
        </w:rPr>
        <w:t>公告中标结果的同时，采购人或采购代理机构</w:t>
      </w:r>
      <w:r>
        <w:rPr>
          <w:rFonts w:hint="eastAsia" w:ascii="宋体" w:hAnsi="宋体" w:eastAsia="宋体" w:cs="宋体"/>
          <w:bCs/>
          <w:sz w:val="24"/>
        </w:rPr>
        <w:t>向中标人发放中标通知书。</w:t>
      </w:r>
    </w:p>
    <w:p w14:paraId="699D2456">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r>
        <w:rPr>
          <w:rFonts w:hint="eastAsia" w:ascii="宋体" w:hAnsi="宋体" w:eastAsia="宋体" w:cs="宋体"/>
          <w:sz w:val="24"/>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7C14DB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8"/>
          <w:szCs w:val="28"/>
        </w:rPr>
      </w:pPr>
      <w:r>
        <w:rPr>
          <w:rFonts w:hint="eastAsia" w:ascii="宋体" w:hAnsi="宋体" w:eastAsia="宋体" w:cs="宋体"/>
          <w:sz w:val="24"/>
        </w:rPr>
        <w:t>中标通知书发出后，采购人不得违法改变中标结果，中标人无正当理由不得放弃中标。</w:t>
      </w:r>
    </w:p>
    <w:p w14:paraId="07311A40">
      <w:pPr>
        <w:pageBreakBefore w:val="0"/>
        <w:kinsoku/>
        <w:wordWrap/>
        <w:overflowPunct/>
        <w:topLinePunct w:val="0"/>
        <w:autoSpaceDE/>
        <w:autoSpaceDN/>
        <w:bidi w:val="0"/>
        <w:snapToGrid/>
        <w:spacing w:line="360" w:lineRule="auto"/>
        <w:jc w:val="center"/>
        <w:textAlignment w:val="auto"/>
        <w:outlineLvl w:val="0"/>
        <w:rPr>
          <w:rFonts w:hint="eastAsia" w:ascii="宋体" w:hAnsi="宋体" w:eastAsia="宋体" w:cs="宋体"/>
          <w:b/>
          <w:bCs w:val="0"/>
          <w:sz w:val="32"/>
          <w:szCs w:val="32"/>
        </w:rPr>
      </w:pPr>
      <w:r>
        <w:rPr>
          <w:rFonts w:hint="eastAsia" w:ascii="宋体" w:hAnsi="宋体" w:eastAsia="宋体" w:cs="宋体"/>
          <w:b/>
          <w:sz w:val="36"/>
          <w:szCs w:val="36"/>
        </w:rPr>
        <w:br w:type="page" w:clear="all"/>
      </w:r>
      <w:r>
        <w:rPr>
          <w:rFonts w:hint="eastAsia" w:ascii="宋体" w:hAnsi="宋体" w:eastAsia="宋体" w:cs="宋体"/>
          <w:b/>
          <w:bCs w:val="0"/>
          <w:sz w:val="32"/>
          <w:szCs w:val="32"/>
        </w:rPr>
        <w:t>第六部分  投标文件格式</w:t>
      </w:r>
    </w:p>
    <w:p w14:paraId="35CFEDD1">
      <w:pPr>
        <w:pageBreakBefore w:val="0"/>
        <w:kinsoku/>
        <w:wordWrap/>
        <w:overflowPunct/>
        <w:topLinePunct w:val="0"/>
        <w:autoSpaceDE/>
        <w:autoSpaceDN/>
        <w:bidi w:val="0"/>
        <w:adjustRightInd w:val="0"/>
        <w:snapToGrid/>
        <w:spacing w:beforeAutospacing="0" w:afterAutospacing="0" w:line="360" w:lineRule="auto"/>
        <w:ind w:firstLine="555"/>
        <w:jc w:val="left"/>
        <w:textAlignment w:val="auto"/>
        <w:rPr>
          <w:rFonts w:hint="eastAsia" w:ascii="宋体" w:hAnsi="宋体" w:eastAsia="宋体" w:cs="宋体"/>
          <w:b/>
          <w:sz w:val="24"/>
          <w:szCs w:val="24"/>
        </w:rPr>
      </w:pPr>
      <w:r>
        <w:rPr>
          <w:rFonts w:hint="eastAsia" w:ascii="宋体" w:hAnsi="宋体" w:eastAsia="宋体" w:cs="宋体"/>
          <w:b/>
          <w:sz w:val="24"/>
          <w:szCs w:val="24"/>
        </w:rPr>
        <w:t>投标文件由资格审查证明材料、商务技术标、价格标、三部分组成。</w:t>
      </w:r>
      <w:r>
        <w:rPr>
          <w:rFonts w:hint="eastAsia" w:ascii="宋体" w:hAnsi="宋体" w:eastAsia="宋体" w:cs="宋体"/>
          <w:b/>
          <w:bCs/>
          <w:kern w:val="0"/>
          <w:sz w:val="24"/>
          <w:szCs w:val="24"/>
          <w:lang w:val="zh-CN"/>
        </w:rPr>
        <w:t>请投标人根据本招标文件的要求在以上</w:t>
      </w:r>
      <w:r>
        <w:rPr>
          <w:rFonts w:hint="eastAsia" w:ascii="宋体" w:hAnsi="宋体" w:eastAsia="宋体" w:cs="宋体"/>
          <w:b/>
          <w:sz w:val="24"/>
          <w:szCs w:val="24"/>
        </w:rPr>
        <w:t>三部分中</w:t>
      </w:r>
      <w:r>
        <w:rPr>
          <w:rFonts w:hint="eastAsia" w:ascii="宋体" w:hAnsi="宋体" w:eastAsia="宋体" w:cs="宋体"/>
          <w:b/>
          <w:bCs/>
          <w:kern w:val="0"/>
          <w:sz w:val="24"/>
          <w:szCs w:val="24"/>
          <w:lang w:val="zh-CN"/>
        </w:rPr>
        <w:t>分别上传响应的投标材料。</w:t>
      </w:r>
    </w:p>
    <w:p w14:paraId="3A779CBF">
      <w:pPr>
        <w:pageBreakBefore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b/>
          <w:bCs/>
          <w:color w:val="auto"/>
          <w:kern w:val="0"/>
          <w:sz w:val="24"/>
          <w:szCs w:val="24"/>
          <w:lang w:val="zh-CN"/>
        </w:rPr>
      </w:pPr>
      <w:r>
        <w:rPr>
          <w:rFonts w:hint="eastAsia" w:ascii="宋体" w:hAnsi="宋体" w:eastAsia="宋体" w:cs="宋体"/>
          <w:b/>
          <w:bCs/>
          <w:kern w:val="0"/>
          <w:sz w:val="24"/>
          <w:szCs w:val="24"/>
          <w:lang w:val="zh-CN"/>
        </w:rPr>
        <w:t>一、资格审查证明材料（不能出现商务技术标、价格标，</w:t>
      </w:r>
      <w:r>
        <w:rPr>
          <w:rFonts w:hint="eastAsia" w:ascii="宋体" w:hAnsi="宋体" w:eastAsia="宋体" w:cs="宋体"/>
          <w:b/>
          <w:bCs/>
          <w:color w:val="auto"/>
          <w:kern w:val="0"/>
          <w:sz w:val="24"/>
          <w:szCs w:val="24"/>
          <w:lang w:val="en-US" w:eastAsia="zh-CN"/>
        </w:rPr>
        <w:t>不接受联合体投标</w:t>
      </w:r>
      <w:r>
        <w:rPr>
          <w:rFonts w:hint="eastAsia" w:ascii="宋体" w:hAnsi="宋体" w:eastAsia="宋体" w:cs="宋体"/>
          <w:b/>
          <w:bCs/>
          <w:color w:val="auto"/>
          <w:kern w:val="0"/>
          <w:sz w:val="24"/>
          <w:szCs w:val="24"/>
          <w:lang w:val="zh-CN"/>
        </w:rPr>
        <w:t>）</w:t>
      </w:r>
    </w:p>
    <w:p w14:paraId="78AADA47">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投标人符合《政府采购法》第二十二条规定条件的</w:t>
      </w:r>
      <w:r>
        <w:rPr>
          <w:rFonts w:hint="eastAsia" w:ascii="宋体" w:hAnsi="宋体" w:eastAsia="宋体" w:cs="宋体"/>
          <w:kern w:val="0"/>
          <w:sz w:val="24"/>
          <w:szCs w:val="24"/>
          <w:lang w:val="en-US" w:eastAsia="zh-CN"/>
        </w:rPr>
        <w:t>声明</w:t>
      </w:r>
      <w:r>
        <w:rPr>
          <w:rFonts w:hint="eastAsia" w:ascii="宋体" w:hAnsi="宋体" w:eastAsia="宋体" w:cs="宋体"/>
          <w:kern w:val="0"/>
          <w:sz w:val="24"/>
          <w:szCs w:val="24"/>
        </w:rPr>
        <w:t>函</w:t>
      </w:r>
      <w:r>
        <w:rPr>
          <w:rFonts w:hint="eastAsia" w:ascii="宋体" w:hAnsi="宋体" w:eastAsia="宋体" w:cs="宋体"/>
          <w:kern w:val="0"/>
          <w:sz w:val="24"/>
          <w:szCs w:val="24"/>
          <w:lang w:val="zh-CN"/>
        </w:rPr>
        <w:t>（格式见附件1）；</w:t>
      </w:r>
    </w:p>
    <w:p w14:paraId="1E7B5BB0">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eastAsia="zh-CN"/>
        </w:rPr>
      </w:pPr>
      <w:r>
        <w:rPr>
          <w:rFonts w:hint="eastAsia" w:ascii="宋体" w:hAnsi="宋体" w:eastAsia="宋体" w:cs="宋体"/>
          <w:kern w:val="0"/>
          <w:sz w:val="24"/>
          <w:szCs w:val="24"/>
          <w:lang w:val="zh-CN"/>
        </w:rPr>
        <w:t>2、</w:t>
      </w:r>
      <w:r>
        <w:rPr>
          <w:rFonts w:hint="eastAsia" w:ascii="宋体" w:hAnsi="宋体" w:eastAsia="宋体" w:cs="宋体"/>
          <w:sz w:val="24"/>
        </w:rPr>
        <w:t>投标人具有有效的法人或者其他组织的营业执照等证明文件；提供相关证明材料并加盖投标单位公章</w:t>
      </w:r>
      <w:r>
        <w:rPr>
          <w:rFonts w:hint="eastAsia" w:ascii="宋体" w:hAnsi="宋体" w:eastAsia="宋体" w:cs="宋体"/>
          <w:sz w:val="24"/>
          <w:lang w:eastAsia="zh-CN"/>
        </w:rPr>
        <w:t>；</w:t>
      </w:r>
    </w:p>
    <w:p w14:paraId="6F31E41D">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zh-CN"/>
        </w:rPr>
        <w:t>法定代表人身份证明（格式见附件2）；</w:t>
      </w:r>
    </w:p>
    <w:p w14:paraId="7C4A88A9">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val="zh-CN"/>
        </w:rPr>
        <w:t>、法定代表人授权委托书原件，投标代表本人身份证</w:t>
      </w:r>
      <w:r>
        <w:rPr>
          <w:rFonts w:hint="eastAsia" w:ascii="宋体" w:hAnsi="宋体" w:cs="宋体"/>
          <w:kern w:val="0"/>
          <w:sz w:val="24"/>
          <w:szCs w:val="24"/>
          <w:lang w:val="en-US" w:eastAsia="zh-CN"/>
        </w:rPr>
        <w:t>扫描件</w:t>
      </w:r>
      <w:r>
        <w:rPr>
          <w:rFonts w:hint="eastAsia" w:ascii="宋体" w:hAnsi="宋体" w:eastAsia="宋体" w:cs="宋体"/>
          <w:kern w:val="0"/>
          <w:sz w:val="24"/>
          <w:szCs w:val="24"/>
          <w:lang w:val="zh-CN"/>
        </w:rPr>
        <w:t>（格式见附件3）；</w:t>
      </w:r>
    </w:p>
    <w:p w14:paraId="7986DE0B">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投标单位《城市生活垃圾经营性清扫、收集、运输服务许可证》</w:t>
      </w:r>
      <w:r>
        <w:rPr>
          <w:rFonts w:hint="eastAsia" w:ascii="宋体" w:hAnsi="宋体" w:eastAsia="宋体" w:cs="宋体"/>
          <w:kern w:val="0"/>
          <w:sz w:val="24"/>
          <w:szCs w:val="24"/>
          <w:highlight w:val="none"/>
          <w:lang w:val="en-US" w:eastAsia="zh-CN"/>
        </w:rPr>
        <w:t>办理承诺书</w:t>
      </w:r>
      <w:r>
        <w:rPr>
          <w:rFonts w:hint="eastAsia" w:ascii="宋体" w:hAnsi="宋体" w:eastAsia="宋体" w:cs="宋体"/>
          <w:kern w:val="0"/>
          <w:sz w:val="24"/>
          <w:szCs w:val="24"/>
          <w:highlight w:val="none"/>
        </w:rPr>
        <w:t>（承诺书格式自拟）</w:t>
      </w:r>
      <w:r>
        <w:rPr>
          <w:rFonts w:hint="eastAsia" w:ascii="宋体" w:hAnsi="宋体" w:eastAsia="宋体" w:cs="宋体"/>
          <w:kern w:val="0"/>
          <w:sz w:val="24"/>
          <w:szCs w:val="24"/>
          <w:highlight w:val="none"/>
          <w:lang w:val="en-US" w:eastAsia="zh-CN"/>
        </w:rPr>
        <w:t>；</w:t>
      </w:r>
    </w:p>
    <w:p w14:paraId="72CD2FC0">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6</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投标单位拟投入本项目最低设备和人员配置要符合项目需求</w:t>
      </w:r>
      <w:r>
        <w:rPr>
          <w:rFonts w:hint="eastAsia" w:ascii="宋体" w:hAnsi="宋体" w:eastAsia="宋体" w:cs="宋体"/>
          <w:b/>
          <w:bCs/>
          <w:kern w:val="0"/>
          <w:sz w:val="24"/>
          <w:szCs w:val="24"/>
          <w:highlight w:val="none"/>
          <w:lang w:eastAsia="zh-CN"/>
        </w:rPr>
        <w:t>（</w:t>
      </w:r>
      <w:r>
        <w:rPr>
          <w:rFonts w:hint="eastAsia" w:ascii="宋体" w:hAnsi="宋体" w:eastAsia="宋体" w:cs="宋体"/>
          <w:b w:val="0"/>
          <w:bCs w:val="0"/>
          <w:kern w:val="0"/>
          <w:sz w:val="24"/>
          <w:szCs w:val="24"/>
          <w:highlight w:val="none"/>
          <w:lang w:val="en-US" w:eastAsia="zh-CN"/>
        </w:rPr>
        <w:t>提交承诺书，见附件4</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w:t>
      </w:r>
    </w:p>
    <w:p w14:paraId="756A4A64">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7、提供拟派本项目的项目经理履历表，且为投标企业正式人员（提供劳动合同扫描件及2025年1月至2025年4月中任意一个月社保缴费证明）</w:t>
      </w:r>
      <w:r>
        <w:rPr>
          <w:rFonts w:hint="eastAsia" w:ascii="宋体" w:hAnsi="宋体" w:eastAsia="宋体" w:cs="宋体"/>
          <w:kern w:val="0"/>
          <w:sz w:val="24"/>
          <w:szCs w:val="24"/>
          <w:lang w:val="zh-CN"/>
        </w:rPr>
        <w:t>（格式见附件</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val="zh-CN"/>
        </w:rPr>
        <w:t>）</w:t>
      </w:r>
      <w:r>
        <w:rPr>
          <w:rFonts w:hint="eastAsia" w:ascii="宋体" w:hAnsi="宋体" w:eastAsia="宋体" w:cs="宋体"/>
          <w:kern w:val="0"/>
          <w:sz w:val="24"/>
          <w:szCs w:val="24"/>
          <w:highlight w:val="none"/>
          <w:lang w:val="en-US" w:eastAsia="zh-CN"/>
        </w:rPr>
        <w:t>；</w:t>
      </w:r>
    </w:p>
    <w:p w14:paraId="3595E13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8、提供供应商信用承诺书</w:t>
      </w:r>
      <w:r>
        <w:rPr>
          <w:rFonts w:hint="eastAsia" w:ascii="宋体" w:hAnsi="宋体" w:eastAsia="宋体" w:cs="宋体"/>
          <w:kern w:val="0"/>
          <w:sz w:val="24"/>
          <w:szCs w:val="24"/>
          <w:lang w:val="zh-CN"/>
        </w:rPr>
        <w:t>（格式见附件</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lang w:val="zh-CN"/>
        </w:rPr>
        <w:t>）</w:t>
      </w:r>
    </w:p>
    <w:p w14:paraId="7F71A09D">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r>
        <w:rPr>
          <w:rFonts w:hint="eastAsia" w:ascii="宋体" w:hAnsi="宋体" w:eastAsia="宋体" w:cs="宋体"/>
          <w:sz w:val="24"/>
        </w:rPr>
        <w:t>提供投标函</w:t>
      </w:r>
      <w:r>
        <w:rPr>
          <w:rFonts w:hint="eastAsia" w:ascii="宋体" w:hAnsi="宋体" w:eastAsia="宋体" w:cs="宋体"/>
          <w:sz w:val="24"/>
          <w:lang w:eastAsia="zh-CN"/>
        </w:rPr>
        <w:t>（格式见附件</w:t>
      </w:r>
      <w:r>
        <w:rPr>
          <w:rFonts w:hint="eastAsia" w:ascii="宋体" w:hAnsi="宋体" w:eastAsia="宋体" w:cs="宋体"/>
          <w:sz w:val="24"/>
          <w:lang w:val="en-US" w:eastAsia="zh-CN"/>
        </w:rPr>
        <w:t>7</w:t>
      </w:r>
      <w:r>
        <w:rPr>
          <w:rFonts w:hint="eastAsia" w:ascii="宋体" w:hAnsi="宋体" w:eastAsia="宋体" w:cs="宋体"/>
          <w:sz w:val="24"/>
          <w:lang w:eastAsia="zh-CN"/>
        </w:rPr>
        <w:t>）</w:t>
      </w:r>
    </w:p>
    <w:p w14:paraId="0DEB7034">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lang w:val="zh-CN"/>
        </w:rPr>
        <w:t>、中小企业声明函</w:t>
      </w:r>
      <w:r>
        <w:rPr>
          <w:rFonts w:hint="eastAsia" w:ascii="宋体" w:hAnsi="宋体" w:eastAsia="宋体" w:cs="宋体"/>
          <w:kern w:val="0"/>
          <w:sz w:val="24"/>
          <w:szCs w:val="24"/>
        </w:rPr>
        <w:t>（格式见附件</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rPr>
        <w:t>）</w:t>
      </w:r>
    </w:p>
    <w:p w14:paraId="1B6E481D">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w:t>
      </w:r>
      <w:r>
        <w:rPr>
          <w:rFonts w:hint="eastAsia" w:ascii="宋体" w:hAnsi="宋体" w:eastAsia="宋体" w:cs="宋体"/>
          <w:sz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lang w:eastAsia="zh-CN"/>
        </w:rPr>
        <w:t>，</w:t>
      </w:r>
      <w:r>
        <w:rPr>
          <w:rFonts w:hint="eastAsia" w:ascii="宋体" w:hAnsi="宋体" w:eastAsia="宋体" w:cs="宋体"/>
          <w:sz w:val="24"/>
          <w:lang w:val="en-US" w:eastAsia="zh-CN"/>
        </w:rPr>
        <w:t>由代理机构现场查询并截图保存留档</w:t>
      </w:r>
      <w:r>
        <w:rPr>
          <w:rFonts w:hint="eastAsia" w:ascii="宋体" w:hAnsi="宋体" w:eastAsia="宋体" w:cs="宋体"/>
          <w:sz w:val="24"/>
        </w:rPr>
        <w:t>）</w:t>
      </w:r>
    </w:p>
    <w:p w14:paraId="63EC315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en-US" w:eastAsia="zh-CN"/>
        </w:rPr>
        <w:t>12</w:t>
      </w:r>
      <w:r>
        <w:rPr>
          <w:rFonts w:hint="eastAsia" w:ascii="宋体" w:hAnsi="宋体" w:eastAsia="宋体" w:cs="宋体"/>
          <w:kern w:val="0"/>
          <w:sz w:val="24"/>
          <w:szCs w:val="24"/>
          <w:lang w:val="zh-CN"/>
        </w:rPr>
        <w:t>、其它需要提交的资格审查证明材料。</w:t>
      </w:r>
    </w:p>
    <w:p w14:paraId="67DF401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（招标文件要求提供的</w:t>
      </w:r>
      <w:r>
        <w:rPr>
          <w:rFonts w:hint="eastAsia" w:ascii="宋体" w:hAnsi="宋体" w:eastAsia="宋体" w:cs="宋体"/>
          <w:b/>
          <w:bCs/>
          <w:kern w:val="0"/>
          <w:sz w:val="24"/>
          <w:szCs w:val="24"/>
          <w:lang w:val="zh-CN"/>
        </w:rPr>
        <w:t>资格审查证明材料</w:t>
      </w:r>
      <w:r>
        <w:rPr>
          <w:rFonts w:hint="eastAsia" w:ascii="宋体" w:hAnsi="宋体" w:eastAsia="宋体" w:cs="宋体"/>
          <w:kern w:val="0"/>
          <w:sz w:val="24"/>
          <w:szCs w:val="24"/>
          <w:lang w:val="zh-CN"/>
        </w:rPr>
        <w:t>中没有对应的接口上传的资料，可以在本部分的其他材料的接口中上传）</w:t>
      </w:r>
    </w:p>
    <w:p w14:paraId="60808F06">
      <w:pPr>
        <w:pageBreakBefore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zh-CN"/>
        </w:rPr>
        <w:t>二、商务技术标（不能出现价格标）</w:t>
      </w:r>
    </w:p>
    <w:p w14:paraId="45F3A5DA">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1、投标人情况一览表；（格式见附件</w:t>
      </w:r>
      <w:r>
        <w:rPr>
          <w:rFonts w:hint="eastAsia" w:ascii="宋体" w:hAnsi="宋体" w:eastAsia="宋体" w:cs="宋体"/>
          <w:bCs/>
          <w:kern w:val="0"/>
          <w:sz w:val="24"/>
          <w:szCs w:val="24"/>
          <w:lang w:val="en-US" w:eastAsia="zh-CN"/>
        </w:rPr>
        <w:t>11</w:t>
      </w:r>
      <w:r>
        <w:rPr>
          <w:rFonts w:hint="eastAsia" w:ascii="宋体" w:hAnsi="宋体" w:eastAsia="宋体" w:cs="宋体"/>
          <w:bCs/>
          <w:kern w:val="0"/>
          <w:sz w:val="24"/>
          <w:szCs w:val="24"/>
          <w:lang w:val="zh-CN"/>
        </w:rPr>
        <w:t>）</w:t>
      </w:r>
    </w:p>
    <w:p w14:paraId="243FE58E">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2、商务部分正负偏离表；（格式见附件</w:t>
      </w:r>
      <w:r>
        <w:rPr>
          <w:rFonts w:hint="eastAsia" w:ascii="宋体" w:hAnsi="宋体" w:eastAsia="宋体" w:cs="宋体"/>
          <w:bCs/>
          <w:kern w:val="0"/>
          <w:sz w:val="24"/>
          <w:szCs w:val="24"/>
          <w:lang w:val="en-US" w:eastAsia="zh-CN"/>
        </w:rPr>
        <w:t>12</w:t>
      </w:r>
      <w:r>
        <w:rPr>
          <w:rFonts w:hint="eastAsia" w:ascii="宋体" w:hAnsi="宋体" w:eastAsia="宋体" w:cs="宋体"/>
          <w:bCs/>
          <w:kern w:val="0"/>
          <w:sz w:val="24"/>
          <w:szCs w:val="24"/>
          <w:lang w:val="zh-CN"/>
        </w:rPr>
        <w:t>）</w:t>
      </w:r>
    </w:p>
    <w:p w14:paraId="09C6FC7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3、技术部分正负偏离表；（格式见附件</w:t>
      </w:r>
      <w:r>
        <w:rPr>
          <w:rFonts w:hint="eastAsia" w:ascii="宋体" w:hAnsi="宋体" w:eastAsia="宋体" w:cs="宋体"/>
          <w:bCs/>
          <w:kern w:val="0"/>
          <w:sz w:val="24"/>
          <w:szCs w:val="24"/>
          <w:lang w:val="en-US" w:eastAsia="zh-CN"/>
        </w:rPr>
        <w:t>13</w:t>
      </w:r>
      <w:r>
        <w:rPr>
          <w:rFonts w:hint="eastAsia" w:ascii="宋体" w:hAnsi="宋体" w:eastAsia="宋体" w:cs="宋体"/>
          <w:bCs/>
          <w:kern w:val="0"/>
          <w:sz w:val="24"/>
          <w:szCs w:val="24"/>
          <w:lang w:val="zh-CN"/>
        </w:rPr>
        <w:t>）</w:t>
      </w:r>
    </w:p>
    <w:p w14:paraId="4E04C9C1">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4、投标方案、货物（服务）清单。具有项目、数量、品牌、型号、配置性能等；</w:t>
      </w:r>
    </w:p>
    <w:p w14:paraId="15F1D80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5、商务技术评分标准中须提供的相关得分佐证材料；</w:t>
      </w:r>
    </w:p>
    <w:p w14:paraId="6F42C3A9">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6、投标人认为需要提交的其他商务技术材料。</w:t>
      </w:r>
    </w:p>
    <w:p w14:paraId="762F08B3">
      <w:pPr>
        <w:pageBreakBefore w:val="0"/>
        <w:kinsoku/>
        <w:wordWrap/>
        <w:overflowPunct/>
        <w:topLinePunct w:val="0"/>
        <w:autoSpaceDE/>
        <w:autoSpaceDN/>
        <w:bidi w:val="0"/>
        <w:adjustRightInd w:val="0"/>
        <w:snapToGrid/>
        <w:spacing w:beforeAutospacing="0" w:afterAutospacing="0" w:line="360" w:lineRule="auto"/>
        <w:ind w:firstLine="240" w:firstLineChars="1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（招标文件要求提供的</w:t>
      </w:r>
      <w:r>
        <w:rPr>
          <w:rFonts w:hint="eastAsia" w:ascii="宋体" w:hAnsi="宋体" w:eastAsia="宋体" w:cs="宋体"/>
          <w:b/>
          <w:bCs/>
          <w:kern w:val="0"/>
          <w:sz w:val="24"/>
          <w:szCs w:val="24"/>
          <w:lang w:val="zh-CN"/>
        </w:rPr>
        <w:t>商务技术标材料</w:t>
      </w:r>
      <w:r>
        <w:rPr>
          <w:rFonts w:hint="eastAsia" w:ascii="宋体" w:hAnsi="宋体" w:eastAsia="宋体" w:cs="宋体"/>
          <w:kern w:val="0"/>
          <w:sz w:val="24"/>
          <w:szCs w:val="24"/>
          <w:lang w:val="zh-CN"/>
        </w:rPr>
        <w:t>中没有对应的接口上传的资料，可以在本部分的其他材料的接口中上传）</w:t>
      </w:r>
    </w:p>
    <w:p w14:paraId="59E954F3">
      <w:pPr>
        <w:pageBreakBefore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zh-CN"/>
        </w:rPr>
        <w:t>三、价格标</w:t>
      </w:r>
    </w:p>
    <w:p w14:paraId="3AD577A3">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1、开标一览表（格式见附件</w:t>
      </w:r>
      <w:r>
        <w:rPr>
          <w:rFonts w:hint="eastAsia" w:ascii="宋体" w:hAnsi="宋体" w:eastAsia="宋体" w:cs="宋体"/>
          <w:kern w:val="0"/>
          <w:sz w:val="24"/>
          <w:szCs w:val="24"/>
          <w:lang w:val="en-US" w:eastAsia="zh-CN"/>
        </w:rPr>
        <w:t>14</w:t>
      </w:r>
      <w:r>
        <w:rPr>
          <w:rFonts w:hint="eastAsia" w:ascii="宋体" w:hAnsi="宋体" w:eastAsia="宋体" w:cs="宋体"/>
          <w:kern w:val="0"/>
          <w:sz w:val="24"/>
          <w:szCs w:val="24"/>
          <w:lang w:val="zh-CN"/>
        </w:rPr>
        <w:t>）；</w:t>
      </w:r>
    </w:p>
    <w:p w14:paraId="52C19336">
      <w:pPr>
        <w:pageBreakBefore w:val="0"/>
        <w:kinsoku/>
        <w:wordWrap/>
        <w:overflowPunct/>
        <w:topLinePunct w:val="0"/>
        <w:autoSpaceDE/>
        <w:autoSpaceDN/>
        <w:bidi w:val="0"/>
        <w:adjustRightInd w:val="0"/>
        <w:snapToGrid/>
        <w:spacing w:beforeAutospacing="0" w:afterAutospacing="0" w:line="36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2、报价明细表（格式见附件</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lang w:val="zh-CN"/>
        </w:rPr>
        <w:t>）。</w:t>
      </w:r>
    </w:p>
    <w:p w14:paraId="749CC784">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4"/>
          <w:lang w:val="zh-CN"/>
        </w:rPr>
      </w:pPr>
      <w:r>
        <w:rPr>
          <w:rFonts w:hint="eastAsia" w:ascii="宋体" w:hAnsi="宋体" w:eastAsia="宋体" w:cs="宋体"/>
          <w:kern w:val="0"/>
          <w:sz w:val="24"/>
          <w:szCs w:val="24"/>
          <w:lang w:val="zh-CN"/>
        </w:rPr>
        <w:t>（如招标文件要求提供的</w:t>
      </w:r>
      <w:r>
        <w:rPr>
          <w:rFonts w:hint="eastAsia" w:ascii="宋体" w:hAnsi="宋体" w:eastAsia="宋体" w:cs="宋体"/>
          <w:b/>
          <w:bCs/>
          <w:kern w:val="0"/>
          <w:sz w:val="24"/>
          <w:szCs w:val="24"/>
          <w:lang w:val="zh-CN"/>
        </w:rPr>
        <w:t>价格标资料</w:t>
      </w:r>
      <w:r>
        <w:rPr>
          <w:rFonts w:hint="eastAsia" w:ascii="宋体" w:hAnsi="宋体" w:eastAsia="宋体" w:cs="宋体"/>
          <w:kern w:val="0"/>
          <w:sz w:val="24"/>
          <w:szCs w:val="24"/>
          <w:lang w:val="zh-CN"/>
        </w:rPr>
        <w:t>中没有对应的接口上传的资料可以在本部分的其他材料的接口中上传）</w:t>
      </w:r>
      <w:r>
        <w:rPr>
          <w:rFonts w:hint="eastAsia" w:ascii="宋体" w:hAnsi="宋体" w:eastAsia="宋体" w:cs="宋体"/>
          <w:bCs/>
          <w:sz w:val="24"/>
          <w:lang w:val="zh-CN"/>
        </w:rPr>
        <w:br w:type="page"/>
      </w:r>
    </w:p>
    <w:p w14:paraId="3CE6C243">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lang w:val="zh-CN"/>
        </w:rPr>
      </w:pPr>
      <w:r>
        <w:rPr>
          <w:rFonts w:hint="eastAsia" w:ascii="宋体" w:hAnsi="宋体" w:eastAsia="宋体" w:cs="宋体"/>
          <w:sz w:val="32"/>
          <w:szCs w:val="32"/>
          <w:lang w:val="zh-CN"/>
        </w:rPr>
        <w:t>附件1</w:t>
      </w:r>
    </w:p>
    <w:p w14:paraId="4F479F1C">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sz w:val="30"/>
          <w:szCs w:val="30"/>
        </w:rPr>
      </w:pPr>
    </w:p>
    <w:p w14:paraId="3C816C6E">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z w:val="44"/>
          <w:szCs w:val="44"/>
        </w:rPr>
      </w:pPr>
      <w:r>
        <w:rPr>
          <w:rFonts w:hint="eastAsia" w:ascii="宋体" w:hAnsi="宋体" w:eastAsia="宋体" w:cs="宋体"/>
          <w:b/>
          <w:sz w:val="30"/>
          <w:szCs w:val="30"/>
        </w:rPr>
        <w:t>投标人符合《政府采购法》第二十二条规定条件的声明函</w:t>
      </w: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w:t>
      </w:r>
    </w:p>
    <w:p w14:paraId="17F96033">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b/>
          <w:bCs/>
          <w:sz w:val="24"/>
        </w:rPr>
      </w:pPr>
      <w:r>
        <w:rPr>
          <w:rFonts w:hint="eastAsia" w:ascii="宋体" w:hAnsi="宋体" w:eastAsia="宋体" w:cs="宋体"/>
          <w:bCs/>
          <w:sz w:val="24"/>
        </w:rPr>
        <w:t>我单位参加________________</w:t>
      </w:r>
      <w:r>
        <w:rPr>
          <w:rFonts w:hint="eastAsia" w:ascii="宋体" w:hAnsi="宋体" w:eastAsia="宋体" w:cs="宋体"/>
          <w:bCs/>
          <w:sz w:val="24"/>
          <w:szCs w:val="21"/>
        </w:rPr>
        <w:t>（项目名称），</w:t>
      </w:r>
      <w:r>
        <w:rPr>
          <w:rFonts w:hint="eastAsia" w:ascii="宋体" w:hAnsi="宋体" w:eastAsia="宋体" w:cs="宋体"/>
          <w:bCs/>
          <w:sz w:val="24"/>
        </w:rPr>
        <w:t>________________</w:t>
      </w:r>
      <w:r>
        <w:rPr>
          <w:rFonts w:hint="eastAsia" w:ascii="宋体" w:hAnsi="宋体" w:eastAsia="宋体" w:cs="宋体"/>
          <w:bCs/>
          <w:sz w:val="24"/>
          <w:szCs w:val="21"/>
        </w:rPr>
        <w:t>（项目编号）投标活动。针对《中华人民共和国政府采购法》第二十二条规定做出如下声明：</w:t>
      </w:r>
    </w:p>
    <w:p w14:paraId="6F6FFBDA">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bCs/>
          <w:sz w:val="24"/>
          <w:szCs w:val="21"/>
        </w:rPr>
        <w:t>1.我单位具有独立承担民事责任的能力；</w:t>
      </w:r>
    </w:p>
    <w:p w14:paraId="79265717">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2.我单位具有良好的商业信誉和健全的财务会计制度；</w:t>
      </w:r>
    </w:p>
    <w:p w14:paraId="2174D123">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3.我单位具有履行合同所必需的设备和专业技术能力；</w:t>
      </w:r>
    </w:p>
    <w:p w14:paraId="2F4426FB">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4.我单位有依法缴纳税收和社会保障资金的良好记录；</w:t>
      </w:r>
    </w:p>
    <w:p w14:paraId="2001149C">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5.我单位参加政府采购活动前三年内，在经营活动中没有重大违法记录；</w:t>
      </w:r>
    </w:p>
    <w:p w14:paraId="0E059216">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CEF0661">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6.我单位满足法律、行政法规规定的其他条件。</w:t>
      </w:r>
    </w:p>
    <w:p w14:paraId="3A4774A1">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sz w:val="24"/>
        </w:rPr>
      </w:pPr>
    </w:p>
    <w:p w14:paraId="41C929E1">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p>
    <w:p w14:paraId="1CD112E4">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4"/>
          <w:szCs w:val="21"/>
        </w:rPr>
      </w:pPr>
    </w:p>
    <w:p w14:paraId="78F856E3">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4"/>
          <w:szCs w:val="21"/>
        </w:rPr>
      </w:pPr>
    </w:p>
    <w:p w14:paraId="7B43B957">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4"/>
          <w:szCs w:val="21"/>
        </w:rPr>
      </w:pPr>
    </w:p>
    <w:p w14:paraId="68CA7871">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24"/>
          <w:szCs w:val="21"/>
        </w:rPr>
      </w:pPr>
      <w:r>
        <w:rPr>
          <w:rFonts w:hint="eastAsia" w:ascii="宋体" w:hAnsi="宋体" w:eastAsia="宋体" w:cs="宋体"/>
          <w:bCs/>
          <w:sz w:val="24"/>
          <w:szCs w:val="21"/>
        </w:rPr>
        <w:t xml:space="preserve">                                             承诺人名称（公章）：</w:t>
      </w:r>
    </w:p>
    <w:p w14:paraId="7EF3BABC">
      <w:pPr>
        <w:pageBreakBefore w:val="0"/>
        <w:kinsoku/>
        <w:wordWrap/>
        <w:overflowPunct/>
        <w:topLinePunct w:val="0"/>
        <w:autoSpaceDE/>
        <w:autoSpaceDN/>
        <w:bidi w:val="0"/>
        <w:snapToGrid/>
        <w:spacing w:line="360" w:lineRule="auto"/>
        <w:jc w:val="right"/>
        <w:textAlignment w:val="auto"/>
        <w:rPr>
          <w:rFonts w:hint="eastAsia" w:ascii="宋体" w:hAnsi="宋体" w:eastAsia="宋体" w:cs="宋体"/>
          <w:bCs/>
          <w:sz w:val="24"/>
          <w:szCs w:val="21"/>
        </w:rPr>
      </w:pPr>
      <w:r>
        <w:rPr>
          <w:rFonts w:hint="eastAsia" w:ascii="宋体" w:hAnsi="宋体" w:eastAsia="宋体" w:cs="宋体"/>
          <w:bCs/>
          <w:sz w:val="24"/>
          <w:szCs w:val="21"/>
        </w:rPr>
        <w:t xml:space="preserve">    </w:t>
      </w:r>
    </w:p>
    <w:p w14:paraId="4D0DE383">
      <w:pPr>
        <w:pageBreakBefore w:val="0"/>
        <w:kinsoku/>
        <w:wordWrap/>
        <w:overflowPunct/>
        <w:topLinePunct w:val="0"/>
        <w:autoSpaceDE/>
        <w:autoSpaceDN/>
        <w:bidi w:val="0"/>
        <w:snapToGrid/>
        <w:spacing w:line="360" w:lineRule="auto"/>
        <w:jc w:val="right"/>
        <w:textAlignment w:val="auto"/>
        <w:rPr>
          <w:rFonts w:hint="eastAsia" w:ascii="宋体" w:hAnsi="宋体" w:eastAsia="宋体" w:cs="宋体"/>
          <w:bCs/>
          <w:sz w:val="24"/>
          <w:szCs w:val="21"/>
        </w:rPr>
      </w:pPr>
      <w:r>
        <w:rPr>
          <w:rFonts w:hint="eastAsia" w:ascii="宋体" w:hAnsi="宋体" w:eastAsia="宋体" w:cs="宋体"/>
          <w:bCs/>
          <w:sz w:val="24"/>
          <w:szCs w:val="21"/>
        </w:rPr>
        <w:t xml:space="preserve">                                 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日</w:t>
      </w:r>
    </w:p>
    <w:p w14:paraId="57CDD860">
      <w:pPr>
        <w:pageBreakBefore w:val="0"/>
        <w:kinsoku/>
        <w:wordWrap/>
        <w:overflowPunct/>
        <w:topLinePunct w:val="0"/>
        <w:autoSpaceDE/>
        <w:autoSpaceDN/>
        <w:bidi w:val="0"/>
        <w:snapToGrid/>
        <w:spacing w:line="360" w:lineRule="auto"/>
        <w:textAlignment w:val="auto"/>
        <w:rPr>
          <w:rFonts w:hint="eastAsia" w:ascii="宋体" w:hAnsi="宋体" w:eastAsia="宋体" w:cs="宋体"/>
          <w:szCs w:val="21"/>
        </w:rPr>
      </w:pPr>
    </w:p>
    <w:p w14:paraId="1B6A4BEB">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8"/>
          <w:szCs w:val="28"/>
          <w:lang w:val="zh-CN"/>
        </w:rPr>
      </w:pPr>
    </w:p>
    <w:p w14:paraId="45B70424">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8"/>
          <w:szCs w:val="28"/>
          <w:lang w:val="zh-CN"/>
        </w:rPr>
      </w:pPr>
    </w:p>
    <w:p w14:paraId="30EE78B4">
      <w:pPr>
        <w:rPr>
          <w:rFonts w:hint="eastAsia"/>
          <w:lang w:val="zh-CN"/>
        </w:rPr>
      </w:pPr>
      <w:r>
        <w:rPr>
          <w:rFonts w:hint="eastAsia"/>
          <w:lang w:val="zh-CN"/>
        </w:rPr>
        <w:br w:type="page"/>
      </w:r>
    </w:p>
    <w:p w14:paraId="2B212BFA">
      <w:pPr>
        <w:bidi w:val="0"/>
        <w:rPr>
          <w:rFonts w:hint="eastAsia"/>
          <w:lang w:val="zh-CN"/>
        </w:rPr>
      </w:pPr>
    </w:p>
    <w:p w14:paraId="3391DA38">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lang w:val="zh-CN"/>
        </w:rPr>
      </w:pPr>
      <w:r>
        <w:rPr>
          <w:rFonts w:hint="eastAsia" w:ascii="宋体" w:hAnsi="宋体" w:eastAsia="宋体" w:cs="宋体"/>
          <w:sz w:val="32"/>
          <w:szCs w:val="32"/>
          <w:lang w:val="zh-CN"/>
        </w:rPr>
        <w:t>附件2</w:t>
      </w:r>
    </w:p>
    <w:p w14:paraId="304AC525">
      <w:pPr>
        <w:pStyle w:val="413"/>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法定代表人身份证明</w:t>
      </w:r>
    </w:p>
    <w:p w14:paraId="75370CF7">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p>
    <w:p w14:paraId="42041AD7">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先生/女士，身份证号码：</w:t>
      </w:r>
      <w:r>
        <w:rPr>
          <w:rFonts w:hint="eastAsia" w:ascii="宋体" w:hAnsi="宋体" w:eastAsia="宋体" w:cs="宋体"/>
          <w:sz w:val="24"/>
          <w:u w:val="single"/>
        </w:rPr>
        <w:t xml:space="preserve">        </w:t>
      </w:r>
      <w:r>
        <w:rPr>
          <w:rFonts w:hint="eastAsia" w:ascii="宋体" w:hAnsi="宋体" w:eastAsia="宋体" w:cs="宋体"/>
          <w:sz w:val="24"/>
        </w:rPr>
        <w:t>， 现任我单位</w:t>
      </w:r>
      <w:r>
        <w:rPr>
          <w:rFonts w:hint="eastAsia" w:ascii="宋体" w:hAnsi="宋体" w:eastAsia="宋体" w:cs="宋体"/>
          <w:sz w:val="24"/>
          <w:u w:val="single"/>
        </w:rPr>
        <w:t xml:space="preserve">        </w:t>
      </w:r>
      <w:r>
        <w:rPr>
          <w:rFonts w:hint="eastAsia" w:ascii="宋体" w:hAnsi="宋体" w:eastAsia="宋体" w:cs="宋体"/>
          <w:sz w:val="24"/>
        </w:rPr>
        <w:t>职务，为法定代表人，特此证明。</w:t>
      </w:r>
    </w:p>
    <w:p w14:paraId="353E2483">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p w14:paraId="13744091">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24"/>
          <w:szCs w:val="21"/>
        </w:rPr>
      </w:pPr>
      <w:r>
        <w:rPr>
          <w:rFonts w:hint="eastAsia" w:ascii="宋体" w:hAnsi="宋体" w:eastAsia="宋体" w:cs="宋体"/>
          <w:sz w:val="24"/>
        </w:rPr>
        <w:t xml:space="preserve">                        投标人名称（盖公章）:</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Cs/>
          <w:sz w:val="24"/>
          <w:szCs w:val="21"/>
        </w:rPr>
        <w:t xml:space="preserve">                </w:t>
      </w:r>
    </w:p>
    <w:p w14:paraId="3C55C330">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bCs/>
          <w:sz w:val="24"/>
          <w:szCs w:val="21"/>
        </w:rPr>
        <w:t xml:space="preserve">                             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日</w:t>
      </w:r>
      <w:r>
        <w:rPr>
          <w:rFonts w:hint="eastAsia" w:ascii="宋体" w:hAnsi="宋体" w:eastAsia="宋体" w:cs="宋体"/>
          <w:sz w:val="24"/>
        </w:rPr>
        <w:t xml:space="preserve">  </w:t>
      </w:r>
    </w:p>
    <w:p w14:paraId="546E1C22">
      <w:pPr>
        <w:pageBreakBefore w:val="0"/>
        <w:kinsoku/>
        <w:wordWrap/>
        <w:overflowPunct/>
        <w:topLinePunct w:val="0"/>
        <w:autoSpaceDE/>
        <w:autoSpaceDN/>
        <w:bidi w:val="0"/>
        <w:snapToGrid/>
        <w:spacing w:line="360" w:lineRule="auto"/>
        <w:textAlignment w:val="auto"/>
        <w:rPr>
          <w:rFonts w:hint="eastAsia" w:ascii="宋体" w:hAnsi="宋体" w:eastAsia="宋体" w:cs="宋体"/>
          <w:u w:val="single"/>
        </w:rPr>
      </w:pPr>
      <w:r>
        <w:rPr>
          <w:rFonts w:hint="eastAsia" w:ascii="宋体" w:hAnsi="宋体" w:eastAsia="宋体" w:cs="宋体"/>
        </w:rPr>
        <w:t xml:space="preserve">        </w:t>
      </w:r>
    </w:p>
    <w:p w14:paraId="3749D2B1">
      <w:pPr>
        <w:pStyle w:val="468"/>
        <w:pageBreakBefore w:val="0"/>
        <w:kinsoku/>
        <w:wordWrap/>
        <w:overflowPunct/>
        <w:topLinePunct w:val="0"/>
        <w:autoSpaceDE/>
        <w:autoSpaceDN/>
        <w:bidi w:val="0"/>
        <w:snapToGrid/>
        <w:spacing w:line="360" w:lineRule="auto"/>
        <w:textAlignment w:val="auto"/>
        <w:rPr>
          <w:rFonts w:hint="eastAsia" w:ascii="宋体" w:hAnsi="宋体" w:eastAsia="宋体" w:cs="宋体"/>
          <w:b/>
          <w:sz w:val="24"/>
        </w:rPr>
      </w:pPr>
      <w:r>
        <w:rPr>
          <w:rFonts w:hint="eastAsia" w:ascii="宋体" w:hAnsi="宋体" w:eastAsia="宋体" w:cs="宋体"/>
          <w:b/>
          <w:sz w:val="24"/>
        </w:rPr>
        <w:t>附：提供法定代表人的身份证复印件并加盖单位公章</w:t>
      </w:r>
    </w:p>
    <w:p w14:paraId="3BE0964C">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rPr>
      </w:pPr>
    </w:p>
    <w:p w14:paraId="4453842D">
      <w:pPr>
        <w:pageBreakBefore w:val="0"/>
        <w:kinsoku/>
        <w:wordWrap/>
        <w:overflowPunct/>
        <w:topLinePunct w:val="0"/>
        <w:autoSpaceDE/>
        <w:autoSpaceDN/>
        <w:bidi w:val="0"/>
        <w:snapToGrid/>
        <w:spacing w:line="360" w:lineRule="auto"/>
        <w:textAlignment w:val="auto"/>
        <w:rPr>
          <w:rFonts w:hint="eastAsia" w:ascii="宋体" w:hAnsi="宋体" w:eastAsia="宋体" w:cs="宋体"/>
        </w:rPr>
      </w:pPr>
      <w:r>
        <w:rPr>
          <w:rFonts w:hint="eastAsia" w:ascii="宋体" w:hAnsi="宋体" w:eastAsia="宋体" w:cs="宋体"/>
        </w:rPr>
        <w:t xml:space="preserve">     </w:t>
      </w:r>
    </w:p>
    <w:p w14:paraId="5D15405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581D76FF">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1DA16E4C">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6AEBB8BE">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43CFBD58">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10B35451">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264ADE1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70C61641">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667EECE2">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60C1798E">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12E2F6EE">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416A7769">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3F14CC62">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20CB554E">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45BCF0F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lang w:val="zh-CN"/>
        </w:rPr>
      </w:pPr>
    </w:p>
    <w:p w14:paraId="40EE10D3">
      <w:pPr>
        <w:pageBreakBefore w:val="0"/>
        <w:kinsoku/>
        <w:wordWrap/>
        <w:overflowPunct/>
        <w:topLinePunct w:val="0"/>
        <w:autoSpaceDE/>
        <w:autoSpaceDN/>
        <w:bidi w:val="0"/>
        <w:snapToGrid/>
        <w:spacing w:line="360" w:lineRule="auto"/>
        <w:textAlignment w:val="auto"/>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p>
    <w:p w14:paraId="0F8B69E9">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lang w:val="zh-CN"/>
        </w:rPr>
      </w:pPr>
      <w:r>
        <w:rPr>
          <w:rFonts w:hint="eastAsia" w:ascii="宋体" w:hAnsi="宋体" w:eastAsia="宋体" w:cs="宋体"/>
          <w:sz w:val="32"/>
          <w:szCs w:val="32"/>
          <w:lang w:val="zh-CN"/>
        </w:rPr>
        <w:t>附件3</w:t>
      </w:r>
    </w:p>
    <w:p w14:paraId="645928B4">
      <w:pPr>
        <w:pageBreakBefore w:val="0"/>
        <w:kinsoku/>
        <w:wordWrap/>
        <w:overflowPunct/>
        <w:topLinePunct w:val="0"/>
        <w:autoSpaceDE/>
        <w:autoSpaceDN/>
        <w:bidi w:val="0"/>
        <w:snapToGrid/>
        <w:spacing w:line="360" w:lineRule="auto"/>
        <w:jc w:val="center"/>
        <w:textAlignment w:val="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（如有授权则需提供）</w:t>
      </w:r>
    </w:p>
    <w:p w14:paraId="1BA12680">
      <w:pPr>
        <w:bidi w:val="0"/>
        <w:rPr>
          <w:rFonts w:hint="eastAsia"/>
        </w:rPr>
      </w:pPr>
    </w:p>
    <w:p w14:paraId="17900EF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32"/>
          <w:szCs w:val="32"/>
        </w:rPr>
      </w:pPr>
      <w:r>
        <w:rPr>
          <w:rFonts w:hint="eastAsia" w:ascii="宋体" w:hAnsi="宋体" w:eastAsia="宋体" w:cs="宋体"/>
          <w:b/>
          <w:bCs/>
          <w:sz w:val="32"/>
          <w:szCs w:val="32"/>
        </w:rPr>
        <w:t>法定代表人授权委托书</w:t>
      </w:r>
    </w:p>
    <w:p w14:paraId="0C871AC6">
      <w:pPr>
        <w:bidi w:val="0"/>
        <w:rPr>
          <w:rFonts w:hint="eastAsia"/>
        </w:rPr>
      </w:pPr>
    </w:p>
    <w:p w14:paraId="7F3516F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 xml:space="preserve">     </w:t>
      </w:r>
      <w:r>
        <w:rPr>
          <w:rFonts w:hint="eastAsia" w:ascii="宋体" w:hAnsi="宋体" w:eastAsia="宋体" w:cs="宋体"/>
          <w:sz w:val="24"/>
          <w:szCs w:val="24"/>
        </w:rPr>
        <w:t>（姓名）系</w:t>
      </w:r>
      <w:r>
        <w:rPr>
          <w:rFonts w:hint="eastAsia" w:ascii="宋体" w:hAnsi="宋体" w:eastAsia="宋体" w:cs="宋体"/>
          <w:sz w:val="24"/>
          <w:szCs w:val="24"/>
          <w:u w:val="single"/>
        </w:rPr>
        <w:t xml:space="preserve">     </w:t>
      </w:r>
      <w:r>
        <w:rPr>
          <w:rFonts w:hint="eastAsia" w:ascii="宋体" w:hAnsi="宋体" w:eastAsia="宋体" w:cs="宋体"/>
          <w:sz w:val="24"/>
          <w:szCs w:val="24"/>
        </w:rPr>
        <w:t>（授权单位名称）的法定代表人，现委托</w:t>
      </w:r>
      <w:r>
        <w:rPr>
          <w:rFonts w:hint="eastAsia" w:ascii="宋体" w:hAnsi="宋体" w:eastAsia="宋体" w:cs="宋体"/>
          <w:sz w:val="24"/>
          <w:szCs w:val="24"/>
          <w:u w:val="single"/>
        </w:rPr>
        <w:t xml:space="preserve">     </w:t>
      </w:r>
      <w:r>
        <w:rPr>
          <w:rFonts w:hint="eastAsia" w:ascii="宋体" w:hAnsi="宋体" w:eastAsia="宋体" w:cs="宋体"/>
          <w:sz w:val="24"/>
          <w:szCs w:val="24"/>
        </w:rPr>
        <w:t>（姓名）（身份证号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）为我方代理人，以我方名义全权处理与</w:t>
      </w:r>
      <w:r>
        <w:rPr>
          <w:rFonts w:hint="eastAsia" w:ascii="宋体" w:hAnsi="宋体" w:eastAsia="宋体" w:cs="宋体"/>
          <w:sz w:val="24"/>
          <w:szCs w:val="24"/>
          <w:u w:val="single"/>
        </w:rPr>
        <w:t xml:space="preserve">     </w:t>
      </w:r>
      <w:r>
        <w:rPr>
          <w:rFonts w:hint="eastAsia" w:ascii="宋体" w:hAnsi="宋体" w:eastAsia="宋体" w:cs="宋体"/>
          <w:sz w:val="24"/>
          <w:szCs w:val="24"/>
        </w:rPr>
        <w:t>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）有关的一切事务，其法律后果由我方承担。</w:t>
      </w:r>
    </w:p>
    <w:p w14:paraId="1BD5F07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日起生效。代理人无转委托权。</w:t>
      </w:r>
    </w:p>
    <w:p w14:paraId="034DC5E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代理人(被授权人):</w:t>
      </w:r>
      <w:r>
        <w:rPr>
          <w:rFonts w:hint="eastAsia" w:ascii="宋体" w:hAnsi="宋体" w:eastAsia="宋体" w:cs="宋体"/>
          <w:sz w:val="24"/>
          <w:szCs w:val="24"/>
          <w:u w:val="single"/>
        </w:rPr>
        <w:t xml:space="preserve">     </w:t>
      </w:r>
    </w:p>
    <w:p w14:paraId="118C3E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授权单位名称（盖章）：</w:t>
      </w:r>
      <w:r>
        <w:rPr>
          <w:rFonts w:hint="eastAsia" w:ascii="宋体" w:hAnsi="宋体" w:eastAsia="宋体" w:cs="宋体"/>
          <w:sz w:val="24"/>
          <w:szCs w:val="24"/>
          <w:u w:val="single"/>
        </w:rPr>
        <w:t xml:space="preserve">     </w:t>
      </w:r>
    </w:p>
    <w:p w14:paraId="5761355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授权单位法定代表人（签字或盖章）：</w:t>
      </w:r>
      <w:r>
        <w:rPr>
          <w:rFonts w:hint="eastAsia" w:ascii="宋体" w:hAnsi="宋体" w:eastAsia="宋体" w:cs="宋体"/>
          <w:sz w:val="24"/>
          <w:szCs w:val="24"/>
          <w:u w:val="single"/>
        </w:rPr>
        <w:t xml:space="preserve">     </w:t>
      </w:r>
    </w:p>
    <w:p w14:paraId="787E6B9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p>
    <w:p w14:paraId="4274181F">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rPr>
      </w:pPr>
      <w:r>
        <w:rPr>
          <w:rFonts w:hint="eastAsia" w:ascii="宋体" w:hAnsi="宋体" w:eastAsia="宋体" w:cs="宋体"/>
          <w:sz w:val="24"/>
          <w:szCs w:val="24"/>
        </w:rPr>
        <w:t>XXXX年XX月XX日</w:t>
      </w:r>
    </w:p>
    <w:p w14:paraId="380998D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0A2A2ECB">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r>
        <w:rPr>
          <w:rFonts w:hint="eastAsia" w:ascii="宋体" w:hAnsi="宋体" w:eastAsia="宋体" w:cs="宋体"/>
          <w:b/>
          <w:sz w:val="24"/>
          <w:szCs w:val="24"/>
        </w:rPr>
        <w:t>附：提供代理人(被授权人)身份证复印件盖公章</w:t>
      </w:r>
    </w:p>
    <w:p w14:paraId="5CFE4B20">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270DA92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26BB9804">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5F8265B">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716F3135">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2E5BAAD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D848499">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51DDED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4098FA10">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6BB583B1">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001865EE">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2630555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5F5EC9DF">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2AF31441">
      <w:pPr>
        <w:pageBreakBefore w:val="0"/>
        <w:kinsoku/>
        <w:wordWrap/>
        <w:overflowPunct/>
        <w:topLinePunct w:val="0"/>
        <w:autoSpaceDE/>
        <w:autoSpaceDN/>
        <w:bidi w:val="0"/>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br w:type="page" w:clear="all"/>
      </w:r>
    </w:p>
    <w:p w14:paraId="7BA8862C">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rPr>
      </w:pPr>
      <w:r>
        <w:rPr>
          <w:rFonts w:hint="eastAsia" w:ascii="宋体" w:hAnsi="宋体" w:eastAsia="宋体" w:cs="宋体"/>
          <w:sz w:val="32"/>
          <w:szCs w:val="32"/>
        </w:rPr>
        <w:t>附件4</w:t>
      </w:r>
    </w:p>
    <w:p w14:paraId="56B68EAC">
      <w:pPr>
        <w:bidi w:val="0"/>
        <w:rPr>
          <w:rFonts w:hint="eastAsia"/>
          <w:lang w:val="en-US" w:eastAsia="zh-CN"/>
        </w:rPr>
      </w:pPr>
    </w:p>
    <w:p w14:paraId="61B99E9F">
      <w:pPr>
        <w:pageBreakBefore w:val="0"/>
        <w:kinsoku/>
        <w:wordWrap/>
        <w:overflowPunct/>
        <w:topLinePunct w:val="0"/>
        <w:autoSpaceDE/>
        <w:autoSpaceDN/>
        <w:bidi w:val="0"/>
        <w:snapToGrid/>
        <w:spacing w:beforeAutospacing="0" w:afterAutospacing="0" w:line="360" w:lineRule="auto"/>
        <w:jc w:val="center"/>
        <w:textAlignment w:val="auto"/>
        <w:outlineLvl w:val="0"/>
        <w:rPr>
          <w:rFonts w:hint="eastAsia" w:ascii="宋体" w:hAnsi="宋体" w:eastAsia="宋体" w:cs="宋体"/>
          <w:b/>
          <w:sz w:val="24"/>
          <w:szCs w:val="24"/>
          <w:lang w:val="en-US" w:eastAsia="zh-CN" w:bidi="ar"/>
        </w:rPr>
      </w:pPr>
      <w:r>
        <w:rPr>
          <w:rFonts w:hint="eastAsia" w:ascii="宋体" w:hAnsi="宋体" w:eastAsia="宋体" w:cs="宋体"/>
          <w:b/>
          <w:bCs w:val="0"/>
          <w:sz w:val="32"/>
          <w:szCs w:val="32"/>
          <w:lang w:val="en-US" w:eastAsia="zh-CN" w:bidi="ar"/>
        </w:rPr>
        <w:t>4-1对设备和人员投入的承诺书</w:t>
      </w:r>
    </w:p>
    <w:p w14:paraId="2C52251F">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kern w:val="0"/>
          <w:sz w:val="24"/>
          <w:szCs w:val="24"/>
          <w:lang w:val="en-US" w:eastAsia="zh-CN" w:bidi="ar"/>
        </w:rPr>
      </w:pPr>
      <w:r>
        <w:rPr>
          <w:rFonts w:hint="eastAsia" w:ascii="宋体" w:hAnsi="宋体" w:eastAsia="宋体" w:cs="宋体"/>
          <w:sz w:val="24"/>
          <w:szCs w:val="24"/>
          <w:lang w:val="en-US" w:eastAsia="zh-CN"/>
        </w:rPr>
        <w:t xml:space="preserve">  </w:t>
      </w:r>
      <w:r>
        <w:rPr>
          <w:rFonts w:hint="eastAsia" w:ascii="宋体" w:hAnsi="宋体" w:eastAsia="宋体" w:cs="宋体"/>
          <w:kern w:val="0"/>
          <w:sz w:val="24"/>
          <w:szCs w:val="24"/>
          <w:lang w:val="en-US" w:eastAsia="zh-CN" w:bidi="ar"/>
        </w:rPr>
        <w:t xml:space="preserve"> 本单位从中标之日起，人员、设备配备，按招标文件规定的数量、质量、配置时间等，予以配置和投入，否则，招标方有权决定是否取消我单位的中标资格。</w:t>
      </w:r>
    </w:p>
    <w:p w14:paraId="11EC8B05">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27BBE161">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350A71B0">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3202EC35">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67D3B68B">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6664049F">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sz w:val="24"/>
          <w:szCs w:val="24"/>
          <w:lang w:val="en-US" w:eastAsia="zh-CN"/>
        </w:rPr>
      </w:pPr>
    </w:p>
    <w:p w14:paraId="7F5B8BA9">
      <w:pPr>
        <w:pageBreakBefore w:val="0"/>
        <w:kinsoku/>
        <w:wordWrap/>
        <w:overflowPunct/>
        <w:topLinePunct w:val="0"/>
        <w:autoSpaceDE/>
        <w:autoSpaceDN/>
        <w:bidi w:val="0"/>
        <w:snapToGrid/>
        <w:spacing w:beforeAutospacing="0" w:afterAutospacing="0" w:line="360" w:lineRule="auto"/>
        <w:ind w:firstLine="5520" w:firstLineChars="2300"/>
        <w:textAlignment w:val="auto"/>
        <w:rPr>
          <w:rFonts w:hint="eastAsia" w:ascii="宋体" w:hAnsi="宋体" w:eastAsia="宋体" w:cs="宋体"/>
          <w:kern w:val="0"/>
          <w:sz w:val="24"/>
          <w:szCs w:val="24"/>
          <w:u w:val="single"/>
          <w:lang w:val="zh-CN"/>
        </w:rPr>
      </w:pPr>
      <w:r>
        <w:rPr>
          <w:rFonts w:hint="eastAsia" w:ascii="宋体" w:hAnsi="宋体" w:eastAsia="宋体" w:cs="宋体"/>
          <w:sz w:val="24"/>
          <w:szCs w:val="24"/>
          <w:lang w:val="en-US" w:eastAsia="zh-CN"/>
        </w:rPr>
        <w:t xml:space="preserve"> </w:t>
      </w:r>
      <w:r>
        <w:rPr>
          <w:rFonts w:hint="eastAsia" w:ascii="宋体" w:hAnsi="宋体" w:eastAsia="宋体" w:cs="宋体"/>
          <w:kern w:val="0"/>
          <w:sz w:val="24"/>
          <w:szCs w:val="24"/>
          <w:lang w:val="zh-CN" w:bidi="ar"/>
        </w:rPr>
        <w:t>投标供应商全称(盖</w:t>
      </w:r>
      <w:r>
        <w:rPr>
          <w:rFonts w:hint="eastAsia" w:ascii="宋体" w:hAnsi="宋体" w:eastAsia="宋体" w:cs="宋体"/>
          <w:kern w:val="0"/>
          <w:sz w:val="24"/>
          <w:szCs w:val="24"/>
          <w:lang w:val="en-US" w:eastAsia="zh-CN" w:bidi="ar"/>
        </w:rPr>
        <w:t>公</w:t>
      </w:r>
      <w:r>
        <w:rPr>
          <w:rFonts w:hint="eastAsia" w:ascii="宋体" w:hAnsi="宋体" w:eastAsia="宋体" w:cs="宋体"/>
          <w:kern w:val="0"/>
          <w:sz w:val="24"/>
          <w:szCs w:val="24"/>
          <w:lang w:val="zh-CN" w:bidi="ar"/>
        </w:rPr>
        <w:t>章)：</w:t>
      </w:r>
    </w:p>
    <w:p w14:paraId="7C20914B">
      <w:pPr>
        <w:pageBreakBefore w:val="0"/>
        <w:kinsoku/>
        <w:wordWrap/>
        <w:overflowPunct/>
        <w:topLinePunct w:val="0"/>
        <w:autoSpaceDE/>
        <w:autoSpaceDN/>
        <w:bidi w:val="0"/>
        <w:snapToGrid/>
        <w:spacing w:beforeAutospacing="0" w:afterAutospacing="0" w:line="360" w:lineRule="auto"/>
        <w:ind w:firstLine="5760" w:firstLineChars="2400"/>
        <w:textAlignment w:val="auto"/>
        <w:rPr>
          <w:rFonts w:hint="eastAsia" w:ascii="宋体" w:hAnsi="宋体" w:eastAsia="宋体" w:cs="宋体"/>
          <w:sz w:val="24"/>
          <w:szCs w:val="24"/>
          <w:u w:val="single"/>
          <w:lang w:val="zh-CN"/>
        </w:rPr>
      </w:pPr>
      <w:r>
        <w:rPr>
          <w:rFonts w:hint="eastAsia" w:ascii="宋体" w:hAnsi="宋体" w:eastAsia="宋体" w:cs="宋体"/>
          <w:kern w:val="0"/>
          <w:sz w:val="24"/>
          <w:szCs w:val="24"/>
          <w:lang w:val="zh-CN" w:bidi="ar"/>
        </w:rPr>
        <w:t>法定代表人（签字或盖章）：</w:t>
      </w:r>
    </w:p>
    <w:p w14:paraId="6FA57DDC">
      <w:pPr>
        <w:pageBreakBefore w:val="0"/>
        <w:kinsoku/>
        <w:wordWrap/>
        <w:overflowPunct/>
        <w:topLinePunct w:val="0"/>
        <w:autoSpaceDE/>
        <w:autoSpaceDN/>
        <w:bidi w:val="0"/>
        <w:snapToGrid/>
        <w:spacing w:beforeAutospacing="0" w:afterAutospacing="0" w:line="360" w:lineRule="auto"/>
        <w:ind w:firstLine="5760" w:firstLineChars="2400"/>
        <w:textAlignment w:val="auto"/>
        <w:outlineLvl w:val="0"/>
        <w:rPr>
          <w:rFonts w:hint="eastAsia" w:ascii="宋体" w:hAnsi="宋体" w:eastAsia="宋体" w:cs="宋体"/>
          <w:sz w:val="24"/>
          <w:szCs w:val="24"/>
          <w:lang w:val="en-US" w:eastAsia="zh-CN"/>
        </w:rPr>
      </w:pPr>
      <w:r>
        <w:rPr>
          <w:rFonts w:hint="eastAsia" w:ascii="宋体" w:hAnsi="宋体" w:eastAsia="宋体" w:cs="宋体"/>
          <w:kern w:val="0"/>
          <w:sz w:val="24"/>
          <w:szCs w:val="24"/>
          <w:lang w:val="zh-CN" w:bidi="ar"/>
        </w:rPr>
        <w:t>时间：  年  月   日</w:t>
      </w:r>
    </w:p>
    <w:p w14:paraId="3D99B5B5">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r>
        <w:rPr>
          <w:rFonts w:hint="eastAsia" w:ascii="宋体" w:hAnsi="宋体" w:eastAsia="宋体" w:cs="宋体"/>
          <w:b/>
          <w:sz w:val="32"/>
          <w:szCs w:val="32"/>
        </w:rPr>
        <w:br w:type="page"/>
      </w:r>
    </w:p>
    <w:p w14:paraId="15E84AE5">
      <w:pPr>
        <w:pageBreakBefore w:val="0"/>
        <w:tabs>
          <w:tab w:val="left" w:pos="3240"/>
          <w:tab w:val="left" w:pos="7380"/>
        </w:tabs>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val="0"/>
          <w:sz w:val="32"/>
          <w:szCs w:val="32"/>
          <w:lang w:val="en-US" w:eastAsia="zh-CN" w:bidi="ar"/>
        </w:rPr>
        <w:t>4-2投标人拟投入本项目设备情况一览表（加盖公章）</w:t>
      </w:r>
    </w:p>
    <w:tbl>
      <w:tblPr>
        <w:tblStyle w:val="29"/>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981"/>
        <w:gridCol w:w="2137"/>
        <w:gridCol w:w="1050"/>
        <w:gridCol w:w="975"/>
        <w:gridCol w:w="1438"/>
        <w:gridCol w:w="1237"/>
      </w:tblGrid>
      <w:tr w14:paraId="1C69D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6D6A2013">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981" w:type="dxa"/>
            <w:noWrap w:val="0"/>
            <w:vAlign w:val="top"/>
          </w:tcPr>
          <w:p w14:paraId="6BB7882C">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2137" w:type="dxa"/>
            <w:noWrap w:val="0"/>
            <w:vAlign w:val="top"/>
          </w:tcPr>
          <w:p w14:paraId="6BF7F42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品牌、型号</w:t>
            </w:r>
          </w:p>
        </w:tc>
        <w:tc>
          <w:tcPr>
            <w:tcW w:w="1050" w:type="dxa"/>
            <w:noWrap w:val="0"/>
            <w:vAlign w:val="top"/>
          </w:tcPr>
          <w:p w14:paraId="5705DD3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价格</w:t>
            </w:r>
          </w:p>
        </w:tc>
        <w:tc>
          <w:tcPr>
            <w:tcW w:w="975" w:type="dxa"/>
            <w:noWrap w:val="0"/>
            <w:vAlign w:val="top"/>
          </w:tcPr>
          <w:p w14:paraId="085E46C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1438" w:type="dxa"/>
            <w:noWrap w:val="0"/>
            <w:vAlign w:val="top"/>
          </w:tcPr>
          <w:p w14:paraId="2CFD5A5C">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用途</w:t>
            </w:r>
          </w:p>
        </w:tc>
        <w:tc>
          <w:tcPr>
            <w:tcW w:w="1237" w:type="dxa"/>
            <w:noWrap w:val="0"/>
            <w:vAlign w:val="top"/>
          </w:tcPr>
          <w:p w14:paraId="2C01373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030AB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1AACEE6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981" w:type="dxa"/>
            <w:noWrap w:val="0"/>
            <w:vAlign w:val="top"/>
          </w:tcPr>
          <w:p w14:paraId="3547FC5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67D2CAE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7D124D0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009FFF8C">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096B517D">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019CB01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2A10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256F899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981" w:type="dxa"/>
            <w:noWrap w:val="0"/>
            <w:vAlign w:val="top"/>
          </w:tcPr>
          <w:p w14:paraId="3D850F1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6D83042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01038D01">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46EAF8D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58D7B70C">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4B1FE373">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6435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1128AA3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981" w:type="dxa"/>
            <w:noWrap w:val="0"/>
            <w:vAlign w:val="top"/>
          </w:tcPr>
          <w:p w14:paraId="407C3D5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37120C9D">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30D1B6E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49787B19">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51046A6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4463653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11AD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7CF5FBB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981" w:type="dxa"/>
            <w:noWrap w:val="0"/>
            <w:vAlign w:val="top"/>
          </w:tcPr>
          <w:p w14:paraId="548EF00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2EE9334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3D37A9AB">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3C16E2B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647BB10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13F1D05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2AA9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09EDA9C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981" w:type="dxa"/>
            <w:noWrap w:val="0"/>
            <w:vAlign w:val="top"/>
          </w:tcPr>
          <w:p w14:paraId="1167A14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6136411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4F0B71B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0FD2BD2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2B3BA59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3C843D09">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2C548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4B8B0BB7">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981" w:type="dxa"/>
            <w:noWrap w:val="0"/>
            <w:vAlign w:val="top"/>
          </w:tcPr>
          <w:p w14:paraId="441EA9B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2AEB432B">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3CA8197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0C13936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5E9F86C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624C83A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6D84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1C365849">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981" w:type="dxa"/>
            <w:noWrap w:val="0"/>
            <w:vAlign w:val="top"/>
          </w:tcPr>
          <w:p w14:paraId="6D961C3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2CF00EF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2023D7E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02E6220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2A78349D">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04DFC4DB">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5189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65A1525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1981" w:type="dxa"/>
            <w:noWrap w:val="0"/>
            <w:vAlign w:val="top"/>
          </w:tcPr>
          <w:p w14:paraId="3A6CCCC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3E1151D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10594D7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151063C5">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022E385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0DABACE1">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5614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3292E5E7">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1981" w:type="dxa"/>
            <w:noWrap w:val="0"/>
            <w:vAlign w:val="top"/>
          </w:tcPr>
          <w:p w14:paraId="21B5EB01">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0CF97A9D">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4FA49131">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618D657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449EC35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7BAECB98">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2B12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5E09E453">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981" w:type="dxa"/>
            <w:noWrap w:val="0"/>
            <w:vAlign w:val="top"/>
          </w:tcPr>
          <w:p w14:paraId="18ECBAD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274EE0BF">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62EC879B">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461CF3D5">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6F3F17B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4AA199B3">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01447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1A0E09E7">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981" w:type="dxa"/>
            <w:noWrap w:val="0"/>
            <w:vAlign w:val="top"/>
          </w:tcPr>
          <w:p w14:paraId="1164BE8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1FFEBAB9">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0BF85ED5">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1BE8D25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6A45235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3A47CCB0">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7B86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7C79B825">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1981" w:type="dxa"/>
            <w:noWrap w:val="0"/>
            <w:vAlign w:val="top"/>
          </w:tcPr>
          <w:p w14:paraId="539CD12B">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09144BBD">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58F78344">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5A80124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7B7262E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4524AC9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r w14:paraId="096BC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noWrap w:val="0"/>
            <w:vAlign w:val="top"/>
          </w:tcPr>
          <w:p w14:paraId="6273F59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1981" w:type="dxa"/>
            <w:noWrap w:val="0"/>
            <w:vAlign w:val="top"/>
          </w:tcPr>
          <w:p w14:paraId="1764D98A">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2137" w:type="dxa"/>
            <w:noWrap w:val="0"/>
            <w:vAlign w:val="top"/>
          </w:tcPr>
          <w:p w14:paraId="75C56BE2">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050" w:type="dxa"/>
            <w:noWrap w:val="0"/>
            <w:vAlign w:val="top"/>
          </w:tcPr>
          <w:p w14:paraId="6EADD843">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975" w:type="dxa"/>
            <w:noWrap w:val="0"/>
            <w:vAlign w:val="top"/>
          </w:tcPr>
          <w:p w14:paraId="1A7F427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438" w:type="dxa"/>
            <w:noWrap w:val="0"/>
            <w:vAlign w:val="top"/>
          </w:tcPr>
          <w:p w14:paraId="51B0B3FE">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c>
          <w:tcPr>
            <w:tcW w:w="1237" w:type="dxa"/>
            <w:noWrap w:val="0"/>
            <w:vAlign w:val="top"/>
          </w:tcPr>
          <w:p w14:paraId="5611EA36">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000000"/>
                <w:sz w:val="24"/>
                <w:szCs w:val="24"/>
              </w:rPr>
            </w:pPr>
          </w:p>
        </w:tc>
      </w:tr>
    </w:tbl>
    <w:p w14:paraId="1E677C16">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highlight w:val="none"/>
        </w:rPr>
      </w:pPr>
      <w:r>
        <w:rPr>
          <w:rFonts w:hint="eastAsia" w:ascii="宋体" w:hAnsi="宋体" w:eastAsia="宋体" w:cs="宋体"/>
          <w:b/>
          <w:bCs/>
          <w:color w:val="auto"/>
          <w:kern w:val="0"/>
          <w:sz w:val="24"/>
          <w:szCs w:val="24"/>
          <w:highlight w:val="none"/>
          <w:lang w:val="en-US" w:eastAsia="zh-CN"/>
        </w:rPr>
        <w:t>备注：此表为中标后提供，中</w:t>
      </w:r>
      <w:r>
        <w:rPr>
          <w:rFonts w:hint="eastAsia" w:ascii="宋体" w:hAnsi="宋体" w:eastAsia="宋体" w:cs="宋体"/>
          <w:b/>
          <w:bCs/>
          <w:color w:val="auto"/>
          <w:kern w:val="0"/>
          <w:sz w:val="24"/>
          <w:szCs w:val="24"/>
          <w:highlight w:val="none"/>
        </w:rPr>
        <w:t>标人可自行扩充该表</w:t>
      </w:r>
    </w:p>
    <w:p w14:paraId="5EBFD318">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color w:val="000000"/>
          <w:sz w:val="24"/>
          <w:szCs w:val="24"/>
          <w:lang w:val="en-US" w:eastAsia="zh-CN"/>
        </w:rPr>
      </w:pPr>
      <w:r>
        <w:rPr>
          <w:rFonts w:hint="eastAsia" w:ascii="宋体" w:hAnsi="宋体" w:eastAsia="宋体" w:cs="宋体"/>
          <w:b/>
          <w:sz w:val="32"/>
          <w:szCs w:val="32"/>
        </w:rPr>
        <w:br w:type="page"/>
      </w:r>
      <w:r>
        <w:rPr>
          <w:rFonts w:hint="eastAsia" w:ascii="宋体" w:hAnsi="宋体" w:eastAsia="宋体" w:cs="宋体"/>
          <w:b/>
          <w:bCs w:val="0"/>
          <w:sz w:val="32"/>
          <w:szCs w:val="32"/>
          <w:lang w:val="en-US" w:eastAsia="zh-CN" w:bidi="ar"/>
        </w:rPr>
        <w:t>4-3投标人拟派三余镇除项目经理和项目助理以外的人员表（加盖公章）</w:t>
      </w:r>
    </w:p>
    <w:tbl>
      <w:tblPr>
        <w:tblStyle w:val="29"/>
        <w:tblW w:w="9240"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2619"/>
        <w:gridCol w:w="1544"/>
        <w:gridCol w:w="3424"/>
      </w:tblGrid>
      <w:tr w14:paraId="534F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653" w:type="dxa"/>
            <w:noWrap w:val="0"/>
            <w:vAlign w:val="top"/>
          </w:tcPr>
          <w:p w14:paraId="63DC28A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序号</w:t>
            </w:r>
          </w:p>
        </w:tc>
        <w:tc>
          <w:tcPr>
            <w:tcW w:w="2619" w:type="dxa"/>
            <w:noWrap w:val="0"/>
            <w:vAlign w:val="top"/>
          </w:tcPr>
          <w:p w14:paraId="476D59F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职务/工种</w:t>
            </w:r>
          </w:p>
        </w:tc>
        <w:tc>
          <w:tcPr>
            <w:tcW w:w="1544" w:type="dxa"/>
            <w:noWrap w:val="0"/>
            <w:vAlign w:val="top"/>
          </w:tcPr>
          <w:p w14:paraId="6370742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人数</w:t>
            </w:r>
          </w:p>
        </w:tc>
        <w:tc>
          <w:tcPr>
            <w:tcW w:w="3424" w:type="dxa"/>
            <w:noWrap w:val="0"/>
            <w:vAlign w:val="top"/>
          </w:tcPr>
          <w:p w14:paraId="432BC03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备注</w:t>
            </w:r>
          </w:p>
        </w:tc>
      </w:tr>
      <w:tr w14:paraId="08AE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255B1D8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7D970EB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0710C11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528810B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61A4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5E20C59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31B08F2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2D053A4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191B6C6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8CD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37B2336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3F24BD6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448B3BD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237A743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5093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3B7A2BD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103E18F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77F7AFB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44AD605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682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155BFB5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41BDFB5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5EF9090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0CD966B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0188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39BBBD98">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6E2273C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2C62A7D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49E5521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3925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26150B2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49E2C778">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0A8884B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5EBCB06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7EC4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4451D4A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71993C9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16C1EC4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1925302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3A8D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3B46BD4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52790A1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4F65943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13D7A48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748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78443E9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7BF9D95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478C8FD0">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4A0647E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6FAE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440CB58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1AA1F75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1713966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6A01527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DD4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0148FAC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17666543">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4F6F6C5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1E31934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2E57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3B1EA3D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5AB016D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6124ED3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26DDE43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79FF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48A1FCA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7EFE2CE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54C2076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168D273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5CD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134F32C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468D686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7665F6E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08A69F53">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44FD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428441F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1379F81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72C859C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09B5B12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71B1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53" w:type="dxa"/>
            <w:noWrap w:val="0"/>
            <w:vAlign w:val="top"/>
          </w:tcPr>
          <w:p w14:paraId="658F4128">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41DA8E8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4BBB1EF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6C0D35A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r w14:paraId="165F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653" w:type="dxa"/>
            <w:noWrap w:val="0"/>
            <w:vAlign w:val="top"/>
          </w:tcPr>
          <w:p w14:paraId="5BE3B00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2619" w:type="dxa"/>
            <w:noWrap w:val="0"/>
            <w:vAlign w:val="top"/>
          </w:tcPr>
          <w:p w14:paraId="7799C04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1544" w:type="dxa"/>
            <w:noWrap w:val="0"/>
            <w:vAlign w:val="top"/>
          </w:tcPr>
          <w:p w14:paraId="6757AB5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c>
          <w:tcPr>
            <w:tcW w:w="3424" w:type="dxa"/>
            <w:noWrap w:val="0"/>
            <w:vAlign w:val="top"/>
          </w:tcPr>
          <w:p w14:paraId="736310B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p>
        </w:tc>
      </w:tr>
    </w:tbl>
    <w:p w14:paraId="5F450623">
      <w:pPr>
        <w:pageBreakBefore w:val="0"/>
        <w:kinsoku/>
        <w:wordWrap/>
        <w:overflowPunct/>
        <w:topLinePunct w:val="0"/>
        <w:autoSpaceDE/>
        <w:autoSpaceDN/>
        <w:bidi w:val="0"/>
        <w:snapToGrid/>
        <w:spacing w:line="360" w:lineRule="auto"/>
        <w:textAlignment w:val="auto"/>
        <w:rPr>
          <w:rFonts w:hint="eastAsia" w:ascii="宋体" w:hAnsi="宋体" w:eastAsia="宋体" w:cs="宋体"/>
          <w:b/>
          <w:bCs/>
          <w:sz w:val="32"/>
          <w:szCs w:val="32"/>
          <w:highlight w:val="none"/>
        </w:rPr>
      </w:pPr>
      <w:r>
        <w:rPr>
          <w:rFonts w:hint="eastAsia" w:ascii="宋体" w:hAnsi="宋体" w:eastAsia="宋体" w:cs="宋体"/>
          <w:b/>
          <w:bCs/>
          <w:color w:val="auto"/>
          <w:kern w:val="0"/>
          <w:sz w:val="24"/>
          <w:szCs w:val="24"/>
          <w:highlight w:val="none"/>
          <w:lang w:val="en-US" w:eastAsia="zh-CN"/>
        </w:rPr>
        <w:t>备注：此表为中标后提供，中</w:t>
      </w:r>
      <w:r>
        <w:rPr>
          <w:rFonts w:hint="eastAsia" w:ascii="宋体" w:hAnsi="宋体" w:eastAsia="宋体" w:cs="宋体"/>
          <w:b/>
          <w:bCs/>
          <w:color w:val="auto"/>
          <w:kern w:val="0"/>
          <w:sz w:val="24"/>
          <w:szCs w:val="24"/>
          <w:highlight w:val="none"/>
        </w:rPr>
        <w:t>标人可自行扩充该表</w:t>
      </w:r>
    </w:p>
    <w:p w14:paraId="7E9A3834">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r>
        <w:rPr>
          <w:rFonts w:hint="eastAsia" w:ascii="宋体" w:hAnsi="宋体" w:eastAsia="宋体" w:cs="宋体"/>
          <w:b/>
          <w:sz w:val="32"/>
          <w:szCs w:val="32"/>
        </w:rPr>
        <w:br w:type="page"/>
      </w:r>
    </w:p>
    <w:p w14:paraId="022CDBF3">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bCs/>
          <w:color w:val="000000"/>
          <w:sz w:val="24"/>
          <w:szCs w:val="24"/>
        </w:rPr>
      </w:pPr>
      <w:r>
        <w:rPr>
          <w:rFonts w:hint="eastAsia" w:ascii="宋体" w:hAnsi="宋体" w:eastAsia="宋体" w:cs="宋体"/>
          <w:sz w:val="32"/>
          <w:szCs w:val="32"/>
        </w:rPr>
        <w:t>附件</w:t>
      </w:r>
      <w:r>
        <w:rPr>
          <w:rFonts w:hint="eastAsia" w:ascii="宋体" w:hAnsi="宋体" w:eastAsia="宋体" w:cs="宋体"/>
          <w:sz w:val="32"/>
          <w:szCs w:val="32"/>
          <w:lang w:val="en-US" w:eastAsia="zh-CN"/>
        </w:rPr>
        <w:t>5</w:t>
      </w:r>
    </w:p>
    <w:p w14:paraId="083CEAC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r>
        <w:rPr>
          <w:rFonts w:hint="eastAsia" w:ascii="宋体" w:hAnsi="宋体" w:eastAsia="宋体" w:cs="宋体"/>
          <w:b/>
          <w:bCs/>
          <w:color w:val="000000"/>
          <w:sz w:val="32"/>
          <w:szCs w:val="32"/>
        </w:rPr>
        <w:t>拟派项目经理履历表</w:t>
      </w:r>
      <w:r>
        <w:rPr>
          <w:rFonts w:hint="eastAsia" w:ascii="宋体" w:hAnsi="宋体" w:eastAsia="宋体" w:cs="宋体"/>
          <w:b/>
          <w:bCs/>
          <w:color w:val="000000"/>
          <w:sz w:val="32"/>
          <w:szCs w:val="32"/>
          <w:lang w:eastAsia="zh-CN"/>
        </w:rPr>
        <w:t>（</w:t>
      </w:r>
      <w:r>
        <w:rPr>
          <w:rFonts w:hint="eastAsia" w:ascii="宋体" w:hAnsi="宋体" w:eastAsia="宋体" w:cs="宋体"/>
          <w:b/>
          <w:bCs/>
          <w:color w:val="000000"/>
          <w:sz w:val="32"/>
          <w:szCs w:val="32"/>
          <w:lang w:val="en-US" w:eastAsia="zh-CN"/>
        </w:rPr>
        <w:t>加盖公章）</w:t>
      </w:r>
    </w:p>
    <w:tbl>
      <w:tblPr>
        <w:tblStyle w:val="29"/>
        <w:tblpPr w:leftFromText="180" w:rightFromText="180" w:vertAnchor="text" w:horzAnchor="page" w:tblpX="1331" w:tblpY="298"/>
        <w:tblOverlap w:val="never"/>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1"/>
        <w:gridCol w:w="1131"/>
        <w:gridCol w:w="1131"/>
        <w:gridCol w:w="882"/>
        <w:gridCol w:w="1089"/>
        <w:gridCol w:w="933"/>
        <w:gridCol w:w="1257"/>
        <w:gridCol w:w="2203"/>
      </w:tblGrid>
      <w:tr w14:paraId="057A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1131" w:type="dxa"/>
            <w:noWrap w:val="0"/>
            <w:vAlign w:val="center"/>
          </w:tcPr>
          <w:p w14:paraId="57762B8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姓名</w:t>
            </w:r>
          </w:p>
        </w:tc>
        <w:tc>
          <w:tcPr>
            <w:tcW w:w="1131" w:type="dxa"/>
            <w:noWrap w:val="0"/>
            <w:vAlign w:val="center"/>
          </w:tcPr>
          <w:p w14:paraId="397B6270">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1131" w:type="dxa"/>
            <w:noWrap w:val="0"/>
            <w:vAlign w:val="center"/>
          </w:tcPr>
          <w:p w14:paraId="20C47FC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出生年月</w:t>
            </w:r>
          </w:p>
        </w:tc>
        <w:tc>
          <w:tcPr>
            <w:tcW w:w="882" w:type="dxa"/>
            <w:noWrap w:val="0"/>
            <w:vAlign w:val="center"/>
          </w:tcPr>
          <w:p w14:paraId="361A400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1089" w:type="dxa"/>
            <w:noWrap w:val="0"/>
            <w:vAlign w:val="center"/>
          </w:tcPr>
          <w:p w14:paraId="18826BC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性别</w:t>
            </w:r>
          </w:p>
        </w:tc>
        <w:tc>
          <w:tcPr>
            <w:tcW w:w="933" w:type="dxa"/>
            <w:noWrap w:val="0"/>
            <w:vAlign w:val="center"/>
          </w:tcPr>
          <w:p w14:paraId="6188C53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1257" w:type="dxa"/>
            <w:noWrap w:val="0"/>
            <w:vAlign w:val="center"/>
          </w:tcPr>
          <w:p w14:paraId="4C65A4A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联系电话</w:t>
            </w:r>
          </w:p>
        </w:tc>
        <w:tc>
          <w:tcPr>
            <w:tcW w:w="2203" w:type="dxa"/>
            <w:noWrap w:val="0"/>
            <w:vAlign w:val="center"/>
          </w:tcPr>
          <w:p w14:paraId="4F6AAAA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r>
      <w:tr w14:paraId="45B4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1131" w:type="dxa"/>
            <w:noWrap w:val="0"/>
            <w:vAlign w:val="center"/>
          </w:tcPr>
          <w:p w14:paraId="1E463231">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文化程度</w:t>
            </w:r>
          </w:p>
        </w:tc>
        <w:tc>
          <w:tcPr>
            <w:tcW w:w="1131" w:type="dxa"/>
            <w:noWrap w:val="0"/>
            <w:vAlign w:val="center"/>
          </w:tcPr>
          <w:p w14:paraId="3423EB1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1131" w:type="dxa"/>
            <w:noWrap w:val="0"/>
            <w:vAlign w:val="center"/>
          </w:tcPr>
          <w:p w14:paraId="2EC5FF5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毕业院校</w:t>
            </w:r>
          </w:p>
        </w:tc>
        <w:tc>
          <w:tcPr>
            <w:tcW w:w="1971" w:type="dxa"/>
            <w:gridSpan w:val="2"/>
            <w:noWrap w:val="0"/>
            <w:vAlign w:val="center"/>
          </w:tcPr>
          <w:p w14:paraId="079549B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2190" w:type="dxa"/>
            <w:gridSpan w:val="2"/>
            <w:noWrap w:val="0"/>
            <w:vAlign w:val="center"/>
          </w:tcPr>
          <w:p w14:paraId="3F9424F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本单位工作年限</w:t>
            </w:r>
          </w:p>
        </w:tc>
        <w:tc>
          <w:tcPr>
            <w:tcW w:w="2203" w:type="dxa"/>
            <w:noWrap w:val="0"/>
            <w:vAlign w:val="center"/>
          </w:tcPr>
          <w:p w14:paraId="31B0A5A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r>
      <w:tr w14:paraId="2D82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2262" w:type="dxa"/>
            <w:gridSpan w:val="2"/>
            <w:noWrap w:val="0"/>
            <w:vAlign w:val="center"/>
          </w:tcPr>
          <w:p w14:paraId="35B8E77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身份证号码</w:t>
            </w:r>
          </w:p>
        </w:tc>
        <w:tc>
          <w:tcPr>
            <w:tcW w:w="3102" w:type="dxa"/>
            <w:gridSpan w:val="3"/>
            <w:noWrap w:val="0"/>
            <w:vAlign w:val="center"/>
          </w:tcPr>
          <w:p w14:paraId="4C7B023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c>
          <w:tcPr>
            <w:tcW w:w="2190" w:type="dxa"/>
            <w:gridSpan w:val="2"/>
            <w:noWrap w:val="0"/>
            <w:vAlign w:val="center"/>
          </w:tcPr>
          <w:p w14:paraId="5249FC24">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本项目中担任职务</w:t>
            </w:r>
          </w:p>
        </w:tc>
        <w:tc>
          <w:tcPr>
            <w:tcW w:w="2203" w:type="dxa"/>
            <w:noWrap w:val="0"/>
            <w:vAlign w:val="center"/>
          </w:tcPr>
          <w:p w14:paraId="4060FBB2">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p>
        </w:tc>
      </w:tr>
      <w:tr w14:paraId="094C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7" w:hRule="atLeast"/>
        </w:trPr>
        <w:tc>
          <w:tcPr>
            <w:tcW w:w="2262" w:type="dxa"/>
            <w:gridSpan w:val="2"/>
            <w:noWrap w:val="0"/>
            <w:vAlign w:val="center"/>
          </w:tcPr>
          <w:p w14:paraId="49D2E9F3">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主</w:t>
            </w:r>
          </w:p>
          <w:p w14:paraId="67F8F83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要</w:t>
            </w:r>
          </w:p>
          <w:p w14:paraId="47500D5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工</w:t>
            </w:r>
          </w:p>
          <w:p w14:paraId="008F4F5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作</w:t>
            </w:r>
          </w:p>
          <w:p w14:paraId="663DB7A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经</w:t>
            </w:r>
          </w:p>
          <w:p w14:paraId="40B377B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历</w:t>
            </w:r>
          </w:p>
        </w:tc>
        <w:tc>
          <w:tcPr>
            <w:tcW w:w="7495" w:type="dxa"/>
            <w:gridSpan w:val="6"/>
            <w:noWrap w:val="0"/>
            <w:vAlign w:val="center"/>
          </w:tcPr>
          <w:p w14:paraId="69659EF0">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工作简历</w:t>
            </w:r>
          </w:p>
        </w:tc>
      </w:tr>
      <w:tr w14:paraId="2768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6" w:hRule="atLeast"/>
        </w:trPr>
        <w:tc>
          <w:tcPr>
            <w:tcW w:w="2262" w:type="dxa"/>
            <w:gridSpan w:val="2"/>
            <w:noWrap w:val="0"/>
            <w:vAlign w:val="center"/>
          </w:tcPr>
          <w:p w14:paraId="04B8861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获</w:t>
            </w:r>
          </w:p>
          <w:p w14:paraId="01EE68D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得</w:t>
            </w:r>
          </w:p>
          <w:p w14:paraId="67D02900">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奖</w:t>
            </w:r>
          </w:p>
          <w:p w14:paraId="2EA4331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惩</w:t>
            </w:r>
          </w:p>
          <w:p w14:paraId="01FC23C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情</w:t>
            </w:r>
          </w:p>
          <w:p w14:paraId="5E0DF05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况</w:t>
            </w:r>
          </w:p>
        </w:tc>
        <w:tc>
          <w:tcPr>
            <w:tcW w:w="7495" w:type="dxa"/>
            <w:gridSpan w:val="6"/>
            <w:noWrap w:val="0"/>
            <w:vAlign w:val="center"/>
          </w:tcPr>
          <w:p w14:paraId="5B41C3E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从事保洁管理（或类似）工作获得的奖惩情况</w:t>
            </w:r>
          </w:p>
        </w:tc>
      </w:tr>
      <w:tr w14:paraId="2723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9757" w:type="dxa"/>
            <w:gridSpan w:val="8"/>
            <w:noWrap w:val="0"/>
            <w:vAlign w:val="center"/>
          </w:tcPr>
          <w:p w14:paraId="182CC6B1">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r>
              <w:rPr>
                <w:rFonts w:hint="eastAsia" w:ascii="宋体" w:hAnsi="宋体" w:eastAsia="宋体" w:cs="宋体"/>
                <w:bCs/>
                <w:kern w:val="0"/>
                <w:sz w:val="24"/>
                <w:szCs w:val="24"/>
              </w:rPr>
              <w:t>备注：</w:t>
            </w:r>
          </w:p>
          <w:p w14:paraId="07D9CFA1">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p>
          <w:p w14:paraId="7624C962">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p>
          <w:p w14:paraId="5F05E91F">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p>
          <w:p w14:paraId="218F2D27">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p>
          <w:p w14:paraId="7BCC3BDA">
            <w:pPr>
              <w:pageBreakBefore w:val="0"/>
              <w:widowControl/>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Cs/>
                <w:kern w:val="0"/>
                <w:sz w:val="24"/>
                <w:szCs w:val="24"/>
              </w:rPr>
            </w:pPr>
          </w:p>
        </w:tc>
      </w:tr>
    </w:tbl>
    <w:p w14:paraId="38A80604">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p>
    <w:p w14:paraId="1CD5D5E6">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b/>
          <w:sz w:val="32"/>
          <w:szCs w:val="32"/>
        </w:rPr>
      </w:pPr>
      <w:r>
        <w:rPr>
          <w:rFonts w:hint="eastAsia" w:ascii="宋体" w:hAnsi="宋体" w:eastAsia="宋体" w:cs="宋体"/>
          <w:sz w:val="32"/>
          <w:szCs w:val="32"/>
        </w:rPr>
        <w:t>附件</w:t>
      </w:r>
      <w:r>
        <w:rPr>
          <w:rFonts w:hint="eastAsia" w:ascii="宋体" w:hAnsi="宋体" w:eastAsia="宋体" w:cs="宋体"/>
          <w:sz w:val="32"/>
          <w:szCs w:val="32"/>
          <w:lang w:val="en-US" w:eastAsia="zh-CN"/>
        </w:rPr>
        <w:t>6</w:t>
      </w:r>
    </w:p>
    <w:p w14:paraId="20ED14ED">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sz w:val="32"/>
          <w:szCs w:val="32"/>
        </w:rPr>
      </w:pPr>
      <w:r>
        <w:rPr>
          <w:rFonts w:hint="eastAsia" w:ascii="宋体" w:hAnsi="宋体" w:eastAsia="宋体" w:cs="宋体"/>
          <w:b/>
          <w:sz w:val="32"/>
          <w:szCs w:val="32"/>
        </w:rPr>
        <w:t>供应商信用承诺书</w:t>
      </w:r>
    </w:p>
    <w:p w14:paraId="306639A5">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为营造公开、公平、公正的公共资源交易环境，树立诚信守法的投标人形象，本人代表本单位作出以下承诺：</w:t>
      </w:r>
    </w:p>
    <w:p w14:paraId="3B2D243B">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一、本单位对所提交的单位基本信息、单位负责人、项目负责人、技术负责人、从业资质和资格、业绩、财务状况、信誉等所有资料，均合法、真实、准确、有效，无任何伪造、修改、虚假成分；</w:t>
      </w:r>
    </w:p>
    <w:p w14:paraId="3F131230">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二、严格依照国家和省、市、县关于政府采购等方面的法律、法规、规章、规范性文件，参加公共资源交易招标投标活动；积极履行社会责任，促进廉政建设；</w:t>
      </w:r>
    </w:p>
    <w:p w14:paraId="334DFA90">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三、严格遵守即时信息公示规定，及时更新公共资源交易中心主体信息库中信息；</w:t>
      </w:r>
    </w:p>
    <w:p w14:paraId="4A98C9C9">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四、自我约束、自我管理，守合同、重信用，不参与围标串标、弄虚作假、骗取中标、干扰评标、违约毁约、恶意投诉等行为，主动维护公共资源交易招标投标的良好秩序；</w:t>
      </w:r>
    </w:p>
    <w:p w14:paraId="08FD529F">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34B98946">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六、自觉接受政府部门、行业组织、社会公众、新闻舆论等监督；</w:t>
      </w:r>
    </w:p>
    <w:p w14:paraId="6AD7ABCE">
      <w:pPr>
        <w:pageBreakBefore w:val="0"/>
        <w:kinsoku/>
        <w:wordWrap/>
        <w:overflowPunct/>
        <w:topLinePunct w:val="0"/>
        <w:autoSpaceDE/>
        <w:autoSpaceDN/>
        <w:bidi w:val="0"/>
        <w:snapToGrid/>
        <w:spacing w:line="360" w:lineRule="auto"/>
        <w:ind w:firstLine="480"/>
        <w:textAlignment w:val="auto"/>
        <w:rPr>
          <w:rFonts w:hint="eastAsia" w:ascii="宋体" w:hAnsi="宋体" w:eastAsia="宋体" w:cs="宋体"/>
          <w:sz w:val="24"/>
          <w:lang w:val="zh-CN"/>
        </w:rPr>
      </w:pPr>
      <w:r>
        <w:rPr>
          <w:rFonts w:hint="eastAsia" w:ascii="宋体" w:hAnsi="宋体" w:eastAsia="宋体" w:cs="宋体"/>
          <w:sz w:val="24"/>
          <w:lang w:val="zh-CN"/>
        </w:rPr>
        <w:t>七、上述承诺已向本单位员工作了宣传教育；</w:t>
      </w:r>
    </w:p>
    <w:p w14:paraId="6F6D1E0F">
      <w:pPr>
        <w:pageBreakBefore w:val="0"/>
        <w:kinsoku/>
        <w:wordWrap/>
        <w:overflowPunct/>
        <w:topLinePunct w:val="0"/>
        <w:autoSpaceDE/>
        <w:autoSpaceDN/>
        <w:bidi w:val="0"/>
        <w:snapToGrid/>
        <w:spacing w:line="360" w:lineRule="auto"/>
        <w:ind w:firstLine="482"/>
        <w:textAlignment w:val="auto"/>
        <w:rPr>
          <w:rFonts w:hint="eastAsia" w:ascii="宋体" w:hAnsi="宋体" w:eastAsia="宋体" w:cs="宋体"/>
          <w:b/>
          <w:sz w:val="24"/>
          <w:lang w:val="zh-CN"/>
        </w:rPr>
      </w:pPr>
      <w:r>
        <w:rPr>
          <w:rFonts w:hint="eastAsia" w:ascii="宋体" w:hAnsi="宋体" w:eastAsia="宋体" w:cs="宋体"/>
          <w:b/>
          <w:sz w:val="24"/>
          <w:lang w:val="zh-CN"/>
        </w:rPr>
        <w:t>如有违反上述承诺的不良行为，本单位同意将其予以上网公示。</w:t>
      </w:r>
    </w:p>
    <w:p w14:paraId="46BC76C6">
      <w:pPr>
        <w:pageBreakBefore w:val="0"/>
        <w:kinsoku/>
        <w:wordWrap/>
        <w:overflowPunct/>
        <w:topLinePunct w:val="0"/>
        <w:autoSpaceDE/>
        <w:autoSpaceDN/>
        <w:bidi w:val="0"/>
        <w:snapToGrid/>
        <w:spacing w:line="360" w:lineRule="auto"/>
        <w:ind w:firstLine="4560"/>
        <w:textAlignment w:val="auto"/>
        <w:rPr>
          <w:rFonts w:hint="eastAsia" w:ascii="宋体" w:hAnsi="宋体" w:eastAsia="宋体" w:cs="宋体"/>
          <w:sz w:val="24"/>
          <w:lang w:val="zh-CN"/>
        </w:rPr>
      </w:pPr>
    </w:p>
    <w:p w14:paraId="05F344BA">
      <w:pPr>
        <w:pageBreakBefore w:val="0"/>
        <w:kinsoku/>
        <w:wordWrap/>
        <w:overflowPunct/>
        <w:topLinePunct w:val="0"/>
        <w:autoSpaceDE/>
        <w:autoSpaceDN/>
        <w:bidi w:val="0"/>
        <w:snapToGrid/>
        <w:spacing w:line="360" w:lineRule="auto"/>
        <w:ind w:firstLine="2640"/>
        <w:jc w:val="center"/>
        <w:textAlignment w:val="auto"/>
        <w:rPr>
          <w:rFonts w:hint="eastAsia" w:ascii="宋体" w:hAnsi="宋体" w:eastAsia="宋体" w:cs="宋体"/>
          <w:sz w:val="24"/>
          <w:u w:val="single"/>
          <w:lang w:val="zh-CN"/>
        </w:rPr>
      </w:pPr>
      <w:r>
        <w:rPr>
          <w:rFonts w:hint="eastAsia" w:ascii="宋体" w:hAnsi="宋体" w:eastAsia="宋体" w:cs="宋体"/>
          <w:sz w:val="24"/>
        </w:rPr>
        <w:t xml:space="preserve"> </w:t>
      </w:r>
      <w:r>
        <w:rPr>
          <w:rFonts w:hint="eastAsia" w:ascii="宋体" w:hAnsi="宋体" w:eastAsia="宋体" w:cs="宋体"/>
          <w:sz w:val="24"/>
          <w:lang w:val="zh-CN"/>
        </w:rPr>
        <w:t>投标供应商全称(盖公章)：</w:t>
      </w:r>
    </w:p>
    <w:p w14:paraId="52284BF6">
      <w:pPr>
        <w:pageBreakBefore w:val="0"/>
        <w:kinsoku/>
        <w:wordWrap/>
        <w:overflowPunct/>
        <w:topLinePunct w:val="0"/>
        <w:autoSpaceDE/>
        <w:autoSpaceDN/>
        <w:bidi w:val="0"/>
        <w:snapToGrid/>
        <w:spacing w:line="360" w:lineRule="auto"/>
        <w:ind w:firstLine="4560"/>
        <w:textAlignment w:val="auto"/>
        <w:rPr>
          <w:rFonts w:hint="eastAsia" w:ascii="宋体" w:hAnsi="宋体" w:eastAsia="宋体" w:cs="宋体"/>
          <w:sz w:val="24"/>
          <w:u w:val="single"/>
          <w:lang w:val="zh-CN"/>
        </w:rPr>
      </w:pPr>
      <w:r>
        <w:rPr>
          <w:rFonts w:hint="eastAsia" w:ascii="宋体" w:hAnsi="宋体" w:eastAsia="宋体" w:cs="宋体"/>
          <w:sz w:val="24"/>
          <w:lang w:val="zh-CN"/>
        </w:rPr>
        <w:t>法定代表人（签字或盖章）：</w:t>
      </w:r>
    </w:p>
    <w:p w14:paraId="742BF47C">
      <w:pPr>
        <w:pageBreakBefore w:val="0"/>
        <w:kinsoku/>
        <w:wordWrap/>
        <w:overflowPunct/>
        <w:topLinePunct w:val="0"/>
        <w:autoSpaceDE/>
        <w:autoSpaceDN/>
        <w:bidi w:val="0"/>
        <w:snapToGrid/>
        <w:spacing w:line="360" w:lineRule="auto"/>
        <w:ind w:firstLine="4560"/>
        <w:textAlignment w:val="auto"/>
        <w:rPr>
          <w:rFonts w:hint="eastAsia" w:ascii="宋体" w:hAnsi="宋体" w:eastAsia="宋体" w:cs="宋体"/>
          <w:sz w:val="24"/>
          <w:lang w:val="zh-CN"/>
        </w:rPr>
      </w:pPr>
      <w:r>
        <w:rPr>
          <w:rFonts w:hint="eastAsia" w:ascii="宋体" w:hAnsi="宋体" w:eastAsia="宋体" w:cs="宋体"/>
          <w:sz w:val="24"/>
          <w:lang w:val="zh-CN"/>
        </w:rPr>
        <w:t>时间：  年  月   日</w:t>
      </w:r>
    </w:p>
    <w:p w14:paraId="6555A4C3">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28"/>
          <w:szCs w:val="28"/>
        </w:rPr>
      </w:pPr>
    </w:p>
    <w:p w14:paraId="14CEC541">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rPr>
      </w:pPr>
    </w:p>
    <w:p w14:paraId="41489D08">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lang w:val="en-US" w:eastAsia="zh-CN"/>
        </w:rPr>
      </w:pPr>
      <w:r>
        <w:rPr>
          <w:rFonts w:hint="eastAsia" w:ascii="宋体" w:hAnsi="宋体" w:eastAsia="宋体" w:cs="宋体"/>
          <w:sz w:val="32"/>
          <w:szCs w:val="32"/>
        </w:rPr>
        <w:br w:type="page" w:clear="all"/>
      </w:r>
      <w:r>
        <w:rPr>
          <w:rFonts w:hint="eastAsia" w:ascii="宋体" w:hAnsi="宋体" w:eastAsia="宋体" w:cs="宋体"/>
          <w:sz w:val="32"/>
          <w:szCs w:val="32"/>
        </w:rPr>
        <w:t>附件</w:t>
      </w:r>
      <w:r>
        <w:rPr>
          <w:rFonts w:hint="eastAsia" w:ascii="宋体" w:hAnsi="宋体" w:eastAsia="宋体" w:cs="宋体"/>
          <w:sz w:val="32"/>
          <w:szCs w:val="32"/>
          <w:lang w:val="en-US" w:eastAsia="zh-CN"/>
        </w:rPr>
        <w:t>7</w:t>
      </w:r>
    </w:p>
    <w:p w14:paraId="24254216">
      <w:pPr>
        <w:keepNext/>
        <w:keepLines/>
        <w:pageBreakBefore w:val="0"/>
        <w:kinsoku/>
        <w:wordWrap/>
        <w:overflowPunct/>
        <w:topLinePunct w:val="0"/>
        <w:autoSpaceDE/>
        <w:autoSpaceDN/>
        <w:bidi w:val="0"/>
        <w:snapToGrid/>
        <w:spacing w:line="360" w:lineRule="auto"/>
        <w:jc w:val="center"/>
        <w:textAlignment w:val="auto"/>
        <w:outlineLvl w:val="1"/>
        <w:rPr>
          <w:rFonts w:hint="eastAsia" w:ascii="宋体" w:hAnsi="宋体" w:eastAsia="宋体" w:cs="宋体"/>
          <w:b/>
          <w:sz w:val="32"/>
          <w:szCs w:val="32"/>
        </w:rPr>
      </w:pPr>
      <w:r>
        <w:rPr>
          <w:rFonts w:hint="eastAsia" w:ascii="宋体" w:hAnsi="宋体" w:eastAsia="宋体" w:cs="宋体"/>
          <w:b/>
          <w:sz w:val="32"/>
          <w:szCs w:val="32"/>
        </w:rPr>
        <w:t>投标函</w:t>
      </w:r>
    </w:p>
    <w:p w14:paraId="05E2F5AF">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szCs w:val="21"/>
        </w:rPr>
      </w:pPr>
      <w:r>
        <w:rPr>
          <w:rFonts w:hint="eastAsia" w:ascii="宋体" w:hAnsi="宋体" w:eastAsia="宋体" w:cs="宋体"/>
          <w:sz w:val="24"/>
          <w:szCs w:val="21"/>
        </w:rPr>
        <w:t xml:space="preserve">致：__________（采购人名称）   </w:t>
      </w:r>
    </w:p>
    <w:p w14:paraId="196051D7">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根据贵方的__________（项目名称、项目编号）招标文件，正式授权下述签字人______(姓名)代表我方______________（投标人的名称），全权处理本次项目投标的有关事宜。</w:t>
      </w:r>
    </w:p>
    <w:p w14:paraId="097DBD15">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据此函，__________签字人兹宣布同意如下：</w:t>
      </w:r>
    </w:p>
    <w:p w14:paraId="19948A61">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1.按招标文件规定的各项要求，向买方提供所需</w:t>
      </w:r>
      <w:r>
        <w:rPr>
          <w:rFonts w:hint="eastAsia" w:ascii="宋体" w:hAnsi="宋体" w:eastAsia="宋体" w:cs="宋体"/>
          <w:sz w:val="24"/>
        </w:rPr>
        <w:t>服务（包含与服务相关的货物）。</w:t>
      </w:r>
    </w:p>
    <w:p w14:paraId="7A860DF4">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2.我们完全理解贵方不一定将合同授予最低报价的投标人。</w:t>
      </w:r>
    </w:p>
    <w:p w14:paraId="3DB9178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3.我们已详细审核全部招标文件及其有效补充文件，我们知道必须放弃提出含糊不清或误解问题的权利。</w:t>
      </w:r>
    </w:p>
    <w:p w14:paraId="40AF1B3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4.我们同意从规定的开标日期起遵循本投标文件，并在规定的投标有效期期满之前均具有约束力。</w:t>
      </w:r>
    </w:p>
    <w:p w14:paraId="37F62A08">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5.同意向贵方提供贵方可能另外要求的与投标有关的任何证据或资料，并保证我方已提供和将要提供的文件是真实的、准确的。</w:t>
      </w:r>
    </w:p>
    <w:p w14:paraId="424E6DEC">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6.一旦我方中标,我方将根据招标文件的规定，严格履行合同的责任和义务,并保证在招标文件规定的时间完成项目，交付买方验收、使用。</w:t>
      </w:r>
    </w:p>
    <w:p w14:paraId="48FED503">
      <w:pPr>
        <w:pageBreakBefore w:val="0"/>
        <w:kinsoku/>
        <w:wordWrap/>
        <w:overflowPunct/>
        <w:topLinePunct w:val="0"/>
        <w:autoSpaceDE/>
        <w:autoSpaceDN/>
        <w:bidi w:val="0"/>
        <w:snapToGrid/>
        <w:spacing w:line="360" w:lineRule="auto"/>
        <w:ind w:firstLine="480"/>
        <w:jc w:val="left"/>
        <w:textAlignment w:val="auto"/>
        <w:rPr>
          <w:rFonts w:hint="eastAsia" w:ascii="宋体" w:hAnsi="宋体" w:eastAsia="宋体" w:cs="宋体"/>
          <w:sz w:val="24"/>
          <w:szCs w:val="21"/>
        </w:rPr>
      </w:pPr>
      <w:r>
        <w:rPr>
          <w:rFonts w:hint="eastAsia" w:ascii="宋体" w:hAnsi="宋体" w:eastAsia="宋体" w:cs="宋体"/>
          <w:sz w:val="24"/>
          <w:szCs w:val="21"/>
        </w:rPr>
        <w:t>7.与本投标有关的正式通讯地址为：</w:t>
      </w:r>
    </w:p>
    <w:p w14:paraId="36F83546">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r>
        <w:rPr>
          <w:rFonts w:hint="eastAsia" w:ascii="宋体" w:hAnsi="宋体" w:eastAsia="宋体" w:cs="宋体"/>
          <w:sz w:val="24"/>
          <w:szCs w:val="21"/>
        </w:rPr>
        <w:t>地          址：</w:t>
      </w:r>
    </w:p>
    <w:p w14:paraId="770300B1">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r>
        <w:rPr>
          <w:rFonts w:hint="eastAsia" w:ascii="宋体" w:hAnsi="宋体" w:eastAsia="宋体" w:cs="宋体"/>
          <w:sz w:val="24"/>
          <w:szCs w:val="21"/>
        </w:rPr>
        <w:t>邮          编：</w:t>
      </w:r>
    </w:p>
    <w:p w14:paraId="7F3754C2">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r>
        <w:rPr>
          <w:rFonts w:hint="eastAsia" w:ascii="宋体" w:hAnsi="宋体" w:eastAsia="宋体" w:cs="宋体"/>
          <w:sz w:val="24"/>
          <w:szCs w:val="21"/>
        </w:rPr>
        <w:t>电          话：</w:t>
      </w:r>
    </w:p>
    <w:p w14:paraId="2AADD1C7">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r>
        <w:rPr>
          <w:rFonts w:hint="eastAsia" w:ascii="宋体" w:hAnsi="宋体" w:eastAsia="宋体" w:cs="宋体"/>
          <w:sz w:val="24"/>
          <w:szCs w:val="21"/>
        </w:rPr>
        <w:t>传          真：</w:t>
      </w:r>
    </w:p>
    <w:p w14:paraId="26EC7837">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p>
    <w:p w14:paraId="0D7B7567">
      <w:pPr>
        <w:pageBreakBefore w:val="0"/>
        <w:kinsoku/>
        <w:wordWrap/>
        <w:overflowPunct/>
        <w:topLinePunct w:val="0"/>
        <w:autoSpaceDE/>
        <w:autoSpaceDN/>
        <w:bidi w:val="0"/>
        <w:snapToGrid/>
        <w:spacing w:line="360" w:lineRule="auto"/>
        <w:ind w:left="420" w:firstLine="480"/>
        <w:jc w:val="left"/>
        <w:textAlignment w:val="auto"/>
        <w:rPr>
          <w:rFonts w:hint="eastAsia" w:ascii="宋体" w:hAnsi="宋体" w:eastAsia="宋体" w:cs="宋体"/>
          <w:sz w:val="24"/>
          <w:szCs w:val="21"/>
        </w:rPr>
      </w:pPr>
      <w:r>
        <w:rPr>
          <w:rFonts w:hint="eastAsia" w:ascii="宋体" w:hAnsi="宋体" w:eastAsia="宋体" w:cs="宋体"/>
          <w:sz w:val="24"/>
          <w:szCs w:val="21"/>
        </w:rPr>
        <w:t xml:space="preserve"> </w:t>
      </w:r>
    </w:p>
    <w:p w14:paraId="258368EB">
      <w:pPr>
        <w:pageBreakBefore w:val="0"/>
        <w:kinsoku/>
        <w:wordWrap/>
        <w:overflowPunct/>
        <w:topLinePunct w:val="0"/>
        <w:autoSpaceDE/>
        <w:autoSpaceDN/>
        <w:bidi w:val="0"/>
        <w:snapToGrid/>
        <w:spacing w:line="360" w:lineRule="auto"/>
        <w:contextualSpacing/>
        <w:jc w:val="center"/>
        <w:textAlignment w:val="auto"/>
        <w:rPr>
          <w:rFonts w:hint="eastAsia" w:ascii="宋体" w:hAnsi="宋体" w:eastAsia="宋体" w:cs="宋体"/>
          <w:sz w:val="24"/>
          <w:szCs w:val="21"/>
        </w:rPr>
      </w:pPr>
    </w:p>
    <w:p w14:paraId="476CAEB2">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24"/>
          <w:szCs w:val="21"/>
        </w:rPr>
      </w:pPr>
      <w:r>
        <w:rPr>
          <w:rFonts w:hint="eastAsia" w:ascii="宋体" w:hAnsi="宋体" w:eastAsia="宋体" w:cs="宋体"/>
          <w:sz w:val="24"/>
        </w:rPr>
        <w:t xml:space="preserve">                          投标人名称（盖公章）:</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Cs/>
          <w:sz w:val="24"/>
          <w:szCs w:val="21"/>
        </w:rPr>
        <w:t xml:space="preserve">                </w:t>
      </w:r>
    </w:p>
    <w:p w14:paraId="5D10B361">
      <w:pPr>
        <w:pageBreakBefore w:val="0"/>
        <w:kinsoku/>
        <w:wordWrap/>
        <w:overflowPunct/>
        <w:topLinePunct w:val="0"/>
        <w:autoSpaceDE/>
        <w:autoSpaceDN/>
        <w:bidi w:val="0"/>
        <w:snapToGrid/>
        <w:spacing w:line="360" w:lineRule="auto"/>
        <w:contextualSpacing/>
        <w:jc w:val="left"/>
        <w:textAlignment w:val="auto"/>
        <w:rPr>
          <w:rFonts w:hint="eastAsia" w:ascii="宋体" w:hAnsi="宋体" w:eastAsia="宋体" w:cs="宋体"/>
          <w:sz w:val="32"/>
          <w:szCs w:val="32"/>
          <w:lang w:eastAsia="zh-CN"/>
        </w:rPr>
      </w:pPr>
      <w:r>
        <w:rPr>
          <w:rFonts w:hint="eastAsia" w:ascii="宋体" w:hAnsi="宋体" w:eastAsia="宋体" w:cs="宋体"/>
          <w:bCs/>
          <w:sz w:val="24"/>
          <w:szCs w:val="21"/>
        </w:rPr>
        <w:t xml:space="preserve">                             </w:t>
      </w:r>
      <w:r>
        <w:rPr>
          <w:rFonts w:hint="eastAsia" w:ascii="宋体" w:hAnsi="宋体" w:eastAsia="宋体" w:cs="宋体"/>
          <w:bCs/>
          <w:sz w:val="24"/>
          <w:szCs w:val="21"/>
          <w:lang w:val="en-US" w:eastAsia="zh-CN"/>
        </w:rPr>
        <w:t xml:space="preserve">            </w:t>
      </w:r>
      <w:r>
        <w:rPr>
          <w:rFonts w:hint="eastAsia" w:ascii="宋体" w:hAnsi="宋体" w:eastAsia="宋体" w:cs="宋体"/>
          <w:bCs/>
          <w:sz w:val="24"/>
          <w:szCs w:val="21"/>
        </w:rPr>
        <w:t>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日</w:t>
      </w:r>
      <w:r>
        <w:rPr>
          <w:rFonts w:hint="eastAsia" w:ascii="宋体" w:hAnsi="宋体" w:eastAsia="宋体" w:cs="宋体"/>
          <w:b/>
          <w:sz w:val="32"/>
          <w:szCs w:val="32"/>
        </w:rPr>
        <w:br w:type="page" w:clear="all"/>
      </w:r>
      <w:r>
        <w:rPr>
          <w:rFonts w:hint="eastAsia" w:ascii="宋体" w:hAnsi="宋体" w:eastAsia="宋体" w:cs="宋体"/>
          <w:sz w:val="32"/>
          <w:szCs w:val="32"/>
        </w:rPr>
        <w:t>附件</w:t>
      </w:r>
      <w:r>
        <w:rPr>
          <w:rFonts w:hint="eastAsia" w:ascii="宋体" w:hAnsi="宋体" w:eastAsia="宋体" w:cs="宋体"/>
          <w:sz w:val="32"/>
          <w:szCs w:val="32"/>
          <w:lang w:val="en-US" w:eastAsia="zh-CN"/>
        </w:rPr>
        <w:t>8</w:t>
      </w:r>
    </w:p>
    <w:p w14:paraId="3B802227">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中小微企业声明函（服务）</w:t>
      </w:r>
    </w:p>
    <w:p w14:paraId="1553F4C0">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本公司（联合体）郑重声明，根据《政府采购促进中小企业发展管理办法》(财库[2020]46号)的规定，本公司（联合体）参加南通市通州区三余镇人民政府组织的</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采购编号为JSZC-</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u w:val="single"/>
          <w:lang w:eastAsia="zh-CN"/>
        </w:rPr>
        <w:t>采购包号</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030327C1">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rPr>
        <w:t>中型企业 □小型企业 □微型企业）；</w:t>
      </w:r>
    </w:p>
    <w:p w14:paraId="6141AF3A">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 □小型企业 □微型企业）；</w:t>
      </w:r>
    </w:p>
    <w:p w14:paraId="07EF7B73">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8F7E03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5B4B9763">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5E7E3459">
      <w:pPr>
        <w:bidi w:val="0"/>
        <w:rPr>
          <w:rFonts w:hint="eastAsia"/>
        </w:rPr>
      </w:pPr>
    </w:p>
    <w:p w14:paraId="2FC0963C">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70867EDC">
      <w:pPr>
        <w:keepNext w:val="0"/>
        <w:keepLines w:val="0"/>
        <w:pageBreakBefore w:val="0"/>
        <w:widowControl w:val="0"/>
        <w:kinsoku/>
        <w:wordWrap/>
        <w:overflowPunct/>
        <w:topLinePunct w:val="0"/>
        <w:autoSpaceDE/>
        <w:autoSpaceDN/>
        <w:bidi w:val="0"/>
        <w:adjustRightInd/>
        <w:snapToGrid/>
        <w:spacing w:line="360" w:lineRule="auto"/>
        <w:ind w:right="0" w:firstLine="6240" w:firstLineChars="26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7B2AAC0A">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p>
    <w:p w14:paraId="64AE419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5C6DBF25">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1.从业人员、营业收入、资产总额填报上一年度数据，无上一年度数据的新成立企业可不填报。</w:t>
      </w:r>
    </w:p>
    <w:p w14:paraId="087BC988">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4EA2AAA7">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宋体" w:hAnsi="宋体"/>
          <w:sz w:val="24"/>
          <w:szCs w:val="24"/>
          <w:highlight w:val="none"/>
        </w:rPr>
      </w:pPr>
      <w:r>
        <w:rPr>
          <w:rFonts w:hint="eastAsia" w:ascii="宋体" w:hAnsi="宋体" w:eastAsia="宋体" w:cs="宋体"/>
          <w:sz w:val="24"/>
          <w:szCs w:val="24"/>
          <w:highlight w:val="none"/>
        </w:rPr>
        <w:t>3.供应商自行勾选承接企业的企业规模类型。</w:t>
      </w:r>
    </w:p>
    <w:p w14:paraId="3DEAE936">
      <w:pPr>
        <w:pageBreakBefore w:val="0"/>
        <w:kinsoku/>
        <w:wordWrap/>
        <w:overflowPunct/>
        <w:topLinePunct w:val="0"/>
        <w:autoSpaceDE/>
        <w:autoSpaceDN/>
        <w:bidi w:val="0"/>
        <w:snapToGrid/>
        <w:spacing w:line="360" w:lineRule="auto"/>
        <w:ind w:firstLine="420"/>
        <w:textAlignment w:val="auto"/>
        <w:outlineLvl w:val="0"/>
        <w:rPr>
          <w:rFonts w:hint="eastAsia" w:ascii="宋体" w:hAnsi="宋体" w:eastAsia="宋体" w:cs="宋体"/>
          <w:szCs w:val="21"/>
          <w:lang w:bidi="zh-CN"/>
        </w:rPr>
      </w:pPr>
    </w:p>
    <w:p w14:paraId="22D5A60F">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32"/>
          <w:szCs w:val="32"/>
          <w:lang w:eastAsia="zh-CN"/>
        </w:rPr>
      </w:pPr>
      <w:r>
        <w:rPr>
          <w:rFonts w:hint="eastAsia" w:ascii="宋体" w:hAnsi="宋体" w:eastAsia="宋体" w:cs="宋体"/>
          <w:sz w:val="32"/>
          <w:szCs w:val="32"/>
        </w:rPr>
        <w:br w:type="page" w:clear="all"/>
      </w:r>
      <w:r>
        <w:rPr>
          <w:rFonts w:hint="eastAsia" w:ascii="宋体" w:hAnsi="宋体" w:eastAsia="宋体" w:cs="宋体"/>
          <w:sz w:val="32"/>
          <w:szCs w:val="32"/>
        </w:rPr>
        <w:t>附件</w:t>
      </w:r>
      <w:r>
        <w:rPr>
          <w:rFonts w:hint="eastAsia" w:ascii="宋体" w:hAnsi="宋体" w:eastAsia="宋体" w:cs="宋体"/>
          <w:sz w:val="32"/>
          <w:szCs w:val="32"/>
          <w:lang w:val="en-US" w:eastAsia="zh-CN"/>
        </w:rPr>
        <w:t>9</w:t>
      </w:r>
    </w:p>
    <w:p w14:paraId="77F117C1">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
          <w:sz w:val="32"/>
          <w:szCs w:val="32"/>
        </w:rPr>
      </w:pPr>
      <w:r>
        <w:rPr>
          <w:rFonts w:hint="eastAsia" w:ascii="宋体" w:hAnsi="宋体" w:eastAsia="宋体" w:cs="宋体"/>
          <w:b/>
          <w:sz w:val="32"/>
          <w:szCs w:val="32"/>
        </w:rPr>
        <w:t>残疾人福利性单位声明函</w:t>
      </w:r>
    </w:p>
    <w:p w14:paraId="5C161A41">
      <w:pPr>
        <w:bidi w:val="0"/>
        <w:rPr>
          <w:rFonts w:hint="eastAsia"/>
        </w:rPr>
      </w:pPr>
    </w:p>
    <w:p w14:paraId="40F2433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项目采购活动提供本单位制造的货物（由本单位承担工程/提供服务），或者提供其他残疾人福利性单位制造的货物（不包括使用非残疾人福利性单位注册商标的货物）。</w:t>
      </w:r>
    </w:p>
    <w:p w14:paraId="478A513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304730CC">
      <w:pPr>
        <w:keepNext w:val="0"/>
        <w:keepLines w:val="0"/>
        <w:pageBreakBefore w:val="0"/>
        <w:widowControl w:val="0"/>
        <w:kinsoku/>
        <w:wordWrap/>
        <w:overflowPunct/>
        <w:topLinePunct w:val="0"/>
        <w:autoSpaceDE/>
        <w:autoSpaceDN/>
        <w:bidi w:val="0"/>
        <w:adjustRightInd/>
        <w:snapToGrid/>
        <w:spacing w:line="360" w:lineRule="auto"/>
        <w:ind w:firstLine="584"/>
        <w:textAlignment w:val="auto"/>
        <w:rPr>
          <w:rFonts w:hint="eastAsia" w:ascii="宋体" w:hAnsi="宋体" w:eastAsia="宋体" w:cs="宋体"/>
          <w:spacing w:val="6"/>
          <w:sz w:val="24"/>
          <w:szCs w:val="24"/>
        </w:rPr>
      </w:pPr>
    </w:p>
    <w:p w14:paraId="2ED05653">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60"/>
        <w:jc w:val="center"/>
        <w:textAlignment w:val="auto"/>
        <w:rPr>
          <w:rFonts w:hint="eastAsia" w:ascii="宋体" w:hAnsi="宋体" w:eastAsia="宋体" w:cs="宋体"/>
          <w:sz w:val="24"/>
          <w:szCs w:val="24"/>
        </w:rPr>
      </w:pPr>
      <w:r>
        <w:rPr>
          <w:rFonts w:hint="eastAsia" w:ascii="宋体" w:hAnsi="宋体" w:eastAsia="宋体" w:cs="宋体"/>
          <w:sz w:val="24"/>
          <w:szCs w:val="24"/>
        </w:rPr>
        <w:t xml:space="preserve">                                供应商全称（盖章）：</w:t>
      </w:r>
    </w:p>
    <w:p w14:paraId="3127C84D">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560"/>
        <w:jc w:val="center"/>
        <w:textAlignment w:val="auto"/>
        <w:rPr>
          <w:rFonts w:hint="eastAsia" w:ascii="宋体" w:hAnsi="宋体" w:eastAsia="宋体" w:cs="宋体"/>
          <w:sz w:val="28"/>
          <w:szCs w:val="28"/>
        </w:rPr>
      </w:pPr>
      <w:r>
        <w:rPr>
          <w:rFonts w:hint="eastAsia" w:ascii="宋体" w:hAnsi="宋体" w:eastAsia="宋体" w:cs="宋体"/>
          <w:sz w:val="24"/>
          <w:szCs w:val="24"/>
        </w:rPr>
        <w:t xml:space="preserve">                       日  期：</w:t>
      </w:r>
    </w:p>
    <w:p w14:paraId="300DBACB">
      <w:pPr>
        <w:pStyle w:val="2"/>
        <w:pageBreakBefore w:val="0"/>
        <w:kinsoku/>
        <w:wordWrap/>
        <w:overflowPunct/>
        <w:topLinePunct w:val="0"/>
        <w:autoSpaceDE/>
        <w:autoSpaceDN/>
        <w:bidi w:val="0"/>
        <w:snapToGrid/>
        <w:spacing w:after="0" w:line="360" w:lineRule="auto"/>
        <w:ind w:firstLine="292"/>
        <w:textAlignment w:val="auto"/>
        <w:rPr>
          <w:rFonts w:hint="eastAsia" w:ascii="宋体" w:hAnsi="宋体" w:eastAsia="宋体" w:cs="宋体"/>
          <w:spacing w:val="6"/>
          <w:sz w:val="28"/>
          <w:szCs w:val="28"/>
        </w:rPr>
      </w:pPr>
    </w:p>
    <w:p w14:paraId="09EF306D">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Cs w:val="21"/>
          <w:lang w:bidi="zh-CN"/>
        </w:rPr>
      </w:pPr>
      <w:r>
        <w:rPr>
          <w:rFonts w:hint="eastAsia" w:ascii="宋体" w:hAnsi="宋体" w:eastAsia="宋体" w:cs="宋体"/>
          <w:szCs w:val="21"/>
          <w:lang w:bidi="zh-CN"/>
        </w:rPr>
        <w:t>注：</w:t>
      </w:r>
    </w:p>
    <w:p w14:paraId="3F0B7583">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zCs w:val="21"/>
          <w:lang w:bidi="zh-CN"/>
        </w:rPr>
      </w:pPr>
      <w:r>
        <w:rPr>
          <w:rFonts w:hint="eastAsia" w:ascii="宋体" w:hAnsi="宋体" w:eastAsia="宋体" w:cs="宋体"/>
          <w:szCs w:val="21"/>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552B904A">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pacing w:val="6"/>
          <w:szCs w:val="21"/>
        </w:rPr>
      </w:pPr>
      <w:r>
        <w:rPr>
          <w:rFonts w:hint="eastAsia" w:ascii="宋体" w:hAnsi="宋体" w:eastAsia="宋体" w:cs="宋体"/>
          <w:szCs w:val="21"/>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458191DE">
      <w:pPr>
        <w:pageBreakBefore w:val="0"/>
        <w:kinsoku/>
        <w:wordWrap/>
        <w:overflowPunct/>
        <w:topLinePunct w:val="0"/>
        <w:autoSpaceDE/>
        <w:autoSpaceDN/>
        <w:bidi w:val="0"/>
        <w:snapToGrid/>
        <w:spacing w:line="360" w:lineRule="auto"/>
        <w:ind w:firstLine="584"/>
        <w:textAlignment w:val="auto"/>
        <w:rPr>
          <w:rFonts w:hint="eastAsia" w:ascii="宋体" w:hAnsi="宋体" w:eastAsia="宋体" w:cs="宋体"/>
          <w:spacing w:val="6"/>
          <w:sz w:val="28"/>
          <w:szCs w:val="28"/>
        </w:rPr>
      </w:pPr>
    </w:p>
    <w:p w14:paraId="71A2F8FE">
      <w:pPr>
        <w:pageBreakBefore w:val="0"/>
        <w:kinsoku/>
        <w:wordWrap/>
        <w:overflowPunct/>
        <w:topLinePunct w:val="0"/>
        <w:autoSpaceDE/>
        <w:autoSpaceDN/>
        <w:bidi w:val="0"/>
        <w:snapToGrid/>
        <w:spacing w:line="360" w:lineRule="auto"/>
        <w:ind w:firstLine="584"/>
        <w:textAlignment w:val="auto"/>
        <w:rPr>
          <w:rFonts w:hint="eastAsia" w:ascii="宋体" w:hAnsi="宋体" w:eastAsia="宋体" w:cs="宋体"/>
          <w:spacing w:val="6"/>
          <w:sz w:val="28"/>
          <w:szCs w:val="28"/>
        </w:rPr>
      </w:pPr>
    </w:p>
    <w:p w14:paraId="0EDBEAB5">
      <w:pPr>
        <w:pageBreakBefore w:val="0"/>
        <w:tabs>
          <w:tab w:val="left" w:pos="4860"/>
        </w:tabs>
        <w:kinsoku/>
        <w:wordWrap/>
        <w:overflowPunct/>
        <w:topLinePunct w:val="0"/>
        <w:autoSpaceDE/>
        <w:autoSpaceDN/>
        <w:bidi w:val="0"/>
        <w:snapToGrid/>
        <w:spacing w:line="360" w:lineRule="auto"/>
        <w:ind w:right="1560" w:firstLine="584"/>
        <w:jc w:val="center"/>
        <w:textAlignment w:val="auto"/>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w:t>
      </w:r>
    </w:p>
    <w:p w14:paraId="2ACD4693">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p>
    <w:p w14:paraId="17A507C2">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32"/>
          <w:szCs w:val="32"/>
          <w:lang w:val="en-US" w:eastAsia="zh-CN"/>
        </w:rPr>
      </w:pPr>
      <w:r>
        <w:rPr>
          <w:rFonts w:hint="eastAsia" w:ascii="宋体" w:hAnsi="宋体" w:eastAsia="宋体" w:cs="宋体"/>
          <w:sz w:val="32"/>
          <w:szCs w:val="32"/>
        </w:rPr>
        <w:br w:type="page" w:clear="all"/>
      </w:r>
      <w:r>
        <w:rPr>
          <w:rFonts w:hint="eastAsia" w:ascii="宋体" w:hAnsi="宋体" w:eastAsia="宋体" w:cs="宋体"/>
          <w:sz w:val="32"/>
          <w:szCs w:val="32"/>
        </w:rPr>
        <w:t>附件1</w:t>
      </w:r>
      <w:r>
        <w:rPr>
          <w:rFonts w:hint="eastAsia" w:ascii="宋体" w:hAnsi="宋体" w:eastAsia="宋体" w:cs="宋体"/>
          <w:sz w:val="32"/>
          <w:szCs w:val="32"/>
          <w:lang w:val="en-US" w:eastAsia="zh-CN"/>
        </w:rPr>
        <w:t>0</w:t>
      </w:r>
    </w:p>
    <w:p w14:paraId="3EF92570">
      <w:pPr>
        <w:pageBreakBefore w:val="0"/>
        <w:kinsoku/>
        <w:wordWrap/>
        <w:overflowPunct/>
        <w:topLinePunct w:val="0"/>
        <w:autoSpaceDE/>
        <w:autoSpaceDN/>
        <w:bidi w:val="0"/>
        <w:snapToGrid/>
        <w:spacing w:line="360" w:lineRule="auto"/>
        <w:jc w:val="center"/>
        <w:textAlignment w:val="auto"/>
        <w:outlineLvl w:val="3"/>
        <w:rPr>
          <w:rFonts w:hint="eastAsia" w:ascii="宋体" w:hAnsi="宋体" w:eastAsia="宋体" w:cs="宋体"/>
          <w:b/>
          <w:bCs/>
          <w:sz w:val="32"/>
          <w:szCs w:val="32"/>
        </w:rPr>
      </w:pPr>
      <w:r>
        <w:rPr>
          <w:rFonts w:hint="eastAsia" w:ascii="宋体" w:hAnsi="宋体" w:eastAsia="宋体" w:cs="宋体"/>
          <w:b/>
          <w:bCs/>
          <w:sz w:val="32"/>
          <w:szCs w:val="32"/>
        </w:rPr>
        <w:t>监狱和戒毒企业证明材料</w:t>
      </w:r>
    </w:p>
    <w:p w14:paraId="6EF54CA1">
      <w:pPr>
        <w:pageBreakBefore w:val="0"/>
        <w:kinsoku/>
        <w:wordWrap/>
        <w:overflowPunct/>
        <w:topLinePunct w:val="0"/>
        <w:autoSpaceDE/>
        <w:autoSpaceDN/>
        <w:bidi w:val="0"/>
        <w:snapToGrid/>
        <w:spacing w:line="360" w:lineRule="auto"/>
        <w:ind w:firstLine="495"/>
        <w:textAlignment w:val="auto"/>
        <w:rPr>
          <w:rFonts w:hint="eastAsia" w:ascii="宋体" w:hAnsi="宋体" w:eastAsia="宋体" w:cs="宋体"/>
          <w:sz w:val="28"/>
          <w:szCs w:val="28"/>
        </w:rPr>
      </w:pPr>
    </w:p>
    <w:p w14:paraId="23966B2A">
      <w:pPr>
        <w:pageBreakBefore w:val="0"/>
        <w:kinsoku/>
        <w:wordWrap/>
        <w:overflowPunct/>
        <w:topLinePunct w:val="0"/>
        <w:autoSpaceDE/>
        <w:autoSpaceDN/>
        <w:bidi w:val="0"/>
        <w:snapToGrid/>
        <w:spacing w:line="360" w:lineRule="auto"/>
        <w:ind w:firstLine="498"/>
        <w:textAlignment w:val="auto"/>
        <w:rPr>
          <w:rFonts w:hint="eastAsia" w:ascii="宋体" w:hAnsi="宋体" w:eastAsia="宋体" w:cs="宋体"/>
          <w:b/>
          <w:sz w:val="28"/>
          <w:szCs w:val="28"/>
        </w:rPr>
      </w:pPr>
      <w:r>
        <w:rPr>
          <w:rFonts w:hint="eastAsia" w:ascii="宋体" w:hAnsi="宋体" w:eastAsia="宋体" w:cs="宋体"/>
          <w:b/>
          <w:sz w:val="28"/>
          <w:szCs w:val="28"/>
        </w:rPr>
        <w:t>（格式自拟）</w:t>
      </w:r>
    </w:p>
    <w:p w14:paraId="12B3C20D">
      <w:pPr>
        <w:pageBreakBefore w:val="0"/>
        <w:kinsoku/>
        <w:wordWrap/>
        <w:overflowPunct/>
        <w:topLinePunct w:val="0"/>
        <w:autoSpaceDE/>
        <w:autoSpaceDN/>
        <w:bidi w:val="0"/>
        <w:snapToGrid/>
        <w:spacing w:line="360" w:lineRule="auto"/>
        <w:ind w:firstLine="495"/>
        <w:textAlignment w:val="auto"/>
        <w:rPr>
          <w:rFonts w:hint="eastAsia" w:ascii="宋体" w:hAnsi="宋体" w:eastAsia="宋体" w:cs="宋体"/>
          <w:sz w:val="28"/>
          <w:szCs w:val="28"/>
        </w:rPr>
      </w:pPr>
    </w:p>
    <w:p w14:paraId="61068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8"/>
          <w:szCs w:val="28"/>
        </w:rPr>
      </w:pPr>
      <w:r>
        <w:rPr>
          <w:rFonts w:hint="eastAsia" w:ascii="宋体" w:hAnsi="宋体" w:eastAsia="宋体" w:cs="宋体"/>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29C2C71">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28"/>
          <w:szCs w:val="28"/>
        </w:rPr>
      </w:pPr>
    </w:p>
    <w:p w14:paraId="0BE635E4">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28"/>
          <w:szCs w:val="28"/>
        </w:rPr>
      </w:pPr>
    </w:p>
    <w:p w14:paraId="48803B7C">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Cs w:val="21"/>
          <w:lang w:bidi="zh-CN"/>
        </w:rPr>
      </w:pPr>
      <w:r>
        <w:rPr>
          <w:rFonts w:hint="eastAsia" w:ascii="宋体" w:hAnsi="宋体" w:eastAsia="宋体" w:cs="宋体"/>
          <w:szCs w:val="21"/>
          <w:lang w:bidi="zh-CN"/>
        </w:rPr>
        <w:t>注：</w:t>
      </w:r>
    </w:p>
    <w:p w14:paraId="035868AC">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zCs w:val="21"/>
          <w:lang w:bidi="zh-CN"/>
        </w:rPr>
      </w:pPr>
      <w:r>
        <w:rPr>
          <w:rFonts w:hint="eastAsia" w:ascii="宋体" w:hAnsi="宋体" w:eastAsia="宋体" w:cs="宋体"/>
          <w:szCs w:val="21"/>
          <w:lang w:bidi="zh-CN"/>
        </w:rPr>
        <w:t>1.专门面向中小微型企业采购的项目，供应商为残疾人福利性单位并提供服务的必须提供此声明函，否则将不能通过资格审查；非专门面向中小微型企业采购的项目，供应商如不提供此声明函，价格将不做相应扣除。</w:t>
      </w:r>
    </w:p>
    <w:p w14:paraId="65F71E11">
      <w:pPr>
        <w:pageBreakBefore w:val="0"/>
        <w:kinsoku/>
        <w:wordWrap/>
        <w:overflowPunct/>
        <w:topLinePunct w:val="0"/>
        <w:autoSpaceDE/>
        <w:autoSpaceDN/>
        <w:bidi w:val="0"/>
        <w:snapToGrid/>
        <w:spacing w:line="360" w:lineRule="auto"/>
        <w:ind w:firstLine="420"/>
        <w:jc w:val="left"/>
        <w:textAlignment w:val="auto"/>
        <w:rPr>
          <w:rFonts w:hint="eastAsia" w:ascii="宋体" w:hAnsi="宋体" w:eastAsia="宋体" w:cs="宋体"/>
          <w:szCs w:val="21"/>
          <w:lang w:bidi="zh-CN"/>
        </w:rPr>
      </w:pPr>
      <w:r>
        <w:rPr>
          <w:rFonts w:hint="eastAsia" w:ascii="宋体" w:hAnsi="宋体" w:eastAsia="宋体" w:cs="宋体"/>
          <w:szCs w:val="21"/>
          <w:lang w:bidi="zh-CN"/>
        </w:rPr>
        <w:t>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p>
    <w:p w14:paraId="3026BC08">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r>
        <w:rPr>
          <w:rFonts w:hint="eastAsia" w:ascii="宋体" w:hAnsi="宋体" w:eastAsia="宋体" w:cs="宋体"/>
          <w:b/>
          <w:sz w:val="32"/>
          <w:szCs w:val="32"/>
        </w:rPr>
        <w:br w:type="page"/>
      </w:r>
    </w:p>
    <w:p w14:paraId="5F108C99">
      <w:pPr>
        <w:keepNext w:val="0"/>
        <w:keepLines w:val="0"/>
        <w:pageBreakBefore w:val="0"/>
        <w:widowControl w:val="0"/>
        <w:tabs>
          <w:tab w:val="left" w:pos="1260"/>
        </w:tabs>
        <w:kinsoku/>
        <w:wordWrap/>
        <w:overflowPunct/>
        <w:topLinePunct w:val="0"/>
        <w:autoSpaceDE/>
        <w:autoSpaceDN/>
        <w:bidi w:val="0"/>
        <w:adjustRightInd/>
        <w:snapToGrid/>
        <w:spacing w:beforeAutospacing="0" w:afterAutospacing="0" w:line="360" w:lineRule="auto"/>
        <w:contextualSpacing/>
        <w:jc w:val="left"/>
        <w:textAlignment w:val="auto"/>
        <w:rPr>
          <w:rFonts w:hint="eastAsia" w:ascii="宋体" w:hAnsi="宋体" w:eastAsia="宋体" w:cs="宋体"/>
          <w:b/>
          <w:sz w:val="24"/>
          <w:szCs w:val="24"/>
          <w:lang w:val="en-US" w:eastAsia="zh-CN"/>
        </w:rPr>
      </w:pPr>
      <w:r>
        <w:rPr>
          <w:rFonts w:hint="eastAsia" w:ascii="宋体" w:hAnsi="宋体" w:eastAsia="宋体" w:cs="宋体"/>
          <w:sz w:val="32"/>
          <w:szCs w:val="32"/>
        </w:rPr>
        <w:t>附件1</w:t>
      </w:r>
      <w:r>
        <w:rPr>
          <w:rFonts w:hint="eastAsia" w:ascii="宋体" w:hAnsi="宋体" w:eastAsia="宋体" w:cs="宋体"/>
          <w:sz w:val="32"/>
          <w:szCs w:val="32"/>
          <w:lang w:val="en-US" w:eastAsia="zh-CN"/>
        </w:rPr>
        <w:t>1</w:t>
      </w:r>
    </w:p>
    <w:p w14:paraId="3863A4D7">
      <w:pPr>
        <w:keepNext w:val="0"/>
        <w:keepLines w:val="0"/>
        <w:pageBreakBefore w:val="0"/>
        <w:widowControl w:val="0"/>
        <w:tabs>
          <w:tab w:val="left" w:pos="1260"/>
        </w:tabs>
        <w:kinsoku/>
        <w:wordWrap/>
        <w:overflowPunct/>
        <w:topLinePunct w:val="0"/>
        <w:autoSpaceDE/>
        <w:autoSpaceDN/>
        <w:bidi w:val="0"/>
        <w:adjustRightInd/>
        <w:snapToGrid/>
        <w:spacing w:beforeAutospacing="0" w:afterAutospacing="0" w:line="360" w:lineRule="auto"/>
        <w:contextualSpacing/>
        <w:jc w:val="center"/>
        <w:textAlignment w:val="auto"/>
        <w:rPr>
          <w:rFonts w:hint="eastAsia" w:ascii="宋体" w:hAnsi="宋体" w:eastAsia="宋体" w:cs="宋体"/>
          <w:b/>
          <w:sz w:val="24"/>
          <w:szCs w:val="24"/>
          <w:lang w:val="en-US" w:eastAsia="zh-CN"/>
        </w:rPr>
      </w:pPr>
      <w:r>
        <w:rPr>
          <w:rFonts w:hint="eastAsia" w:ascii="宋体" w:hAnsi="宋体" w:eastAsia="宋体" w:cs="宋体"/>
          <w:b/>
          <w:sz w:val="32"/>
          <w:szCs w:val="32"/>
        </w:rPr>
        <w:t>投标人情况一览表</w:t>
      </w:r>
      <w:r>
        <w:rPr>
          <w:rFonts w:hint="eastAsia" w:ascii="宋体" w:hAnsi="宋体" w:eastAsia="宋体" w:cs="宋体"/>
          <w:b/>
          <w:sz w:val="32"/>
          <w:szCs w:val="32"/>
          <w:lang w:eastAsia="zh-CN"/>
        </w:rPr>
        <w:t>（</w:t>
      </w:r>
      <w:r>
        <w:rPr>
          <w:rFonts w:hint="eastAsia" w:ascii="宋体" w:hAnsi="宋体" w:eastAsia="宋体" w:cs="宋体"/>
          <w:b/>
          <w:sz w:val="32"/>
          <w:szCs w:val="32"/>
          <w:lang w:val="en-US" w:eastAsia="zh-CN"/>
        </w:rPr>
        <w:t>加盖公章）</w:t>
      </w:r>
    </w:p>
    <w:tbl>
      <w:tblPr>
        <w:tblStyle w:val="29"/>
        <w:tblW w:w="9624"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620"/>
        <w:gridCol w:w="1056"/>
        <w:gridCol w:w="1056"/>
        <w:gridCol w:w="1164"/>
        <w:gridCol w:w="1212"/>
        <w:gridCol w:w="1340"/>
        <w:gridCol w:w="180"/>
        <w:gridCol w:w="664"/>
      </w:tblGrid>
      <w:tr w14:paraId="0EC4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32" w:type="dxa"/>
            <w:tcBorders>
              <w:top w:val="double" w:color="auto" w:sz="4" w:space="0"/>
              <w:left w:val="double" w:color="auto" w:sz="4" w:space="0"/>
            </w:tcBorders>
            <w:noWrap w:val="0"/>
            <w:vAlign w:val="center"/>
          </w:tcPr>
          <w:p w14:paraId="556686BE">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单位名称</w:t>
            </w:r>
          </w:p>
        </w:tc>
        <w:tc>
          <w:tcPr>
            <w:tcW w:w="8292" w:type="dxa"/>
            <w:gridSpan w:val="8"/>
            <w:tcBorders>
              <w:top w:val="double" w:color="auto" w:sz="4" w:space="0"/>
              <w:right w:val="double" w:color="auto" w:sz="4" w:space="0"/>
            </w:tcBorders>
            <w:noWrap w:val="0"/>
            <w:vAlign w:val="center"/>
          </w:tcPr>
          <w:p w14:paraId="0C5977E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r>
      <w:tr w14:paraId="0EB69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52" w:type="dxa"/>
            <w:gridSpan w:val="2"/>
            <w:tcBorders>
              <w:left w:val="double" w:color="auto" w:sz="4" w:space="0"/>
              <w:right w:val="single" w:color="auto" w:sz="4" w:space="0"/>
            </w:tcBorders>
            <w:noWrap w:val="0"/>
            <w:vAlign w:val="center"/>
          </w:tcPr>
          <w:p w14:paraId="6994F8B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单位优势及特长</w:t>
            </w:r>
          </w:p>
        </w:tc>
        <w:tc>
          <w:tcPr>
            <w:tcW w:w="6672" w:type="dxa"/>
            <w:gridSpan w:val="7"/>
            <w:tcBorders>
              <w:left w:val="single" w:color="auto" w:sz="4" w:space="0"/>
              <w:right w:val="double" w:color="auto" w:sz="4" w:space="0"/>
            </w:tcBorders>
            <w:noWrap w:val="0"/>
            <w:vAlign w:val="center"/>
          </w:tcPr>
          <w:p w14:paraId="5C82D713">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r>
      <w:tr w14:paraId="300D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32" w:type="dxa"/>
            <w:vMerge w:val="restart"/>
            <w:tcBorders>
              <w:left w:val="double" w:color="auto" w:sz="4" w:space="0"/>
            </w:tcBorders>
            <w:noWrap w:val="0"/>
            <w:vAlign w:val="top"/>
          </w:tcPr>
          <w:p w14:paraId="197AC3AA">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r>
              <w:rPr>
                <w:rFonts w:hint="eastAsia" w:ascii="宋体" w:hAnsi="宋体" w:eastAsia="宋体" w:cs="宋体"/>
              </w:rPr>
              <w:t>单位</w:t>
            </w:r>
          </w:p>
          <w:p w14:paraId="37DAA240">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r>
              <w:rPr>
                <w:rFonts w:hint="eastAsia" w:ascii="宋体" w:hAnsi="宋体" w:eastAsia="宋体" w:cs="宋体"/>
              </w:rPr>
              <w:t>概况</w:t>
            </w:r>
          </w:p>
        </w:tc>
        <w:tc>
          <w:tcPr>
            <w:tcW w:w="1620" w:type="dxa"/>
            <w:noWrap w:val="0"/>
            <w:vAlign w:val="top"/>
          </w:tcPr>
          <w:p w14:paraId="3AAB0DC5">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职工总数</w:t>
            </w:r>
          </w:p>
        </w:tc>
        <w:tc>
          <w:tcPr>
            <w:tcW w:w="1056" w:type="dxa"/>
            <w:noWrap w:val="0"/>
            <w:vAlign w:val="top"/>
          </w:tcPr>
          <w:p w14:paraId="6619D6B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人</w:t>
            </w:r>
          </w:p>
        </w:tc>
        <w:tc>
          <w:tcPr>
            <w:tcW w:w="1056" w:type="dxa"/>
            <w:vMerge w:val="restart"/>
            <w:noWrap w:val="0"/>
            <w:vAlign w:val="top"/>
          </w:tcPr>
          <w:p w14:paraId="008E22BD">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p w14:paraId="363F8A46">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p w14:paraId="255CE205">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上一年主要经济指标</w:t>
            </w:r>
          </w:p>
        </w:tc>
        <w:tc>
          <w:tcPr>
            <w:tcW w:w="1164" w:type="dxa"/>
            <w:noWrap w:val="0"/>
            <w:vAlign w:val="top"/>
          </w:tcPr>
          <w:p w14:paraId="3C6C6ECE">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营业额</w:t>
            </w:r>
          </w:p>
        </w:tc>
        <w:tc>
          <w:tcPr>
            <w:tcW w:w="1212" w:type="dxa"/>
            <w:noWrap w:val="0"/>
            <w:vAlign w:val="top"/>
          </w:tcPr>
          <w:p w14:paraId="1A9C462C">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tc>
        <w:tc>
          <w:tcPr>
            <w:tcW w:w="1520" w:type="dxa"/>
            <w:gridSpan w:val="2"/>
            <w:noWrap w:val="0"/>
            <w:vAlign w:val="top"/>
          </w:tcPr>
          <w:p w14:paraId="3A96A00C">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实现利润</w:t>
            </w:r>
          </w:p>
        </w:tc>
        <w:tc>
          <w:tcPr>
            <w:tcW w:w="664" w:type="dxa"/>
            <w:tcBorders>
              <w:right w:val="double" w:color="auto" w:sz="4" w:space="0"/>
            </w:tcBorders>
            <w:noWrap w:val="0"/>
            <w:vAlign w:val="top"/>
          </w:tcPr>
          <w:p w14:paraId="5FB2039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tc>
      </w:tr>
      <w:tr w14:paraId="1780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32" w:type="dxa"/>
            <w:vMerge w:val="continue"/>
            <w:tcBorders>
              <w:left w:val="double" w:color="auto" w:sz="4" w:space="0"/>
            </w:tcBorders>
            <w:noWrap w:val="0"/>
            <w:vAlign w:val="top"/>
          </w:tcPr>
          <w:p w14:paraId="4834015D">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p>
        </w:tc>
        <w:tc>
          <w:tcPr>
            <w:tcW w:w="1620" w:type="dxa"/>
            <w:noWrap w:val="0"/>
            <w:vAlign w:val="top"/>
          </w:tcPr>
          <w:p w14:paraId="18E0189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流动资金</w:t>
            </w:r>
          </w:p>
        </w:tc>
        <w:tc>
          <w:tcPr>
            <w:tcW w:w="1056" w:type="dxa"/>
            <w:noWrap w:val="0"/>
            <w:vAlign w:val="top"/>
          </w:tcPr>
          <w:p w14:paraId="3BBD9ABE">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万元</w:t>
            </w:r>
          </w:p>
        </w:tc>
        <w:tc>
          <w:tcPr>
            <w:tcW w:w="1056" w:type="dxa"/>
            <w:vMerge w:val="continue"/>
            <w:noWrap w:val="0"/>
            <w:vAlign w:val="top"/>
          </w:tcPr>
          <w:p w14:paraId="7564D01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tc>
        <w:tc>
          <w:tcPr>
            <w:tcW w:w="1164" w:type="dxa"/>
            <w:vMerge w:val="restart"/>
            <w:noWrap w:val="0"/>
            <w:vAlign w:val="top"/>
          </w:tcPr>
          <w:p w14:paraId="24B83126">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p w14:paraId="7180112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p w14:paraId="190CE1FF">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主要</w:t>
            </w:r>
          </w:p>
          <w:p w14:paraId="50E8510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项目（产品）</w:t>
            </w:r>
          </w:p>
        </w:tc>
        <w:tc>
          <w:tcPr>
            <w:tcW w:w="3396" w:type="dxa"/>
            <w:gridSpan w:val="4"/>
            <w:tcBorders>
              <w:right w:val="double" w:color="auto" w:sz="4" w:space="0"/>
            </w:tcBorders>
            <w:noWrap w:val="0"/>
            <w:vAlign w:val="top"/>
          </w:tcPr>
          <w:p w14:paraId="7C5C573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1.</w:t>
            </w:r>
          </w:p>
        </w:tc>
      </w:tr>
      <w:tr w14:paraId="7146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1" w:hRule="atLeast"/>
        </w:trPr>
        <w:tc>
          <w:tcPr>
            <w:tcW w:w="1332" w:type="dxa"/>
            <w:vMerge w:val="continue"/>
            <w:tcBorders>
              <w:left w:val="double" w:color="auto" w:sz="4" w:space="0"/>
            </w:tcBorders>
            <w:noWrap w:val="0"/>
            <w:vAlign w:val="top"/>
          </w:tcPr>
          <w:p w14:paraId="4453E997">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p>
        </w:tc>
        <w:tc>
          <w:tcPr>
            <w:tcW w:w="1620" w:type="dxa"/>
            <w:noWrap w:val="0"/>
            <w:vAlign w:val="top"/>
          </w:tcPr>
          <w:p w14:paraId="33FF2E62">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固定资产</w:t>
            </w:r>
          </w:p>
          <w:p w14:paraId="5A88BFE8">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（万元）</w:t>
            </w:r>
          </w:p>
        </w:tc>
        <w:tc>
          <w:tcPr>
            <w:tcW w:w="1056" w:type="dxa"/>
            <w:noWrap w:val="0"/>
            <w:vAlign w:val="top"/>
          </w:tcPr>
          <w:p w14:paraId="34F68521">
            <w:pPr>
              <w:keepNext w:val="0"/>
              <w:keepLines w:val="0"/>
              <w:pageBreakBefore w:val="0"/>
              <w:widowControl w:val="0"/>
              <w:tabs>
                <w:tab w:val="left" w:pos="-48"/>
                <w:tab w:val="left" w:pos="4320"/>
              </w:tabs>
              <w:kinsoku/>
              <w:wordWrap/>
              <w:overflowPunct/>
              <w:topLinePunct w:val="0"/>
              <w:autoSpaceDE/>
              <w:autoSpaceDN/>
              <w:bidi w:val="0"/>
              <w:adjustRightInd/>
              <w:snapToGrid/>
              <w:spacing w:beforeAutospacing="0" w:afterAutospacing="0" w:line="360" w:lineRule="auto"/>
              <w:ind w:right="-133" w:hanging="48"/>
              <w:jc w:val="both"/>
              <w:textAlignment w:val="auto"/>
              <w:rPr>
                <w:rFonts w:hint="eastAsia" w:ascii="宋体" w:hAnsi="宋体" w:eastAsia="宋体" w:cs="宋体"/>
                <w:sz w:val="24"/>
                <w:szCs w:val="24"/>
              </w:rPr>
            </w:pPr>
            <w:r>
              <w:rPr>
                <w:rFonts w:hint="eastAsia" w:ascii="宋体" w:hAnsi="宋体" w:eastAsia="宋体" w:cs="宋体"/>
                <w:sz w:val="24"/>
                <w:szCs w:val="24"/>
              </w:rPr>
              <w:t>原值：</w:t>
            </w:r>
          </w:p>
          <w:p w14:paraId="0B2A68CF">
            <w:pPr>
              <w:keepNext w:val="0"/>
              <w:keepLines w:val="0"/>
              <w:pageBreakBefore w:val="0"/>
              <w:widowControl w:val="0"/>
              <w:tabs>
                <w:tab w:val="left" w:pos="-48"/>
                <w:tab w:val="left" w:pos="4320"/>
              </w:tabs>
              <w:kinsoku/>
              <w:wordWrap/>
              <w:overflowPunct/>
              <w:topLinePunct w:val="0"/>
              <w:autoSpaceDE/>
              <w:autoSpaceDN/>
              <w:bidi w:val="0"/>
              <w:adjustRightInd/>
              <w:snapToGrid/>
              <w:spacing w:beforeAutospacing="0" w:afterAutospacing="0" w:line="360" w:lineRule="auto"/>
              <w:ind w:hanging="48"/>
              <w:jc w:val="both"/>
              <w:textAlignment w:val="auto"/>
              <w:rPr>
                <w:rFonts w:hint="eastAsia" w:ascii="宋体" w:hAnsi="宋体" w:eastAsia="宋体" w:cs="宋体"/>
                <w:sz w:val="24"/>
                <w:szCs w:val="24"/>
              </w:rPr>
            </w:pPr>
          </w:p>
          <w:p w14:paraId="5872EC01">
            <w:pPr>
              <w:keepNext w:val="0"/>
              <w:keepLines w:val="0"/>
              <w:pageBreakBefore w:val="0"/>
              <w:widowControl w:val="0"/>
              <w:tabs>
                <w:tab w:val="left" w:pos="-48"/>
                <w:tab w:val="left" w:pos="4320"/>
              </w:tabs>
              <w:kinsoku/>
              <w:wordWrap/>
              <w:overflowPunct/>
              <w:topLinePunct w:val="0"/>
              <w:autoSpaceDE/>
              <w:autoSpaceDN/>
              <w:bidi w:val="0"/>
              <w:adjustRightInd/>
              <w:snapToGrid/>
              <w:spacing w:beforeAutospacing="0" w:afterAutospacing="0" w:line="360" w:lineRule="auto"/>
              <w:ind w:right="-133" w:hanging="48"/>
              <w:jc w:val="both"/>
              <w:textAlignment w:val="auto"/>
              <w:rPr>
                <w:rFonts w:hint="eastAsia" w:ascii="宋体" w:hAnsi="宋体" w:eastAsia="宋体" w:cs="宋体"/>
                <w:sz w:val="24"/>
                <w:szCs w:val="24"/>
              </w:rPr>
            </w:pPr>
            <w:r>
              <w:rPr>
                <w:rFonts w:hint="eastAsia" w:ascii="宋体" w:hAnsi="宋体" w:eastAsia="宋体" w:cs="宋体"/>
                <w:sz w:val="24"/>
                <w:szCs w:val="24"/>
              </w:rPr>
              <w:t>净值：</w:t>
            </w:r>
          </w:p>
          <w:p w14:paraId="006BDD87">
            <w:pPr>
              <w:keepNext w:val="0"/>
              <w:keepLines w:val="0"/>
              <w:pageBreakBefore w:val="0"/>
              <w:widowControl w:val="0"/>
              <w:tabs>
                <w:tab w:val="left" w:pos="-48"/>
                <w:tab w:val="left" w:pos="4320"/>
              </w:tabs>
              <w:kinsoku/>
              <w:wordWrap/>
              <w:overflowPunct/>
              <w:topLinePunct w:val="0"/>
              <w:autoSpaceDE/>
              <w:autoSpaceDN/>
              <w:bidi w:val="0"/>
              <w:adjustRightInd/>
              <w:snapToGrid/>
              <w:spacing w:beforeAutospacing="0" w:afterAutospacing="0" w:line="360" w:lineRule="auto"/>
              <w:ind w:hanging="48"/>
              <w:jc w:val="both"/>
              <w:textAlignment w:val="auto"/>
              <w:rPr>
                <w:rFonts w:hint="eastAsia" w:ascii="宋体" w:hAnsi="宋体" w:eastAsia="宋体" w:cs="宋体"/>
                <w:sz w:val="24"/>
                <w:szCs w:val="24"/>
              </w:rPr>
            </w:pPr>
          </w:p>
        </w:tc>
        <w:tc>
          <w:tcPr>
            <w:tcW w:w="1056" w:type="dxa"/>
            <w:vMerge w:val="continue"/>
            <w:noWrap w:val="0"/>
            <w:vAlign w:val="top"/>
          </w:tcPr>
          <w:p w14:paraId="33CD456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tc>
        <w:tc>
          <w:tcPr>
            <w:tcW w:w="1164" w:type="dxa"/>
            <w:vMerge w:val="continue"/>
            <w:noWrap w:val="0"/>
            <w:vAlign w:val="top"/>
          </w:tcPr>
          <w:p w14:paraId="3AB3671E">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p>
        </w:tc>
        <w:tc>
          <w:tcPr>
            <w:tcW w:w="3396" w:type="dxa"/>
            <w:gridSpan w:val="4"/>
            <w:tcBorders>
              <w:right w:val="double" w:color="auto" w:sz="4" w:space="0"/>
            </w:tcBorders>
            <w:noWrap w:val="0"/>
            <w:vAlign w:val="top"/>
          </w:tcPr>
          <w:p w14:paraId="7BB94286">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2.</w:t>
            </w:r>
          </w:p>
        </w:tc>
      </w:tr>
      <w:tr w14:paraId="066E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32" w:type="dxa"/>
            <w:vMerge w:val="continue"/>
            <w:tcBorders>
              <w:left w:val="double" w:color="auto" w:sz="4" w:space="0"/>
            </w:tcBorders>
            <w:noWrap w:val="0"/>
            <w:vAlign w:val="center"/>
          </w:tcPr>
          <w:p w14:paraId="3A55912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p>
        </w:tc>
        <w:tc>
          <w:tcPr>
            <w:tcW w:w="1620" w:type="dxa"/>
            <w:noWrap w:val="0"/>
            <w:vAlign w:val="center"/>
          </w:tcPr>
          <w:p w14:paraId="494ABF2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占地面积</w:t>
            </w:r>
          </w:p>
        </w:tc>
        <w:tc>
          <w:tcPr>
            <w:tcW w:w="1056" w:type="dxa"/>
            <w:noWrap w:val="0"/>
            <w:vAlign w:val="center"/>
          </w:tcPr>
          <w:p w14:paraId="6F6288CF">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M</w:t>
            </w:r>
            <w:r>
              <w:rPr>
                <w:rFonts w:hint="eastAsia" w:ascii="宋体" w:hAnsi="宋体" w:eastAsia="宋体" w:cs="宋体"/>
                <w:sz w:val="24"/>
                <w:szCs w:val="24"/>
                <w:vertAlign w:val="superscript"/>
              </w:rPr>
              <w:t>2</w:t>
            </w:r>
          </w:p>
        </w:tc>
        <w:tc>
          <w:tcPr>
            <w:tcW w:w="1056" w:type="dxa"/>
            <w:vMerge w:val="continue"/>
            <w:noWrap w:val="0"/>
            <w:vAlign w:val="center"/>
          </w:tcPr>
          <w:p w14:paraId="0DBB0BF8">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164" w:type="dxa"/>
            <w:vMerge w:val="continue"/>
            <w:noWrap w:val="0"/>
            <w:vAlign w:val="center"/>
          </w:tcPr>
          <w:p w14:paraId="6EA3237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3396" w:type="dxa"/>
            <w:gridSpan w:val="4"/>
            <w:tcBorders>
              <w:right w:val="double" w:color="auto" w:sz="4" w:space="0"/>
            </w:tcBorders>
            <w:noWrap w:val="0"/>
            <w:vAlign w:val="center"/>
          </w:tcPr>
          <w:p w14:paraId="4DCA0377">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3.</w:t>
            </w:r>
          </w:p>
        </w:tc>
      </w:tr>
      <w:tr w14:paraId="2E3C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4" w:hRule="atLeast"/>
        </w:trPr>
        <w:tc>
          <w:tcPr>
            <w:tcW w:w="1332" w:type="dxa"/>
            <w:vMerge w:val="restart"/>
            <w:tcBorders>
              <w:left w:val="double" w:color="auto" w:sz="4" w:space="0"/>
            </w:tcBorders>
            <w:noWrap w:val="0"/>
            <w:vAlign w:val="top"/>
          </w:tcPr>
          <w:p w14:paraId="5103A14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r>
              <w:rPr>
                <w:rFonts w:hint="eastAsia" w:ascii="宋体" w:hAnsi="宋体" w:eastAsia="宋体" w:cs="宋体"/>
              </w:rPr>
              <w:t>本次</w:t>
            </w:r>
          </w:p>
          <w:p w14:paraId="5BEEA941">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r>
              <w:rPr>
                <w:rFonts w:hint="eastAsia" w:ascii="宋体" w:hAnsi="宋体" w:eastAsia="宋体" w:cs="宋体"/>
              </w:rPr>
              <w:t>投标</w:t>
            </w:r>
          </w:p>
          <w:p w14:paraId="1704DFB2">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lang w:val="en-US" w:eastAsia="zh-CN"/>
              </w:rPr>
            </w:pPr>
            <w:r>
              <w:rPr>
                <w:rFonts w:hint="eastAsia" w:ascii="宋体" w:hAnsi="宋体" w:eastAsia="宋体" w:cs="宋体"/>
                <w:lang w:val="en-US" w:eastAsia="zh-CN"/>
              </w:rPr>
              <w:t>项目</w:t>
            </w:r>
          </w:p>
          <w:p w14:paraId="5E26ECCB">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lang w:eastAsia="zh-CN"/>
              </w:rPr>
            </w:pPr>
            <w:r>
              <w:rPr>
                <w:rFonts w:hint="eastAsia" w:ascii="宋体" w:hAnsi="宋体" w:eastAsia="宋体" w:cs="宋体"/>
                <w:lang w:val="en-US" w:eastAsia="zh-CN"/>
              </w:rPr>
              <w:t>（</w:t>
            </w:r>
            <w:r>
              <w:rPr>
                <w:rFonts w:hint="eastAsia" w:ascii="宋体" w:hAnsi="宋体" w:eastAsia="宋体" w:cs="宋体"/>
              </w:rPr>
              <w:t>产品</w:t>
            </w:r>
            <w:r>
              <w:rPr>
                <w:rFonts w:hint="eastAsia" w:ascii="宋体" w:hAnsi="宋体" w:eastAsia="宋体" w:cs="宋体"/>
                <w:lang w:eastAsia="zh-CN"/>
              </w:rPr>
              <w:t>）</w:t>
            </w:r>
          </w:p>
          <w:p w14:paraId="71DC9E3D">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rPr>
            </w:pPr>
            <w:r>
              <w:rPr>
                <w:rFonts w:hint="eastAsia" w:ascii="宋体" w:hAnsi="宋体" w:eastAsia="宋体" w:cs="宋体"/>
              </w:rPr>
              <w:t>情况</w:t>
            </w:r>
          </w:p>
        </w:tc>
        <w:tc>
          <w:tcPr>
            <w:tcW w:w="1620" w:type="dxa"/>
            <w:noWrap w:val="0"/>
            <w:vAlign w:val="top"/>
          </w:tcPr>
          <w:p w14:paraId="30722350">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本次投标</w:t>
            </w:r>
          </w:p>
          <w:p w14:paraId="6E885F0D">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项目（</w:t>
            </w:r>
            <w:r>
              <w:rPr>
                <w:rFonts w:hint="eastAsia" w:ascii="宋体" w:hAnsi="宋体" w:eastAsia="宋体" w:cs="宋体"/>
                <w:sz w:val="24"/>
                <w:szCs w:val="24"/>
              </w:rPr>
              <w:t>产品</w:t>
            </w:r>
            <w:r>
              <w:rPr>
                <w:rFonts w:hint="eastAsia" w:ascii="宋体" w:hAnsi="宋体" w:eastAsia="宋体" w:cs="宋体"/>
                <w:sz w:val="24"/>
                <w:szCs w:val="24"/>
                <w:lang w:eastAsia="zh-CN"/>
              </w:rPr>
              <w:t>）</w:t>
            </w:r>
            <w:r>
              <w:rPr>
                <w:rFonts w:hint="eastAsia" w:ascii="宋体" w:hAnsi="宋体" w:eastAsia="宋体" w:cs="宋体"/>
                <w:sz w:val="24"/>
                <w:szCs w:val="24"/>
              </w:rPr>
              <w:t>名称</w:t>
            </w:r>
          </w:p>
        </w:tc>
        <w:tc>
          <w:tcPr>
            <w:tcW w:w="2112" w:type="dxa"/>
            <w:gridSpan w:val="2"/>
            <w:noWrap w:val="0"/>
            <w:vAlign w:val="top"/>
          </w:tcPr>
          <w:p w14:paraId="78EE549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类别（</w:t>
            </w:r>
            <w:r>
              <w:rPr>
                <w:rFonts w:hint="eastAsia" w:ascii="宋体" w:hAnsi="宋体" w:eastAsia="宋体" w:cs="宋体"/>
                <w:sz w:val="24"/>
                <w:szCs w:val="24"/>
              </w:rPr>
              <w:t>型    号</w:t>
            </w:r>
            <w:r>
              <w:rPr>
                <w:rFonts w:hint="eastAsia" w:ascii="宋体" w:hAnsi="宋体" w:eastAsia="宋体" w:cs="宋体"/>
                <w:sz w:val="24"/>
                <w:szCs w:val="24"/>
                <w:lang w:eastAsia="zh-CN"/>
              </w:rPr>
              <w:t>）</w:t>
            </w:r>
          </w:p>
        </w:tc>
        <w:tc>
          <w:tcPr>
            <w:tcW w:w="1164" w:type="dxa"/>
            <w:noWrap w:val="0"/>
            <w:vAlign w:val="top"/>
          </w:tcPr>
          <w:p w14:paraId="0D5A7AC8">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上年</w:t>
            </w:r>
          </w:p>
          <w:p w14:paraId="4086987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项目（产品）</w:t>
            </w:r>
            <w:r>
              <w:rPr>
                <w:rFonts w:hint="eastAsia" w:ascii="宋体" w:hAnsi="宋体" w:eastAsia="宋体" w:cs="宋体"/>
                <w:sz w:val="24"/>
                <w:szCs w:val="24"/>
              </w:rPr>
              <w:t>量</w:t>
            </w:r>
          </w:p>
        </w:tc>
        <w:tc>
          <w:tcPr>
            <w:tcW w:w="1212" w:type="dxa"/>
            <w:noWrap w:val="0"/>
            <w:vAlign w:val="top"/>
          </w:tcPr>
          <w:p w14:paraId="7CCCF46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技术</w:t>
            </w:r>
          </w:p>
          <w:p w14:paraId="55782D4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先进水平</w:t>
            </w:r>
          </w:p>
        </w:tc>
        <w:tc>
          <w:tcPr>
            <w:tcW w:w="1340" w:type="dxa"/>
            <w:noWrap w:val="0"/>
            <w:vAlign w:val="top"/>
          </w:tcPr>
          <w:p w14:paraId="055FF17F">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曾获何级</w:t>
            </w:r>
          </w:p>
          <w:p w14:paraId="52143AB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何种奖励</w:t>
            </w:r>
          </w:p>
        </w:tc>
        <w:tc>
          <w:tcPr>
            <w:tcW w:w="844" w:type="dxa"/>
            <w:gridSpan w:val="2"/>
            <w:tcBorders>
              <w:right w:val="double" w:color="auto" w:sz="4" w:space="0"/>
            </w:tcBorders>
            <w:noWrap w:val="0"/>
            <w:vAlign w:val="top"/>
          </w:tcPr>
          <w:p w14:paraId="3170ED4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主要用户名称</w:t>
            </w:r>
          </w:p>
        </w:tc>
      </w:tr>
      <w:tr w14:paraId="0492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1332" w:type="dxa"/>
            <w:vMerge w:val="continue"/>
            <w:tcBorders>
              <w:left w:val="double" w:color="auto" w:sz="4" w:space="0"/>
            </w:tcBorders>
            <w:noWrap w:val="0"/>
            <w:vAlign w:val="center"/>
          </w:tcPr>
          <w:p w14:paraId="799DF14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620" w:type="dxa"/>
            <w:noWrap w:val="0"/>
            <w:vAlign w:val="center"/>
          </w:tcPr>
          <w:p w14:paraId="63881BC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2112" w:type="dxa"/>
            <w:gridSpan w:val="2"/>
            <w:noWrap w:val="0"/>
            <w:vAlign w:val="center"/>
          </w:tcPr>
          <w:p w14:paraId="022FA72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164" w:type="dxa"/>
            <w:noWrap w:val="0"/>
            <w:vAlign w:val="center"/>
          </w:tcPr>
          <w:p w14:paraId="47F29F1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212" w:type="dxa"/>
            <w:noWrap w:val="0"/>
            <w:vAlign w:val="center"/>
          </w:tcPr>
          <w:p w14:paraId="51D64CF6">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340" w:type="dxa"/>
            <w:noWrap w:val="0"/>
            <w:vAlign w:val="center"/>
          </w:tcPr>
          <w:p w14:paraId="24B43438">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844" w:type="dxa"/>
            <w:gridSpan w:val="2"/>
            <w:tcBorders>
              <w:right w:val="double" w:color="auto" w:sz="4" w:space="0"/>
            </w:tcBorders>
            <w:noWrap w:val="0"/>
            <w:vAlign w:val="center"/>
          </w:tcPr>
          <w:p w14:paraId="67FC7BB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r>
      <w:tr w14:paraId="6AF1D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7" w:hRule="atLeast"/>
        </w:trPr>
        <w:tc>
          <w:tcPr>
            <w:tcW w:w="1332" w:type="dxa"/>
            <w:vMerge w:val="continue"/>
            <w:tcBorders>
              <w:left w:val="double" w:color="auto" w:sz="4" w:space="0"/>
            </w:tcBorders>
            <w:noWrap w:val="0"/>
            <w:vAlign w:val="center"/>
          </w:tcPr>
          <w:p w14:paraId="22B1BAC2">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620" w:type="dxa"/>
            <w:noWrap w:val="0"/>
            <w:vAlign w:val="center"/>
          </w:tcPr>
          <w:p w14:paraId="7E5EDDD3">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2112" w:type="dxa"/>
            <w:gridSpan w:val="2"/>
            <w:noWrap w:val="0"/>
            <w:vAlign w:val="center"/>
          </w:tcPr>
          <w:p w14:paraId="5F2C0A9F">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164" w:type="dxa"/>
            <w:noWrap w:val="0"/>
            <w:vAlign w:val="center"/>
          </w:tcPr>
          <w:p w14:paraId="3A5BE0E2">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212" w:type="dxa"/>
            <w:noWrap w:val="0"/>
            <w:vAlign w:val="center"/>
          </w:tcPr>
          <w:p w14:paraId="132C8F45">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340" w:type="dxa"/>
            <w:noWrap w:val="0"/>
            <w:vAlign w:val="center"/>
          </w:tcPr>
          <w:p w14:paraId="7046387D">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844" w:type="dxa"/>
            <w:gridSpan w:val="2"/>
            <w:tcBorders>
              <w:right w:val="double" w:color="auto" w:sz="4" w:space="0"/>
            </w:tcBorders>
            <w:noWrap w:val="0"/>
            <w:vAlign w:val="center"/>
          </w:tcPr>
          <w:p w14:paraId="3CB38B25">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r>
      <w:tr w14:paraId="6B91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trPr>
        <w:tc>
          <w:tcPr>
            <w:tcW w:w="1332" w:type="dxa"/>
            <w:vMerge w:val="continue"/>
            <w:tcBorders>
              <w:left w:val="double" w:color="auto" w:sz="4" w:space="0"/>
            </w:tcBorders>
            <w:noWrap w:val="0"/>
            <w:vAlign w:val="center"/>
          </w:tcPr>
          <w:p w14:paraId="600D54C0">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620" w:type="dxa"/>
            <w:noWrap w:val="0"/>
            <w:vAlign w:val="center"/>
          </w:tcPr>
          <w:p w14:paraId="5BCCDCD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2112" w:type="dxa"/>
            <w:gridSpan w:val="2"/>
            <w:noWrap w:val="0"/>
            <w:vAlign w:val="center"/>
          </w:tcPr>
          <w:p w14:paraId="4270FF6D">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164" w:type="dxa"/>
            <w:noWrap w:val="0"/>
            <w:vAlign w:val="center"/>
          </w:tcPr>
          <w:p w14:paraId="6688B9AE">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212" w:type="dxa"/>
            <w:noWrap w:val="0"/>
            <w:vAlign w:val="center"/>
          </w:tcPr>
          <w:p w14:paraId="430F4463">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1340" w:type="dxa"/>
            <w:noWrap w:val="0"/>
            <w:vAlign w:val="center"/>
          </w:tcPr>
          <w:p w14:paraId="3695EE6A">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844" w:type="dxa"/>
            <w:gridSpan w:val="2"/>
            <w:tcBorders>
              <w:right w:val="double" w:color="auto" w:sz="4" w:space="0"/>
            </w:tcBorders>
            <w:noWrap w:val="0"/>
            <w:vAlign w:val="center"/>
          </w:tcPr>
          <w:p w14:paraId="58FE38B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r>
      <w:tr w14:paraId="7252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32" w:type="dxa"/>
            <w:vMerge w:val="restart"/>
            <w:tcBorders>
              <w:left w:val="double" w:color="auto" w:sz="4" w:space="0"/>
            </w:tcBorders>
            <w:noWrap w:val="0"/>
            <w:vAlign w:val="center"/>
          </w:tcPr>
          <w:p w14:paraId="32747212">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其它</w:t>
            </w:r>
          </w:p>
        </w:tc>
        <w:tc>
          <w:tcPr>
            <w:tcW w:w="4896" w:type="dxa"/>
            <w:gridSpan w:val="4"/>
            <w:noWrap w:val="0"/>
            <w:vAlign w:val="center"/>
          </w:tcPr>
          <w:p w14:paraId="4C7B4893">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近3年完成及正在执行的合同中发生的由于投标人违约或部分违约而引起诉讼和受到索赔的案件具体情况及结果（须如实填写，若对此进行隐瞒，尔后又被采购人或采购代理机构发现，或被</w:t>
            </w:r>
            <w:r>
              <w:rPr>
                <w:rFonts w:hint="eastAsia" w:ascii="宋体" w:hAnsi="宋体" w:eastAsia="宋体" w:cs="宋体"/>
                <w:sz w:val="24"/>
                <w:szCs w:val="24"/>
                <w:lang w:val="en-US" w:eastAsia="zh-CN"/>
              </w:rPr>
              <w:t>他</w:t>
            </w:r>
            <w:r>
              <w:rPr>
                <w:rFonts w:hint="eastAsia" w:ascii="宋体" w:hAnsi="宋体" w:eastAsia="宋体" w:cs="宋体"/>
                <w:sz w:val="24"/>
                <w:szCs w:val="24"/>
              </w:rPr>
              <w:t>人举证成立，其投标资格将被取消）。</w:t>
            </w:r>
          </w:p>
        </w:tc>
        <w:tc>
          <w:tcPr>
            <w:tcW w:w="3396" w:type="dxa"/>
            <w:gridSpan w:val="4"/>
            <w:tcBorders>
              <w:right w:val="double" w:color="auto" w:sz="4" w:space="0"/>
            </w:tcBorders>
            <w:noWrap w:val="0"/>
            <w:vAlign w:val="center"/>
          </w:tcPr>
          <w:p w14:paraId="5FA0A681">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4BAA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1332" w:type="dxa"/>
            <w:vMerge w:val="continue"/>
            <w:tcBorders>
              <w:left w:val="double" w:color="auto" w:sz="4" w:space="0"/>
              <w:bottom w:val="double" w:color="auto" w:sz="4" w:space="0"/>
            </w:tcBorders>
            <w:noWrap w:val="0"/>
            <w:vAlign w:val="center"/>
          </w:tcPr>
          <w:p w14:paraId="2CF953BB">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4896" w:type="dxa"/>
            <w:gridSpan w:val="4"/>
            <w:tcBorders>
              <w:bottom w:val="double" w:color="auto" w:sz="4" w:space="0"/>
            </w:tcBorders>
            <w:noWrap w:val="0"/>
            <w:vAlign w:val="center"/>
          </w:tcPr>
          <w:p w14:paraId="3EB576D9">
            <w:pPr>
              <w:keepNext w:val="0"/>
              <w:keepLines w:val="0"/>
              <w:pageBreakBefore w:val="0"/>
              <w:widowControl w:val="0"/>
              <w:tabs>
                <w:tab w:val="left" w:pos="4320"/>
              </w:tabs>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rPr>
            </w:pPr>
          </w:p>
        </w:tc>
        <w:tc>
          <w:tcPr>
            <w:tcW w:w="3396" w:type="dxa"/>
            <w:gridSpan w:val="4"/>
            <w:tcBorders>
              <w:bottom w:val="double" w:color="auto" w:sz="4" w:space="0"/>
              <w:right w:val="double" w:color="auto" w:sz="4" w:space="0"/>
            </w:tcBorders>
            <w:noWrap w:val="0"/>
            <w:vAlign w:val="center"/>
          </w:tcPr>
          <w:p w14:paraId="7079D48A">
            <w:pPr>
              <w:pageBreakBefore w:val="0"/>
              <w:kinsoku/>
              <w:wordWrap/>
              <w:overflowPunct/>
              <w:topLinePunct w:val="0"/>
              <w:autoSpaceDE/>
              <w:autoSpaceDN/>
              <w:bidi w:val="0"/>
              <w:snapToGrid/>
              <w:spacing w:line="360" w:lineRule="auto"/>
              <w:textAlignment w:val="auto"/>
              <w:rPr>
                <w:rFonts w:hint="eastAsia" w:ascii="宋体" w:hAnsi="宋体" w:eastAsia="宋体" w:cs="宋体"/>
              </w:rPr>
            </w:pPr>
          </w:p>
        </w:tc>
      </w:tr>
    </w:tbl>
    <w:p w14:paraId="3A0FB9B1">
      <w:pPr>
        <w:rPr>
          <w:rFonts w:hint="eastAsia"/>
        </w:rPr>
      </w:pPr>
      <w:r>
        <w:rPr>
          <w:rFonts w:hint="eastAsia"/>
        </w:rPr>
        <w:br w:type="page"/>
      </w:r>
    </w:p>
    <w:p w14:paraId="1C3FB717">
      <w:pPr>
        <w:bidi w:val="0"/>
        <w:rPr>
          <w:rFonts w:hint="eastAsia"/>
        </w:rPr>
      </w:pPr>
    </w:p>
    <w:p w14:paraId="38CBA48B">
      <w:pPr>
        <w:pageBreakBefore w:val="0"/>
        <w:kinsoku/>
        <w:wordWrap/>
        <w:overflowPunct/>
        <w:topLinePunct w:val="0"/>
        <w:autoSpaceDE/>
        <w:autoSpaceDN/>
        <w:bidi w:val="0"/>
        <w:snapToGrid/>
        <w:spacing w:line="360" w:lineRule="auto"/>
        <w:textAlignment w:val="auto"/>
        <w:rPr>
          <w:rFonts w:hint="eastAsia" w:ascii="宋体" w:hAnsi="宋体" w:eastAsia="宋体" w:cs="宋体"/>
          <w:b/>
          <w:sz w:val="32"/>
          <w:szCs w:val="32"/>
        </w:rPr>
      </w:pPr>
      <w:r>
        <w:rPr>
          <w:rFonts w:hint="eastAsia" w:ascii="宋体" w:hAnsi="宋体" w:eastAsia="宋体" w:cs="宋体"/>
          <w:sz w:val="32"/>
          <w:szCs w:val="32"/>
        </w:rPr>
        <w:t>附件1</w:t>
      </w:r>
      <w:r>
        <w:rPr>
          <w:rFonts w:hint="eastAsia" w:ascii="宋体" w:hAnsi="宋体" w:eastAsia="宋体" w:cs="宋体"/>
          <w:sz w:val="32"/>
          <w:szCs w:val="32"/>
          <w:lang w:val="en-US" w:eastAsia="zh-CN"/>
        </w:rPr>
        <w:t>2</w:t>
      </w:r>
    </w:p>
    <w:p w14:paraId="3D499E7F">
      <w:pPr>
        <w:pageBreakBefore w:val="0"/>
        <w:kinsoku/>
        <w:wordWrap/>
        <w:overflowPunct/>
        <w:topLinePunct w:val="0"/>
        <w:autoSpaceDE/>
        <w:autoSpaceDN/>
        <w:bidi w:val="0"/>
        <w:snapToGrid/>
        <w:spacing w:line="360" w:lineRule="auto"/>
        <w:contextualSpacing/>
        <w:jc w:val="center"/>
        <w:textAlignment w:val="auto"/>
        <w:rPr>
          <w:rFonts w:hint="eastAsia" w:ascii="宋体" w:hAnsi="宋体" w:eastAsia="宋体" w:cs="宋体"/>
          <w:b/>
          <w:sz w:val="32"/>
          <w:szCs w:val="32"/>
        </w:rPr>
      </w:pPr>
      <w:r>
        <w:rPr>
          <w:rFonts w:hint="eastAsia" w:ascii="宋体" w:hAnsi="宋体" w:eastAsia="宋体" w:cs="宋体"/>
          <w:b/>
          <w:sz w:val="32"/>
          <w:szCs w:val="32"/>
        </w:rPr>
        <w:t>商务部分正负偏离表</w:t>
      </w:r>
    </w:p>
    <w:p w14:paraId="434D89A7">
      <w:pPr>
        <w:pageBreakBefore w:val="0"/>
        <w:kinsoku/>
        <w:wordWrap/>
        <w:overflowPunct/>
        <w:topLinePunct w:val="0"/>
        <w:autoSpaceDE/>
        <w:autoSpaceDN/>
        <w:bidi w:val="0"/>
        <w:snapToGrid/>
        <w:spacing w:line="360" w:lineRule="auto"/>
        <w:ind w:firstLine="560"/>
        <w:jc w:val="center"/>
        <w:textAlignment w:val="auto"/>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2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5DED7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A290FF0">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8F991C3">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257CC08A">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招标文件要求的商务条款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BCF4812">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73B2868E">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p>
          <w:p w14:paraId="7BC2268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偏离说明</w:t>
            </w:r>
          </w:p>
        </w:tc>
      </w:tr>
      <w:tr w14:paraId="77BA43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CA2640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39371B7">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61C58AB">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252946E">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428029DA">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34D63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45C7FDF2">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287518F1">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E385A6D">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0FD1B7">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59C1E943">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03F17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57CE4212">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50FA6A5">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9A4598D">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0A302A4">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2DB11573">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44BD2B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2CF378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6938B0D2">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EF601E0">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F9B97B8">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173F3CF4">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bl>
    <w:p w14:paraId="2CF5B5EA">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p>
    <w:p w14:paraId="71C8558E">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p>
    <w:p w14:paraId="12925551">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投标人（盖单位公章） ：</w:t>
      </w:r>
    </w:p>
    <w:p w14:paraId="10F1CC37">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法定代表人（或其被授权人）（签字或盖章）：</w:t>
      </w:r>
    </w:p>
    <w:p w14:paraId="1544991A">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日期：      年      月     日</w:t>
      </w:r>
    </w:p>
    <w:p w14:paraId="7F60A896">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p>
    <w:p w14:paraId="17D1A208">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r>
        <w:rPr>
          <w:rFonts w:hint="eastAsia" w:ascii="宋体" w:hAnsi="宋体" w:eastAsia="宋体" w:cs="宋体"/>
          <w:b/>
          <w:sz w:val="24"/>
        </w:rPr>
        <w:t>注：</w:t>
      </w:r>
    </w:p>
    <w:p w14:paraId="5D51DE49">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sz w:val="24"/>
        </w:rPr>
      </w:pPr>
      <w:r>
        <w:rPr>
          <w:rFonts w:hint="eastAsia" w:ascii="宋体" w:hAnsi="宋体" w:eastAsia="宋体" w:cs="宋体"/>
          <w:sz w:val="24"/>
        </w:rPr>
        <w:t>1.投标人提交的投标文件中与招标文件第三部分“项目需求”中的商务部分的要求，应逐条填列在偏离表中。</w:t>
      </w:r>
    </w:p>
    <w:p w14:paraId="423F1D68">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sz w:val="24"/>
        </w:rPr>
      </w:pPr>
      <w:r>
        <w:rPr>
          <w:rFonts w:hint="eastAsia" w:ascii="宋体" w:hAnsi="宋体" w:eastAsia="宋体" w:cs="宋体"/>
          <w:sz w:val="24"/>
        </w:rPr>
        <w:t>2.“偏离说明”一栏选择“正偏离”、“无偏离”、“负偏离”进行填写。正偏离、无偏离的确认和负偏离的是否响应招标文件，由评委认定。</w:t>
      </w:r>
    </w:p>
    <w:p w14:paraId="4A1C1E73">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bCs/>
          <w:sz w:val="24"/>
        </w:rPr>
      </w:pPr>
      <w:r>
        <w:rPr>
          <w:rFonts w:hint="eastAsia" w:ascii="宋体" w:hAnsi="宋体" w:eastAsia="宋体" w:cs="宋体"/>
          <w:bCs/>
          <w:sz w:val="24"/>
        </w:rPr>
        <w:t>3.投标人若提供其他增值服务，可以在表中自行据实填写。</w:t>
      </w:r>
    </w:p>
    <w:p w14:paraId="32007AF5">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787AC291">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4EA1900">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48BCA99D">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31DDD31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3F727E58">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7C10E5D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4D20C0CB">
      <w:pPr>
        <w:bidi w:val="0"/>
        <w:rPr>
          <w:rFonts w:hint="eastAsia"/>
        </w:rPr>
      </w:pPr>
    </w:p>
    <w:p w14:paraId="1DFA960F">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13</w:t>
      </w:r>
    </w:p>
    <w:p w14:paraId="503C9D6C">
      <w:pPr>
        <w:bidi w:val="0"/>
        <w:rPr>
          <w:rFonts w:hint="eastAsia"/>
        </w:rPr>
      </w:pPr>
    </w:p>
    <w:p w14:paraId="1EB8A845">
      <w:pPr>
        <w:pageBreakBefore w:val="0"/>
        <w:kinsoku/>
        <w:wordWrap/>
        <w:overflowPunct/>
        <w:topLinePunct w:val="0"/>
        <w:autoSpaceDE/>
        <w:autoSpaceDN/>
        <w:bidi w:val="0"/>
        <w:snapToGrid/>
        <w:spacing w:line="360" w:lineRule="auto"/>
        <w:contextualSpacing/>
        <w:jc w:val="center"/>
        <w:textAlignment w:val="auto"/>
        <w:rPr>
          <w:rFonts w:hint="eastAsia" w:ascii="宋体" w:hAnsi="宋体" w:eastAsia="宋体" w:cs="宋体"/>
          <w:b/>
          <w:sz w:val="32"/>
          <w:szCs w:val="32"/>
        </w:rPr>
      </w:pPr>
      <w:r>
        <w:rPr>
          <w:rFonts w:hint="eastAsia" w:ascii="宋体" w:hAnsi="宋体" w:eastAsia="宋体" w:cs="宋体"/>
          <w:b/>
          <w:sz w:val="32"/>
          <w:szCs w:val="32"/>
        </w:rPr>
        <w:t>技术部分正负偏离表</w:t>
      </w:r>
    </w:p>
    <w:p w14:paraId="44A8C142">
      <w:pPr>
        <w:pageBreakBefore w:val="0"/>
        <w:kinsoku/>
        <w:wordWrap/>
        <w:overflowPunct/>
        <w:topLinePunct w:val="0"/>
        <w:autoSpaceDE/>
        <w:autoSpaceDN/>
        <w:bidi w:val="0"/>
        <w:snapToGrid/>
        <w:spacing w:line="360" w:lineRule="auto"/>
        <w:ind w:firstLine="560"/>
        <w:jc w:val="center"/>
        <w:textAlignment w:val="auto"/>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2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536C0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66F56EE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D0FAA0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DF42393">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招标文件要求的技术要求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4A8929EB">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7D2B4069">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p>
          <w:p w14:paraId="4D9D57F6">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偏离说明</w:t>
            </w:r>
          </w:p>
        </w:tc>
      </w:tr>
      <w:tr w14:paraId="54D25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83F85E8">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13799249">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C503EAB">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4CEBDD8">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55E5D532">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4945C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2D7483F0">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564D8CA1">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B538CDA">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F4197CB">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6E6CCCE8">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61D8E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2A9C7F9C">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46C55549">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59DA603">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080B942">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55487F15">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r w14:paraId="2BB07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B9A7DFF">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sz w:val="24"/>
              </w:rPr>
            </w:pPr>
            <w:r>
              <w:rPr>
                <w:rFonts w:hint="eastAsia" w:ascii="宋体" w:hAnsi="宋体" w:eastAsia="宋体" w:cs="宋体"/>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5EE97863">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6C04444">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5F65F37">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c>
          <w:tcPr>
            <w:tcW w:w="778" w:type="pct"/>
            <w:tcBorders>
              <w:top w:val="single" w:color="auto" w:sz="6" w:space="0"/>
              <w:left w:val="single" w:color="auto" w:sz="6" w:space="0"/>
              <w:bottom w:val="single" w:color="auto" w:sz="6" w:space="0"/>
              <w:right w:val="single" w:color="auto" w:sz="12" w:space="0"/>
            </w:tcBorders>
          </w:tcPr>
          <w:p w14:paraId="056F6A6E">
            <w:pPr>
              <w:pageBreakBefore w:val="0"/>
              <w:kinsoku/>
              <w:wordWrap/>
              <w:overflowPunct/>
              <w:topLinePunct w:val="0"/>
              <w:autoSpaceDE/>
              <w:autoSpaceDN/>
              <w:bidi w:val="0"/>
              <w:snapToGrid/>
              <w:spacing w:line="360" w:lineRule="auto"/>
              <w:jc w:val="left"/>
              <w:textAlignment w:val="auto"/>
              <w:rPr>
                <w:rFonts w:hint="eastAsia" w:ascii="宋体" w:hAnsi="宋体" w:eastAsia="宋体" w:cs="宋体"/>
                <w:sz w:val="24"/>
              </w:rPr>
            </w:pPr>
          </w:p>
        </w:tc>
      </w:tr>
    </w:tbl>
    <w:p w14:paraId="656402DE">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p>
    <w:p w14:paraId="4FB8D678">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p>
    <w:p w14:paraId="5D8CFB08">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投标人（盖单位公章） ：</w:t>
      </w:r>
    </w:p>
    <w:p w14:paraId="1CD75863">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法定代表人（或其被授权人）（签字或盖章）：</w:t>
      </w:r>
    </w:p>
    <w:p w14:paraId="45EDE48D">
      <w:pPr>
        <w:pageBreakBefore w:val="0"/>
        <w:kinsoku/>
        <w:wordWrap/>
        <w:overflowPunct/>
        <w:topLinePunct w:val="0"/>
        <w:autoSpaceDE/>
        <w:autoSpaceDN/>
        <w:bidi w:val="0"/>
        <w:snapToGrid/>
        <w:spacing w:line="360" w:lineRule="auto"/>
        <w:textAlignment w:val="auto"/>
        <w:rPr>
          <w:rFonts w:hint="eastAsia" w:ascii="宋体" w:hAnsi="宋体" w:eastAsia="宋体" w:cs="宋体"/>
          <w:sz w:val="24"/>
        </w:rPr>
      </w:pPr>
      <w:r>
        <w:rPr>
          <w:rFonts w:hint="eastAsia" w:ascii="宋体" w:hAnsi="宋体" w:eastAsia="宋体" w:cs="宋体"/>
          <w:sz w:val="24"/>
        </w:rPr>
        <w:t>日期：      年      月     日</w:t>
      </w:r>
    </w:p>
    <w:p w14:paraId="2F58B5E2">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p>
    <w:p w14:paraId="6A2D9FF6">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p>
    <w:p w14:paraId="1F0F8794">
      <w:pPr>
        <w:pageBreakBefore w:val="0"/>
        <w:kinsoku/>
        <w:wordWrap/>
        <w:overflowPunct/>
        <w:topLinePunct w:val="0"/>
        <w:autoSpaceDE/>
        <w:autoSpaceDN/>
        <w:bidi w:val="0"/>
        <w:snapToGrid/>
        <w:spacing w:line="360" w:lineRule="auto"/>
        <w:contextualSpacing/>
        <w:textAlignment w:val="auto"/>
        <w:rPr>
          <w:rFonts w:hint="eastAsia" w:ascii="宋体" w:hAnsi="宋体" w:eastAsia="宋体" w:cs="宋体"/>
          <w:b/>
          <w:sz w:val="24"/>
        </w:rPr>
      </w:pPr>
      <w:r>
        <w:rPr>
          <w:rFonts w:hint="eastAsia" w:ascii="宋体" w:hAnsi="宋体" w:eastAsia="宋体" w:cs="宋体"/>
          <w:b/>
          <w:sz w:val="24"/>
        </w:rPr>
        <w:t>注：</w:t>
      </w:r>
    </w:p>
    <w:p w14:paraId="602DFE8D">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sz w:val="24"/>
        </w:rPr>
      </w:pPr>
      <w:r>
        <w:rPr>
          <w:rFonts w:hint="eastAsia" w:ascii="宋体" w:hAnsi="宋体" w:eastAsia="宋体" w:cs="宋体"/>
          <w:sz w:val="24"/>
        </w:rPr>
        <w:t>1.投标人提交的投标文件中与招标文件第三部分“项目需求”中的技术部分的要求，应逐条填列在偏离表中。</w:t>
      </w:r>
    </w:p>
    <w:p w14:paraId="17439ACF">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sz w:val="24"/>
        </w:rPr>
      </w:pPr>
      <w:r>
        <w:rPr>
          <w:rFonts w:hint="eastAsia" w:ascii="宋体" w:hAnsi="宋体" w:eastAsia="宋体" w:cs="宋体"/>
          <w:sz w:val="24"/>
        </w:rPr>
        <w:t>2.“偏离说明”一栏选择“正偏离”、“无偏离”、“负偏离”进行填写。正偏离、无偏离的确认和负偏离的是否响应招标文件，由评委认定。</w:t>
      </w:r>
    </w:p>
    <w:p w14:paraId="570F5F90">
      <w:pPr>
        <w:pageBreakBefore w:val="0"/>
        <w:kinsoku/>
        <w:wordWrap/>
        <w:overflowPunct/>
        <w:topLinePunct w:val="0"/>
        <w:autoSpaceDE/>
        <w:autoSpaceDN/>
        <w:bidi w:val="0"/>
        <w:snapToGrid/>
        <w:spacing w:line="360" w:lineRule="auto"/>
        <w:ind w:firstLine="480"/>
        <w:contextualSpacing/>
        <w:textAlignment w:val="auto"/>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sz w:val="24"/>
        </w:rPr>
        <w:t>投标人</w:t>
      </w:r>
      <w:r>
        <w:rPr>
          <w:rFonts w:hint="eastAsia" w:ascii="宋体" w:hAnsi="宋体" w:eastAsia="宋体" w:cs="宋体"/>
          <w:bCs/>
          <w:sz w:val="24"/>
        </w:rPr>
        <w:t>若提供其他增值服务，可以在表中自行据实填写。</w:t>
      </w:r>
    </w:p>
    <w:p w14:paraId="0CC05333">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0991B33A">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3358A856">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E16E4A5">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1AAF07F7">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69AECC05">
      <w:pPr>
        <w:pageBreakBefore w:val="0"/>
        <w:kinsoku/>
        <w:wordWrap/>
        <w:overflowPunct/>
        <w:topLinePunct w:val="0"/>
        <w:autoSpaceDE/>
        <w:autoSpaceDN/>
        <w:bidi w:val="0"/>
        <w:snapToGrid/>
        <w:spacing w:line="360" w:lineRule="auto"/>
        <w:ind w:firstLine="540"/>
        <w:contextualSpacing/>
        <w:textAlignment w:val="auto"/>
        <w:rPr>
          <w:rFonts w:hint="eastAsia" w:ascii="宋体" w:hAnsi="宋体" w:eastAsia="宋体" w:cs="宋体"/>
          <w:b/>
          <w:sz w:val="28"/>
          <w:szCs w:val="28"/>
        </w:rPr>
      </w:pPr>
    </w:p>
    <w:p w14:paraId="42967222">
      <w:pPr>
        <w:bidi w:val="0"/>
        <w:rPr>
          <w:rFonts w:hint="eastAsia"/>
        </w:rPr>
      </w:pPr>
    </w:p>
    <w:p w14:paraId="16EFF585">
      <w:pPr>
        <w:bidi w:val="0"/>
        <w:rPr>
          <w:rFonts w:hint="eastAsia"/>
        </w:rPr>
      </w:pPr>
    </w:p>
    <w:p w14:paraId="2F05CD1A">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14</w:t>
      </w:r>
    </w:p>
    <w:p w14:paraId="46ED5467">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32"/>
          <w:szCs w:val="32"/>
        </w:rPr>
        <w:t>开  标 一 览  表</w:t>
      </w:r>
    </w:p>
    <w:p w14:paraId="3D39F1D6">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u w:val="single"/>
        </w:rPr>
      </w:pPr>
      <w:r>
        <w:rPr>
          <w:rFonts w:hint="eastAsia" w:ascii="宋体" w:hAnsi="宋体" w:eastAsia="宋体" w:cs="宋体"/>
          <w:b w:val="0"/>
          <w:bCs w:val="0"/>
          <w:kern w:val="0"/>
          <w:sz w:val="24"/>
          <w:szCs w:val="24"/>
        </w:rPr>
        <w:t>投标人全称（加盖公章）：</w:t>
      </w:r>
    </w:p>
    <w:p w14:paraId="7C359621">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u w:val="single"/>
        </w:rPr>
      </w:pPr>
      <w:r>
        <w:rPr>
          <w:rFonts w:hint="eastAsia" w:ascii="宋体" w:hAnsi="宋体" w:eastAsia="宋体" w:cs="宋体"/>
          <w:b w:val="0"/>
          <w:bCs w:val="0"/>
          <w:kern w:val="0"/>
          <w:sz w:val="24"/>
          <w:szCs w:val="24"/>
        </w:rPr>
        <w:t>项目名称：</w:t>
      </w:r>
    </w:p>
    <w:p w14:paraId="07A7163D">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项目编号：</w:t>
      </w:r>
    </w:p>
    <w:tbl>
      <w:tblPr>
        <w:tblStyle w:val="29"/>
        <w:tblW w:w="9539"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7"/>
        <w:gridCol w:w="5022"/>
      </w:tblGrid>
      <w:tr w14:paraId="3C6B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atLeast"/>
        </w:trPr>
        <w:tc>
          <w:tcPr>
            <w:tcW w:w="4517" w:type="dxa"/>
            <w:noWrap w:val="0"/>
            <w:vAlign w:val="top"/>
          </w:tcPr>
          <w:p w14:paraId="61DF84C3">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sz w:val="24"/>
                <w:szCs w:val="24"/>
              </w:rPr>
            </w:pPr>
            <w:r>
              <w:rPr>
                <w:rFonts w:hint="eastAsia" w:ascii="宋体" w:hAnsi="宋体" w:eastAsia="宋体" w:cs="宋体"/>
                <w:b w:val="0"/>
                <w:bCs w:val="0"/>
                <w:kern w:val="0"/>
                <w:sz w:val="24"/>
                <w:szCs w:val="24"/>
              </w:rPr>
              <w:t>投标货物、服务名称</w:t>
            </w:r>
          </w:p>
        </w:tc>
        <w:tc>
          <w:tcPr>
            <w:tcW w:w="5022" w:type="dxa"/>
            <w:noWrap w:val="0"/>
            <w:vAlign w:val="top"/>
          </w:tcPr>
          <w:p w14:paraId="445B8FF9">
            <w:pPr>
              <w:pageBreakBefore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sz w:val="24"/>
                <w:szCs w:val="24"/>
              </w:rPr>
            </w:pPr>
            <w:r>
              <w:rPr>
                <w:rFonts w:hint="eastAsia" w:ascii="宋体" w:hAnsi="宋体" w:eastAsia="宋体" w:cs="宋体"/>
                <w:b w:val="0"/>
                <w:bCs w:val="0"/>
                <w:kern w:val="0"/>
                <w:sz w:val="24"/>
                <w:szCs w:val="24"/>
              </w:rPr>
              <w:t>投标总报价</w:t>
            </w:r>
          </w:p>
        </w:tc>
      </w:tr>
      <w:tr w14:paraId="43850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4517" w:type="dxa"/>
            <w:noWrap w:val="0"/>
            <w:vAlign w:val="top"/>
          </w:tcPr>
          <w:p w14:paraId="0A052ECC">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sz w:val="24"/>
                <w:szCs w:val="24"/>
              </w:rPr>
            </w:pPr>
          </w:p>
        </w:tc>
        <w:tc>
          <w:tcPr>
            <w:tcW w:w="5022" w:type="dxa"/>
            <w:noWrap w:val="0"/>
            <w:vAlign w:val="top"/>
          </w:tcPr>
          <w:p w14:paraId="196273B0">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rPr>
              <w:t>大写：</w:t>
            </w:r>
          </w:p>
          <w:p w14:paraId="27FB31F8">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sz w:val="24"/>
                <w:szCs w:val="24"/>
                <w:u w:val="single"/>
                <w:lang w:val="en-US" w:eastAsia="zh-CN"/>
              </w:rPr>
            </w:pPr>
            <w:r>
              <w:rPr>
                <w:rFonts w:hint="eastAsia" w:ascii="宋体" w:hAnsi="宋体" w:eastAsia="宋体" w:cs="宋体"/>
                <w:b w:val="0"/>
                <w:bCs w:val="0"/>
                <w:kern w:val="0"/>
                <w:sz w:val="24"/>
                <w:szCs w:val="24"/>
              </w:rPr>
              <w:t>小写：元（人民币）</w:t>
            </w:r>
            <w:r>
              <w:rPr>
                <w:rFonts w:hint="eastAsia" w:ascii="宋体" w:hAnsi="宋体" w:eastAsia="宋体" w:cs="宋体"/>
                <w:b w:val="0"/>
                <w:bCs w:val="0"/>
                <w:kern w:val="0"/>
                <w:sz w:val="24"/>
                <w:szCs w:val="24"/>
                <w:lang w:val="en-US" w:eastAsia="zh-CN"/>
              </w:rPr>
              <w:t>/年</w:t>
            </w:r>
          </w:p>
        </w:tc>
      </w:tr>
    </w:tbl>
    <w:p w14:paraId="38C0E43A">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日期：</w:t>
      </w:r>
    </w:p>
    <w:p w14:paraId="45CA2420">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填写说明：</w:t>
      </w:r>
    </w:p>
    <w:p w14:paraId="35D83602">
      <w:pPr>
        <w:pageBreakBefore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开标一览表必须加盖投标单位公章（复印件无效）。</w:t>
      </w:r>
    </w:p>
    <w:p w14:paraId="120B9D93">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b/>
          <w:sz w:val="28"/>
          <w:szCs w:val="28"/>
          <w:lang w:val="zh-CN"/>
        </w:rPr>
      </w:pPr>
    </w:p>
    <w:p w14:paraId="7893A950">
      <w:pPr>
        <w:pStyle w:val="8"/>
        <w:pageBreakBefore w:val="0"/>
        <w:kinsoku/>
        <w:wordWrap/>
        <w:overflowPunct/>
        <w:topLinePunct w:val="0"/>
        <w:autoSpaceDE/>
        <w:autoSpaceDN/>
        <w:bidi w:val="0"/>
        <w:snapToGrid/>
        <w:spacing w:line="360" w:lineRule="auto"/>
        <w:textAlignment w:val="auto"/>
        <w:rPr>
          <w:rFonts w:hint="eastAsia" w:ascii="宋体" w:hAnsi="宋体" w:eastAsia="宋体" w:cs="宋体"/>
        </w:rPr>
      </w:pPr>
    </w:p>
    <w:p w14:paraId="34E57B34">
      <w:pPr>
        <w:pageBreakBefore w:val="0"/>
        <w:kinsoku/>
        <w:wordWrap/>
        <w:overflowPunct/>
        <w:topLinePunct w:val="0"/>
        <w:autoSpaceDE/>
        <w:autoSpaceDN/>
        <w:bidi w:val="0"/>
        <w:snapToGrid/>
        <w:spacing w:line="360" w:lineRule="auto"/>
        <w:textAlignment w:val="auto"/>
        <w:rPr>
          <w:rFonts w:hint="eastAsia" w:ascii="宋体" w:hAnsi="宋体" w:eastAsia="宋体" w:cs="宋体"/>
          <w:sz w:val="32"/>
          <w:szCs w:val="32"/>
        </w:rPr>
      </w:pPr>
      <w:r>
        <w:rPr>
          <w:rFonts w:hint="eastAsia" w:ascii="宋体" w:hAnsi="宋体" w:eastAsia="宋体" w:cs="宋体"/>
          <w:sz w:val="32"/>
          <w:szCs w:val="32"/>
        </w:rPr>
        <w:br w:type="page" w:clear="all"/>
      </w:r>
    </w:p>
    <w:p w14:paraId="401AE9C7">
      <w:pPr>
        <w:pStyle w:val="2"/>
        <w:pageBreakBefore w:val="0"/>
        <w:kinsoku/>
        <w:wordWrap/>
        <w:overflowPunct/>
        <w:topLinePunct w:val="0"/>
        <w:autoSpaceDE/>
        <w:autoSpaceDN/>
        <w:bidi w:val="0"/>
        <w:snapToGrid/>
        <w:spacing w:after="0" w:line="360" w:lineRule="auto"/>
        <w:ind w:firstLine="240"/>
        <w:textAlignment w:val="auto"/>
        <w:rPr>
          <w:rFonts w:hint="eastAsia" w:ascii="宋体" w:hAnsi="宋体" w:eastAsia="宋体" w:cs="宋体"/>
          <w:lang w:bidi="zh-CN"/>
        </w:rPr>
      </w:pPr>
    </w:p>
    <w:p w14:paraId="255CB490">
      <w:pPr>
        <w:pStyle w:val="2"/>
        <w:pageBreakBefore w:val="0"/>
        <w:kinsoku/>
        <w:wordWrap/>
        <w:overflowPunct/>
        <w:topLinePunct w:val="0"/>
        <w:autoSpaceDE/>
        <w:autoSpaceDN/>
        <w:bidi w:val="0"/>
        <w:snapToGrid/>
        <w:spacing w:after="0" w:line="360" w:lineRule="auto"/>
        <w:ind w:firstLine="240"/>
        <w:textAlignment w:val="auto"/>
        <w:rPr>
          <w:rFonts w:hint="eastAsia" w:ascii="宋体" w:hAnsi="宋体" w:eastAsia="宋体" w:cs="宋体"/>
          <w:lang w:bidi="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15</w:t>
      </w:r>
    </w:p>
    <w:p w14:paraId="46CBBFA6">
      <w:pPr>
        <w:pageBreakBefore w:val="0"/>
        <w:kinsoku/>
        <w:wordWrap/>
        <w:overflowPunct/>
        <w:topLinePunct w:val="0"/>
        <w:autoSpaceDE/>
        <w:autoSpaceDN/>
        <w:bidi w:val="0"/>
        <w:snapToGrid/>
        <w:spacing w:beforeAutospacing="0" w:afterAutospacing="0" w:line="360" w:lineRule="auto"/>
        <w:jc w:val="center"/>
        <w:textAlignment w:val="auto"/>
        <w:outlineLvl w:val="0"/>
        <w:rPr>
          <w:rFonts w:hint="eastAsia" w:ascii="宋体" w:hAnsi="宋体" w:eastAsia="宋体" w:cs="宋体"/>
          <w:bCs/>
          <w:kern w:val="0"/>
          <w:sz w:val="24"/>
          <w:szCs w:val="24"/>
          <w:lang w:val="zh-CN"/>
        </w:rPr>
      </w:pPr>
      <w:r>
        <w:rPr>
          <w:rFonts w:hint="eastAsia" w:ascii="宋体" w:hAnsi="宋体" w:eastAsia="宋体" w:cs="宋体"/>
          <w:b/>
          <w:bCs w:val="0"/>
          <w:i w:val="0"/>
          <w:iCs w:val="0"/>
          <w:kern w:val="0"/>
          <w:sz w:val="32"/>
          <w:szCs w:val="32"/>
          <w:lang w:val="zh-CN"/>
        </w:rPr>
        <w:t>报价明细表（以此表为准）</w:t>
      </w:r>
    </w:p>
    <w:tbl>
      <w:tblPr>
        <w:tblStyle w:val="29"/>
        <w:tblpPr w:leftFromText="180" w:rightFromText="180" w:vertAnchor="page" w:horzAnchor="margin" w:tblpX="1" w:tblpY="3289"/>
        <w:tblW w:w="10277" w:type="dxa"/>
        <w:tblInd w:w="0" w:type="dxa"/>
        <w:tblLayout w:type="fixed"/>
        <w:tblCellMar>
          <w:top w:w="0" w:type="dxa"/>
          <w:left w:w="108" w:type="dxa"/>
          <w:bottom w:w="0" w:type="dxa"/>
          <w:right w:w="108" w:type="dxa"/>
        </w:tblCellMar>
      </w:tblPr>
      <w:tblGrid>
        <w:gridCol w:w="843"/>
        <w:gridCol w:w="1371"/>
        <w:gridCol w:w="3287"/>
        <w:gridCol w:w="1177"/>
        <w:gridCol w:w="3599"/>
      </w:tblGrid>
      <w:tr w14:paraId="7F305C26">
        <w:tblPrEx>
          <w:tblCellMar>
            <w:top w:w="0" w:type="dxa"/>
            <w:left w:w="108" w:type="dxa"/>
            <w:bottom w:w="0" w:type="dxa"/>
            <w:right w:w="108" w:type="dxa"/>
          </w:tblCellMar>
        </w:tblPrEx>
        <w:trPr>
          <w:trHeight w:val="680" w:hRule="atLeast"/>
        </w:trPr>
        <w:tc>
          <w:tcPr>
            <w:tcW w:w="843" w:type="dxa"/>
            <w:tcBorders>
              <w:top w:val="single" w:color="auto" w:sz="4" w:space="0"/>
              <w:left w:val="single" w:color="auto" w:sz="4" w:space="0"/>
              <w:bottom w:val="single" w:color="auto" w:sz="4" w:space="0"/>
              <w:right w:val="single" w:color="auto" w:sz="4" w:space="0"/>
            </w:tcBorders>
            <w:noWrap w:val="0"/>
            <w:vAlign w:val="center"/>
          </w:tcPr>
          <w:p w14:paraId="0789BF9C">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371" w:type="dxa"/>
            <w:tcBorders>
              <w:top w:val="single" w:color="auto" w:sz="4" w:space="0"/>
              <w:left w:val="nil"/>
              <w:bottom w:val="single" w:color="auto" w:sz="4" w:space="0"/>
              <w:right w:val="single" w:color="auto" w:sz="4" w:space="0"/>
            </w:tcBorders>
            <w:noWrap w:val="0"/>
            <w:vAlign w:val="center"/>
          </w:tcPr>
          <w:p w14:paraId="405006A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项目</w:t>
            </w:r>
          </w:p>
        </w:tc>
        <w:tc>
          <w:tcPr>
            <w:tcW w:w="3287" w:type="dxa"/>
            <w:tcBorders>
              <w:top w:val="single" w:color="auto" w:sz="4" w:space="0"/>
              <w:left w:val="nil"/>
              <w:bottom w:val="single" w:color="auto" w:sz="4" w:space="0"/>
              <w:right w:val="single" w:color="auto" w:sz="4" w:space="0"/>
            </w:tcBorders>
            <w:noWrap w:val="0"/>
            <w:vAlign w:val="center"/>
          </w:tcPr>
          <w:p w14:paraId="0291886E">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计算公式</w:t>
            </w:r>
          </w:p>
        </w:tc>
        <w:tc>
          <w:tcPr>
            <w:tcW w:w="1177" w:type="dxa"/>
            <w:tcBorders>
              <w:top w:val="single" w:color="auto" w:sz="4" w:space="0"/>
              <w:left w:val="nil"/>
              <w:bottom w:val="single" w:color="auto" w:sz="4" w:space="0"/>
              <w:right w:val="single" w:color="auto" w:sz="4" w:space="0"/>
            </w:tcBorders>
            <w:noWrap w:val="0"/>
            <w:vAlign w:val="center"/>
          </w:tcPr>
          <w:p w14:paraId="7CDD9E7A">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合计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元</w:t>
            </w:r>
            <w:r>
              <w:rPr>
                <w:rFonts w:hint="eastAsia" w:ascii="宋体" w:hAnsi="宋体" w:cs="宋体"/>
                <w:kern w:val="0"/>
                <w:sz w:val="24"/>
                <w:szCs w:val="24"/>
                <w:lang w:eastAsia="zh-CN"/>
              </w:rPr>
              <w:t>）</w:t>
            </w:r>
          </w:p>
        </w:tc>
        <w:tc>
          <w:tcPr>
            <w:tcW w:w="3599" w:type="dxa"/>
            <w:tcBorders>
              <w:top w:val="single" w:color="auto" w:sz="4" w:space="0"/>
              <w:left w:val="nil"/>
              <w:bottom w:val="single" w:color="auto" w:sz="4" w:space="0"/>
              <w:right w:val="single" w:color="auto" w:sz="4" w:space="0"/>
            </w:tcBorders>
            <w:noWrap w:val="0"/>
            <w:vAlign w:val="center"/>
          </w:tcPr>
          <w:p w14:paraId="5E4EB910">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255928BE">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top"/>
          </w:tcPr>
          <w:p w14:paraId="5E16ACC2">
            <w:pPr>
              <w:pageBreakBefore w:val="0"/>
              <w:widowControl/>
              <w:kinsoku/>
              <w:wordWrap/>
              <w:overflowPunct/>
              <w:topLinePunct w:val="0"/>
              <w:autoSpaceDE/>
              <w:autoSpaceDN/>
              <w:bidi w:val="0"/>
              <w:snapToGrid/>
              <w:spacing w:beforeAutospacing="0" w:afterAutospacing="0" w:line="360" w:lineRule="auto"/>
              <w:ind w:firstLine="240" w:firstLineChars="100"/>
              <w:jc w:val="both"/>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w:t>
            </w:r>
          </w:p>
        </w:tc>
        <w:tc>
          <w:tcPr>
            <w:tcW w:w="4658" w:type="dxa"/>
            <w:gridSpan w:val="2"/>
            <w:tcBorders>
              <w:top w:val="nil"/>
              <w:left w:val="nil"/>
              <w:bottom w:val="single" w:color="auto" w:sz="4" w:space="0"/>
              <w:right w:val="single" w:color="auto" w:sz="4" w:space="0"/>
            </w:tcBorders>
            <w:noWrap w:val="0"/>
            <w:vAlign w:val="center"/>
          </w:tcPr>
          <w:p w14:paraId="1781B9C5">
            <w:pPr>
              <w:pageBreakBefore w:val="0"/>
              <w:widowControl/>
              <w:kinsoku/>
              <w:wordWrap/>
              <w:overflowPunct/>
              <w:topLinePunct w:val="0"/>
              <w:autoSpaceDE/>
              <w:autoSpaceDN/>
              <w:bidi w:val="0"/>
              <w:snapToGrid/>
              <w:spacing w:beforeAutospacing="0" w:afterAutospacing="0" w:line="360" w:lineRule="auto"/>
              <w:ind w:firstLine="1440" w:firstLineChars="600"/>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人工费用</w:t>
            </w:r>
          </w:p>
        </w:tc>
        <w:tc>
          <w:tcPr>
            <w:tcW w:w="1177" w:type="dxa"/>
            <w:tcBorders>
              <w:top w:val="nil"/>
              <w:left w:val="nil"/>
              <w:bottom w:val="single" w:color="auto" w:sz="4" w:space="0"/>
              <w:right w:val="single" w:color="auto" w:sz="4" w:space="0"/>
            </w:tcBorders>
            <w:noWrap w:val="0"/>
            <w:vAlign w:val="center"/>
          </w:tcPr>
          <w:p w14:paraId="45E26B3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　</w:t>
            </w:r>
          </w:p>
        </w:tc>
        <w:tc>
          <w:tcPr>
            <w:tcW w:w="3599" w:type="dxa"/>
            <w:tcBorders>
              <w:top w:val="nil"/>
              <w:left w:val="nil"/>
              <w:bottom w:val="single" w:color="auto" w:sz="4" w:space="0"/>
              <w:right w:val="single" w:color="auto" w:sz="4" w:space="0"/>
            </w:tcBorders>
            <w:noWrap w:val="0"/>
            <w:vAlign w:val="center"/>
          </w:tcPr>
          <w:p w14:paraId="7AC593CF">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p>
        </w:tc>
      </w:tr>
      <w:tr w14:paraId="60DAEEBA">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57ECB5F8">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1.1</w:t>
            </w:r>
          </w:p>
        </w:tc>
        <w:tc>
          <w:tcPr>
            <w:tcW w:w="1371" w:type="dxa"/>
            <w:tcBorders>
              <w:top w:val="nil"/>
              <w:left w:val="nil"/>
              <w:bottom w:val="single" w:color="auto" w:sz="4" w:space="0"/>
              <w:right w:val="single" w:color="auto" w:sz="4" w:space="0"/>
            </w:tcBorders>
            <w:noWrap w:val="0"/>
            <w:vAlign w:val="center"/>
          </w:tcPr>
          <w:p w14:paraId="0C38C284">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人工工资</w:t>
            </w:r>
          </w:p>
        </w:tc>
        <w:tc>
          <w:tcPr>
            <w:tcW w:w="3287" w:type="dxa"/>
            <w:tcBorders>
              <w:top w:val="nil"/>
              <w:left w:val="nil"/>
              <w:bottom w:val="single" w:color="auto" w:sz="4" w:space="0"/>
              <w:right w:val="single" w:color="auto" w:sz="4" w:space="0"/>
            </w:tcBorders>
            <w:noWrap w:val="0"/>
            <w:vAlign w:val="center"/>
          </w:tcPr>
          <w:p w14:paraId="7051F5C7">
            <w:pPr>
              <w:pageBreakBefore w:val="0"/>
              <w:widowControl/>
              <w:kinsoku/>
              <w:wordWrap/>
              <w:overflowPunct/>
              <w:topLinePunct w:val="0"/>
              <w:autoSpaceDE/>
              <w:autoSpaceDN/>
              <w:bidi w:val="0"/>
              <w:snapToGrid/>
              <w:spacing w:beforeAutospacing="0" w:afterAutospacing="0" w:line="360" w:lineRule="auto"/>
              <w:ind w:firstLine="720" w:firstLineChars="300"/>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元</w:t>
            </w:r>
            <w:r>
              <w:rPr>
                <w:rFonts w:hint="eastAsia" w:ascii="宋体" w:hAnsi="宋体" w:eastAsia="宋体" w:cs="宋体"/>
                <w:b w:val="0"/>
                <w:bCs w:val="0"/>
                <w:kern w:val="0"/>
                <w:sz w:val="24"/>
                <w:szCs w:val="24"/>
              </w:rPr>
              <w:t>×12个月×人数</w:t>
            </w:r>
          </w:p>
        </w:tc>
        <w:tc>
          <w:tcPr>
            <w:tcW w:w="1177" w:type="dxa"/>
            <w:tcBorders>
              <w:top w:val="nil"/>
              <w:left w:val="nil"/>
              <w:bottom w:val="single" w:color="auto" w:sz="4" w:space="0"/>
              <w:right w:val="single" w:color="auto" w:sz="4" w:space="0"/>
            </w:tcBorders>
            <w:noWrap w:val="0"/>
            <w:vAlign w:val="center"/>
          </w:tcPr>
          <w:p w14:paraId="5E4994F2">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3599" w:type="dxa"/>
            <w:tcBorders>
              <w:top w:val="nil"/>
              <w:left w:val="nil"/>
              <w:bottom w:val="single" w:color="auto" w:sz="4" w:space="0"/>
              <w:right w:val="single" w:color="auto" w:sz="4" w:space="0"/>
            </w:tcBorders>
            <w:noWrap w:val="0"/>
            <w:vAlign w:val="center"/>
          </w:tcPr>
          <w:p w14:paraId="09EED464">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p>
        </w:tc>
      </w:tr>
      <w:tr w14:paraId="214854E9">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53A85D25">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1.1.1</w:t>
            </w:r>
          </w:p>
        </w:tc>
        <w:tc>
          <w:tcPr>
            <w:tcW w:w="1371" w:type="dxa"/>
            <w:tcBorders>
              <w:top w:val="nil"/>
              <w:left w:val="nil"/>
              <w:bottom w:val="single" w:color="auto" w:sz="4" w:space="0"/>
              <w:right w:val="single" w:color="auto" w:sz="4" w:space="0"/>
            </w:tcBorders>
            <w:noWrap w:val="0"/>
            <w:vAlign w:val="center"/>
          </w:tcPr>
          <w:p w14:paraId="5CB4C824">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片</w:t>
            </w:r>
            <w:r>
              <w:rPr>
                <w:rFonts w:hint="eastAsia" w:ascii="宋体" w:hAnsi="宋体" w:eastAsia="宋体" w:cs="宋体"/>
                <w:b w:val="0"/>
                <w:bCs w:val="0"/>
                <w:kern w:val="0"/>
                <w:sz w:val="24"/>
                <w:szCs w:val="24"/>
              </w:rPr>
              <w:t>长</w:t>
            </w:r>
          </w:p>
        </w:tc>
        <w:tc>
          <w:tcPr>
            <w:tcW w:w="3287" w:type="dxa"/>
            <w:tcBorders>
              <w:top w:val="nil"/>
              <w:left w:val="nil"/>
              <w:bottom w:val="single" w:color="auto" w:sz="4" w:space="0"/>
              <w:right w:val="single" w:color="auto" w:sz="4" w:space="0"/>
            </w:tcBorders>
            <w:noWrap w:val="0"/>
            <w:vAlign w:val="center"/>
          </w:tcPr>
          <w:p w14:paraId="109DF4F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       元×12个月×   人</w:t>
            </w:r>
          </w:p>
        </w:tc>
        <w:tc>
          <w:tcPr>
            <w:tcW w:w="1177" w:type="dxa"/>
            <w:tcBorders>
              <w:top w:val="nil"/>
              <w:left w:val="nil"/>
              <w:bottom w:val="single" w:color="auto" w:sz="4" w:space="0"/>
              <w:right w:val="single" w:color="auto" w:sz="4" w:space="0"/>
            </w:tcBorders>
            <w:noWrap w:val="0"/>
            <w:vAlign w:val="center"/>
          </w:tcPr>
          <w:p w14:paraId="20A7B32A">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3599" w:type="dxa"/>
            <w:tcBorders>
              <w:top w:val="nil"/>
              <w:left w:val="nil"/>
              <w:bottom w:val="single" w:color="auto" w:sz="4" w:space="0"/>
              <w:right w:val="single" w:color="auto" w:sz="4" w:space="0"/>
            </w:tcBorders>
            <w:noWrap w:val="0"/>
            <w:vAlign w:val="center"/>
          </w:tcPr>
          <w:p w14:paraId="4BD7E8A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r>
      <w:tr w14:paraId="3B7B3261">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1FFC01A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1.1.2</w:t>
            </w:r>
          </w:p>
        </w:tc>
        <w:tc>
          <w:tcPr>
            <w:tcW w:w="1371" w:type="dxa"/>
            <w:tcBorders>
              <w:top w:val="nil"/>
              <w:left w:val="nil"/>
              <w:bottom w:val="single" w:color="auto" w:sz="4" w:space="0"/>
              <w:right w:val="single" w:color="auto" w:sz="4" w:space="0"/>
            </w:tcBorders>
            <w:noWrap w:val="0"/>
            <w:vAlign w:val="center"/>
          </w:tcPr>
          <w:p w14:paraId="24BDA6D0">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color w:val="000000"/>
                <w:kern w:val="0"/>
                <w:sz w:val="24"/>
                <w:szCs w:val="24"/>
                <w:lang w:val="en-US" w:eastAsia="zh-CN"/>
              </w:rPr>
            </w:pPr>
            <w:r>
              <w:rPr>
                <w:rFonts w:hint="eastAsia" w:ascii="宋体" w:hAnsi="宋体" w:eastAsia="宋体" w:cs="宋体"/>
                <w:b w:val="0"/>
                <w:bCs w:val="0"/>
                <w:color w:val="000000"/>
                <w:kern w:val="0"/>
                <w:sz w:val="24"/>
                <w:szCs w:val="24"/>
                <w:lang w:val="en-US" w:eastAsia="zh-CN"/>
              </w:rPr>
              <w:t>驾驶员</w:t>
            </w:r>
          </w:p>
        </w:tc>
        <w:tc>
          <w:tcPr>
            <w:tcW w:w="3287" w:type="dxa"/>
            <w:tcBorders>
              <w:top w:val="nil"/>
              <w:left w:val="nil"/>
              <w:bottom w:val="single" w:color="auto" w:sz="4" w:space="0"/>
              <w:right w:val="single" w:color="auto" w:sz="4" w:space="0"/>
            </w:tcBorders>
            <w:noWrap w:val="0"/>
            <w:vAlign w:val="center"/>
          </w:tcPr>
          <w:p w14:paraId="33110537">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    </w:t>
            </w:r>
            <w:r>
              <w:rPr>
                <w:rFonts w:hint="eastAsia" w:ascii="宋体" w:hAnsi="宋体" w:eastAsia="宋体" w:cs="宋体"/>
                <w:b w:val="0"/>
                <w:bCs w:val="0"/>
                <w:kern w:val="0"/>
                <w:sz w:val="24"/>
                <w:szCs w:val="24"/>
                <w:lang w:val="en-US" w:eastAsia="zh-CN"/>
              </w:rPr>
              <w:t xml:space="preserve">   </w:t>
            </w:r>
            <w:r>
              <w:rPr>
                <w:rFonts w:hint="eastAsia" w:ascii="宋体" w:hAnsi="宋体" w:eastAsia="宋体" w:cs="宋体"/>
                <w:b w:val="0"/>
                <w:bCs w:val="0"/>
                <w:kern w:val="0"/>
                <w:sz w:val="24"/>
                <w:szCs w:val="24"/>
              </w:rPr>
              <w:t>元×12个月×   人</w:t>
            </w:r>
          </w:p>
        </w:tc>
        <w:tc>
          <w:tcPr>
            <w:tcW w:w="1177" w:type="dxa"/>
            <w:tcBorders>
              <w:top w:val="nil"/>
              <w:left w:val="nil"/>
              <w:bottom w:val="single" w:color="auto" w:sz="4" w:space="0"/>
              <w:right w:val="single" w:color="auto" w:sz="4" w:space="0"/>
            </w:tcBorders>
            <w:noWrap w:val="0"/>
            <w:vAlign w:val="center"/>
          </w:tcPr>
          <w:p w14:paraId="723DAEC6">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p>
        </w:tc>
        <w:tc>
          <w:tcPr>
            <w:tcW w:w="3599" w:type="dxa"/>
            <w:tcBorders>
              <w:top w:val="nil"/>
              <w:left w:val="nil"/>
              <w:bottom w:val="single" w:color="auto" w:sz="4" w:space="0"/>
              <w:right w:val="single" w:color="auto" w:sz="4" w:space="0"/>
            </w:tcBorders>
            <w:noWrap w:val="0"/>
            <w:vAlign w:val="center"/>
          </w:tcPr>
          <w:p w14:paraId="13B07195">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p>
        </w:tc>
      </w:tr>
      <w:tr w14:paraId="6C8CC7FE">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4E61B20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rPr>
              <w:t>1.1.</w:t>
            </w:r>
            <w:r>
              <w:rPr>
                <w:rFonts w:hint="eastAsia" w:ascii="宋体" w:hAnsi="宋体" w:eastAsia="宋体" w:cs="宋体"/>
                <w:b w:val="0"/>
                <w:bCs w:val="0"/>
                <w:kern w:val="0"/>
                <w:sz w:val="24"/>
                <w:szCs w:val="24"/>
                <w:lang w:val="en-US" w:eastAsia="zh-CN"/>
              </w:rPr>
              <w:t>3</w:t>
            </w:r>
          </w:p>
        </w:tc>
        <w:tc>
          <w:tcPr>
            <w:tcW w:w="1371" w:type="dxa"/>
            <w:tcBorders>
              <w:top w:val="nil"/>
              <w:left w:val="nil"/>
              <w:bottom w:val="single" w:color="auto" w:sz="4" w:space="0"/>
              <w:right w:val="single" w:color="auto" w:sz="4" w:space="0"/>
            </w:tcBorders>
            <w:noWrap w:val="0"/>
            <w:vAlign w:val="center"/>
          </w:tcPr>
          <w:p w14:paraId="22A4C4EB">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保洁员</w:t>
            </w:r>
          </w:p>
        </w:tc>
        <w:tc>
          <w:tcPr>
            <w:tcW w:w="3287" w:type="dxa"/>
            <w:tcBorders>
              <w:top w:val="nil"/>
              <w:left w:val="nil"/>
              <w:bottom w:val="single" w:color="auto" w:sz="4" w:space="0"/>
              <w:right w:val="single" w:color="auto" w:sz="4" w:space="0"/>
            </w:tcBorders>
            <w:noWrap w:val="0"/>
            <w:vAlign w:val="center"/>
          </w:tcPr>
          <w:p w14:paraId="26EF85AE">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       元×12个月×   人</w:t>
            </w:r>
          </w:p>
        </w:tc>
        <w:tc>
          <w:tcPr>
            <w:tcW w:w="1177" w:type="dxa"/>
            <w:tcBorders>
              <w:top w:val="nil"/>
              <w:left w:val="nil"/>
              <w:bottom w:val="single" w:color="auto" w:sz="4" w:space="0"/>
              <w:right w:val="single" w:color="auto" w:sz="4" w:space="0"/>
            </w:tcBorders>
            <w:noWrap w:val="0"/>
            <w:vAlign w:val="center"/>
          </w:tcPr>
          <w:p w14:paraId="45538783">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3599" w:type="dxa"/>
            <w:tcBorders>
              <w:top w:val="nil"/>
              <w:left w:val="nil"/>
              <w:bottom w:val="single" w:color="auto" w:sz="4" w:space="0"/>
              <w:right w:val="single" w:color="auto" w:sz="4" w:space="0"/>
            </w:tcBorders>
            <w:noWrap w:val="0"/>
            <w:vAlign w:val="center"/>
          </w:tcPr>
          <w:p w14:paraId="4046E247">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r>
      <w:tr w14:paraId="324DD917">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0C78038B">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2</w:t>
            </w:r>
          </w:p>
        </w:tc>
        <w:tc>
          <w:tcPr>
            <w:tcW w:w="4658" w:type="dxa"/>
            <w:gridSpan w:val="2"/>
            <w:tcBorders>
              <w:top w:val="nil"/>
              <w:left w:val="nil"/>
              <w:bottom w:val="single" w:color="auto" w:sz="4" w:space="0"/>
              <w:right w:val="single" w:color="auto" w:sz="4" w:space="0"/>
            </w:tcBorders>
            <w:noWrap w:val="0"/>
            <w:vAlign w:val="center"/>
          </w:tcPr>
          <w:p w14:paraId="34FEC50D">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rPr>
              <w:t>制服、冷饮、劳保、节日</w:t>
            </w:r>
            <w:r>
              <w:rPr>
                <w:rFonts w:hint="eastAsia" w:ascii="宋体" w:hAnsi="宋体" w:eastAsia="宋体" w:cs="宋体"/>
                <w:b w:val="0"/>
                <w:bCs w:val="0"/>
                <w:kern w:val="0"/>
                <w:sz w:val="24"/>
                <w:szCs w:val="24"/>
                <w:lang w:val="en-US" w:eastAsia="zh-CN"/>
              </w:rPr>
              <w:t>发放等福利费用：</w:t>
            </w:r>
          </w:p>
          <w:p w14:paraId="24CBE63A">
            <w:pPr>
              <w:pageBreakBefore w:val="0"/>
              <w:widowControl/>
              <w:kinsoku/>
              <w:wordWrap/>
              <w:overflowPunct/>
              <w:topLinePunct w:val="0"/>
              <w:autoSpaceDE/>
              <w:autoSpaceDN/>
              <w:bidi w:val="0"/>
              <w:snapToGrid/>
              <w:spacing w:beforeAutospacing="0" w:afterAutospacing="0" w:line="360" w:lineRule="auto"/>
              <w:ind w:firstLine="1440" w:firstLineChars="600"/>
              <w:jc w:val="left"/>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rPr>
              <w:t>元/年×     人</w:t>
            </w:r>
          </w:p>
        </w:tc>
        <w:tc>
          <w:tcPr>
            <w:tcW w:w="1177" w:type="dxa"/>
            <w:tcBorders>
              <w:top w:val="nil"/>
              <w:left w:val="nil"/>
              <w:bottom w:val="single" w:color="auto" w:sz="4" w:space="0"/>
              <w:right w:val="single" w:color="auto" w:sz="4" w:space="0"/>
            </w:tcBorders>
            <w:noWrap w:val="0"/>
            <w:vAlign w:val="center"/>
          </w:tcPr>
          <w:p w14:paraId="47C10195">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　</w:t>
            </w:r>
          </w:p>
        </w:tc>
        <w:tc>
          <w:tcPr>
            <w:tcW w:w="3599" w:type="dxa"/>
            <w:tcBorders>
              <w:top w:val="nil"/>
              <w:left w:val="nil"/>
              <w:bottom w:val="single" w:color="auto" w:sz="4" w:space="0"/>
              <w:right w:val="single" w:color="auto" w:sz="4" w:space="0"/>
            </w:tcBorders>
            <w:noWrap w:val="0"/>
            <w:vAlign w:val="center"/>
          </w:tcPr>
          <w:p w14:paraId="0AFE5906">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r>
      <w:tr w14:paraId="2B5992ED">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4585F629">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p>
        </w:tc>
        <w:tc>
          <w:tcPr>
            <w:tcW w:w="4658" w:type="dxa"/>
            <w:gridSpan w:val="2"/>
            <w:tcBorders>
              <w:top w:val="nil"/>
              <w:left w:val="nil"/>
              <w:bottom w:val="single" w:color="auto" w:sz="4" w:space="0"/>
              <w:right w:val="single" w:color="auto" w:sz="4" w:space="0"/>
            </w:tcBorders>
            <w:noWrap w:val="0"/>
            <w:vAlign w:val="center"/>
          </w:tcPr>
          <w:p w14:paraId="7A8D2D74">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保洁物耗费用</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 xml:space="preserve">      元/年</w:t>
            </w:r>
            <w:r>
              <w:rPr>
                <w:rFonts w:hint="eastAsia" w:ascii="宋体" w:hAnsi="宋体" w:eastAsia="宋体" w:cs="宋体"/>
                <w:b w:val="0"/>
                <w:bCs w:val="0"/>
                <w:kern w:val="0"/>
                <w:sz w:val="24"/>
                <w:szCs w:val="24"/>
              </w:rPr>
              <w:t xml:space="preserve">     </w:t>
            </w:r>
          </w:p>
        </w:tc>
        <w:tc>
          <w:tcPr>
            <w:tcW w:w="1177" w:type="dxa"/>
            <w:tcBorders>
              <w:top w:val="nil"/>
              <w:left w:val="nil"/>
              <w:bottom w:val="single" w:color="auto" w:sz="4" w:space="0"/>
              <w:right w:val="single" w:color="auto" w:sz="4" w:space="0"/>
            </w:tcBorders>
            <w:noWrap w:val="0"/>
            <w:vAlign w:val="center"/>
          </w:tcPr>
          <w:p w14:paraId="3475DE99">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3599" w:type="dxa"/>
            <w:tcBorders>
              <w:top w:val="nil"/>
              <w:left w:val="nil"/>
              <w:bottom w:val="single" w:color="auto" w:sz="4" w:space="0"/>
              <w:right w:val="single" w:color="auto" w:sz="4" w:space="0"/>
            </w:tcBorders>
            <w:noWrap w:val="0"/>
            <w:vAlign w:val="center"/>
          </w:tcPr>
          <w:p w14:paraId="28E4A74A">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垃圾清运车</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 xml:space="preserve"> 收集车</w:t>
            </w:r>
            <w:r>
              <w:rPr>
                <w:rFonts w:hint="eastAsia" w:ascii="宋体" w:hAnsi="宋体" w:eastAsia="宋体" w:cs="宋体"/>
                <w:kern w:val="0"/>
                <w:sz w:val="24"/>
                <w:szCs w:val="24"/>
              </w:rPr>
              <w:t>维修、清洁工具、垃圾桶、劳保用品、消杀用品、洗涤用品、药物等</w:t>
            </w:r>
            <w:r>
              <w:rPr>
                <w:rFonts w:hint="eastAsia" w:ascii="宋体" w:hAnsi="宋体" w:eastAsia="宋体" w:cs="宋体"/>
                <w:kern w:val="0"/>
                <w:sz w:val="24"/>
                <w:szCs w:val="24"/>
                <w:lang w:val="en-US" w:eastAsia="zh-CN"/>
              </w:rPr>
              <w:t>等</w:t>
            </w:r>
          </w:p>
        </w:tc>
      </w:tr>
      <w:tr w14:paraId="30DF47A9">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4C9FDEDD">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4</w:t>
            </w:r>
          </w:p>
        </w:tc>
        <w:tc>
          <w:tcPr>
            <w:tcW w:w="4658" w:type="dxa"/>
            <w:gridSpan w:val="2"/>
            <w:tcBorders>
              <w:top w:val="nil"/>
              <w:left w:val="nil"/>
              <w:bottom w:val="single" w:color="auto" w:sz="4" w:space="0"/>
              <w:right w:val="single" w:color="auto" w:sz="4" w:space="0"/>
            </w:tcBorders>
            <w:noWrap w:val="0"/>
            <w:vAlign w:val="center"/>
          </w:tcPr>
          <w:p w14:paraId="035EB816">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rPr>
              <w:t>其它未列项目</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 xml:space="preserve">       元/年</w:t>
            </w:r>
            <w:r>
              <w:rPr>
                <w:rFonts w:hint="eastAsia" w:ascii="宋体" w:hAnsi="宋体" w:eastAsia="宋体" w:cs="宋体"/>
                <w:b w:val="0"/>
                <w:bCs w:val="0"/>
                <w:kern w:val="0"/>
                <w:sz w:val="24"/>
                <w:szCs w:val="24"/>
              </w:rPr>
              <w:t>　</w:t>
            </w:r>
            <w:r>
              <w:rPr>
                <w:rFonts w:hint="eastAsia" w:ascii="宋体" w:hAnsi="宋体" w:eastAsia="宋体" w:cs="宋体"/>
                <w:b w:val="0"/>
                <w:bCs w:val="0"/>
                <w:kern w:val="0"/>
                <w:sz w:val="24"/>
                <w:szCs w:val="24"/>
                <w:lang w:val="en-US" w:eastAsia="zh-CN"/>
              </w:rPr>
              <w:t xml:space="preserve">     </w:t>
            </w:r>
          </w:p>
        </w:tc>
        <w:tc>
          <w:tcPr>
            <w:tcW w:w="1177" w:type="dxa"/>
            <w:tcBorders>
              <w:top w:val="nil"/>
              <w:left w:val="nil"/>
              <w:bottom w:val="single" w:color="auto" w:sz="4" w:space="0"/>
              <w:right w:val="single" w:color="auto" w:sz="4" w:space="0"/>
            </w:tcBorders>
            <w:noWrap w:val="0"/>
            <w:vAlign w:val="center"/>
          </w:tcPr>
          <w:p w14:paraId="128FFE39">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c>
          <w:tcPr>
            <w:tcW w:w="3599" w:type="dxa"/>
            <w:tcBorders>
              <w:top w:val="nil"/>
              <w:left w:val="nil"/>
              <w:bottom w:val="single" w:color="auto" w:sz="4" w:space="0"/>
              <w:right w:val="single" w:color="auto" w:sz="4" w:space="0"/>
            </w:tcBorders>
            <w:noWrap w:val="0"/>
            <w:vAlign w:val="center"/>
          </w:tcPr>
          <w:p w14:paraId="472D9E4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p>
        </w:tc>
      </w:tr>
      <w:tr w14:paraId="261891FE">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top"/>
          </w:tcPr>
          <w:p w14:paraId="3ECD1FE2">
            <w:pPr>
              <w:pageBreakBefore w:val="0"/>
              <w:widowControl/>
              <w:kinsoku/>
              <w:wordWrap/>
              <w:overflowPunct/>
              <w:topLinePunct w:val="0"/>
              <w:autoSpaceDE/>
              <w:autoSpaceDN/>
              <w:bidi w:val="0"/>
              <w:snapToGrid/>
              <w:spacing w:beforeAutospacing="0" w:afterAutospacing="0" w:line="360" w:lineRule="auto"/>
              <w:ind w:firstLine="240" w:firstLineChars="100"/>
              <w:jc w:val="both"/>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5</w:t>
            </w:r>
          </w:p>
        </w:tc>
        <w:tc>
          <w:tcPr>
            <w:tcW w:w="4658" w:type="dxa"/>
            <w:gridSpan w:val="2"/>
            <w:tcBorders>
              <w:top w:val="nil"/>
              <w:left w:val="nil"/>
              <w:bottom w:val="single" w:color="auto" w:sz="4" w:space="0"/>
              <w:right w:val="single" w:color="auto" w:sz="4" w:space="0"/>
            </w:tcBorders>
            <w:noWrap w:val="0"/>
            <w:vAlign w:val="center"/>
          </w:tcPr>
          <w:p w14:paraId="7664A747">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企业管理费及利润</w:t>
            </w:r>
          </w:p>
        </w:tc>
        <w:tc>
          <w:tcPr>
            <w:tcW w:w="1177" w:type="dxa"/>
            <w:tcBorders>
              <w:top w:val="nil"/>
              <w:left w:val="nil"/>
              <w:bottom w:val="single" w:color="auto" w:sz="4" w:space="0"/>
              <w:right w:val="single" w:color="auto" w:sz="4" w:space="0"/>
            </w:tcBorders>
            <w:noWrap w:val="0"/>
            <w:vAlign w:val="center"/>
          </w:tcPr>
          <w:p w14:paraId="734DD8AC">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c>
          <w:tcPr>
            <w:tcW w:w="3599" w:type="dxa"/>
            <w:tcBorders>
              <w:top w:val="nil"/>
              <w:left w:val="nil"/>
              <w:bottom w:val="single" w:color="auto" w:sz="4" w:space="0"/>
              <w:right w:val="single" w:color="auto" w:sz="4" w:space="0"/>
            </w:tcBorders>
            <w:noWrap w:val="0"/>
            <w:vAlign w:val="center"/>
          </w:tcPr>
          <w:p w14:paraId="75B076D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p>
        </w:tc>
      </w:tr>
      <w:tr w14:paraId="52D9DDE7">
        <w:tblPrEx>
          <w:tblCellMar>
            <w:top w:w="0" w:type="dxa"/>
            <w:left w:w="108" w:type="dxa"/>
            <w:bottom w:w="0" w:type="dxa"/>
            <w:right w:w="108" w:type="dxa"/>
          </w:tblCellMar>
        </w:tblPrEx>
        <w:trPr>
          <w:trHeight w:val="680" w:hRule="atLeast"/>
        </w:trPr>
        <w:tc>
          <w:tcPr>
            <w:tcW w:w="843" w:type="dxa"/>
            <w:tcBorders>
              <w:top w:val="nil"/>
              <w:left w:val="single" w:color="auto" w:sz="4" w:space="0"/>
              <w:bottom w:val="single" w:color="auto" w:sz="4" w:space="0"/>
              <w:right w:val="single" w:color="auto" w:sz="4" w:space="0"/>
            </w:tcBorders>
            <w:noWrap w:val="0"/>
            <w:vAlign w:val="center"/>
          </w:tcPr>
          <w:p w14:paraId="688AC116">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6</w:t>
            </w:r>
          </w:p>
        </w:tc>
        <w:tc>
          <w:tcPr>
            <w:tcW w:w="1371" w:type="dxa"/>
            <w:tcBorders>
              <w:top w:val="nil"/>
              <w:left w:val="nil"/>
              <w:bottom w:val="single" w:color="auto" w:sz="4" w:space="0"/>
              <w:right w:val="single" w:color="auto" w:sz="4" w:space="0"/>
            </w:tcBorders>
            <w:noWrap w:val="0"/>
            <w:vAlign w:val="center"/>
          </w:tcPr>
          <w:p w14:paraId="4BB34966">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税金</w:t>
            </w:r>
          </w:p>
        </w:tc>
        <w:tc>
          <w:tcPr>
            <w:tcW w:w="3287" w:type="dxa"/>
            <w:tcBorders>
              <w:top w:val="nil"/>
              <w:left w:val="nil"/>
              <w:bottom w:val="single" w:color="auto" w:sz="4" w:space="0"/>
              <w:right w:val="single" w:color="auto" w:sz="4" w:space="0"/>
            </w:tcBorders>
            <w:noWrap w:val="0"/>
            <w:vAlign w:val="center"/>
          </w:tcPr>
          <w:p w14:paraId="13F2BE72">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c>
          <w:tcPr>
            <w:tcW w:w="1177" w:type="dxa"/>
            <w:tcBorders>
              <w:top w:val="nil"/>
              <w:left w:val="nil"/>
              <w:bottom w:val="single" w:color="auto" w:sz="4" w:space="0"/>
              <w:right w:val="single" w:color="auto" w:sz="4" w:space="0"/>
            </w:tcBorders>
            <w:noWrap w:val="0"/>
            <w:vAlign w:val="center"/>
          </w:tcPr>
          <w:p w14:paraId="7EA6EF96">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c>
          <w:tcPr>
            <w:tcW w:w="3599" w:type="dxa"/>
            <w:tcBorders>
              <w:top w:val="nil"/>
              <w:left w:val="nil"/>
              <w:bottom w:val="single" w:color="auto" w:sz="4" w:space="0"/>
              <w:right w:val="single" w:color="auto" w:sz="4" w:space="0"/>
            </w:tcBorders>
            <w:noWrap w:val="0"/>
            <w:vAlign w:val="center"/>
          </w:tcPr>
          <w:p w14:paraId="225E42B1">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r>
      <w:tr w14:paraId="79EAB875">
        <w:tblPrEx>
          <w:tblCellMar>
            <w:top w:w="0" w:type="dxa"/>
            <w:left w:w="108" w:type="dxa"/>
            <w:bottom w:w="0" w:type="dxa"/>
            <w:right w:w="108" w:type="dxa"/>
          </w:tblCellMar>
        </w:tblPrEx>
        <w:trPr>
          <w:trHeight w:val="628" w:hRule="atLeast"/>
        </w:trPr>
        <w:tc>
          <w:tcPr>
            <w:tcW w:w="843" w:type="dxa"/>
            <w:tcBorders>
              <w:top w:val="nil"/>
              <w:left w:val="single" w:color="auto" w:sz="4" w:space="0"/>
              <w:bottom w:val="single" w:color="auto" w:sz="4" w:space="0"/>
              <w:right w:val="single" w:color="auto" w:sz="4" w:space="0"/>
            </w:tcBorders>
            <w:noWrap w:val="0"/>
            <w:vAlign w:val="center"/>
          </w:tcPr>
          <w:p w14:paraId="0619862F">
            <w:pPr>
              <w:pageBreakBefore w:val="0"/>
              <w:widowControl/>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7</w:t>
            </w:r>
          </w:p>
        </w:tc>
        <w:tc>
          <w:tcPr>
            <w:tcW w:w="1371" w:type="dxa"/>
            <w:tcBorders>
              <w:top w:val="nil"/>
              <w:left w:val="nil"/>
              <w:bottom w:val="single" w:color="auto" w:sz="4" w:space="0"/>
              <w:right w:val="single" w:color="auto" w:sz="4" w:space="0"/>
            </w:tcBorders>
            <w:noWrap w:val="0"/>
            <w:vAlign w:val="center"/>
          </w:tcPr>
          <w:p w14:paraId="33D7FBF3">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一年合计</w:t>
            </w:r>
          </w:p>
        </w:tc>
        <w:tc>
          <w:tcPr>
            <w:tcW w:w="4464" w:type="dxa"/>
            <w:gridSpan w:val="2"/>
            <w:tcBorders>
              <w:top w:val="nil"/>
              <w:left w:val="nil"/>
              <w:bottom w:val="single" w:color="auto" w:sz="4" w:space="0"/>
              <w:right w:val="single" w:color="auto" w:sz="4" w:space="0"/>
            </w:tcBorders>
            <w:noWrap w:val="0"/>
            <w:vAlign w:val="center"/>
          </w:tcPr>
          <w:p w14:paraId="456C735B">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c>
          <w:tcPr>
            <w:tcW w:w="3599" w:type="dxa"/>
            <w:tcBorders>
              <w:top w:val="nil"/>
              <w:left w:val="nil"/>
              <w:bottom w:val="single" w:color="auto" w:sz="4" w:space="0"/>
              <w:right w:val="single" w:color="auto" w:sz="4" w:space="0"/>
            </w:tcBorders>
            <w:noWrap w:val="0"/>
            <w:vAlign w:val="center"/>
          </w:tcPr>
          <w:p w14:paraId="080FC06A">
            <w:pPr>
              <w:pageBreakBefore w:val="0"/>
              <w:widowControl/>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w:t>
            </w:r>
          </w:p>
        </w:tc>
      </w:tr>
    </w:tbl>
    <w:p w14:paraId="150C9267">
      <w:pPr>
        <w:bidi w:val="0"/>
        <w:rPr>
          <w:rFonts w:hint="eastAsia"/>
          <w:lang w:val="zh-CN"/>
        </w:rPr>
      </w:pPr>
    </w:p>
    <w:p w14:paraId="4A468823">
      <w:pPr>
        <w:pageBreakBefore w:val="0"/>
        <w:kinsoku/>
        <w:wordWrap/>
        <w:overflowPunct/>
        <w:topLinePunct w:val="0"/>
        <w:autoSpaceDE/>
        <w:autoSpaceDN/>
        <w:bidi w:val="0"/>
        <w:snapToGrid/>
        <w:spacing w:beforeAutospacing="0" w:afterAutospacing="0" w:line="360" w:lineRule="auto"/>
        <w:textAlignment w:val="auto"/>
        <w:outlineLvl w:val="0"/>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投标单位：（盖</w:t>
      </w:r>
      <w:r>
        <w:rPr>
          <w:rFonts w:hint="eastAsia" w:ascii="宋体" w:hAnsi="宋体" w:eastAsia="宋体" w:cs="宋体"/>
          <w:b/>
          <w:kern w:val="0"/>
          <w:sz w:val="24"/>
          <w:szCs w:val="24"/>
          <w:lang w:val="en-US" w:eastAsia="zh-CN"/>
        </w:rPr>
        <w:t>公</w:t>
      </w:r>
      <w:r>
        <w:rPr>
          <w:rFonts w:hint="eastAsia" w:ascii="宋体" w:hAnsi="宋体" w:eastAsia="宋体" w:cs="宋体"/>
          <w:b/>
          <w:kern w:val="0"/>
          <w:sz w:val="24"/>
          <w:szCs w:val="24"/>
          <w:lang w:val="zh-CN"/>
        </w:rPr>
        <w:t>章）</w:t>
      </w:r>
    </w:p>
    <w:p w14:paraId="26A354FE">
      <w:pPr>
        <w:pageBreakBefore w:val="0"/>
        <w:kinsoku/>
        <w:wordWrap/>
        <w:overflowPunct/>
        <w:topLinePunct w:val="0"/>
        <w:autoSpaceDE/>
        <w:autoSpaceDN/>
        <w:bidi w:val="0"/>
        <w:snapToGrid/>
        <w:spacing w:line="360" w:lineRule="auto"/>
        <w:textAlignment w:val="auto"/>
        <w:rPr>
          <w:rFonts w:hint="eastAsia" w:ascii="宋体" w:hAnsi="宋体" w:eastAsia="宋体" w:cs="宋体"/>
        </w:rPr>
      </w:pPr>
      <w:r>
        <w:rPr>
          <w:rFonts w:hint="eastAsia" w:ascii="宋体" w:hAnsi="宋体" w:eastAsia="宋体" w:cs="宋体"/>
        </w:rPr>
        <w:t>注：上表中投标报价人员工资不得低于南通市最低工资标准，若被评委评审低于标准则按无效投标处理，如有优惠报价不得低于按照南通市最低工资标准算出的总价（请投标单位慎重报价），且一旦中标不因南通市最低工资标准的调整而调整该合同价格，且整个服务的标段期间，中标方不得低于南通市最低工资标准发放员工工资。（投标人可根据此表进行扩展或适当调整。）</w:t>
      </w:r>
    </w:p>
    <w:p w14:paraId="27803C5D">
      <w:pPr>
        <w:pStyle w:val="2"/>
        <w:pageBreakBefore w:val="0"/>
        <w:kinsoku/>
        <w:wordWrap/>
        <w:overflowPunct/>
        <w:topLinePunct w:val="0"/>
        <w:autoSpaceDE/>
        <w:autoSpaceDN/>
        <w:bidi w:val="0"/>
        <w:snapToGrid/>
        <w:spacing w:after="0" w:line="360" w:lineRule="auto"/>
        <w:ind w:firstLine="240"/>
        <w:textAlignment w:val="auto"/>
        <w:rPr>
          <w:rFonts w:hint="eastAsia" w:ascii="宋体" w:hAnsi="宋体" w:eastAsia="宋体" w:cs="宋体"/>
          <w:lang w:bidi="zh-CN"/>
        </w:rPr>
      </w:pPr>
    </w:p>
    <w:p w14:paraId="77BD8B10">
      <w:pPr>
        <w:pStyle w:val="2"/>
        <w:pageBreakBefore w:val="0"/>
        <w:kinsoku/>
        <w:wordWrap/>
        <w:overflowPunct/>
        <w:topLinePunct w:val="0"/>
        <w:autoSpaceDE/>
        <w:autoSpaceDN/>
        <w:bidi w:val="0"/>
        <w:snapToGrid/>
        <w:spacing w:after="0" w:line="360" w:lineRule="auto"/>
        <w:ind w:firstLine="240"/>
        <w:textAlignment w:val="auto"/>
        <w:rPr>
          <w:rFonts w:hint="eastAsia" w:ascii="宋体" w:hAnsi="宋体" w:eastAsia="宋体" w:cs="宋体"/>
          <w:lang w:bidi="zh-CN"/>
        </w:rPr>
      </w:pPr>
    </w:p>
    <w:p w14:paraId="3383BE6D">
      <w:pPr>
        <w:pageBreakBefore w:val="0"/>
        <w:kinsoku/>
        <w:wordWrap/>
        <w:overflowPunct/>
        <w:topLinePunct w:val="0"/>
        <w:autoSpaceDE/>
        <w:autoSpaceDN/>
        <w:bidi w:val="0"/>
        <w:snapToGrid/>
        <w:spacing w:line="360" w:lineRule="auto"/>
        <w:textAlignment w:val="auto"/>
        <w:outlineLvl w:val="0"/>
        <w:rPr>
          <w:rFonts w:hint="eastAsia" w:ascii="宋体" w:hAnsi="宋体" w:eastAsia="宋体" w:cs="宋体"/>
          <w:sz w:val="32"/>
          <w:szCs w:val="32"/>
          <w:lang w:eastAsia="zh-CN"/>
        </w:rPr>
      </w:pPr>
      <w:r>
        <w:rPr>
          <w:rFonts w:hint="eastAsia" w:ascii="宋体" w:hAnsi="宋体" w:eastAsia="宋体" w:cs="宋体"/>
          <w:sz w:val="32"/>
          <w:szCs w:val="32"/>
        </w:rPr>
        <w:t>附件1</w:t>
      </w:r>
      <w:r>
        <w:rPr>
          <w:rFonts w:hint="eastAsia" w:ascii="宋体" w:hAnsi="宋体" w:eastAsia="宋体" w:cs="宋体"/>
          <w:sz w:val="32"/>
          <w:szCs w:val="32"/>
          <w:lang w:val="en-US" w:eastAsia="zh-CN"/>
        </w:rPr>
        <w:t>5</w:t>
      </w:r>
    </w:p>
    <w:p w14:paraId="1A4916B4">
      <w:pPr>
        <w:pageBreakBefore w:val="0"/>
        <w:kinsoku/>
        <w:wordWrap/>
        <w:overflowPunct/>
        <w:topLinePunct w:val="0"/>
        <w:autoSpaceDE/>
        <w:autoSpaceDN/>
        <w:bidi w:val="0"/>
        <w:snapToGrid/>
        <w:spacing w:line="360" w:lineRule="auto"/>
        <w:jc w:val="center"/>
        <w:textAlignment w:val="auto"/>
        <w:rPr>
          <w:rFonts w:hint="eastAsia" w:ascii="宋体" w:hAnsi="宋体" w:eastAsia="宋体" w:cs="宋体"/>
          <w:bCs/>
          <w:sz w:val="44"/>
          <w:szCs w:val="44"/>
        </w:rPr>
      </w:pPr>
      <w:r>
        <w:rPr>
          <w:rFonts w:hint="eastAsia" w:ascii="宋体" w:hAnsi="宋体" w:eastAsia="宋体" w:cs="宋体"/>
          <w:bCs/>
          <w:sz w:val="32"/>
          <w:szCs w:val="32"/>
        </w:rPr>
        <w:t>质疑函范本</w:t>
      </w:r>
    </w:p>
    <w:p w14:paraId="47A9F011">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8"/>
          <w:szCs w:val="28"/>
        </w:rPr>
      </w:pPr>
      <w:r>
        <w:rPr>
          <w:rFonts w:hint="eastAsia" w:ascii="宋体" w:hAnsi="宋体" w:eastAsia="宋体" w:cs="宋体"/>
          <w:bCs/>
          <w:sz w:val="28"/>
          <w:szCs w:val="28"/>
        </w:rPr>
        <w:t>一、质疑供应商基本信息</w:t>
      </w:r>
    </w:p>
    <w:p w14:paraId="5DE4E27A">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质疑供应商：</w:t>
      </w:r>
    </w:p>
    <w:p w14:paraId="6DE827C1">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地址： 邮编：</w:t>
      </w:r>
    </w:p>
    <w:p w14:paraId="58FF4695">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联系人：联系电话：</w:t>
      </w:r>
    </w:p>
    <w:p w14:paraId="592330F2">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授权代表：</w:t>
      </w:r>
    </w:p>
    <w:p w14:paraId="6410211E">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联系电话：</w:t>
      </w:r>
    </w:p>
    <w:p w14:paraId="5728994B">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地址：邮编：</w:t>
      </w:r>
    </w:p>
    <w:p w14:paraId="787B18D0">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8"/>
          <w:szCs w:val="28"/>
        </w:rPr>
      </w:pPr>
      <w:r>
        <w:rPr>
          <w:rFonts w:hint="eastAsia" w:ascii="宋体" w:hAnsi="宋体" w:eastAsia="宋体" w:cs="宋体"/>
          <w:bCs/>
          <w:sz w:val="28"/>
          <w:szCs w:val="28"/>
        </w:rPr>
        <w:t>二、质疑项目基本情况</w:t>
      </w:r>
    </w:p>
    <w:p w14:paraId="28455559">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质疑项目的名称：</w:t>
      </w:r>
    </w:p>
    <w:p w14:paraId="0D1EFF8D">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质疑项目的编号：包号：</w:t>
      </w:r>
    </w:p>
    <w:p w14:paraId="21A19DF3">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采购人名称：</w:t>
      </w:r>
    </w:p>
    <w:p w14:paraId="7B0224CF">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采购文件获取日期：</w:t>
      </w:r>
    </w:p>
    <w:p w14:paraId="729C3B2F">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8"/>
          <w:szCs w:val="28"/>
        </w:rPr>
      </w:pPr>
      <w:r>
        <w:rPr>
          <w:rFonts w:hint="eastAsia" w:ascii="宋体" w:hAnsi="宋体" w:eastAsia="宋体" w:cs="宋体"/>
          <w:bCs/>
          <w:sz w:val="28"/>
          <w:szCs w:val="28"/>
        </w:rPr>
        <w:t>三、质疑事项具体内容</w:t>
      </w:r>
    </w:p>
    <w:p w14:paraId="798B551C">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质疑事项1：</w:t>
      </w:r>
    </w:p>
    <w:p w14:paraId="53B03447">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事实依据：</w:t>
      </w:r>
    </w:p>
    <w:p w14:paraId="1BA5FED1">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p>
    <w:p w14:paraId="32295A72">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法律依据：</w:t>
      </w:r>
    </w:p>
    <w:p w14:paraId="62D56E9D">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p>
    <w:p w14:paraId="113DE7B0">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质疑事项2</w:t>
      </w:r>
    </w:p>
    <w:p w14:paraId="18F41AAA">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w:t>
      </w:r>
    </w:p>
    <w:p w14:paraId="17DB30EA">
      <w:pPr>
        <w:pageBreakBefore w:val="0"/>
        <w:kinsoku/>
        <w:wordWrap/>
        <w:overflowPunct/>
        <w:topLinePunct w:val="0"/>
        <w:autoSpaceDE/>
        <w:autoSpaceDN/>
        <w:bidi w:val="0"/>
        <w:snapToGrid/>
        <w:spacing w:line="360" w:lineRule="auto"/>
        <w:textAlignment w:val="auto"/>
        <w:rPr>
          <w:rFonts w:hint="eastAsia" w:ascii="宋体" w:hAnsi="宋体" w:eastAsia="宋体" w:cs="宋体"/>
          <w:bCs/>
          <w:sz w:val="28"/>
          <w:szCs w:val="28"/>
        </w:rPr>
      </w:pPr>
      <w:r>
        <w:rPr>
          <w:rFonts w:hint="eastAsia" w:ascii="宋体" w:hAnsi="宋体" w:eastAsia="宋体" w:cs="宋体"/>
          <w:bCs/>
          <w:sz w:val="28"/>
          <w:szCs w:val="28"/>
        </w:rPr>
        <w:t>四、与质疑事项相关的质疑请求</w:t>
      </w:r>
    </w:p>
    <w:p w14:paraId="5089F092">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u w:val="single"/>
        </w:rPr>
      </w:pPr>
      <w:r>
        <w:rPr>
          <w:rFonts w:hint="eastAsia" w:ascii="宋体" w:hAnsi="宋体" w:eastAsia="宋体" w:cs="宋体"/>
          <w:sz w:val="28"/>
          <w:szCs w:val="28"/>
        </w:rPr>
        <w:t>请求：</w:t>
      </w:r>
    </w:p>
    <w:p w14:paraId="14935767">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 xml:space="preserve">签字(签章)：                   公章：                      </w:t>
      </w:r>
    </w:p>
    <w:p w14:paraId="045F74A8">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 xml:space="preserve">日期：    </w:t>
      </w:r>
    </w:p>
    <w:p w14:paraId="42DD8308">
      <w:pPr>
        <w:pageBreakBefore w:val="0"/>
        <w:kinsoku/>
        <w:wordWrap/>
        <w:overflowPunct/>
        <w:topLinePunct w:val="0"/>
        <w:autoSpaceDE/>
        <w:autoSpaceDN/>
        <w:bidi w:val="0"/>
        <w:snapToGrid/>
        <w:spacing w:line="360" w:lineRule="auto"/>
        <w:textAlignment w:val="auto"/>
        <w:rPr>
          <w:rFonts w:hint="eastAsia" w:ascii="宋体" w:hAnsi="宋体" w:eastAsia="宋体" w:cs="宋体"/>
          <w:sz w:val="28"/>
          <w:szCs w:val="28"/>
        </w:rPr>
      </w:pPr>
    </w:p>
    <w:p w14:paraId="5111C795">
      <w:pPr>
        <w:pageBreakBefore w:val="0"/>
        <w:kinsoku/>
        <w:wordWrap/>
        <w:overflowPunct/>
        <w:topLinePunct w:val="0"/>
        <w:autoSpaceDE/>
        <w:autoSpaceDN/>
        <w:bidi w:val="0"/>
        <w:snapToGrid/>
        <w:spacing w:line="360" w:lineRule="auto"/>
        <w:textAlignment w:val="auto"/>
        <w:rPr>
          <w:rFonts w:hint="eastAsia" w:ascii="宋体" w:hAnsi="宋体" w:eastAsia="宋体" w:cs="宋体"/>
          <w:b/>
          <w:sz w:val="28"/>
          <w:szCs w:val="28"/>
        </w:rPr>
      </w:pPr>
    </w:p>
    <w:p w14:paraId="5275856A">
      <w:pPr>
        <w:pageBreakBefore w:val="0"/>
        <w:kinsoku/>
        <w:wordWrap/>
        <w:overflowPunct/>
        <w:topLinePunct w:val="0"/>
        <w:autoSpaceDE/>
        <w:autoSpaceDN/>
        <w:bidi w:val="0"/>
        <w:snapToGrid/>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rPr>
        <w:t>质疑函制作说明：</w:t>
      </w:r>
    </w:p>
    <w:p w14:paraId="55AB6834">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28"/>
          <w:szCs w:val="28"/>
        </w:rPr>
      </w:pPr>
      <w:r>
        <w:rPr>
          <w:rFonts w:hint="eastAsia" w:ascii="宋体" w:hAnsi="宋体" w:eastAsia="宋体" w:cs="宋体"/>
          <w:sz w:val="28"/>
          <w:szCs w:val="28"/>
        </w:rPr>
        <w:t>1.供应商提出质疑时，应提交质疑函和必要的证明材料。</w:t>
      </w:r>
    </w:p>
    <w:p w14:paraId="21B7CDF2">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28"/>
          <w:szCs w:val="28"/>
        </w:rPr>
      </w:pPr>
      <w:r>
        <w:rPr>
          <w:rFonts w:hint="eastAsia" w:ascii="宋体" w:hAnsi="宋体" w:eastAsia="宋体" w:cs="宋体"/>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2E7F789">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28"/>
          <w:szCs w:val="28"/>
        </w:rPr>
      </w:pPr>
      <w:r>
        <w:rPr>
          <w:rFonts w:hint="eastAsia" w:ascii="宋体" w:hAnsi="宋体" w:eastAsia="宋体" w:cs="宋体"/>
          <w:sz w:val="28"/>
          <w:szCs w:val="28"/>
        </w:rPr>
        <w:t>3.质疑供应商若对项目的某一分包进行质疑，质疑函中应列明具体分包号。</w:t>
      </w:r>
    </w:p>
    <w:p w14:paraId="6E997F10">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28"/>
          <w:szCs w:val="28"/>
        </w:rPr>
      </w:pPr>
      <w:r>
        <w:rPr>
          <w:rFonts w:hint="eastAsia" w:ascii="宋体" w:hAnsi="宋体" w:eastAsia="宋体" w:cs="宋体"/>
          <w:sz w:val="28"/>
          <w:szCs w:val="28"/>
        </w:rPr>
        <w:t>4.质疑函的质疑事项应具体、明确，并有必要的事实依据和法律依据。</w:t>
      </w:r>
    </w:p>
    <w:p w14:paraId="7826465A">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28"/>
          <w:szCs w:val="28"/>
        </w:rPr>
      </w:pPr>
      <w:r>
        <w:rPr>
          <w:rFonts w:hint="eastAsia" w:ascii="宋体" w:hAnsi="宋体" w:eastAsia="宋体" w:cs="宋体"/>
          <w:sz w:val="28"/>
          <w:szCs w:val="28"/>
        </w:rPr>
        <w:t>5.质疑函的质疑请求应与质疑事项相关。</w:t>
      </w:r>
    </w:p>
    <w:p w14:paraId="3C083C70">
      <w:pPr>
        <w:pageBreakBefore w:val="0"/>
        <w:widowControl/>
        <w:kinsoku/>
        <w:wordWrap/>
        <w:overflowPunct/>
        <w:topLinePunct w:val="0"/>
        <w:autoSpaceDE/>
        <w:autoSpaceDN/>
        <w:bidi w:val="0"/>
        <w:snapToGrid/>
        <w:spacing w:line="360" w:lineRule="auto"/>
        <w:ind w:firstLine="640"/>
        <w:jc w:val="left"/>
        <w:textAlignment w:val="auto"/>
        <w:rPr>
          <w:rFonts w:hint="eastAsia" w:ascii="宋体" w:hAnsi="宋体" w:eastAsia="宋体" w:cs="宋体"/>
          <w:sz w:val="32"/>
          <w:szCs w:val="32"/>
        </w:rPr>
      </w:pPr>
      <w:r>
        <w:rPr>
          <w:rFonts w:hint="eastAsia" w:ascii="宋体" w:hAnsi="宋体" w:eastAsia="宋体" w:cs="宋体"/>
          <w:sz w:val="28"/>
          <w:szCs w:val="28"/>
        </w:rPr>
        <w:t>6.质疑供应商为自然人的，质疑函应由本人签字；质疑供应商为法人或者其他组织的，质疑函应由法定代表人、主要负责人，或者其授权代表签字或者盖章，并加盖公章。</w:t>
      </w:r>
    </w:p>
    <w:sectPr>
      <w:headerReference r:id="rId6" w:type="default"/>
      <w:pgSz w:w="11906" w:h="16838"/>
      <w:pgMar w:top="1134" w:right="1134" w:bottom="1134" w:left="1134" w:header="851" w:footer="992" w:gutter="0"/>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Impact">
    <w:panose1 w:val="020B080603090205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9CEEC">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894539">
                          <w:pPr>
                            <w:pStyle w:val="16"/>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14:paraId="56894539">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3326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B8E78F">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Kt6MsBAACcAwAADgAAAGRycy9lMm9Eb2MueG1srVNLbtswEN0XyB0I&#10;7mPKWrSG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CrejLAQAAnAMAAA4AAAAAAAAAAQAgAAAAHgEAAGRycy9lMm9E&#10;b2MueG1sUEsFBgAAAAAGAAYAWQEAAFsFAAAAAA==&#10;">
              <v:fill on="f" focussize="0,0"/>
              <v:stroke on="f"/>
              <v:imagedata o:title=""/>
              <o:lock v:ext="edit" aspectratio="f"/>
              <v:textbox inset="0mm,0mm,0mm,0mm" style="mso-fit-shape-to-text:t;">
                <w:txbxContent>
                  <w:p w14:paraId="02B8E78F">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E1A05">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3320F">
    <w:pPr>
      <w:pStyle w:val="24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4E228C"/>
    <w:multiLevelType w:val="multilevel"/>
    <w:tmpl w:val="4C4E228C"/>
    <w:lvl w:ilvl="0" w:tentative="0">
      <w:start w:val="6"/>
      <w:numFmt w:val="chineseCounting"/>
      <w:pStyle w:val="464"/>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3,4"/>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24e7ce24-7241-4513-88b9-723ddd641a71"/>
  </w:docVars>
  <w:rsids>
    <w:rsidRoot w:val="00144AAA"/>
    <w:rsid w:val="000B23C9"/>
    <w:rsid w:val="00122EB7"/>
    <w:rsid w:val="00144AAA"/>
    <w:rsid w:val="001F4D50"/>
    <w:rsid w:val="002831C3"/>
    <w:rsid w:val="005B3C63"/>
    <w:rsid w:val="0063401B"/>
    <w:rsid w:val="00AA2E13"/>
    <w:rsid w:val="020B1C2B"/>
    <w:rsid w:val="02F72AEC"/>
    <w:rsid w:val="04956ECC"/>
    <w:rsid w:val="0768220B"/>
    <w:rsid w:val="0F413464"/>
    <w:rsid w:val="11966221"/>
    <w:rsid w:val="137D4E72"/>
    <w:rsid w:val="14052B99"/>
    <w:rsid w:val="15E622AE"/>
    <w:rsid w:val="17A961D4"/>
    <w:rsid w:val="17F13B56"/>
    <w:rsid w:val="194F228A"/>
    <w:rsid w:val="19A64A85"/>
    <w:rsid w:val="19EC2827"/>
    <w:rsid w:val="1BDA39E6"/>
    <w:rsid w:val="1C4F189B"/>
    <w:rsid w:val="207275CA"/>
    <w:rsid w:val="2237609D"/>
    <w:rsid w:val="28DB24D6"/>
    <w:rsid w:val="2A41271B"/>
    <w:rsid w:val="2B0875A6"/>
    <w:rsid w:val="2B1D6AE9"/>
    <w:rsid w:val="2D915768"/>
    <w:rsid w:val="2E6D4270"/>
    <w:rsid w:val="2E8F0D4A"/>
    <w:rsid w:val="2F477220"/>
    <w:rsid w:val="30A74AA5"/>
    <w:rsid w:val="3138414C"/>
    <w:rsid w:val="317038E6"/>
    <w:rsid w:val="32553A33"/>
    <w:rsid w:val="35906B4C"/>
    <w:rsid w:val="396C0E37"/>
    <w:rsid w:val="3EE65ED1"/>
    <w:rsid w:val="41AB7285"/>
    <w:rsid w:val="42383FAC"/>
    <w:rsid w:val="438B60D3"/>
    <w:rsid w:val="44366C11"/>
    <w:rsid w:val="44427364"/>
    <w:rsid w:val="454809AA"/>
    <w:rsid w:val="47631ACB"/>
    <w:rsid w:val="488D56D5"/>
    <w:rsid w:val="491F5EC6"/>
    <w:rsid w:val="4AC141D5"/>
    <w:rsid w:val="4E6D3230"/>
    <w:rsid w:val="4F60152C"/>
    <w:rsid w:val="50812371"/>
    <w:rsid w:val="535D7F7D"/>
    <w:rsid w:val="5BF46D3E"/>
    <w:rsid w:val="5C0C4E98"/>
    <w:rsid w:val="60285C26"/>
    <w:rsid w:val="62AC3ECF"/>
    <w:rsid w:val="632D70E9"/>
    <w:rsid w:val="6440313E"/>
    <w:rsid w:val="64E84E8D"/>
    <w:rsid w:val="65130235"/>
    <w:rsid w:val="659F41BF"/>
    <w:rsid w:val="666845B1"/>
    <w:rsid w:val="66C324AA"/>
    <w:rsid w:val="68307350"/>
    <w:rsid w:val="6E415A81"/>
    <w:rsid w:val="70622071"/>
    <w:rsid w:val="70CA3E8B"/>
    <w:rsid w:val="720D7E08"/>
    <w:rsid w:val="75887B30"/>
    <w:rsid w:val="78D02DFD"/>
    <w:rsid w:val="78F9378E"/>
    <w:rsid w:val="794C090D"/>
    <w:rsid w:val="7A1A2A57"/>
    <w:rsid w:val="7A7E0416"/>
    <w:rsid w:val="7AF35A5A"/>
    <w:rsid w:val="7CAC2D59"/>
    <w:rsid w:val="7D7635FF"/>
    <w:rsid w:val="7DE60C71"/>
    <w:rsid w:val="7E762BF0"/>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8"/>
    <w:basedOn w:val="1"/>
    <w:next w:val="1"/>
    <w:link w:val="479"/>
    <w:qFormat/>
    <w:uiPriority w:val="0"/>
    <w:pPr>
      <w:keepNext/>
      <w:keepLines/>
      <w:spacing w:before="240" w:after="64" w:line="320" w:lineRule="auto"/>
      <w:outlineLvl w:val="7"/>
    </w:pPr>
    <w:rPr>
      <w:rFonts w:ascii="Arial" w:hAnsi="Arial" w:eastAsia="黑体"/>
      <w:sz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
    <w:basedOn w:val="3"/>
    <w:link w:val="207"/>
    <w:qFormat/>
    <w:uiPriority w:val="0"/>
    <w:pPr>
      <w:spacing w:after="120"/>
      <w:ind w:firstLine="420"/>
    </w:pPr>
    <w:rPr>
      <w:rFonts w:ascii="Times New Roman" w:eastAsia="宋体"/>
      <w:szCs w:val="24"/>
    </w:rPr>
  </w:style>
  <w:style w:type="paragraph" w:customStyle="1" w:styleId="3">
    <w:name w:val="正文文本11"/>
    <w:basedOn w:val="1"/>
    <w:next w:val="1"/>
    <w:link w:val="206"/>
    <w:qFormat/>
    <w:uiPriority w:val="0"/>
    <w:rPr>
      <w:rFonts w:ascii="仿宋_GB2312" w:eastAsia="仿宋_GB2312"/>
      <w:sz w:val="24"/>
      <w:szCs w:val="20"/>
    </w:rPr>
  </w:style>
  <w:style w:type="paragraph" w:styleId="5">
    <w:name w:val="toc 7"/>
    <w:basedOn w:val="1"/>
    <w:next w:val="1"/>
    <w:unhideWhenUsed/>
    <w:qFormat/>
    <w:uiPriority w:val="39"/>
    <w:pPr>
      <w:spacing w:after="57"/>
      <w:ind w:left="1701"/>
    </w:pPr>
  </w:style>
  <w:style w:type="paragraph" w:styleId="6">
    <w:name w:val="Normal Indent"/>
    <w:basedOn w:val="1"/>
    <w:qFormat/>
    <w:uiPriority w:val="0"/>
    <w:pPr>
      <w:ind w:firstLine="420"/>
    </w:pPr>
    <w:rPr>
      <w:sz w:val="20"/>
      <w:szCs w:val="20"/>
    </w:rPr>
  </w:style>
  <w:style w:type="paragraph" w:styleId="7">
    <w:name w:val="annotation text"/>
    <w:basedOn w:val="1"/>
    <w:semiHidden/>
    <w:unhideWhenUsed/>
    <w:qFormat/>
    <w:uiPriority w:val="99"/>
    <w:pPr>
      <w:jc w:val="left"/>
    </w:pPr>
  </w:style>
  <w:style w:type="paragraph" w:styleId="8">
    <w:name w:val="Body Text"/>
    <w:basedOn w:val="1"/>
    <w:next w:val="1"/>
    <w:qFormat/>
    <w:uiPriority w:val="99"/>
    <w:rPr>
      <w:rFonts w:ascii="仿宋_GB2312" w:eastAsia="仿宋_GB2312"/>
      <w:sz w:val="24"/>
      <w:szCs w:val="20"/>
    </w:rPr>
  </w:style>
  <w:style w:type="paragraph" w:styleId="9">
    <w:name w:val="Body Text Indent"/>
    <w:basedOn w:val="1"/>
    <w:next w:val="10"/>
    <w:qFormat/>
    <w:uiPriority w:val="0"/>
    <w:pPr>
      <w:spacing w:line="360" w:lineRule="auto"/>
      <w:ind w:firstLine="420"/>
    </w:pPr>
    <w:rPr>
      <w:rFonts w:ascii="宋体"/>
      <w:sz w:val="24"/>
    </w:rPr>
  </w:style>
  <w:style w:type="paragraph" w:styleId="10">
    <w:name w:val="envelope return"/>
    <w:basedOn w:val="1"/>
    <w:unhideWhenUsed/>
    <w:qFormat/>
    <w:uiPriority w:val="99"/>
    <w:rPr>
      <w:rFonts w:ascii="Arial" w:hAnsi="Arial"/>
    </w:rPr>
  </w:style>
  <w:style w:type="paragraph" w:styleId="11">
    <w:name w:val="toc 5"/>
    <w:basedOn w:val="1"/>
    <w:next w:val="1"/>
    <w:unhideWhenUsed/>
    <w:qFormat/>
    <w:uiPriority w:val="39"/>
    <w:pPr>
      <w:spacing w:after="57"/>
      <w:ind w:left="1134"/>
    </w:pPr>
  </w:style>
  <w:style w:type="paragraph" w:styleId="12">
    <w:name w:val="toc 3"/>
    <w:basedOn w:val="1"/>
    <w:next w:val="1"/>
    <w:unhideWhenUsed/>
    <w:qFormat/>
    <w:uiPriority w:val="39"/>
    <w:pPr>
      <w:spacing w:after="57"/>
      <w:ind w:left="567"/>
    </w:pPr>
  </w:style>
  <w:style w:type="paragraph" w:styleId="13">
    <w:name w:val="Plain Text"/>
    <w:basedOn w:val="1"/>
    <w:qFormat/>
    <w:uiPriority w:val="0"/>
    <w:rPr>
      <w:rFonts w:ascii="宋体" w:hAnsi="Courier New"/>
      <w:sz w:val="28"/>
    </w:rPr>
  </w:style>
  <w:style w:type="paragraph" w:styleId="14">
    <w:name w:val="toc 8"/>
    <w:basedOn w:val="1"/>
    <w:next w:val="1"/>
    <w:unhideWhenUsed/>
    <w:qFormat/>
    <w:uiPriority w:val="39"/>
    <w:pPr>
      <w:spacing w:after="57"/>
      <w:ind w:left="1984"/>
    </w:pPr>
  </w:style>
  <w:style w:type="paragraph" w:styleId="15">
    <w:name w:val="endnote text"/>
    <w:basedOn w:val="1"/>
    <w:link w:val="192"/>
    <w:semiHidden/>
    <w:unhideWhenUsed/>
    <w:qFormat/>
    <w:uiPriority w:val="99"/>
    <w:rPr>
      <w:sz w:val="20"/>
    </w:rPr>
  </w:style>
  <w:style w:type="paragraph" w:styleId="16">
    <w:name w:val="footer"/>
    <w:basedOn w:val="1"/>
    <w:link w:val="478"/>
    <w:semiHidden/>
    <w:unhideWhenUsed/>
    <w:qFormat/>
    <w:uiPriority w:val="99"/>
    <w:pPr>
      <w:tabs>
        <w:tab w:val="center" w:pos="4153"/>
        <w:tab w:val="right" w:pos="8306"/>
      </w:tabs>
      <w:snapToGrid w:val="0"/>
      <w:jc w:val="left"/>
    </w:pPr>
    <w:rPr>
      <w:sz w:val="18"/>
      <w:szCs w:val="18"/>
    </w:rPr>
  </w:style>
  <w:style w:type="paragraph" w:styleId="17">
    <w:name w:val="header"/>
    <w:basedOn w:val="1"/>
    <w:link w:val="47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after="57"/>
    </w:pPr>
  </w:style>
  <w:style w:type="paragraph" w:styleId="19">
    <w:name w:val="toc 4"/>
    <w:basedOn w:val="1"/>
    <w:next w:val="1"/>
    <w:unhideWhenUsed/>
    <w:qFormat/>
    <w:uiPriority w:val="39"/>
    <w:pPr>
      <w:spacing w:after="57"/>
      <w:ind w:left="850"/>
    </w:pPr>
  </w:style>
  <w:style w:type="paragraph" w:styleId="20">
    <w:name w:val="Subtitle"/>
    <w:basedOn w:val="1"/>
    <w:next w:val="1"/>
    <w:link w:val="58"/>
    <w:qFormat/>
    <w:uiPriority w:val="11"/>
    <w:pPr>
      <w:spacing w:before="200" w:after="200"/>
    </w:pPr>
    <w:rPr>
      <w:sz w:val="24"/>
    </w:rPr>
  </w:style>
  <w:style w:type="paragraph" w:styleId="21">
    <w:name w:val="footnote text"/>
    <w:basedOn w:val="1"/>
    <w:link w:val="191"/>
    <w:semiHidden/>
    <w:unhideWhenUsed/>
    <w:qFormat/>
    <w:uiPriority w:val="99"/>
    <w:pPr>
      <w:spacing w:after="40"/>
    </w:pPr>
    <w:rPr>
      <w:sz w:val="18"/>
    </w:rPr>
  </w:style>
  <w:style w:type="paragraph" w:styleId="22">
    <w:name w:val="toc 6"/>
    <w:basedOn w:val="1"/>
    <w:next w:val="1"/>
    <w:unhideWhenUsed/>
    <w:qFormat/>
    <w:uiPriority w:val="39"/>
    <w:pPr>
      <w:spacing w:after="57"/>
      <w:ind w:left="1417"/>
    </w:pPr>
  </w:style>
  <w:style w:type="paragraph" w:styleId="23">
    <w:name w:val="table of figures"/>
    <w:basedOn w:val="1"/>
    <w:next w:val="1"/>
    <w:unhideWhenUsed/>
    <w:qFormat/>
    <w:uiPriority w:val="99"/>
  </w:style>
  <w:style w:type="paragraph" w:styleId="24">
    <w:name w:val="toc 2"/>
    <w:basedOn w:val="1"/>
    <w:next w:val="1"/>
    <w:unhideWhenUsed/>
    <w:qFormat/>
    <w:uiPriority w:val="39"/>
    <w:pPr>
      <w:spacing w:after="57"/>
      <w:ind w:left="283"/>
    </w:pPr>
  </w:style>
  <w:style w:type="paragraph" w:styleId="25">
    <w:name w:val="toc 9"/>
    <w:basedOn w:val="1"/>
    <w:next w:val="1"/>
    <w:unhideWhenUsed/>
    <w:qFormat/>
    <w:uiPriority w:val="39"/>
    <w:pPr>
      <w:spacing w:after="57"/>
      <w:ind w:left="2268"/>
    </w:pPr>
  </w:style>
  <w:style w:type="paragraph" w:styleId="26">
    <w:name w:val="Title"/>
    <w:basedOn w:val="1"/>
    <w:next w:val="1"/>
    <w:link w:val="57"/>
    <w:qFormat/>
    <w:uiPriority w:val="10"/>
    <w:pPr>
      <w:spacing w:before="300" w:after="200"/>
      <w:contextualSpacing/>
    </w:pPr>
    <w:rPr>
      <w:sz w:val="48"/>
      <w:szCs w:val="48"/>
    </w:rPr>
  </w:style>
  <w:style w:type="paragraph" w:styleId="27">
    <w:name w:val="Body Text First Indent"/>
    <w:basedOn w:val="8"/>
    <w:qFormat/>
    <w:uiPriority w:val="0"/>
    <w:pPr>
      <w:spacing w:after="120"/>
      <w:ind w:firstLine="420"/>
    </w:pPr>
    <w:rPr>
      <w:rFonts w:ascii="Times New Roman" w:eastAsia="宋体"/>
      <w:szCs w:val="24"/>
    </w:rPr>
  </w:style>
  <w:style w:type="paragraph" w:styleId="28">
    <w:name w:val="Body Text First Indent 2"/>
    <w:basedOn w:val="9"/>
    <w:unhideWhenUsed/>
    <w:qFormat/>
    <w:uiPriority w:val="99"/>
    <w:pPr>
      <w:spacing w:after="120"/>
      <w:ind w:firstLine="200"/>
    </w:p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customStyle="1" w:styleId="36">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customStyle="1" w:styleId="37">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customStyle="1" w:styleId="38">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customStyle="1" w:styleId="39">
    <w:name w:val="Heading 5"/>
    <w:basedOn w:val="1"/>
    <w:next w:val="1"/>
    <w:link w:val="51"/>
    <w:unhideWhenUsed/>
    <w:qFormat/>
    <w:uiPriority w:val="9"/>
    <w:pPr>
      <w:keepNext/>
      <w:keepLines/>
      <w:spacing w:before="320" w:after="200"/>
      <w:outlineLvl w:val="4"/>
    </w:pPr>
    <w:rPr>
      <w:rFonts w:ascii="Arial" w:hAnsi="Arial" w:eastAsia="Arial" w:cs="Arial"/>
      <w:b/>
      <w:bCs/>
      <w:sz w:val="24"/>
    </w:rPr>
  </w:style>
  <w:style w:type="paragraph" w:customStyle="1" w:styleId="40">
    <w:name w:val="Heading 6"/>
    <w:basedOn w:val="1"/>
    <w:next w:val="6"/>
    <w:link w:val="52"/>
    <w:unhideWhenUsed/>
    <w:qFormat/>
    <w:uiPriority w:val="9"/>
    <w:pPr>
      <w:keepNext/>
      <w:keepLines/>
      <w:spacing w:before="320" w:after="200"/>
      <w:outlineLvl w:val="5"/>
    </w:pPr>
    <w:rPr>
      <w:rFonts w:ascii="Arial" w:hAnsi="Arial" w:eastAsia="Arial" w:cs="Arial"/>
      <w:b/>
      <w:bCs/>
      <w:sz w:val="22"/>
      <w:szCs w:val="22"/>
    </w:rPr>
  </w:style>
  <w:style w:type="paragraph" w:customStyle="1" w:styleId="41">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2">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customStyle="1" w:styleId="43">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paragraph" w:customStyle="1" w:styleId="4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45">
    <w:name w:val="Footer"/>
    <w:basedOn w:val="1"/>
    <w:link w:val="65"/>
    <w:unhideWhenUsed/>
    <w:qFormat/>
    <w:uiPriority w:val="99"/>
    <w:pPr>
      <w:tabs>
        <w:tab w:val="center" w:pos="7143"/>
        <w:tab w:val="right" w:pos="14287"/>
      </w:tabs>
    </w:pPr>
  </w:style>
  <w:style w:type="paragraph" w:customStyle="1" w:styleId="46">
    <w:name w:val="Header"/>
    <w:basedOn w:val="1"/>
    <w:link w:val="63"/>
    <w:unhideWhenUsed/>
    <w:qFormat/>
    <w:uiPriority w:val="99"/>
    <w:pPr>
      <w:tabs>
        <w:tab w:val="center" w:pos="7143"/>
        <w:tab w:val="right" w:pos="14287"/>
      </w:tabs>
    </w:pPr>
  </w:style>
  <w:style w:type="character" w:customStyle="1" w:styleId="47">
    <w:name w:val="Heading 1 Char"/>
    <w:link w:val="35"/>
    <w:qFormat/>
    <w:uiPriority w:val="9"/>
    <w:rPr>
      <w:rFonts w:ascii="Arial" w:hAnsi="Arial" w:eastAsia="Arial" w:cs="Arial"/>
      <w:sz w:val="40"/>
      <w:szCs w:val="40"/>
    </w:rPr>
  </w:style>
  <w:style w:type="character" w:customStyle="1" w:styleId="48">
    <w:name w:val="Heading 2 Char"/>
    <w:link w:val="36"/>
    <w:qFormat/>
    <w:uiPriority w:val="9"/>
    <w:rPr>
      <w:rFonts w:ascii="Arial" w:hAnsi="Arial" w:eastAsia="Arial" w:cs="Arial"/>
      <w:sz w:val="34"/>
    </w:rPr>
  </w:style>
  <w:style w:type="character" w:customStyle="1" w:styleId="49">
    <w:name w:val="Heading 3 Char"/>
    <w:link w:val="37"/>
    <w:qFormat/>
    <w:uiPriority w:val="9"/>
    <w:rPr>
      <w:rFonts w:ascii="Arial" w:hAnsi="Arial" w:eastAsia="Arial" w:cs="Arial"/>
      <w:sz w:val="30"/>
      <w:szCs w:val="30"/>
    </w:rPr>
  </w:style>
  <w:style w:type="character" w:customStyle="1" w:styleId="50">
    <w:name w:val="Heading 4 Char"/>
    <w:link w:val="38"/>
    <w:qFormat/>
    <w:uiPriority w:val="9"/>
    <w:rPr>
      <w:rFonts w:ascii="Arial" w:hAnsi="Arial" w:eastAsia="Arial" w:cs="Arial"/>
      <w:b/>
      <w:bCs/>
      <w:sz w:val="26"/>
      <w:szCs w:val="26"/>
    </w:rPr>
  </w:style>
  <w:style w:type="character" w:customStyle="1" w:styleId="51">
    <w:name w:val="Heading 5 Char"/>
    <w:link w:val="39"/>
    <w:qFormat/>
    <w:uiPriority w:val="9"/>
    <w:rPr>
      <w:rFonts w:ascii="Arial" w:hAnsi="Arial" w:eastAsia="Arial" w:cs="Arial"/>
      <w:b/>
      <w:bCs/>
      <w:sz w:val="24"/>
      <w:szCs w:val="24"/>
    </w:rPr>
  </w:style>
  <w:style w:type="character" w:customStyle="1" w:styleId="52">
    <w:name w:val="Heading 6 Char"/>
    <w:link w:val="40"/>
    <w:qFormat/>
    <w:uiPriority w:val="9"/>
    <w:rPr>
      <w:rFonts w:ascii="Arial" w:hAnsi="Arial" w:eastAsia="Arial" w:cs="Arial"/>
      <w:b/>
      <w:bCs/>
      <w:sz w:val="22"/>
      <w:szCs w:val="22"/>
    </w:rPr>
  </w:style>
  <w:style w:type="character" w:customStyle="1" w:styleId="53">
    <w:name w:val="Heading 7 Char"/>
    <w:link w:val="41"/>
    <w:qFormat/>
    <w:uiPriority w:val="9"/>
    <w:rPr>
      <w:rFonts w:ascii="Arial" w:hAnsi="Arial" w:eastAsia="Arial" w:cs="Arial"/>
      <w:b/>
      <w:bCs/>
      <w:i/>
      <w:iCs/>
      <w:sz w:val="22"/>
      <w:szCs w:val="22"/>
    </w:rPr>
  </w:style>
  <w:style w:type="character" w:customStyle="1" w:styleId="54">
    <w:name w:val="Heading 8 Char"/>
    <w:link w:val="42"/>
    <w:qFormat/>
    <w:uiPriority w:val="9"/>
    <w:rPr>
      <w:rFonts w:ascii="Arial" w:hAnsi="Arial" w:eastAsia="Arial" w:cs="Arial"/>
      <w:i/>
      <w:iCs/>
      <w:sz w:val="22"/>
      <w:szCs w:val="22"/>
    </w:rPr>
  </w:style>
  <w:style w:type="character" w:customStyle="1" w:styleId="55">
    <w:name w:val="Heading 9 Char"/>
    <w:link w:val="43"/>
    <w:qFormat/>
    <w:uiPriority w:val="9"/>
    <w:rPr>
      <w:rFonts w:ascii="Arial" w:hAnsi="Arial" w:eastAsia="Arial" w:cs="Arial"/>
      <w:i/>
      <w:iCs/>
      <w:sz w:val="21"/>
      <w:szCs w:val="21"/>
    </w:r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Char3"/>
    <w:link w:val="26"/>
    <w:qFormat/>
    <w:uiPriority w:val="10"/>
    <w:rPr>
      <w:sz w:val="48"/>
      <w:szCs w:val="48"/>
    </w:rPr>
  </w:style>
  <w:style w:type="character" w:customStyle="1" w:styleId="58">
    <w:name w:val="副标题 Char3"/>
    <w:link w:val="2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4"/>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3"/>
    <w:link w:val="61"/>
    <w:qFormat/>
    <w:uiPriority w:val="30"/>
    <w:rPr>
      <w:i/>
    </w:rPr>
  </w:style>
  <w:style w:type="character" w:customStyle="1" w:styleId="63">
    <w:name w:val="Header Char"/>
    <w:link w:val="46"/>
    <w:qFormat/>
    <w:uiPriority w:val="99"/>
  </w:style>
  <w:style w:type="character" w:customStyle="1" w:styleId="64">
    <w:name w:val="Footer Char"/>
    <w:link w:val="45"/>
    <w:qFormat/>
    <w:uiPriority w:val="99"/>
  </w:style>
  <w:style w:type="character" w:customStyle="1" w:styleId="65">
    <w:name w:val="Caption Char"/>
    <w:link w:val="45"/>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3"/>
    <w:link w:val="21"/>
    <w:qFormat/>
    <w:uiPriority w:val="99"/>
    <w:rPr>
      <w:sz w:val="18"/>
    </w:rPr>
  </w:style>
  <w:style w:type="character" w:customStyle="1" w:styleId="192">
    <w:name w:val="尾注文本 Char"/>
    <w:link w:val="15"/>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8"/>
    <w:qFormat/>
    <w:uiPriority w:val="0"/>
    <w:pPr>
      <w:keepNext/>
      <w:keepLines/>
      <w:spacing w:before="340" w:after="330" w:line="578" w:lineRule="auto"/>
      <w:outlineLvl w:val="0"/>
    </w:pPr>
    <w:rPr>
      <w:b/>
      <w:bCs/>
      <w:sz w:val="44"/>
      <w:szCs w:val="44"/>
    </w:rPr>
  </w:style>
  <w:style w:type="paragraph" w:customStyle="1" w:styleId="195">
    <w:name w:val="标题 21"/>
    <w:basedOn w:val="1"/>
    <w:next w:val="1"/>
    <w:link w:val="209"/>
    <w:qFormat/>
    <w:uiPriority w:val="0"/>
    <w:pPr>
      <w:keepNext/>
      <w:keepLines/>
      <w:spacing w:before="260" w:after="260" w:line="416" w:lineRule="auto"/>
      <w:outlineLvl w:val="1"/>
    </w:pPr>
    <w:rPr>
      <w:rFonts w:ascii="Arial" w:hAnsi="Arial" w:eastAsia="黑体"/>
      <w:b/>
      <w:bCs/>
      <w:sz w:val="32"/>
      <w:szCs w:val="32"/>
    </w:rPr>
  </w:style>
  <w:style w:type="paragraph" w:customStyle="1" w:styleId="196">
    <w:name w:val="标题 31"/>
    <w:basedOn w:val="1"/>
    <w:next w:val="1"/>
    <w:link w:val="210"/>
    <w:qFormat/>
    <w:uiPriority w:val="0"/>
    <w:pPr>
      <w:keepNext/>
      <w:keepLines/>
      <w:spacing w:before="260" w:after="260" w:line="416" w:lineRule="auto"/>
      <w:outlineLvl w:val="2"/>
    </w:pPr>
    <w:rPr>
      <w:b/>
      <w:bCs/>
      <w:sz w:val="32"/>
      <w:szCs w:val="32"/>
    </w:rPr>
  </w:style>
  <w:style w:type="paragraph" w:customStyle="1" w:styleId="197">
    <w:name w:val="标题 41"/>
    <w:basedOn w:val="1"/>
    <w:next w:val="1"/>
    <w:link w:val="211"/>
    <w:qFormat/>
    <w:uiPriority w:val="0"/>
    <w:pPr>
      <w:keepNext/>
      <w:jc w:val="center"/>
      <w:outlineLvl w:val="3"/>
    </w:pPr>
    <w:rPr>
      <w:rFonts w:eastAsia="新宋体"/>
      <w:sz w:val="30"/>
      <w:szCs w:val="21"/>
    </w:rPr>
  </w:style>
  <w:style w:type="paragraph" w:customStyle="1" w:styleId="198">
    <w:name w:val="标题 51"/>
    <w:basedOn w:val="1"/>
    <w:next w:val="1"/>
    <w:link w:val="212"/>
    <w:qFormat/>
    <w:uiPriority w:val="0"/>
    <w:pPr>
      <w:keepNext/>
      <w:keepLines/>
      <w:spacing w:before="280" w:after="290" w:line="376" w:lineRule="auto"/>
      <w:outlineLvl w:val="4"/>
    </w:pPr>
    <w:rPr>
      <w:b/>
      <w:bCs/>
      <w:sz w:val="28"/>
      <w:szCs w:val="28"/>
    </w:rPr>
  </w:style>
  <w:style w:type="paragraph" w:customStyle="1" w:styleId="199">
    <w:name w:val="标题 61"/>
    <w:basedOn w:val="1"/>
    <w:next w:val="200"/>
    <w:link w:val="213"/>
    <w:qFormat/>
    <w:uiPriority w:val="0"/>
    <w:pPr>
      <w:keepNext/>
      <w:jc w:val="center"/>
      <w:outlineLvl w:val="5"/>
    </w:pPr>
    <w:rPr>
      <w:b/>
      <w:sz w:val="44"/>
      <w:szCs w:val="20"/>
    </w:rPr>
  </w:style>
  <w:style w:type="paragraph" w:customStyle="1" w:styleId="200">
    <w:name w:val="正文缩进1"/>
    <w:basedOn w:val="1"/>
    <w:link w:val="214"/>
    <w:qFormat/>
    <w:uiPriority w:val="0"/>
    <w:pPr>
      <w:ind w:firstLine="420"/>
    </w:pPr>
    <w:rPr>
      <w:sz w:val="20"/>
      <w:szCs w:val="20"/>
    </w:rPr>
  </w:style>
  <w:style w:type="paragraph" w:customStyle="1" w:styleId="201">
    <w:name w:val="标题 71"/>
    <w:basedOn w:val="1"/>
    <w:next w:val="1"/>
    <w:link w:val="215"/>
    <w:qFormat/>
    <w:uiPriority w:val="0"/>
    <w:pPr>
      <w:keepNext/>
      <w:keepLines/>
      <w:spacing w:before="240" w:after="64" w:line="320" w:lineRule="auto"/>
      <w:outlineLvl w:val="6"/>
    </w:pPr>
    <w:rPr>
      <w:b/>
      <w:bCs/>
      <w:sz w:val="24"/>
    </w:rPr>
  </w:style>
  <w:style w:type="paragraph" w:customStyle="1" w:styleId="202">
    <w:name w:val="标题 81"/>
    <w:basedOn w:val="1"/>
    <w:next w:val="1"/>
    <w:link w:val="216"/>
    <w:qFormat/>
    <w:uiPriority w:val="0"/>
    <w:pPr>
      <w:keepNext/>
      <w:keepLines/>
      <w:spacing w:before="240" w:after="64" w:line="320" w:lineRule="auto"/>
      <w:outlineLvl w:val="7"/>
    </w:pPr>
    <w:rPr>
      <w:rFonts w:ascii="Arial" w:hAnsi="Arial" w:eastAsia="黑体"/>
      <w:sz w:val="24"/>
    </w:rPr>
  </w:style>
  <w:style w:type="paragraph" w:customStyle="1" w:styleId="203">
    <w:name w:val="标题 91"/>
    <w:basedOn w:val="1"/>
    <w:next w:val="1"/>
    <w:link w:val="217"/>
    <w:qFormat/>
    <w:uiPriority w:val="0"/>
    <w:pPr>
      <w:keepNext/>
      <w:keepLines/>
      <w:spacing w:before="240" w:after="64" w:line="320" w:lineRule="auto"/>
      <w:outlineLvl w:val="8"/>
    </w:pPr>
    <w:rPr>
      <w:rFonts w:ascii="Arial" w:hAnsi="Arial" w:eastAsia="黑体"/>
      <w:sz w:val="24"/>
      <w:szCs w:val="21"/>
    </w:rPr>
  </w:style>
  <w:style w:type="character" w:customStyle="1" w:styleId="204">
    <w:name w:val="默认段落字体1"/>
    <w:qFormat/>
    <w:uiPriority w:val="0"/>
  </w:style>
  <w:style w:type="table" w:customStyle="1" w:styleId="205">
    <w:name w:val="普通表格1"/>
    <w:unhideWhenUsed/>
    <w:qFormat/>
    <w:uiPriority w:val="99"/>
    <w:tblPr>
      <w:tblCellMar>
        <w:top w:w="0" w:type="dxa"/>
        <w:left w:w="0" w:type="dxa"/>
        <w:bottom w:w="0" w:type="dxa"/>
        <w:right w:w="0" w:type="dxa"/>
      </w:tblCellMar>
    </w:tblPr>
  </w:style>
  <w:style w:type="character" w:customStyle="1" w:styleId="206">
    <w:name w:val="正文文本 Char"/>
    <w:link w:val="3"/>
    <w:qFormat/>
    <w:uiPriority w:val="0"/>
    <w:rPr>
      <w:rFonts w:ascii="仿宋_GB2312" w:hAnsi="Times New Roman" w:eastAsia="仿宋_GB2312" w:cs="Times New Roman"/>
      <w:sz w:val="24"/>
      <w:szCs w:val="20"/>
    </w:rPr>
  </w:style>
  <w:style w:type="character" w:customStyle="1" w:styleId="207">
    <w:name w:val="正文首行缩进 Char"/>
    <w:link w:val="2"/>
    <w:qFormat/>
    <w:uiPriority w:val="0"/>
    <w:rPr>
      <w:rFonts w:ascii="Times New Roman" w:hAnsi="Times New Roman" w:eastAsia="宋体" w:cs="Times New Roman"/>
      <w:sz w:val="24"/>
      <w:szCs w:val="24"/>
    </w:rPr>
  </w:style>
  <w:style w:type="character" w:customStyle="1" w:styleId="208">
    <w:name w:val="标题 1 Char"/>
    <w:link w:val="194"/>
    <w:qFormat/>
    <w:uiPriority w:val="0"/>
    <w:rPr>
      <w:rFonts w:ascii="Times New Roman" w:hAnsi="Times New Roman" w:eastAsia="宋体" w:cs="Times New Roman"/>
      <w:b/>
      <w:bCs/>
      <w:sz w:val="44"/>
      <w:szCs w:val="44"/>
    </w:rPr>
  </w:style>
  <w:style w:type="character" w:customStyle="1" w:styleId="209">
    <w:name w:val="标题 2 Char"/>
    <w:link w:val="195"/>
    <w:qFormat/>
    <w:uiPriority w:val="0"/>
    <w:rPr>
      <w:rFonts w:ascii="Arial" w:hAnsi="Arial" w:eastAsia="黑体" w:cs="Times New Roman"/>
      <w:b/>
      <w:bCs/>
      <w:sz w:val="32"/>
      <w:szCs w:val="32"/>
    </w:rPr>
  </w:style>
  <w:style w:type="character" w:customStyle="1" w:styleId="210">
    <w:name w:val="标题 3 Char"/>
    <w:link w:val="196"/>
    <w:qFormat/>
    <w:uiPriority w:val="0"/>
    <w:rPr>
      <w:rFonts w:ascii="Times New Roman" w:hAnsi="Times New Roman" w:eastAsia="宋体" w:cs="Times New Roman"/>
      <w:b/>
      <w:bCs/>
      <w:sz w:val="32"/>
      <w:szCs w:val="32"/>
    </w:rPr>
  </w:style>
  <w:style w:type="character" w:customStyle="1" w:styleId="211">
    <w:name w:val="标题 4 Char"/>
    <w:link w:val="197"/>
    <w:qFormat/>
    <w:uiPriority w:val="0"/>
    <w:rPr>
      <w:rFonts w:ascii="Times New Roman" w:hAnsi="Times New Roman" w:eastAsia="新宋体" w:cs="Times New Roman"/>
      <w:sz w:val="30"/>
      <w:szCs w:val="21"/>
    </w:rPr>
  </w:style>
  <w:style w:type="character" w:customStyle="1" w:styleId="212">
    <w:name w:val="标题 5 Char"/>
    <w:link w:val="198"/>
    <w:qFormat/>
    <w:uiPriority w:val="0"/>
    <w:rPr>
      <w:rFonts w:ascii="Times New Roman" w:hAnsi="Times New Roman" w:eastAsia="宋体" w:cs="Times New Roman"/>
      <w:b/>
      <w:bCs/>
      <w:sz w:val="28"/>
      <w:szCs w:val="28"/>
    </w:rPr>
  </w:style>
  <w:style w:type="character" w:customStyle="1" w:styleId="213">
    <w:name w:val="标题 6 Char"/>
    <w:link w:val="199"/>
    <w:qFormat/>
    <w:uiPriority w:val="0"/>
    <w:rPr>
      <w:rFonts w:ascii="Times New Roman" w:hAnsi="Times New Roman" w:eastAsia="宋体" w:cs="Times New Roman"/>
      <w:b/>
      <w:sz w:val="44"/>
      <w:szCs w:val="20"/>
    </w:rPr>
  </w:style>
  <w:style w:type="character" w:customStyle="1" w:styleId="214">
    <w:name w:val="正文缩进 Char"/>
    <w:link w:val="200"/>
    <w:qFormat/>
    <w:uiPriority w:val="0"/>
    <w:rPr>
      <w:rFonts w:ascii="Times New Roman" w:hAnsi="Times New Roman" w:eastAsia="宋体" w:cs="Times New Roman"/>
      <w:sz w:val="20"/>
      <w:szCs w:val="20"/>
    </w:rPr>
  </w:style>
  <w:style w:type="character" w:customStyle="1" w:styleId="215">
    <w:name w:val="标题 7 Char"/>
    <w:link w:val="201"/>
    <w:qFormat/>
    <w:uiPriority w:val="0"/>
    <w:rPr>
      <w:rFonts w:ascii="Times New Roman" w:hAnsi="Times New Roman" w:eastAsia="宋体" w:cs="Times New Roman"/>
      <w:b/>
      <w:bCs/>
      <w:sz w:val="24"/>
      <w:szCs w:val="24"/>
    </w:rPr>
  </w:style>
  <w:style w:type="character" w:customStyle="1" w:styleId="216">
    <w:name w:val="标题 8 Char"/>
    <w:link w:val="202"/>
    <w:qFormat/>
    <w:uiPriority w:val="0"/>
    <w:rPr>
      <w:rFonts w:ascii="Arial" w:hAnsi="Arial" w:eastAsia="黑体" w:cs="Times New Roman"/>
      <w:sz w:val="24"/>
      <w:szCs w:val="24"/>
    </w:rPr>
  </w:style>
  <w:style w:type="character" w:customStyle="1" w:styleId="217">
    <w:name w:val="标题 9 Char"/>
    <w:link w:val="203"/>
    <w:qFormat/>
    <w:uiPriority w:val="0"/>
    <w:rPr>
      <w:rFonts w:ascii="Arial" w:hAnsi="Arial" w:eastAsia="黑体" w:cs="Times New Roman"/>
      <w:sz w:val="24"/>
      <w:szCs w:val="21"/>
    </w:rPr>
  </w:style>
  <w:style w:type="paragraph" w:customStyle="1" w:styleId="218">
    <w:name w:val="列表 31"/>
    <w:basedOn w:val="1"/>
    <w:qFormat/>
    <w:uiPriority w:val="0"/>
    <w:pPr>
      <w:ind w:left="100" w:hanging="200"/>
    </w:pPr>
    <w:rPr>
      <w:szCs w:val="21"/>
    </w:rPr>
  </w:style>
  <w:style w:type="paragraph" w:customStyle="1" w:styleId="219">
    <w:name w:val="目录 71"/>
    <w:basedOn w:val="1"/>
    <w:next w:val="1"/>
    <w:qFormat/>
    <w:uiPriority w:val="0"/>
    <w:pPr>
      <w:ind w:left="1260"/>
      <w:jc w:val="left"/>
    </w:pPr>
    <w:rPr>
      <w:szCs w:val="21"/>
    </w:rPr>
  </w:style>
  <w:style w:type="paragraph" w:customStyle="1" w:styleId="220">
    <w:name w:val="题注1"/>
    <w:basedOn w:val="1"/>
    <w:next w:val="1"/>
    <w:qFormat/>
    <w:uiPriority w:val="0"/>
    <w:rPr>
      <w:rFonts w:ascii="Cambria" w:hAnsi="Cambria" w:eastAsia="黑体"/>
      <w:sz w:val="20"/>
      <w:szCs w:val="20"/>
    </w:rPr>
  </w:style>
  <w:style w:type="paragraph" w:customStyle="1" w:styleId="221">
    <w:name w:val="索引 51"/>
    <w:basedOn w:val="1"/>
    <w:next w:val="1"/>
    <w:qFormat/>
    <w:uiPriority w:val="0"/>
    <w:pPr>
      <w:ind w:left="800"/>
    </w:pPr>
  </w:style>
  <w:style w:type="paragraph" w:customStyle="1" w:styleId="222">
    <w:name w:val="文档结构图1"/>
    <w:basedOn w:val="1"/>
    <w:link w:val="223"/>
    <w:qFormat/>
    <w:uiPriority w:val="0"/>
    <w:pPr>
      <w:shd w:val="clear" w:color="auto" w:fill="000080"/>
    </w:pPr>
    <w:rPr>
      <w:sz w:val="20"/>
      <w:shd w:val="clear" w:color="auto" w:fill="000080"/>
    </w:rPr>
  </w:style>
  <w:style w:type="character" w:customStyle="1" w:styleId="223">
    <w:name w:val="文档结构图 Char"/>
    <w:link w:val="222"/>
    <w:qFormat/>
    <w:uiPriority w:val="0"/>
    <w:rPr>
      <w:szCs w:val="24"/>
      <w:shd w:val="clear" w:color="auto" w:fill="000080"/>
    </w:rPr>
  </w:style>
  <w:style w:type="paragraph" w:customStyle="1" w:styleId="224">
    <w:name w:val="批注文字1"/>
    <w:basedOn w:val="1"/>
    <w:link w:val="225"/>
    <w:qFormat/>
    <w:uiPriority w:val="0"/>
    <w:pPr>
      <w:jc w:val="left"/>
    </w:pPr>
  </w:style>
  <w:style w:type="character" w:customStyle="1" w:styleId="225">
    <w:name w:val="批注文字 Char"/>
    <w:link w:val="224"/>
    <w:qFormat/>
    <w:uiPriority w:val="0"/>
    <w:rPr>
      <w:rFonts w:eastAsia="宋体"/>
      <w:sz w:val="21"/>
      <w:szCs w:val="24"/>
      <w:lang w:val="en-US" w:eastAsia="zh-CN" w:bidi="ar-SA"/>
    </w:rPr>
  </w:style>
  <w:style w:type="paragraph" w:customStyle="1" w:styleId="226">
    <w:name w:val="正文文本 31"/>
    <w:basedOn w:val="1"/>
    <w:link w:val="227"/>
    <w:qFormat/>
    <w:uiPriority w:val="0"/>
    <w:pPr>
      <w:spacing w:after="120"/>
    </w:pPr>
    <w:rPr>
      <w:sz w:val="16"/>
      <w:szCs w:val="16"/>
    </w:rPr>
  </w:style>
  <w:style w:type="character" w:customStyle="1" w:styleId="227">
    <w:name w:val="正文文本 3 Char"/>
    <w:link w:val="226"/>
    <w:qFormat/>
    <w:uiPriority w:val="0"/>
    <w:rPr>
      <w:rFonts w:ascii="Times New Roman" w:hAnsi="Times New Roman" w:eastAsia="宋体" w:cs="Times New Roman"/>
      <w:sz w:val="16"/>
      <w:szCs w:val="16"/>
    </w:rPr>
  </w:style>
  <w:style w:type="paragraph" w:customStyle="1" w:styleId="228">
    <w:name w:val="正文文本缩进11"/>
    <w:basedOn w:val="1"/>
    <w:next w:val="229"/>
    <w:link w:val="230"/>
    <w:qFormat/>
    <w:uiPriority w:val="0"/>
    <w:pPr>
      <w:ind w:left="765"/>
    </w:pPr>
    <w:rPr>
      <w:rFonts w:ascii="仿宋_GB2312" w:eastAsia="仿宋_GB2312"/>
      <w:sz w:val="28"/>
      <w:szCs w:val="20"/>
    </w:rPr>
  </w:style>
  <w:style w:type="paragraph" w:customStyle="1" w:styleId="229">
    <w:name w:val="寄信人地址11"/>
    <w:basedOn w:val="1"/>
    <w:qFormat/>
    <w:uiPriority w:val="0"/>
    <w:pPr>
      <w:spacing w:line="360" w:lineRule="auto"/>
      <w:ind w:firstLine="200"/>
    </w:pPr>
    <w:rPr>
      <w:rFonts w:ascii="Arial" w:hAnsi="Arial" w:eastAsia="仿宋_GB2312" w:cs="Arial"/>
      <w:sz w:val="24"/>
    </w:rPr>
  </w:style>
  <w:style w:type="character" w:customStyle="1" w:styleId="230">
    <w:name w:val="正文文本缩进 Char"/>
    <w:link w:val="228"/>
    <w:qFormat/>
    <w:uiPriority w:val="0"/>
    <w:rPr>
      <w:rFonts w:ascii="仿宋_GB2312" w:hAnsi="Times New Roman" w:eastAsia="仿宋_GB2312" w:cs="Times New Roman"/>
      <w:sz w:val="28"/>
      <w:szCs w:val="20"/>
    </w:rPr>
  </w:style>
  <w:style w:type="paragraph" w:customStyle="1" w:styleId="231">
    <w:name w:val="列表 21"/>
    <w:basedOn w:val="1"/>
    <w:qFormat/>
    <w:uiPriority w:val="0"/>
    <w:pPr>
      <w:ind w:left="100" w:hanging="200"/>
    </w:pPr>
    <w:rPr>
      <w:szCs w:val="21"/>
    </w:rPr>
  </w:style>
  <w:style w:type="paragraph" w:customStyle="1" w:styleId="232">
    <w:name w:val="目录 51"/>
    <w:basedOn w:val="1"/>
    <w:next w:val="1"/>
    <w:qFormat/>
    <w:uiPriority w:val="0"/>
    <w:pPr>
      <w:ind w:left="840"/>
      <w:jc w:val="left"/>
    </w:pPr>
    <w:rPr>
      <w:szCs w:val="21"/>
    </w:rPr>
  </w:style>
  <w:style w:type="paragraph" w:customStyle="1" w:styleId="233">
    <w:name w:val="目录 31"/>
    <w:basedOn w:val="1"/>
    <w:next w:val="1"/>
    <w:qFormat/>
    <w:uiPriority w:val="0"/>
    <w:pPr>
      <w:ind w:left="420"/>
      <w:jc w:val="left"/>
    </w:pPr>
    <w:rPr>
      <w:i/>
      <w:iCs/>
    </w:rPr>
  </w:style>
  <w:style w:type="paragraph" w:customStyle="1" w:styleId="234">
    <w:name w:val="纯文本11"/>
    <w:basedOn w:val="1"/>
    <w:link w:val="235"/>
    <w:qFormat/>
    <w:uiPriority w:val="0"/>
    <w:rPr>
      <w:rFonts w:ascii="宋体" w:hAnsi="Courier New"/>
      <w:sz w:val="20"/>
      <w:szCs w:val="21"/>
    </w:rPr>
  </w:style>
  <w:style w:type="character" w:customStyle="1" w:styleId="235">
    <w:name w:val="纯文本 Char"/>
    <w:link w:val="234"/>
    <w:qFormat/>
    <w:uiPriority w:val="0"/>
    <w:rPr>
      <w:rFonts w:ascii="宋体" w:hAnsi="Courier New" w:eastAsia="宋体" w:cs="Courier New"/>
      <w:szCs w:val="21"/>
    </w:rPr>
  </w:style>
  <w:style w:type="paragraph" w:customStyle="1" w:styleId="236">
    <w:name w:val="目录 81"/>
    <w:basedOn w:val="1"/>
    <w:next w:val="1"/>
    <w:qFormat/>
    <w:uiPriority w:val="0"/>
    <w:pPr>
      <w:ind w:left="1470"/>
      <w:jc w:val="left"/>
    </w:pPr>
    <w:rPr>
      <w:szCs w:val="21"/>
    </w:rPr>
  </w:style>
  <w:style w:type="paragraph" w:customStyle="1" w:styleId="237">
    <w:name w:val="日期1"/>
    <w:basedOn w:val="1"/>
    <w:next w:val="1"/>
    <w:link w:val="238"/>
    <w:qFormat/>
    <w:uiPriority w:val="0"/>
    <w:rPr>
      <w:sz w:val="24"/>
      <w:szCs w:val="20"/>
    </w:rPr>
  </w:style>
  <w:style w:type="character" w:customStyle="1" w:styleId="238">
    <w:name w:val="日期 Char"/>
    <w:link w:val="237"/>
    <w:qFormat/>
    <w:uiPriority w:val="0"/>
    <w:rPr>
      <w:rFonts w:ascii="Times New Roman" w:hAnsi="Times New Roman" w:eastAsia="宋体" w:cs="Times New Roman"/>
      <w:sz w:val="24"/>
      <w:szCs w:val="20"/>
    </w:rPr>
  </w:style>
  <w:style w:type="paragraph" w:customStyle="1" w:styleId="239">
    <w:name w:val="正文文本缩进 21"/>
    <w:basedOn w:val="1"/>
    <w:link w:val="240"/>
    <w:qFormat/>
    <w:uiPriority w:val="0"/>
    <w:pPr>
      <w:spacing w:line="500" w:lineRule="exact"/>
      <w:ind w:firstLine="560"/>
    </w:pPr>
    <w:rPr>
      <w:rFonts w:eastAsia="仿宋_GB2312"/>
      <w:sz w:val="28"/>
      <w:szCs w:val="20"/>
    </w:rPr>
  </w:style>
  <w:style w:type="character" w:customStyle="1" w:styleId="240">
    <w:name w:val="正文文本缩进 2 Char"/>
    <w:link w:val="239"/>
    <w:qFormat/>
    <w:uiPriority w:val="0"/>
    <w:rPr>
      <w:rFonts w:ascii="Times New Roman" w:hAnsi="Times New Roman" w:eastAsia="仿宋_GB2312" w:cs="Times New Roman"/>
      <w:sz w:val="28"/>
      <w:szCs w:val="20"/>
    </w:rPr>
  </w:style>
  <w:style w:type="paragraph" w:customStyle="1" w:styleId="241">
    <w:name w:val="批注框文本1"/>
    <w:basedOn w:val="1"/>
    <w:link w:val="242"/>
    <w:qFormat/>
    <w:uiPriority w:val="0"/>
    <w:rPr>
      <w:sz w:val="18"/>
      <w:szCs w:val="18"/>
    </w:rPr>
  </w:style>
  <w:style w:type="character" w:customStyle="1" w:styleId="242">
    <w:name w:val="批注框文本 Char"/>
    <w:link w:val="241"/>
    <w:qFormat/>
    <w:uiPriority w:val="0"/>
    <w:rPr>
      <w:sz w:val="18"/>
      <w:szCs w:val="18"/>
    </w:rPr>
  </w:style>
  <w:style w:type="paragraph" w:customStyle="1" w:styleId="243">
    <w:name w:val="页脚1"/>
    <w:basedOn w:val="1"/>
    <w:link w:val="244"/>
    <w:qFormat/>
    <w:uiPriority w:val="0"/>
    <w:pPr>
      <w:tabs>
        <w:tab w:val="center" w:pos="4153"/>
        <w:tab w:val="right" w:pos="8306"/>
      </w:tabs>
      <w:jc w:val="left"/>
    </w:pPr>
    <w:rPr>
      <w:sz w:val="18"/>
      <w:szCs w:val="20"/>
    </w:rPr>
  </w:style>
  <w:style w:type="character" w:customStyle="1" w:styleId="244">
    <w:name w:val="页脚 Char"/>
    <w:link w:val="243"/>
    <w:qFormat/>
    <w:uiPriority w:val="0"/>
    <w:rPr>
      <w:rFonts w:ascii="Times New Roman" w:hAnsi="Times New Roman" w:eastAsia="宋体" w:cs="Times New Roman"/>
      <w:sz w:val="18"/>
      <w:szCs w:val="20"/>
    </w:rPr>
  </w:style>
  <w:style w:type="paragraph" w:customStyle="1" w:styleId="245">
    <w:name w:val="页眉1"/>
    <w:basedOn w:val="1"/>
    <w:link w:val="246"/>
    <w:qFormat/>
    <w:uiPriority w:val="0"/>
    <w:pPr>
      <w:pBdr>
        <w:bottom w:val="single" w:color="000000" w:sz="6" w:space="1"/>
      </w:pBdr>
      <w:tabs>
        <w:tab w:val="center" w:pos="4153"/>
        <w:tab w:val="right" w:pos="8306"/>
      </w:tabs>
      <w:jc w:val="center"/>
    </w:pPr>
    <w:rPr>
      <w:sz w:val="18"/>
      <w:szCs w:val="18"/>
    </w:rPr>
  </w:style>
  <w:style w:type="character" w:customStyle="1" w:styleId="246">
    <w:name w:val="页眉 Char"/>
    <w:link w:val="245"/>
    <w:qFormat/>
    <w:uiPriority w:val="0"/>
    <w:rPr>
      <w:rFonts w:ascii="Times New Roman" w:hAnsi="Times New Roman" w:eastAsia="宋体" w:cs="Times New Roman"/>
      <w:sz w:val="18"/>
      <w:szCs w:val="18"/>
    </w:rPr>
  </w:style>
  <w:style w:type="paragraph" w:customStyle="1" w:styleId="247">
    <w:name w:val="目录 11"/>
    <w:basedOn w:val="1"/>
    <w:next w:val="1"/>
    <w:qFormat/>
    <w:uiPriority w:val="0"/>
    <w:rPr>
      <w:sz w:val="24"/>
    </w:rPr>
  </w:style>
  <w:style w:type="paragraph" w:customStyle="1" w:styleId="248">
    <w:name w:val="目录 41"/>
    <w:basedOn w:val="1"/>
    <w:next w:val="1"/>
    <w:link w:val="249"/>
    <w:qFormat/>
    <w:uiPriority w:val="0"/>
    <w:pPr>
      <w:ind w:left="630"/>
      <w:jc w:val="left"/>
    </w:pPr>
    <w:rPr>
      <w:szCs w:val="21"/>
    </w:rPr>
  </w:style>
  <w:style w:type="character" w:customStyle="1" w:styleId="249">
    <w:name w:val="目录 4 Char"/>
    <w:link w:val="248"/>
    <w:qFormat/>
    <w:uiPriority w:val="0"/>
    <w:rPr>
      <w:sz w:val="21"/>
      <w:szCs w:val="21"/>
    </w:rPr>
  </w:style>
  <w:style w:type="paragraph" w:customStyle="1" w:styleId="250">
    <w:name w:val="副标题1"/>
    <w:basedOn w:val="1"/>
    <w:next w:val="1"/>
    <w:link w:val="251"/>
    <w:qFormat/>
    <w:uiPriority w:val="0"/>
    <w:pPr>
      <w:spacing w:before="240" w:after="60" w:line="312" w:lineRule="auto"/>
      <w:jc w:val="center"/>
      <w:outlineLvl w:val="1"/>
    </w:pPr>
    <w:rPr>
      <w:rFonts w:ascii="Cambria" w:hAnsi="Cambria"/>
      <w:b/>
      <w:bCs/>
      <w:sz w:val="32"/>
      <w:szCs w:val="32"/>
    </w:rPr>
  </w:style>
  <w:style w:type="character" w:customStyle="1" w:styleId="251">
    <w:name w:val="副标题 Char"/>
    <w:link w:val="250"/>
    <w:qFormat/>
    <w:uiPriority w:val="0"/>
    <w:rPr>
      <w:rFonts w:ascii="Cambria" w:hAnsi="Cambria"/>
      <w:b/>
      <w:bCs/>
      <w:sz w:val="32"/>
      <w:szCs w:val="32"/>
    </w:rPr>
  </w:style>
  <w:style w:type="paragraph" w:customStyle="1" w:styleId="252">
    <w:name w:val="列表1"/>
    <w:basedOn w:val="1"/>
    <w:qFormat/>
    <w:uiPriority w:val="0"/>
    <w:pPr>
      <w:ind w:left="200" w:hanging="200"/>
    </w:pPr>
  </w:style>
  <w:style w:type="paragraph" w:customStyle="1" w:styleId="253">
    <w:name w:val="脚注文本1"/>
    <w:basedOn w:val="1"/>
    <w:link w:val="254"/>
    <w:qFormat/>
    <w:uiPriority w:val="0"/>
    <w:rPr>
      <w:sz w:val="20"/>
      <w:szCs w:val="20"/>
    </w:rPr>
  </w:style>
  <w:style w:type="character" w:customStyle="1" w:styleId="254">
    <w:name w:val="脚注文本 Char"/>
    <w:link w:val="253"/>
    <w:qFormat/>
    <w:uiPriority w:val="0"/>
  </w:style>
  <w:style w:type="paragraph" w:customStyle="1" w:styleId="255">
    <w:name w:val="目录 61"/>
    <w:basedOn w:val="1"/>
    <w:next w:val="1"/>
    <w:qFormat/>
    <w:uiPriority w:val="0"/>
    <w:pPr>
      <w:ind w:left="1050"/>
      <w:jc w:val="left"/>
    </w:pPr>
    <w:rPr>
      <w:szCs w:val="21"/>
    </w:rPr>
  </w:style>
  <w:style w:type="paragraph" w:customStyle="1" w:styleId="256">
    <w:name w:val="正文文本缩进 311"/>
    <w:basedOn w:val="1"/>
    <w:link w:val="257"/>
    <w:qFormat/>
    <w:uiPriority w:val="0"/>
    <w:pPr>
      <w:spacing w:after="120"/>
      <w:ind w:left="420"/>
    </w:pPr>
    <w:rPr>
      <w:sz w:val="16"/>
      <w:szCs w:val="16"/>
    </w:rPr>
  </w:style>
  <w:style w:type="character" w:customStyle="1" w:styleId="257">
    <w:name w:val="正文文本缩进 3 Char"/>
    <w:link w:val="256"/>
    <w:qFormat/>
    <w:uiPriority w:val="0"/>
    <w:rPr>
      <w:rFonts w:ascii="Times New Roman" w:hAnsi="Times New Roman" w:eastAsia="宋体" w:cs="Times New Roman"/>
      <w:sz w:val="16"/>
      <w:szCs w:val="16"/>
    </w:rPr>
  </w:style>
  <w:style w:type="paragraph" w:customStyle="1" w:styleId="258">
    <w:name w:val="图表目录1"/>
    <w:basedOn w:val="1"/>
    <w:next w:val="1"/>
    <w:qFormat/>
    <w:uiPriority w:val="0"/>
    <w:pPr>
      <w:ind w:left="840" w:hanging="420"/>
    </w:pPr>
    <w:rPr>
      <w:szCs w:val="21"/>
    </w:rPr>
  </w:style>
  <w:style w:type="paragraph" w:customStyle="1" w:styleId="259">
    <w:name w:val="目录 21"/>
    <w:basedOn w:val="1"/>
    <w:next w:val="1"/>
    <w:qFormat/>
    <w:uiPriority w:val="0"/>
    <w:pPr>
      <w:ind w:left="210"/>
      <w:jc w:val="left"/>
    </w:pPr>
    <w:rPr>
      <w:smallCaps/>
    </w:rPr>
  </w:style>
  <w:style w:type="paragraph" w:customStyle="1" w:styleId="260">
    <w:name w:val="目录 91"/>
    <w:basedOn w:val="1"/>
    <w:next w:val="1"/>
    <w:qFormat/>
    <w:uiPriority w:val="0"/>
    <w:pPr>
      <w:ind w:left="1680"/>
      <w:jc w:val="left"/>
    </w:pPr>
    <w:rPr>
      <w:szCs w:val="21"/>
    </w:rPr>
  </w:style>
  <w:style w:type="paragraph" w:customStyle="1" w:styleId="261">
    <w:name w:val="正文文本 21"/>
    <w:basedOn w:val="1"/>
    <w:link w:val="262"/>
    <w:qFormat/>
    <w:uiPriority w:val="0"/>
    <w:rPr>
      <w:b/>
      <w:bCs/>
      <w:sz w:val="18"/>
    </w:rPr>
  </w:style>
  <w:style w:type="character" w:customStyle="1" w:styleId="262">
    <w:name w:val="正文文本 2 Char"/>
    <w:link w:val="261"/>
    <w:qFormat/>
    <w:uiPriority w:val="0"/>
    <w:rPr>
      <w:rFonts w:ascii="Times New Roman" w:hAnsi="Times New Roman" w:eastAsia="宋体" w:cs="Times New Roman"/>
      <w:b/>
      <w:bCs/>
      <w:sz w:val="18"/>
      <w:szCs w:val="24"/>
    </w:rPr>
  </w:style>
  <w:style w:type="paragraph" w:customStyle="1" w:styleId="263">
    <w:name w:val="列表接续 21"/>
    <w:basedOn w:val="1"/>
    <w:qFormat/>
    <w:uiPriority w:val="0"/>
    <w:pPr>
      <w:spacing w:after="120"/>
      <w:ind w:left="840"/>
    </w:pPr>
  </w:style>
  <w:style w:type="paragraph" w:customStyle="1" w:styleId="264">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265">
    <w:name w:val="索引 11"/>
    <w:basedOn w:val="1"/>
    <w:next w:val="1"/>
    <w:qFormat/>
    <w:uiPriority w:val="0"/>
    <w:pPr>
      <w:spacing w:line="240" w:lineRule="atLeast"/>
    </w:pPr>
    <w:rPr>
      <w:b/>
      <w:bCs/>
      <w:szCs w:val="21"/>
    </w:rPr>
  </w:style>
  <w:style w:type="paragraph" w:customStyle="1" w:styleId="266">
    <w:name w:val="标题11"/>
    <w:basedOn w:val="1"/>
    <w:link w:val="267"/>
    <w:qFormat/>
    <w:uiPriority w:val="0"/>
    <w:pPr>
      <w:spacing w:before="240" w:after="60" w:line="420" w:lineRule="atLeast"/>
      <w:jc w:val="center"/>
      <w:outlineLvl w:val="0"/>
    </w:pPr>
    <w:rPr>
      <w:rFonts w:ascii="Arial" w:hAnsi="Arial"/>
      <w:b/>
      <w:sz w:val="32"/>
      <w:szCs w:val="20"/>
    </w:rPr>
  </w:style>
  <w:style w:type="character" w:customStyle="1" w:styleId="267">
    <w:name w:val="标题 Char"/>
    <w:link w:val="266"/>
    <w:qFormat/>
    <w:uiPriority w:val="0"/>
    <w:rPr>
      <w:rFonts w:ascii="Arial" w:hAnsi="Arial"/>
      <w:b/>
      <w:sz w:val="32"/>
    </w:rPr>
  </w:style>
  <w:style w:type="paragraph" w:customStyle="1" w:styleId="268">
    <w:name w:val="批注主题1"/>
    <w:basedOn w:val="224"/>
    <w:next w:val="224"/>
    <w:link w:val="269"/>
    <w:qFormat/>
    <w:uiPriority w:val="0"/>
    <w:rPr>
      <w:b/>
      <w:bCs/>
    </w:rPr>
  </w:style>
  <w:style w:type="character" w:customStyle="1" w:styleId="269">
    <w:name w:val="批注主题 Char"/>
    <w:link w:val="268"/>
    <w:qFormat/>
    <w:uiPriority w:val="0"/>
    <w:rPr>
      <w:b/>
      <w:bCs/>
      <w:sz w:val="21"/>
      <w:szCs w:val="24"/>
    </w:rPr>
  </w:style>
  <w:style w:type="paragraph" w:customStyle="1" w:styleId="270">
    <w:name w:val="正文首行缩进 211"/>
    <w:basedOn w:val="228"/>
    <w:link w:val="271"/>
    <w:qFormat/>
    <w:uiPriority w:val="0"/>
    <w:pPr>
      <w:spacing w:after="120"/>
      <w:ind w:left="420" w:firstLine="420"/>
    </w:pPr>
    <w:rPr>
      <w:sz w:val="21"/>
      <w:szCs w:val="24"/>
    </w:rPr>
  </w:style>
  <w:style w:type="character" w:customStyle="1" w:styleId="271">
    <w:name w:val="正文首行缩进 2 Char"/>
    <w:link w:val="270"/>
    <w:qFormat/>
    <w:uiPriority w:val="0"/>
    <w:rPr>
      <w:rFonts w:ascii="仿宋_GB2312" w:hAnsi="Times New Roman" w:eastAsia="仿宋_GB2312" w:cs="Times New Roman"/>
      <w:sz w:val="21"/>
      <w:szCs w:val="24"/>
    </w:rPr>
  </w:style>
  <w:style w:type="table" w:customStyle="1" w:styleId="272">
    <w:name w:val="网格型1"/>
    <w:basedOn w:val="205"/>
    <w:qFormat/>
    <w:uiPriority w:val="59"/>
    <w:pPr>
      <w:widowControl w:val="0"/>
      <w:jc w:val="both"/>
    </w:pPr>
    <w:tblPr>
      <w:tblCellMar>
        <w:top w:w="0" w:type="dxa"/>
        <w:left w:w="0" w:type="dxa"/>
        <w:bottom w:w="0" w:type="dxa"/>
        <w:right w:w="0" w:type="dxa"/>
      </w:tblCellMar>
    </w:tblPr>
  </w:style>
  <w:style w:type="character" w:customStyle="1" w:styleId="273">
    <w:name w:val="要点1"/>
    <w:qFormat/>
    <w:uiPriority w:val="0"/>
    <w:rPr>
      <w:b/>
      <w:bCs/>
    </w:rPr>
  </w:style>
  <w:style w:type="character" w:customStyle="1" w:styleId="274">
    <w:name w:val="页码1"/>
    <w:qFormat/>
    <w:uiPriority w:val="0"/>
  </w:style>
  <w:style w:type="character" w:customStyle="1" w:styleId="275">
    <w:name w:val="已访问的超链接1"/>
    <w:qFormat/>
    <w:uiPriority w:val="0"/>
    <w:rPr>
      <w:color w:val="800080"/>
      <w:u w:val="single"/>
    </w:rPr>
  </w:style>
  <w:style w:type="character" w:customStyle="1" w:styleId="276">
    <w:name w:val="强调1"/>
    <w:qFormat/>
    <w:uiPriority w:val="0"/>
    <w:rPr>
      <w:b/>
      <w:bCs/>
    </w:rPr>
  </w:style>
  <w:style w:type="character" w:customStyle="1" w:styleId="277">
    <w:name w:val="HTML 定义1"/>
    <w:qFormat/>
    <w:uiPriority w:val="0"/>
  </w:style>
  <w:style w:type="character" w:customStyle="1" w:styleId="278">
    <w:name w:val="HTML 打字机1"/>
    <w:qFormat/>
    <w:uiPriority w:val="0"/>
    <w:rPr>
      <w:rFonts w:ascii="monospace" w:hAnsi="monospace" w:eastAsia="monospace" w:cs="monospace"/>
      <w:sz w:val="20"/>
    </w:rPr>
  </w:style>
  <w:style w:type="character" w:customStyle="1" w:styleId="279">
    <w:name w:val="HTML 缩写1"/>
    <w:qFormat/>
    <w:uiPriority w:val="0"/>
  </w:style>
  <w:style w:type="character" w:customStyle="1" w:styleId="280">
    <w:name w:val="HTML 变量1"/>
    <w:qFormat/>
    <w:uiPriority w:val="0"/>
  </w:style>
  <w:style w:type="character" w:customStyle="1" w:styleId="281">
    <w:name w:val="超链接1"/>
    <w:qFormat/>
    <w:uiPriority w:val="0"/>
    <w:rPr>
      <w:color w:val="0000FF"/>
      <w:u w:val="single"/>
    </w:rPr>
  </w:style>
  <w:style w:type="character" w:customStyle="1" w:styleId="282">
    <w:name w:val="HTML 代码1"/>
    <w:qFormat/>
    <w:uiPriority w:val="0"/>
    <w:rPr>
      <w:rFonts w:ascii="monospace" w:hAnsi="monospace" w:eastAsia="monospace" w:cs="monospace"/>
      <w:sz w:val="20"/>
    </w:rPr>
  </w:style>
  <w:style w:type="character" w:customStyle="1" w:styleId="283">
    <w:name w:val="批注引用1"/>
    <w:qFormat/>
    <w:uiPriority w:val="0"/>
    <w:rPr>
      <w:sz w:val="21"/>
      <w:szCs w:val="21"/>
    </w:rPr>
  </w:style>
  <w:style w:type="character" w:customStyle="1" w:styleId="284">
    <w:name w:val="HTML 引文1"/>
    <w:qFormat/>
    <w:uiPriority w:val="0"/>
  </w:style>
  <w:style w:type="character" w:customStyle="1" w:styleId="285">
    <w:name w:val="脚注引用1"/>
    <w:qFormat/>
    <w:uiPriority w:val="0"/>
    <w:rPr>
      <w:vertAlign w:val="superscript"/>
    </w:rPr>
  </w:style>
  <w:style w:type="character" w:customStyle="1" w:styleId="286">
    <w:name w:val="HTML 键盘1"/>
    <w:qFormat/>
    <w:uiPriority w:val="0"/>
    <w:rPr>
      <w:rFonts w:ascii="monospace" w:hAnsi="monospace" w:eastAsia="monospace" w:cs="monospace"/>
      <w:sz w:val="20"/>
    </w:rPr>
  </w:style>
  <w:style w:type="character" w:customStyle="1" w:styleId="287">
    <w:name w:val="HTML 样本1"/>
    <w:qFormat/>
    <w:uiPriority w:val="0"/>
    <w:rPr>
      <w:rFonts w:ascii="monospace" w:hAnsi="monospace" w:eastAsia="monospace" w:cs="monospace"/>
    </w:rPr>
  </w:style>
  <w:style w:type="character" w:customStyle="1" w:styleId="288">
    <w:name w:val="标题 4 Char1"/>
    <w:qFormat/>
    <w:uiPriority w:val="0"/>
    <w:rPr>
      <w:rFonts w:ascii="Arial" w:hAnsi="Arial" w:eastAsia="黑体"/>
      <w:b/>
      <w:bCs/>
      <w:sz w:val="28"/>
      <w:szCs w:val="28"/>
      <w:lang w:val="en-US" w:eastAsia="zh-CN" w:bidi="ar-SA"/>
    </w:rPr>
  </w:style>
  <w:style w:type="character" w:customStyle="1" w:styleId="289">
    <w:name w:val="页脚 Char1"/>
    <w:qFormat/>
    <w:uiPriority w:val="0"/>
    <w:rPr>
      <w:sz w:val="18"/>
      <w:szCs w:val="18"/>
    </w:rPr>
  </w:style>
  <w:style w:type="character" w:customStyle="1" w:styleId="290">
    <w:name w:val="页脚 Char Char Char"/>
    <w:qFormat/>
    <w:uiPriority w:val="0"/>
    <w:rPr>
      <w:sz w:val="18"/>
      <w:szCs w:val="18"/>
    </w:rPr>
  </w:style>
  <w:style w:type="character" w:customStyle="1" w:styleId="291">
    <w:name w:val="Char Char8"/>
    <w:qFormat/>
    <w:uiPriority w:val="0"/>
    <w:rPr>
      <w:rFonts w:ascii="Arial" w:hAnsi="Arial" w:eastAsia="黑体"/>
      <w:b/>
      <w:bCs/>
      <w:sz w:val="32"/>
      <w:szCs w:val="32"/>
      <w:lang w:val="en-US" w:eastAsia="zh-CN" w:bidi="ar-SA"/>
    </w:rPr>
  </w:style>
  <w:style w:type="character" w:customStyle="1" w:styleId="292">
    <w:name w:val="明显强调1"/>
    <w:qFormat/>
    <w:uiPriority w:val="0"/>
    <w:rPr>
      <w:b/>
      <w:bCs/>
      <w:i/>
      <w:iCs/>
      <w:color w:val="4F81BD"/>
    </w:rPr>
  </w:style>
  <w:style w:type="character" w:customStyle="1" w:styleId="293">
    <w:name w:val="cn_text1"/>
    <w:qFormat/>
    <w:uiPriority w:val="0"/>
    <w:rPr>
      <w:rFonts w:ascii="ˎ̥" w:hAnsi="ˎ̥"/>
      <w:color w:val="003399"/>
      <w:spacing w:val="15"/>
      <w:sz w:val="18"/>
      <w:szCs w:val="18"/>
    </w:rPr>
  </w:style>
  <w:style w:type="character" w:customStyle="1" w:styleId="294">
    <w:name w:val="font51"/>
    <w:qFormat/>
    <w:uiPriority w:val="0"/>
    <w:rPr>
      <w:rFonts w:ascii="等线" w:hAnsi="等线" w:eastAsia="等线" w:cs="等线"/>
      <w:b/>
      <w:bCs/>
      <w:color w:val="000000"/>
      <w:sz w:val="22"/>
      <w:szCs w:val="22"/>
      <w:u w:val="none"/>
    </w:rPr>
  </w:style>
  <w:style w:type="character" w:customStyle="1" w:styleId="295">
    <w:name w:val="书籍标题1"/>
    <w:qFormat/>
    <w:uiPriority w:val="0"/>
    <w:rPr>
      <w:b/>
      <w:bCs/>
      <w:smallCaps/>
      <w:spacing w:val="5"/>
    </w:rPr>
  </w:style>
  <w:style w:type="character" w:customStyle="1" w:styleId="296">
    <w:name w:val="引用 Char"/>
    <w:link w:val="297"/>
    <w:qFormat/>
    <w:uiPriority w:val="0"/>
    <w:rPr>
      <w:i/>
      <w:iCs/>
      <w:color w:val="000000"/>
      <w:sz w:val="21"/>
      <w:szCs w:val="24"/>
    </w:rPr>
  </w:style>
  <w:style w:type="paragraph" w:customStyle="1" w:styleId="297">
    <w:name w:val="引用1"/>
    <w:basedOn w:val="1"/>
    <w:next w:val="1"/>
    <w:link w:val="296"/>
    <w:qFormat/>
    <w:uiPriority w:val="0"/>
    <w:rPr>
      <w:i/>
      <w:iCs/>
      <w:color w:val="000000"/>
    </w:rPr>
  </w:style>
  <w:style w:type="character" w:customStyle="1" w:styleId="298">
    <w:name w:val="font31"/>
    <w:qFormat/>
    <w:uiPriority w:val="0"/>
    <w:rPr>
      <w:rFonts w:hint="eastAsia" w:ascii="宋体" w:hAnsi="宋体" w:eastAsia="宋体" w:cs="宋体"/>
      <w:color w:val="000000"/>
      <w:sz w:val="21"/>
      <w:szCs w:val="21"/>
      <w:u w:val="none"/>
    </w:rPr>
  </w:style>
  <w:style w:type="character" w:customStyle="1" w:styleId="299">
    <w:name w:val="标题 3 Char Char"/>
    <w:qFormat/>
    <w:uiPriority w:val="0"/>
    <w:rPr>
      <w:rFonts w:ascii="黑体" w:hAnsi="宋体" w:eastAsia="黑体"/>
      <w:bCs/>
      <w:sz w:val="28"/>
      <w:szCs w:val="28"/>
    </w:rPr>
  </w:style>
  <w:style w:type="character" w:customStyle="1" w:styleId="300">
    <w:name w:val="无间隔 Char"/>
    <w:link w:val="301"/>
    <w:qFormat/>
    <w:uiPriority w:val="0"/>
    <w:rPr>
      <w:sz w:val="21"/>
      <w:szCs w:val="24"/>
      <w:lang w:val="en-US" w:eastAsia="zh-CN" w:bidi="ar-SA"/>
    </w:rPr>
  </w:style>
  <w:style w:type="paragraph" w:customStyle="1" w:styleId="301">
    <w:name w:val="无间隔1"/>
    <w:link w:val="30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02">
    <w:name w:val="未处理的提及"/>
    <w:qFormat/>
    <w:uiPriority w:val="0"/>
    <w:rPr>
      <w:color w:val="605E5C"/>
      <w:shd w:val="clear" w:color="auto" w:fill="E1DFDD"/>
    </w:rPr>
  </w:style>
  <w:style w:type="character" w:customStyle="1" w:styleId="303">
    <w:name w:val="批注框文本 Char Char"/>
    <w:qFormat/>
    <w:uiPriority w:val="0"/>
    <w:rPr>
      <w:rFonts w:ascii="Calibri" w:hAnsi="Calibri" w:eastAsia="宋体" w:cs="Times New Roman"/>
      <w:sz w:val="18"/>
      <w:szCs w:val="18"/>
    </w:rPr>
  </w:style>
  <w:style w:type="character" w:customStyle="1" w:styleId="304">
    <w:name w:val="纯文本 Char1"/>
    <w:qFormat/>
    <w:uiPriority w:val="0"/>
    <w:rPr>
      <w:rFonts w:ascii="宋体" w:hAnsi="Courier New" w:cs="Courier New"/>
      <w:sz w:val="21"/>
      <w:szCs w:val="21"/>
    </w:rPr>
  </w:style>
  <w:style w:type="character" w:customStyle="1" w:styleId="305">
    <w:name w:val="批注主题 Char1"/>
    <w:qFormat/>
    <w:uiPriority w:val="0"/>
    <w:rPr>
      <w:b/>
      <w:bCs/>
      <w:sz w:val="21"/>
      <w:szCs w:val="21"/>
    </w:rPr>
  </w:style>
  <w:style w:type="character" w:customStyle="1" w:styleId="306">
    <w:name w:val="Char Char Char"/>
    <w:qFormat/>
    <w:uiPriority w:val="0"/>
    <w:rPr>
      <w:rFonts w:ascii="Arial" w:hAnsi="Arial" w:eastAsia="黑体"/>
      <w:b/>
      <w:bCs/>
      <w:sz w:val="32"/>
      <w:szCs w:val="32"/>
      <w:lang w:val="en-US" w:eastAsia="zh-CN" w:bidi="ar-SA"/>
    </w:rPr>
  </w:style>
  <w:style w:type="character" w:customStyle="1" w:styleId="307">
    <w:name w:val="正文文本缩进 Char Char"/>
    <w:qFormat/>
    <w:uiPriority w:val="0"/>
    <w:rPr>
      <w:sz w:val="21"/>
      <w:szCs w:val="24"/>
    </w:rPr>
  </w:style>
  <w:style w:type="character" w:customStyle="1" w:styleId="308">
    <w:name w:val="脚注文本 Char1"/>
    <w:qFormat/>
    <w:uiPriority w:val="0"/>
    <w:rPr>
      <w:sz w:val="18"/>
      <w:szCs w:val="18"/>
    </w:rPr>
  </w:style>
  <w:style w:type="character" w:customStyle="1" w:styleId="309">
    <w:name w:val="引用 Char1"/>
    <w:qFormat/>
    <w:uiPriority w:val="0"/>
    <w:rPr>
      <w:i/>
      <w:iCs/>
      <w:color w:val="000000"/>
      <w:sz w:val="21"/>
      <w:szCs w:val="21"/>
    </w:rPr>
  </w:style>
  <w:style w:type="character" w:customStyle="1" w:styleId="310">
    <w:name w:val="fontstyle01"/>
    <w:qFormat/>
    <w:uiPriority w:val="0"/>
    <w:rPr>
      <w:rFonts w:hint="eastAsia" w:ascii="宋体" w:hAnsi="宋体" w:eastAsia="宋体"/>
      <w:color w:val="000000"/>
      <w:sz w:val="22"/>
      <w:szCs w:val="22"/>
    </w:rPr>
  </w:style>
  <w:style w:type="character" w:customStyle="1" w:styleId="311">
    <w:name w:val="NormalCharacter1"/>
    <w:qFormat/>
    <w:uiPriority w:val="0"/>
  </w:style>
  <w:style w:type="character" w:customStyle="1" w:styleId="312">
    <w:name w:val="font71"/>
    <w:qFormat/>
    <w:uiPriority w:val="0"/>
    <w:rPr>
      <w:rFonts w:hint="eastAsia" w:ascii="宋体" w:hAnsi="宋体" w:eastAsia="宋体" w:cs="宋体"/>
      <w:color w:val="000000"/>
      <w:sz w:val="21"/>
      <w:szCs w:val="21"/>
      <w:u w:val="none"/>
    </w:rPr>
  </w:style>
  <w:style w:type="character" w:customStyle="1" w:styleId="313">
    <w:name w:val="正文缩进2格 Char Char"/>
    <w:link w:val="314"/>
    <w:qFormat/>
    <w:uiPriority w:val="0"/>
    <w:rPr>
      <w:rFonts w:ascii="仿宋_GB2312" w:hAnsi="宋体" w:eastAsia="仿宋_GB2312"/>
      <w:sz w:val="31"/>
      <w:szCs w:val="28"/>
    </w:rPr>
  </w:style>
  <w:style w:type="paragraph" w:customStyle="1" w:styleId="314">
    <w:name w:val="正文缩进2格"/>
    <w:basedOn w:val="1"/>
    <w:link w:val="313"/>
    <w:qFormat/>
    <w:uiPriority w:val="0"/>
    <w:pPr>
      <w:spacing w:line="600" w:lineRule="exact"/>
      <w:ind w:firstLine="639"/>
    </w:pPr>
    <w:rPr>
      <w:rFonts w:ascii="仿宋_GB2312" w:hAnsi="宋体" w:eastAsia="仿宋_GB2312"/>
      <w:sz w:val="31"/>
      <w:szCs w:val="28"/>
    </w:rPr>
  </w:style>
  <w:style w:type="character" w:customStyle="1" w:styleId="315">
    <w:name w:val="标题 5 Char Char"/>
    <w:qFormat/>
    <w:uiPriority w:val="0"/>
    <w:rPr>
      <w:rFonts w:ascii="宋体"/>
      <w:color w:val="000000"/>
      <w:sz w:val="28"/>
      <w:szCs w:val="28"/>
    </w:rPr>
  </w:style>
  <w:style w:type="character" w:customStyle="1" w:styleId="316">
    <w:name w:val="普通正文 Char Char"/>
    <w:link w:val="317"/>
    <w:qFormat/>
    <w:uiPriority w:val="0"/>
    <w:rPr>
      <w:rFonts w:ascii="Arial" w:hAnsi="Arial"/>
      <w:sz w:val="24"/>
      <w:szCs w:val="24"/>
    </w:rPr>
  </w:style>
  <w:style w:type="paragraph" w:customStyle="1" w:styleId="317">
    <w:name w:val="普通正文"/>
    <w:basedOn w:val="1"/>
    <w:link w:val="316"/>
    <w:qFormat/>
    <w:uiPriority w:val="0"/>
    <w:pPr>
      <w:spacing w:before="120" w:after="120" w:line="360" w:lineRule="auto"/>
      <w:ind w:left="-2" w:right="120" w:firstLine="480"/>
      <w:jc w:val="center"/>
    </w:pPr>
    <w:rPr>
      <w:rFonts w:ascii="Arial" w:hAnsi="Arial"/>
      <w:sz w:val="24"/>
    </w:rPr>
  </w:style>
  <w:style w:type="character" w:customStyle="1" w:styleId="318">
    <w:name w:val="正文缩进 Char Char"/>
    <w:qFormat/>
    <w:uiPriority w:val="0"/>
    <w:rPr>
      <w:sz w:val="21"/>
    </w:rPr>
  </w:style>
  <w:style w:type="character" w:customStyle="1" w:styleId="319">
    <w:name w:val="页眉 Char Char Char"/>
    <w:qFormat/>
    <w:uiPriority w:val="0"/>
    <w:rPr>
      <w:sz w:val="18"/>
      <w:szCs w:val="18"/>
    </w:rPr>
  </w:style>
  <w:style w:type="character" w:customStyle="1" w:styleId="320">
    <w:name w:val="标题 Char1"/>
    <w:qFormat/>
    <w:uiPriority w:val="0"/>
    <w:rPr>
      <w:rFonts w:ascii="Cambria" w:hAnsi="Cambria" w:cs="Times New Roman"/>
      <w:b/>
      <w:bCs/>
      <w:sz w:val="32"/>
      <w:szCs w:val="32"/>
    </w:rPr>
  </w:style>
  <w:style w:type="character" w:customStyle="1" w:styleId="321">
    <w:name w:val="正文文本 2 Char1"/>
    <w:qFormat/>
    <w:uiPriority w:val="0"/>
    <w:rPr>
      <w:sz w:val="21"/>
      <w:szCs w:val="21"/>
    </w:rPr>
  </w:style>
  <w:style w:type="character" w:customStyle="1" w:styleId="322">
    <w:name w:val="标题 7 Char Char"/>
    <w:qFormat/>
    <w:uiPriority w:val="0"/>
    <w:rPr>
      <w:b/>
      <w:bCs/>
      <w:sz w:val="24"/>
      <w:szCs w:val="24"/>
    </w:rPr>
  </w:style>
  <w:style w:type="character" w:customStyle="1" w:styleId="323">
    <w:name w:val="font01"/>
    <w:qFormat/>
    <w:uiPriority w:val="0"/>
    <w:rPr>
      <w:rFonts w:ascii="等线" w:hAnsi="等线" w:eastAsia="等线" w:cs="等线"/>
      <w:color w:val="000000"/>
      <w:sz w:val="22"/>
      <w:szCs w:val="22"/>
      <w:u w:val="none"/>
    </w:rPr>
  </w:style>
  <w:style w:type="character" w:customStyle="1" w:styleId="324">
    <w:name w:val="font5 Char Char"/>
    <w:qFormat/>
    <w:uiPriority w:val="0"/>
    <w:rPr>
      <w:rFonts w:ascii="宋体" w:hAnsi="宋体" w:eastAsia="宋体"/>
      <w:sz w:val="28"/>
      <w:szCs w:val="28"/>
      <w:lang w:val="en-US" w:eastAsia="zh-CN" w:bidi="ar-SA"/>
    </w:rPr>
  </w:style>
  <w:style w:type="character" w:customStyle="1" w:styleId="325">
    <w:name w:val="point_normal1"/>
    <w:qFormat/>
    <w:uiPriority w:val="0"/>
    <w:rPr>
      <w:rFonts w:ascii="Arial" w:hAnsi="Arial" w:cs="Arial"/>
      <w:sz w:val="16"/>
      <w:szCs w:val="16"/>
    </w:rPr>
  </w:style>
  <w:style w:type="character" w:customStyle="1" w:styleId="326">
    <w:name w:val="正文文本缩进 Char1"/>
    <w:qFormat/>
    <w:uiPriority w:val="0"/>
    <w:rPr>
      <w:sz w:val="21"/>
      <w:szCs w:val="21"/>
    </w:rPr>
  </w:style>
  <w:style w:type="character" w:customStyle="1" w:styleId="327">
    <w:name w:val="标题 9 Char Char"/>
    <w:qFormat/>
    <w:uiPriority w:val="0"/>
    <w:rPr>
      <w:rFonts w:ascii="Arial" w:hAnsi="Arial" w:eastAsia="黑体"/>
      <w:sz w:val="21"/>
      <w:szCs w:val="21"/>
    </w:rPr>
  </w:style>
  <w:style w:type="character" w:customStyle="1" w:styleId="328">
    <w:name w:val="样式 Char Char"/>
    <w:link w:val="329"/>
    <w:qFormat/>
    <w:uiPriority w:val="0"/>
    <w:rPr>
      <w:rFonts w:ascii="宋体" w:hAnsi="宋体" w:cs="宋体"/>
      <w:sz w:val="24"/>
      <w:szCs w:val="24"/>
      <w:lang w:val="en-US" w:eastAsia="zh-CN" w:bidi="ar-SA"/>
    </w:rPr>
  </w:style>
  <w:style w:type="paragraph" w:customStyle="1" w:styleId="329">
    <w:name w:val="样式"/>
    <w:link w:val="328"/>
    <w:qFormat/>
    <w:uiPriority w:val="0"/>
    <w:pPr>
      <w:widowControl w:val="0"/>
    </w:pPr>
    <w:rPr>
      <w:rFonts w:ascii="宋体" w:hAnsi="宋体" w:eastAsia="宋体" w:cs="宋体"/>
      <w:sz w:val="24"/>
      <w:szCs w:val="24"/>
      <w:lang w:val="en-US" w:eastAsia="zh-CN" w:bidi="ar-SA"/>
    </w:rPr>
  </w:style>
  <w:style w:type="character" w:customStyle="1" w:styleId="330">
    <w:name w:val="标题 6 Char Char"/>
    <w:qFormat/>
    <w:uiPriority w:val="0"/>
    <w:rPr>
      <w:rFonts w:ascii="Arial" w:hAnsi="Arial" w:eastAsia="黑体"/>
      <w:b/>
      <w:bCs/>
      <w:sz w:val="24"/>
      <w:szCs w:val="24"/>
    </w:rPr>
  </w:style>
  <w:style w:type="character" w:customStyle="1" w:styleId="331">
    <w:name w:val="正文文本缩进 3 Char Char"/>
    <w:qFormat/>
    <w:uiPriority w:val="0"/>
    <w:rPr>
      <w:rFonts w:ascii="宋体"/>
      <w:b/>
      <w:spacing w:val="6"/>
      <w:sz w:val="28"/>
      <w:szCs w:val="24"/>
    </w:rPr>
  </w:style>
  <w:style w:type="character" w:customStyle="1" w:styleId="332">
    <w:name w:val="标题 4 Char Char"/>
    <w:qFormat/>
    <w:uiPriority w:val="0"/>
    <w:rPr>
      <w:rFonts w:ascii="Arial" w:hAnsi="Arial" w:eastAsia="黑体"/>
      <w:b/>
      <w:bCs/>
      <w:sz w:val="28"/>
      <w:szCs w:val="28"/>
    </w:rPr>
  </w:style>
  <w:style w:type="character" w:customStyle="1" w:styleId="333">
    <w:name w:val="列出段落 Char"/>
    <w:link w:val="334"/>
    <w:qFormat/>
    <w:uiPriority w:val="0"/>
    <w:rPr>
      <w:sz w:val="21"/>
      <w:szCs w:val="24"/>
      <w:lang w:val="en-US" w:eastAsia="zh-CN" w:bidi="ar-SA"/>
    </w:rPr>
  </w:style>
  <w:style w:type="paragraph" w:customStyle="1" w:styleId="334">
    <w:name w:val="列出段落1"/>
    <w:link w:val="333"/>
    <w:qFormat/>
    <w:uiPriority w:val="0"/>
    <w:pPr>
      <w:widowControl w:val="0"/>
      <w:ind w:firstLine="420"/>
      <w:jc w:val="both"/>
    </w:pPr>
    <w:rPr>
      <w:rFonts w:ascii="Times New Roman" w:hAnsi="Times New Roman" w:eastAsia="宋体" w:cs="Times New Roman"/>
      <w:sz w:val="21"/>
      <w:szCs w:val="24"/>
      <w:lang w:val="en-US" w:eastAsia="zh-CN" w:bidi="ar-SA"/>
    </w:rPr>
  </w:style>
  <w:style w:type="character" w:customStyle="1" w:styleId="335">
    <w:name w:val="列表段落 字符"/>
    <w:qFormat/>
    <w:uiPriority w:val="0"/>
    <w:rPr>
      <w:rFonts w:ascii="Calibri" w:hAnsi="Calibri"/>
      <w:sz w:val="21"/>
      <w:szCs w:val="22"/>
    </w:rPr>
  </w:style>
  <w:style w:type="character" w:customStyle="1" w:styleId="336">
    <w:name w:val="FA正文 Char Char"/>
    <w:link w:val="337"/>
    <w:qFormat/>
    <w:uiPriority w:val="0"/>
    <w:rPr>
      <w:rFonts w:ascii="宋体" w:hAnsi="宋体" w:eastAsia="宋体" w:cs="Times New Roman"/>
      <w:sz w:val="28"/>
      <w:szCs w:val="28"/>
    </w:rPr>
  </w:style>
  <w:style w:type="paragraph" w:customStyle="1" w:styleId="337">
    <w:name w:val="FA正文"/>
    <w:basedOn w:val="1"/>
    <w:link w:val="336"/>
    <w:qFormat/>
    <w:uiPriority w:val="0"/>
    <w:pPr>
      <w:tabs>
        <w:tab w:val="left" w:pos="3375"/>
      </w:tabs>
      <w:spacing w:line="440" w:lineRule="atLeast"/>
      <w:ind w:firstLine="538"/>
    </w:pPr>
    <w:rPr>
      <w:rFonts w:ascii="宋体" w:hAnsi="宋体"/>
      <w:sz w:val="28"/>
      <w:szCs w:val="28"/>
    </w:rPr>
  </w:style>
  <w:style w:type="character" w:customStyle="1" w:styleId="338">
    <w:name w:val="脚注文本 Char2"/>
    <w:qFormat/>
    <w:uiPriority w:val="0"/>
    <w:rPr>
      <w:sz w:val="18"/>
      <w:szCs w:val="18"/>
    </w:rPr>
  </w:style>
  <w:style w:type="character" w:customStyle="1" w:styleId="339">
    <w:name w:val="明显引用 Char"/>
    <w:link w:val="340"/>
    <w:qFormat/>
    <w:uiPriority w:val="0"/>
    <w:rPr>
      <w:b/>
      <w:bCs/>
      <w:i/>
      <w:iCs/>
      <w:color w:val="4F81BD"/>
      <w:sz w:val="21"/>
      <w:szCs w:val="24"/>
    </w:rPr>
  </w:style>
  <w:style w:type="paragraph" w:customStyle="1" w:styleId="340">
    <w:name w:val="明显引用1"/>
    <w:basedOn w:val="1"/>
    <w:next w:val="1"/>
    <w:link w:val="339"/>
    <w:qFormat/>
    <w:uiPriority w:val="0"/>
    <w:pPr>
      <w:pBdr>
        <w:bottom w:val="single" w:color="4F81BD" w:sz="4" w:space="4"/>
      </w:pBdr>
      <w:spacing w:before="200" w:after="280"/>
      <w:ind w:left="936" w:right="936"/>
    </w:pPr>
    <w:rPr>
      <w:b/>
      <w:bCs/>
      <w:i/>
      <w:iCs/>
      <w:color w:val="4F81BD"/>
    </w:rPr>
  </w:style>
  <w:style w:type="character" w:customStyle="1" w:styleId="341">
    <w:name w:val="二级目录 Char Char"/>
    <w:link w:val="342"/>
    <w:qFormat/>
    <w:uiPriority w:val="0"/>
    <w:rPr>
      <w:b/>
      <w:sz w:val="30"/>
      <w:szCs w:val="28"/>
    </w:rPr>
  </w:style>
  <w:style w:type="paragraph" w:customStyle="1" w:styleId="342">
    <w:name w:val="二级目录"/>
    <w:next w:val="1"/>
    <w:link w:val="341"/>
    <w:qFormat/>
    <w:uiPriority w:val="0"/>
    <w:p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343">
    <w:name w:val="页眉 Char1"/>
    <w:qFormat/>
    <w:uiPriority w:val="0"/>
    <w:rPr>
      <w:sz w:val="18"/>
      <w:szCs w:val="18"/>
    </w:rPr>
  </w:style>
  <w:style w:type="character" w:customStyle="1" w:styleId="344">
    <w:name w:val="font61"/>
    <w:qFormat/>
    <w:uiPriority w:val="0"/>
    <w:rPr>
      <w:rFonts w:ascii="Times New Roman" w:hAnsi="Times New Roman" w:cs="Times New Roman"/>
      <w:color w:val="000000"/>
      <w:sz w:val="21"/>
      <w:szCs w:val="21"/>
      <w:u w:val="none"/>
    </w:rPr>
  </w:style>
  <w:style w:type="character" w:customStyle="1" w:styleId="345">
    <w:name w:val="正文文本 Char1"/>
    <w:qFormat/>
    <w:uiPriority w:val="0"/>
    <w:rPr>
      <w:sz w:val="21"/>
      <w:szCs w:val="21"/>
    </w:rPr>
  </w:style>
  <w:style w:type="character" w:customStyle="1" w:styleId="346">
    <w:name w:val="font161"/>
    <w:qFormat/>
    <w:uiPriority w:val="0"/>
    <w:rPr>
      <w:b/>
      <w:bCs/>
      <w:sz w:val="32"/>
      <w:szCs w:val="32"/>
    </w:rPr>
  </w:style>
  <w:style w:type="character" w:customStyle="1" w:styleId="347">
    <w:name w:val="不明显参考1"/>
    <w:qFormat/>
    <w:uiPriority w:val="0"/>
    <w:rPr>
      <w:smallCaps/>
      <w:color w:val="C0504D"/>
      <w:u w:val="single"/>
    </w:rPr>
  </w:style>
  <w:style w:type="character" w:customStyle="1" w:styleId="348">
    <w:name w:val="明显引用 Char1"/>
    <w:qFormat/>
    <w:uiPriority w:val="0"/>
    <w:rPr>
      <w:b/>
      <w:bCs/>
      <w:i/>
      <w:iCs/>
      <w:color w:val="4F81BD"/>
      <w:sz w:val="21"/>
      <w:szCs w:val="24"/>
    </w:rPr>
  </w:style>
  <w:style w:type="character" w:customStyle="1" w:styleId="349">
    <w:name w:val="样式 ssss + 宋体 五号1 Char Char"/>
    <w:link w:val="350"/>
    <w:qFormat/>
    <w:uiPriority w:val="0"/>
    <w:rPr>
      <w:rFonts w:ascii="宋体" w:hAnsi="宋体" w:eastAsia="宋体" w:cs="Times New Roman"/>
      <w:sz w:val="24"/>
      <w:szCs w:val="24"/>
    </w:rPr>
  </w:style>
  <w:style w:type="paragraph" w:customStyle="1" w:styleId="350">
    <w:name w:val="样式 ssss + 宋体 五号1"/>
    <w:basedOn w:val="351"/>
    <w:link w:val="349"/>
    <w:qFormat/>
    <w:uiPriority w:val="0"/>
    <w:rPr>
      <w:rFonts w:ascii="宋体" w:hAnsi="宋体"/>
    </w:rPr>
  </w:style>
  <w:style w:type="paragraph" w:customStyle="1" w:styleId="351">
    <w:name w:val="ssss"/>
    <w:basedOn w:val="1"/>
    <w:link w:val="352"/>
    <w:qFormat/>
    <w:uiPriority w:val="0"/>
    <w:pPr>
      <w:spacing w:line="360" w:lineRule="auto"/>
      <w:ind w:firstLine="480"/>
    </w:pPr>
    <w:rPr>
      <w:sz w:val="24"/>
    </w:rPr>
  </w:style>
  <w:style w:type="character" w:customStyle="1" w:styleId="352">
    <w:name w:val="ssss Char1"/>
    <w:link w:val="351"/>
    <w:qFormat/>
    <w:uiPriority w:val="0"/>
    <w:rPr>
      <w:rFonts w:ascii="Times New Roman" w:hAnsi="Times New Roman" w:eastAsia="宋体" w:cs="Times New Roman"/>
      <w:sz w:val="24"/>
      <w:szCs w:val="24"/>
    </w:rPr>
  </w:style>
  <w:style w:type="character" w:customStyle="1" w:styleId="353">
    <w:name w:val="正文文本 3 Char Char"/>
    <w:qFormat/>
    <w:uiPriority w:val="0"/>
    <w:rPr>
      <w:sz w:val="16"/>
      <w:szCs w:val="16"/>
    </w:rPr>
  </w:style>
  <w:style w:type="character" w:customStyle="1" w:styleId="354">
    <w:name w:val="Char Char2"/>
    <w:qFormat/>
    <w:uiPriority w:val="0"/>
    <w:rPr>
      <w:rFonts w:eastAsia="宋体"/>
      <w:sz w:val="21"/>
      <w:szCs w:val="24"/>
      <w:lang w:val="en-US" w:eastAsia="zh-CN" w:bidi="ar-SA"/>
    </w:rPr>
  </w:style>
  <w:style w:type="character" w:customStyle="1" w:styleId="355">
    <w:name w:val="正文文本缩进 2 Char Char"/>
    <w:qFormat/>
    <w:uiPriority w:val="0"/>
    <w:rPr>
      <w:sz w:val="21"/>
      <w:szCs w:val="24"/>
    </w:rPr>
  </w:style>
  <w:style w:type="character" w:customStyle="1" w:styleId="356">
    <w:name w:val="明显引用 Char2"/>
    <w:qFormat/>
    <w:uiPriority w:val="0"/>
    <w:rPr>
      <w:b/>
      <w:bCs/>
      <w:i/>
      <w:iCs/>
      <w:color w:val="4F81BD"/>
      <w:sz w:val="21"/>
      <w:szCs w:val="21"/>
    </w:rPr>
  </w:style>
  <w:style w:type="character" w:customStyle="1" w:styleId="357">
    <w:name w:val="Char Char21"/>
    <w:qFormat/>
    <w:uiPriority w:val="0"/>
    <w:rPr>
      <w:rFonts w:eastAsia="宋体"/>
      <w:sz w:val="21"/>
      <w:szCs w:val="24"/>
      <w:lang w:val="en-US" w:eastAsia="zh-CN" w:bidi="ar-SA"/>
    </w:rPr>
  </w:style>
  <w:style w:type="character" w:customStyle="1" w:styleId="358">
    <w:name w:val="正文文本缩进 3 Char1"/>
    <w:qFormat/>
    <w:uiPriority w:val="0"/>
    <w:rPr>
      <w:sz w:val="16"/>
      <w:szCs w:val="16"/>
    </w:rPr>
  </w:style>
  <w:style w:type="character" w:customStyle="1" w:styleId="359">
    <w:name w:val="明显参考1"/>
    <w:qFormat/>
    <w:uiPriority w:val="0"/>
    <w:rPr>
      <w:b/>
      <w:bCs/>
      <w:smallCaps/>
      <w:color w:val="C0504D"/>
      <w:spacing w:val="5"/>
      <w:u w:val="single"/>
    </w:rPr>
  </w:style>
  <w:style w:type="character" w:customStyle="1" w:styleId="360">
    <w:name w:val="文档结构图 Char Char"/>
    <w:qFormat/>
    <w:uiPriority w:val="0"/>
    <w:rPr>
      <w:sz w:val="21"/>
      <w:szCs w:val="24"/>
      <w:shd w:val="clear" w:color="auto" w:fill="000080"/>
    </w:rPr>
  </w:style>
  <w:style w:type="character" w:customStyle="1" w:styleId="361">
    <w:name w:val="页眉 Char Char"/>
    <w:qFormat/>
    <w:uiPriority w:val="0"/>
    <w:rPr>
      <w:sz w:val="18"/>
    </w:rPr>
  </w:style>
  <w:style w:type="character" w:customStyle="1" w:styleId="362">
    <w:name w:val="正文文本缩进 2 Char1"/>
    <w:qFormat/>
    <w:uiPriority w:val="0"/>
    <w:rPr>
      <w:sz w:val="21"/>
      <w:szCs w:val="21"/>
    </w:rPr>
  </w:style>
  <w:style w:type="character" w:customStyle="1" w:styleId="363">
    <w:name w:val="不明显强调1"/>
    <w:qFormat/>
    <w:uiPriority w:val="0"/>
    <w:rPr>
      <w:i/>
      <w:iCs/>
      <w:color w:val="808080"/>
    </w:rPr>
  </w:style>
  <w:style w:type="character" w:customStyle="1" w:styleId="364">
    <w:name w:val="引用 Char3"/>
    <w:qFormat/>
    <w:uiPriority w:val="0"/>
    <w:rPr>
      <w:i/>
      <w:iCs/>
      <w:color w:val="000000"/>
      <w:sz w:val="21"/>
      <w:szCs w:val="24"/>
    </w:rPr>
  </w:style>
  <w:style w:type="character" w:customStyle="1" w:styleId="365">
    <w:name w:val="标题 Char2"/>
    <w:qFormat/>
    <w:uiPriority w:val="0"/>
    <w:rPr>
      <w:rFonts w:ascii="Cambria" w:hAnsi="Cambria" w:cs="Times New Roman"/>
      <w:b/>
      <w:bCs/>
      <w:sz w:val="32"/>
      <w:szCs w:val="32"/>
    </w:rPr>
  </w:style>
  <w:style w:type="character" w:customStyle="1" w:styleId="366">
    <w:name w:val="副标题 Char1"/>
    <w:qFormat/>
    <w:uiPriority w:val="0"/>
    <w:rPr>
      <w:rFonts w:ascii="Cambria" w:hAnsi="Cambria" w:cs="Times New Roman"/>
      <w:b/>
      <w:bCs/>
      <w:sz w:val="32"/>
      <w:szCs w:val="32"/>
    </w:rPr>
  </w:style>
  <w:style w:type="character" w:customStyle="1" w:styleId="367">
    <w:name w:val="Char Char7"/>
    <w:qFormat/>
    <w:uiPriority w:val="0"/>
    <w:rPr>
      <w:rFonts w:ascii="Arial" w:hAnsi="Arial" w:eastAsia="黑体"/>
      <w:b/>
      <w:bCs/>
      <w:sz w:val="32"/>
      <w:szCs w:val="32"/>
      <w:lang w:val="en-US" w:eastAsia="zh-CN" w:bidi="ar-SA"/>
    </w:rPr>
  </w:style>
  <w:style w:type="character" w:customStyle="1" w:styleId="368">
    <w:name w:val="纯文本 Char Char"/>
    <w:qFormat/>
    <w:uiPriority w:val="0"/>
    <w:rPr>
      <w:rFonts w:ascii="宋体" w:hAnsi="Courier New" w:cs="Courier New"/>
      <w:sz w:val="21"/>
      <w:szCs w:val="21"/>
    </w:rPr>
  </w:style>
  <w:style w:type="character" w:customStyle="1" w:styleId="369">
    <w:name w:val="副标题 Char2"/>
    <w:qFormat/>
    <w:uiPriority w:val="0"/>
    <w:rPr>
      <w:rFonts w:ascii="Cambria" w:hAnsi="Cambria" w:cs="Times New Roman"/>
      <w:b/>
      <w:bCs/>
      <w:sz w:val="32"/>
      <w:szCs w:val="32"/>
    </w:rPr>
  </w:style>
  <w:style w:type="character" w:customStyle="1" w:styleId="370">
    <w:name w:val="正文首行缩进 Char Char"/>
    <w:qFormat/>
    <w:uiPriority w:val="0"/>
    <w:rPr>
      <w:rFonts w:ascii="仿宋_GB2312" w:eastAsia="仿宋_GB2312"/>
      <w:sz w:val="30"/>
      <w:szCs w:val="30"/>
    </w:rPr>
  </w:style>
  <w:style w:type="character" w:customStyle="1" w:styleId="371">
    <w:name w:val="引用 Char2"/>
    <w:qFormat/>
    <w:uiPriority w:val="0"/>
    <w:rPr>
      <w:i/>
      <w:iCs/>
      <w:color w:val="000000"/>
      <w:sz w:val="21"/>
      <w:szCs w:val="21"/>
    </w:rPr>
  </w:style>
  <w:style w:type="character" w:customStyle="1" w:styleId="372">
    <w:name w:val="正文文本 2 Char Char"/>
    <w:qFormat/>
    <w:uiPriority w:val="0"/>
    <w:rPr>
      <w:rFonts w:ascii="楷体_GB2312" w:eastAsia="楷体_GB2312"/>
      <w:sz w:val="28"/>
      <w:szCs w:val="28"/>
    </w:rPr>
  </w:style>
  <w:style w:type="character" w:customStyle="1" w:styleId="373">
    <w:name w:val="批注框文本 Char1"/>
    <w:qFormat/>
    <w:uiPriority w:val="0"/>
    <w:rPr>
      <w:rFonts w:ascii="Times New Roman" w:hAnsi="Times New Roman" w:eastAsia="宋体" w:cs="Times New Roman"/>
      <w:sz w:val="18"/>
      <w:szCs w:val="18"/>
    </w:rPr>
  </w:style>
  <w:style w:type="character" w:customStyle="1" w:styleId="374">
    <w:name w:val="页脚 Char Char"/>
    <w:qFormat/>
    <w:uiPriority w:val="0"/>
    <w:rPr>
      <w:sz w:val="18"/>
    </w:rPr>
  </w:style>
  <w:style w:type="character" w:customStyle="1" w:styleId="375">
    <w:name w:val="mini-tree-nodetext1"/>
    <w:qFormat/>
    <w:uiPriority w:val="0"/>
  </w:style>
  <w:style w:type="character" w:customStyle="1" w:styleId="376">
    <w:name w:val="正文文本 3 Char1"/>
    <w:qFormat/>
    <w:uiPriority w:val="0"/>
    <w:rPr>
      <w:sz w:val="16"/>
      <w:szCs w:val="16"/>
    </w:rPr>
  </w:style>
  <w:style w:type="character" w:customStyle="1" w:styleId="377">
    <w:name w:val="批注文字 Char1"/>
    <w:qFormat/>
    <w:uiPriority w:val="0"/>
    <w:rPr>
      <w:sz w:val="21"/>
      <w:szCs w:val="21"/>
    </w:rPr>
  </w:style>
  <w:style w:type="character" w:customStyle="1" w:styleId="378">
    <w:name w:val="Char Char71"/>
    <w:qFormat/>
    <w:uiPriority w:val="0"/>
    <w:rPr>
      <w:rFonts w:ascii="Arial" w:hAnsi="Arial" w:eastAsia="黑体"/>
      <w:b/>
      <w:bCs/>
      <w:sz w:val="32"/>
      <w:szCs w:val="32"/>
      <w:lang w:val="en-US" w:eastAsia="zh-CN" w:bidi="ar-SA"/>
    </w:rPr>
  </w:style>
  <w:style w:type="character" w:customStyle="1" w:styleId="379">
    <w:name w:val="标题 8 Char Char"/>
    <w:qFormat/>
    <w:uiPriority w:val="0"/>
    <w:rPr>
      <w:rFonts w:ascii="Arial" w:hAnsi="Arial" w:eastAsia="黑体"/>
      <w:sz w:val="24"/>
      <w:szCs w:val="24"/>
    </w:rPr>
  </w:style>
  <w:style w:type="character" w:customStyle="1" w:styleId="380">
    <w:name w:val="标题 2 Char Char"/>
    <w:qFormat/>
    <w:uiPriority w:val="0"/>
    <w:rPr>
      <w:rFonts w:ascii="Arial" w:hAnsi="Arial" w:eastAsia="黑体"/>
      <w:b/>
      <w:bCs/>
      <w:sz w:val="32"/>
      <w:szCs w:val="32"/>
    </w:rPr>
  </w:style>
  <w:style w:type="character" w:customStyle="1" w:styleId="381">
    <w:name w:val="mini-outputtext1"/>
    <w:qFormat/>
    <w:uiPriority w:val="0"/>
  </w:style>
  <w:style w:type="character" w:customStyle="1" w:styleId="382">
    <w:name w:val="日期 Char Char"/>
    <w:qFormat/>
    <w:uiPriority w:val="0"/>
    <w:rPr>
      <w:sz w:val="21"/>
      <w:szCs w:val="24"/>
    </w:rPr>
  </w:style>
  <w:style w:type="character" w:customStyle="1" w:styleId="383">
    <w:name w:val="标题 1 Char Char"/>
    <w:qFormat/>
    <w:uiPriority w:val="0"/>
    <w:rPr>
      <w:b/>
      <w:bCs/>
      <w:sz w:val="44"/>
      <w:szCs w:val="44"/>
    </w:rPr>
  </w:style>
  <w:style w:type="character" w:customStyle="1" w:styleId="384">
    <w:name w:val="Char Char81"/>
    <w:qFormat/>
    <w:uiPriority w:val="0"/>
    <w:rPr>
      <w:rFonts w:ascii="Arial" w:hAnsi="Arial" w:eastAsia="黑体"/>
      <w:b/>
      <w:bCs/>
      <w:sz w:val="32"/>
      <w:szCs w:val="32"/>
      <w:lang w:val="en-US" w:eastAsia="zh-CN" w:bidi="ar-SA"/>
    </w:rPr>
  </w:style>
  <w:style w:type="character" w:customStyle="1" w:styleId="385">
    <w:name w:val="文档结构图 Char1"/>
    <w:qFormat/>
    <w:uiPriority w:val="0"/>
    <w:rPr>
      <w:rFonts w:ascii="宋体" w:hAnsi="Times New Roman" w:eastAsia="宋体" w:cs="Times New Roman"/>
      <w:sz w:val="18"/>
      <w:szCs w:val="18"/>
    </w:rPr>
  </w:style>
  <w:style w:type="character" w:customStyle="1" w:styleId="386">
    <w:name w:val="标题 3.1 Char Char"/>
    <w:link w:val="387"/>
    <w:qFormat/>
    <w:uiPriority w:val="0"/>
    <w:rPr>
      <w:rFonts w:ascii="宋体" w:hAnsi="宋体"/>
      <w:b/>
      <w:bCs/>
      <w:color w:val="000000"/>
      <w:sz w:val="32"/>
      <w:szCs w:val="32"/>
    </w:rPr>
  </w:style>
  <w:style w:type="paragraph" w:customStyle="1" w:styleId="387">
    <w:name w:val="标题 3.1"/>
    <w:basedOn w:val="196"/>
    <w:link w:val="386"/>
    <w:qFormat/>
    <w:uiPriority w:val="0"/>
    <w:pPr>
      <w:tabs>
        <w:tab w:val="left" w:pos="1440"/>
        <w:tab w:val="left" w:pos="1620"/>
      </w:tabs>
      <w:spacing w:line="600" w:lineRule="exact"/>
    </w:pPr>
    <w:rPr>
      <w:rFonts w:ascii="宋体" w:hAnsi="宋体"/>
      <w:color w:val="000000"/>
    </w:rPr>
  </w:style>
  <w:style w:type="character" w:customStyle="1" w:styleId="388">
    <w:name w:val="ssss Char Char"/>
    <w:qFormat/>
    <w:uiPriority w:val="0"/>
    <w:rPr>
      <w:rFonts w:eastAsia="宋体"/>
      <w:sz w:val="24"/>
      <w:szCs w:val="24"/>
      <w:lang w:val="en-US" w:eastAsia="zh-CN" w:bidi="ar-SA"/>
    </w:rPr>
  </w:style>
  <w:style w:type="character" w:customStyle="1" w:styleId="389">
    <w:name w:val="正文文本 Char Char"/>
    <w:qFormat/>
    <w:uiPriority w:val="0"/>
    <w:rPr>
      <w:sz w:val="21"/>
      <w:szCs w:val="24"/>
    </w:rPr>
  </w:style>
  <w:style w:type="character" w:customStyle="1" w:styleId="390">
    <w:name w:val="列出段落 Char1"/>
    <w:link w:val="391"/>
    <w:qFormat/>
    <w:uiPriority w:val="0"/>
  </w:style>
  <w:style w:type="paragraph" w:customStyle="1" w:styleId="391">
    <w:name w:val="列出段落2"/>
    <w:basedOn w:val="1"/>
    <w:link w:val="390"/>
    <w:qFormat/>
    <w:uiPriority w:val="0"/>
    <w:pPr>
      <w:ind w:firstLine="420"/>
    </w:pPr>
  </w:style>
  <w:style w:type="paragraph" w:customStyle="1" w:styleId="392">
    <w:name w:val="正文文本1"/>
    <w:basedOn w:val="1"/>
    <w:next w:val="1"/>
    <w:qFormat/>
    <w:uiPriority w:val="0"/>
    <w:rPr>
      <w:rFonts w:ascii="仿宋_GB2312" w:eastAsia="仿宋_GB2312"/>
      <w:sz w:val="24"/>
      <w:szCs w:val="20"/>
    </w:rPr>
  </w:style>
  <w:style w:type="paragraph" w:customStyle="1" w:styleId="393">
    <w:name w:val="Default"/>
    <w:qFormat/>
    <w:uiPriority w:val="0"/>
    <w:pPr>
      <w:widowControl w:val="0"/>
    </w:pPr>
    <w:rPr>
      <w:rFonts w:ascii="宋体" w:hAnsi="宋体" w:eastAsia="宋体" w:cs="宋体"/>
      <w:color w:val="000000"/>
      <w:sz w:val="24"/>
      <w:szCs w:val="24"/>
      <w:lang w:val="en-US" w:eastAsia="zh-CN" w:bidi="ar-SA"/>
    </w:rPr>
  </w:style>
  <w:style w:type="paragraph" w:customStyle="1" w:styleId="39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95">
    <w:name w:val="表格"/>
    <w:basedOn w:val="1"/>
    <w:qFormat/>
    <w:uiPriority w:val="0"/>
    <w:rPr>
      <w:rFonts w:ascii="Arial" w:hAnsi="Arial"/>
      <w:sz w:val="24"/>
    </w:rPr>
  </w:style>
  <w:style w:type="paragraph" w:customStyle="1" w:styleId="39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97">
    <w:name w:val="Char"/>
    <w:basedOn w:val="1"/>
    <w:qFormat/>
    <w:uiPriority w:val="0"/>
    <w:rPr>
      <w:rFonts w:ascii="Tahoma" w:hAnsi="Tahoma"/>
      <w:sz w:val="24"/>
      <w:szCs w:val="20"/>
    </w:rPr>
  </w:style>
  <w:style w:type="paragraph" w:customStyle="1" w:styleId="39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9">
    <w:name w:val="样式 标题 2 + Times New Roman 四号 非加粗 段前: 5 磅 段后: 0 磅 行距: 固定值 20..."/>
    <w:basedOn w:val="195"/>
    <w:qFormat/>
    <w:uiPriority w:val="0"/>
    <w:pPr>
      <w:spacing w:before="100" w:after="0" w:line="400" w:lineRule="exact"/>
    </w:pPr>
    <w:rPr>
      <w:rFonts w:ascii="Times New Roman" w:hAnsi="Times New Roman" w:cs="宋体"/>
      <w:b w:val="0"/>
      <w:bCs w:val="0"/>
      <w:sz w:val="28"/>
      <w:szCs w:val="20"/>
    </w:rPr>
  </w:style>
  <w:style w:type="paragraph" w:customStyle="1" w:styleId="400">
    <w:name w:val="Char Char 字元 字元 字元 Char Char Char Char"/>
    <w:basedOn w:val="1"/>
    <w:qFormat/>
    <w:uiPriority w:val="0"/>
    <w:pPr>
      <w:spacing w:line="360" w:lineRule="auto"/>
    </w:pPr>
    <w:rPr>
      <w:sz w:val="24"/>
      <w:szCs w:val="20"/>
    </w:rPr>
  </w:style>
  <w:style w:type="paragraph" w:customStyle="1" w:styleId="401">
    <w:name w:val="TOC 标题2"/>
    <w:basedOn w:val="194"/>
    <w:next w:val="1"/>
    <w:qFormat/>
    <w:uiPriority w:val="0"/>
    <w:pPr>
      <w:jc w:val="center"/>
      <w:outlineLvl w:val="9"/>
    </w:pPr>
  </w:style>
  <w:style w:type="paragraph" w:customStyle="1" w:styleId="402">
    <w:name w:val="p0"/>
    <w:basedOn w:val="1"/>
    <w:qFormat/>
    <w:uiPriority w:val="0"/>
    <w:pPr>
      <w:widowControl/>
      <w:ind w:firstLine="420"/>
      <w:jc w:val="left"/>
    </w:pPr>
    <w:rPr>
      <w:sz w:val="20"/>
      <w:szCs w:val="20"/>
    </w:rPr>
  </w:style>
  <w:style w:type="paragraph" w:customStyle="1" w:styleId="403">
    <w:name w:val="表格文字"/>
    <w:basedOn w:val="1"/>
    <w:qFormat/>
    <w:uiPriority w:val="0"/>
    <w:pPr>
      <w:spacing w:line="420" w:lineRule="atLeast"/>
      <w:jc w:val="left"/>
    </w:pPr>
  </w:style>
  <w:style w:type="paragraph" w:customStyle="1" w:styleId="404">
    <w:name w:val="表格正文"/>
    <w:basedOn w:val="1"/>
    <w:qFormat/>
    <w:uiPriority w:val="0"/>
    <w:pPr>
      <w:spacing w:line="360" w:lineRule="auto"/>
      <w:jc w:val="left"/>
    </w:pPr>
    <w:rPr>
      <w:rFonts w:ascii="Calibri" w:hAnsi="Calibri"/>
      <w:color w:val="000000"/>
      <w:szCs w:val="28"/>
    </w:rPr>
  </w:style>
  <w:style w:type="paragraph" w:customStyle="1" w:styleId="405">
    <w:name w:val="Char Char Char Char Char Char Char Char Char Char Char Char Char"/>
    <w:basedOn w:val="1"/>
    <w:qFormat/>
    <w:uiPriority w:val="0"/>
  </w:style>
  <w:style w:type="paragraph" w:customStyle="1" w:styleId="406">
    <w:name w:val="Header2"/>
    <w:basedOn w:val="1"/>
    <w:qFormat/>
    <w:uiPriority w:val="0"/>
    <w:pPr>
      <w:tabs>
        <w:tab w:val="left" w:pos="480"/>
      </w:tabs>
    </w:pPr>
  </w:style>
  <w:style w:type="paragraph" w:customStyle="1" w:styleId="40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408">
    <w:name w:val="6'"/>
    <w:basedOn w:val="1"/>
    <w:qFormat/>
    <w:uiPriority w:val="0"/>
    <w:pPr>
      <w:spacing w:line="320" w:lineRule="exact"/>
      <w:jc w:val="center"/>
    </w:pPr>
    <w:rPr>
      <w:spacing w:val="20"/>
    </w:rPr>
  </w:style>
  <w:style w:type="paragraph" w:customStyle="1" w:styleId="409">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0">
    <w:name w:val="标书正文"/>
    <w:qFormat/>
    <w:uiPriority w:val="0"/>
    <w:pPr>
      <w:widowControl w:val="0"/>
      <w:spacing w:line="400" w:lineRule="exact"/>
      <w:jc w:val="both"/>
    </w:pPr>
    <w:rPr>
      <w:rFonts w:ascii="Times New Roman" w:hAnsi="Times New Roman" w:eastAsia="宋体" w:cs="Times New Roman"/>
      <w:sz w:val="24"/>
      <w:szCs w:val="22"/>
      <w:lang w:val="en-US" w:eastAsia="zh-CN" w:bidi="ar-SA"/>
    </w:rPr>
  </w:style>
  <w:style w:type="paragraph" w:customStyle="1" w:styleId="411">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412">
    <w:name w:val="Char1"/>
    <w:basedOn w:val="1"/>
    <w:qFormat/>
    <w:uiPriority w:val="0"/>
    <w:pPr>
      <w:tabs>
        <w:tab w:val="left" w:pos="840"/>
      </w:tabs>
      <w:ind w:left="840" w:hanging="420"/>
    </w:pPr>
    <w:rPr>
      <w:sz w:val="24"/>
    </w:rPr>
  </w:style>
  <w:style w:type="paragraph" w:customStyle="1" w:styleId="413">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4">
    <w:name w:val="Char Char Char Char"/>
    <w:basedOn w:val="1"/>
    <w:qFormat/>
    <w:uiPriority w:val="0"/>
    <w:rPr>
      <w:rFonts w:ascii="Tahoma" w:hAnsi="Tahoma"/>
      <w:sz w:val="24"/>
      <w:szCs w:val="20"/>
    </w:rPr>
  </w:style>
  <w:style w:type="paragraph" w:customStyle="1" w:styleId="415">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416">
    <w:name w:val="4"/>
    <w:basedOn w:val="1"/>
    <w:next w:val="256"/>
    <w:qFormat/>
    <w:uiPriority w:val="0"/>
    <w:pPr>
      <w:spacing w:line="360" w:lineRule="auto"/>
      <w:ind w:firstLine="420"/>
    </w:pPr>
    <w:rPr>
      <w:color w:val="FF0000"/>
      <w:sz w:val="24"/>
    </w:rPr>
  </w:style>
  <w:style w:type="paragraph" w:customStyle="1" w:styleId="417">
    <w:name w:val="样式 标题 1 + 黑体 三号 非加粗 居中 段前: 6 磅 段后: 6 磅 行距: 固定值 20 磅"/>
    <w:basedOn w:val="194"/>
    <w:qFormat/>
    <w:uiPriority w:val="0"/>
    <w:pPr>
      <w:spacing w:before="120" w:after="120" w:line="400" w:lineRule="exact"/>
      <w:jc w:val="center"/>
    </w:pPr>
    <w:rPr>
      <w:rFonts w:ascii="黑体" w:hAnsi="黑体" w:eastAsia="黑体" w:cs="宋体"/>
      <w:b w:val="0"/>
      <w:bCs w:val="0"/>
      <w:sz w:val="32"/>
      <w:szCs w:val="20"/>
    </w:rPr>
  </w:style>
  <w:style w:type="paragraph" w:customStyle="1" w:styleId="418">
    <w:name w:val="table_1stline"/>
    <w:basedOn w:val="1"/>
    <w:qFormat/>
    <w:uiPriority w:val="0"/>
    <w:pPr>
      <w:widowControl/>
      <w:spacing w:before="120"/>
      <w:jc w:val="left"/>
    </w:pPr>
    <w:rPr>
      <w:bCs/>
      <w:sz w:val="20"/>
      <w:szCs w:val="20"/>
      <w:lang w:val="de-DE" w:eastAsia="de-DE"/>
    </w:rPr>
  </w:style>
  <w:style w:type="paragraph" w:customStyle="1" w:styleId="419">
    <w:name w:val="标题------4"/>
    <w:basedOn w:val="197"/>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42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21">
    <w:name w:val="正文缩进4格"/>
    <w:basedOn w:val="314"/>
    <w:qFormat/>
    <w:uiPriority w:val="0"/>
    <w:pPr>
      <w:ind w:left="2" w:firstLine="538"/>
    </w:pPr>
    <w:rPr>
      <w:color w:val="000000"/>
      <w:sz w:val="28"/>
    </w:rPr>
  </w:style>
  <w:style w:type="paragraph" w:customStyle="1" w:styleId="422">
    <w:name w:val="Char Char Char Char Char Char Char Char Char Char Char Char Char1"/>
    <w:basedOn w:val="1"/>
    <w:qFormat/>
    <w:uiPriority w:val="0"/>
    <w:rPr>
      <w:sz w:val="24"/>
    </w:rPr>
  </w:style>
  <w:style w:type="paragraph" w:customStyle="1" w:styleId="42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42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2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2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28">
    <w:name w:val="样式2"/>
    <w:basedOn w:val="196"/>
    <w:qFormat/>
    <w:uiPriority w:val="0"/>
    <w:pPr>
      <w:spacing w:before="20" w:after="20" w:line="415" w:lineRule="auto"/>
      <w:ind w:firstLine="137"/>
    </w:pPr>
    <w:rPr>
      <w:rFonts w:hAnsi="黑体" w:eastAsia="黑体"/>
      <w:b w:val="0"/>
      <w:bCs w:val="0"/>
      <w:sz w:val="24"/>
      <w:szCs w:val="20"/>
    </w:rPr>
  </w:style>
  <w:style w:type="paragraph" w:customStyle="1" w:styleId="429">
    <w:name w:val="样式3"/>
    <w:basedOn w:val="196"/>
    <w:qFormat/>
    <w:uiPriority w:val="0"/>
    <w:pPr>
      <w:spacing w:before="20" w:after="20" w:line="415" w:lineRule="auto"/>
      <w:ind w:firstLine="137"/>
    </w:pPr>
    <w:rPr>
      <w:rFonts w:hAnsi="黑体" w:eastAsia="Arial"/>
      <w:b w:val="0"/>
      <w:bCs w:val="0"/>
      <w:sz w:val="24"/>
      <w:szCs w:val="20"/>
    </w:rPr>
  </w:style>
  <w:style w:type="paragraph" w:customStyle="1" w:styleId="43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1">
    <w:name w:val="Char Char Char Char1"/>
    <w:basedOn w:val="1"/>
    <w:qFormat/>
    <w:uiPriority w:val="0"/>
    <w:rPr>
      <w:rFonts w:ascii="Tahoma" w:hAnsi="Tahoma"/>
      <w:sz w:val="24"/>
      <w:szCs w:val="20"/>
    </w:rPr>
  </w:style>
  <w:style w:type="paragraph" w:customStyle="1" w:styleId="432">
    <w:name w:val="Body Text(ch)"/>
    <w:basedOn w:val="1"/>
    <w:next w:val="3"/>
    <w:qFormat/>
    <w:uiPriority w:val="0"/>
    <w:pPr>
      <w:spacing w:after="120"/>
    </w:pPr>
    <w:rPr>
      <w:rFonts w:ascii="宋体" w:hAnsi="Arial"/>
      <w:bCs/>
      <w:iCs/>
    </w:rPr>
  </w:style>
  <w:style w:type="paragraph" w:customStyle="1" w:styleId="433">
    <w:name w:val="Char Char Char1"/>
    <w:basedOn w:val="1"/>
    <w:qFormat/>
    <w:uiPriority w:val="0"/>
    <w:rPr>
      <w:rFonts w:ascii="Tahoma" w:hAnsi="Tahoma"/>
      <w:sz w:val="24"/>
      <w:szCs w:val="20"/>
    </w:rPr>
  </w:style>
  <w:style w:type="paragraph" w:customStyle="1" w:styleId="434">
    <w:name w:val="样式 正文文本缩进 3 + 四号"/>
    <w:basedOn w:val="256"/>
    <w:qFormat/>
    <w:uiPriority w:val="0"/>
    <w:pPr>
      <w:spacing w:after="0" w:line="360" w:lineRule="auto"/>
      <w:ind w:left="0" w:firstLine="437"/>
    </w:pPr>
    <w:rPr>
      <w:sz w:val="24"/>
      <w:szCs w:val="21"/>
    </w:rPr>
  </w:style>
  <w:style w:type="paragraph" w:styleId="435">
    <w:name w:val="List Paragraph"/>
    <w:basedOn w:val="1"/>
    <w:qFormat/>
    <w:uiPriority w:val="0"/>
    <w:pPr>
      <w:widowControl/>
      <w:ind w:left="720"/>
      <w:contextualSpacing/>
      <w:jc w:val="left"/>
    </w:pPr>
    <w:rPr>
      <w:rFonts w:ascii="Calibri" w:hAnsi="Calibri"/>
      <w:sz w:val="24"/>
      <w:lang w:eastAsia="en-US" w:bidi="en-US"/>
    </w:rPr>
  </w:style>
  <w:style w:type="paragraph" w:customStyle="1" w:styleId="436">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437">
    <w:name w:val="普通 (Web)"/>
    <w:basedOn w:val="1"/>
    <w:qFormat/>
    <w:uiPriority w:val="0"/>
    <w:pPr>
      <w:widowControl/>
      <w:spacing w:before="100" w:beforeAutospacing="1" w:after="100" w:afterAutospacing="1"/>
      <w:jc w:val="left"/>
    </w:pPr>
    <w:rPr>
      <w:rFonts w:ascii="宋体" w:hAnsi="宋体"/>
      <w:sz w:val="24"/>
    </w:rPr>
  </w:style>
  <w:style w:type="paragraph" w:customStyle="1" w:styleId="438">
    <w:name w:val="纯文本1"/>
    <w:basedOn w:val="1"/>
    <w:qFormat/>
    <w:uiPriority w:val="0"/>
    <w:rPr>
      <w:rFonts w:ascii="宋体" w:hAnsi="Courier New"/>
      <w:sz w:val="28"/>
    </w:rPr>
  </w:style>
  <w:style w:type="paragraph" w:customStyle="1" w:styleId="439">
    <w:name w:val="样式 标题 2 + 黑色 行距: 1.5 倍行距"/>
    <w:basedOn w:val="195"/>
    <w:qFormat/>
    <w:uiPriority w:val="0"/>
    <w:pPr>
      <w:spacing w:line="360" w:lineRule="auto"/>
    </w:pPr>
    <w:rPr>
      <w:rFonts w:ascii="宋体" w:hAnsi="宋体" w:eastAsia="宋体"/>
      <w:bCs w:val="0"/>
      <w:color w:val="000000"/>
    </w:rPr>
  </w:style>
  <w:style w:type="paragraph" w:customStyle="1" w:styleId="440">
    <w:name w:val="Char Char2 Char Char"/>
    <w:basedOn w:val="222"/>
    <w:qFormat/>
    <w:uiPriority w:val="0"/>
    <w:rPr>
      <w:rFonts w:hint="eastAsia" w:ascii="Tahoma" w:hAnsi="Tahoma"/>
      <w:sz w:val="24"/>
    </w:rPr>
  </w:style>
  <w:style w:type="paragraph" w:customStyle="1" w:styleId="441">
    <w:name w:val="Normal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442">
    <w:name w:val="样式 标题 3 + (中文) 黑体 小四 非加粗 段前: 7.8 磅 段后: 0 磅 行距: 固定值 20 磅"/>
    <w:basedOn w:val="196"/>
    <w:qFormat/>
    <w:uiPriority w:val="0"/>
    <w:pPr>
      <w:spacing w:before="0" w:after="0" w:line="400" w:lineRule="exact"/>
      <w:ind w:firstLine="137"/>
    </w:pPr>
    <w:rPr>
      <w:rFonts w:hAnsi="黑体" w:eastAsia="黑体" w:cs="宋体"/>
      <w:sz w:val="24"/>
      <w:szCs w:val="20"/>
    </w:rPr>
  </w:style>
  <w:style w:type="paragraph" w:customStyle="1" w:styleId="443">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445">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446">
    <w:name w:val="样式 ssss + 居中"/>
    <w:basedOn w:val="351"/>
    <w:qFormat/>
    <w:uiPriority w:val="0"/>
    <w:pPr>
      <w:jc w:val="center"/>
    </w:pPr>
    <w:rPr>
      <w:rFonts w:cs="宋体"/>
      <w:szCs w:val="20"/>
    </w:rPr>
  </w:style>
  <w:style w:type="paragraph" w:customStyle="1" w:styleId="44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8">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449">
    <w:name w:val="Personal Name"/>
    <w:basedOn w:val="266"/>
    <w:qFormat/>
    <w:uiPriority w:val="0"/>
    <w:rPr>
      <w:rFonts w:ascii="Impact" w:hAnsi="Impact"/>
      <w:b w:val="0"/>
      <w:caps/>
      <w:color w:val="000000"/>
      <w:sz w:val="28"/>
      <w:szCs w:val="28"/>
    </w:rPr>
  </w:style>
  <w:style w:type="paragraph" w:customStyle="1" w:styleId="450">
    <w:name w:val="Char Char2 Char Char1"/>
    <w:basedOn w:val="222"/>
    <w:qFormat/>
    <w:uiPriority w:val="0"/>
    <w:rPr>
      <w:rFonts w:hint="eastAsia" w:ascii="Tahoma" w:hAnsi="Tahoma"/>
      <w:sz w:val="24"/>
    </w:rPr>
  </w:style>
  <w:style w:type="paragraph" w:customStyle="1" w:styleId="451">
    <w:name w:val="样式1"/>
    <w:basedOn w:val="1"/>
    <w:qFormat/>
    <w:uiPriority w:val="0"/>
    <w:pPr>
      <w:tabs>
        <w:tab w:val="left" w:pos="709"/>
      </w:tabs>
    </w:pPr>
    <w:rPr>
      <w:rFonts w:ascii="宋体" w:hAnsi="宋体"/>
      <w:szCs w:val="21"/>
    </w:rPr>
  </w:style>
  <w:style w:type="paragraph" w:customStyle="1" w:styleId="452">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45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54">
    <w:name w:val="Char Char Char Char Char Char Char Char Char Char"/>
    <w:basedOn w:val="1"/>
    <w:qFormat/>
    <w:uiPriority w:val="0"/>
    <w:pPr>
      <w:spacing w:line="360" w:lineRule="auto"/>
    </w:pPr>
    <w:rPr>
      <w:sz w:val="24"/>
      <w:szCs w:val="20"/>
    </w:rPr>
  </w:style>
  <w:style w:type="paragraph" w:customStyle="1" w:styleId="455">
    <w:name w:val="1"/>
    <w:basedOn w:val="1"/>
    <w:next w:val="1"/>
    <w:qFormat/>
    <w:uiPriority w:val="0"/>
  </w:style>
  <w:style w:type="paragraph" w:customStyle="1" w:styleId="456">
    <w:name w:val="寄信人地址1"/>
    <w:basedOn w:val="1"/>
    <w:unhideWhenUsed/>
    <w:qFormat/>
    <w:uiPriority w:val="99"/>
    <w:rPr>
      <w:rFonts w:ascii="Arial" w:hAnsi="Arial"/>
    </w:rPr>
  </w:style>
  <w:style w:type="paragraph" w:customStyle="1" w:styleId="457">
    <w:name w:val="Char2"/>
    <w:basedOn w:val="1"/>
    <w:qFormat/>
    <w:uiPriority w:val="0"/>
    <w:pPr>
      <w:tabs>
        <w:tab w:val="left" w:pos="360"/>
      </w:tabs>
    </w:pPr>
    <w:rPr>
      <w:sz w:val="24"/>
    </w:rPr>
  </w:style>
  <w:style w:type="paragraph" w:customStyle="1" w:styleId="458">
    <w:name w:val="正文文本缩进1"/>
    <w:basedOn w:val="1"/>
    <w:next w:val="456"/>
    <w:qFormat/>
    <w:uiPriority w:val="0"/>
    <w:pPr>
      <w:spacing w:line="360" w:lineRule="auto"/>
      <w:ind w:firstLine="420"/>
    </w:pPr>
    <w:rPr>
      <w:rFonts w:ascii="宋体"/>
      <w:sz w:val="24"/>
    </w:rPr>
  </w:style>
  <w:style w:type="paragraph" w:customStyle="1" w:styleId="459">
    <w:name w:val="正文首行缩进 21"/>
    <w:basedOn w:val="458"/>
    <w:next w:val="460"/>
    <w:qFormat/>
    <w:uiPriority w:val="0"/>
    <w:rPr>
      <w:rFonts w:hAnsi="宋体"/>
      <w:sz w:val="20"/>
      <w:szCs w:val="20"/>
    </w:rPr>
  </w:style>
  <w:style w:type="paragraph" w:customStyle="1" w:styleId="460">
    <w:name w:val="正文文本缩进 31"/>
    <w:basedOn w:val="1"/>
    <w:qFormat/>
    <w:uiPriority w:val="0"/>
    <w:pPr>
      <w:ind w:left="645" w:firstLine="645"/>
    </w:pPr>
    <w:rPr>
      <w:rFonts w:ascii="Arial" w:hAnsi="Arial" w:eastAsia="仿宋_GB2312"/>
      <w:color w:val="FFFF00"/>
      <w:sz w:val="32"/>
      <w:szCs w:val="32"/>
    </w:rPr>
  </w:style>
  <w:style w:type="paragraph" w:customStyle="1" w:styleId="461">
    <w:name w:val="table_lines"/>
    <w:basedOn w:val="1"/>
    <w:qFormat/>
    <w:uiPriority w:val="0"/>
    <w:pPr>
      <w:widowControl/>
      <w:jc w:val="left"/>
    </w:pPr>
    <w:rPr>
      <w:sz w:val="20"/>
      <w:szCs w:val="20"/>
      <w:lang w:val="de-DE" w:eastAsia="de-DE"/>
    </w:rPr>
  </w:style>
  <w:style w:type="paragraph" w:customStyle="1" w:styleId="462">
    <w:name w:val="标题-----3"/>
    <w:basedOn w:val="196"/>
    <w:qFormat/>
    <w:uiPriority w:val="0"/>
    <w:pPr>
      <w:spacing w:before="0" w:after="0" w:line="240" w:lineRule="auto"/>
      <w:outlineLvl w:val="0"/>
    </w:pPr>
    <w:rPr>
      <w:rFonts w:ascii="宋体" w:hAnsi="宋体"/>
      <w:b w:val="0"/>
      <w:bCs w:val="0"/>
      <w:sz w:val="28"/>
      <w:szCs w:val="28"/>
    </w:rPr>
  </w:style>
  <w:style w:type="paragraph" w:customStyle="1" w:styleId="463">
    <w:name w:val="ec_msonormal"/>
    <w:basedOn w:val="1"/>
    <w:qFormat/>
    <w:uiPriority w:val="0"/>
    <w:pPr>
      <w:widowControl/>
      <w:spacing w:before="100" w:beforeAutospacing="1" w:after="100" w:afterAutospacing="1"/>
      <w:jc w:val="left"/>
    </w:pPr>
    <w:rPr>
      <w:rFonts w:ascii="宋体" w:hAnsi="宋体"/>
      <w:sz w:val="24"/>
    </w:rPr>
  </w:style>
  <w:style w:type="paragraph" w:customStyle="1" w:styleId="464">
    <w:name w:val="附录1"/>
    <w:qFormat/>
    <w:uiPriority w:val="0"/>
    <w:pPr>
      <w:numPr>
        <w:ilvl w:val="0"/>
        <w:numId w:val="1"/>
      </w:num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65">
    <w:name w:val="！正文"/>
    <w:qFormat/>
    <w:uiPriority w:val="0"/>
    <w:pPr>
      <w:ind w:firstLine="480"/>
    </w:pPr>
    <w:rPr>
      <w:rFonts w:ascii="Times New Roman" w:hAnsi="Times New Roman" w:eastAsia="宋体" w:cs="Times New Roman"/>
      <w:sz w:val="21"/>
      <w:lang w:val="en-US" w:eastAsia="zh-CN" w:bidi="ar-SA"/>
    </w:rPr>
  </w:style>
  <w:style w:type="paragraph" w:customStyle="1" w:styleId="466">
    <w:name w:val="正文样式1"/>
    <w:basedOn w:val="1"/>
    <w:qFormat/>
    <w:uiPriority w:val="0"/>
    <w:pPr>
      <w:spacing w:before="120" w:after="120" w:line="360" w:lineRule="auto"/>
      <w:ind w:firstLine="480"/>
    </w:pPr>
    <w:rPr>
      <w:sz w:val="24"/>
      <w:szCs w:val="20"/>
    </w:rPr>
  </w:style>
  <w:style w:type="paragraph" w:customStyle="1" w:styleId="4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46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9">
    <w:name w:val="Char Char Char Char Char Char Char Char Char Char1"/>
    <w:basedOn w:val="1"/>
    <w:qFormat/>
    <w:uiPriority w:val="0"/>
    <w:rPr>
      <w:rFonts w:ascii="Tahoma" w:hAnsi="Tahoma"/>
      <w:sz w:val="24"/>
      <w:szCs w:val="20"/>
    </w:rPr>
  </w:style>
  <w:style w:type="paragraph" w:customStyle="1" w:styleId="470">
    <w:name w:val="样式 ssss + 宋体 五号"/>
    <w:basedOn w:val="351"/>
    <w:qFormat/>
    <w:uiPriority w:val="0"/>
    <w:pPr>
      <w:ind w:firstLine="420"/>
    </w:pPr>
    <w:rPr>
      <w:rFonts w:ascii="宋体" w:hAnsi="宋体" w:cs="宋体"/>
      <w:szCs w:val="20"/>
    </w:rPr>
  </w:style>
  <w:style w:type="paragraph" w:customStyle="1" w:styleId="471">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472">
    <w:name w:val="样式4"/>
    <w:basedOn w:val="196"/>
    <w:qFormat/>
    <w:uiPriority w:val="0"/>
    <w:pPr>
      <w:spacing w:before="20" w:after="20" w:line="415" w:lineRule="auto"/>
      <w:ind w:firstLine="137"/>
    </w:pPr>
    <w:rPr>
      <w:rFonts w:hAnsi="黑体" w:eastAsia="Arial"/>
      <w:b w:val="0"/>
      <w:bCs w:val="0"/>
      <w:sz w:val="24"/>
      <w:szCs w:val="20"/>
    </w:rPr>
  </w:style>
  <w:style w:type="paragraph" w:customStyle="1" w:styleId="473">
    <w:name w:val="正文（缩进）"/>
    <w:basedOn w:val="1"/>
    <w:qFormat/>
    <w:uiPriority w:val="0"/>
    <w:pPr>
      <w:spacing w:before="156" w:after="156"/>
      <w:ind w:firstLine="480"/>
    </w:pPr>
  </w:style>
  <w:style w:type="paragraph" w:customStyle="1" w:styleId="4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5">
    <w:name w:val="标题 2 + 黑色 行距: 1.5 倍行距"/>
    <w:basedOn w:val="195"/>
    <w:qFormat/>
    <w:uiPriority w:val="0"/>
    <w:pPr>
      <w:spacing w:line="360" w:lineRule="auto"/>
    </w:pPr>
    <w:rPr>
      <w:rFonts w:eastAsia="宋体" w:cs="宋体"/>
      <w:color w:val="000000"/>
      <w:szCs w:val="20"/>
    </w:rPr>
  </w:style>
  <w:style w:type="paragraph" w:customStyle="1" w:styleId="476">
    <w:name w:val="样式 样式 ssss + 宋体 五号 + 首行缩进:  2 字符"/>
    <w:basedOn w:val="470"/>
    <w:qFormat/>
    <w:uiPriority w:val="0"/>
    <w:pPr>
      <w:ind w:firstLine="480"/>
    </w:pPr>
  </w:style>
  <w:style w:type="character" w:customStyle="1" w:styleId="477">
    <w:name w:val="页眉 Char2"/>
    <w:basedOn w:val="31"/>
    <w:link w:val="17"/>
    <w:semiHidden/>
    <w:qFormat/>
    <w:uiPriority w:val="99"/>
    <w:rPr>
      <w:sz w:val="18"/>
      <w:szCs w:val="18"/>
    </w:rPr>
  </w:style>
  <w:style w:type="character" w:customStyle="1" w:styleId="478">
    <w:name w:val="页脚 Char2"/>
    <w:basedOn w:val="31"/>
    <w:link w:val="16"/>
    <w:semiHidden/>
    <w:qFormat/>
    <w:uiPriority w:val="99"/>
    <w:rPr>
      <w:sz w:val="18"/>
      <w:szCs w:val="18"/>
    </w:rPr>
  </w:style>
  <w:style w:type="character" w:customStyle="1" w:styleId="479">
    <w:name w:val="标题 8 Char1"/>
    <w:basedOn w:val="31"/>
    <w:link w:val="4"/>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33457</Words>
  <Characters>34912</Characters>
  <Lines>294</Lines>
  <Paragraphs>82</Paragraphs>
  <TotalTime>2</TotalTime>
  <ScaleCrop>false</ScaleCrop>
  <LinksUpToDate>false</LinksUpToDate>
  <CharactersWithSpaces>35774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2025-02-27T03:23:00Z</dcterms:created>
  <dc:creator>周 盛</dc:creator>
  <cp:lastModifiedBy>亦木</cp:lastModifiedBy>
  <cp:lastPrinted>2025-04-01T06:29:00Z</cp:lastPrinted>
  <dcterms:modified xsi:type="dcterms:W3CDTF">2025-04-16T07:21:39Z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FEC073E3D98A41F292DF2FB67C1790FE_13</vt:lpwstr>
  </property>
  <property fmtid="{D5CDD505-2E9C-101B-9397-08002B2CF9AE}" pid="4" name="KSOTemplateDocerSaveRecord">
    <vt:lpwstr>eyJoZGlkIjoiMzEwNTM5NzYwMDRjMzkwZTVkZjY2ODkwMGIxNGU0OTUiLCJ1c2VySWQiOiI3NTgyNzkwMjgifQ==</vt:lpwstr>
  </property>
</Properties>
</file>