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3EA91C">
      <w:pPr>
        <w:pBdr>
          <w:top w:val="none" w:color="000000" w:sz="0" w:space="0"/>
          <w:left w:val="none" w:color="000000" w:sz="0" w:space="0"/>
          <w:bottom w:val="none" w:color="000000" w:sz="0" w:space="0"/>
          <w:right w:val="none" w:color="000000" w:sz="0" w:space="0"/>
        </w:pBdr>
        <w:spacing w:line="360" w:lineRule="auto"/>
        <w:jc w:val="center"/>
        <w:rPr>
          <w:highlight w:val="none"/>
        </w:rPr>
      </w:pPr>
      <w:r>
        <w:rPr>
          <w:rFonts w:ascii="宋体" w:hAnsi="宋体" w:eastAsia="宋体" w:cs="宋体"/>
          <w:b/>
          <w:color w:val="000000"/>
          <w:sz w:val="30"/>
          <w:highlight w:val="none"/>
        </w:rPr>
        <w:t>江苏省政府采购合同（服务）</w:t>
      </w:r>
    </w:p>
    <w:p w14:paraId="57EA6792">
      <w:pPr>
        <w:pBdr>
          <w:top w:val="none" w:color="000000" w:sz="0" w:space="0"/>
          <w:left w:val="none" w:color="000000" w:sz="0" w:space="0"/>
          <w:bottom w:val="none" w:color="000000" w:sz="0" w:space="0"/>
          <w:right w:val="none" w:color="000000" w:sz="0" w:space="0"/>
        </w:pBdr>
        <w:spacing w:line="360" w:lineRule="auto"/>
        <w:jc w:val="both"/>
        <w:rPr>
          <w:highlight w:val="none"/>
        </w:rPr>
      </w:pPr>
      <w:r>
        <w:rPr>
          <w:rFonts w:ascii="宋体" w:hAnsi="宋体" w:eastAsia="宋体" w:cs="宋体"/>
          <w:color w:val="000000"/>
          <w:sz w:val="28"/>
          <w:highlight w:val="none"/>
        </w:rPr>
        <w:t> </w:t>
      </w:r>
    </w:p>
    <w:p w14:paraId="0BEB6102">
      <w:pPr>
        <w:pBdr>
          <w:top w:val="none" w:color="000000" w:sz="0" w:space="0"/>
          <w:left w:val="none" w:color="000000" w:sz="0" w:space="0"/>
          <w:bottom w:val="none" w:color="000000" w:sz="0" w:space="0"/>
          <w:right w:val="none" w:color="000000" w:sz="0" w:space="0"/>
        </w:pBdr>
        <w:spacing w:line="360" w:lineRule="auto"/>
        <w:ind w:firstLine="480"/>
        <w:jc w:val="both"/>
        <w:rPr>
          <w:highlight w:val="none"/>
        </w:rPr>
      </w:pPr>
      <w:bookmarkStart w:id="1" w:name="_GoBack"/>
      <w:bookmarkEnd w:id="1"/>
      <w:r>
        <w:rPr>
          <w:rFonts w:ascii="宋体" w:hAnsi="宋体" w:eastAsia="宋体" w:cs="宋体"/>
          <w:color w:val="000000"/>
          <w:sz w:val="24"/>
          <w:highlight w:val="none"/>
        </w:rPr>
        <w:t>甲方：（买方）</w:t>
      </w:r>
      <w:r>
        <w:rPr>
          <w:rFonts w:hint="eastAsia" w:ascii="宋体" w:hAnsi="宋体" w:cs="宋体"/>
          <w:sz w:val="24"/>
          <w:szCs w:val="24"/>
          <w:highlight w:val="none"/>
          <w:u w:val="single"/>
        </w:rPr>
        <w:t>江苏省退役军人事务厅</w:t>
      </w:r>
    </w:p>
    <w:p w14:paraId="5FF54F1C">
      <w:pPr>
        <w:pBdr>
          <w:top w:val="none" w:color="000000" w:sz="0" w:space="0"/>
          <w:left w:val="none" w:color="000000" w:sz="0" w:space="0"/>
          <w:bottom w:val="none" w:color="000000" w:sz="0" w:space="0"/>
          <w:right w:val="none" w:color="000000" w:sz="0" w:space="0"/>
        </w:pBdr>
        <w:spacing w:line="360" w:lineRule="auto"/>
        <w:ind w:firstLine="480"/>
        <w:jc w:val="both"/>
        <w:rPr>
          <w:highlight w:val="none"/>
        </w:rPr>
      </w:pPr>
      <w:r>
        <w:rPr>
          <w:rFonts w:ascii="宋体" w:hAnsi="宋体" w:eastAsia="宋体" w:cs="宋体"/>
          <w:color w:val="000000"/>
          <w:sz w:val="24"/>
          <w:highlight w:val="none"/>
        </w:rPr>
        <w:t>乙方：（卖方）</w:t>
      </w:r>
      <w:r>
        <w:rPr>
          <w:rFonts w:hint="eastAsia" w:ascii="宋体" w:hAnsi="宋体" w:cs="宋体"/>
          <w:sz w:val="24"/>
          <w:szCs w:val="24"/>
          <w:highlight w:val="none"/>
          <w:u w:val="single"/>
        </w:rPr>
        <w:t>江苏天宏华信会计师事务所有限公司</w:t>
      </w:r>
    </w:p>
    <w:p w14:paraId="60E8C6A7">
      <w:pPr>
        <w:pBdr>
          <w:top w:val="none" w:color="000000" w:sz="0" w:space="0"/>
          <w:left w:val="none" w:color="000000" w:sz="0" w:space="0"/>
          <w:bottom w:val="none" w:color="000000" w:sz="0" w:space="0"/>
          <w:right w:val="none" w:color="000000" w:sz="0" w:space="0"/>
        </w:pBdr>
        <w:spacing w:line="360" w:lineRule="auto"/>
        <w:jc w:val="both"/>
        <w:rPr>
          <w:highlight w:val="none"/>
        </w:rPr>
      </w:pPr>
      <w:r>
        <w:rPr>
          <w:rFonts w:ascii="宋体" w:hAnsi="宋体" w:eastAsia="宋体" w:cs="宋体"/>
          <w:b/>
          <w:color w:val="000000"/>
          <w:sz w:val="24"/>
          <w:highlight w:val="none"/>
        </w:rPr>
        <w:t> </w:t>
      </w:r>
    </w:p>
    <w:p w14:paraId="5D19DA92">
      <w:pPr>
        <w:pBdr>
          <w:top w:val="none" w:color="000000" w:sz="0" w:space="0"/>
          <w:left w:val="none" w:color="000000" w:sz="0" w:space="0"/>
          <w:bottom w:val="none" w:color="000000" w:sz="0" w:space="0"/>
          <w:right w:val="none" w:color="000000" w:sz="0" w:space="0"/>
        </w:pBdr>
        <w:spacing w:line="360" w:lineRule="auto"/>
        <w:ind w:firstLine="480"/>
        <w:jc w:val="both"/>
        <w:rPr>
          <w:highlight w:val="none"/>
        </w:rPr>
      </w:pPr>
      <w:r>
        <w:rPr>
          <w:rFonts w:ascii="宋体" w:hAnsi="宋体" w:eastAsia="宋体" w:cs="宋体"/>
          <w:color w:val="000000"/>
          <w:sz w:val="24"/>
          <w:highlight w:val="none"/>
        </w:rPr>
        <w:t>甲、乙双方根据</w:t>
      </w:r>
      <w:r>
        <w:rPr>
          <w:rFonts w:ascii="宋体" w:hAnsi="宋体" w:eastAsia="宋体" w:cs="宋体"/>
          <w:color w:val="000000"/>
          <w:sz w:val="24"/>
          <w:highlight w:val="none"/>
          <w:u w:val="single"/>
        </w:rPr>
        <w:t>2023-2024年退役军人事务专项资金使用管理情况监督检查项目</w:t>
      </w:r>
      <w:r>
        <w:rPr>
          <w:rFonts w:ascii="宋体" w:hAnsi="宋体" w:eastAsia="宋体" w:cs="宋体"/>
          <w:color w:val="000000"/>
          <w:sz w:val="24"/>
          <w:highlight w:val="none"/>
        </w:rPr>
        <w:t>竞争性磋商的结果，签署本合同。</w:t>
      </w:r>
    </w:p>
    <w:p w14:paraId="43E2EE14">
      <w:pPr>
        <w:pBdr>
          <w:top w:val="none" w:color="000000" w:sz="0" w:space="0"/>
          <w:left w:val="none" w:color="000000" w:sz="0" w:space="0"/>
          <w:bottom w:val="none" w:color="000000" w:sz="0" w:space="0"/>
          <w:right w:val="none" w:color="000000" w:sz="0" w:space="0"/>
        </w:pBdr>
        <w:spacing w:line="360" w:lineRule="auto"/>
        <w:jc w:val="both"/>
        <w:rPr>
          <w:highlight w:val="none"/>
        </w:rPr>
      </w:pPr>
      <w:r>
        <w:rPr>
          <w:rFonts w:ascii="宋体" w:hAnsi="宋体" w:eastAsia="宋体" w:cs="宋体"/>
          <w:b/>
          <w:color w:val="000000"/>
          <w:sz w:val="24"/>
          <w:highlight w:val="none"/>
        </w:rPr>
        <w:t>  </w:t>
      </w:r>
      <w:r>
        <w:rPr>
          <w:rFonts w:ascii="宋体" w:hAnsi="宋体" w:eastAsia="宋体" w:cs="宋体"/>
          <w:color w:val="000000"/>
          <w:sz w:val="24"/>
          <w:highlight w:val="none"/>
        </w:rPr>
        <w:t> </w:t>
      </w:r>
    </w:p>
    <w:p w14:paraId="73D44357">
      <w:pPr>
        <w:pBdr>
          <w:top w:val="none" w:color="000000" w:sz="0" w:space="0"/>
          <w:left w:val="none" w:color="000000" w:sz="0" w:space="0"/>
          <w:bottom w:val="none" w:color="000000" w:sz="0" w:space="0"/>
          <w:right w:val="none" w:color="000000" w:sz="0" w:space="0"/>
        </w:pBdr>
        <w:spacing w:line="360" w:lineRule="auto"/>
        <w:ind w:firstLine="560"/>
        <w:jc w:val="both"/>
        <w:rPr>
          <w:highlight w:val="none"/>
        </w:rPr>
      </w:pPr>
      <w:r>
        <w:rPr>
          <w:rFonts w:ascii="宋体" w:hAnsi="宋体" w:eastAsia="宋体" w:cs="宋体"/>
          <w:color w:val="000000"/>
          <w:sz w:val="24"/>
          <w:highlight w:val="none"/>
        </w:rPr>
        <w:t>江苏省退役军人事务厅（以下简称甲方）、</w:t>
      </w:r>
      <w:r>
        <w:rPr>
          <w:rFonts w:hint="eastAsia" w:ascii="宋体" w:hAnsi="宋体" w:cs="宋体"/>
          <w:sz w:val="24"/>
          <w:szCs w:val="24"/>
          <w:highlight w:val="none"/>
          <w:u w:val="single"/>
        </w:rPr>
        <w:t>江苏天宏华信会计师事务所有限公司</w:t>
      </w:r>
      <w:r>
        <w:rPr>
          <w:rFonts w:ascii="宋体" w:hAnsi="宋体" w:eastAsia="宋体" w:cs="宋体"/>
          <w:color w:val="000000"/>
          <w:sz w:val="24"/>
          <w:highlight w:val="none"/>
        </w:rPr>
        <w:t>（以下简称乙方），按下述条款和条件签订本合同（以下简称合同），双方约定共同遵守：</w:t>
      </w:r>
    </w:p>
    <w:p w14:paraId="312844C9">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第一条工作目标和内容</w:t>
      </w:r>
    </w:p>
    <w:p w14:paraId="70E3A750">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（一）甲方购买乙方审计服务，由乙方派出人员参与甲方</w:t>
      </w:r>
      <w:r>
        <w:rPr>
          <w:rFonts w:hint="eastAsia" w:ascii="宋体" w:hAnsi="宋体" w:eastAsia="宋体" w:cs="宋体"/>
          <w:color w:val="000000"/>
          <w:sz w:val="24"/>
          <w:highlight w:val="none"/>
          <w:u w:val="single"/>
        </w:rPr>
        <w:t>2023-2024年退役军人事务专项资金使用管理情况监督检查</w:t>
      </w:r>
      <w:r>
        <w:rPr>
          <w:rFonts w:ascii="宋体" w:hAnsi="宋体" w:eastAsia="宋体" w:cs="宋体"/>
          <w:color w:val="000000"/>
          <w:sz w:val="24"/>
          <w:highlight w:val="none"/>
        </w:rPr>
        <w:t>审计项目的工作，协助甲方完成前述审计项目。</w:t>
      </w:r>
    </w:p>
    <w:p w14:paraId="68968F29">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（二）乙方根据甲方指定的审计事项开展工作。乙方派出人员的职责是按照甲方审计组的安排和要求，完成安排的工作内容，完成的工作内容应达到甲方审计组要求的工作目标。</w:t>
      </w:r>
    </w:p>
    <w:p w14:paraId="72FF15B2">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第二条甲方权利和义务</w:t>
      </w:r>
    </w:p>
    <w:p w14:paraId="3EF04CE5">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（一）甲方权利：</w:t>
      </w:r>
    </w:p>
    <w:p w14:paraId="23C2B127">
      <w:pPr>
        <w:pBdr>
          <w:top w:val="none" w:color="000000" w:sz="0" w:space="0"/>
          <w:left w:val="none" w:color="000000" w:sz="0" w:space="0"/>
          <w:bottom w:val="none" w:color="000000" w:sz="0" w:space="0"/>
          <w:right w:val="none" w:color="000000" w:sz="0" w:space="0"/>
        </w:pBdr>
        <w:spacing w:line="360" w:lineRule="auto"/>
        <w:ind w:firstLine="560"/>
        <w:jc w:val="both"/>
        <w:rPr>
          <w:highlight w:val="none"/>
        </w:rPr>
      </w:pPr>
      <w:r>
        <w:rPr>
          <w:rFonts w:ascii="宋体" w:hAnsi="宋体" w:eastAsia="宋体" w:cs="宋体"/>
          <w:color w:val="000000"/>
          <w:sz w:val="24"/>
          <w:highlight w:val="none"/>
        </w:rPr>
        <w:t>1.乙方不能按本合同第五条约定派出审计人员的，甲方有权单方解除合同；</w:t>
      </w:r>
    </w:p>
    <w:p w14:paraId="7F12F556">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2.甲方有权规定采购审计服务的具体内容、要求，可以根据工作需要和乙方派出人员的工作情况，要求乙方更换或撤回不能胜任审计服务的派出人员。</w:t>
      </w:r>
    </w:p>
    <w:p w14:paraId="155AF216">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（二）甲方义务：</w:t>
      </w:r>
    </w:p>
    <w:p w14:paraId="5D05E39F">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1. 对乙方派出人员进行国家审计法律、法规、规章和相关审计业务培训，并对其进行审计工作纪律、审计保密纪律、审计职业道德教育；</w:t>
      </w:r>
    </w:p>
    <w:p w14:paraId="45FA3C5A">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2. 项目实施中，指导乙方派出人员开展审计工作，并负责对乙方派出人员的工作进行监督和业务复核，有效保证其审计质量；</w:t>
      </w:r>
    </w:p>
    <w:p w14:paraId="2BEA309F">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3. 按照约定的条件，按时足额支付审计服务费用。</w:t>
      </w:r>
    </w:p>
    <w:p w14:paraId="52581B21">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第三条乙方权利和义务</w:t>
      </w:r>
    </w:p>
    <w:p w14:paraId="191592E3">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（一）乙方权利：</w:t>
      </w:r>
    </w:p>
    <w:p w14:paraId="6BB0D665">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1. 乙方有权对派出人员进行管理，监督派出人员按甲方项目、规章制度及法律法规的要求完成工作；</w:t>
      </w:r>
    </w:p>
    <w:p w14:paraId="7A1DC8EA">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2. 乙方有权要求甲方按时足额支付审计服务费用。</w:t>
      </w:r>
    </w:p>
    <w:p w14:paraId="63B1AC52">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（二）乙方义务：</w:t>
      </w:r>
    </w:p>
    <w:p w14:paraId="322CB49C">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b/>
          <w:color w:val="000000"/>
          <w:sz w:val="24"/>
          <w:highlight w:val="none"/>
        </w:rPr>
        <w:t>管理义务</w:t>
      </w:r>
    </w:p>
    <w:p w14:paraId="781990F2">
      <w:pPr>
        <w:pBdr>
          <w:top w:val="none" w:color="000000" w:sz="0" w:space="0"/>
          <w:left w:val="none" w:color="000000" w:sz="0" w:space="0"/>
          <w:bottom w:val="none" w:color="000000" w:sz="0" w:space="0"/>
          <w:right w:val="none" w:color="000000" w:sz="0" w:space="0"/>
        </w:pBdr>
        <w:spacing w:line="360" w:lineRule="auto"/>
        <w:ind w:firstLine="480"/>
        <w:rPr>
          <w:highlight w:val="none"/>
        </w:rPr>
      </w:pPr>
      <w:r>
        <w:rPr>
          <w:rFonts w:ascii="宋体" w:hAnsi="宋体" w:eastAsia="宋体" w:cs="宋体"/>
          <w:color w:val="000000"/>
          <w:sz w:val="24"/>
          <w:highlight w:val="none"/>
        </w:rPr>
        <w:t>1.乙方提供团队人员须与投标文件名单一致，派出人员后，必须确保派出人员能够将参与的审计项目实施完毕，不得更改派出人员。</w:t>
      </w:r>
      <w:r>
        <w:rPr>
          <w:rFonts w:ascii="宋体" w:hAnsi="宋体" w:eastAsia="宋体" w:cs="宋体"/>
          <w:b/>
          <w:color w:val="000000"/>
          <w:sz w:val="24"/>
          <w:highlight w:val="none"/>
        </w:rPr>
        <w:t>未经甲方允许，乙方自行更换投标文件中明确的派出人员的，每自行更换1人，按每人2万元标准扣除审计费用。</w:t>
      </w:r>
      <w:r>
        <w:rPr>
          <w:rFonts w:ascii="宋体" w:hAnsi="宋体" w:eastAsia="宋体" w:cs="宋体"/>
          <w:color w:val="000000"/>
          <w:sz w:val="24"/>
          <w:highlight w:val="none"/>
        </w:rPr>
        <w:t>如实施过程中发现乙方人员无法满足项目需求，甲方有权根据项目需要要求乙方重新调整团队人员，直至甲方完成审计服务；调换人员后项目团队仍不能满足项目需求的，甲方有权终止合同，并委托其他供应商完成审计任务，由乙方承担违约责任。</w:t>
      </w:r>
    </w:p>
    <w:p w14:paraId="07DA90AC">
      <w:pPr>
        <w:pBdr>
          <w:top w:val="none" w:color="000000" w:sz="0" w:space="0"/>
          <w:left w:val="none" w:color="000000" w:sz="0" w:space="0"/>
          <w:bottom w:val="none" w:color="000000" w:sz="0" w:space="0"/>
          <w:right w:val="none" w:color="000000" w:sz="0" w:space="0"/>
        </w:pBdr>
        <w:spacing w:line="360" w:lineRule="auto"/>
        <w:ind w:firstLine="480"/>
        <w:rPr>
          <w:highlight w:val="none"/>
        </w:rPr>
      </w:pPr>
      <w:r>
        <w:rPr>
          <w:rFonts w:ascii="宋体" w:hAnsi="宋体" w:eastAsia="宋体" w:cs="宋体"/>
          <w:color w:val="000000"/>
          <w:sz w:val="24"/>
          <w:highlight w:val="none"/>
        </w:rPr>
        <w:t>2.乙方必须约束其派出人员依据《中华人民共和国审计法》《中华人民共和国审计法实施条例》《国家审计准则》及国家有关法律法规规定，接受审计组组长的安排，实施必要的审计程序，按照规定的时间完成审计任务；遵守审计取证程序，按照规定编制审计证明材料、审计工作底稿；</w:t>
      </w:r>
    </w:p>
    <w:p w14:paraId="66ECDA98">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3. 乙方及乙方派出人员应当在审计项目完成后，及时移交审计实施过程中所形成的全部纸质资料和电子资料，并不得将其参与审计工作获取的相关信息用于与所审计事项无关的目的；</w:t>
      </w:r>
    </w:p>
    <w:p w14:paraId="278AD755">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4. 乙方及乙方派出人员应当对其工作结果负责；</w:t>
      </w:r>
    </w:p>
    <w:p w14:paraId="147390C1">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5. 乙方保证与派出人员签订书面合法有效的劳动合同，依法保障派出人员的合法权益；乙方负责为派出人员根据相关法律法规及劳动合同的要求办理社会保险，建立派出人员档案。如因乙方未尽到上述保障义务，造成派出人员利益受损或导致甲方卷入纠纷的，由乙方承担全部责任，并有义务赔偿给甲方造成的一切损失；</w:t>
      </w:r>
    </w:p>
    <w:p w14:paraId="3084EA6C">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6. 乙方对本协议中涉及的派出人员承担国家法律、法规中应由用人单位承担的一切责任，若上述人员发生休假、加班、工伤、大病、生育、工资、社会保险、公积金等任何劳资纠纷，甲方除了根据本合同向乙方支付审计服务费用之外，不承担乙方派出人员的任何费用，包括但不限于工资、社会保险、公积金、经济补偿金、经济赔偿金；</w:t>
      </w:r>
    </w:p>
    <w:p w14:paraId="7621EE73">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7. 如因第三人侵权造成乙方派出人员人身及财产受损的，由第三人向乙方派出人员承担相应的法律责任，甲方仅予以必要的协助；乙方派出人员损害未得到足额赔付的，由乙方自行弥补；</w:t>
      </w:r>
    </w:p>
    <w:p w14:paraId="0EC59AFB">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8. 乙方派出人员须遵守甲方的各项工作规章制度。</w:t>
      </w:r>
    </w:p>
    <w:p w14:paraId="4DD7438F">
      <w:pPr>
        <w:pBdr>
          <w:top w:val="none" w:color="000000" w:sz="0" w:space="0"/>
          <w:left w:val="none" w:color="000000" w:sz="0" w:space="0"/>
          <w:bottom w:val="none" w:color="000000" w:sz="0" w:space="0"/>
          <w:right w:val="none" w:color="000000" w:sz="0" w:space="0"/>
        </w:pBdr>
        <w:spacing w:before="240" w:after="240" w:line="360" w:lineRule="auto"/>
        <w:rPr>
          <w:highlight w:val="none"/>
        </w:rPr>
      </w:pPr>
      <w:r>
        <w:rPr>
          <w:rFonts w:ascii="宋体" w:hAnsi="宋体" w:eastAsia="宋体" w:cs="宋体"/>
          <w:color w:val="000000"/>
          <w:sz w:val="21"/>
          <w:highlight w:val="none"/>
        </w:rPr>
        <w:t> </w:t>
      </w:r>
    </w:p>
    <w:p w14:paraId="56479D83">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b/>
          <w:color w:val="000000"/>
          <w:sz w:val="24"/>
          <w:highlight w:val="none"/>
        </w:rPr>
        <w:t>廉政、回避和保密承诺义务</w:t>
      </w:r>
    </w:p>
    <w:p w14:paraId="14729F42">
      <w:pPr>
        <w:pBdr>
          <w:top w:val="none" w:color="000000" w:sz="0" w:space="0"/>
          <w:left w:val="none" w:color="000000" w:sz="0" w:space="0"/>
          <w:bottom w:val="none" w:color="000000" w:sz="0" w:space="0"/>
          <w:right w:val="none" w:color="000000" w:sz="0" w:space="0"/>
        </w:pBdr>
        <w:spacing w:line="360" w:lineRule="auto"/>
        <w:ind w:firstLine="480"/>
        <w:rPr>
          <w:highlight w:val="none"/>
        </w:rPr>
      </w:pPr>
      <w:r>
        <w:rPr>
          <w:rFonts w:ascii="宋体" w:hAnsi="宋体" w:eastAsia="宋体" w:cs="宋体"/>
          <w:color w:val="000000"/>
          <w:sz w:val="24"/>
          <w:highlight w:val="none"/>
        </w:rPr>
        <w:t>1. 乙方及派出人员参与审计工作，必须遵守审计“四严禁”工作要求、审计“八不准”工作纪律及其它各项审计工作纪律、廉政纪律、保密纪律等法律法规和纪律；</w:t>
      </w:r>
    </w:p>
    <w:p w14:paraId="0C545356">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2. 乙方及派出人员在甲方明确其参与审计的工作对象（审计对象）和任务后，乙方派出人员如与审计对象有利害关系（详见《审计法实施条例》第十二条规定的情形），应主动向甲方反映并申请回避；</w:t>
      </w:r>
    </w:p>
    <w:p w14:paraId="1A0DD21A">
      <w:pPr>
        <w:pBdr>
          <w:top w:val="none" w:color="000000" w:sz="0" w:space="0"/>
          <w:left w:val="none" w:color="000000" w:sz="0" w:space="0"/>
          <w:bottom w:val="none" w:color="000000" w:sz="0" w:space="0"/>
          <w:right w:val="none" w:color="000000" w:sz="0" w:space="0"/>
        </w:pBdr>
        <w:spacing w:line="360" w:lineRule="auto"/>
        <w:ind w:firstLine="480"/>
        <w:rPr>
          <w:highlight w:val="none"/>
        </w:rPr>
      </w:pPr>
      <w:r>
        <w:rPr>
          <w:rFonts w:ascii="宋体" w:hAnsi="宋体" w:eastAsia="宋体" w:cs="宋体"/>
          <w:color w:val="000000"/>
          <w:sz w:val="24"/>
          <w:highlight w:val="none"/>
        </w:rPr>
        <w:t>3. 乙方及其派出人员必须遵守保密协议和保密承诺书要求,履行保密义务；乙方务必保管好项目单位报送的所有资料，并不得以任何形式向任何单位或个人泄露本次审计结论及项目审计所涉及的内容和相关信息，否则将依法追究相关责任。</w:t>
      </w:r>
    </w:p>
    <w:p w14:paraId="1F41EA57">
      <w:pPr>
        <w:pBdr>
          <w:top w:val="none" w:color="000000" w:sz="0" w:space="0"/>
          <w:left w:val="none" w:color="000000" w:sz="0" w:space="0"/>
          <w:bottom w:val="none" w:color="000000" w:sz="0" w:space="0"/>
          <w:right w:val="none" w:color="000000" w:sz="0" w:space="0"/>
        </w:pBdr>
        <w:spacing w:line="360" w:lineRule="auto"/>
        <w:ind w:firstLine="480"/>
        <w:rPr>
          <w:highlight w:val="none"/>
        </w:rPr>
      </w:pPr>
      <w:r>
        <w:rPr>
          <w:rFonts w:ascii="宋体" w:hAnsi="宋体" w:eastAsia="宋体" w:cs="宋体"/>
          <w:color w:val="000000"/>
          <w:sz w:val="24"/>
          <w:highlight w:val="none"/>
        </w:rPr>
        <w:t>4. 乙方务必保管好项目单位报送的所有资料，并不得以任何形式向任何单位或个人泄露本次审计结论及项目审计所涉及的内容和相关信息，否则将依法追究相关责任。</w:t>
      </w:r>
    </w:p>
    <w:p w14:paraId="3EC7DC9A">
      <w:pPr>
        <w:pBdr>
          <w:top w:val="none" w:color="000000" w:sz="0" w:space="0"/>
          <w:left w:val="none" w:color="000000" w:sz="0" w:space="0"/>
          <w:bottom w:val="none" w:color="000000" w:sz="0" w:space="0"/>
          <w:right w:val="none" w:color="000000" w:sz="0" w:space="0"/>
        </w:pBdr>
        <w:spacing w:line="360" w:lineRule="auto"/>
        <w:ind w:firstLine="480"/>
        <w:rPr>
          <w:highlight w:val="none"/>
        </w:rPr>
      </w:pPr>
      <w:r>
        <w:rPr>
          <w:rFonts w:ascii="宋体" w:hAnsi="宋体" w:eastAsia="宋体" w:cs="宋体"/>
          <w:color w:val="000000"/>
          <w:sz w:val="24"/>
          <w:highlight w:val="none"/>
        </w:rPr>
        <w:t>5. 乙方不得向项目单位收取任何费用，提出与评价内容无关的要求，更不得借评价之机承揽其他业务。</w:t>
      </w:r>
    </w:p>
    <w:p w14:paraId="1466E759">
      <w:pPr>
        <w:pBdr>
          <w:top w:val="none" w:color="000000" w:sz="0" w:space="0"/>
          <w:left w:val="none" w:color="000000" w:sz="0" w:space="0"/>
          <w:bottom w:val="none" w:color="000000" w:sz="0" w:space="0"/>
          <w:right w:val="none" w:color="000000" w:sz="0" w:space="0"/>
        </w:pBdr>
        <w:spacing w:line="360" w:lineRule="auto"/>
        <w:ind w:firstLine="480"/>
        <w:rPr>
          <w:highlight w:val="none"/>
        </w:rPr>
      </w:pPr>
      <w:r>
        <w:rPr>
          <w:rFonts w:ascii="宋体" w:hAnsi="宋体" w:eastAsia="宋体" w:cs="宋体"/>
          <w:color w:val="000000"/>
          <w:sz w:val="24"/>
          <w:highlight w:val="none"/>
        </w:rPr>
        <w:t>对因严重过失或故意提供不实项目成果的，采购人将不予支付服务费用，并终止其业务资格，同时依法追究其法律责任。</w:t>
      </w:r>
    </w:p>
    <w:p w14:paraId="4AC60E48">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b/>
          <w:color w:val="000000"/>
          <w:sz w:val="24"/>
          <w:highlight w:val="none"/>
        </w:rPr>
        <w:t>赔偿义务</w:t>
      </w:r>
    </w:p>
    <w:p w14:paraId="2B1ECEE7">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乙方及其派出人员有下列情形之一的，甲方可追究乙方违约责任，由乙方及其派出人员连带承担相应刑事和民事责任，给甲方造成损失的，应连带赔偿甲方损失：</w:t>
      </w:r>
    </w:p>
    <w:p w14:paraId="57F4393A">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1. 隐瞒审计发现的问题或者与被审计单位串通舞弊的；</w:t>
      </w:r>
    </w:p>
    <w:p w14:paraId="4F444095">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2. 利用受聘工作从被审计单位获取不正当利益的；</w:t>
      </w:r>
    </w:p>
    <w:p w14:paraId="086E7E28">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3. 将参与审计工作获取的信息用于与审计事项无关目的的；</w:t>
      </w:r>
    </w:p>
    <w:p w14:paraId="11EA78D6">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4. 违反保密纪律或回避规定的；</w:t>
      </w:r>
    </w:p>
    <w:p w14:paraId="6B2A54F9">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5. 拒绝接受审计组统一领导和监督的；</w:t>
      </w:r>
    </w:p>
    <w:p w14:paraId="520ACD3E">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6. 不履行本合同规定的其他义务的。</w:t>
      </w:r>
    </w:p>
    <w:p w14:paraId="037095E0">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b/>
          <w:color w:val="000000"/>
          <w:sz w:val="24"/>
          <w:highlight w:val="none"/>
        </w:rPr>
        <w:t>其他义务</w:t>
      </w:r>
    </w:p>
    <w:p w14:paraId="11325765">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 xml:space="preserve">如乙方派出人员在派出工作中侵害他人合法权益或给他人造成损害的，由乙方及乙方派出人员承担相应责任，甲方不承担任何赔偿。 </w:t>
      </w:r>
    </w:p>
    <w:p w14:paraId="534F66D4">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第四条服务时间</w:t>
      </w:r>
    </w:p>
    <w:p w14:paraId="2828A224">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完成审计报告，具体计划安排按甲方要求确定。</w:t>
      </w:r>
    </w:p>
    <w:p w14:paraId="39E111BA">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第五条派出人员基本情况（</w:t>
      </w:r>
      <w:r>
        <w:rPr>
          <w:rFonts w:hint="eastAsia" w:ascii="宋体" w:hAnsi="宋体" w:eastAsia="宋体" w:cs="宋体"/>
          <w:color w:val="000000"/>
          <w:sz w:val="24"/>
          <w:highlight w:val="none"/>
        </w:rPr>
        <w:t>包括：姓名、性别、出生年月、人员类别等</w:t>
      </w:r>
      <w:r>
        <w:rPr>
          <w:rFonts w:ascii="宋体" w:hAnsi="宋体" w:eastAsia="宋体" w:cs="宋体"/>
          <w:color w:val="000000"/>
          <w:sz w:val="24"/>
          <w:highlight w:val="none"/>
        </w:rPr>
        <w:t>）</w:t>
      </w:r>
    </w:p>
    <w:tbl>
      <w:tblPr>
        <w:tblStyle w:val="13"/>
        <w:tblW w:w="9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1320"/>
        <w:gridCol w:w="907"/>
        <w:gridCol w:w="2751"/>
        <w:gridCol w:w="1503"/>
        <w:gridCol w:w="1999"/>
      </w:tblGrid>
      <w:tr w14:paraId="51CC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blHeader/>
          <w:jc w:val="center"/>
        </w:trPr>
        <w:tc>
          <w:tcPr>
            <w:tcW w:w="746" w:type="dxa"/>
            <w:vAlign w:val="center"/>
          </w:tcPr>
          <w:p w14:paraId="422075EE">
            <w:pPr>
              <w:spacing w:line="360" w:lineRule="auto"/>
              <w:ind w:right="-46" w:rightChars="-23"/>
              <w:jc w:val="center"/>
              <w:rPr>
                <w:rFonts w:hint="eastAsia" w:ascii="宋体" w:hAnsi="宋体" w:cs="宋体"/>
                <w:sz w:val="24"/>
                <w:szCs w:val="24"/>
                <w:highlight w:val="none"/>
              </w:rPr>
            </w:pPr>
            <w:bookmarkStart w:id="0" w:name="_Hlk78818775"/>
            <w:r>
              <w:rPr>
                <w:rFonts w:hint="eastAsia" w:ascii="宋体" w:hAnsi="宋体" w:cs="宋体"/>
                <w:sz w:val="24"/>
                <w:szCs w:val="24"/>
                <w:highlight w:val="none"/>
              </w:rPr>
              <w:t>序号</w:t>
            </w:r>
          </w:p>
        </w:tc>
        <w:tc>
          <w:tcPr>
            <w:tcW w:w="1320" w:type="dxa"/>
            <w:vAlign w:val="center"/>
          </w:tcPr>
          <w:p w14:paraId="72590572">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姓名</w:t>
            </w:r>
          </w:p>
        </w:tc>
        <w:tc>
          <w:tcPr>
            <w:tcW w:w="907" w:type="dxa"/>
            <w:vAlign w:val="center"/>
          </w:tcPr>
          <w:p w14:paraId="5C32EC62">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性别</w:t>
            </w:r>
          </w:p>
        </w:tc>
        <w:tc>
          <w:tcPr>
            <w:tcW w:w="2751" w:type="dxa"/>
            <w:vAlign w:val="center"/>
          </w:tcPr>
          <w:p w14:paraId="28A3631D">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身份证号码</w:t>
            </w:r>
          </w:p>
        </w:tc>
        <w:tc>
          <w:tcPr>
            <w:tcW w:w="1503" w:type="dxa"/>
            <w:vAlign w:val="center"/>
          </w:tcPr>
          <w:p w14:paraId="1F1E1E83">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出生年月</w:t>
            </w:r>
          </w:p>
        </w:tc>
        <w:tc>
          <w:tcPr>
            <w:tcW w:w="1999" w:type="dxa"/>
            <w:vAlign w:val="center"/>
          </w:tcPr>
          <w:p w14:paraId="61854C4C">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专业类别</w:t>
            </w:r>
          </w:p>
        </w:tc>
      </w:tr>
      <w:tr w14:paraId="280D9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6" w:type="dxa"/>
            <w:vAlign w:val="center"/>
          </w:tcPr>
          <w:p w14:paraId="3DFD9D13">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1</w:t>
            </w:r>
          </w:p>
        </w:tc>
        <w:tc>
          <w:tcPr>
            <w:tcW w:w="1320" w:type="dxa"/>
            <w:vAlign w:val="center"/>
          </w:tcPr>
          <w:p w14:paraId="457FB992">
            <w:pPr>
              <w:spacing w:line="360" w:lineRule="auto"/>
              <w:jc w:val="center"/>
              <w:rPr>
                <w:rFonts w:ascii="宋体" w:hAnsi="宋体" w:cs="宋体"/>
                <w:sz w:val="24"/>
                <w:szCs w:val="24"/>
                <w:highlight w:val="none"/>
              </w:rPr>
            </w:pPr>
            <w:r>
              <w:rPr>
                <w:rFonts w:hint="eastAsia" w:ascii="宋体" w:hAnsi="宋体" w:cs="宋体"/>
                <w:sz w:val="24"/>
                <w:szCs w:val="24"/>
                <w:highlight w:val="none"/>
              </w:rPr>
              <w:t>梁婷婷</w:t>
            </w:r>
          </w:p>
        </w:tc>
        <w:tc>
          <w:tcPr>
            <w:tcW w:w="907" w:type="dxa"/>
            <w:vAlign w:val="center"/>
          </w:tcPr>
          <w:p w14:paraId="4FFEDD72">
            <w:pPr>
              <w:spacing w:line="360" w:lineRule="auto"/>
              <w:jc w:val="center"/>
              <w:rPr>
                <w:rFonts w:ascii="宋体" w:hAnsi="宋体" w:cs="宋体"/>
                <w:sz w:val="24"/>
                <w:szCs w:val="24"/>
                <w:highlight w:val="none"/>
              </w:rPr>
            </w:pPr>
            <w:r>
              <w:rPr>
                <w:rFonts w:hint="eastAsia" w:ascii="宋体" w:hAnsi="宋体" w:cs="宋体"/>
                <w:sz w:val="24"/>
                <w:szCs w:val="24"/>
                <w:highlight w:val="none"/>
              </w:rPr>
              <w:t>女</w:t>
            </w:r>
          </w:p>
        </w:tc>
        <w:tc>
          <w:tcPr>
            <w:tcW w:w="2751" w:type="dxa"/>
            <w:vAlign w:val="center"/>
          </w:tcPr>
          <w:p w14:paraId="7F823C39">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330106198103090026</w:t>
            </w:r>
          </w:p>
        </w:tc>
        <w:tc>
          <w:tcPr>
            <w:tcW w:w="1503" w:type="dxa"/>
            <w:vAlign w:val="center"/>
          </w:tcPr>
          <w:p w14:paraId="424D406E">
            <w:pPr>
              <w:spacing w:line="360" w:lineRule="auto"/>
              <w:jc w:val="center"/>
              <w:rPr>
                <w:rFonts w:ascii="宋体" w:hAnsi="宋体" w:cs="宋体"/>
                <w:sz w:val="24"/>
                <w:szCs w:val="24"/>
                <w:highlight w:val="none"/>
              </w:rPr>
            </w:pPr>
            <w:r>
              <w:rPr>
                <w:rFonts w:hint="eastAsia" w:ascii="宋体" w:hAnsi="宋体" w:cs="宋体"/>
                <w:sz w:val="24"/>
                <w:szCs w:val="24"/>
                <w:highlight w:val="none"/>
              </w:rPr>
              <w:t>1981年3月</w:t>
            </w:r>
          </w:p>
        </w:tc>
        <w:tc>
          <w:tcPr>
            <w:tcW w:w="1999" w:type="dxa"/>
            <w:vAlign w:val="center"/>
          </w:tcPr>
          <w:p w14:paraId="28ADA131">
            <w:pPr>
              <w:spacing w:line="360" w:lineRule="auto"/>
              <w:jc w:val="center"/>
              <w:rPr>
                <w:rFonts w:ascii="宋体" w:hAnsi="宋体" w:cs="宋体"/>
                <w:sz w:val="24"/>
                <w:szCs w:val="24"/>
                <w:highlight w:val="none"/>
              </w:rPr>
            </w:pPr>
            <w:r>
              <w:rPr>
                <w:rFonts w:hint="eastAsia" w:ascii="宋体" w:hAnsi="宋体" w:cs="宋体"/>
                <w:sz w:val="24"/>
                <w:szCs w:val="24"/>
                <w:highlight w:val="none"/>
              </w:rPr>
              <w:t>财务审计</w:t>
            </w:r>
          </w:p>
        </w:tc>
      </w:tr>
      <w:tr w14:paraId="34953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6" w:type="dxa"/>
            <w:vAlign w:val="center"/>
          </w:tcPr>
          <w:p w14:paraId="2C796337">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2</w:t>
            </w:r>
          </w:p>
        </w:tc>
        <w:tc>
          <w:tcPr>
            <w:tcW w:w="1320" w:type="dxa"/>
            <w:vAlign w:val="center"/>
          </w:tcPr>
          <w:p w14:paraId="47DFEF6D">
            <w:pPr>
              <w:spacing w:line="360" w:lineRule="auto"/>
              <w:jc w:val="center"/>
              <w:rPr>
                <w:rFonts w:ascii="宋体" w:hAnsi="宋体" w:cs="宋体"/>
                <w:sz w:val="24"/>
                <w:szCs w:val="24"/>
                <w:highlight w:val="none"/>
              </w:rPr>
            </w:pPr>
            <w:r>
              <w:rPr>
                <w:rFonts w:hint="eastAsia" w:ascii="宋体" w:hAnsi="宋体" w:cs="宋体"/>
                <w:sz w:val="24"/>
                <w:szCs w:val="24"/>
                <w:highlight w:val="none"/>
              </w:rPr>
              <w:t>王焘</w:t>
            </w:r>
          </w:p>
        </w:tc>
        <w:tc>
          <w:tcPr>
            <w:tcW w:w="907" w:type="dxa"/>
            <w:vAlign w:val="center"/>
          </w:tcPr>
          <w:p w14:paraId="74F0F625">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男</w:t>
            </w:r>
          </w:p>
        </w:tc>
        <w:tc>
          <w:tcPr>
            <w:tcW w:w="2751" w:type="dxa"/>
            <w:vAlign w:val="center"/>
          </w:tcPr>
          <w:p w14:paraId="5B1FE991">
            <w:pPr>
              <w:spacing w:line="360" w:lineRule="auto"/>
              <w:jc w:val="center"/>
              <w:rPr>
                <w:rFonts w:hint="eastAsia" w:ascii="宋体" w:hAnsi="宋体" w:cs="宋体"/>
                <w:sz w:val="24"/>
                <w:szCs w:val="24"/>
                <w:highlight w:val="none"/>
              </w:rPr>
            </w:pPr>
            <w:r>
              <w:rPr>
                <w:rFonts w:ascii="宋体" w:hAnsi="宋体" w:cs="宋体"/>
                <w:sz w:val="24"/>
                <w:szCs w:val="24"/>
                <w:highlight w:val="none"/>
              </w:rPr>
              <w:t>320122200009101612</w:t>
            </w:r>
          </w:p>
        </w:tc>
        <w:tc>
          <w:tcPr>
            <w:tcW w:w="1503" w:type="dxa"/>
            <w:vAlign w:val="center"/>
          </w:tcPr>
          <w:p w14:paraId="725050E4">
            <w:pPr>
              <w:spacing w:line="360" w:lineRule="auto"/>
              <w:jc w:val="center"/>
              <w:rPr>
                <w:rFonts w:ascii="宋体" w:hAnsi="宋体" w:cs="宋体"/>
                <w:sz w:val="24"/>
                <w:szCs w:val="24"/>
                <w:highlight w:val="none"/>
              </w:rPr>
            </w:pPr>
            <w:r>
              <w:rPr>
                <w:rFonts w:hint="eastAsia" w:ascii="宋体" w:hAnsi="宋体" w:cs="宋体"/>
                <w:sz w:val="24"/>
                <w:szCs w:val="24"/>
                <w:highlight w:val="none"/>
              </w:rPr>
              <w:t>2000年9月</w:t>
            </w:r>
          </w:p>
        </w:tc>
        <w:tc>
          <w:tcPr>
            <w:tcW w:w="1999" w:type="dxa"/>
            <w:vAlign w:val="center"/>
          </w:tcPr>
          <w:p w14:paraId="0E3C2647">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财务审计</w:t>
            </w:r>
          </w:p>
        </w:tc>
      </w:tr>
      <w:tr w14:paraId="24723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6" w:type="dxa"/>
            <w:vAlign w:val="center"/>
          </w:tcPr>
          <w:p w14:paraId="5A1F7AE4">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3</w:t>
            </w:r>
          </w:p>
        </w:tc>
        <w:tc>
          <w:tcPr>
            <w:tcW w:w="1320" w:type="dxa"/>
            <w:vAlign w:val="center"/>
          </w:tcPr>
          <w:p w14:paraId="04BA6E33">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许小裕</w:t>
            </w:r>
          </w:p>
        </w:tc>
        <w:tc>
          <w:tcPr>
            <w:tcW w:w="907" w:type="dxa"/>
            <w:vAlign w:val="center"/>
          </w:tcPr>
          <w:p w14:paraId="7F22472E">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男</w:t>
            </w:r>
          </w:p>
        </w:tc>
        <w:tc>
          <w:tcPr>
            <w:tcW w:w="2751" w:type="dxa"/>
            <w:vAlign w:val="center"/>
          </w:tcPr>
          <w:p w14:paraId="6111B9CD">
            <w:pPr>
              <w:spacing w:line="360" w:lineRule="auto"/>
              <w:jc w:val="center"/>
              <w:rPr>
                <w:rFonts w:ascii="宋体" w:hAnsi="宋体" w:cs="宋体"/>
                <w:sz w:val="24"/>
                <w:szCs w:val="24"/>
                <w:highlight w:val="none"/>
              </w:rPr>
            </w:pPr>
            <w:r>
              <w:rPr>
                <w:rFonts w:ascii="宋体" w:hAnsi="宋体" w:cs="宋体"/>
                <w:sz w:val="24"/>
                <w:szCs w:val="24"/>
                <w:highlight w:val="none"/>
              </w:rPr>
              <w:t>330824200204071212</w:t>
            </w:r>
          </w:p>
        </w:tc>
        <w:tc>
          <w:tcPr>
            <w:tcW w:w="1503" w:type="dxa"/>
            <w:vAlign w:val="center"/>
          </w:tcPr>
          <w:p w14:paraId="0011E4B0">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2002年4月</w:t>
            </w:r>
          </w:p>
        </w:tc>
        <w:tc>
          <w:tcPr>
            <w:tcW w:w="1999" w:type="dxa"/>
            <w:vAlign w:val="center"/>
          </w:tcPr>
          <w:p w14:paraId="497EE70A">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财务审计</w:t>
            </w:r>
          </w:p>
        </w:tc>
      </w:tr>
      <w:tr w14:paraId="63F89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6" w:type="dxa"/>
            <w:vAlign w:val="center"/>
          </w:tcPr>
          <w:p w14:paraId="7FB297B9">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4</w:t>
            </w:r>
          </w:p>
        </w:tc>
        <w:tc>
          <w:tcPr>
            <w:tcW w:w="1320" w:type="dxa"/>
            <w:vAlign w:val="center"/>
          </w:tcPr>
          <w:p w14:paraId="017380A2">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李久豪</w:t>
            </w:r>
          </w:p>
        </w:tc>
        <w:tc>
          <w:tcPr>
            <w:tcW w:w="907" w:type="dxa"/>
            <w:vAlign w:val="center"/>
          </w:tcPr>
          <w:p w14:paraId="471A7409">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男</w:t>
            </w:r>
          </w:p>
        </w:tc>
        <w:tc>
          <w:tcPr>
            <w:tcW w:w="2751" w:type="dxa"/>
            <w:vAlign w:val="center"/>
          </w:tcPr>
          <w:p w14:paraId="5CE2450D">
            <w:pPr>
              <w:spacing w:line="360" w:lineRule="auto"/>
              <w:jc w:val="center"/>
              <w:rPr>
                <w:rFonts w:ascii="宋体" w:hAnsi="宋体" w:cs="宋体"/>
                <w:sz w:val="24"/>
                <w:szCs w:val="24"/>
                <w:highlight w:val="none"/>
              </w:rPr>
            </w:pPr>
            <w:r>
              <w:rPr>
                <w:rFonts w:ascii="宋体" w:hAnsi="宋体" w:cs="宋体"/>
                <w:sz w:val="24"/>
                <w:szCs w:val="24"/>
                <w:highlight w:val="none"/>
              </w:rPr>
              <w:t>320821200207210539</w:t>
            </w:r>
          </w:p>
        </w:tc>
        <w:tc>
          <w:tcPr>
            <w:tcW w:w="1503" w:type="dxa"/>
            <w:vAlign w:val="center"/>
          </w:tcPr>
          <w:p w14:paraId="6F7FE979">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2002年7月</w:t>
            </w:r>
          </w:p>
        </w:tc>
        <w:tc>
          <w:tcPr>
            <w:tcW w:w="1999" w:type="dxa"/>
            <w:vAlign w:val="center"/>
          </w:tcPr>
          <w:p w14:paraId="192CBA6D">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财务审计</w:t>
            </w:r>
          </w:p>
        </w:tc>
      </w:tr>
      <w:tr w14:paraId="5963C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6" w:type="dxa"/>
            <w:vAlign w:val="center"/>
          </w:tcPr>
          <w:p w14:paraId="5B80FA2E">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5</w:t>
            </w:r>
          </w:p>
        </w:tc>
        <w:tc>
          <w:tcPr>
            <w:tcW w:w="1320" w:type="dxa"/>
            <w:vAlign w:val="center"/>
          </w:tcPr>
          <w:p w14:paraId="7E0AAE5E">
            <w:pPr>
              <w:spacing w:line="360" w:lineRule="auto"/>
              <w:jc w:val="center"/>
              <w:rPr>
                <w:rFonts w:ascii="宋体" w:hAnsi="宋体" w:cs="宋体"/>
                <w:sz w:val="24"/>
                <w:szCs w:val="24"/>
                <w:highlight w:val="none"/>
              </w:rPr>
            </w:pPr>
            <w:r>
              <w:rPr>
                <w:rFonts w:hint="eastAsia" w:ascii="宋体" w:hAnsi="宋体" w:cs="宋体"/>
                <w:sz w:val="24"/>
                <w:szCs w:val="24"/>
                <w:highlight w:val="none"/>
              </w:rPr>
              <w:t>蓝玉</w:t>
            </w:r>
          </w:p>
        </w:tc>
        <w:tc>
          <w:tcPr>
            <w:tcW w:w="907" w:type="dxa"/>
            <w:vAlign w:val="center"/>
          </w:tcPr>
          <w:p w14:paraId="7AD04F6B">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女</w:t>
            </w:r>
          </w:p>
        </w:tc>
        <w:tc>
          <w:tcPr>
            <w:tcW w:w="2751" w:type="dxa"/>
            <w:vAlign w:val="center"/>
          </w:tcPr>
          <w:p w14:paraId="2483C511">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61010219580521356X</w:t>
            </w:r>
          </w:p>
        </w:tc>
        <w:tc>
          <w:tcPr>
            <w:tcW w:w="1503" w:type="dxa"/>
            <w:vAlign w:val="center"/>
          </w:tcPr>
          <w:p w14:paraId="6E2BE721">
            <w:pPr>
              <w:spacing w:line="360" w:lineRule="auto"/>
              <w:jc w:val="center"/>
              <w:rPr>
                <w:rFonts w:ascii="宋体" w:hAnsi="宋体" w:cs="宋体"/>
                <w:sz w:val="24"/>
                <w:szCs w:val="24"/>
                <w:highlight w:val="none"/>
              </w:rPr>
            </w:pPr>
            <w:r>
              <w:rPr>
                <w:rFonts w:hint="eastAsia" w:ascii="宋体" w:hAnsi="宋体" w:cs="宋体"/>
                <w:sz w:val="24"/>
                <w:szCs w:val="24"/>
                <w:highlight w:val="none"/>
              </w:rPr>
              <w:t>1958年5月</w:t>
            </w:r>
          </w:p>
        </w:tc>
        <w:tc>
          <w:tcPr>
            <w:tcW w:w="1999" w:type="dxa"/>
            <w:vAlign w:val="center"/>
          </w:tcPr>
          <w:p w14:paraId="254EC18B">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财务审计</w:t>
            </w:r>
          </w:p>
        </w:tc>
      </w:tr>
      <w:tr w14:paraId="3C865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6" w:type="dxa"/>
            <w:vAlign w:val="center"/>
          </w:tcPr>
          <w:p w14:paraId="6323836E">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6</w:t>
            </w:r>
          </w:p>
        </w:tc>
        <w:tc>
          <w:tcPr>
            <w:tcW w:w="1320" w:type="dxa"/>
            <w:vAlign w:val="center"/>
          </w:tcPr>
          <w:p w14:paraId="64760E84">
            <w:pPr>
              <w:spacing w:line="360" w:lineRule="auto"/>
              <w:jc w:val="center"/>
              <w:rPr>
                <w:rFonts w:ascii="宋体" w:hAnsi="宋体" w:cs="宋体"/>
                <w:sz w:val="24"/>
                <w:szCs w:val="24"/>
                <w:highlight w:val="none"/>
              </w:rPr>
            </w:pPr>
            <w:r>
              <w:rPr>
                <w:rFonts w:hint="eastAsia" w:ascii="宋体" w:hAnsi="宋体" w:cs="宋体"/>
                <w:sz w:val="24"/>
                <w:szCs w:val="24"/>
                <w:highlight w:val="none"/>
              </w:rPr>
              <w:t>史学业</w:t>
            </w:r>
          </w:p>
        </w:tc>
        <w:tc>
          <w:tcPr>
            <w:tcW w:w="907" w:type="dxa"/>
            <w:vAlign w:val="center"/>
          </w:tcPr>
          <w:p w14:paraId="2017CBF3">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男</w:t>
            </w:r>
          </w:p>
        </w:tc>
        <w:tc>
          <w:tcPr>
            <w:tcW w:w="2751" w:type="dxa"/>
            <w:vAlign w:val="center"/>
          </w:tcPr>
          <w:p w14:paraId="4BF7F5A1">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320882200007223610</w:t>
            </w:r>
          </w:p>
        </w:tc>
        <w:tc>
          <w:tcPr>
            <w:tcW w:w="1503" w:type="dxa"/>
            <w:vAlign w:val="center"/>
          </w:tcPr>
          <w:p w14:paraId="0296FEDA">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2000年7月</w:t>
            </w:r>
          </w:p>
        </w:tc>
        <w:tc>
          <w:tcPr>
            <w:tcW w:w="1999" w:type="dxa"/>
            <w:vAlign w:val="center"/>
          </w:tcPr>
          <w:p w14:paraId="75BBB11B">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财务审计</w:t>
            </w:r>
          </w:p>
        </w:tc>
      </w:tr>
      <w:tr w14:paraId="6FA1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6" w:type="dxa"/>
            <w:vAlign w:val="center"/>
          </w:tcPr>
          <w:p w14:paraId="26F688B6">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7</w:t>
            </w:r>
          </w:p>
        </w:tc>
        <w:tc>
          <w:tcPr>
            <w:tcW w:w="1320" w:type="dxa"/>
            <w:vAlign w:val="center"/>
          </w:tcPr>
          <w:p w14:paraId="5AE7724D">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何向东</w:t>
            </w:r>
          </w:p>
        </w:tc>
        <w:tc>
          <w:tcPr>
            <w:tcW w:w="907" w:type="dxa"/>
            <w:vAlign w:val="center"/>
          </w:tcPr>
          <w:p w14:paraId="7C18D90C">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男</w:t>
            </w:r>
          </w:p>
        </w:tc>
        <w:tc>
          <w:tcPr>
            <w:tcW w:w="2751" w:type="dxa"/>
            <w:vAlign w:val="center"/>
          </w:tcPr>
          <w:p w14:paraId="604BA2D5">
            <w:pPr>
              <w:spacing w:line="360" w:lineRule="auto"/>
              <w:jc w:val="center"/>
              <w:rPr>
                <w:rFonts w:hint="eastAsia" w:ascii="宋体" w:hAnsi="宋体" w:cs="宋体"/>
                <w:sz w:val="24"/>
                <w:szCs w:val="24"/>
                <w:highlight w:val="none"/>
              </w:rPr>
            </w:pPr>
            <w:r>
              <w:rPr>
                <w:rFonts w:ascii="宋体" w:hAnsi="宋体" w:cs="宋体"/>
                <w:sz w:val="24"/>
                <w:szCs w:val="24"/>
                <w:highlight w:val="none"/>
              </w:rPr>
              <w:t>320381200208010335</w:t>
            </w:r>
          </w:p>
        </w:tc>
        <w:tc>
          <w:tcPr>
            <w:tcW w:w="1503" w:type="dxa"/>
            <w:vAlign w:val="center"/>
          </w:tcPr>
          <w:p w14:paraId="50B2C0C9">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2002年8月</w:t>
            </w:r>
          </w:p>
        </w:tc>
        <w:tc>
          <w:tcPr>
            <w:tcW w:w="1999" w:type="dxa"/>
            <w:vAlign w:val="center"/>
          </w:tcPr>
          <w:p w14:paraId="749ABF13">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财务审计</w:t>
            </w:r>
          </w:p>
        </w:tc>
      </w:tr>
      <w:tr w14:paraId="37164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46" w:type="dxa"/>
            <w:vAlign w:val="center"/>
          </w:tcPr>
          <w:p w14:paraId="21B0ECE3">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8</w:t>
            </w:r>
          </w:p>
        </w:tc>
        <w:tc>
          <w:tcPr>
            <w:tcW w:w="1320" w:type="dxa"/>
            <w:vAlign w:val="center"/>
          </w:tcPr>
          <w:p w14:paraId="1B7C791D">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陈乐</w:t>
            </w:r>
          </w:p>
        </w:tc>
        <w:tc>
          <w:tcPr>
            <w:tcW w:w="907" w:type="dxa"/>
            <w:vAlign w:val="center"/>
          </w:tcPr>
          <w:p w14:paraId="113F0D4D">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男</w:t>
            </w:r>
          </w:p>
        </w:tc>
        <w:tc>
          <w:tcPr>
            <w:tcW w:w="2751" w:type="dxa"/>
            <w:vAlign w:val="center"/>
          </w:tcPr>
          <w:p w14:paraId="3AEE0C8E">
            <w:pPr>
              <w:spacing w:line="360" w:lineRule="auto"/>
              <w:jc w:val="center"/>
              <w:rPr>
                <w:rFonts w:hint="eastAsia" w:ascii="宋体" w:hAnsi="宋体" w:cs="宋体"/>
                <w:sz w:val="24"/>
                <w:szCs w:val="24"/>
                <w:highlight w:val="none"/>
              </w:rPr>
            </w:pPr>
            <w:r>
              <w:rPr>
                <w:rFonts w:ascii="宋体" w:hAnsi="宋体" w:cs="宋体"/>
                <w:sz w:val="24"/>
                <w:szCs w:val="24"/>
                <w:highlight w:val="none"/>
              </w:rPr>
              <w:t>321183200203204854</w:t>
            </w:r>
          </w:p>
        </w:tc>
        <w:tc>
          <w:tcPr>
            <w:tcW w:w="1503" w:type="dxa"/>
            <w:vAlign w:val="center"/>
          </w:tcPr>
          <w:p w14:paraId="5964654C">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2002年3月</w:t>
            </w:r>
          </w:p>
        </w:tc>
        <w:tc>
          <w:tcPr>
            <w:tcW w:w="1999" w:type="dxa"/>
            <w:vAlign w:val="center"/>
          </w:tcPr>
          <w:p w14:paraId="7B8EF9E9">
            <w:pPr>
              <w:spacing w:line="360" w:lineRule="auto"/>
              <w:jc w:val="center"/>
              <w:rPr>
                <w:rFonts w:hint="eastAsia" w:ascii="宋体" w:hAnsi="宋体" w:cs="宋体"/>
                <w:sz w:val="24"/>
                <w:szCs w:val="24"/>
                <w:highlight w:val="none"/>
              </w:rPr>
            </w:pPr>
            <w:r>
              <w:rPr>
                <w:rFonts w:hint="eastAsia" w:ascii="宋体" w:hAnsi="宋体" w:cs="宋体"/>
                <w:sz w:val="24"/>
                <w:szCs w:val="24"/>
                <w:highlight w:val="none"/>
              </w:rPr>
              <w:t>财务审计</w:t>
            </w:r>
          </w:p>
        </w:tc>
      </w:tr>
      <w:bookmarkEnd w:id="0"/>
    </w:tbl>
    <w:p w14:paraId="1344965A">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 </w:t>
      </w:r>
    </w:p>
    <w:p w14:paraId="4948A362">
      <w:pPr>
        <w:pBdr>
          <w:top w:val="none" w:color="000000" w:sz="0" w:space="0"/>
          <w:left w:val="none" w:color="000000" w:sz="0" w:space="0"/>
          <w:bottom w:val="none" w:color="000000" w:sz="0" w:space="0"/>
          <w:right w:val="none" w:color="000000" w:sz="0" w:space="0"/>
        </w:pBdr>
        <w:spacing w:line="360" w:lineRule="auto"/>
        <w:ind w:firstLine="480"/>
        <w:rPr>
          <w:highlight w:val="none"/>
        </w:rPr>
      </w:pPr>
      <w:r>
        <w:rPr>
          <w:rFonts w:ascii="宋体" w:hAnsi="宋体" w:eastAsia="宋体" w:cs="宋体"/>
          <w:color w:val="000000"/>
          <w:sz w:val="24"/>
          <w:highlight w:val="none"/>
        </w:rPr>
        <w:t>第六条审计服务费用及支付方式</w:t>
      </w:r>
    </w:p>
    <w:p w14:paraId="02B0B249">
      <w:pPr>
        <w:pBdr>
          <w:top w:val="none" w:color="000000" w:sz="0" w:space="0"/>
          <w:left w:val="none" w:color="000000" w:sz="0" w:space="0"/>
          <w:bottom w:val="none" w:color="000000" w:sz="0" w:space="0"/>
          <w:right w:val="none" w:color="000000" w:sz="0" w:space="0"/>
        </w:pBdr>
        <w:spacing w:line="360" w:lineRule="auto"/>
        <w:ind w:firstLine="470"/>
        <w:jc w:val="both"/>
        <w:rPr>
          <w:highlight w:val="none"/>
        </w:rPr>
      </w:pPr>
      <w:r>
        <w:rPr>
          <w:rFonts w:ascii="宋体" w:hAnsi="宋体" w:eastAsia="宋体" w:cs="宋体"/>
          <w:color w:val="000000"/>
          <w:sz w:val="24"/>
          <w:highlight w:val="none"/>
        </w:rPr>
        <w:t>在本项目合同履约前，采购人可就本项目明细进行审核和调整。对经审核有超范围、标准报价，以及非本项目实施所必须的分项或明细可以进行核减；采购人调整明细项目时，调增明细项目、增加供货数量或提高服务标准的，成交供应商应在合同成交价内提供具体明细项目的预算平衡方案，经采购人审核同意后实施；调减明细项目、减少供货数量或降低服务标准的，采购人应核减调减项目价款，并在支付时予以扣除。</w:t>
      </w:r>
    </w:p>
    <w:p w14:paraId="4FB4392A">
      <w:pPr>
        <w:spacing w:line="360" w:lineRule="auto"/>
        <w:ind w:firstLine="470" w:firstLineChars="196"/>
        <w:rPr>
          <w:rFonts w:ascii="宋体" w:hAnsi="宋体" w:cs="宋体"/>
          <w:sz w:val="24"/>
          <w:szCs w:val="24"/>
          <w:highlight w:val="none"/>
          <w:u w:val="single"/>
        </w:rPr>
      </w:pPr>
      <w:r>
        <w:rPr>
          <w:rFonts w:hint="eastAsia" w:ascii="宋体" w:hAnsi="宋体" w:cs="宋体"/>
          <w:sz w:val="24"/>
          <w:szCs w:val="24"/>
          <w:highlight w:val="none"/>
        </w:rPr>
        <w:t>合同金额为人民币</w:t>
      </w:r>
      <w:r>
        <w:rPr>
          <w:rFonts w:hint="eastAsia" w:ascii="宋体" w:hAnsi="宋体" w:cs="宋体"/>
          <w:b/>
          <w:bCs/>
          <w:sz w:val="24"/>
          <w:szCs w:val="24"/>
          <w:highlight w:val="none"/>
          <w:u w:val="single"/>
        </w:rPr>
        <w:t>叁拾伍万贰仟元整（RMB352000)</w:t>
      </w:r>
      <w:r>
        <w:rPr>
          <w:rFonts w:hint="eastAsia" w:ascii="宋体" w:hAnsi="宋体" w:cs="宋体"/>
          <w:sz w:val="24"/>
          <w:szCs w:val="24"/>
          <w:highlight w:val="none"/>
          <w:u w:val="single"/>
        </w:rPr>
        <w:t>,</w:t>
      </w:r>
      <w:r>
        <w:rPr>
          <w:rFonts w:ascii="宋体" w:hAnsi="宋体" w:cs="宋体"/>
          <w:sz w:val="24"/>
          <w:szCs w:val="24"/>
          <w:highlight w:val="none"/>
          <w:u w:val="single"/>
        </w:rPr>
        <w:t xml:space="preserve"> </w:t>
      </w:r>
      <w:r>
        <w:rPr>
          <w:rFonts w:ascii="宋体" w:hAnsi="宋体" w:eastAsia="宋体" w:cs="宋体"/>
          <w:color w:val="000000"/>
          <w:sz w:val="24"/>
          <w:highlight w:val="none"/>
        </w:rPr>
        <w:t>合同签订后，出具审计报告并通过甲方验收后，支付合同价款。</w:t>
      </w:r>
    </w:p>
    <w:p w14:paraId="5001E543">
      <w:pPr>
        <w:pBdr>
          <w:top w:val="none" w:color="000000" w:sz="0" w:space="0"/>
          <w:left w:val="none" w:color="000000" w:sz="0" w:space="0"/>
          <w:bottom w:val="none" w:color="000000" w:sz="0" w:space="0"/>
          <w:right w:val="none" w:color="000000" w:sz="0" w:space="0"/>
        </w:pBdr>
        <w:spacing w:line="360" w:lineRule="auto"/>
        <w:ind w:firstLine="560"/>
        <w:jc w:val="both"/>
        <w:rPr>
          <w:highlight w:val="none"/>
        </w:rPr>
      </w:pPr>
      <w:r>
        <w:rPr>
          <w:rFonts w:ascii="宋体" w:hAnsi="宋体" w:eastAsia="宋体" w:cs="宋体"/>
          <w:color w:val="000000"/>
          <w:sz w:val="24"/>
          <w:highlight w:val="none"/>
        </w:rPr>
        <w:t>（二）乙方按照甲方工作要求和时限完成交给的审计工作任务，经甲方审核无误且未发现乙方违反本协议条款的规定后，甲方向乙方支付约定的审计服务费用；</w:t>
      </w:r>
    </w:p>
    <w:p w14:paraId="73C5267C">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（三）乙方应向甲方提供合法有效的发票；</w:t>
      </w:r>
    </w:p>
    <w:p w14:paraId="6D625982">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第七条违约责任</w:t>
      </w:r>
    </w:p>
    <w:p w14:paraId="7110B0CE">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乙方或乙方派出人员违反本协议条款，出现下列行为的，甲方可以根据情节轻重，扣减该项目审计服务费用：</w:t>
      </w:r>
    </w:p>
    <w:p w14:paraId="285BD449">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（一）乙方或乙方派出人员在审计过程中发生违反审计廉政纪律和保密规定情形的，扣减该项目实际发生的全部审计服务费用；</w:t>
      </w:r>
    </w:p>
    <w:p w14:paraId="65EBBB53">
      <w:pPr>
        <w:pBdr>
          <w:top w:val="none" w:color="000000" w:sz="0" w:space="0"/>
          <w:left w:val="none" w:color="000000" w:sz="0" w:space="0"/>
          <w:bottom w:val="none" w:color="000000" w:sz="0" w:space="0"/>
          <w:right w:val="none" w:color="000000" w:sz="0" w:space="0"/>
        </w:pBdr>
        <w:spacing w:line="360" w:lineRule="auto"/>
        <w:ind w:firstLine="482"/>
        <w:rPr>
          <w:highlight w:val="none"/>
        </w:rPr>
      </w:pPr>
      <w:r>
        <w:rPr>
          <w:rFonts w:ascii="宋体" w:hAnsi="宋体" w:eastAsia="宋体" w:cs="宋体"/>
          <w:b/>
          <w:color w:val="000000"/>
          <w:sz w:val="24"/>
          <w:highlight w:val="none"/>
        </w:rPr>
        <w:t>（二）</w:t>
      </w:r>
      <w:r>
        <w:rPr>
          <w:rFonts w:ascii="宋体" w:hAnsi="宋体" w:eastAsia="宋体" w:cs="宋体"/>
          <w:color w:val="000000"/>
          <w:sz w:val="24"/>
          <w:highlight w:val="none"/>
        </w:rPr>
        <w:t>未经甲方允许，乙方自行更换投标文件中明确的派出人员的，每自行更换1人，按每人2万元标准扣除审计费用；如实施过程中发现乙方人员无法满足项目需求，甲方有权根据项目需要要求乙方重新调整团队人员，直至完成审计服务；调换人员后项目团队仍不能满足项目需求的，采购人有权终止合同，并委托其他供应商完成审计任务，由乙方承担违约责任。</w:t>
      </w:r>
    </w:p>
    <w:p w14:paraId="1F7E51F2">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（三）乙方或乙方派出人员未按照甲方规定程序开展审计工作，造成严重后果的，扣减该项目实际发生的全部审计服务费用；</w:t>
      </w:r>
    </w:p>
    <w:p w14:paraId="4C1A6EE1">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（四）乙方或乙方派出人员没有按审计组要求完成审计任务的，扣减该项目实际发生的审计服务费用的80%；</w:t>
      </w:r>
    </w:p>
    <w:p w14:paraId="2D1C8FE5">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（五）乙方应甲方要求更换派出人员后，仍不符合审计工作要求的，扣减该人次全部审计服务费用；</w:t>
      </w:r>
    </w:p>
    <w:p w14:paraId="3BC91C15">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（六）乙方或乙方派出人员有其他违反本协议条款行为的，甲方可以根据情节轻重，扣减该项目实际发生的审计服务费用的10%-50%。</w:t>
      </w:r>
    </w:p>
    <w:p w14:paraId="2D472DF1">
      <w:pPr>
        <w:pBdr>
          <w:top w:val="none" w:color="000000" w:sz="0" w:space="0"/>
          <w:left w:val="none" w:color="000000" w:sz="0" w:space="0"/>
          <w:bottom w:val="none" w:color="000000" w:sz="0" w:space="0"/>
          <w:right w:val="none" w:color="000000" w:sz="0" w:space="0"/>
        </w:pBdr>
        <w:spacing w:line="360" w:lineRule="auto"/>
        <w:ind w:firstLine="560"/>
        <w:jc w:val="both"/>
        <w:rPr>
          <w:highlight w:val="none"/>
        </w:rPr>
      </w:pPr>
      <w:r>
        <w:rPr>
          <w:rFonts w:ascii="宋体" w:hAnsi="宋体" w:eastAsia="宋体" w:cs="宋体"/>
          <w:color w:val="000000"/>
          <w:sz w:val="24"/>
          <w:highlight w:val="none"/>
        </w:rPr>
        <w:t>乙方违反本合同约定的，除应承担上述违约责任外，还应当赔偿因此给甲方造成的一切直接和间接损失，包括但不限于甲方的实际损失、预期可得利益损失以及因实现债权而产生的诉讼费、保全费、保全保险费、鉴定费、差旅费、律师费、公证费等。</w:t>
      </w:r>
    </w:p>
    <w:p w14:paraId="1EBA4800">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乙方或乙方派出人员未履行投标文件各项承诺的，甲方将按《江苏省政府采购信用管理暂行办法》等规定，移送相关部门处理。</w:t>
      </w:r>
    </w:p>
    <w:p w14:paraId="6B68EC7B">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第八条乙方或乙方派出人员有下列情形之一的，视同乙方放弃3年内（自本项目结束次日起算）在甲方采购项目中的投标资格：</w:t>
      </w:r>
    </w:p>
    <w:p w14:paraId="33452BA3">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（一）隐瞒审计发现的问题或者与审计对象串通舞弊，导致严重审计质量问题的；</w:t>
      </w:r>
    </w:p>
    <w:p w14:paraId="7FA7D6EA">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（二）利用受聘工作拉业务或从审计对象获取不正当利益的；</w:t>
      </w:r>
    </w:p>
    <w:p w14:paraId="64ECD2E1">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（三）违反保密纪律或回避规定的；</w:t>
      </w:r>
    </w:p>
    <w:p w14:paraId="6C62F5F3">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（四）拒绝接受委托单位指导和监督的；</w:t>
      </w:r>
    </w:p>
    <w:p w14:paraId="2B8260EB">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（五）故意拖延，或者拒不履行本合同的。</w:t>
      </w:r>
    </w:p>
    <w:p w14:paraId="43CCD1BE">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第九条组成本合同的有关文件</w:t>
      </w:r>
    </w:p>
    <w:p w14:paraId="23972C9C">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下列甲方采购文件、乙方投标文件，或与本次采购活动方式相适应的文件，以及有关附件是本合同不可分割的组成部分，与本合同具有同等法律效力，这些文件包括但不限于：</w:t>
      </w:r>
    </w:p>
    <w:p w14:paraId="79971431">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（1）甲方的采购文件；</w:t>
      </w:r>
    </w:p>
    <w:p w14:paraId="33EE8C7E">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（2）乙方的响应文件；</w:t>
      </w:r>
    </w:p>
    <w:p w14:paraId="61909ECE">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（3）乙方的服务承诺；</w:t>
      </w:r>
    </w:p>
    <w:p w14:paraId="0429274C">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（4）中标通知书；</w:t>
      </w:r>
    </w:p>
    <w:p w14:paraId="39D535A6">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（5）甲乙双方商定的其他文件等。</w:t>
      </w:r>
    </w:p>
    <w:p w14:paraId="4377ED22">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第十条如有未尽事宜，甲乙双方经协商后可签订书面补充协议，补充协议与本协议具有同等法律效力。</w:t>
      </w:r>
    </w:p>
    <w:p w14:paraId="6AD1044B">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第十一条双方发生争议的，提交甲方住所地法院解决。</w:t>
      </w:r>
    </w:p>
    <w:p w14:paraId="6F9EB45E">
      <w:pPr>
        <w:pBdr>
          <w:top w:val="none" w:color="000000" w:sz="0" w:space="0"/>
          <w:left w:val="none" w:color="000000" w:sz="0" w:space="0"/>
          <w:bottom w:val="none" w:color="000000" w:sz="0" w:space="0"/>
          <w:right w:val="none" w:color="000000" w:sz="0" w:space="0"/>
        </w:pBdr>
        <w:spacing w:line="360" w:lineRule="auto"/>
        <w:ind w:firstLine="560"/>
        <w:rPr>
          <w:highlight w:val="none"/>
        </w:rPr>
      </w:pPr>
      <w:r>
        <w:rPr>
          <w:rFonts w:ascii="宋体" w:hAnsi="宋体" w:eastAsia="宋体" w:cs="宋体"/>
          <w:color w:val="000000"/>
          <w:sz w:val="24"/>
          <w:highlight w:val="none"/>
        </w:rPr>
        <w:t>第十二条协议一式</w:t>
      </w:r>
      <w:r>
        <w:rPr>
          <w:rFonts w:hint="eastAsia" w:ascii="宋体" w:hAnsi="宋体" w:eastAsia="宋体" w:cs="宋体"/>
          <w:color w:val="000000"/>
          <w:sz w:val="24"/>
          <w:highlight w:val="none"/>
        </w:rPr>
        <w:t>伍</w:t>
      </w:r>
      <w:r>
        <w:rPr>
          <w:rFonts w:ascii="宋体" w:hAnsi="宋体" w:eastAsia="宋体" w:cs="宋体"/>
          <w:color w:val="000000"/>
          <w:sz w:val="24"/>
          <w:highlight w:val="none"/>
        </w:rPr>
        <w:t>份，甲方</w:t>
      </w:r>
      <w:r>
        <w:rPr>
          <w:rFonts w:hint="eastAsia" w:ascii="宋体" w:hAnsi="宋体" w:eastAsia="宋体" w:cs="宋体"/>
          <w:color w:val="000000"/>
          <w:sz w:val="24"/>
          <w:highlight w:val="none"/>
        </w:rPr>
        <w:t>叁</w:t>
      </w:r>
      <w:r>
        <w:rPr>
          <w:rFonts w:ascii="宋体" w:hAnsi="宋体" w:eastAsia="宋体" w:cs="宋体"/>
          <w:color w:val="000000"/>
          <w:sz w:val="24"/>
          <w:highlight w:val="none"/>
        </w:rPr>
        <w:t>份，乙方</w:t>
      </w:r>
      <w:r>
        <w:rPr>
          <w:rFonts w:hint="eastAsia" w:ascii="宋体" w:hAnsi="宋体" w:eastAsia="宋体" w:cs="宋体"/>
          <w:color w:val="000000"/>
          <w:sz w:val="24"/>
          <w:highlight w:val="none"/>
        </w:rPr>
        <w:t>贰</w:t>
      </w:r>
      <w:r>
        <w:rPr>
          <w:rFonts w:ascii="宋体" w:hAnsi="宋体" w:eastAsia="宋体" w:cs="宋体"/>
          <w:color w:val="000000"/>
          <w:sz w:val="24"/>
          <w:highlight w:val="none"/>
        </w:rPr>
        <w:t>份。本协议自双方签字并盖章之日起生效，协议事项全部完成后合同自行终止。</w:t>
      </w:r>
    </w:p>
    <w:p w14:paraId="367A758E">
      <w:pPr>
        <w:pBdr>
          <w:top w:val="none" w:color="000000" w:sz="0" w:space="0"/>
          <w:left w:val="none" w:color="000000" w:sz="0" w:space="0"/>
          <w:bottom w:val="none" w:color="000000" w:sz="0" w:space="0"/>
          <w:right w:val="none" w:color="000000" w:sz="0" w:space="0"/>
        </w:pBdr>
        <w:spacing w:line="360" w:lineRule="auto"/>
        <w:ind w:firstLine="561"/>
        <w:rPr>
          <w:highlight w:val="none"/>
        </w:rPr>
      </w:pPr>
      <w:r>
        <w:rPr>
          <w:rFonts w:ascii="宋体" w:hAnsi="宋体" w:eastAsia="宋体" w:cs="宋体"/>
          <w:color w:val="000000"/>
          <w:sz w:val="24"/>
          <w:highlight w:val="none"/>
        </w:rPr>
        <w:t>（以下无正文）</w:t>
      </w:r>
    </w:p>
    <w:p w14:paraId="12FCA8B9">
      <w:pPr>
        <w:pBdr>
          <w:top w:val="none" w:color="000000" w:sz="0" w:space="0"/>
          <w:left w:val="none" w:color="000000" w:sz="0" w:space="0"/>
          <w:bottom w:val="none" w:color="000000" w:sz="0" w:space="0"/>
          <w:right w:val="none" w:color="000000" w:sz="0" w:space="0"/>
        </w:pBdr>
        <w:spacing w:line="360" w:lineRule="auto"/>
        <w:ind w:firstLine="560"/>
        <w:rPr>
          <w:rFonts w:ascii="宋体" w:hAnsi="宋体" w:eastAsia="宋体" w:cs="宋体"/>
          <w:color w:val="000000"/>
          <w:sz w:val="24"/>
          <w:highlight w:val="none"/>
        </w:rPr>
      </w:pPr>
      <w:r>
        <w:rPr>
          <w:rFonts w:ascii="宋体" w:hAnsi="宋体" w:eastAsia="宋体" w:cs="宋体"/>
          <w:color w:val="000000"/>
          <w:sz w:val="24"/>
          <w:highlight w:val="none"/>
        </w:rPr>
        <w:t> </w:t>
      </w:r>
    </w:p>
    <w:p w14:paraId="018AABE4">
      <w:pPr>
        <w:pBdr>
          <w:top w:val="none" w:color="000000" w:sz="0" w:space="0"/>
          <w:left w:val="none" w:color="000000" w:sz="0" w:space="0"/>
          <w:bottom w:val="none" w:color="000000" w:sz="0" w:space="0"/>
          <w:right w:val="none" w:color="000000" w:sz="0" w:space="0"/>
        </w:pBdr>
        <w:spacing w:line="360" w:lineRule="auto"/>
        <w:ind w:firstLine="560"/>
        <w:rPr>
          <w:rFonts w:ascii="宋体" w:hAnsi="宋体" w:eastAsia="宋体" w:cs="宋体"/>
          <w:color w:val="000000"/>
          <w:sz w:val="24"/>
          <w:highlight w:val="none"/>
        </w:rPr>
      </w:pPr>
    </w:p>
    <w:p w14:paraId="1CC7B8C7">
      <w:pPr>
        <w:pBdr>
          <w:top w:val="none" w:color="000000" w:sz="0" w:space="0"/>
          <w:left w:val="none" w:color="000000" w:sz="0" w:space="0"/>
          <w:bottom w:val="none" w:color="000000" w:sz="0" w:space="0"/>
          <w:right w:val="none" w:color="000000" w:sz="0" w:space="0"/>
        </w:pBdr>
        <w:spacing w:line="360" w:lineRule="auto"/>
        <w:ind w:firstLine="560"/>
        <w:rPr>
          <w:rFonts w:ascii="宋体" w:hAnsi="宋体" w:eastAsia="宋体" w:cs="宋体"/>
          <w:color w:val="000000"/>
          <w:sz w:val="24"/>
          <w:highlight w:val="none"/>
        </w:rPr>
      </w:pPr>
    </w:p>
    <w:p w14:paraId="1DD116EE">
      <w:pPr>
        <w:pBdr>
          <w:top w:val="none" w:color="000000" w:sz="0" w:space="0"/>
          <w:left w:val="none" w:color="000000" w:sz="0" w:space="0"/>
          <w:bottom w:val="none" w:color="000000" w:sz="0" w:space="0"/>
          <w:right w:val="none" w:color="000000" w:sz="0" w:space="0"/>
        </w:pBdr>
        <w:spacing w:line="360" w:lineRule="auto"/>
        <w:ind w:firstLine="560"/>
        <w:rPr>
          <w:rFonts w:ascii="宋体" w:hAnsi="宋体" w:eastAsia="宋体" w:cs="宋体"/>
          <w:color w:val="000000"/>
          <w:sz w:val="24"/>
          <w:highlight w:val="none"/>
        </w:rPr>
      </w:pPr>
    </w:p>
    <w:p w14:paraId="5B6E870C">
      <w:pPr>
        <w:pBdr>
          <w:top w:val="none" w:color="000000" w:sz="0" w:space="0"/>
          <w:left w:val="none" w:color="000000" w:sz="0" w:space="0"/>
          <w:bottom w:val="none" w:color="000000" w:sz="0" w:space="0"/>
          <w:right w:val="none" w:color="000000" w:sz="0" w:space="0"/>
        </w:pBdr>
        <w:spacing w:line="360" w:lineRule="auto"/>
        <w:ind w:firstLine="560"/>
        <w:rPr>
          <w:rFonts w:ascii="宋体" w:hAnsi="宋体" w:eastAsia="宋体" w:cs="宋体"/>
          <w:color w:val="000000"/>
          <w:sz w:val="24"/>
          <w:highlight w:val="none"/>
        </w:rPr>
      </w:pPr>
    </w:p>
    <w:p w14:paraId="38A041A6">
      <w:pPr>
        <w:pBdr>
          <w:top w:val="none" w:color="000000" w:sz="0" w:space="0"/>
          <w:left w:val="none" w:color="000000" w:sz="0" w:space="0"/>
          <w:bottom w:val="none" w:color="000000" w:sz="0" w:space="0"/>
          <w:right w:val="none" w:color="000000" w:sz="0" w:space="0"/>
        </w:pBdr>
        <w:spacing w:line="360" w:lineRule="auto"/>
        <w:ind w:firstLine="560"/>
        <w:rPr>
          <w:rFonts w:hint="eastAsia" w:ascii="宋体" w:hAnsi="宋体" w:eastAsia="宋体" w:cs="宋体"/>
          <w:color w:val="000000"/>
          <w:sz w:val="24"/>
          <w:highlight w:val="none"/>
        </w:rPr>
      </w:pPr>
    </w:p>
    <w:p w14:paraId="757B110E">
      <w:pPr>
        <w:snapToGrid w:val="0"/>
        <w:spacing w:line="360" w:lineRule="auto"/>
        <w:ind w:firstLine="560"/>
        <w:rPr>
          <w:rFonts w:hint="eastAsia" w:ascii="宋体" w:hAnsi="宋体" w:cs="宋体"/>
          <w:sz w:val="24"/>
          <w:szCs w:val="24"/>
          <w:highlight w:val="none"/>
        </w:rPr>
      </w:pPr>
      <w:r>
        <w:rPr>
          <w:rFonts w:hint="eastAsia" w:ascii="宋体" w:hAnsi="宋体" w:cs="宋体"/>
          <w:sz w:val="24"/>
          <w:szCs w:val="24"/>
          <w:highlight w:val="none"/>
        </w:rPr>
        <w:t>甲方（盖章）                            乙方（盖章）</w:t>
      </w:r>
    </w:p>
    <w:p w14:paraId="0D4A4924">
      <w:pPr>
        <w:snapToGrid w:val="0"/>
        <w:spacing w:line="360" w:lineRule="auto"/>
        <w:ind w:firstLine="560"/>
        <w:rPr>
          <w:rFonts w:hint="eastAsia" w:ascii="宋体" w:hAnsi="宋体" w:cs="宋体"/>
          <w:sz w:val="24"/>
          <w:szCs w:val="24"/>
          <w:highlight w:val="none"/>
        </w:rPr>
      </w:pPr>
    </w:p>
    <w:p w14:paraId="75E491B6">
      <w:pPr>
        <w:snapToGrid w:val="0"/>
        <w:spacing w:line="360" w:lineRule="auto"/>
        <w:ind w:firstLine="560"/>
        <w:rPr>
          <w:rFonts w:hint="eastAsia" w:ascii="宋体" w:hAnsi="宋体" w:cs="宋体"/>
          <w:sz w:val="24"/>
          <w:szCs w:val="24"/>
          <w:highlight w:val="none"/>
        </w:rPr>
      </w:pPr>
    </w:p>
    <w:p w14:paraId="5CB6F6B1">
      <w:pPr>
        <w:snapToGrid w:val="0"/>
        <w:spacing w:line="360" w:lineRule="auto"/>
        <w:ind w:firstLine="560"/>
        <w:rPr>
          <w:rFonts w:hint="eastAsia" w:ascii="宋体" w:hAnsi="宋体" w:cs="宋体"/>
          <w:sz w:val="24"/>
          <w:szCs w:val="24"/>
          <w:highlight w:val="none"/>
        </w:rPr>
      </w:pPr>
      <w:r>
        <w:rPr>
          <w:rFonts w:hint="eastAsia" w:ascii="宋体" w:hAnsi="宋体" w:cs="宋体"/>
          <w:sz w:val="24"/>
          <w:szCs w:val="24"/>
          <w:highlight w:val="none"/>
        </w:rPr>
        <w:t>法定代表人：                            法定代表人：</w:t>
      </w:r>
    </w:p>
    <w:p w14:paraId="7222BCA3">
      <w:pPr>
        <w:snapToGrid w:val="0"/>
        <w:spacing w:line="360" w:lineRule="auto"/>
        <w:ind w:firstLine="560"/>
        <w:rPr>
          <w:rFonts w:hint="eastAsia" w:ascii="宋体" w:hAnsi="宋体" w:cs="宋体"/>
          <w:sz w:val="24"/>
          <w:szCs w:val="24"/>
          <w:highlight w:val="none"/>
        </w:rPr>
      </w:pPr>
      <w:r>
        <w:rPr>
          <w:rFonts w:hint="eastAsia" w:ascii="宋体" w:hAnsi="宋体" w:cs="宋体"/>
          <w:sz w:val="24"/>
          <w:szCs w:val="24"/>
          <w:highlight w:val="none"/>
        </w:rPr>
        <w:t xml:space="preserve">（或）                                 （或） </w:t>
      </w:r>
    </w:p>
    <w:p w14:paraId="39ABBF56">
      <w:pPr>
        <w:snapToGrid w:val="0"/>
        <w:spacing w:line="360" w:lineRule="auto"/>
        <w:ind w:firstLine="560"/>
        <w:rPr>
          <w:rFonts w:hint="eastAsia" w:ascii="宋体" w:hAnsi="宋体" w:cs="宋体"/>
          <w:sz w:val="24"/>
          <w:szCs w:val="24"/>
          <w:highlight w:val="none"/>
        </w:rPr>
      </w:pPr>
      <w:r>
        <w:rPr>
          <w:rFonts w:hint="eastAsia" w:ascii="宋体" w:hAnsi="宋体" w:cs="宋体"/>
          <w:sz w:val="24"/>
          <w:szCs w:val="24"/>
          <w:highlight w:val="none"/>
        </w:rPr>
        <w:t>委托代理人：                            委托代理人：</w:t>
      </w:r>
    </w:p>
    <w:p w14:paraId="243B9047">
      <w:pPr>
        <w:pBdr>
          <w:top w:val="none" w:color="000000" w:sz="0" w:space="0"/>
          <w:left w:val="none" w:color="000000" w:sz="0" w:space="0"/>
          <w:bottom w:val="none" w:color="000000" w:sz="0" w:space="0"/>
          <w:right w:val="none" w:color="000000" w:sz="0" w:space="0"/>
        </w:pBdr>
        <w:spacing w:line="360" w:lineRule="auto"/>
        <w:ind w:firstLine="561"/>
        <w:jc w:val="right"/>
        <w:rPr>
          <w:rFonts w:hint="eastAsia"/>
          <w:highlight w:val="none"/>
        </w:rPr>
      </w:pPr>
      <w:r>
        <w:rPr>
          <w:rFonts w:ascii="宋体" w:hAnsi="宋体" w:eastAsia="宋体" w:cs="宋体"/>
          <w:color w:val="000000"/>
          <w:sz w:val="24"/>
          <w:highlight w:val="none"/>
        </w:rPr>
        <w:t>本协议签订日期：</w:t>
      </w:r>
      <w:r>
        <w:rPr>
          <w:rFonts w:hint="eastAsia" w:ascii="宋体" w:hAnsi="宋体" w:eastAsia="宋体" w:cs="宋体"/>
          <w:color w:val="000000"/>
          <w:sz w:val="24"/>
          <w:highlight w:val="none"/>
        </w:rPr>
        <w:t>2025</w:t>
      </w:r>
      <w:r>
        <w:rPr>
          <w:rFonts w:ascii="宋体" w:hAnsi="宋体" w:eastAsia="宋体" w:cs="宋体"/>
          <w:color w:val="000000"/>
          <w:sz w:val="24"/>
          <w:highlight w:val="none"/>
        </w:rPr>
        <w:t>年</w:t>
      </w:r>
      <w:r>
        <w:rPr>
          <w:rFonts w:hint="eastAsia" w:ascii="宋体" w:hAnsi="宋体" w:eastAsia="宋体" w:cs="宋体"/>
          <w:color w:val="000000"/>
          <w:sz w:val="24"/>
          <w:highlight w:val="none"/>
        </w:rPr>
        <w:t>8</w:t>
      </w:r>
      <w:r>
        <w:rPr>
          <w:rFonts w:ascii="宋体" w:hAnsi="宋体" w:eastAsia="宋体" w:cs="宋体"/>
          <w:color w:val="000000"/>
          <w:sz w:val="24"/>
          <w:highlight w:val="none"/>
        </w:rPr>
        <w:t>月</w:t>
      </w:r>
      <w:r>
        <w:rPr>
          <w:rFonts w:hint="eastAsia" w:ascii="宋体" w:hAnsi="宋体" w:eastAsia="宋体" w:cs="宋体"/>
          <w:color w:val="000000"/>
          <w:sz w:val="24"/>
          <w:highlight w:val="none"/>
        </w:rPr>
        <w:t xml:space="preserve"> </w:t>
      </w:r>
      <w:r>
        <w:rPr>
          <w:rFonts w:ascii="宋体" w:hAnsi="宋体" w:eastAsia="宋体" w:cs="宋体"/>
          <w:color w:val="000000"/>
          <w:sz w:val="24"/>
          <w:highlight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1519"/>
    <w:rsid w:val="000718B7"/>
    <w:rsid w:val="000E1519"/>
    <w:rsid w:val="00565CE8"/>
    <w:rsid w:val="0090498F"/>
    <w:rsid w:val="00B802BC"/>
    <w:rsid w:val="00C417C8"/>
    <w:rsid w:val="5BA50011"/>
    <w:rsid w:val="719E65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cs="Times New Roman" w:eastAsiaTheme="minorEastAsia"/>
      <w:kern w:val="0"/>
      <w:sz w:val="20"/>
      <w:szCs w:val="20"/>
      <w:lang w:val="en-US" w:eastAsia="zh-CN" w:bidi="ar-SA"/>
    </w:rPr>
  </w:style>
  <w:style w:type="paragraph" w:styleId="2">
    <w:name w:val="heading 1"/>
    <w:basedOn w:val="1"/>
    <w:next w:val="1"/>
    <w:link w:val="16"/>
    <w:qFormat/>
    <w:uiPriority w:val="9"/>
    <w:pPr>
      <w:keepNext/>
      <w:keepLines/>
      <w:widowControl w:val="0"/>
      <w:spacing w:before="480" w:after="80"/>
      <w:jc w:val="both"/>
      <w:outlineLvl w:val="0"/>
    </w:pPr>
    <w:rPr>
      <w:rFonts w:asciiTheme="majorHAnsi" w:hAnsiTheme="majorHAnsi" w:eastAsiaTheme="majorEastAsia" w:cstheme="majorBidi"/>
      <w:color w:val="2E75B6" w:themeColor="accent1" w:themeShade="BF"/>
      <w:kern w:val="2"/>
      <w:sz w:val="48"/>
      <w:szCs w:val="48"/>
    </w:rPr>
  </w:style>
  <w:style w:type="paragraph" w:styleId="3">
    <w:name w:val="heading 2"/>
    <w:basedOn w:val="1"/>
    <w:next w:val="1"/>
    <w:link w:val="17"/>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2E75B6" w:themeColor="accent1" w:themeShade="BF"/>
      <w:kern w:val="2"/>
      <w:sz w:val="40"/>
      <w:szCs w:val="40"/>
    </w:rPr>
  </w:style>
  <w:style w:type="paragraph" w:styleId="4">
    <w:name w:val="heading 3"/>
    <w:basedOn w:val="1"/>
    <w:next w:val="1"/>
    <w:link w:val="18"/>
    <w:semiHidden/>
    <w:unhideWhenUsed/>
    <w:qFormat/>
    <w:uiPriority w:val="9"/>
    <w:pPr>
      <w:keepNext/>
      <w:keepLines/>
      <w:widowControl w:val="0"/>
      <w:spacing w:before="160" w:after="80"/>
      <w:jc w:val="both"/>
      <w:outlineLvl w:val="2"/>
    </w:pPr>
    <w:rPr>
      <w:rFonts w:asciiTheme="majorHAnsi" w:hAnsiTheme="majorHAnsi" w:eastAsiaTheme="majorEastAsia" w:cstheme="majorBidi"/>
      <w:color w:val="2E75B6" w:themeColor="accent1" w:themeShade="BF"/>
      <w:kern w:val="2"/>
      <w:sz w:val="32"/>
      <w:szCs w:val="32"/>
    </w:rPr>
  </w:style>
  <w:style w:type="paragraph" w:styleId="5">
    <w:name w:val="heading 4"/>
    <w:basedOn w:val="1"/>
    <w:next w:val="1"/>
    <w:link w:val="19"/>
    <w:semiHidden/>
    <w:unhideWhenUsed/>
    <w:qFormat/>
    <w:uiPriority w:val="9"/>
    <w:pPr>
      <w:keepNext/>
      <w:keepLines/>
      <w:widowControl w:val="0"/>
      <w:spacing w:before="80" w:after="40"/>
      <w:jc w:val="both"/>
      <w:outlineLvl w:val="3"/>
    </w:pPr>
    <w:rPr>
      <w:rFonts w:asciiTheme="minorHAnsi" w:hAnsiTheme="minorHAnsi" w:cstheme="majorBidi"/>
      <w:color w:val="2E75B6" w:themeColor="accent1" w:themeShade="BF"/>
      <w:kern w:val="2"/>
      <w:sz w:val="28"/>
      <w:szCs w:val="28"/>
    </w:rPr>
  </w:style>
  <w:style w:type="paragraph" w:styleId="6">
    <w:name w:val="heading 5"/>
    <w:basedOn w:val="1"/>
    <w:next w:val="1"/>
    <w:link w:val="20"/>
    <w:semiHidden/>
    <w:unhideWhenUsed/>
    <w:qFormat/>
    <w:uiPriority w:val="9"/>
    <w:pPr>
      <w:keepNext/>
      <w:keepLines/>
      <w:widowControl w:val="0"/>
      <w:spacing w:before="80" w:after="40"/>
      <w:jc w:val="both"/>
      <w:outlineLvl w:val="4"/>
    </w:pPr>
    <w:rPr>
      <w:rFonts w:asciiTheme="minorHAnsi" w:hAnsiTheme="minorHAnsi" w:cstheme="majorBidi"/>
      <w:color w:val="2E75B6" w:themeColor="accent1" w:themeShade="BF"/>
      <w:kern w:val="2"/>
      <w:sz w:val="24"/>
      <w:szCs w:val="24"/>
    </w:rPr>
  </w:style>
  <w:style w:type="paragraph" w:styleId="7">
    <w:name w:val="heading 6"/>
    <w:basedOn w:val="1"/>
    <w:next w:val="1"/>
    <w:link w:val="21"/>
    <w:semiHidden/>
    <w:unhideWhenUsed/>
    <w:qFormat/>
    <w:uiPriority w:val="9"/>
    <w:pPr>
      <w:keepNext/>
      <w:keepLines/>
      <w:widowControl w:val="0"/>
      <w:spacing w:before="40"/>
      <w:jc w:val="both"/>
      <w:outlineLvl w:val="5"/>
    </w:pPr>
    <w:rPr>
      <w:rFonts w:asciiTheme="minorHAnsi" w:hAnsiTheme="minorHAnsi" w:cstheme="majorBidi"/>
      <w:b/>
      <w:bCs/>
      <w:color w:val="2E75B6" w:themeColor="accent1" w:themeShade="BF"/>
      <w:kern w:val="2"/>
      <w:sz w:val="21"/>
      <w:szCs w:val="22"/>
    </w:rPr>
  </w:style>
  <w:style w:type="paragraph" w:styleId="8">
    <w:name w:val="heading 7"/>
    <w:basedOn w:val="1"/>
    <w:next w:val="1"/>
    <w:link w:val="22"/>
    <w:semiHidden/>
    <w:unhideWhenUsed/>
    <w:qFormat/>
    <w:uiPriority w:val="9"/>
    <w:pPr>
      <w:keepNext/>
      <w:keepLines/>
      <w:widowControl w:val="0"/>
      <w:spacing w:before="40"/>
      <w:jc w:val="both"/>
      <w:outlineLvl w:val="6"/>
    </w:pPr>
    <w:rPr>
      <w:rFonts w:asciiTheme="minorHAnsi" w:hAnsiTheme="minorHAnsi" w:cstheme="majorBidi"/>
      <w:b/>
      <w:bCs/>
      <w:color w:val="595959" w:themeColor="text1" w:themeTint="A6"/>
      <w:kern w:val="2"/>
      <w:sz w:val="21"/>
      <w:szCs w:val="22"/>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widowControl w:val="0"/>
      <w:jc w:val="both"/>
      <w:outlineLvl w:val="7"/>
    </w:pPr>
    <w:rPr>
      <w:rFonts w:asciiTheme="minorHAnsi" w:hAnsiTheme="minorHAnsi" w:cstheme="majorBidi"/>
      <w:color w:val="595959" w:themeColor="text1" w:themeTint="A6"/>
      <w:kern w:val="2"/>
      <w:sz w:val="21"/>
      <w:szCs w:val="22"/>
      <w14:textFill>
        <w14:solidFill>
          <w14:schemeClr w14:val="tx1">
            <w14:lumMod w14:val="65000"/>
            <w14:lumOff w14:val="35000"/>
          </w14:schemeClr>
        </w14:solidFill>
      </w14:textFill>
    </w:rPr>
  </w:style>
  <w:style w:type="paragraph" w:styleId="10">
    <w:name w:val="heading 9"/>
    <w:basedOn w:val="1"/>
    <w:next w:val="1"/>
    <w:link w:val="24"/>
    <w:semiHidden/>
    <w:unhideWhenUsed/>
    <w:qFormat/>
    <w:uiPriority w:val="9"/>
    <w:pPr>
      <w:keepNext/>
      <w:keepLines/>
      <w:widowControl w:val="0"/>
      <w:jc w:val="both"/>
      <w:outlineLvl w:val="8"/>
    </w:pPr>
    <w:rPr>
      <w:rFonts w:asciiTheme="minorHAnsi" w:hAnsiTheme="minorHAnsi" w:eastAsiaTheme="majorEastAsia" w:cstheme="majorBidi"/>
      <w:color w:val="595959" w:themeColor="text1" w:themeTint="A6"/>
      <w:kern w:val="2"/>
      <w:sz w:val="21"/>
      <w:szCs w:val="22"/>
      <w14:textFill>
        <w14:solidFill>
          <w14:schemeClr w14:val="tx1">
            <w14:lumMod w14:val="65000"/>
            <w14:lumOff w14:val="35000"/>
          </w14:schemeClr>
        </w14:solidFill>
      </w14:textFill>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11">
    <w:name w:val="Subtitle"/>
    <w:basedOn w:val="1"/>
    <w:next w:val="1"/>
    <w:link w:val="26"/>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2">
    <w:name w:val="Title"/>
    <w:basedOn w:val="1"/>
    <w:next w:val="1"/>
    <w:link w:val="25"/>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table" w:styleId="14">
    <w:name w:val="Table Grid"/>
    <w:uiPriority w:val="59"/>
    <w:rPr>
      <w:rFonts w:ascii="Times New Roman" w:hAnsi="Times New Roman"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6">
    <w:name w:val="标题 1 字符"/>
    <w:basedOn w:val="15"/>
    <w:link w:val="2"/>
    <w:qFormat/>
    <w:uiPriority w:val="9"/>
    <w:rPr>
      <w:rFonts w:asciiTheme="majorHAnsi" w:hAnsiTheme="majorHAnsi" w:eastAsiaTheme="majorEastAsia" w:cstheme="majorBidi"/>
      <w:color w:val="2E75B6" w:themeColor="accent1" w:themeShade="BF"/>
      <w:sz w:val="48"/>
      <w:szCs w:val="48"/>
    </w:rPr>
  </w:style>
  <w:style w:type="character" w:customStyle="1" w:styleId="17">
    <w:name w:val="标题 2 字符"/>
    <w:basedOn w:val="15"/>
    <w:link w:val="3"/>
    <w:semiHidden/>
    <w:uiPriority w:val="9"/>
    <w:rPr>
      <w:rFonts w:asciiTheme="majorHAnsi" w:hAnsiTheme="majorHAnsi" w:eastAsiaTheme="majorEastAsia" w:cstheme="majorBidi"/>
      <w:color w:val="2E75B6" w:themeColor="accent1" w:themeShade="BF"/>
      <w:sz w:val="40"/>
      <w:szCs w:val="40"/>
    </w:rPr>
  </w:style>
  <w:style w:type="character" w:customStyle="1" w:styleId="18">
    <w:name w:val="标题 3 字符"/>
    <w:basedOn w:val="15"/>
    <w:link w:val="4"/>
    <w:semiHidden/>
    <w:uiPriority w:val="9"/>
    <w:rPr>
      <w:rFonts w:asciiTheme="majorHAnsi" w:hAnsiTheme="majorHAnsi" w:eastAsiaTheme="majorEastAsia" w:cstheme="majorBidi"/>
      <w:color w:val="2E75B6" w:themeColor="accent1" w:themeShade="BF"/>
      <w:sz w:val="32"/>
      <w:szCs w:val="32"/>
    </w:rPr>
  </w:style>
  <w:style w:type="character" w:customStyle="1" w:styleId="19">
    <w:name w:val="标题 4 字符"/>
    <w:basedOn w:val="15"/>
    <w:link w:val="5"/>
    <w:semiHidden/>
    <w:qFormat/>
    <w:uiPriority w:val="9"/>
    <w:rPr>
      <w:rFonts w:cstheme="majorBidi"/>
      <w:color w:val="2E75B6" w:themeColor="accent1" w:themeShade="BF"/>
      <w:sz w:val="28"/>
      <w:szCs w:val="28"/>
    </w:rPr>
  </w:style>
  <w:style w:type="character" w:customStyle="1" w:styleId="20">
    <w:name w:val="标题 5 字符"/>
    <w:basedOn w:val="15"/>
    <w:link w:val="6"/>
    <w:semiHidden/>
    <w:qFormat/>
    <w:uiPriority w:val="9"/>
    <w:rPr>
      <w:rFonts w:cstheme="majorBidi"/>
      <w:color w:val="2E75B6" w:themeColor="accent1" w:themeShade="BF"/>
      <w:sz w:val="24"/>
      <w:szCs w:val="24"/>
    </w:rPr>
  </w:style>
  <w:style w:type="character" w:customStyle="1" w:styleId="21">
    <w:name w:val="标题 6 字符"/>
    <w:basedOn w:val="15"/>
    <w:link w:val="7"/>
    <w:semiHidden/>
    <w:qFormat/>
    <w:uiPriority w:val="9"/>
    <w:rPr>
      <w:rFonts w:cstheme="majorBidi"/>
      <w:b/>
      <w:bCs/>
      <w:color w:val="2E75B6" w:themeColor="accent1" w:themeShade="BF"/>
    </w:rPr>
  </w:style>
  <w:style w:type="character" w:customStyle="1" w:styleId="22">
    <w:name w:val="标题 7 字符"/>
    <w:basedOn w:val="15"/>
    <w:link w:val="8"/>
    <w:semiHidden/>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3">
    <w:name w:val="标题 8 字符"/>
    <w:basedOn w:val="15"/>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4">
    <w:name w:val="标题 9 字符"/>
    <w:basedOn w:val="15"/>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5">
    <w:name w:val="标题 字符"/>
    <w:basedOn w:val="15"/>
    <w:link w:val="12"/>
    <w:uiPriority w:val="10"/>
    <w:rPr>
      <w:rFonts w:asciiTheme="majorHAnsi" w:hAnsiTheme="majorHAnsi" w:eastAsiaTheme="majorEastAsia" w:cstheme="majorBidi"/>
      <w:spacing w:val="-10"/>
      <w:kern w:val="28"/>
      <w:sz w:val="56"/>
      <w:szCs w:val="56"/>
    </w:rPr>
  </w:style>
  <w:style w:type="character" w:customStyle="1" w:styleId="26">
    <w:name w:val="副标题 字符"/>
    <w:basedOn w:val="15"/>
    <w:link w:val="1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widowControl w:val="0"/>
      <w:spacing w:before="160" w:after="160"/>
      <w:jc w:val="center"/>
    </w:pPr>
    <w:rPr>
      <w:rFonts w:asciiTheme="minorHAnsi" w:hAnsiTheme="minorHAnsi"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28">
    <w:name w:val="引用 字符"/>
    <w:basedOn w:val="15"/>
    <w:link w:val="27"/>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widowControl w:val="0"/>
      <w:ind w:left="720"/>
      <w:contextualSpacing/>
      <w:jc w:val="both"/>
    </w:pPr>
    <w:rPr>
      <w:rFonts w:asciiTheme="minorHAnsi" w:hAnsiTheme="minorHAnsi" w:cstheme="minorBidi"/>
      <w:kern w:val="2"/>
      <w:sz w:val="21"/>
      <w:szCs w:val="22"/>
    </w:rPr>
  </w:style>
  <w:style w:type="character" w:customStyle="1" w:styleId="30">
    <w:name w:val="Intense Emphasis"/>
    <w:basedOn w:val="15"/>
    <w:qFormat/>
    <w:uiPriority w:val="21"/>
    <w:rPr>
      <w:i/>
      <w:iCs/>
      <w:color w:val="2E75B6" w:themeColor="accent1" w:themeShade="BF"/>
    </w:rPr>
  </w:style>
  <w:style w:type="paragraph" w:styleId="31">
    <w:name w:val="Intense Quote"/>
    <w:basedOn w:val="1"/>
    <w:next w:val="1"/>
    <w:link w:val="32"/>
    <w:qFormat/>
    <w:uiPriority w:val="30"/>
    <w:pPr>
      <w:widowControl w:val="0"/>
      <w:pBdr>
        <w:top w:val="single" w:color="2E75B5" w:themeColor="accent1" w:themeShade="BF" w:sz="4" w:space="10"/>
        <w:bottom w:val="single" w:color="2E75B5" w:themeColor="accent1" w:themeShade="BF" w:sz="4" w:space="10"/>
      </w:pBdr>
      <w:spacing w:before="360" w:after="360"/>
      <w:ind w:left="864" w:right="864"/>
      <w:jc w:val="center"/>
    </w:pPr>
    <w:rPr>
      <w:rFonts w:asciiTheme="minorHAnsi" w:hAnsiTheme="minorHAnsi" w:cstheme="minorBidi"/>
      <w:i/>
      <w:iCs/>
      <w:color w:val="2E75B6" w:themeColor="accent1" w:themeShade="BF"/>
      <w:kern w:val="2"/>
      <w:sz w:val="21"/>
      <w:szCs w:val="22"/>
    </w:rPr>
  </w:style>
  <w:style w:type="character" w:customStyle="1" w:styleId="32">
    <w:name w:val="明显引用 字符"/>
    <w:basedOn w:val="15"/>
    <w:link w:val="31"/>
    <w:uiPriority w:val="30"/>
    <w:rPr>
      <w:i/>
      <w:iCs/>
      <w:color w:val="2E75B6" w:themeColor="accent1" w:themeShade="BF"/>
    </w:rPr>
  </w:style>
  <w:style w:type="character" w:customStyle="1" w:styleId="33">
    <w:name w:val="Intense Reference"/>
    <w:basedOn w:val="15"/>
    <w:qFormat/>
    <w:uiPriority w:val="32"/>
    <w:rPr>
      <w:b/>
      <w:bCs/>
      <w:smallCaps/>
      <w:color w:val="2E75B6" w:themeColor="accent1" w:themeShade="BF"/>
      <w:spacing w:val="5"/>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3906</Words>
  <Characters>4129</Characters>
  <Lines>31</Lines>
  <Paragraphs>8</Paragraphs>
  <TotalTime>20</TotalTime>
  <ScaleCrop>false</ScaleCrop>
  <LinksUpToDate>false</LinksUpToDate>
  <CharactersWithSpaces>4280</CharactersWithSpaces>
  <Application>WPS Office_12.1.0.23539_F1E327BC-269C-435d-A152-05C5408002CA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2026-01-04T07:37:00Z</dcterms:created>
  <dc:creator>婷婷 梁</dc:creator>
  <cp:lastModifiedBy>WPS_1702125417</cp:lastModifiedBy>
  <dcterms:modified xsi:type="dcterms:W3CDTF">2026-01-06T06:27:42Z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eyJoZGlkIjoiMjBmMWRhMDM3NDA5ZTllZjJhMzVhZGM2NTI2ZThkNjYiLCJ1c2VySWQiOiIxNTY1NTM1MDY0In0=</vt:lpwstr>
  </property>
  <property fmtid="{D5CDD505-2E9C-101B-9397-08002B2CF9AE}" pid="3" name="KSOProductBuildVer">
    <vt:lpwstr>2052-12.1.0.23539</vt:lpwstr>
  </property>
  <property fmtid="{D5CDD505-2E9C-101B-9397-08002B2CF9AE}" pid="4" name="ICV">
    <vt:lpwstr>40C2E9BF28804122A1221E13EAF33BFF_13</vt:lpwstr>
  </property>
</Properties>
</file>