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0"/>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964"/>
        <w:jc w:val="both"/>
        <w:spacing w:line="480" w:lineRule="auto"/>
        <w:rPr>
          <w:rFonts w:hint="eastAsia" w:ascii="宋体" w:hAnsi="宋体" w:eastAsia="宋体" w:cs="宋体"/>
          <w:b/>
          <w:bCs/>
          <w:color w:val="auto"/>
          <w:sz w:val="32"/>
          <w:szCs w:val="24"/>
          <w:highlight w:val="none"/>
          <w:lang w:eastAsia="zh-CN"/>
        </w:rPr>
      </w:pPr>
      <w:r>
        <w:rPr>
          <w:rFonts w:hint="eastAsia" w:ascii="Arial" w:hAnsi="Arial" w:eastAsia="宋体" w:cs="Times New Roman"/>
          <w:b/>
          <w:bCs/>
          <w:color w:val="auto"/>
          <w:sz w:val="32"/>
          <w:szCs w:val="24"/>
          <w:highlight w:val="none"/>
        </w:rPr>
        <w:t xml:space="preserve">项目名称：</w:t>
      </w:r>
      <w:r>
        <w:rPr>
          <w:rFonts w:hint="eastAsia" w:ascii="宋体" w:hAnsi="宋体" w:eastAsia="宋体" w:cs="宋体"/>
          <w:b/>
          <w:bCs/>
          <w:color w:val="auto"/>
          <w:sz w:val="32"/>
          <w:szCs w:val="24"/>
          <w:highlight w:val="none"/>
          <w:lang w:eastAsia="zh-CN"/>
        </w:rPr>
        <w:t xml:space="preserve">消防安全治理（智能烟感探测器）</w:t>
      </w:r>
      <w:r/>
    </w:p>
    <w:p>
      <w:pPr>
        <w:ind w:firstLine="1285"/>
        <w:jc w:val="center"/>
        <w:spacing w:line="480" w:lineRule="auto"/>
        <w:rPr>
          <w:rFonts w:ascii="黑体" w:hAnsi="Arial" w:eastAsia="黑体" w:cs="Times New Roman"/>
          <w:b/>
          <w:color w:val="auto"/>
          <w:sz w:val="44"/>
          <w:szCs w:val="21"/>
          <w:highlight w:val="none"/>
        </w:rPr>
      </w:pPr>
      <w:r>
        <w:rPr>
          <w:rFonts w:hint="eastAsia" w:ascii="宋体" w:hAnsi="宋体" w:eastAsia="宋体" w:cs="宋体"/>
          <w:b/>
          <w:bCs/>
          <w:color w:val="auto"/>
          <w:sz w:val="32"/>
          <w:szCs w:val="24"/>
          <w:highlight w:val="none"/>
          <w:lang w:eastAsia="zh-CN"/>
        </w:rPr>
        <w:t xml:space="preserve">（专门面向中小企业）</w:t>
      </w:r>
      <w:r/>
    </w:p>
    <w:p>
      <w:pPr>
        <w:ind w:firstLine="964"/>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项目编号：JSZC-320707-BHXM-G2024-0025</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ind w:firstLine="964"/>
        <w:jc w:val="left"/>
        <w:spacing w:line="480" w:lineRule="auto"/>
        <w:rPr>
          <w:rFonts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t xml:space="preserve">招   标 </w:t>
      </w:r>
      <w:r>
        <w:rPr>
          <w:rFonts w:hint="eastAsia" w:ascii="Arial" w:hAnsi="Arial" w:eastAsia="宋体" w:cs="Times New Roman"/>
          <w:b/>
          <w:bCs/>
          <w:color w:val="auto"/>
          <w:sz w:val="32"/>
          <w:szCs w:val="24"/>
          <w:highlight w:val="none"/>
          <w:lang w:val="en-US" w:eastAsia="zh-CN"/>
        </w:rPr>
        <w:t xml:space="preserve"> </w:t>
      </w:r>
      <w:r>
        <w:rPr>
          <w:rFonts w:hint="eastAsia" w:ascii="Arial" w:hAnsi="Arial" w:eastAsia="宋体" w:cs="Times New Roman"/>
          <w:b/>
          <w:bCs/>
          <w:color w:val="auto"/>
          <w:sz w:val="32"/>
          <w:szCs w:val="24"/>
          <w:highlight w:val="none"/>
        </w:rPr>
        <w:t xml:space="preserve"> 人：连云港市赣榆区消防救援大队</w:t>
      </w:r>
      <w:r/>
    </w:p>
    <w:p>
      <w:pPr>
        <w:ind w:firstLine="964"/>
        <w:jc w:val="left"/>
        <w:spacing w:line="480" w:lineRule="auto"/>
        <w:rPr>
          <w:rFonts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t xml:space="preserve">招标代理机构：江苏宝宏项目管理咨询有限公司</w:t>
      </w:r>
      <w:r/>
    </w:p>
    <w:p>
      <w:pPr>
        <w:ind w:firstLine="2891"/>
        <w:jc w:val="left"/>
        <w:spacing w:line="480" w:lineRule="auto"/>
        <w:rPr>
          <w:color w:val="auto"/>
          <w:highlight w:val="none"/>
        </w:rPr>
      </w:pPr>
      <w:r>
        <w:rPr>
          <w:rFonts w:hint="eastAsia" w:ascii="Arial" w:hAnsi="Arial" w:eastAsia="宋体" w:cs="Times New Roman"/>
          <w:b/>
          <w:bCs/>
          <w:color w:val="auto"/>
          <w:sz w:val="32"/>
          <w:szCs w:val="24"/>
          <w:highlight w:val="none"/>
        </w:rPr>
        <w:t xml:space="preserve">2024年12月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652"/>
        <w:rPr>
          <w:rFonts w:hint="eastAsia" w:ascii="宋体" w:hAnsi="宋体" w:eastAsia="宋体" w:cs="宋体"/>
          <w:color w:val="auto"/>
          <w:highlight w:val="none"/>
        </w:rPr>
      </w:pPr>
      <w:r>
        <w:rPr>
          <w:rFonts w:hint="eastAsia" w:ascii="宋体" w:hAnsi="宋体" w:eastAsia="宋体" w:cs="宋体"/>
          <w:color w:val="auto"/>
          <w:highlight w:val="none"/>
        </w:rPr>
        <w:t xml:space="preserve">目  录</w:t>
      </w:r>
      <w:r/>
    </w:p>
    <w:p>
      <w:pPr>
        <w:pStyle w:val="65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第一章  投标邀请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p>
    <w:p>
      <w:pPr>
        <w:pStyle w:val="65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第二章  投标人须知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5</w:t>
      </w:r>
      <w:r>
        <w:rPr>
          <w:rFonts w:hint="eastAsia" w:ascii="宋体" w:hAnsi="宋体" w:eastAsia="宋体" w:cs="宋体"/>
          <w:color w:val="auto"/>
          <w:sz w:val="36"/>
          <w:szCs w:val="36"/>
          <w:highlight w:val="none"/>
        </w:rPr>
        <w:fldChar w:fldCharType="end"/>
      </w:r>
      <w:r/>
    </w:p>
    <w:p>
      <w:pPr>
        <w:pStyle w:val="65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_Toc165205796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23</w:t>
      </w:r>
      <w:r>
        <w:rPr>
          <w:rFonts w:hint="eastAsia" w:ascii="宋体" w:hAnsi="宋体" w:eastAsia="宋体" w:cs="宋体"/>
          <w:color w:val="auto"/>
          <w:sz w:val="36"/>
          <w:szCs w:val="36"/>
          <w:highlight w:val="none"/>
        </w:rPr>
        <w:fldChar w:fldCharType="end"/>
      </w:r>
      <w:r/>
    </w:p>
    <w:p>
      <w:pPr>
        <w:pStyle w:val="65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第四章  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_Toc165205797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29</w:t>
      </w:r>
      <w:r>
        <w:rPr>
          <w:rFonts w:hint="eastAsia" w:ascii="宋体" w:hAnsi="宋体" w:eastAsia="宋体" w:cs="宋体"/>
          <w:color w:val="auto"/>
          <w:sz w:val="36"/>
          <w:szCs w:val="36"/>
          <w:highlight w:val="none"/>
        </w:rPr>
        <w:fldChar w:fldCharType="end"/>
      </w:r>
      <w:r/>
    </w:p>
    <w:p>
      <w:pPr>
        <w:pStyle w:val="65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35</w:t>
      </w:r>
      <w:r/>
    </w:p>
    <w:p>
      <w:pPr>
        <w:pStyle w:val="65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38</w:t>
      </w:r>
      <w:r/>
    </w:p>
    <w:p>
      <w:pPr>
        <w:jc w:val="left"/>
        <w:widowControl/>
        <w:rPr>
          <w:color w:val="auto"/>
          <w:highlight w:val="none"/>
        </w:rPr>
      </w:pPr>
      <w:r>
        <w:rPr>
          <w:color w:val="auto"/>
          <w:highlight w:val="none"/>
        </w:rPr>
        <w:fldChar w:fldCharType="end"/>
      </w:r>
      <w:r>
        <w:rPr>
          <w:color w:val="auto"/>
          <w:highlight w:val="none"/>
        </w:rPr>
        <w:br w:type="page" w:clear="all"/>
      </w:r>
      <w:r/>
    </w:p>
    <w:p>
      <w:pPr>
        <w:pStyle w:val="637"/>
        <w:jc w:val="center"/>
        <w:spacing w:before="156" w:after="156" w:line="360" w:lineRule="auto"/>
        <w:rPr>
          <w:rFonts w:ascii="黑体" w:hAnsi="黑体" w:eastAsia="黑体"/>
          <w:b w:val="0"/>
          <w:color w:val="auto"/>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637"/>
        <w:jc w:val="center"/>
        <w:spacing w:before="156" w:after="156" w:line="360" w:lineRule="auto"/>
        <w:rPr>
          <w:rFonts w:ascii="黑体" w:hAnsi="黑体" w:eastAsia="黑体"/>
          <w:b w:val="0"/>
          <w:color w:val="auto"/>
          <w:highlight w:val="none"/>
        </w:rPr>
      </w:pPr>
      <w:r/>
      <w:bookmarkStart w:id="0" w:name="_Toc165205794"/>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受连云港市赣榆区消防救援大队的委托，江苏宝宏项目管理咨询有限公司就</w:t>
      </w:r>
      <w:r>
        <w:rPr>
          <w:rFonts w:hint="eastAsia"/>
          <w:color w:val="auto"/>
          <w:sz w:val="24"/>
          <w:szCs w:val="24"/>
          <w:highlight w:val="none"/>
          <w:lang w:eastAsia="zh-CN"/>
        </w:rPr>
        <w:t xml:space="preserve">消防安全治理（智能烟感探测器）（专门面向中小企业）</w:t>
      </w:r>
      <w:r>
        <w:rPr>
          <w:rFonts w:hint="eastAsia"/>
          <w:color w:val="auto"/>
          <w:sz w:val="24"/>
          <w:szCs w:val="24"/>
          <w:highlight w:val="none"/>
        </w:rPr>
        <w:t xml:space="preserve">项目（项目编号：JSZC-320707-BHXM-G2024-0025）进行公开招标采购，欢迎符合条件的供应商投标。</w:t>
      </w:r>
      <w:r/>
    </w:p>
    <w:tbl>
      <w:tblPr>
        <w:tblStyle w:val="6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ind w:firstLine="480"/>
              <w:jc w:val="left"/>
              <w:spacing w:line="500" w:lineRule="exact"/>
              <w:rPr>
                <w:color w:val="auto"/>
                <w:sz w:val="24"/>
                <w:szCs w:val="24"/>
                <w:highlight w:val="none"/>
              </w:rPr>
            </w:pPr>
            <w:r>
              <w:rPr>
                <w:rFonts w:hint="eastAsia"/>
                <w:color w:val="auto"/>
                <w:sz w:val="24"/>
                <w:szCs w:val="24"/>
                <w:highlight w:val="none"/>
                <w:lang w:eastAsia="zh-CN"/>
              </w:rPr>
              <w:t xml:space="preserve">消防安全治理（智能烟感探测器）（专门面向中小企业）</w:t>
            </w:r>
            <w:r>
              <w:rPr>
                <w:rFonts w:hint="eastAsia"/>
                <w:color w:val="auto"/>
                <w:sz w:val="24"/>
                <w:szCs w:val="24"/>
                <w:highlight w:val="none"/>
              </w:rPr>
              <w:t xml:space="preserve">招标项目的潜在投标人应在“江苏政府采购网”自行免费下载招标文件，并于202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w:t>
            </w:r>
            <w:r>
              <w:rPr>
                <w:rFonts w:hint="eastAsia"/>
                <w:color w:val="auto"/>
                <w:sz w:val="24"/>
                <w:szCs w:val="24"/>
                <w:highlight w:val="none"/>
              </w:rPr>
              <w:t xml:space="preserve">月</w:t>
            </w:r>
            <w:r>
              <w:rPr>
                <w:rFonts w:hint="eastAsia"/>
                <w:color w:val="auto"/>
                <w:sz w:val="24"/>
                <w:szCs w:val="24"/>
                <w:highlight w:val="none"/>
                <w:lang w:val="en-US" w:eastAsia="zh-CN"/>
              </w:rPr>
              <w:t xml:space="preserve">3</w:t>
            </w:r>
            <w:r>
              <w:rPr>
                <w:rFonts w:hint="eastAsia"/>
                <w:color w:val="auto"/>
                <w:sz w:val="24"/>
                <w:szCs w:val="24"/>
                <w:highlight w:val="none"/>
              </w:rPr>
              <w:t xml:space="preserve">日10:</w:t>
            </w:r>
            <w:r>
              <w:rPr>
                <w:rFonts w:hint="eastAsia"/>
                <w:color w:val="auto"/>
                <w:sz w:val="24"/>
                <w:szCs w:val="24"/>
                <w:highlight w:val="none"/>
                <w:lang w:val="en-US" w:eastAsia="zh-CN"/>
              </w:rPr>
              <w:t xml:space="preserve">0</w:t>
            </w:r>
            <w:r>
              <w:rPr>
                <w:rFonts w:hint="eastAsia"/>
                <w:color w:val="auto"/>
                <w:sz w:val="24"/>
                <w:szCs w:val="24"/>
                <w:highlight w:val="none"/>
              </w:rPr>
              <w:t xml:space="preserve">0:00（北京时间）前递交（上传）投标文件。</w:t>
            </w:r>
            <w:r/>
          </w:p>
        </w:tc>
      </w:tr>
    </w:tbl>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项目编号：JSZC-320707-BHXM-G2024-0025</w:t>
      </w:r>
      <w:r/>
    </w:p>
    <w:p>
      <w:pPr>
        <w:ind w:firstLine="480"/>
        <w:jc w:val="left"/>
        <w:keepLines w:val="0"/>
        <w:keepNext w:val="0"/>
        <w:pageBreakBefore w:val="0"/>
        <w:spacing w:line="500" w:lineRule="exact"/>
        <w:widowControl w:val="off"/>
        <w:rPr>
          <w:rFonts w:hint="eastAsia" w:eastAsiaTheme="minorEastAsia"/>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消防安全治理（智能烟感探测器）（专门面向中小企业）</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预算金额：</w:t>
      </w:r>
      <w:r>
        <w:rPr>
          <w:rFonts w:hint="eastAsia" w:ascii="宋体" w:hAnsi="宋体" w:eastAsia="宋体" w:cs="Times New Roman"/>
          <w:color w:val="auto"/>
          <w:sz w:val="24"/>
          <w:szCs w:val="24"/>
          <w:highlight w:val="none"/>
        </w:rPr>
        <w:t xml:space="preserve">人民币</w:t>
      </w:r>
      <w:bookmarkStart w:id="1" w:name="OLE_LINK11"/>
      <w:r>
        <w:rPr>
          <w:rFonts w:hint="eastAsia" w:ascii="宋体" w:hAnsi="宋体" w:eastAsia="宋体" w:cs="Times New Roman"/>
          <w:b/>
          <w:color w:val="auto"/>
          <w:sz w:val="24"/>
          <w:szCs w:val="24"/>
          <w:highlight w:val="none"/>
        </w:rPr>
        <w:t xml:space="preserve">80</w:t>
      </w:r>
      <w:r>
        <w:rPr>
          <w:rFonts w:hint="eastAsia" w:ascii="宋体" w:hAnsi="宋体" w:eastAsia="宋体" w:cs="Times New Roman"/>
          <w:color w:val="auto"/>
          <w:sz w:val="24"/>
          <w:szCs w:val="24"/>
          <w:highlight w:val="none"/>
        </w:rPr>
        <w:t xml:space="preserve">万元</w:t>
      </w:r>
      <w:bookmarkEnd w:id="1"/>
      <w:r>
        <w:rPr>
          <w:rFonts w:hint="eastAsia" w:ascii="宋体" w:hAnsi="宋体" w:eastAsia="宋体" w:cs="Times New Roman"/>
          <w:color w:val="auto"/>
          <w:sz w:val="24"/>
          <w:szCs w:val="24"/>
          <w:highlight w:val="none"/>
        </w:rPr>
        <w:t xml:space="preserve">，投标报价超过预算金额的投标无效。</w:t>
      </w:r>
      <w:r/>
    </w:p>
    <w:p>
      <w:pPr>
        <w:ind w:firstLine="480"/>
        <w:jc w:val="left"/>
        <w:keepLines w:val="0"/>
        <w:keepNext w:val="0"/>
        <w:pageBreakBefore w:val="0"/>
        <w:spacing w:line="500" w:lineRule="exact"/>
        <w:widowControl w:val="off"/>
        <w:rPr>
          <w:rFonts w:ascii="宋体" w:hAnsi="宋体" w:eastAsia="宋体" w:cs="Times New Roman"/>
          <w:color w:val="auto"/>
          <w:sz w:val="24"/>
          <w:szCs w:val="24"/>
          <w:highlight w:val="none"/>
        </w:rPr>
      </w:pPr>
      <w:r>
        <w:rPr>
          <w:rFonts w:hint="eastAsia"/>
          <w:color w:val="auto"/>
          <w:sz w:val="24"/>
          <w:szCs w:val="24"/>
          <w:highlight w:val="none"/>
        </w:rPr>
        <w:t xml:space="preserve">最高限价：</w:t>
      </w:r>
      <w:r>
        <w:rPr>
          <w:rFonts w:hint="eastAsia" w:ascii="宋体" w:hAnsi="宋体" w:eastAsia="宋体" w:cs="Times New Roman"/>
          <w:color w:val="auto"/>
          <w:sz w:val="24"/>
          <w:szCs w:val="24"/>
          <w:highlight w:val="none"/>
        </w:rPr>
        <w:t xml:space="preserve">人民币</w:t>
      </w:r>
      <w:r>
        <w:rPr>
          <w:rFonts w:hint="eastAsia" w:ascii="宋体" w:hAnsi="宋体" w:eastAsia="宋体" w:cs="Times New Roman"/>
          <w:b/>
          <w:color w:val="auto"/>
          <w:sz w:val="24"/>
          <w:szCs w:val="24"/>
          <w:highlight w:val="none"/>
        </w:rPr>
        <w:t xml:space="preserve">80</w:t>
      </w:r>
      <w:r>
        <w:rPr>
          <w:rFonts w:hint="eastAsia" w:ascii="宋体" w:hAnsi="宋体" w:eastAsia="宋体" w:cs="Times New Roman"/>
          <w:color w:val="auto"/>
          <w:sz w:val="24"/>
          <w:szCs w:val="24"/>
          <w:highlight w:val="none"/>
        </w:rPr>
        <w:t xml:space="preserve">万元，投标报价超过</w:t>
      </w:r>
      <w:r>
        <w:rPr>
          <w:rFonts w:hint="eastAsia"/>
          <w:color w:val="auto"/>
          <w:sz w:val="24"/>
          <w:szCs w:val="24"/>
          <w:highlight w:val="none"/>
        </w:rPr>
        <w:t xml:space="preserve">最高限价</w:t>
      </w:r>
      <w:r>
        <w:rPr>
          <w:rFonts w:hint="eastAsia" w:ascii="宋体" w:hAnsi="宋体" w:eastAsia="宋体" w:cs="Times New Roman"/>
          <w:color w:val="auto"/>
          <w:sz w:val="24"/>
          <w:szCs w:val="24"/>
          <w:highlight w:val="none"/>
        </w:rPr>
        <w:t xml:space="preserve">的投标无效。</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采购方式：公开招标</w:t>
      </w:r>
      <w:r/>
    </w:p>
    <w:p>
      <w:pPr>
        <w:ind w:firstLine="480"/>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采购需求：</w:t>
      </w:r>
      <w:bookmarkStart w:id="2" w:name="OLE_LINK14"/>
      <w:r/>
      <w:bookmarkStart w:id="3" w:name="OLE_LINK10"/>
      <w:r>
        <w:rPr>
          <w:rFonts w:hint="eastAsia" w:hAnsi="宋体"/>
          <w:color w:val="auto"/>
          <w:sz w:val="24"/>
          <w:szCs w:val="24"/>
          <w:highlight w:val="none"/>
        </w:rPr>
        <w:t xml:space="preserve">为深入落实为民生办实事，全面提升辖区“九小场所”消防安全系数，对符合条件的“九小场所智能烟感探测器”联网信号接入监管平台</w:t>
      </w:r>
      <w:r>
        <w:rPr>
          <w:rFonts w:hint="eastAsia" w:ascii="宋体" w:hAnsi="宋体" w:eastAsia="宋体" w:cs="Times New Roman"/>
          <w:color w:val="auto"/>
          <w:sz w:val="24"/>
          <w:highlight w:val="none"/>
        </w:rPr>
        <w:t xml:space="preserve">，具体详见第六章项目需求。</w:t>
      </w:r>
      <w:bookmarkEnd w:id="2"/>
      <w:r/>
      <w:bookmarkEnd w:id="3"/>
      <w:r/>
      <w:r/>
    </w:p>
    <w:p>
      <w:pPr>
        <w:ind w:firstLine="482"/>
        <w:jc w:val="left"/>
        <w:keepLines w:val="0"/>
        <w:keepNext w:val="0"/>
        <w:pageBreakBefore w:val="0"/>
        <w:spacing w:line="500" w:lineRule="exact"/>
        <w:widowControl w:val="off"/>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合同履行期限：合同签订后60日历天内完成供货及安装调试。</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本项目（是/否）接受联合体投标：不接受联合体。</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2.上一年度的财务状况报告；（成立不满一年无需提供）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w:t>
      </w:r>
      <w:r/>
    </w:p>
    <w:p>
      <w:pPr>
        <w:ind w:firstLine="480"/>
        <w:jc w:val="left"/>
        <w:spacing w:line="500" w:lineRule="exact"/>
        <w:rPr>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color w:val="auto"/>
          <w:sz w:val="24"/>
          <w:szCs w:val="24"/>
          <w:highlight w:val="none"/>
        </w:rPr>
        <w:t xml:space="preserve">，投标人被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（三）本项目的特定资格要求：无。</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时间：2024年12月</w:t>
      </w:r>
      <w:r>
        <w:rPr>
          <w:rFonts w:hint="eastAsia" w:asciiTheme="minorEastAsia" w:hAnsiTheme="minorEastAsia"/>
          <w:color w:val="auto"/>
          <w:sz w:val="24"/>
          <w:szCs w:val="24"/>
          <w:highlight w:val="none"/>
          <w:lang w:val="en-US" w:eastAsia="zh-CN"/>
        </w:rPr>
        <w:t xml:space="preserve">12</w:t>
      </w:r>
      <w:r>
        <w:rPr>
          <w:rFonts w:hint="eastAsia" w:asciiTheme="minorEastAsia" w:hAnsiTheme="minorEastAsia"/>
          <w:color w:val="auto"/>
          <w:sz w:val="24"/>
          <w:szCs w:val="24"/>
          <w:highlight w:val="none"/>
        </w:rPr>
        <w:t xml:space="preserve">日至2024年12月</w:t>
      </w:r>
      <w:r>
        <w:rPr>
          <w:rFonts w:hint="eastAsia" w:asciiTheme="minorEastAsia" w:hAnsiTheme="minorEastAsia"/>
          <w:color w:val="auto"/>
          <w:sz w:val="24"/>
          <w:szCs w:val="24"/>
          <w:highlight w:val="none"/>
          <w:lang w:val="en-US" w:eastAsia="zh-CN"/>
        </w:rPr>
        <w:t xml:space="preserve">19</w:t>
      </w:r>
      <w:r>
        <w:rPr>
          <w:rFonts w:hint="eastAsia" w:asciiTheme="minorEastAsia" w:hAnsiTheme="minorEastAsia"/>
          <w:color w:val="auto"/>
          <w:sz w:val="24"/>
          <w:szCs w:val="24"/>
          <w:highlight w:val="none"/>
        </w:rPr>
        <w:t xml:space="preserve">日，每天上午0</w:t>
      </w:r>
      <w:r>
        <w:rPr>
          <w:rFonts w:hint="eastAsia" w:asciiTheme="minorEastAsia" w:hAnsiTheme="minorEastAsia"/>
          <w:color w:val="auto"/>
          <w:sz w:val="24"/>
          <w:szCs w:val="24"/>
          <w:highlight w:val="none"/>
          <w:lang w:val="en-US" w:eastAsia="zh-CN"/>
        </w:rPr>
        <w:t xml:space="preserve">0</w:t>
      </w:r>
      <w:r>
        <w:rPr>
          <w:rFonts w:hint="eastAsia" w:asciiTheme="minorEastAsia" w:hAnsiTheme="minorEastAsia"/>
          <w:color w:val="auto"/>
          <w:sz w:val="24"/>
          <w:szCs w:val="24"/>
          <w:highlight w:val="none"/>
        </w:rPr>
        <w:t xml:space="preserve">:00-12:00，12:00-23:59（北京时间，法定节假日除外）</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售价：0.00元</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w:t>
      </w:r>
      <w:r>
        <w:rPr>
          <w:rFonts w:hint="eastAsia"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lang w:val="en-US" w:eastAsia="zh-CN"/>
        </w:rPr>
        <w:t xml:space="preserve">25</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rPr>
        <w:t xml:space="preserve">月</w:t>
      </w: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日</w:t>
      </w:r>
      <w:r>
        <w:rPr>
          <w:rFonts w:hint="eastAsia" w:asciiTheme="minorEastAsia" w:hAnsiTheme="minorEastAsia"/>
          <w:color w:val="auto"/>
          <w:sz w:val="24"/>
          <w:szCs w:val="24"/>
          <w:highlight w:val="none"/>
          <w:lang w:val="en-US" w:eastAsia="zh-CN"/>
        </w:rPr>
        <w:t xml:space="preserve">10</w:t>
      </w:r>
      <w:r>
        <w:rPr>
          <w:rFonts w:hint="eastAsia" w:asciiTheme="minorEastAsia" w:hAnsiTheme="minorEastAsia"/>
          <w:color w:val="auto"/>
          <w:sz w:val="24"/>
          <w:szCs w:val="24"/>
          <w:highlight w:val="none"/>
        </w:rPr>
        <w:t xml:space="preserve">:00:00</w:t>
      </w:r>
      <w:r>
        <w:rPr>
          <w:rFonts w:hint="eastAsia"/>
          <w:color w:val="auto"/>
          <w:sz w:val="24"/>
          <w:szCs w:val="24"/>
          <w:highlight w:val="none"/>
        </w:rPr>
        <w:t xml:space="preserve">（北京时间）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szCs w:val="24"/>
          <w:highlight w:val="none"/>
        </w:rPr>
        <w:t xml:space="preserve">或者</w:t>
      </w:r>
      <w:r>
        <w:rPr>
          <w:rFonts w:hint="eastAsia"/>
          <w:color w:val="auto"/>
          <w:sz w:val="24"/>
          <w:szCs w:val="24"/>
          <w:highlight w:val="none"/>
        </w:rPr>
        <w:t xml:space="preserve">提交失误，由此造成的一切损失由投标人自行承担。</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500" w:lineRule="exact"/>
        <w:rPr>
          <w:color w:val="auto"/>
          <w:sz w:val="24"/>
          <w:szCs w:val="24"/>
          <w:highlight w:val="none"/>
        </w:rPr>
      </w:pPr>
      <w:r>
        <w:rPr>
          <w:rFonts w:hint="eastAsia"/>
          <w:color w:val="auto"/>
          <w:sz w:val="24"/>
          <w:szCs w:val="24"/>
          <w:highlight w:val="none"/>
        </w:rPr>
        <w:t xml:space="preserve">1.采购人信息</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名    称：连云港市赣榆区消防救援大队</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    址：</w:t>
      </w:r>
      <w:r>
        <w:rPr>
          <w:rFonts w:hint="eastAsia" w:ascii="宋体" w:hAnsi="宋体"/>
          <w:color w:val="auto"/>
          <w:sz w:val="24"/>
          <w:highlight w:val="none"/>
        </w:rPr>
        <w:t xml:space="preserve">江苏省连云港市赣榆区青口镇盛世路6号</w:t>
      </w:r>
      <w:r>
        <w:rPr>
          <w:rFonts w:hint="eastAsia" w:ascii="宋体" w:hAnsi="宋体" w:eastAsia="宋体" w:cs="Times New Roman"/>
          <w:color w:val="auto"/>
          <w:sz w:val="24"/>
          <w:highlight w:val="none"/>
        </w:rPr>
        <w:t xml:space="preserve">　</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联系方式：</w:t>
      </w:r>
      <w:bookmarkStart w:id="4" w:name="OLE_LINK8"/>
      <w:r>
        <w:rPr>
          <w:rFonts w:hint="eastAsia" w:ascii="宋体" w:hAnsi="宋体"/>
          <w:color w:val="auto"/>
          <w:sz w:val="24"/>
          <w:highlight w:val="none"/>
        </w:rPr>
        <w:t xml:space="preserve">薄队</w:t>
      </w:r>
      <w:bookmarkEnd w:id="4"/>
      <w:r>
        <w:rPr>
          <w:rFonts w:hint="eastAsia" w:ascii="宋体" w:hAnsi="宋体"/>
          <w:color w:val="auto"/>
          <w:sz w:val="24"/>
          <w:highlight w:val="none"/>
        </w:rPr>
        <w:t xml:space="preserve">、</w:t>
      </w:r>
      <w:bookmarkStart w:id="5" w:name="OLE_LINK13"/>
      <w:r>
        <w:rPr>
          <w:rFonts w:hint="eastAsia" w:ascii="宋体" w:hAnsi="宋体"/>
          <w:color w:val="auto"/>
          <w:sz w:val="24"/>
          <w:highlight w:val="none"/>
        </w:rPr>
        <w:t xml:space="preserve">18851256511</w:t>
      </w:r>
      <w:bookmarkEnd w:id="5"/>
      <w:r/>
      <w:r/>
    </w:p>
    <w:p>
      <w:pPr>
        <w:ind w:firstLine="480"/>
        <w:jc w:val="left"/>
        <w:spacing w:line="500" w:lineRule="exact"/>
        <w:rPr>
          <w:color w:val="auto"/>
          <w:sz w:val="24"/>
          <w:szCs w:val="24"/>
          <w:highlight w:val="none"/>
        </w:rPr>
      </w:pPr>
      <w:r>
        <w:rPr>
          <w:rFonts w:hint="eastAsia"/>
          <w:color w:val="auto"/>
          <w:sz w:val="24"/>
          <w:szCs w:val="24"/>
          <w:highlight w:val="none"/>
        </w:rPr>
        <w:t xml:space="preserve">2.采购代理机构信息</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    称：江苏宝宏项目管理咨询有限公司</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    址：连云港市海州区朐凤路116号润连智造中心</w:t>
      </w:r>
      <w:r/>
    </w:p>
    <w:p>
      <w:pPr>
        <w:ind w:firstLine="480"/>
        <w:jc w:val="left"/>
        <w:spacing w:line="500" w:lineRule="exact"/>
        <w:rPr>
          <w:rFonts w:ascii="宋体" w:hAnsi="宋体" w:eastAsia="宋体"/>
          <w:color w:val="auto"/>
          <w:sz w:val="24"/>
          <w:highlight w:val="none"/>
        </w:rPr>
      </w:pPr>
      <w:r>
        <w:rPr>
          <w:rFonts w:hint="eastAsia" w:ascii="宋体" w:hAnsi="宋体" w:eastAsia="宋体" w:cs="Times New Roman"/>
          <w:color w:val="auto"/>
          <w:sz w:val="24"/>
          <w:szCs w:val="24"/>
          <w:highlight w:val="none"/>
        </w:rPr>
        <w:t xml:space="preserve">联系方式：</w:t>
      </w:r>
      <w:r>
        <w:rPr>
          <w:rFonts w:hint="eastAsia" w:ascii="宋体" w:hAnsi="宋体" w:eastAsia="宋体"/>
          <w:color w:val="auto"/>
          <w:sz w:val="24"/>
          <w:highlight w:val="none"/>
        </w:rPr>
        <w:t xml:space="preserve">孙盼 18936670014</w:t>
      </w:r>
      <w:r/>
    </w:p>
    <w:p>
      <w:pPr>
        <w:ind w:firstLine="480"/>
        <w:jc w:val="left"/>
        <w:spacing w:line="500" w:lineRule="exact"/>
        <w:rPr>
          <w:color w:val="auto"/>
          <w:sz w:val="24"/>
          <w:szCs w:val="24"/>
          <w:highlight w:val="none"/>
        </w:rPr>
      </w:pPr>
      <w:r>
        <w:rPr>
          <w:rFonts w:hint="eastAsia"/>
          <w:color w:val="auto"/>
          <w:sz w:val="24"/>
          <w:szCs w:val="24"/>
          <w:highlight w:val="none"/>
        </w:rPr>
        <w:t xml:space="preserve">3.项目联系方式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项目联系人：</w:t>
      </w:r>
      <w:r>
        <w:rPr>
          <w:rFonts w:hint="eastAsia" w:ascii="宋体" w:hAnsi="宋体"/>
          <w:color w:val="auto"/>
          <w:sz w:val="24"/>
          <w:highlight w:val="none"/>
        </w:rPr>
        <w:t xml:space="preserve">薄队</w:t>
      </w:r>
      <w:r/>
    </w:p>
    <w:p>
      <w:pPr>
        <w:ind w:firstLine="480"/>
        <w:jc w:val="left"/>
        <w:spacing w:line="500" w:lineRule="exact"/>
        <w:rPr>
          <w:color w:val="auto"/>
          <w:sz w:val="24"/>
          <w:szCs w:val="24"/>
          <w:highlight w:val="none"/>
        </w:rPr>
      </w:pPr>
      <w:r>
        <w:rPr>
          <w:rFonts w:hint="eastAsia"/>
          <w:color w:val="auto"/>
          <w:sz w:val="24"/>
          <w:szCs w:val="24"/>
          <w:highlight w:val="none"/>
        </w:rPr>
        <w:t xml:space="preserve">电      话：</w:t>
      </w:r>
      <w:r>
        <w:rPr>
          <w:rFonts w:hint="eastAsia" w:ascii="宋体" w:hAnsi="宋体"/>
          <w:color w:val="auto"/>
          <w:sz w:val="24"/>
          <w:highlight w:val="none"/>
        </w:rPr>
        <w:t xml:space="preserve">18851256511</w:t>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637"/>
        <w:jc w:val="center"/>
        <w:spacing w:before="156" w:after="156" w:line="360" w:lineRule="auto"/>
        <w:rPr>
          <w:rFonts w:ascii="黑体" w:hAnsi="黑体" w:eastAsia="黑体"/>
          <w:b w:val="0"/>
          <w:color w:val="auto"/>
          <w:highlight w:val="none"/>
        </w:rPr>
      </w:pPr>
      <w:r/>
      <w:bookmarkStart w:id="6" w:name="_Toc165205795"/>
      <w:r>
        <w:rPr>
          <w:rFonts w:hint="eastAsia" w:ascii="黑体" w:hAnsi="黑体" w:eastAsia="黑体"/>
          <w:b w:val="0"/>
          <w:color w:val="auto"/>
          <w:highlight w:val="none"/>
        </w:rPr>
        <w:t xml:space="preserve">第二章  投标人须知</w:t>
      </w:r>
      <w:bookmarkEnd w:id="6"/>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4.1 投标人应自行承担所有与参与投标有关的费用，无论投标过程中的做法和结果如何，采购人和江苏宝宏项目管理咨询有限公司（以下简称采购代理机构）在任何情况下均无义务和责任承担这些费用。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4.2本项目的招标代理服务费按苏招协[2022]002号文规定收取费用，由中标人在领取中标通知书时一次性支付；以上投标单位须将此部分费用综合考虑在投标报价中，不得单列。评审费按实际发生计取由招标人支付。</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请仔细检查招标文件是否齐全，如有缺漏请立即与采购代理机构联系解决。</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任何要求对招标文件进行澄清的投标人，应在投标截止时间十日前按招标公告中的通讯地址，以书面形式通知采购人或者采购代理机构。</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在投标截止时间前，采购人和采购代理机构可以对招标文件进行修改。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采购人和采购代理机构有权按照法定的要求推迟投标截止时间和开标时间。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39"/>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（1）投标的货物总价；</w:t>
      </w:r>
      <w:r/>
    </w:p>
    <w:p>
      <w:pPr>
        <w:ind w:firstLine="480"/>
        <w:jc w:val="left"/>
        <w:spacing w:line="500" w:lineRule="exact"/>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采购代理机构拒绝接收在招标文件规定的投标截止时间后递交（上传）的任何投标文件。</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开标仪式由采购代理机构组织。“苏采云”系统将自动对项目进行开标，并宣布各投标人名称和投标价格。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投标人在开标、评标全过程中应保持通讯畅通，及时登录“苏采云”系统查阅、答复相关信息，并安排专人与采购代理机构及评委会联系。</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开标后，采购代理机构将组织评委会进行评标。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采购代理机构和评委会不向未中标的投标人解释未中标原因，也不公布评标过程中的相关细节。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28.3 采购代理机构将在江苏政府采购网发布中标公告，公告期限为1个工作日。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（3）与采购人、其他供应商或者采购代理机构恶意串通的。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（4）向采购人、采购代理机构行贿或者提供其他不正当利益的。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szCs w:val="24"/>
          <w:highlight w:val="none"/>
        </w:rPr>
      </w:pPr>
      <w:r>
        <w:rPr>
          <w:rFonts w:hint="eastAsia"/>
          <w:color w:val="auto"/>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29.3 中标人应在中标后七个工作日内，向采购人和采购代理机构提供一</w:t>
      </w:r>
      <w:r>
        <w:rPr>
          <w:rFonts w:hint="eastAsia"/>
          <w:color w:val="auto"/>
          <w:sz w:val="24"/>
          <w:szCs w:val="24"/>
          <w:highlight w:val="none"/>
          <w:lang w:val="en-US" w:eastAsia="zh-CN"/>
        </w:rPr>
        <w:t xml:space="preserve">正三副</w:t>
      </w:r>
      <w:r>
        <w:rPr>
          <w:rFonts w:hint="eastAsia"/>
          <w:color w:val="auto"/>
          <w:sz w:val="24"/>
          <w:szCs w:val="24"/>
          <w:highlight w:val="none"/>
        </w:rPr>
        <w:t xml:space="preserve">与电子投标文件一致的纸质打印胶装投标文件，封面、骑缝需加盖公章。</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30.4 采购人</w:t>
      </w:r>
      <w:r>
        <w:rPr>
          <w:color w:val="auto"/>
          <w:sz w:val="24"/>
          <w:szCs w:val="24"/>
          <w:highlight w:val="none"/>
        </w:rPr>
        <w:t xml:space="preserve">应当在合同签订后</w:t>
      </w:r>
      <w:r>
        <w:rPr>
          <w:rFonts w:hint="eastAsia"/>
          <w:color w:val="auto"/>
          <w:sz w:val="24"/>
          <w:szCs w:val="24"/>
          <w:highlight w:val="none"/>
        </w:rPr>
        <w:t xml:space="preserve">2日</w:t>
      </w:r>
      <w:r>
        <w:rPr>
          <w:color w:val="auto"/>
          <w:sz w:val="24"/>
          <w:szCs w:val="24"/>
          <w:highlight w:val="none"/>
        </w:rPr>
        <w:t xml:space="preserve">内上传合同至苏采云</w:t>
      </w:r>
      <w:r>
        <w:rPr>
          <w:rFonts w:hint="eastAsia"/>
          <w:color w:val="auto"/>
          <w:sz w:val="24"/>
          <w:szCs w:val="24"/>
          <w:highlight w:val="none"/>
        </w:rPr>
        <w:t xml:space="preserve">公示</w:t>
      </w:r>
      <w:r>
        <w:rPr>
          <w:color w:val="auto"/>
          <w:sz w:val="24"/>
          <w:szCs w:val="24"/>
          <w:highlight w:val="none"/>
        </w:rPr>
        <w:t xml:space="preserve">。</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30.5履约保证金</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本次采购不收取履约保证金</w:t>
      </w:r>
      <w:r>
        <w:rPr>
          <w:rFonts w:hint="eastAsia"/>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30.5.2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color w:val="auto"/>
          <w:sz w:val="24"/>
          <w:szCs w:val="24"/>
          <w:highlight w:val="none"/>
        </w:rPr>
      </w:pPr>
      <w:r>
        <w:rPr>
          <w:rFonts w:hint="eastAsia"/>
          <w:color w:val="auto"/>
          <w:sz w:val="24"/>
          <w:szCs w:val="24"/>
          <w:highlight w:val="none"/>
        </w:rPr>
        <w:t xml:space="preserve">30.5.3 履约保证金自合同生效之日起至合同约定的中标人主要义务履行完毕止，采购人应当按合同约定及时退还履约保证金。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30.5.4 逾期退还履约保证金的采购人承担违约责任，按照中国人民银行同期贷款基准利率向中标人支付超期资金占用费。</w:t>
      </w:r>
      <w:r/>
    </w:p>
    <w:p>
      <w:pPr>
        <w:ind w:firstLine="480"/>
        <w:jc w:val="left"/>
        <w:spacing w:line="500" w:lineRule="exact"/>
        <w:rPr>
          <w:color w:val="auto"/>
          <w:sz w:val="24"/>
          <w:szCs w:val="24"/>
          <w:highlight w:val="none"/>
        </w:rPr>
      </w:pPr>
      <w:r>
        <w:rPr>
          <w:rFonts w:hint="eastAsia"/>
          <w:color w:val="auto"/>
          <w:sz w:val="24"/>
          <w:szCs w:val="24"/>
          <w:highlight w:val="none"/>
        </w:rPr>
        <w:t xml:space="preserve">30.5.5 本项目履约保证金要求详见招标文件第四章 采购需求。</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39"/>
        <w:ind w:firstLine="562"/>
        <w:jc w:val="left"/>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35.2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35.3 对不符合质疑要求的，采购人、采购代理机构有权要求其补充必要的证明材料，质疑供应商未在法定时间内补充必要的证明材料的，视同放弃质疑。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35.5 采购人、采购代理机构依法受理的质疑，将按照政府采购有关规定，在法定期限内作出答复。</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36.7 未尽事宜，依照有关法律、法规执行。</w:t>
      </w:r>
      <w:r/>
    </w:p>
    <w:p>
      <w:pPr>
        <w:pStyle w:val="638"/>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ind w:firstLine="480"/>
        <w:jc w:val="left"/>
        <w:keepLines w:val="0"/>
        <w:keepNext w:val="0"/>
        <w:pageBreakBefore w:val="0"/>
        <w:spacing w:line="480" w:lineRule="exact"/>
        <w:widowControl/>
        <w:rPr>
          <w:rFonts w:hint="default" w:ascii="Arial" w:hAnsi="Arial" w:eastAsia="Arial" w:cs="宋体"/>
          <w:color w:val="auto"/>
          <w:sz w:val="24"/>
          <w:highlight w:val="none"/>
        </w:rPr>
      </w:pPr>
      <w:r>
        <w:rPr>
          <w:rFonts w:hint="eastAsia" w:ascii="Calibri" w:hAnsi="Calibri" w:eastAsia="宋体" w:cs="Times New Roman"/>
          <w:color w:val="auto"/>
          <w:sz w:val="24"/>
          <w:szCs w:val="24"/>
          <w:highlight w:val="none"/>
          <w:lang w:val="en-US" w:eastAsia="zh-CN"/>
        </w:rPr>
        <w:t xml:space="preserve">37.</w:t>
      </w:r>
      <w:r>
        <w:rPr>
          <w:rFonts w:hint="eastAsia" w:ascii="Arial" w:hAnsi="Arial" w:eastAsia="Arial" w:cs="宋体"/>
          <w:color w:val="auto"/>
          <w:sz w:val="24"/>
          <w:highlight w:val="none"/>
        </w:rPr>
        <w:t xml:space="preserve">本项目面向中小企业采购：</w:t>
      </w:r>
      <w:r/>
    </w:p>
    <w:p>
      <w:pPr>
        <w:ind w:firstLine="480"/>
        <w:jc w:val="left"/>
        <w:keepLines w:val="0"/>
        <w:keepNext w:val="0"/>
        <w:pageBreakBefore w:val="0"/>
        <w:spacing w:line="480" w:lineRule="exact"/>
        <w:widowControl/>
        <w:rPr>
          <w:rFonts w:hint="default" w:ascii="Arial" w:hAnsi="Arial" w:eastAsia="Arial" w:cs="宋体"/>
          <w:color w:val="auto"/>
          <w:sz w:val="24"/>
          <w:highlight w:val="none"/>
        </w:rPr>
      </w:pPr>
      <w:r>
        <w:rPr>
          <w:rFonts w:hint="eastAsia" w:ascii="Arial" w:hAnsi="Arial" w:eastAsia="Arial" w:cs="宋体"/>
          <w:color w:val="auto"/>
          <w:sz w:val="24"/>
          <w:highlight w:val="none"/>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keepLines w:val="0"/>
        <w:keepNext w:val="0"/>
        <w:pageBreakBefore w:val="0"/>
        <w:spacing w:line="480" w:lineRule="exact"/>
        <w:widowControl/>
        <w:rPr>
          <w:rFonts w:hint="default" w:ascii="Arial" w:hAnsi="Arial" w:eastAsia="Arial" w:cs="宋体"/>
          <w:color w:val="auto"/>
          <w:sz w:val="24"/>
          <w:highlight w:val="none"/>
        </w:rPr>
      </w:pPr>
      <w:r>
        <w:rPr>
          <w:rFonts w:hint="eastAsia" w:ascii="Arial" w:hAnsi="Arial" w:eastAsia="Arial" w:cs="宋体"/>
          <w:color w:val="auto"/>
          <w:sz w:val="24"/>
          <w:highlight w:val="none"/>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keepLines w:val="0"/>
        <w:keepNext w:val="0"/>
        <w:pageBreakBefore w:val="0"/>
        <w:spacing w:line="480" w:lineRule="exact"/>
        <w:widowControl/>
        <w:rPr>
          <w:rFonts w:hint="default" w:ascii="Arial" w:hAnsi="Arial" w:eastAsia="Arial" w:cs="宋体"/>
          <w:color w:val="auto"/>
          <w:sz w:val="24"/>
          <w:highlight w:val="none"/>
        </w:rPr>
      </w:pPr>
      <w:r>
        <w:rPr>
          <w:rFonts w:hint="eastAsia" w:ascii="Arial" w:hAnsi="Arial" w:eastAsia="Arial" w:cs="宋体"/>
          <w:b/>
          <w:bCs/>
          <w:color w:val="auto"/>
          <w:sz w:val="24"/>
          <w:highlight w:val="none"/>
        </w:rPr>
        <w:t xml:space="preserve">中小企业参加政府采购活动，应当出具本办法规定的《中小企业声明函》，否则</w:t>
      </w:r>
      <w:r>
        <w:rPr>
          <w:rFonts w:hint="eastAsia" w:ascii="Arial" w:hAnsi="Arial" w:eastAsia="宋体" w:cs="宋体"/>
          <w:b/>
          <w:bCs/>
          <w:color w:val="auto"/>
          <w:sz w:val="24"/>
          <w:highlight w:val="none"/>
          <w:lang w:val="en-US" w:eastAsia="zh-CN"/>
        </w:rPr>
        <w:t xml:space="preserve">作无效标处理</w:t>
      </w:r>
      <w:r>
        <w:rPr>
          <w:rFonts w:hint="eastAsia" w:ascii="Arial" w:hAnsi="Arial" w:eastAsia="Arial" w:cs="宋体"/>
          <w:color w:val="auto"/>
          <w:sz w:val="24"/>
          <w:highlight w:val="none"/>
        </w:rPr>
        <w:t xml:space="preserve">。</w:t>
      </w:r>
      <w:r/>
    </w:p>
    <w:p>
      <w:pPr>
        <w:ind w:firstLine="480"/>
        <w:jc w:val="left"/>
        <w:keepLines w:val="0"/>
        <w:keepNext w:val="0"/>
        <w:pageBreakBefore w:val="0"/>
        <w:spacing w:line="440" w:lineRule="exact"/>
        <w:widowControl/>
        <w:rPr>
          <w:rFonts w:hint="default" w:ascii="Arial" w:hAnsi="Arial" w:eastAsia="Arial" w:cs="宋体"/>
          <w:color w:val="auto"/>
          <w:sz w:val="24"/>
          <w:highlight w:val="none"/>
        </w:rPr>
      </w:pPr>
      <w:r>
        <w:rPr>
          <w:rFonts w:hint="eastAsia" w:ascii="Arial" w:hAnsi="Arial" w:eastAsia="Arial" w:cs="宋体"/>
          <w:color w:val="auto"/>
          <w:sz w:val="24"/>
          <w:highlight w:val="none"/>
        </w:rPr>
        <w:t xml:space="preserve">3.投标人为残疾人福利性单位且提供的货物全部由残疾人福利性单位制造的，符合财库〔2017〕141 号文件规定条件的残疾人福利性单位视同小型、微型企业，提供《残疾人福利性单位声明函》。</w:t>
      </w:r>
      <w:r/>
    </w:p>
    <w:p>
      <w:pPr>
        <w:ind w:firstLine="480"/>
        <w:jc w:val="left"/>
        <w:keepLines w:val="0"/>
        <w:keepNext w:val="0"/>
        <w:pageBreakBefore w:val="0"/>
        <w:spacing w:line="440" w:lineRule="exact"/>
        <w:widowControl/>
        <w:rPr>
          <w:rFonts w:hint="default" w:ascii="Arial" w:hAnsi="Arial" w:eastAsia="Arial" w:cs="宋体"/>
          <w:color w:val="auto"/>
          <w:sz w:val="24"/>
          <w:highlight w:val="none"/>
        </w:rPr>
      </w:pPr>
      <w:r>
        <w:rPr>
          <w:rFonts w:hint="eastAsia" w:ascii="Arial" w:hAnsi="Arial" w:eastAsia="Arial" w:cs="宋体"/>
          <w:color w:val="auto"/>
          <w:sz w:val="24"/>
          <w:highlight w:val="none"/>
        </w:rPr>
        <w:t xml:space="preserve">4.投标人为监狱企业或提供的货物</w:t>
      </w:r>
      <w:r>
        <w:rPr>
          <w:rFonts w:hint="eastAsia" w:ascii="Arial" w:hAnsi="Arial" w:eastAsia="Arial" w:cs="宋体"/>
          <w:color w:val="auto"/>
          <w:sz w:val="24"/>
          <w:highlight w:val="none"/>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80"/>
        <w:jc w:val="both"/>
        <w:keepLines w:val="0"/>
        <w:keepNext w:val="0"/>
        <w:pageBreakBefore w:val="0"/>
        <w:spacing w:line="44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r/>
    </w:p>
    <w:p>
      <w:pPr>
        <w:ind w:firstLine="480"/>
        <w:jc w:val="both"/>
        <w:keepLines w:val="0"/>
        <w:keepNext w:val="0"/>
        <w:pageBreakBefore w:val="0"/>
        <w:spacing w:line="44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5.在政府采购活动中，投标人提供的货物、工程或者服务符合下列情形的，享受本办法规定的中小企业扶持政策：</w:t>
      </w:r>
      <w:r/>
    </w:p>
    <w:p>
      <w:pPr>
        <w:ind w:firstLine="480"/>
        <w:jc w:val="both"/>
        <w:keepLines w:val="0"/>
        <w:keepNext w:val="0"/>
        <w:pageBreakBefore w:val="0"/>
        <w:spacing w:line="44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（一）在货物采购项目中，货物由中小企业制造，即货物由中小企业生产且使用该中小企业商号或者注册商标；</w:t>
      </w:r>
      <w:r/>
    </w:p>
    <w:p>
      <w:pPr>
        <w:ind w:firstLine="480"/>
        <w:jc w:val="both"/>
        <w:keepLines w:val="0"/>
        <w:keepNext w:val="0"/>
        <w:pageBreakBefore w:val="0"/>
        <w:spacing w:line="44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（二）在工程采购项目中，工程由中小企业承建，即工程施工单位为中小企业；</w:t>
      </w:r>
      <w:r/>
    </w:p>
    <w:p>
      <w:pPr>
        <w:ind w:firstLine="480"/>
        <w:jc w:val="both"/>
        <w:keepLines w:val="0"/>
        <w:keepNext w:val="0"/>
        <w:pageBreakBefore w:val="0"/>
        <w:spacing w:line="48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line="48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以上规定未尽事项，按《政府采购促进中小企业发展管理办法》等有关制度规定执行。</w:t>
      </w:r>
      <w:r/>
    </w:p>
    <w:p>
      <w:pPr>
        <w:ind w:firstLine="480"/>
        <w:jc w:val="both"/>
        <w:keepLines w:val="0"/>
        <w:keepNext w:val="0"/>
        <w:pageBreakBefore w:val="0"/>
        <w:spacing w:line="48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6.《中小企业声明函》等相关资料应上传至电子投标文件中，否则不予认可。</w:t>
      </w:r>
      <w:r/>
    </w:p>
    <w:p>
      <w:pPr>
        <w:ind w:firstLine="42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MS Mincho" w:hAnsi="Calibri" w:eastAsia="宋体" w:cs="Times New Roman"/>
          <w:color w:val="auto"/>
          <w:sz w:val="21"/>
          <w:szCs w:val="24"/>
          <w:highlight w:val="none"/>
          <w:lang w:val="en-US" w:eastAsia="zh-CN" w:bidi="ar-SA"/>
        </w:rPr>
        <w:t xml:space="preserve">7、</w:t>
      </w:r>
      <w:r>
        <w:rPr>
          <w:rFonts w:hint="eastAsia"/>
          <w:b/>
          <w:bCs/>
          <w:color w:val="auto"/>
          <w:sz w:val="24"/>
          <w:szCs w:val="24"/>
          <w:highlight w:val="none"/>
        </w:rPr>
        <w:t xml:space="preserve">本项目属性为货物，采购标的对应的中小企业划分标准所属行业详见货物（标的）采购清单。</w:t>
      </w:r>
      <w:r/>
    </w:p>
    <w:p>
      <w:pPr>
        <w:ind w:firstLine="482"/>
        <w:jc w:val="both"/>
        <w:keepLines w:val="0"/>
        <w:keepNext w:val="0"/>
        <w:pageBreakBefore w:val="0"/>
        <w:spacing w:line="44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b/>
          <w:bCs/>
          <w:color w:val="auto"/>
          <w:sz w:val="24"/>
          <w:szCs w:val="22"/>
          <w:highlight w:val="none"/>
          <w:lang w:val="en-US" w:eastAsia="zh-CN" w:bidi="ar-SA"/>
        </w:rPr>
        <w:t xml:space="preserve">38.支持绿色发展</w:t>
      </w:r>
      <w:r/>
    </w:p>
    <w:p>
      <w:pPr>
        <w:ind w:firstLine="480"/>
        <w:jc w:val="both"/>
        <w:keepLines w:val="0"/>
        <w:keepNext w:val="0"/>
        <w:pageBreakBefore w:val="0"/>
        <w:spacing w:line="44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val="0"/>
        <w:pageBreakBefore w:val="0"/>
        <w:spacing w:line="440" w:lineRule="exact"/>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jc w:val="left"/>
        <w:keepLines w:val="0"/>
        <w:keepNext w:val="0"/>
        <w:pageBreakBefore w:val="0"/>
        <w:spacing w:line="440" w:lineRule="exact"/>
        <w:widowControl/>
        <w:rPr>
          <w:rFonts w:hint="default" w:ascii="Calibri" w:hAnsi="Calibri" w:eastAsia="宋体" w:cs="Times New Roman"/>
          <w:color w:val="auto"/>
          <w:sz w:val="24"/>
          <w:szCs w:val="24"/>
          <w:highlight w:val="none"/>
        </w:rPr>
      </w:pPr>
      <w:r>
        <w:rPr>
          <w:rFonts w:hint="eastAsia" w:ascii="宋体" w:hAnsi="Times New Roman" w:eastAsia="宋体" w:cs="Times New Roman"/>
          <w:color w:val="auto"/>
          <w:sz w:val="24"/>
          <w:szCs w:val="22"/>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39"/>
        <w:ind w:firstLine="562"/>
        <w:jc w:val="left"/>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highlight w:val="none"/>
        </w:rPr>
      </w:pPr>
      <w:r>
        <w:rPr>
          <w:color w:val="auto"/>
          <w:sz w:val="24"/>
          <w:szCs w:val="24"/>
          <w:highlight w:val="none"/>
        </w:rPr>
        <w:br w:type="page" w:clear="all"/>
      </w:r>
      <w:r/>
    </w:p>
    <w:p>
      <w:pPr>
        <w:pStyle w:val="637"/>
        <w:jc w:val="center"/>
        <w:spacing w:before="156" w:after="156" w:line="360" w:lineRule="auto"/>
        <w:rPr>
          <w:rFonts w:ascii="黑体" w:hAnsi="黑体" w:eastAsia="黑体"/>
          <w:b w:val="0"/>
          <w:color w:val="auto"/>
          <w:highlight w:val="none"/>
        </w:rPr>
      </w:pPr>
      <w:r/>
      <w:bookmarkStart w:id="7" w:name="_Toc165205796"/>
      <w:r>
        <w:rPr>
          <w:rFonts w:hint="eastAsia" w:ascii="黑体" w:hAnsi="黑体" w:eastAsia="黑体"/>
          <w:b w:val="0"/>
          <w:color w:val="auto"/>
          <w:highlight w:val="none"/>
        </w:rPr>
        <w:t xml:space="preserve">第三章  合同文本</w:t>
      </w:r>
      <w:bookmarkEnd w:id="7"/>
      <w:r/>
      <w:r/>
    </w:p>
    <w:p>
      <w:pPr>
        <w:pStyle w:val="645"/>
        <w:jc w:val="center"/>
        <w:spacing w:after="0"/>
        <w:rPr>
          <w:rFonts w:ascii="宋体" w:hAnsi="宋体" w:cs="宋体"/>
          <w:b/>
          <w:bCs/>
          <w:color w:val="auto"/>
          <w:spacing w:val="-20"/>
          <w:sz w:val="48"/>
          <w:szCs w:val="48"/>
          <w:highlight w:val="none"/>
        </w:rPr>
      </w:pPr>
      <w:r/>
      <w:bookmarkStart w:id="8" w:name="_Toc3995"/>
      <w:r/>
      <w:r/>
    </w:p>
    <w:p>
      <w:pPr>
        <w:pStyle w:val="645"/>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45"/>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45"/>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645"/>
        <w:jc w:val="center"/>
        <w:spacing w:after="0"/>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w:t>
      </w:r>
      <w:r/>
    </w:p>
    <w:p>
      <w:pPr>
        <w:ind w:left="4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p>
    <w:p>
      <w:pPr>
        <w:ind w:left="4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4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4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甲方（买方）：</w:t>
      </w:r>
      <w:r/>
    </w:p>
    <w:p>
      <w:pPr>
        <w:ind w:left="4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乙方（卖方）：</w:t>
      </w:r>
      <w:r/>
    </w:p>
    <w:p>
      <w:pPr>
        <w:ind w:left="4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签订时间：</w:t>
      </w:r>
      <w:r/>
    </w:p>
    <w:p>
      <w:pPr>
        <w:jc w:val="left"/>
        <w:widowControl/>
        <w:rPr>
          <w:color w:val="auto"/>
          <w:highlight w:val="none"/>
        </w:rPr>
      </w:pPr>
      <w:r>
        <w:rPr>
          <w:rFonts w:eastAsia="黑体"/>
          <w:color w:val="auto"/>
          <w:sz w:val="44"/>
          <w:szCs w:val="44"/>
          <w:highlight w:val="none"/>
        </w:rPr>
        <w:br w:type="page" w:clear="all"/>
      </w:r>
      <w:bookmarkEnd w:id="8"/>
      <w:r/>
      <w:r/>
    </w:p>
    <w:p>
      <w:pPr>
        <w:jc w:val="center"/>
        <w:spacing w:line="560" w:lineRule="exact"/>
        <w:rPr>
          <w:rFonts w:ascii="宋体" w:hAnsi="宋体" w:eastAsia="宋体" w:cs="Times New Roman"/>
          <w:b/>
          <w:color w:val="auto"/>
          <w:sz w:val="32"/>
          <w:szCs w:val="20"/>
          <w:highlight w:val="none"/>
        </w:rPr>
      </w:pPr>
      <w:r>
        <w:rPr>
          <w:rFonts w:hint="eastAsia" w:ascii="Times New Roman" w:hAnsi="Times New Roman" w:eastAsia="宋体" w:cs="Times New Roman"/>
          <w:b/>
          <w:color w:val="auto"/>
          <w:sz w:val="32"/>
          <w:szCs w:val="32"/>
          <w:highlight w:val="none"/>
        </w:rPr>
        <w:t xml:space="preserve">连云港市政府采购合同</w:t>
      </w:r>
      <w:r/>
    </w:p>
    <w:p>
      <w:pPr>
        <w:ind w:firstLine="48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甲方：（买方）</w:t>
      </w:r>
      <w:r>
        <w:rPr>
          <w:rFonts w:hint="eastAsia" w:ascii="宋体" w:hAnsi="宋体" w:eastAsia="宋体" w:cs="Times New Roman"/>
          <w:color w:val="auto"/>
          <w:sz w:val="24"/>
          <w:szCs w:val="24"/>
          <w:highlight w:val="none"/>
          <w:u w:val="single"/>
        </w:rPr>
        <w:t xml:space="preserve">                        </w:t>
      </w:r>
      <w:r/>
    </w:p>
    <w:p>
      <w:pPr>
        <w:ind w:firstLine="48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乙方：</w:t>
      </w:r>
      <w:r>
        <w:rPr>
          <w:rFonts w:ascii="宋体" w:hAnsi="宋体" w:eastAsia="宋体" w:cs="Times New Roman"/>
          <w:color w:val="auto"/>
          <w:sz w:val="24"/>
          <w:szCs w:val="24"/>
          <w:highlight w:val="none"/>
        </w:rPr>
        <w:t xml:space="preserve">（卖方）</w:t>
      </w:r>
      <w:r>
        <w:rPr>
          <w:rFonts w:hint="eastAsia" w:ascii="宋体" w:hAnsi="宋体" w:eastAsia="宋体" w:cs="Times New Roman"/>
          <w:color w:val="auto"/>
          <w:sz w:val="24"/>
          <w:szCs w:val="24"/>
          <w:highlight w:val="none"/>
          <w:u w:val="single"/>
        </w:rPr>
        <w:t xml:space="preserve">                        </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项目（</w:t>
      </w:r>
      <w:r>
        <w:rPr>
          <w:rFonts w:hint="eastAsia" w:ascii="宋体" w:hAnsi="宋体" w:eastAsia="宋体" w:cs="Times New Roman"/>
          <w:color w:val="auto"/>
          <w:sz w:val="24"/>
          <w:szCs w:val="24"/>
          <w:highlight w:val="none"/>
        </w:rPr>
        <w:t xml:space="preserve">项目编号</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的采购结果</w:t>
      </w:r>
      <w:r>
        <w:rPr>
          <w:rFonts w:ascii="宋体" w:hAnsi="宋体" w:eastAsia="宋体" w:cs="Times New Roman"/>
          <w:color w:val="auto"/>
          <w:sz w:val="24"/>
          <w:szCs w:val="24"/>
          <w:highlight w:val="none"/>
        </w:rPr>
        <w:t xml:space="preserve">，签订本合同。</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一、货物内容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 货物名称：</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 型号规格：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 技术参数：</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1.4 数量（单位）：</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二、合同金额</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2.1 本合同金额为（大写）：</w:t>
      </w:r>
      <w:r>
        <w:rPr>
          <w:rFonts w:ascii="Times New Roman" w:hAnsi="Times New Roman" w:eastAsia="宋体" w:cs="Times New Roman"/>
          <w:color w:val="auto"/>
          <w:sz w:val="24"/>
          <w:szCs w:val="24"/>
          <w:highlight w:val="none"/>
        </w:rPr>
        <w:t xml:space="preserve">_______________</w:t>
      </w:r>
      <w:r>
        <w:rPr>
          <w:rFonts w:hint="eastAsia" w:ascii="Times New Roman" w:hAnsi="Times New Roman" w:eastAsia="宋体" w:cs="Times New Roman"/>
          <w:color w:val="auto"/>
          <w:sz w:val="24"/>
          <w:szCs w:val="24"/>
          <w:highlight w:val="none"/>
        </w:rPr>
        <w:t xml:space="preserve">元（¥</w:t>
      </w:r>
      <w:r>
        <w:rPr>
          <w:rFonts w:ascii="Times New Roman" w:hAnsi="Times New Roman" w:eastAsia="宋体" w:cs="Times New Roman"/>
          <w:color w:val="auto"/>
          <w:sz w:val="24"/>
          <w:szCs w:val="24"/>
          <w:highlight w:val="none"/>
        </w:rPr>
        <w:t xml:space="preserve">_____________</w:t>
      </w:r>
      <w:r>
        <w:rPr>
          <w:rFonts w:hint="eastAsia" w:ascii="Times New Roman" w:hAnsi="Times New Roman" w:eastAsia="宋体" w:cs="Times New Roman"/>
          <w:color w:val="auto"/>
          <w:sz w:val="24"/>
          <w:szCs w:val="24"/>
          <w:highlight w:val="none"/>
        </w:rPr>
        <w:t xml:space="preserve">）人民币。</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（详见投标报价表）</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三、技术资料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3.1 乙方应按招标文件规定的时间向甲方提供使用货物的有关技术资料。</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四、知识产权</w:t>
      </w:r>
      <w:r/>
    </w:p>
    <w:p>
      <w:pPr>
        <w:ind w:firstLine="480"/>
        <w:spacing w:line="360" w:lineRule="auto"/>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乙方应保证所提供的货物或其任何一部分均不会侵犯任何第三方的专利权、商标权或著作权</w:t>
      </w:r>
      <w:r>
        <w:rPr>
          <w:rFonts w:hint="eastAsia" w:ascii="Times New Roman" w:hAnsi="宋体" w:eastAsia="宋体" w:cs="Times New Roman"/>
          <w:b/>
          <w:bCs/>
          <w:color w:val="auto"/>
          <w:sz w:val="24"/>
          <w:szCs w:val="24"/>
          <w:highlight w:val="none"/>
        </w:rPr>
        <w:t xml:space="preserve">。</w:t>
      </w:r>
      <w:r/>
    </w:p>
    <w:p>
      <w:pPr>
        <w:ind w:firstLine="482"/>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五、无产权瑕疵条款</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六、履约保证函</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本项目不缴纳履约保证金。</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七、质保期</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7.1质保期</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年（自验收合格之日起开始计算）。</w:t>
      </w:r>
      <w:r/>
    </w:p>
    <w:p>
      <w:pPr>
        <w:ind w:firstLine="48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 w:val="24"/>
          <w:szCs w:val="24"/>
          <w:highlight w:val="none"/>
        </w:rPr>
        <w:t xml:space="preserve">7.2 质保金</w:t>
      </w:r>
      <w:r>
        <w:rPr>
          <w:rFonts w:hint="eastAsia" w:ascii="Times New Roman" w:hAnsi="Times New Roman" w:eastAsia="宋体" w:cs="Times New Roman"/>
          <w:color w:val="auto"/>
          <w:sz w:val="24"/>
          <w:szCs w:val="24"/>
          <w:highlight w:val="none"/>
          <w:u w:val="single"/>
        </w:rPr>
        <w:t xml:space="preserve">   /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八、交货期、交货方式及交货地点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8.1 交货期：</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8.2 交货方式：</w:t>
      </w:r>
      <w:bookmarkStart w:id="9" w:name="OLE_LINK15"/>
      <w:r>
        <w:rPr>
          <w:rFonts w:hint="eastAsia" w:ascii="Times New Roman" w:hAnsi="Times New Roman" w:eastAsia="宋体" w:cs="Times New Roman"/>
          <w:color w:val="auto"/>
          <w:sz w:val="24"/>
          <w:szCs w:val="24"/>
          <w:highlight w:val="none"/>
          <w:u w:val="single"/>
        </w:rPr>
        <w:t xml:space="preserve">甲方指定方式</w:t>
      </w:r>
      <w:bookmarkEnd w:id="9"/>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8.3 交货地点：</w:t>
      </w:r>
      <w:r>
        <w:rPr>
          <w:rFonts w:hint="eastAsia" w:ascii="Times New Roman" w:hAnsi="Times New Roman" w:eastAsia="宋体" w:cs="Times New Roman"/>
          <w:color w:val="auto"/>
          <w:sz w:val="24"/>
          <w:szCs w:val="24"/>
          <w:highlight w:val="none"/>
          <w:u w:val="single"/>
        </w:rPr>
        <w:t xml:space="preserve">甲方指定地点      </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九、合同款支付</w:t>
      </w:r>
      <w:r/>
    </w:p>
    <w:p>
      <w:pPr>
        <w:ind w:firstLine="480"/>
        <w:jc w:val="left"/>
        <w:spacing w:line="360" w:lineRule="auto"/>
        <w:rPr>
          <w:rFonts w:hint="eastAsia" w:ascii="宋体" w:hAnsi="宋体" w:eastAsia="宋体" w:cs="Times New Roman"/>
          <w:b/>
          <w:i/>
          <w:iCs/>
          <w:color w:val="auto"/>
          <w:sz w:val="24"/>
          <w:szCs w:val="24"/>
          <w:highlight w:val="none"/>
          <w:u w:val="single"/>
          <w:lang w:eastAsia="zh-CN"/>
        </w:rPr>
      </w:pPr>
      <w:r>
        <w:rPr>
          <w:rFonts w:hint="eastAsia" w:ascii="Times New Roman" w:hAnsi="Times New Roman" w:eastAsia="宋体" w:cs="Times New Roman"/>
          <w:color w:val="auto"/>
          <w:sz w:val="24"/>
          <w:szCs w:val="24"/>
          <w:highlight w:val="none"/>
        </w:rPr>
        <w:t xml:space="preserve">9.1 </w:t>
      </w:r>
      <w:r>
        <w:rPr>
          <w:rFonts w:hint="eastAsia" w:ascii="宋体" w:hAnsi="宋体" w:eastAsia="宋体" w:cs="Times New Roman"/>
          <w:color w:val="auto"/>
          <w:sz w:val="24"/>
          <w:szCs w:val="24"/>
          <w:highlight w:val="none"/>
        </w:rPr>
        <w:t xml:space="preserve">付款方式：</w:t>
      </w:r>
      <w:r>
        <w:rPr>
          <w:rFonts w:hint="eastAsia" w:ascii="宋体" w:hAnsi="宋体" w:eastAsia="宋体" w:cs="Times New Roman"/>
          <w:b/>
          <w:i/>
          <w:iCs/>
          <w:color w:val="auto"/>
          <w:sz w:val="24"/>
          <w:szCs w:val="24"/>
          <w:highlight w:val="none"/>
          <w:u w:val="single"/>
          <w:lang w:eastAsia="zh-CN"/>
        </w:rPr>
        <w:t xml:space="preserve">项目合同签订后，硬件设备全部到货进场支付合同款总额的30%;政务信息化项目终验合格，付清余款。</w:t>
      </w:r>
      <w:r/>
    </w:p>
    <w:p>
      <w:pPr>
        <w:ind w:firstLine="482"/>
        <w:jc w:val="left"/>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i/>
          <w:iCs/>
          <w:color w:val="auto"/>
          <w:sz w:val="24"/>
          <w:szCs w:val="24"/>
          <w:highlight w:val="none"/>
          <w:u w:val="single"/>
          <w:lang w:eastAsia="zh-CN"/>
        </w:rPr>
        <w:t xml:space="preserve">付款前乙方应向甲方开具正规发票，否则甲方有权拒绝付款。甲方对满足合同约定支付条件的项目自收到发票后10个工作日内将资金支付到约定的乙方账户（以发票开具日期计算）。</w:t>
      </w:r>
      <w:r/>
    </w:p>
    <w:p>
      <w:pPr>
        <w:ind w:firstLine="480"/>
        <w:spacing w:line="360" w:lineRule="auto"/>
        <w:rPr>
          <w:rFonts w:ascii="Times New Roman" w:hAnsi="宋体"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十、质量保证及售后服务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10.1 乙方应按招标文件规定的货物性能、技术要求、质量标准向甲方提供未经使用的全新产品。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（1）更换：由乙方承担所发生的全部费用。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（2）贬值处理：由甲乙双方合议定价。</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（3）退货处理：乙方应退还甲方支付的合同款，同时应承担该货物的直接费用（运输、保险、检验、合同款利息及银行手续费等）。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10.3 测试要求：乙方安装后现场测试，提供测试报告，甲方验收签字确认。</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十一、调试和验收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招标人将所有的货物按招标文件要求和国家标准或行业标准进行检测验收后，发现有其他非故意的损坏或质量问题的，由中标投标人立即予以更换，不得拒绝和延误。</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11.4 验收时乙方必须在现场，验收完毕后作出验收结果报告；安装调试费用由中标投标人负责。</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11.5 对技术复杂的项目，甲方可组织有关部门和专家进行验收，并出具验收报告，相关费用由甲乙双方协商解决。</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十二、货物包装、发运及运输</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12.1 乙方应在货物发运前对其进行满足运输距离、防潮、防震、防锈和防破损装卸等要求包装，以保证货物安全运达甲方指定地点。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12.2 使用说明书、质量检验证明书、随配附件和工具以及清单一并附于货物内。</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12.3 乙方在货物发运手续办理完毕后24小时内或货到甲方48小时前通知甲方，以准备接货。</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12.4 货物在交付甲方前发生的风险均由乙方负责。</w:t>
      </w:r>
      <w:r/>
    </w:p>
    <w:p>
      <w:pPr>
        <w:ind w:firstLine="480"/>
        <w:spacing w:line="360" w:lineRule="auto"/>
        <w:rPr>
          <w:rFonts w:ascii="Times New Roman"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12.5 货物在规定的交付期限内由乙方送达甲方指定的地点视为交付，乙方同时需通知甲方货物已送达。</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十三、违约责任</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13.1 甲方无正当理由拒收货物的，甲方向乙方偿付拒收合同款总值的百分之五违约金。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13.2 甲方无故逾期验收和办理合同款支付手续的，甲方应按逾期付款总额每日千分之五向乙方支付违约金。</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十四、不可抗力事件处理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14.2 不可抗力事件发生后，应立即通知对方，并寄送有关权威机构出具的证明。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14.3 不可抗力事件延续120天以上，双方应通过友好协商，确定是否继续履行合同。</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十五、争议解决</w:t>
      </w:r>
      <w:r/>
    </w:p>
    <w:p>
      <w:pPr>
        <w:ind w:firstLine="480"/>
        <w:spacing w:line="360" w:lineRule="auto"/>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 xml:space="preserve">15.1</w:t>
      </w:r>
      <w:r>
        <w:rPr>
          <w:rFonts w:hint="eastAsia" w:ascii="宋体" w:hAnsi="宋体" w:eastAsia="宋体" w:cs="宋体"/>
          <w:color w:val="auto"/>
          <w:sz w:val="24"/>
          <w:szCs w:val="24"/>
          <w:highlight w:val="none"/>
        </w:rPr>
        <w:t xml:space="preserve">双方在执行合同中所发生的一切争议，应通过协商解决。如协商不成，可向合同签订地人民法院起诉，合同签订地在此约定为连云港市赣榆区消防救援大队。</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十六、合同生效及其它</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16.1 合同经双方法定代表人或授权委托代理人签名并加盖单位公章后生效。</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16.2 下述合同附件为本合同不可分割的部分并与本合同具有同等效力：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（1）供货清单和分项价格表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（2）技术规格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（3）乙方报价函的内容及其澄清内容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（4）其他与本合同相关的资料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（5）本合同适用的特殊条款</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16.3 本合同未尽事宜，遵照《中华人民共和国民法典》有关条文执行。</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16.4 本合同正本一式六份，具有同等法律效力，甲方执四份，乙二份，招标人报一份至政府采购监督管理部门。</w:t>
      </w:r>
      <w:r/>
    </w:p>
    <w:p>
      <w:pPr>
        <w:rPr>
          <w:color w:val="auto"/>
          <w:highlight w:val="none"/>
        </w:rPr>
      </w:pPr>
      <w:r>
        <w:rPr>
          <w:color w:val="auto"/>
          <w:highlight w:val="none"/>
        </w:rPr>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637"/>
        <w:jc w:val="center"/>
        <w:spacing w:before="156" w:after="156" w:line="360" w:lineRule="auto"/>
        <w:rPr>
          <w:rFonts w:ascii="黑体" w:hAnsi="黑体" w:eastAsia="黑体"/>
          <w:b w:val="0"/>
          <w:color w:val="auto"/>
          <w:highlight w:val="none"/>
        </w:rPr>
      </w:pPr>
      <w:r/>
      <w:bookmarkStart w:id="10" w:name="_Toc165205797"/>
      <w:r>
        <w:rPr>
          <w:rFonts w:hint="eastAsia" w:ascii="黑体" w:hAnsi="黑体" w:eastAsia="黑体"/>
          <w:b w:val="0"/>
          <w:color w:val="auto"/>
          <w:highlight w:val="none"/>
        </w:rPr>
        <w:t xml:space="preserve">第四章  采购需求</w:t>
      </w:r>
      <w:bookmarkEnd w:id="10"/>
      <w:r/>
      <w:r/>
    </w:p>
    <w:p>
      <w:pPr>
        <w:ind w:firstLine="480"/>
        <w:jc w:val="left"/>
        <w:spacing w:line="500" w:lineRule="exact"/>
        <w:rPr>
          <w:color w:val="auto"/>
          <w:sz w:val="24"/>
          <w:szCs w:val="24"/>
          <w:highlight w:val="none"/>
        </w:rPr>
      </w:pPr>
      <w:r>
        <w:rPr>
          <w:rFonts w:hint="eastAsia"/>
          <w:color w:val="auto"/>
          <w:sz w:val="24"/>
          <w:szCs w:val="24"/>
          <w:highlight w:val="none"/>
        </w:rPr>
        <w:t xml:space="preserve">说明：本项目属性为</w:t>
      </w:r>
      <w:r>
        <w:rPr>
          <w:rFonts w:hint="eastAsia"/>
          <w:b/>
          <w:color w:val="auto"/>
          <w:sz w:val="24"/>
          <w:szCs w:val="24"/>
          <w:highlight w:val="none"/>
        </w:rPr>
        <w:t xml:space="preserve">货物</w:t>
      </w:r>
      <w:r>
        <w:rPr>
          <w:rFonts w:hint="eastAsia"/>
          <w:color w:val="auto"/>
          <w:sz w:val="24"/>
          <w:szCs w:val="24"/>
          <w:highlight w:val="none"/>
        </w:rPr>
        <w:t xml:space="preserve">，采购标的对应的中小企业划分标准所属行业详见货物（标的）采购清单。</w:t>
      </w:r>
      <w:r/>
    </w:p>
    <w:p>
      <w:pPr>
        <w:ind w:firstLine="480"/>
        <w:jc w:val="left"/>
        <w:spacing w:line="500" w:lineRule="exact"/>
        <w:rPr>
          <w:color w:val="auto"/>
          <w:sz w:val="24"/>
          <w:szCs w:val="24"/>
          <w:highlight w:val="none"/>
        </w:rPr>
      </w:pPr>
      <w:r>
        <w:rPr>
          <w:rFonts w:hint="eastAsia"/>
          <w:color w:val="auto"/>
          <w:sz w:val="24"/>
          <w:szCs w:val="24"/>
          <w:highlight w:val="none"/>
        </w:rPr>
        <w:t xml:space="preserve">1、根据《政府采购需求管理办法》等有关规定，采购人确定采购需求。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p>
    <w:tbl>
      <w:tblPr>
        <w:tblStyle w:val="6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W w:w="7689" w:type="dxa"/>
            <w:textDirection w:val="lrTb"/>
            <w:noWrap w:val="false"/>
          </w:tcPr>
          <w:p>
            <w:pPr>
              <w:jc w:val="left"/>
              <w:spacing w:line="500" w:lineRule="exact"/>
              <w:rPr>
                <w:rFonts w:asciiTheme="minorEastAsia" w:hAnsiTheme="minorEastAsia"/>
                <w:b/>
                <w:i/>
                <w:iCs/>
                <w:color w:val="auto"/>
                <w:sz w:val="24"/>
                <w:szCs w:val="24"/>
                <w:highlight w:val="none"/>
                <w:u w:val="single"/>
              </w:rPr>
            </w:pPr>
            <w:r>
              <w:rPr>
                <w:rFonts w:hint="eastAsia" w:asciiTheme="minorEastAsia" w:hAnsiTheme="minorEastAsia"/>
                <w:b/>
                <w:i/>
                <w:iCs/>
                <w:color w:val="auto"/>
                <w:sz w:val="24"/>
                <w:szCs w:val="24"/>
                <w:highlight w:val="none"/>
                <w:u w:val="single"/>
              </w:rPr>
              <w:t xml:space="preserve">交货期：</w:t>
            </w:r>
            <w:r/>
          </w:p>
          <w:p>
            <w:pPr>
              <w:jc w:val="left"/>
              <w:spacing w:line="500" w:lineRule="exact"/>
              <w:rPr>
                <w:rFonts w:asciiTheme="minorEastAsia" w:hAnsiTheme="minorEastAsia"/>
                <w:color w:val="auto"/>
                <w:sz w:val="24"/>
                <w:szCs w:val="24"/>
                <w:highlight w:val="none"/>
              </w:rPr>
            </w:pPr>
            <w:r>
              <w:rPr>
                <w:rFonts w:hint="eastAsia" w:cs="Times New Roman" w:asciiTheme="minorEastAsia" w:hAnsiTheme="minorEastAsia"/>
                <w:i/>
                <w:iCs/>
                <w:color w:val="auto"/>
                <w:sz w:val="24"/>
                <w:szCs w:val="24"/>
                <w:highlight w:val="none"/>
                <w:u w:val="single"/>
              </w:rPr>
              <w:t xml:space="preserve">★</w:t>
            </w:r>
            <w:r>
              <w:rPr>
                <w:rFonts w:hint="eastAsia" w:asciiTheme="minorEastAsia" w:hAnsiTheme="minorEastAsia"/>
                <w:i/>
                <w:iCs/>
                <w:color w:val="auto"/>
                <w:sz w:val="24"/>
                <w:szCs w:val="24"/>
                <w:highlight w:val="none"/>
                <w:u w:val="single"/>
              </w:rPr>
              <w:t xml:space="preserve">合同签订后60日历天内完成供货及安装调试。</w:t>
            </w:r>
            <w:r/>
          </w:p>
        </w:tc>
      </w:tr>
      <w:tr>
        <w:trPr>
          <w:jc w:val="center"/>
        </w:trPr>
        <w:tc>
          <w:tcPr>
            <w:tcW w:w="816" w:type="dxa"/>
            <w:textDirection w:val="lrTb"/>
            <w:noWrap w:val="false"/>
          </w:tcPr>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p>
        </w:tc>
        <w:tc>
          <w:tcPr>
            <w:tcW w:w="7689" w:type="dxa"/>
            <w:textDirection w:val="lrTb"/>
            <w:noWrap w:val="false"/>
          </w:tcPr>
          <w:p>
            <w:pPr>
              <w:jc w:val="left"/>
              <w:spacing w:line="500" w:lineRule="exact"/>
              <w:rPr>
                <w:rFonts w:asciiTheme="minorEastAsia" w:hAnsiTheme="minorEastAsia"/>
                <w:b/>
                <w:i/>
                <w:iCs/>
                <w:color w:val="auto"/>
                <w:sz w:val="24"/>
                <w:szCs w:val="24"/>
                <w:highlight w:val="none"/>
                <w:u w:val="single"/>
              </w:rPr>
            </w:pPr>
            <w:r>
              <w:rPr>
                <w:rFonts w:hint="eastAsia" w:asciiTheme="minorEastAsia" w:hAnsiTheme="minorEastAsia"/>
                <w:b/>
                <w:i/>
                <w:iCs/>
                <w:color w:val="auto"/>
                <w:sz w:val="24"/>
                <w:szCs w:val="24"/>
                <w:highlight w:val="none"/>
                <w:u w:val="single"/>
              </w:rPr>
              <w:t xml:space="preserve">人员配备要求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i/>
                <w:iCs/>
                <w:color w:val="auto"/>
                <w:sz w:val="24"/>
                <w:szCs w:val="24"/>
                <w:highlight w:val="none"/>
                <w:u w:val="single"/>
              </w:rPr>
              <w:t xml:space="preserve">★本项目人员配备不少于 5名，其中项目负责人1名，其他团队成员4人。项目负责人须懂管理、善沟通，具备过硬的专业能力，能够组织制定相应的技术方案、工作计划和组织安排计划；项目团队成员须熟悉领域内项目的专业知识，具备安装施工、网络平台运营等方面的专业技能。</w:t>
            </w:r>
            <w:r/>
          </w:p>
        </w:tc>
      </w:tr>
      <w:tr>
        <w:trPr>
          <w:jc w:val="center"/>
        </w:trPr>
        <w:tc>
          <w:tcPr>
            <w:tcW w:w="816" w:type="dxa"/>
            <w:textDirection w:val="lrTb"/>
            <w:noWrap w:val="false"/>
          </w:tcPr>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p>
        </w:tc>
        <w:tc>
          <w:tcPr>
            <w:tcW w:w="7689" w:type="dxa"/>
            <w:textDirection w:val="lrTb"/>
            <w:noWrap w:val="false"/>
          </w:tcPr>
          <w:p>
            <w:pPr>
              <w:jc w:val="left"/>
              <w:spacing w:line="360" w:lineRule="auto"/>
              <w:rPr>
                <w:rFonts w:hint="eastAsia" w:ascii="宋体" w:hAnsi="宋体" w:eastAsia="宋体" w:cs="Times New Roman"/>
                <w:b/>
                <w:i/>
                <w:iCs/>
                <w:color w:val="auto"/>
                <w:sz w:val="24"/>
                <w:szCs w:val="24"/>
                <w:highlight w:val="none"/>
                <w:u w:val="single"/>
                <w:lang w:eastAsia="zh-CN"/>
              </w:rPr>
            </w:pPr>
            <w:r>
              <w:rPr>
                <w:rFonts w:hint="eastAsia" w:asciiTheme="minorEastAsia" w:hAnsiTheme="minorEastAsia"/>
                <w:i/>
                <w:iCs/>
                <w:color w:val="auto"/>
                <w:sz w:val="24"/>
                <w:szCs w:val="24"/>
                <w:highlight w:val="none"/>
                <w:u w:val="single"/>
              </w:rPr>
              <w:t xml:space="preserve">★</w:t>
            </w:r>
            <w:r>
              <w:rPr>
                <w:rFonts w:hint="eastAsia" w:cs="Times New Roman" w:asciiTheme="minorEastAsia" w:hAnsiTheme="minorEastAsia"/>
                <w:i/>
                <w:iCs/>
                <w:color w:val="auto"/>
                <w:sz w:val="24"/>
                <w:szCs w:val="24"/>
                <w:highlight w:val="none"/>
              </w:rPr>
              <w:t xml:space="preserve">付款方式</w:t>
            </w:r>
            <w:r>
              <w:rPr>
                <w:rFonts w:hint="eastAsia" w:cs="Times New Roman" w:asciiTheme="minorEastAsia" w:hAnsiTheme="minorEastAsia"/>
                <w:i/>
                <w:iCs/>
                <w:color w:val="auto"/>
                <w:sz w:val="24"/>
                <w:szCs w:val="24"/>
                <w:highlight w:val="none"/>
                <w:lang w:eastAsia="zh-CN"/>
              </w:rPr>
              <w:t xml:space="preserve">：</w:t>
            </w:r>
            <w:r>
              <w:rPr>
                <w:rFonts w:hint="eastAsia" w:ascii="宋体" w:hAnsi="宋体" w:eastAsia="宋体" w:cs="Times New Roman"/>
                <w:b/>
                <w:i/>
                <w:iCs/>
                <w:color w:val="auto"/>
                <w:sz w:val="24"/>
                <w:szCs w:val="24"/>
                <w:highlight w:val="none"/>
                <w:u w:val="single"/>
                <w:lang w:eastAsia="zh-CN"/>
              </w:rPr>
              <w:t xml:space="preserve">项目合同签订后，硬件设备全部到货进场支付合同款总额的30%;政务信息化项目终验合格，付清余款。</w:t>
            </w:r>
            <w:bookmarkStart w:id="29" w:name="_GoBack"/>
            <w:r/>
            <w:bookmarkEnd w:id="29"/>
            <w:r/>
            <w:r/>
          </w:p>
          <w:p>
            <w:pPr>
              <w:jc w:val="left"/>
              <w:spacing w:line="360" w:lineRule="auto"/>
              <w:rPr>
                <w:rFonts w:hint="eastAsia" w:asciiTheme="minorEastAsia" w:hAnsiTheme="minorEastAsia" w:eastAsiaTheme="minorEastAsia"/>
                <w:color w:val="auto"/>
                <w:sz w:val="24"/>
                <w:szCs w:val="24"/>
                <w:highlight w:val="none"/>
                <w:lang w:eastAsia="zh-CN"/>
              </w:rPr>
            </w:pPr>
            <w:r>
              <w:rPr>
                <w:rFonts w:hint="eastAsia" w:ascii="宋体" w:hAnsi="宋体" w:eastAsia="宋体" w:cs="Times New Roman"/>
                <w:b/>
                <w:i/>
                <w:iCs/>
                <w:color w:val="auto"/>
                <w:sz w:val="24"/>
                <w:szCs w:val="24"/>
                <w:highlight w:val="none"/>
                <w:u w:val="single"/>
                <w:lang w:eastAsia="zh-CN"/>
              </w:rPr>
              <w:t xml:space="preserve">付款前乙方应向甲方开具正规发票，否则甲方有权拒绝付款。甲方对满足合同约定支付条件的项目自收到发票后10个工作日内将资金支付到约定的乙方账户（以发票开具日期计算）。</w:t>
            </w:r>
            <w:r/>
          </w:p>
        </w:tc>
      </w:tr>
      <w:tr>
        <w:trPr>
          <w:jc w:val="center"/>
        </w:trPr>
        <w:tc>
          <w:tcPr>
            <w:tcW w:w="816" w:type="dxa"/>
            <w:textDirection w:val="lrTb"/>
            <w:noWrap w:val="false"/>
          </w:tcPr>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p>
        </w:tc>
        <w:tc>
          <w:tcPr>
            <w:tcW w:w="7689" w:type="dxa"/>
            <w:textDirection w:val="lrTb"/>
            <w:noWrap w:val="false"/>
          </w:tcPr>
          <w:p>
            <w:pPr>
              <w:jc w:val="left"/>
              <w:spacing w:line="360" w:lineRule="auto"/>
              <w:rPr>
                <w:rFonts w:cs="Times New Roman" w:asciiTheme="minorEastAsia" w:hAnsiTheme="minorEastAsia"/>
                <w:b/>
                <w:i/>
                <w:iCs/>
                <w:color w:val="auto"/>
                <w:sz w:val="24"/>
                <w:szCs w:val="24"/>
                <w:highlight w:val="none"/>
                <w:u w:val="single"/>
              </w:rPr>
            </w:pPr>
            <w:r>
              <w:rPr>
                <w:rFonts w:hint="eastAsia" w:cs="Times New Roman" w:asciiTheme="minorEastAsia" w:hAnsiTheme="minorEastAsia"/>
                <w:b/>
                <w:i/>
                <w:iCs/>
                <w:color w:val="auto"/>
                <w:sz w:val="24"/>
                <w:szCs w:val="24"/>
                <w:highlight w:val="none"/>
                <w:u w:val="single"/>
              </w:rPr>
              <w:t xml:space="preserve">履约验收要求：</w:t>
            </w:r>
            <w:r/>
          </w:p>
          <w:p>
            <w:pPr>
              <w:jc w:val="left"/>
              <w:spacing w:line="360" w:lineRule="auto"/>
              <w:rPr>
                <w:rFonts w:cs="Times New Roman" w:asciiTheme="minorEastAsia" w:hAnsiTheme="minorEastAsia"/>
                <w:b/>
                <w:i/>
                <w:iCs/>
                <w:color w:val="auto"/>
                <w:sz w:val="24"/>
                <w:szCs w:val="24"/>
                <w:highlight w:val="none"/>
                <w:u w:val="single"/>
              </w:rPr>
            </w:pPr>
            <w:r>
              <w:rPr>
                <w:rFonts w:hint="eastAsia" w:asciiTheme="minorEastAsia" w:hAnsiTheme="minorEastAsia"/>
                <w:i/>
                <w:iCs/>
                <w:color w:val="auto"/>
                <w:sz w:val="24"/>
                <w:szCs w:val="24"/>
                <w:highlight w:val="none"/>
                <w:u w:val="single"/>
              </w:rPr>
              <w:t xml:space="preserve">★</w:t>
            </w:r>
            <w:r>
              <w:rPr>
                <w:rFonts w:hint="eastAsia" w:cs="Times New Roman" w:asciiTheme="minorEastAsia" w:hAnsiTheme="minorEastAsia"/>
                <w:i/>
                <w:iCs/>
                <w:color w:val="auto"/>
                <w:sz w:val="24"/>
                <w:szCs w:val="24"/>
                <w:highlight w:val="none"/>
                <w:u w:val="single"/>
              </w:rPr>
              <w:t xml:space="preserve">招标人对中标人提交的货物依据招标文件上的项目需求要求、中标人投标文件及国家有关质量标准进行验收。为保证项目建设效果，招标人将按照招标文件技术参数和功能及乙方的投标文件内容，对所供货物和平台▲项现场逐一进行功能演示，如发现与中标人在投标过程中响应承诺不符的，采购人有权取消其中标资格，并报送有关政府采购部门处理。</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color w:val="auto"/>
                <w:sz w:val="24"/>
                <w:szCs w:val="24"/>
                <w:highlight w:val="none"/>
                <w:u w:val="single"/>
                <w:lang w:val="en-US" w:eastAsia="zh-CN"/>
              </w:rPr>
              <w:t xml:space="preserve">提供承诺书，格式自拟</w:t>
            </w:r>
            <w:r>
              <w:rPr>
                <w:rFonts w:hint="eastAsia" w:ascii="宋体" w:hAnsi="宋体" w:eastAsia="宋体" w:cs="宋体"/>
                <w:i/>
                <w:color w:val="auto"/>
                <w:sz w:val="24"/>
                <w:szCs w:val="24"/>
                <w:highlight w:val="none"/>
                <w:u w:val="single"/>
                <w:lang w:eastAsia="zh-CN"/>
              </w:rPr>
              <w:t xml:space="preserve">）</w:t>
            </w:r>
            <w:r/>
          </w:p>
        </w:tc>
      </w:tr>
    </w:tbl>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b/>
          <w:bCs/>
          <w:color w:val="auto"/>
          <w:sz w:val="24"/>
          <w:szCs w:val="24"/>
          <w:highlight w:val="none"/>
        </w:rPr>
        <w:t xml:space="preserve">本项目核心产品为：</w:t>
      </w:r>
      <w:r>
        <w:rPr>
          <w:rFonts w:hint="eastAsia" w:ascii="宋体" w:hAnsi="宋体" w:eastAsia="宋体" w:cs="Times New Roman"/>
          <w:b/>
          <w:bCs/>
          <w:color w:val="auto"/>
          <w:sz w:val="24"/>
          <w:szCs w:val="24"/>
          <w:highlight w:val="none"/>
          <w:u w:val="single"/>
        </w:rPr>
        <w:t xml:space="preserve">独立式感烟火灾探测报警器</w:t>
      </w:r>
      <w:r>
        <w:rPr>
          <w:rFonts w:hint="eastAsia"/>
          <w:color w:val="auto"/>
          <w:sz w:val="24"/>
          <w:szCs w:val="24"/>
          <w:highlight w:val="none"/>
        </w:rPr>
        <w:t xml:space="preserve">。</w:t>
      </w:r>
      <w:r/>
    </w:p>
    <w:p>
      <w:pPr>
        <w:ind w:firstLine="562"/>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一、项目概况</w:t>
      </w:r>
      <w:r/>
    </w:p>
    <w:p>
      <w:pPr>
        <w:ind w:firstLine="480"/>
        <w:jc w:val="left"/>
        <w:spacing w:line="360" w:lineRule="auto"/>
        <w:rPr>
          <w:rFonts w:ascii="宋体" w:hAnsi="宋体" w:eastAsia="宋体" w:cs="Times New Roman"/>
          <w:color w:val="auto"/>
          <w:sz w:val="24"/>
          <w:szCs w:val="24"/>
          <w:highlight w:val="none"/>
        </w:rPr>
      </w:pPr>
      <w:r>
        <w:rPr>
          <w:rFonts w:hint="eastAsia" w:hAnsi="宋体"/>
          <w:color w:val="auto"/>
          <w:sz w:val="24"/>
          <w:szCs w:val="24"/>
          <w:highlight w:val="none"/>
        </w:rPr>
        <w:t xml:space="preserve">区人大第三次会议民生实事草案通过“九小场所”消防安全治理行动，根据《赣榆区2024年民生实事任务分解方案》(政办理{2024}3号)，</w:t>
      </w:r>
      <w:bookmarkStart w:id="11" w:name="OLE_LINK19"/>
      <w:r>
        <w:rPr>
          <w:rFonts w:hint="eastAsia" w:hAnsi="宋体"/>
          <w:color w:val="auto"/>
          <w:sz w:val="24"/>
          <w:szCs w:val="24"/>
          <w:highlight w:val="none"/>
        </w:rPr>
        <w:t xml:space="preserve">为深入落实为民生办实事，全面提升辖区“九小场所”消防安全系数，对符合条件的“九小场所智能烟感探测器”联网信号接入监管平台。</w:t>
      </w:r>
      <w:bookmarkEnd w:id="11"/>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二、货物采购清单</w:t>
      </w:r>
      <w:r/>
    </w:p>
    <w:tbl>
      <w:tblPr>
        <w:tblStyle w:val="6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588"/>
        <w:gridCol w:w="1104"/>
        <w:gridCol w:w="1091"/>
        <w:gridCol w:w="2826"/>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 xml:space="preserve">序号</w:t>
            </w:r>
            <w:r/>
          </w:p>
        </w:tc>
        <w:tc>
          <w:tcPr>
            <w:shd w:val="clear" w:color="auto" w:fill="auto"/>
            <w:tcW w:w="2588" w:type="dxa"/>
            <w:vAlign w:val="center"/>
            <w:textDirection w:val="lrTb"/>
            <w:noWrap w:val="false"/>
          </w:tcPr>
          <w:p>
            <w:pPr>
              <w:jc w:val="center"/>
              <w:spacing w:line="360" w:lineRule="auto"/>
              <w:widowControl/>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 xml:space="preserve">货物（标的）名称</w:t>
            </w:r>
            <w:r/>
          </w:p>
        </w:tc>
        <w:tc>
          <w:tcPr>
            <w:shd w:val="clear" w:color="auto" w:fill="auto"/>
            <w:tcW w:w="1104" w:type="dxa"/>
            <w:vAlign w:val="center"/>
            <w:textDirection w:val="lrTb"/>
            <w:noWrap w:val="false"/>
          </w:tcPr>
          <w:p>
            <w:pPr>
              <w:jc w:val="center"/>
              <w:spacing w:line="360" w:lineRule="auto"/>
              <w:widowControl/>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 xml:space="preserve">单位</w:t>
            </w:r>
            <w:r/>
          </w:p>
        </w:tc>
        <w:tc>
          <w:tcPr>
            <w:shd w:val="clear" w:color="auto" w:fill="auto"/>
            <w:tcW w:w="1091" w:type="dxa"/>
            <w:vAlign w:val="center"/>
            <w:textDirection w:val="lrTb"/>
            <w:noWrap w:val="false"/>
          </w:tcPr>
          <w:p>
            <w:pPr>
              <w:jc w:val="center"/>
              <w:spacing w:line="360" w:lineRule="auto"/>
              <w:widowControl/>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 xml:space="preserve">数量</w:t>
            </w:r>
            <w:r/>
          </w:p>
        </w:tc>
        <w:tc>
          <w:tcPr>
            <w:shd w:val="clear" w:color="auto" w:fill="auto"/>
            <w:tcW w:w="2826" w:type="dxa"/>
            <w:textDirection w:val="lrTb"/>
            <w:noWrap w:val="false"/>
          </w:tcPr>
          <w:p>
            <w:pPr>
              <w:jc w:val="center"/>
              <w:spacing w:line="360" w:lineRule="auto"/>
              <w:widowControl/>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 xml:space="preserve">1</w:t>
            </w:r>
            <w:r/>
          </w:p>
        </w:tc>
        <w:tc>
          <w:tcPr>
            <w:shd w:val="clear" w:color="auto" w:fill="auto"/>
            <w:tcW w:w="2588" w:type="dxa"/>
            <w:vAlign w:val="center"/>
            <w:textDirection w:val="lrTb"/>
            <w:noWrap w:val="false"/>
          </w:tcPr>
          <w:p>
            <w:pPr>
              <w:pStyle w:val="647"/>
              <w:jc w:val="center"/>
              <w:rPr>
                <w:rFonts w:hAnsi="宋体" w:cs="Helvetica"/>
                <w:color w:val="auto"/>
                <w:szCs w:val="24"/>
                <w:highlight w:val="none"/>
              </w:rPr>
            </w:pPr>
            <w:r>
              <w:rPr>
                <w:rFonts w:hint="eastAsia" w:hAnsi="宋体"/>
                <w:color w:val="auto"/>
                <w:sz w:val="24"/>
                <w:szCs w:val="24"/>
                <w:highlight w:val="none"/>
              </w:rPr>
              <w:t xml:space="preserve">独立式感烟火灾探测报警器</w:t>
            </w:r>
            <w:r/>
          </w:p>
        </w:tc>
        <w:tc>
          <w:tcPr>
            <w:shd w:val="clear" w:color="auto" w:fill="auto"/>
            <w:tcW w:w="1104" w:type="dxa"/>
            <w:vAlign w:val="center"/>
            <w:textDirection w:val="lrTb"/>
            <w:noWrap w:val="false"/>
          </w:tcPr>
          <w:p>
            <w:pPr>
              <w:pStyle w:val="647"/>
              <w:jc w:val="center"/>
              <w:rPr>
                <w:rFonts w:hAnsi="宋体" w:cs="Helvetica"/>
                <w:color w:val="auto"/>
                <w:sz w:val="24"/>
                <w:szCs w:val="32"/>
                <w:highlight w:val="none"/>
              </w:rPr>
            </w:pPr>
            <w:r>
              <w:rPr>
                <w:rFonts w:hint="eastAsia" w:hAnsi="宋体" w:cs="Helvetica"/>
                <w:color w:val="auto"/>
                <w:sz w:val="24"/>
                <w:szCs w:val="32"/>
                <w:highlight w:val="none"/>
              </w:rPr>
              <w:t xml:space="preserve">套</w:t>
            </w:r>
            <w:r/>
          </w:p>
        </w:tc>
        <w:tc>
          <w:tcPr>
            <w:shd w:val="clear" w:color="auto" w:fill="auto"/>
            <w:tcW w:w="1091" w:type="dxa"/>
            <w:vAlign w:val="center"/>
            <w:textDirection w:val="lrTb"/>
            <w:noWrap w:val="false"/>
          </w:tcPr>
          <w:p>
            <w:pPr>
              <w:pStyle w:val="647"/>
              <w:jc w:val="center"/>
              <w:rPr>
                <w:rFonts w:hAnsi="宋体" w:cs="Helvetica"/>
                <w:color w:val="auto"/>
                <w:sz w:val="24"/>
                <w:szCs w:val="32"/>
                <w:highlight w:val="none"/>
              </w:rPr>
            </w:pPr>
            <w:r>
              <w:rPr>
                <w:rFonts w:hint="eastAsia" w:hAnsi="宋体" w:cs="Helvetica"/>
                <w:color w:val="auto"/>
                <w:sz w:val="24"/>
                <w:szCs w:val="32"/>
                <w:highlight w:val="none"/>
              </w:rPr>
              <w:t xml:space="preserve">8000</w:t>
            </w:r>
            <w:r/>
          </w:p>
        </w:tc>
        <w:tc>
          <w:tcPr>
            <w:shd w:val="clear" w:color="auto" w:fill="auto"/>
            <w:tcW w:w="2826" w:type="dxa"/>
            <w:vAlign w:val="center"/>
            <w:textDirection w:val="lrTb"/>
            <w:noWrap w:val="false"/>
          </w:tcPr>
          <w:p>
            <w:pPr>
              <w:pStyle w:val="647"/>
              <w:jc w:val="center"/>
              <w:rPr>
                <w:rFonts w:hAnsi="宋体" w:cs="Helvetica"/>
                <w:color w:val="auto"/>
                <w:sz w:val="24"/>
                <w:szCs w:val="32"/>
                <w:highlight w:val="none"/>
              </w:rPr>
            </w:pPr>
            <w:r>
              <w:rPr>
                <w:rFonts w:hint="eastAsia" w:hAnsi="宋体" w:cs="Helvetica"/>
                <w:color w:val="auto"/>
                <w:sz w:val="24"/>
                <w:szCs w:val="32"/>
                <w:highlight w:val="none"/>
              </w:rPr>
              <w:t xml:space="preserve">工业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color w:val="auto"/>
                <w:sz w:val="24"/>
                <w:szCs w:val="32"/>
                <w:highlight w:val="none"/>
              </w:rPr>
            </w:pPr>
            <w:r>
              <w:rPr>
                <w:rFonts w:hint="eastAsia" w:ascii="宋体" w:hAnsi="宋体" w:eastAsia="宋体" w:cs="Helvetica"/>
                <w:color w:val="auto"/>
                <w:sz w:val="24"/>
                <w:szCs w:val="32"/>
                <w:highlight w:val="none"/>
              </w:rPr>
              <w:t xml:space="preserve">2</w:t>
            </w:r>
            <w:r/>
          </w:p>
        </w:tc>
        <w:tc>
          <w:tcPr>
            <w:shd w:val="clear" w:color="auto" w:fill="auto"/>
            <w:tcW w:w="2588" w:type="dxa"/>
            <w:vAlign w:val="center"/>
            <w:textDirection w:val="lrTb"/>
            <w:noWrap w:val="false"/>
          </w:tcPr>
          <w:p>
            <w:pPr>
              <w:pStyle w:val="647"/>
              <w:jc w:val="center"/>
              <w:rPr>
                <w:rFonts w:hAnsi="宋体" w:cs="Helvetica"/>
                <w:color w:val="auto"/>
                <w:szCs w:val="24"/>
                <w:highlight w:val="none"/>
              </w:rPr>
            </w:pPr>
            <w:r>
              <w:rPr>
                <w:rFonts w:hint="eastAsia" w:hAnsi="宋体"/>
                <w:color w:val="auto"/>
                <w:sz w:val="24"/>
                <w:szCs w:val="24"/>
                <w:highlight w:val="none"/>
              </w:rPr>
              <w:t xml:space="preserve">消防云平台</w:t>
            </w:r>
            <w:r/>
          </w:p>
        </w:tc>
        <w:tc>
          <w:tcPr>
            <w:shd w:val="clear" w:color="auto" w:fill="auto"/>
            <w:tcW w:w="1104" w:type="dxa"/>
            <w:vAlign w:val="center"/>
            <w:textDirection w:val="lrTb"/>
            <w:noWrap w:val="false"/>
          </w:tcPr>
          <w:p>
            <w:pPr>
              <w:pStyle w:val="647"/>
              <w:jc w:val="center"/>
              <w:rPr>
                <w:rFonts w:hAnsi="宋体" w:cs="Helvetica"/>
                <w:color w:val="auto"/>
                <w:sz w:val="24"/>
                <w:szCs w:val="32"/>
                <w:highlight w:val="none"/>
              </w:rPr>
            </w:pPr>
            <w:r>
              <w:rPr>
                <w:rFonts w:hint="eastAsia" w:hAnsi="宋体" w:cs="Helvetica"/>
                <w:color w:val="auto"/>
                <w:sz w:val="24"/>
                <w:szCs w:val="32"/>
                <w:highlight w:val="none"/>
              </w:rPr>
              <w:t xml:space="preserve">套</w:t>
            </w:r>
            <w:r/>
          </w:p>
        </w:tc>
        <w:tc>
          <w:tcPr>
            <w:shd w:val="clear" w:color="auto" w:fill="auto"/>
            <w:tcW w:w="1091" w:type="dxa"/>
            <w:vAlign w:val="center"/>
            <w:textDirection w:val="lrTb"/>
            <w:noWrap w:val="false"/>
          </w:tcPr>
          <w:p>
            <w:pPr>
              <w:pStyle w:val="647"/>
              <w:jc w:val="center"/>
              <w:rPr>
                <w:rFonts w:hAnsi="宋体" w:cs="Helvetica"/>
                <w:color w:val="auto"/>
                <w:sz w:val="24"/>
                <w:szCs w:val="32"/>
                <w:highlight w:val="none"/>
              </w:rPr>
            </w:pPr>
            <w:r>
              <w:rPr>
                <w:rFonts w:hint="eastAsia" w:hAnsi="宋体" w:cs="Helvetica"/>
                <w:color w:val="auto"/>
                <w:sz w:val="24"/>
                <w:szCs w:val="32"/>
                <w:highlight w:val="none"/>
              </w:rPr>
              <w:t xml:space="preserve">1</w:t>
            </w:r>
            <w:r/>
          </w:p>
        </w:tc>
        <w:tc>
          <w:tcPr>
            <w:shd w:val="clear" w:color="auto" w:fill="auto"/>
            <w:tcW w:w="2826" w:type="dxa"/>
            <w:vAlign w:val="center"/>
            <w:textDirection w:val="lrTb"/>
            <w:noWrap w:val="false"/>
          </w:tcPr>
          <w:p>
            <w:pPr>
              <w:pStyle w:val="647"/>
              <w:jc w:val="center"/>
              <w:rPr>
                <w:rFonts w:hAnsi="宋体" w:cs="Helvetica"/>
                <w:color w:val="auto"/>
                <w:sz w:val="24"/>
                <w:szCs w:val="32"/>
                <w:highlight w:val="none"/>
              </w:rPr>
            </w:pPr>
            <w:r>
              <w:rPr>
                <w:rFonts w:hint="eastAsia" w:hAnsi="宋体" w:cs="Helvetica"/>
                <w:color w:val="auto"/>
                <w:sz w:val="24"/>
                <w:szCs w:val="32"/>
                <w:highlight w:val="none"/>
              </w:rPr>
              <w:t xml:space="preserve">软件和信息技术服务业</w:t>
            </w:r>
            <w:r/>
          </w:p>
        </w:tc>
      </w:tr>
    </w:tbl>
    <w:p>
      <w:pPr>
        <w:ind w:firstLine="562"/>
        <w:jc w:val="left"/>
        <w:spacing w:line="360" w:lineRule="auto"/>
        <w:rPr>
          <w:rFonts w:ascii="Times New Roman" w:hAnsi="Times New Roman" w:eastAsia="宋体" w:cs="Times New Roman"/>
          <w:b/>
          <w:color w:val="auto"/>
          <w:sz w:val="28"/>
          <w:szCs w:val="28"/>
          <w:highlight w:val="none"/>
        </w:rPr>
      </w:pPr>
      <w:r/>
      <w:bookmarkStart w:id="12" w:name="_Toc139966432"/>
      <w:r/>
      <w:bookmarkStart w:id="13" w:name="_Toc139967216"/>
      <w:r>
        <w:rPr>
          <w:rFonts w:hint="eastAsia" w:ascii="Times New Roman" w:hAnsi="Times New Roman" w:eastAsia="宋体" w:cs="Times New Roman"/>
          <w:b/>
          <w:color w:val="auto"/>
          <w:sz w:val="28"/>
          <w:szCs w:val="28"/>
          <w:highlight w:val="none"/>
        </w:rPr>
        <w:t xml:space="preserve">三、货物技术参数及功能指标</w:t>
      </w:r>
      <w:r/>
    </w:p>
    <w:tbl>
      <w:tblPr>
        <w:tblStyle w:val="6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129"/>
        <w:gridCol w:w="5553"/>
      </w:tblGrid>
      <w:tr>
        <w:trPr>
          <w:jc w:val="center"/>
        </w:trPr>
        <w:tc>
          <w:tcPr>
            <w:shd w:val="clear" w:color="auto" w:fill="auto"/>
            <w:tcW w:w="823" w:type="dxa"/>
            <w:vAlign w:val="center"/>
            <w:textDirection w:val="lrTb"/>
            <w:noWrap w:val="false"/>
          </w:tcPr>
          <w:p>
            <w:pPr>
              <w:jc w:val="center"/>
              <w:spacing w:line="360" w:lineRule="auto"/>
              <w:widowControl/>
              <w:rPr>
                <w:rFonts w:cs="Helvetica" w:asciiTheme="minorEastAsia" w:hAnsiTheme="minorEastAsia"/>
                <w:color w:val="auto"/>
                <w:sz w:val="24"/>
                <w:szCs w:val="24"/>
                <w:highlight w:val="none"/>
              </w:rPr>
            </w:pPr>
            <w:r>
              <w:rPr>
                <w:rFonts w:hint="eastAsia" w:cs="Helvetica" w:asciiTheme="minorEastAsia" w:hAnsiTheme="minorEastAsia"/>
                <w:color w:val="auto"/>
                <w:sz w:val="24"/>
                <w:szCs w:val="24"/>
                <w:highlight w:val="none"/>
              </w:rPr>
              <w:t xml:space="preserve">序号</w:t>
            </w:r>
            <w:r/>
          </w:p>
        </w:tc>
        <w:tc>
          <w:tcPr>
            <w:shd w:val="clear" w:color="auto" w:fill="auto"/>
            <w:tcW w:w="2129" w:type="dxa"/>
            <w:vAlign w:val="center"/>
            <w:textDirection w:val="lrTb"/>
            <w:noWrap w:val="false"/>
          </w:tcPr>
          <w:p>
            <w:pPr>
              <w:jc w:val="center"/>
              <w:spacing w:line="360" w:lineRule="auto"/>
              <w:widowControl/>
              <w:rPr>
                <w:rFonts w:cs="Helvetica" w:asciiTheme="minorEastAsia" w:hAnsiTheme="minorEastAsia"/>
                <w:color w:val="auto"/>
                <w:sz w:val="24"/>
                <w:szCs w:val="24"/>
                <w:highlight w:val="none"/>
              </w:rPr>
            </w:pPr>
            <w:r>
              <w:rPr>
                <w:rFonts w:hint="eastAsia" w:cs="Helvetica" w:asciiTheme="minorEastAsia" w:hAnsiTheme="minorEastAsia"/>
                <w:color w:val="auto"/>
                <w:sz w:val="24"/>
                <w:szCs w:val="24"/>
                <w:highlight w:val="none"/>
              </w:rPr>
              <w:t xml:space="preserve">货物（标的）名称</w:t>
            </w:r>
            <w:r/>
          </w:p>
        </w:tc>
        <w:tc>
          <w:tcPr>
            <w:shd w:val="clear" w:color="auto" w:fill="auto"/>
            <w:tcW w:w="5553" w:type="dxa"/>
            <w:vAlign w:val="center"/>
            <w:textDirection w:val="lrTb"/>
            <w:noWrap w:val="false"/>
          </w:tcPr>
          <w:p>
            <w:pPr>
              <w:jc w:val="center"/>
              <w:spacing w:line="360" w:lineRule="auto"/>
              <w:widowControl/>
              <w:rPr>
                <w:rFonts w:cs="Helvetica" w:asciiTheme="minorEastAsia" w:hAnsiTheme="minorEastAsia"/>
                <w:color w:val="auto"/>
                <w:sz w:val="24"/>
                <w:szCs w:val="24"/>
                <w:highlight w:val="none"/>
              </w:rPr>
            </w:pPr>
            <w:r>
              <w:rPr>
                <w:rFonts w:hint="eastAsia" w:cs="Helvetica" w:asciiTheme="minorEastAsia" w:hAnsiTheme="minorEastAsia"/>
                <w:color w:val="auto"/>
                <w:sz w:val="24"/>
                <w:szCs w:val="24"/>
                <w:highlight w:val="none"/>
              </w:rPr>
              <w:t xml:space="preserve">技术参数及功能指标</w:t>
            </w:r>
            <w:r/>
          </w:p>
        </w:tc>
      </w:tr>
      <w:tr>
        <w:trPr>
          <w:jc w:val="center"/>
        </w:trPr>
        <w:tc>
          <w:tcPr>
            <w:shd w:val="clear" w:color="auto" w:fill="auto"/>
            <w:tcW w:w="823" w:type="dxa"/>
            <w:textDirection w:val="lrTb"/>
            <w:noWrap w:val="false"/>
          </w:tcPr>
          <w:p>
            <w:pPr>
              <w:jc w:val="center"/>
              <w:spacing w:line="360" w:lineRule="auto"/>
              <w:widowControl/>
              <w:rPr>
                <w:rFonts w:cs="Helvetica" w:asciiTheme="minorEastAsia" w:hAnsiTheme="minorEastAsia"/>
                <w:color w:val="auto"/>
                <w:sz w:val="24"/>
                <w:szCs w:val="24"/>
                <w:highlight w:val="none"/>
              </w:rPr>
            </w:pPr>
            <w:r>
              <w:rPr>
                <w:rFonts w:hint="eastAsia" w:cs="Helvetica" w:asciiTheme="minorEastAsia" w:hAnsiTheme="minorEastAsia"/>
                <w:color w:val="auto"/>
                <w:sz w:val="24"/>
                <w:szCs w:val="24"/>
                <w:highlight w:val="none"/>
              </w:rPr>
              <w:t xml:space="preserve">1</w:t>
            </w:r>
            <w:r/>
          </w:p>
        </w:tc>
        <w:tc>
          <w:tcPr>
            <w:shd w:val="clear" w:color="auto" w:fill="auto"/>
            <w:tcW w:w="2129" w:type="dxa"/>
            <w:textDirection w:val="lrTb"/>
            <w:noWrap w:val="false"/>
          </w:tcPr>
          <w:p>
            <w:pPr>
              <w:jc w:val="center"/>
              <w:spacing w:line="360" w:lineRule="auto"/>
              <w:widowControl/>
              <w:rPr>
                <w:rFonts w:cs="Helvetica" w:asciiTheme="minorEastAsia" w:hAnsiTheme="minorEastAsia"/>
                <w:color w:val="auto"/>
                <w:sz w:val="24"/>
                <w:szCs w:val="24"/>
                <w:highlight w:val="none"/>
              </w:rPr>
            </w:pPr>
            <w:r>
              <w:rPr>
                <w:rFonts w:hint="eastAsia" w:cs="Helvetica" w:asciiTheme="minorEastAsia" w:hAnsiTheme="minorEastAsia"/>
                <w:color w:val="auto"/>
                <w:sz w:val="24"/>
                <w:szCs w:val="24"/>
                <w:highlight w:val="none"/>
              </w:rPr>
              <w:t xml:space="preserve">独立式感烟火灾探测报警器</w:t>
            </w:r>
            <w:r/>
          </w:p>
        </w:tc>
        <w:tc>
          <w:tcPr>
            <w:shd w:val="clear" w:color="auto" w:fill="auto"/>
            <w:tcW w:w="5553" w:type="dxa"/>
            <w:textDirection w:val="lrTb"/>
            <w:noWrap w:val="false"/>
          </w:tcPr>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支持火灾时产生的烟雾实时探测，并支持联网报警上传；</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支持本地85dB高分贝报警音</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支持通过NB-IoT的方式进行联网</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锂电池供电，寿命长，电池理论设计平均寿命3年</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设备带有自检功能，用户可通过自检按钮自检设备是否正常；</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支持低电压报警、防拆报警、迷宫故障报警；</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设备带有远程消音功能，可支持软件远程消音功能；</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支持NB-IoT入网注册、信号强度查询模式，部署安装更便捷；</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名称 独立式光电感烟火灾探测报警器</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工作原理 光电式</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工作电压 DC3V</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静态电流 ≤8μA</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报警电流 50mA</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本地报警方式声、光报警</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报警音量 ≥85dB（3米范围内）</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通讯方式 NB-IoT</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电池设计寿命 平均寿命3年</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使用环境 温度：-10℃～55℃ 相对湿度：≤95%</w:t>
            </w:r>
            <w:r>
              <w:rPr>
                <w:rFonts w:hint="eastAsia" w:asciiTheme="minorEastAsia" w:hAnsiTheme="minorEastAsia" w:eastAsiaTheme="minorEastAsia" w:cstheme="minorBidi"/>
                <w:color w:val="auto"/>
                <w:sz w:val="24"/>
                <w:szCs w:val="24"/>
                <w:highlight w:val="none"/>
              </w:rPr>
              <w:br/>
            </w:r>
            <w:r>
              <w:rPr>
                <w:rFonts w:hint="eastAsia" w:asciiTheme="minorEastAsia" w:hAnsiTheme="minorEastAsia" w:eastAsiaTheme="minorEastAsia" w:cstheme="minorBidi"/>
                <w:color w:val="auto"/>
                <w:sz w:val="24"/>
                <w:szCs w:val="24"/>
                <w:highlight w:val="none"/>
              </w:rPr>
              <w:t xml:space="preserve">执行标准 GB 20517-2006</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产品需符合GB 20517-2006《独立式感烟火灾探测报警器》要求，取得应急管理部消防产品合格评定中心出具的强制性产品认证证书。</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设备应具备模组休眠异常报警功能，当通讯模块在休眠功能异常时，应能监测故障并上报事件至平台。</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设备应支持将基本数据上报至平台。上报内容应包含：1、软件版本、硬件版本、产品型号；2、所属基站的数据信号强度、信号功率、信噪比、小区号；3、初次安装时的底噪、当前的底噪、报警时的阈值、报警时的温度值；4、阈值参数（灵敏度）、红外光传感器采样值、红外光本底值；5、ICCID、IMEI、电池电量、环境温度、迷宫污染指数。</w:t>
            </w:r>
            <w:r/>
          </w:p>
        </w:tc>
      </w:tr>
      <w:tr>
        <w:trPr>
          <w:jc w:val="center"/>
        </w:trPr>
        <w:tc>
          <w:tcPr>
            <w:shd w:val="clear" w:color="auto" w:fill="auto"/>
            <w:tcW w:w="823" w:type="dxa"/>
            <w:textDirection w:val="lrTb"/>
            <w:noWrap w:val="false"/>
          </w:tcPr>
          <w:p>
            <w:pPr>
              <w:jc w:val="center"/>
              <w:spacing w:line="360" w:lineRule="auto"/>
              <w:widowControl/>
              <w:rPr>
                <w:rFonts w:cs="Helvetica" w:asciiTheme="minorEastAsia" w:hAnsiTheme="minorEastAsia"/>
                <w:color w:val="auto"/>
                <w:sz w:val="24"/>
                <w:szCs w:val="24"/>
                <w:highlight w:val="none"/>
              </w:rPr>
            </w:pPr>
            <w:r>
              <w:rPr>
                <w:rFonts w:hint="eastAsia" w:cs="Helvetica" w:asciiTheme="minorEastAsia" w:hAnsiTheme="minorEastAsia"/>
                <w:color w:val="auto"/>
                <w:sz w:val="24"/>
                <w:szCs w:val="24"/>
                <w:highlight w:val="none"/>
              </w:rPr>
              <w:t xml:space="preserve">2</w:t>
            </w:r>
            <w:r/>
          </w:p>
        </w:tc>
        <w:tc>
          <w:tcPr>
            <w:shd w:val="clear" w:color="auto" w:fill="auto"/>
            <w:tcW w:w="2129" w:type="dxa"/>
            <w:textDirection w:val="lrTb"/>
            <w:noWrap w:val="false"/>
          </w:tcPr>
          <w:p>
            <w:pPr>
              <w:jc w:val="left"/>
              <w:spacing w:line="360" w:lineRule="auto"/>
              <w:widowControl/>
              <w:rPr>
                <w:rFonts w:cs="Helvetic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消防云平台</w:t>
            </w:r>
            <w:r/>
          </w:p>
        </w:tc>
        <w:tc>
          <w:tcPr>
            <w:shd w:val="clear" w:color="auto" w:fill="auto"/>
            <w:tcW w:w="5553" w:type="dxa"/>
            <w:textDirection w:val="lrTb"/>
            <w:noWrap w:val="false"/>
          </w:tcPr>
          <w:p>
            <w:pPr>
              <w:pStyle w:val="647"/>
              <w:jc w:val="left"/>
              <w:rPr>
                <w:rFonts w:asciiTheme="minorEastAsia" w:hAnsiTheme="minorEastAsia" w:eastAsiaTheme="minorEastAsia" w:cstheme="minorBidi"/>
                <w:b/>
                <w:color w:val="auto"/>
                <w:sz w:val="24"/>
                <w:szCs w:val="24"/>
                <w:highlight w:val="none"/>
              </w:rPr>
            </w:pPr>
            <w:r>
              <w:rPr>
                <w:rFonts w:hint="eastAsia" w:asciiTheme="minorEastAsia" w:hAnsiTheme="minorEastAsia" w:eastAsiaTheme="minorEastAsia" w:cstheme="minorBidi"/>
                <w:b/>
                <w:color w:val="auto"/>
                <w:sz w:val="24"/>
                <w:szCs w:val="24"/>
                <w:highlight w:val="none"/>
              </w:rPr>
              <w:t xml:space="preserve">1、基础功能</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智慧消防云平台是一个集成物联网、大数据、云计算等先进技术的综合性消防管理系统。通过实时监测、数据分析与预警、应急指挥等功能，实现对消防安全的全面、高效、智能化管理，从而提升火灾防控能力，减少火</w:t>
            </w:r>
            <w:r>
              <w:rPr>
                <w:rFonts w:hint="eastAsia" w:asciiTheme="minorEastAsia" w:hAnsiTheme="minorEastAsia" w:eastAsiaTheme="minorEastAsia" w:cstheme="minorBidi"/>
                <w:color w:val="auto"/>
                <w:sz w:val="24"/>
                <w:szCs w:val="24"/>
                <w:highlight w:val="none"/>
              </w:rPr>
              <w:t xml:space="preserve">灾事故的发生，保障人民生命财产安全。通过物联网设备实时监测消防设施状态和火警信息，一旦发现异常立即触发预警机制，地图自动定位火灾位置，通过短信、电话提醒等方式通知相关人员。平台采用先进的分层架构设计，通过各类消防物联网传感器，实时采集消防现场的关键数据。利用有线和无线通信技术（如光纤、NB-IoT、LoRa、4G/5G等），将设备采集的数据安全、快速地传输至云平台。平台层作为系统的核心，负责数据的存储、处理与分析，支持各类消防管理应用。平台层还具备高度的可扩展性和灵活性，能够根据实际需求进行功能扩展和升级。</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1）支持创建任务功能，创建任务须包含任务名称、负责人名称、负责人电话、设备型号、所属项目、安装人员、安装内容、备注等；支持查看任务记录：须包含子任务名、安装人员、区域、详细地址、安装状态、安装操作、记录时间，（2）支持查看子任务详细信息：须包括子任务编号、名称、地址、联系人、电话、设备型号、设备号、安装人员、任务备</w:t>
            </w:r>
            <w:r>
              <w:rPr>
                <w:rFonts w:hint="eastAsia" w:asciiTheme="minorEastAsia" w:hAnsiTheme="minorEastAsia" w:eastAsiaTheme="minorEastAsia" w:cstheme="minorBidi"/>
                <w:color w:val="auto"/>
                <w:sz w:val="24"/>
                <w:szCs w:val="24"/>
                <w:highlight w:val="none"/>
                <w:lang w:val="en-US" w:eastAsia="zh-CN"/>
              </w:rPr>
              <w:t xml:space="preserve">注</w:t>
            </w:r>
            <w:r>
              <w:rPr>
                <w:rFonts w:hint="eastAsia" w:asciiTheme="minorEastAsia" w:hAnsiTheme="minorEastAsia" w:eastAsiaTheme="minorEastAsia" w:cstheme="minorBidi"/>
                <w:color w:val="auto"/>
                <w:sz w:val="24"/>
                <w:szCs w:val="24"/>
                <w:highlight w:val="none"/>
              </w:rPr>
              <w:t xml:space="preserve">、安装图片、安装说明。</w:t>
            </w:r>
            <w:r>
              <w:rPr>
                <w:rFonts w:asciiTheme="minorEastAsia" w:hAnsiTheme="minorEastAsia" w:eastAsiaTheme="minorEastAsia" w:cstheme="minorBidi"/>
                <w:color w:val="auto"/>
                <w:sz w:val="24"/>
                <w:szCs w:val="24"/>
                <w:highlight w:val="none"/>
              </w:rPr>
              <w:t xml:space="preserve">（</w:t>
            </w:r>
            <w:r>
              <w:rPr>
                <w:rFonts w:hint="eastAsia" w:asciiTheme="minorEastAsia" w:hAnsiTheme="minorEastAsia" w:eastAsiaTheme="minorEastAsia" w:cstheme="minorBidi"/>
                <w:color w:val="auto"/>
                <w:sz w:val="24"/>
                <w:szCs w:val="24"/>
                <w:highlight w:val="none"/>
              </w:rPr>
              <w:t xml:space="preserve">3</w:t>
            </w:r>
            <w:r>
              <w:rPr>
                <w:rFonts w:asciiTheme="minorEastAsia" w:hAnsiTheme="minorEastAsia" w:eastAsiaTheme="minorEastAsia" w:cstheme="minorBidi"/>
                <w:color w:val="auto"/>
                <w:sz w:val="24"/>
                <w:szCs w:val="24"/>
                <w:highlight w:val="none"/>
              </w:rPr>
              <w:t xml:space="preserve">）</w:t>
            </w:r>
            <w:r>
              <w:rPr>
                <w:rFonts w:hint="eastAsia" w:asciiTheme="minorEastAsia" w:hAnsiTheme="minorEastAsia" w:eastAsiaTheme="minorEastAsia" w:cstheme="minorBidi"/>
                <w:color w:val="auto"/>
                <w:sz w:val="24"/>
                <w:szCs w:val="24"/>
                <w:highlight w:val="none"/>
              </w:rPr>
              <w:t xml:space="preserve">支持查看安装任务详情：须包添加任务、批量添加、待安装、安装中、安装结束、已关闭、名称查询、地址查询、数据导出等功能；（上述功能需提供软件功能截图，并加盖投标人公章）</w:t>
            </w:r>
            <w:r/>
          </w:p>
          <w:p>
            <w:pPr>
              <w:pStyle w:val="647"/>
              <w:jc w:val="left"/>
              <w:rPr>
                <w:rFonts w:asciiTheme="minorEastAsia" w:hAnsiTheme="minorEastAsia" w:eastAsiaTheme="minorEastAsia" w:cstheme="minorBidi"/>
                <w:b/>
                <w:color w:val="auto"/>
                <w:sz w:val="24"/>
                <w:szCs w:val="24"/>
                <w:highlight w:val="none"/>
              </w:rPr>
            </w:pPr>
            <w:r>
              <w:rPr>
                <w:rFonts w:hint="eastAsia" w:asciiTheme="minorEastAsia" w:hAnsiTheme="minorEastAsia" w:eastAsiaTheme="minorEastAsia" w:cstheme="minorBidi"/>
                <w:b/>
                <w:color w:val="auto"/>
                <w:sz w:val="24"/>
                <w:szCs w:val="24"/>
                <w:highlight w:val="none"/>
              </w:rPr>
              <w:t xml:space="preserve">2、设备维保模块</w:t>
            </w:r>
            <w:r/>
          </w:p>
          <w:p>
            <w:pPr>
              <w:pStyle w:val="647"/>
              <w:jc w:val="left"/>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1）维保任务须显示任务名称、所属项目、项目负责人、负责人联系方式、创建人、创建时间、已完成数、总数等信息。（提供软件截图，并加盖投标人公章）（2）创建任务须包含任务名称、负责人名称、负责人电话、所属项目、维保人员、任务内容、任务备注等信息。（3）已完成的任务可查看维保记录信息，包括名称、地址、联系人、电话、设备型号、设备号、维保人员、任务备注、维保图片、用户签名等信息。（上述功能需提供软件功能截图，并加盖投标人公章）</w:t>
            </w:r>
            <w:r/>
          </w:p>
          <w:p>
            <w:pP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3、公告和设备管理模块</w:t>
            </w:r>
            <w:r/>
          </w:p>
          <w:p>
            <w:pP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支持公告信息功能：可通过APP查看PC平台端对用户发布公告信息。（2）设备日志记录并可通过注册、修改信息、命令、动作、报警、报警处理、故障、异常、巡检、上线、到期、设备安装、下线、日期查询，并可通过设备日志查询设备安装图片；（上述功能需提供软件功能截图，并加盖投标人公章）</w:t>
            </w:r>
            <w:r/>
          </w:p>
          <w:p>
            <w:pP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4、预警记录和维保模块</w:t>
            </w:r>
            <w:r/>
          </w:p>
          <w:p>
            <w:pP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支持处理报警信息功能，处理界面须包含至少5名紧急联系人、电话、职位，设备处理状态、设备号、报警时间、报警内容、报警类型：误报、测试、调试、真实预警，处理人姓名，处理过程输入框，处理图片上传等信息。（2）支持维保、更换设备功能。（上述功能需提供软件功能截图，并加盖投标人公章）</w:t>
            </w:r>
            <w:r/>
          </w:p>
        </w:tc>
      </w:tr>
    </w:tbl>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四、辅材与配件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投标人可视自身情况配置辅材，应能充分满足采购人需求的功能及参数要求。配套产品使用说明书、随配附件和工具以及清单一并附于货物内。</w:t>
      </w:r>
      <w:r/>
    </w:p>
    <w:p>
      <w:pPr>
        <w:ind w:firstLine="562"/>
        <w:jc w:val="left"/>
        <w:spacing w:line="360" w:lineRule="auto"/>
        <w:rPr>
          <w:rFonts w:ascii="宋体" w:hAnsi="宋体" w:eastAsia="宋体" w:cs="Times New Roman"/>
          <w:color w:val="auto"/>
          <w:sz w:val="24"/>
          <w:szCs w:val="24"/>
          <w:highlight w:val="none"/>
        </w:rPr>
      </w:pPr>
      <w:r>
        <w:rPr>
          <w:rFonts w:hint="eastAsia" w:ascii="Times New Roman" w:hAnsi="Times New Roman" w:eastAsia="宋体" w:cs="Times New Roman"/>
          <w:b/>
          <w:color w:val="auto"/>
          <w:sz w:val="28"/>
          <w:szCs w:val="28"/>
          <w:highlight w:val="none"/>
        </w:rPr>
        <w:t xml:space="preserve">五</w:t>
      </w:r>
      <w:r>
        <w:rPr>
          <w:rFonts w:ascii="Times New Roman" w:hAnsi="Times New Roman" w:eastAsia="宋体" w:cs="Times New Roman"/>
          <w:b/>
          <w:color w:val="auto"/>
          <w:sz w:val="28"/>
          <w:szCs w:val="28"/>
          <w:highlight w:val="none"/>
        </w:rPr>
        <w:t xml:space="preserve">、供货要求</w:t>
      </w:r>
      <w:r/>
    </w:p>
    <w:p>
      <w:pPr>
        <w:ind w:firstLine="480"/>
        <w:jc w:val="left"/>
        <w:spacing w:line="360" w:lineRule="auto"/>
        <w:rPr>
          <w:rFonts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1.★交货期：合同签订后60日历天内完成供货及安装调试。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2.交货方式：采购人指定方式。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3.交货地点：采购人指定地点。</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六</w:t>
      </w:r>
      <w:r>
        <w:rPr>
          <w:rFonts w:ascii="Times New Roman" w:hAnsi="Times New Roman" w:eastAsia="宋体" w:cs="Times New Roman"/>
          <w:b/>
          <w:color w:val="auto"/>
          <w:sz w:val="28"/>
          <w:szCs w:val="28"/>
          <w:highlight w:val="none"/>
        </w:rPr>
        <w:t xml:space="preserve">、安装调试要求</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本项目执行</w:t>
      </w:r>
      <w:r>
        <w:rPr>
          <w:rFonts w:hint="eastAsia" w:ascii="Times New Roman" w:hAnsi="Times New Roman" w:eastAsia="宋体" w:cs="Times New Roman"/>
          <w:color w:val="auto"/>
          <w:sz w:val="24"/>
          <w:szCs w:val="24"/>
          <w:highlight w:val="none"/>
        </w:rPr>
        <w:t xml:space="preserve">GB/T21923-2017</w:t>
      </w:r>
      <w:r>
        <w:rPr>
          <w:rFonts w:hint="eastAsia" w:ascii="Times New Roman" w:hAnsi="Times New Roman" w:eastAsia="宋体" w:cs="Times New Roman"/>
          <w:color w:val="auto"/>
          <w:sz w:val="24"/>
          <w:szCs w:val="24"/>
          <w:highlight w:val="none"/>
          <w:lang w:val="en-US" w:eastAsia="zh-CN"/>
        </w:rPr>
        <w:t xml:space="preserve">规范进行安装及调试</w:t>
      </w:r>
      <w:r>
        <w:rPr>
          <w:rFonts w:hint="eastAsia" w:ascii="Times New Roman" w:hAnsi="Times New Roman" w:eastAsia="宋体" w:cs="Times New Roman"/>
          <w:color w:val="auto"/>
          <w:sz w:val="24"/>
          <w:szCs w:val="24"/>
          <w:highlight w:val="none"/>
        </w:rPr>
        <w:t xml:space="preserve">。中标方必须按采购人要求将货物送到指定地点(包括可能的分布范围)，并分地实施安装调试。</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七、国家或行业相关规范标准</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1、所提供货物的技术规格和标准必须符合中华人民共和国有关部门最新颁布的标准及规范。</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2、以上采购商品标明的规格及配置要求为主要配置，如优于此配置标准和要求或其它配置，请补充或说明。如无特别说明，任何商品不得低于原厂方对外公布的基本(标准)配置供货。</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3、对于低于原厂方对外公布的基本（标准）配置进行报价的商品，无论招标文件对此有无明确规定，投标人都必须在报价表中对低于基本（标准）配置的内容作出明确说明。 </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4、保证所供货物、服务或其任何一部分不受第三方提出侵犯其专利权、商标权、版权和工业设计权的指控。</w:t>
      </w:r>
      <w:r/>
    </w:p>
    <w:p>
      <w:pPr>
        <w:ind w:firstLine="424"/>
        <w:spacing w:line="360" w:lineRule="auto"/>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5、货物费用包含运输费用及交货前的其他一切费用。货到时安装、调试所需的专用工具及配件等由中标人自备。中标人在安装、调试等全过程中接受招标人的监督。</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八、人员配备要求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i/>
          <w:iCs/>
          <w:color w:val="auto"/>
          <w:sz w:val="24"/>
          <w:szCs w:val="24"/>
          <w:highlight w:val="none"/>
          <w:u w:val="single"/>
        </w:rPr>
        <w:t xml:space="preserve">★</w:t>
      </w:r>
      <w:r>
        <w:rPr>
          <w:rFonts w:hint="eastAsia" w:ascii="宋体" w:hAnsi="宋体"/>
          <w:i/>
          <w:iCs/>
          <w:color w:val="auto"/>
          <w:sz w:val="24"/>
          <w:highlight w:val="none"/>
          <w:u w:val="single"/>
        </w:rPr>
        <w:t xml:space="preserve">本项目人员配备不少于 5名，其中项目负责人1名，其他团队成员4人。项目负责人须懂管理、善沟通，具备过硬的专业能力，能够组织制定相应的技术方案、工作计划和组织安排计划；项目团队成员须熟悉领域内项目的专业知识，具备安装施工、网络平台运营等方面的专业技能。</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九、履约验收要求</w:t>
      </w:r>
      <w:r/>
    </w:p>
    <w:p>
      <w:pPr>
        <w:ind w:firstLine="480"/>
        <w:spacing w:line="360" w:lineRule="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 xml:space="preserve">1、</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宋体"/>
          <w:i/>
          <w:color w:val="auto"/>
          <w:sz w:val="24"/>
          <w:szCs w:val="24"/>
          <w:highlight w:val="none"/>
          <w:u w:val="single"/>
        </w:rPr>
        <w:t xml:space="preserve">招标人对中标人提交的货物依据招标文件上的项目需求要求、中标人投标文件及国家有关质量标准进行验收。为保证项目建设效果，招标人将按照招标文件技术参数和功能及乙方的投标文件内容，对所供货物和平台</w:t>
      </w:r>
      <w:r>
        <w:rPr>
          <w:rFonts w:hint="eastAsia" w:hAnsi="宋体"/>
          <w:i/>
          <w:color w:val="auto"/>
          <w:sz w:val="24"/>
          <w:szCs w:val="24"/>
          <w:highlight w:val="none"/>
          <w:u w:val="single"/>
        </w:rPr>
        <w:t xml:space="preserve">▲项</w:t>
      </w:r>
      <w:r>
        <w:rPr>
          <w:rFonts w:hint="eastAsia" w:ascii="宋体" w:hAnsi="宋体" w:eastAsia="宋体" w:cs="宋体"/>
          <w:i/>
          <w:color w:val="auto"/>
          <w:sz w:val="24"/>
          <w:szCs w:val="24"/>
          <w:highlight w:val="none"/>
          <w:u w:val="single"/>
        </w:rPr>
        <w:t xml:space="preserve">现场逐一进行功能演示，如发现与中标人在投标过程中响应承诺不符的，中标结果无效。</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color w:val="auto"/>
          <w:sz w:val="24"/>
          <w:szCs w:val="24"/>
          <w:highlight w:val="none"/>
          <w:u w:val="single"/>
          <w:lang w:val="en-US" w:eastAsia="zh-CN"/>
        </w:rPr>
        <w:t xml:space="preserve">提供承诺书，格式自拟</w:t>
      </w:r>
      <w:r>
        <w:rPr>
          <w:rFonts w:hint="eastAsia" w:ascii="宋体" w:hAnsi="宋体" w:eastAsia="宋体" w:cs="宋体"/>
          <w:i/>
          <w:color w:val="auto"/>
          <w:sz w:val="24"/>
          <w:szCs w:val="24"/>
          <w:highlight w:val="none"/>
          <w:u w:val="singl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2、中标人交货前应对货物作出全面检查，对验收文件进行整理，并列出清单；</w:t>
      </w:r>
      <w:r>
        <w:rPr>
          <w:rFonts w:hint="eastAsia" w:ascii="Times New Roman" w:hAnsi="Times New Roman" w:eastAsia="宋体" w:cs="Times New Roman"/>
          <w:color w:val="auto"/>
          <w:sz w:val="24"/>
          <w:szCs w:val="24"/>
          <w:highlight w:val="none"/>
        </w:rPr>
        <w:t xml:space="preserve">中标人须提供完整的技术资料，包括使用说明书、用户手册（中文）</w:t>
      </w:r>
      <w:r>
        <w:rPr>
          <w:rFonts w:hint="eastAsia" w:ascii="宋体" w:hAnsi="宋体" w:eastAsia="宋体" w:cs="宋体"/>
          <w:color w:val="auto"/>
          <w:sz w:val="24"/>
          <w:szCs w:val="24"/>
          <w:highlight w:val="none"/>
        </w:rPr>
        <w:t xml:space="preserve">及合同中要求的其他文件资料。作为招标人验收和使用的技术条件依据，检验的结果应随服务一起提交招标人。</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3、招标人对中标人提供的产品或服务在使用前，中标人需负责培训招标人的使用操作人员，并协助招标人一起使用，直到符合技术要求，招标人才做最终验收。</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4、对技术复杂的产品或服务，招标人可邀请第三方专业检测机构参与初步验收及最终验收，并出具质量检测报告。</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5、验收时双方必须在现场，验收完毕后作出验收结果报告。</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十、培训要求 </w:t>
      </w:r>
      <w:r/>
    </w:p>
    <w:p>
      <w:pPr>
        <w:pStyle w:val="653"/>
        <w:ind w:firstLine="480"/>
        <w:spacing w:before="0" w:beforeAutospacing="0" w:after="0" w:afterAutospacing="0"/>
        <w:widowControl w:val="off"/>
        <w:rPr>
          <w:rFonts w:cs="宋体"/>
          <w:bCs/>
          <w:color w:val="auto"/>
          <w:highlight w:val="none"/>
          <w:lang w:val="zh-CN"/>
        </w:rPr>
      </w:pPr>
      <w:r>
        <w:rPr>
          <w:rFonts w:hint="eastAsia" w:cs="宋体"/>
          <w:bCs/>
          <w:color w:val="auto"/>
          <w:highlight w:val="none"/>
          <w:lang w:val="zh-CN"/>
        </w:rPr>
        <w:t xml:space="preserve">1、中标人对招标人指派的相关人员进行针对性培训，</w:t>
      </w:r>
      <w:r>
        <w:rPr>
          <w:rFonts w:hint="eastAsia" w:cs="Arial"/>
          <w:color w:val="auto"/>
          <w:highlight w:val="none"/>
        </w:rPr>
        <w:t xml:space="preserve">包括产品使用、日常维护等。</w:t>
      </w:r>
      <w:r>
        <w:rPr>
          <w:rFonts w:hint="eastAsia" w:cs="宋体"/>
          <w:bCs/>
          <w:color w:val="auto"/>
          <w:highlight w:val="none"/>
          <w:lang w:val="zh-CN"/>
        </w:rPr>
        <w:t xml:space="preserve">直到招标人指派的相关人员能够熟练掌握，独立操作为止。</w:t>
      </w:r>
      <w:r/>
    </w:p>
    <w:p>
      <w:pPr>
        <w:pStyle w:val="653"/>
        <w:ind w:firstLine="480"/>
        <w:spacing w:before="0" w:beforeAutospacing="0" w:after="0" w:afterAutospacing="0"/>
        <w:widowControl w:val="off"/>
        <w:rPr>
          <w:rFonts w:cs="宋体"/>
          <w:bCs/>
          <w:color w:val="auto"/>
          <w:highlight w:val="none"/>
          <w:lang w:val="zh-CN"/>
        </w:rPr>
      </w:pPr>
      <w:r>
        <w:rPr>
          <w:rFonts w:hint="eastAsia" w:cs="宋体"/>
          <w:bCs/>
          <w:color w:val="auto"/>
          <w:highlight w:val="none"/>
          <w:lang w:val="zh-CN"/>
        </w:rPr>
        <w:t xml:space="preserve">2、采用课程培训和实际操作培训相结合的方式，确保招标人指派的相关人员可以熟练操作及日常维护货物。</w:t>
      </w:r>
      <w:r/>
    </w:p>
    <w:p>
      <w:pPr>
        <w:ind w:firstLine="480"/>
        <w:jc w:val="left"/>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3、培训所需要的文字资料和讲义等相关用品由中标人提供，所有的资料必须是中文书写。</w:t>
      </w:r>
      <w:r/>
    </w:p>
    <w:p>
      <w:pPr>
        <w:ind w:firstLine="562"/>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8"/>
          <w:szCs w:val="28"/>
          <w:highlight w:val="none"/>
        </w:rPr>
        <w:t xml:space="preserve">十一、售后服务要求</w:t>
      </w:r>
      <w:r/>
    </w:p>
    <w:p>
      <w:pPr>
        <w:ind w:firstLine="480"/>
        <w:jc w:val="left"/>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质保期：1年。</w:t>
      </w:r>
      <w:r/>
    </w:p>
    <w:p>
      <w:pPr>
        <w:ind w:firstLine="480"/>
        <w:jc w:val="left"/>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质保期间，中标人承担维修、保养、安检、调换等，相关费用包含在预算内，采购方不再支付任何费用；对于采购方人为原因造成的故障，中标人只收取维保成本费用。</w:t>
      </w:r>
      <w:r/>
    </w:p>
    <w:p>
      <w:pPr>
        <w:pStyle w:val="653"/>
        <w:ind w:firstLine="480"/>
        <w:spacing w:before="0" w:beforeAutospacing="0" w:after="0" w:afterAutospacing="0"/>
        <w:widowControl w:val="off"/>
        <w:rPr>
          <w:rFonts w:ascii="Times New Roman" w:hAnsi="Times New Roman"/>
          <w:color w:val="auto"/>
          <w:highlight w:val="none"/>
        </w:rPr>
      </w:pPr>
      <w:r>
        <w:rPr>
          <w:rFonts w:hint="eastAsia" w:cs="宋体"/>
          <w:bCs/>
          <w:color w:val="auto"/>
          <w:highlight w:val="none"/>
          <w:lang w:val="zh-CN"/>
        </w:rPr>
        <w:t xml:space="preserve">2、在质保期内，一旦发生质量问题，中标人应在7*24小时电话响应，并在2小时内组织人员到现场进行检修，确因产品本身质量问题的，中标人组织人员进行维修、更换，费用由中标人负责。出现故障 48小时不能修复的，免费提供同等功能的产品供招标人使用，直至故障修复。</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十二、投标报价要求</w:t>
      </w:r>
      <w:r/>
    </w:p>
    <w:p>
      <w:pPr>
        <w:ind w:firstLine="480"/>
        <w:jc w:val="left"/>
        <w:spacing w:line="360" w:lineRule="auto"/>
        <w:rPr>
          <w:color w:val="auto"/>
          <w:highlight w:val="none"/>
        </w:rPr>
      </w:pPr>
      <w:r>
        <w:rPr>
          <w:rFonts w:hint="eastAsia" w:ascii="宋体" w:hAnsi="宋体" w:eastAsia="宋体" w:cs="宋体"/>
          <w:color w:val="auto"/>
          <w:sz w:val="24"/>
          <w:szCs w:val="24"/>
          <w:highlight w:val="none"/>
        </w:rPr>
        <w:t xml:space="preserve">投标报价包括生产、供货、</w:t>
      </w:r>
      <w:r>
        <w:rPr>
          <w:rFonts w:hint="eastAsia" w:ascii="宋体" w:hAnsi="宋体" w:eastAsia="宋体" w:cs="宋体"/>
          <w:color w:val="auto"/>
          <w:sz w:val="24"/>
          <w:szCs w:val="24"/>
          <w:highlight w:val="none"/>
          <w:lang w:val="zh-CN"/>
        </w:rPr>
        <w:t xml:space="preserve">包装、</w:t>
      </w:r>
      <w:r>
        <w:rPr>
          <w:rFonts w:hint="eastAsia" w:ascii="宋体" w:hAnsi="宋体" w:eastAsia="宋体" w:cs="宋体"/>
          <w:color w:val="auto"/>
          <w:sz w:val="24"/>
          <w:szCs w:val="24"/>
          <w:highlight w:val="none"/>
        </w:rPr>
        <w:t xml:space="preserve">运输、装卸、安装、</w:t>
      </w:r>
      <w:r>
        <w:rPr>
          <w:rFonts w:hint="eastAsia" w:ascii="宋体" w:hAnsi="宋体" w:eastAsia="宋体" w:cs="宋体"/>
          <w:color w:val="auto"/>
          <w:sz w:val="24"/>
          <w:szCs w:val="24"/>
          <w:highlight w:val="none"/>
          <w:lang w:val="zh-CN"/>
        </w:rPr>
        <w:t xml:space="preserve">配件、</w:t>
      </w:r>
      <w:r>
        <w:rPr>
          <w:rFonts w:hint="eastAsia" w:ascii="宋体" w:hAnsi="宋体" w:eastAsia="宋体" w:cs="宋体"/>
          <w:color w:val="auto"/>
          <w:sz w:val="24"/>
          <w:szCs w:val="24"/>
          <w:highlight w:val="none"/>
        </w:rPr>
        <w:t xml:space="preserve">调试、检验、培训及售后服务、税金和保险等费用以及采购文件规定的其他费用。除合同价款外，招标人不支付其他任何费用。</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十三、付款方式与履约保证金</w:t>
      </w:r>
      <w:r/>
    </w:p>
    <w:p>
      <w:pPr>
        <w:ind w:firstLine="480"/>
        <w:jc w:val="left"/>
        <w:spacing w:line="360" w:lineRule="auto"/>
        <w:rPr>
          <w:rFonts w:hint="eastAsia" w:ascii="宋体" w:hAnsi="宋体" w:eastAsia="宋体" w:cs="Times New Roman"/>
          <w:b/>
          <w:i/>
          <w:iCs/>
          <w:color w:val="auto"/>
          <w:sz w:val="24"/>
          <w:szCs w:val="24"/>
          <w:highlight w:val="none"/>
          <w:u w:val="single"/>
          <w:lang w:eastAsia="zh-CN"/>
        </w:rPr>
      </w:pPr>
      <w:r>
        <w:rPr>
          <w:rFonts w:hint="eastAsia" w:cs="Times New Roman" w:asciiTheme="minorEastAsia" w:hAnsiTheme="minorEastAsia"/>
          <w:i/>
          <w:iCs/>
          <w:color w:val="auto"/>
          <w:sz w:val="24"/>
          <w:szCs w:val="24"/>
          <w:highlight w:val="none"/>
        </w:rPr>
        <w:t xml:space="preserve">★1、付款方式</w:t>
      </w:r>
      <w:r>
        <w:rPr>
          <w:rFonts w:hint="eastAsia" w:cs="Times New Roman" w:asciiTheme="minorEastAsia" w:hAnsiTheme="minorEastAsia"/>
          <w:i/>
          <w:iCs/>
          <w:color w:val="auto"/>
          <w:sz w:val="24"/>
          <w:szCs w:val="24"/>
          <w:highlight w:val="none"/>
          <w:lang w:eastAsia="zh-CN"/>
        </w:rPr>
        <w:t xml:space="preserve">：</w:t>
      </w:r>
      <w:r>
        <w:rPr>
          <w:rFonts w:hint="eastAsia" w:ascii="宋体" w:hAnsi="宋体" w:eastAsia="宋体" w:cs="Times New Roman"/>
          <w:b/>
          <w:i/>
          <w:iCs/>
          <w:color w:val="auto"/>
          <w:sz w:val="24"/>
          <w:szCs w:val="24"/>
          <w:highlight w:val="none"/>
          <w:u w:val="single"/>
          <w:lang w:eastAsia="zh-CN"/>
        </w:rPr>
        <w:t xml:space="preserve">项目合同签订后，硬件设备全部到货进场支付合同款总额的30%;政务信息化项目终验合格，付清余款。</w:t>
      </w:r>
      <w:r/>
    </w:p>
    <w:p>
      <w:pPr>
        <w:ind w:firstLine="482"/>
        <w:jc w:val="left"/>
        <w:spacing w:line="360" w:lineRule="auto"/>
        <w:rPr>
          <w:rFonts w:hint="eastAsia" w:ascii="宋体" w:hAnsi="宋体" w:eastAsia="宋体" w:cs="Times New Roman"/>
          <w:b/>
          <w:i/>
          <w:iCs/>
          <w:color w:val="auto"/>
          <w:sz w:val="24"/>
          <w:szCs w:val="24"/>
          <w:highlight w:val="none"/>
          <w:u w:val="single"/>
          <w:lang w:eastAsia="zh-CN"/>
        </w:rPr>
      </w:pPr>
      <w:r>
        <w:rPr>
          <w:rFonts w:hint="eastAsia" w:ascii="宋体" w:hAnsi="宋体" w:eastAsia="宋体" w:cs="Times New Roman"/>
          <w:b/>
          <w:i/>
          <w:iCs/>
          <w:color w:val="auto"/>
          <w:sz w:val="24"/>
          <w:szCs w:val="24"/>
          <w:highlight w:val="none"/>
          <w:u w:val="single"/>
          <w:lang w:eastAsia="zh-CN"/>
        </w:rPr>
        <w:t xml:space="preserve">付款前乙方应向甲方开具正规发票，否则甲方有权拒绝付款。甲方对满足合同约定支付条件的项目自收到发票后10个工作日内将资金支付到约定的乙方账户（以发票开具日期计算）。</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本项目不收取履约保证金。</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十四、其他</w:t>
      </w:r>
      <w:bookmarkEnd w:id="12"/>
      <w:r/>
      <w:bookmarkEnd w:id="13"/>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特别提醒投标人：应根据国家收费标准并结合市场实际进行报价，总价包干。</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rFonts w:ascii="黑体" w:hAnsi="黑体" w:eastAsia="黑体"/>
          <w:bCs/>
          <w:color w:val="auto"/>
          <w:sz w:val="44"/>
          <w:szCs w:val="44"/>
          <w:highlight w:val="none"/>
        </w:rPr>
      </w:pPr>
      <w:r/>
      <w:bookmarkStart w:id="14" w:name="_Toc165205798"/>
      <w:r>
        <w:rPr>
          <w:rFonts w:ascii="黑体" w:hAnsi="黑体" w:eastAsia="黑体"/>
          <w:b/>
          <w:color w:val="auto"/>
          <w:highlight w:val="none"/>
        </w:rPr>
        <w:br w:type="page" w:clear="all"/>
      </w:r>
      <w:r/>
    </w:p>
    <w:p>
      <w:pPr>
        <w:pStyle w:val="637"/>
        <w:jc w:val="center"/>
        <w:spacing w:before="156" w:after="156"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14"/>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color w:val="auto"/>
          <w:sz w:val="24"/>
          <w:szCs w:val="24"/>
          <w:highlight w:val="none"/>
        </w:rPr>
      </w:pPr>
      <w:r>
        <w:rPr>
          <w:rFonts w:hint="eastAsia"/>
          <w:color w:val="auto"/>
          <w:sz w:val="24"/>
          <w:szCs w:val="24"/>
          <w:highlight w:val="none"/>
        </w:rPr>
        <w:t xml:space="preserve">（2）技术分（44分）</w:t>
      </w:r>
      <w:r/>
    </w:p>
    <w:tbl>
      <w:tblPr>
        <w:tblStyle w:val="6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tcW w:w="1660" w:type="dxa"/>
            <w:vAlign w:val="center"/>
            <w:textDirection w:val="lrTb"/>
            <w:noWrap w:val="false"/>
          </w:tcPr>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技术参数响应性（20分）</w:t>
            </w:r>
            <w:r/>
          </w:p>
        </w:tc>
        <w:tc>
          <w:tcPr>
            <w:tcW w:w="6845" w:type="dxa"/>
            <w:vAlign w:val="center"/>
            <w:textDirection w:val="lrTb"/>
            <w:noWrap w:val="false"/>
          </w:tcPr>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根据招标文件“第四章 采购需求”进行评审，投标文件中技术参数全部响应招标文件技术要求的，得20分，标▲技术参数负偏离的，每项负偏离扣4分。一般技术参数负偏离的，每项扣1分；扣完为止。</w:t>
            </w:r>
            <w:r/>
          </w:p>
          <w:p>
            <w:pPr>
              <w:jc w:val="left"/>
              <w:spacing w:line="32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未在《技术规格偏离表》中响应的条款，视为负偏离；如为标注▲的技术参数则需按功能要求提供相应的有效证明材料以证明技术参数及功能的有效性，如提供证明材料不全或未附有效证明材料，同样视为负偏离。</w:t>
            </w:r>
            <w:r/>
          </w:p>
        </w:tc>
      </w:tr>
      <w:tr>
        <w:trPr>
          <w:jc w:val="center"/>
          <w:trHeight w:val="621"/>
        </w:trPr>
        <w:tc>
          <w:tcPr>
            <w:tcW w:w="1660" w:type="dxa"/>
            <w:vAlign w:val="center"/>
            <w:textDirection w:val="lrTb"/>
            <w:noWrap w:val="false"/>
          </w:tcPr>
          <w:p>
            <w:pPr>
              <w:spacing w:line="320" w:lineRule="exact"/>
              <w:rPr>
                <w:rFonts w:ascii="宋体" w:hAnsi="宋体" w:eastAsia="宋体" w:cs="宋体"/>
                <w:bCs/>
                <w:color w:val="auto"/>
                <w:sz w:val="24"/>
                <w:szCs w:val="24"/>
                <w:highlight w:val="none"/>
              </w:rPr>
            </w:pPr>
            <w:r>
              <w:rPr>
                <w:rFonts w:hint="eastAsia" w:ascii="宋体" w:hAnsi="宋体" w:cs="Calibri"/>
                <w:color w:val="auto"/>
                <w:sz w:val="24"/>
                <w:highlight w:val="none"/>
                <w:lang w:val="zh-CN"/>
              </w:rPr>
              <w:t xml:space="preserve">项目需求的理解和分析（</w:t>
            </w:r>
            <w:r>
              <w:rPr>
                <w:rFonts w:hint="eastAsia" w:ascii="宋体" w:hAnsi="宋体" w:cs="Calibri"/>
                <w:color w:val="auto"/>
                <w:sz w:val="24"/>
                <w:highlight w:val="none"/>
              </w:rPr>
              <w:t xml:space="preserve">6分</w:t>
            </w:r>
            <w:r>
              <w:rPr>
                <w:rFonts w:hint="eastAsia" w:ascii="宋体" w:hAnsi="宋体" w:cs="Calibri"/>
                <w:color w:val="auto"/>
                <w:sz w:val="24"/>
                <w:highlight w:val="none"/>
                <w:lang w:val="zh-CN"/>
              </w:rPr>
              <w:t xml:space="preserve">）</w:t>
            </w:r>
            <w:r/>
          </w:p>
        </w:tc>
        <w:tc>
          <w:tcPr>
            <w:tcW w:w="6845" w:type="dxa"/>
            <w:vAlign w:val="center"/>
            <w:textDirection w:val="lrTb"/>
            <w:noWrap w:val="false"/>
          </w:tcPr>
          <w:p>
            <w:pPr>
              <w:spacing w:line="320" w:lineRule="exact"/>
              <w:rPr>
                <w:rFonts w:ascii="宋体" w:hAnsi="宋体" w:cs="Calibri"/>
                <w:color w:val="auto"/>
                <w:sz w:val="24"/>
                <w:highlight w:val="none"/>
                <w:lang w:val="zh-CN"/>
              </w:rPr>
            </w:pPr>
            <w:r>
              <w:rPr>
                <w:rFonts w:hint="eastAsia" w:ascii="宋体" w:hAnsi="宋体" w:cs="Calibri"/>
                <w:color w:val="auto"/>
                <w:sz w:val="24"/>
                <w:highlight w:val="none"/>
                <w:lang w:val="zh-CN"/>
              </w:rPr>
              <w:t xml:space="preserve">根据投标人提供的</w:t>
            </w:r>
            <w:r>
              <w:rPr>
                <w:rFonts w:hint="eastAsia" w:ascii="宋体" w:hAnsi="宋体" w:cs="Calibri"/>
                <w:color w:val="auto"/>
                <w:sz w:val="24"/>
                <w:highlight w:val="none"/>
              </w:rPr>
              <w:t xml:space="preserve">理解和分析</w:t>
            </w:r>
            <w:r>
              <w:rPr>
                <w:rFonts w:hint="eastAsia" w:ascii="宋体" w:hAnsi="宋体" w:cs="Calibri"/>
                <w:color w:val="auto"/>
                <w:sz w:val="24"/>
                <w:highlight w:val="none"/>
                <w:lang w:val="zh-CN"/>
              </w:rPr>
              <w:t xml:space="preserve">方案，包括</w:t>
            </w:r>
            <w:r>
              <w:rPr>
                <w:rFonts w:hint="eastAsia" w:ascii="宋体" w:hAnsi="宋体" w:cs="宋体"/>
                <w:color w:val="auto"/>
                <w:sz w:val="24"/>
                <w:highlight w:val="none"/>
              </w:rPr>
              <w:t xml:space="preserve">但不限于</w:t>
            </w:r>
            <w:r>
              <w:rPr>
                <w:rFonts w:hint="eastAsia" w:ascii="宋体" w:hAnsi="宋体" w:cs="Calibri"/>
                <w:color w:val="auto"/>
                <w:sz w:val="24"/>
                <w:highlight w:val="none"/>
                <w:lang w:val="zh-CN"/>
              </w:rPr>
              <w:t xml:space="preserve">业务需求、功能需求、解决思路的描述等</w:t>
            </w:r>
            <w:r>
              <w:rPr>
                <w:rFonts w:hint="eastAsia" w:ascii="宋体" w:hAnsi="宋体" w:cs="宋体"/>
                <w:color w:val="auto"/>
                <w:sz w:val="24"/>
                <w:highlight w:val="none"/>
              </w:rPr>
              <w:t xml:space="preserve">进行评分</w:t>
            </w:r>
            <w:r>
              <w:rPr>
                <w:rFonts w:hint="eastAsia" w:ascii="宋体" w:hAnsi="宋体" w:cs="Calibri"/>
                <w:color w:val="auto"/>
                <w:sz w:val="24"/>
                <w:highlight w:val="none"/>
                <w:lang w:val="zh-CN"/>
              </w:rPr>
              <w:t xml:space="preserve">：</w:t>
            </w:r>
            <w:r/>
          </w:p>
          <w:p>
            <w:pPr>
              <w:spacing w:line="320" w:lineRule="exact"/>
              <w:rPr>
                <w:rFonts w:ascii="宋体" w:hAnsi="宋体" w:cs="Calibri"/>
                <w:color w:val="auto"/>
                <w:sz w:val="24"/>
                <w:highlight w:val="none"/>
                <w:lang w:val="zh-CN"/>
              </w:rPr>
            </w:pPr>
            <w:r>
              <w:rPr>
                <w:rFonts w:hint="eastAsia" w:ascii="宋体" w:hAnsi="宋体" w:cs="Calibri"/>
                <w:color w:val="auto"/>
                <w:sz w:val="24"/>
                <w:highlight w:val="none"/>
                <w:lang w:val="zh-CN"/>
              </w:rPr>
              <w:t xml:space="preserve">项目内容理解分析准确、全面客观、针对性强、与用户需求贴合度高得</w:t>
            </w:r>
            <w:r>
              <w:rPr>
                <w:rFonts w:hint="eastAsia" w:ascii="宋体" w:hAnsi="宋体" w:cs="Calibri"/>
                <w:color w:val="auto"/>
                <w:sz w:val="24"/>
                <w:highlight w:val="none"/>
              </w:rPr>
              <w:t xml:space="preserve">6</w:t>
            </w:r>
            <w:r>
              <w:rPr>
                <w:rFonts w:hint="eastAsia" w:ascii="宋体" w:hAnsi="宋体" w:cs="Calibri"/>
                <w:color w:val="auto"/>
                <w:sz w:val="24"/>
                <w:highlight w:val="none"/>
                <w:lang w:val="zh-CN"/>
              </w:rPr>
              <w:t xml:space="preserve">分；</w:t>
            </w:r>
            <w:r/>
          </w:p>
          <w:p>
            <w:pPr>
              <w:spacing w:line="320" w:lineRule="exact"/>
              <w:rPr>
                <w:rFonts w:ascii="宋体" w:hAnsi="宋体" w:cs="Calibri"/>
                <w:color w:val="auto"/>
                <w:sz w:val="24"/>
                <w:highlight w:val="none"/>
                <w:lang w:val="zh-CN"/>
              </w:rPr>
            </w:pPr>
            <w:r>
              <w:rPr>
                <w:rFonts w:hint="eastAsia" w:ascii="宋体" w:hAnsi="宋体" w:cs="Calibri"/>
                <w:color w:val="auto"/>
                <w:sz w:val="24"/>
                <w:highlight w:val="none"/>
                <w:lang w:val="zh-CN"/>
              </w:rPr>
              <w:t xml:space="preserve">项目内容理解分析基本准确、较为全面客观、针对性较强、与用户需求贴合度较高得</w:t>
            </w:r>
            <w:r>
              <w:rPr>
                <w:rFonts w:hint="eastAsia" w:ascii="宋体" w:hAnsi="宋体" w:cs="Calibri"/>
                <w:color w:val="auto"/>
                <w:sz w:val="24"/>
                <w:highlight w:val="none"/>
              </w:rPr>
              <w:t xml:space="preserve">4</w:t>
            </w:r>
            <w:r>
              <w:rPr>
                <w:rFonts w:hint="eastAsia" w:ascii="宋体" w:hAnsi="宋体" w:cs="Calibri"/>
                <w:color w:val="auto"/>
                <w:sz w:val="24"/>
                <w:highlight w:val="none"/>
                <w:lang w:val="zh-CN"/>
              </w:rPr>
              <w:t xml:space="preserve">分；</w:t>
            </w:r>
            <w:r/>
          </w:p>
          <w:p>
            <w:pPr>
              <w:spacing w:line="320" w:lineRule="exact"/>
              <w:rPr>
                <w:rFonts w:ascii="宋体" w:hAnsi="宋体" w:cs="Calibri"/>
                <w:color w:val="auto"/>
                <w:sz w:val="24"/>
                <w:highlight w:val="none"/>
                <w:lang w:val="zh-CN"/>
              </w:rPr>
            </w:pPr>
            <w:r>
              <w:rPr>
                <w:rFonts w:hint="eastAsia" w:ascii="宋体" w:hAnsi="宋体" w:cs="Calibri"/>
                <w:color w:val="auto"/>
                <w:sz w:val="24"/>
                <w:highlight w:val="none"/>
                <w:lang w:val="zh-CN"/>
              </w:rPr>
              <w:t xml:space="preserve">项目内容理解分析有偏差、不够全面客观、针对性一般、与用户需求贴合度一般得</w:t>
            </w:r>
            <w:r>
              <w:rPr>
                <w:rFonts w:hint="eastAsia" w:ascii="宋体" w:hAnsi="宋体" w:cs="Calibri"/>
                <w:color w:val="auto"/>
                <w:sz w:val="24"/>
                <w:highlight w:val="none"/>
              </w:rPr>
              <w:t xml:space="preserve">2</w:t>
            </w:r>
            <w:r>
              <w:rPr>
                <w:rFonts w:hint="eastAsia" w:ascii="宋体" w:hAnsi="宋体" w:cs="Calibri"/>
                <w:color w:val="auto"/>
                <w:sz w:val="24"/>
                <w:highlight w:val="none"/>
                <w:lang w:val="zh-CN"/>
              </w:rPr>
              <w:t xml:space="preserve">分；</w:t>
            </w:r>
            <w:r/>
          </w:p>
          <w:p>
            <w:pPr>
              <w:spacing w:line="320" w:lineRule="exact"/>
              <w:rPr>
                <w:rFonts w:ascii="宋体" w:hAnsi="宋体" w:eastAsia="宋体" w:cs="宋体"/>
                <w:b/>
                <w:bCs/>
                <w:color w:val="auto"/>
                <w:sz w:val="24"/>
                <w:szCs w:val="24"/>
                <w:highlight w:val="none"/>
              </w:rPr>
            </w:pPr>
            <w:r>
              <w:rPr>
                <w:rFonts w:hint="eastAsia" w:ascii="宋体" w:hAnsi="宋体" w:cs="Calibri"/>
                <w:color w:val="auto"/>
                <w:sz w:val="24"/>
                <w:highlight w:val="none"/>
                <w:lang w:val="zh-CN"/>
              </w:rPr>
              <w:t xml:space="preserve">未提供的不得分。</w:t>
            </w:r>
            <w:r/>
          </w:p>
        </w:tc>
      </w:tr>
      <w:tr>
        <w:trPr>
          <w:jc w:val="center"/>
          <w:trHeight w:val="621"/>
        </w:trPr>
        <w:tc>
          <w:tcPr>
            <w:tcW w:w="1660" w:type="dxa"/>
            <w:vAlign w:val="center"/>
            <w:textDirection w:val="lrTb"/>
            <w:noWrap w:val="false"/>
          </w:tcPr>
          <w:p>
            <w:pPr>
              <w:jc w:val="center"/>
              <w:spacing w:line="320"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项目实施方案</w:t>
            </w:r>
            <w:r>
              <w:rPr>
                <w:rFonts w:hint="eastAsia" w:ascii="宋体" w:hAnsi="宋体" w:cs="宋体"/>
                <w:color w:val="auto"/>
                <w:sz w:val="24"/>
                <w:highlight w:val="none"/>
              </w:rPr>
              <w:t xml:space="preserve">（6分）</w:t>
            </w:r>
            <w:r/>
          </w:p>
        </w:tc>
        <w:tc>
          <w:tcPr>
            <w:tcW w:w="6845" w:type="dxa"/>
            <w:textDirection w:val="lrTb"/>
            <w:noWrap w:val="false"/>
          </w:tcPr>
          <w:p>
            <w:pPr>
              <w:spacing w:line="320" w:lineRule="exact"/>
              <w:rPr>
                <w:rFonts w:ascii="宋体" w:hAnsi="宋体" w:cs="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eastAsia="宋体" w:cs="宋体"/>
                <w:color w:val="auto"/>
                <w:sz w:val="24"/>
                <w:szCs w:val="24"/>
                <w:highlight w:val="none"/>
              </w:rPr>
              <w:t xml:space="preserve">实施</w:t>
            </w:r>
            <w:r>
              <w:rPr>
                <w:rFonts w:hint="eastAsia" w:ascii="宋体" w:hAnsi="宋体" w:cs="宋体"/>
                <w:color w:val="auto"/>
                <w:sz w:val="24"/>
                <w:highlight w:val="none"/>
              </w:rPr>
              <w:t xml:space="preserve">方案，包括但不限于</w:t>
            </w:r>
            <w:r>
              <w:rPr>
                <w:rFonts w:hint="eastAsia" w:ascii="宋体" w:hAnsi="宋体" w:eastAsia="宋体" w:cs="宋体"/>
                <w:color w:val="auto"/>
                <w:sz w:val="24"/>
                <w:szCs w:val="24"/>
                <w:highlight w:val="none"/>
              </w:rPr>
              <w:t xml:space="preserve">实施步骤、实施计划及时间进度</w:t>
            </w:r>
            <w:r>
              <w:rPr>
                <w:rFonts w:hint="eastAsia" w:ascii="宋体" w:hAnsi="宋体" w:cs="宋体"/>
                <w:color w:val="auto"/>
                <w:sz w:val="24"/>
                <w:highlight w:val="none"/>
              </w:rPr>
              <w:t xml:space="preserve">、质量保证措施等进行评分：</w:t>
            </w:r>
            <w:r/>
          </w:p>
          <w:p>
            <w:pPr>
              <w:spacing w:line="320" w:lineRule="exact"/>
              <w:rPr>
                <w:rFonts w:ascii="宋体" w:hAnsi="宋体" w:cs="Calibri"/>
                <w:color w:val="auto"/>
                <w:sz w:val="24"/>
                <w:highlight w:val="none"/>
              </w:rPr>
            </w:pPr>
            <w:r>
              <w:rPr>
                <w:rFonts w:hint="eastAsia" w:ascii="宋体" w:hAnsi="宋体" w:cs="Calibri"/>
                <w:color w:val="auto"/>
                <w:sz w:val="24"/>
                <w:highlight w:val="none"/>
              </w:rPr>
              <w:t xml:space="preserve">1.</w:t>
            </w:r>
            <w:r>
              <w:rPr>
                <w:rFonts w:hint="eastAsia" w:ascii="宋体" w:hAnsi="宋体" w:cs="宋体"/>
                <w:color w:val="auto"/>
                <w:sz w:val="24"/>
                <w:highlight w:val="none"/>
              </w:rPr>
              <w:t xml:space="preserve">实施</w:t>
            </w:r>
            <w:r>
              <w:rPr>
                <w:rFonts w:hint="eastAsia" w:ascii="宋体" w:hAnsi="宋体" w:cs="Calibri"/>
                <w:color w:val="auto"/>
                <w:sz w:val="24"/>
                <w:highlight w:val="none"/>
              </w:rPr>
              <w:t xml:space="preserve">计划安排合理、</w:t>
            </w:r>
            <w:r>
              <w:rPr>
                <w:rFonts w:hint="eastAsia" w:ascii="宋体" w:hAnsi="宋体" w:eastAsia="宋体" w:cs="宋体"/>
                <w:color w:val="auto"/>
                <w:sz w:val="24"/>
                <w:szCs w:val="24"/>
                <w:highlight w:val="none"/>
              </w:rPr>
              <w:t xml:space="preserve">实施</w:t>
            </w:r>
            <w:r>
              <w:rPr>
                <w:rFonts w:hint="eastAsia" w:ascii="宋体" w:hAnsi="宋体" w:cs="Calibri"/>
                <w:color w:val="auto"/>
                <w:sz w:val="24"/>
                <w:highlight w:val="none"/>
              </w:rPr>
              <w:t xml:space="preserve">进度计划紧凑、</w:t>
            </w:r>
            <w:r>
              <w:rPr>
                <w:rFonts w:hint="eastAsia" w:ascii="宋体" w:hAnsi="宋体" w:eastAsia="宋体" w:cs="宋体"/>
                <w:color w:val="auto"/>
                <w:sz w:val="24"/>
                <w:szCs w:val="24"/>
                <w:highlight w:val="none"/>
              </w:rPr>
              <w:t xml:space="preserve">质量</w:t>
            </w:r>
            <w:r>
              <w:rPr>
                <w:rFonts w:hint="eastAsia" w:ascii="宋体" w:hAnsi="宋体" w:cs="Calibri"/>
                <w:color w:val="auto"/>
                <w:sz w:val="24"/>
                <w:highlight w:val="none"/>
              </w:rPr>
              <w:t xml:space="preserve">保证措施切实可行的得6分；</w:t>
            </w:r>
            <w:r/>
          </w:p>
          <w:p>
            <w:pPr>
              <w:spacing w:line="320" w:lineRule="exact"/>
              <w:rPr>
                <w:rFonts w:ascii="宋体" w:hAnsi="宋体" w:cs="宋体"/>
                <w:color w:val="auto"/>
                <w:sz w:val="24"/>
                <w:highlight w:val="none"/>
              </w:rPr>
            </w:pPr>
            <w:r>
              <w:rPr>
                <w:rFonts w:hint="eastAsia" w:ascii="宋体" w:hAnsi="宋体" w:cs="Calibri"/>
                <w:color w:val="auto"/>
                <w:sz w:val="24"/>
                <w:highlight w:val="none"/>
              </w:rPr>
              <w:t xml:space="preserve">2.</w:t>
            </w:r>
            <w:r>
              <w:rPr>
                <w:rFonts w:hint="eastAsia" w:ascii="宋体" w:hAnsi="宋体" w:eastAsia="宋体" w:cs="宋体"/>
                <w:color w:val="auto"/>
                <w:sz w:val="24"/>
                <w:szCs w:val="24"/>
                <w:highlight w:val="none"/>
              </w:rPr>
              <w:t xml:space="preserve">实施</w:t>
            </w:r>
            <w:r>
              <w:rPr>
                <w:rFonts w:hint="eastAsia" w:ascii="宋体" w:hAnsi="宋体" w:cs="Calibri"/>
                <w:color w:val="auto"/>
                <w:sz w:val="24"/>
                <w:highlight w:val="none"/>
              </w:rPr>
              <w:t xml:space="preserve">计划安排较合理、</w:t>
            </w:r>
            <w:r>
              <w:rPr>
                <w:rFonts w:hint="eastAsia" w:ascii="宋体" w:hAnsi="宋体" w:eastAsia="宋体" w:cs="宋体"/>
                <w:color w:val="auto"/>
                <w:sz w:val="24"/>
                <w:szCs w:val="24"/>
                <w:highlight w:val="none"/>
              </w:rPr>
              <w:t xml:space="preserve">实施</w:t>
            </w:r>
            <w:r>
              <w:rPr>
                <w:rFonts w:hint="eastAsia" w:ascii="宋体" w:hAnsi="宋体" w:cs="Calibri"/>
                <w:color w:val="auto"/>
                <w:sz w:val="24"/>
                <w:highlight w:val="none"/>
              </w:rPr>
              <w:t xml:space="preserve">进度计划较紧凑、</w:t>
            </w:r>
            <w:r>
              <w:rPr>
                <w:rFonts w:hint="eastAsia" w:ascii="宋体" w:hAnsi="宋体" w:eastAsia="宋体" w:cs="宋体"/>
                <w:color w:val="auto"/>
                <w:sz w:val="24"/>
                <w:szCs w:val="24"/>
                <w:highlight w:val="none"/>
              </w:rPr>
              <w:t xml:space="preserve">质量</w:t>
            </w:r>
            <w:r>
              <w:rPr>
                <w:rFonts w:hint="eastAsia" w:ascii="宋体" w:hAnsi="宋体" w:cs="Calibri"/>
                <w:color w:val="auto"/>
                <w:sz w:val="24"/>
                <w:highlight w:val="none"/>
              </w:rPr>
              <w:t xml:space="preserve">保证措施较可行的得4分；</w:t>
            </w:r>
            <w:r/>
          </w:p>
          <w:p>
            <w:pPr>
              <w:spacing w:line="320" w:lineRule="exact"/>
              <w:rPr>
                <w:rFonts w:ascii="宋体" w:hAnsi="宋体" w:cs="Calibri"/>
                <w:color w:val="auto"/>
                <w:sz w:val="24"/>
                <w:highlight w:val="none"/>
              </w:rPr>
            </w:pPr>
            <w:r>
              <w:rPr>
                <w:rFonts w:hint="eastAsia" w:ascii="宋体" w:hAnsi="宋体" w:cs="Calibri"/>
                <w:color w:val="auto"/>
                <w:sz w:val="24"/>
                <w:highlight w:val="none"/>
              </w:rPr>
              <w:t xml:space="preserve">3.</w:t>
            </w:r>
            <w:r>
              <w:rPr>
                <w:rFonts w:hint="eastAsia" w:ascii="宋体" w:hAnsi="宋体" w:eastAsia="宋体" w:cs="宋体"/>
                <w:color w:val="auto"/>
                <w:sz w:val="24"/>
                <w:szCs w:val="24"/>
                <w:highlight w:val="none"/>
              </w:rPr>
              <w:t xml:space="preserve">实施</w:t>
            </w:r>
            <w:r>
              <w:rPr>
                <w:rFonts w:hint="eastAsia" w:ascii="宋体" w:hAnsi="宋体" w:cs="Calibri"/>
                <w:color w:val="auto"/>
                <w:sz w:val="24"/>
                <w:highlight w:val="none"/>
              </w:rPr>
              <w:t xml:space="preserve">计划安排一般、</w:t>
            </w:r>
            <w:r>
              <w:rPr>
                <w:rFonts w:hint="eastAsia" w:ascii="宋体" w:hAnsi="宋体" w:eastAsia="宋体" w:cs="宋体"/>
                <w:color w:val="auto"/>
                <w:sz w:val="24"/>
                <w:szCs w:val="24"/>
                <w:highlight w:val="none"/>
              </w:rPr>
              <w:t xml:space="preserve">实施</w:t>
            </w:r>
            <w:r>
              <w:rPr>
                <w:rFonts w:hint="eastAsia" w:ascii="宋体" w:hAnsi="宋体" w:cs="Calibri"/>
                <w:color w:val="auto"/>
                <w:sz w:val="24"/>
                <w:highlight w:val="none"/>
              </w:rPr>
              <w:t xml:space="preserve">进度计划一般、</w:t>
            </w:r>
            <w:r>
              <w:rPr>
                <w:rFonts w:hint="eastAsia" w:ascii="宋体" w:hAnsi="宋体" w:eastAsia="宋体" w:cs="宋体"/>
                <w:color w:val="auto"/>
                <w:sz w:val="24"/>
                <w:szCs w:val="24"/>
                <w:highlight w:val="none"/>
              </w:rPr>
              <w:t xml:space="preserve">质量</w:t>
            </w:r>
            <w:r>
              <w:rPr>
                <w:rFonts w:hint="eastAsia" w:ascii="宋体" w:hAnsi="宋体" w:cs="Calibri"/>
                <w:color w:val="auto"/>
                <w:sz w:val="24"/>
                <w:highlight w:val="none"/>
              </w:rPr>
              <w:t xml:space="preserve">保证措施一般的得2分；</w:t>
            </w:r>
            <w:r/>
          </w:p>
          <w:p>
            <w:pPr>
              <w:spacing w:line="320" w:lineRule="exact"/>
              <w:rPr>
                <w:rFonts w:ascii="宋体" w:hAnsi="宋体" w:eastAsia="宋体" w:cs="宋体"/>
                <w:b/>
                <w:bCs/>
                <w:color w:val="auto"/>
                <w:sz w:val="24"/>
                <w:szCs w:val="24"/>
                <w:highlight w:val="none"/>
              </w:rPr>
            </w:pPr>
            <w:r>
              <w:rPr>
                <w:rFonts w:hint="eastAsia" w:ascii="宋体" w:hAnsi="宋体" w:cs="宋体"/>
                <w:color w:val="auto"/>
                <w:sz w:val="24"/>
                <w:highlight w:val="none"/>
              </w:rPr>
              <w:t xml:space="preserve">4.差的、不提供的不得分。</w:t>
            </w:r>
            <w:r/>
          </w:p>
        </w:tc>
      </w:tr>
      <w:tr>
        <w:trPr>
          <w:jc w:val="center"/>
          <w:trHeight w:val="621"/>
        </w:trPr>
        <w:tc>
          <w:tcPr>
            <w:tcW w:w="1660" w:type="dxa"/>
            <w:vAlign w:val="center"/>
            <w:textDirection w:val="lrTb"/>
            <w:noWrap w:val="false"/>
          </w:tcPr>
          <w:p>
            <w:pPr>
              <w:jc w:val="center"/>
              <w:spacing w:line="320" w:lineRule="exact"/>
              <w:rPr>
                <w:rFonts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 xml:space="preserve">培训方案（6分）</w:t>
            </w:r>
            <w:r/>
          </w:p>
        </w:tc>
        <w:tc>
          <w:tcPr>
            <w:tcW w:w="6845" w:type="dxa"/>
            <w:textDirection w:val="lrTb"/>
            <w:noWrap w:val="false"/>
          </w:tcPr>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针对本项目特点，结合招标人的需求，制定包括但不限于培训内容、培训方式、培训计划、培训对象、培训团队配备等技术培训方案：</w:t>
            </w:r>
            <w:r/>
          </w:p>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1.方案合理、详尽，能贴合消防类项目用户使用需求，得6分；</w:t>
            </w:r>
            <w:r/>
          </w:p>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2.方案较完整、较为详尽，满足消防类项目用户使用需求，得4分；</w:t>
            </w:r>
            <w:r/>
          </w:p>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3.方案详尽程度一般，有缺漏，基本满足消防类项目用户使用需求，得2分；</w:t>
            </w:r>
            <w:r/>
          </w:p>
          <w:p>
            <w:pPr>
              <w:jc w:val="left"/>
              <w:spacing w:line="320" w:lineRule="exact"/>
              <w:rPr>
                <w:rFonts w:ascii="宋体" w:hAnsi="宋体" w:eastAsia="宋体" w:cs="宋体"/>
                <w:b/>
                <w:bCs/>
                <w:color w:val="auto"/>
                <w:sz w:val="24"/>
                <w:szCs w:val="24"/>
                <w:highlight w:val="none"/>
              </w:rPr>
            </w:pPr>
            <w:r>
              <w:rPr>
                <w:rFonts w:hint="eastAsia" w:ascii="宋体" w:hAnsi="宋体" w:cs="宋体"/>
                <w:color w:val="auto"/>
                <w:sz w:val="24"/>
                <w:highlight w:val="none"/>
              </w:rPr>
              <w:t xml:space="preserve">4.</w:t>
            </w:r>
            <w:r>
              <w:rPr>
                <w:rFonts w:hint="eastAsia" w:ascii="宋体" w:hAnsi="宋体" w:eastAsia="宋体" w:cs="宋体"/>
                <w:color w:val="auto"/>
                <w:sz w:val="24"/>
                <w:szCs w:val="24"/>
                <w:highlight w:val="none"/>
              </w:rPr>
              <w:t xml:space="preserve">差的、不提供的不得分。</w:t>
            </w:r>
            <w:r/>
          </w:p>
        </w:tc>
      </w:tr>
      <w:tr>
        <w:trPr>
          <w:jc w:val="center"/>
          <w:trHeight w:val="621"/>
        </w:trPr>
        <w:tc>
          <w:tcPr>
            <w:tcW w:w="1660" w:type="dxa"/>
            <w:vAlign w:val="center"/>
            <w:textDirection w:val="lrTb"/>
            <w:noWrap w:val="false"/>
          </w:tcPr>
          <w:p>
            <w:pPr>
              <w:jc w:val="center"/>
              <w:spacing w:line="360" w:lineRule="auto"/>
              <w:widowControl/>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售后服务（6分）</w:t>
            </w:r>
            <w:r/>
          </w:p>
        </w:tc>
        <w:tc>
          <w:tcPr>
            <w:tcW w:w="6845" w:type="dxa"/>
            <w:textDirection w:val="lrTb"/>
            <w:noWrap w:val="false"/>
          </w:tcPr>
          <w:p>
            <w:pPr>
              <w:jc w:val="left"/>
              <w:spacing w:line="3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根据投标人提供的售后服务方案（如服务内容、故障解决方案、响应时间、专业技术人员保障、服务电话等）进行综合评分：</w:t>
            </w:r>
            <w:r/>
          </w:p>
          <w:p>
            <w:pPr>
              <w:jc w:val="left"/>
              <w:spacing w:line="3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1.服务内容全面、故障解决方案具体、响应时间快、专业技术人员实力强、具有24h服务电话的，得6分；</w:t>
            </w:r>
            <w:r/>
          </w:p>
          <w:p>
            <w:pPr>
              <w:jc w:val="left"/>
              <w:spacing w:line="3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2.服务内容较全面、故障解决方案较具体、响应时间较快、专业技术人员实力较强、具有24h服务电话的，得4分；</w:t>
            </w:r>
            <w:r/>
          </w:p>
          <w:p>
            <w:pPr>
              <w:jc w:val="left"/>
              <w:spacing w:line="3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3.服务内容一般、故障解决方案一般、响应时间一般、专业技术人员实力一般、具有服务电话的，得2分；</w:t>
            </w:r>
            <w:r/>
          </w:p>
          <w:p>
            <w:pPr>
              <w:jc w:val="left"/>
              <w:spacing w:line="300" w:lineRule="exact"/>
              <w:widowControl/>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4.差的、不提供的不得分。</w:t>
            </w:r>
            <w:r/>
          </w:p>
        </w:tc>
      </w:tr>
    </w:tbl>
    <w:p>
      <w:pPr>
        <w:ind w:firstLine="480"/>
        <w:jc w:val="left"/>
        <w:spacing w:line="500" w:lineRule="exact"/>
        <w:rPr>
          <w:color w:val="auto"/>
          <w:sz w:val="24"/>
          <w:szCs w:val="24"/>
          <w:highlight w:val="none"/>
        </w:rPr>
      </w:pPr>
      <w:r>
        <w:rPr>
          <w:rFonts w:hint="eastAsia"/>
          <w:color w:val="auto"/>
          <w:sz w:val="24"/>
          <w:szCs w:val="24"/>
          <w:highlight w:val="none"/>
        </w:rPr>
        <w:t xml:space="preserve">（3）商务分（26分）</w:t>
      </w:r>
      <w:r/>
    </w:p>
    <w:tbl>
      <w:tblPr>
        <w:tblStyle w:val="6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tcW w:w="1660" w:type="dxa"/>
            <w:vAlign w:val="center"/>
            <w:textDirection w:val="lrTb"/>
            <w:noWrap w:val="false"/>
          </w:tcPr>
          <w:p>
            <w:pPr>
              <w:pStyle w:val="671"/>
              <w:ind w:right="148" w:firstLine="0"/>
              <w:jc w:val="center"/>
              <w:spacing w:before="191"/>
              <w:rPr>
                <w:color w:val="auto"/>
                <w:highlight w:val="none"/>
              </w:rPr>
            </w:pPr>
            <w:r>
              <w:rPr>
                <w:rFonts w:hint="eastAsia" w:ascii="宋体" w:hAnsi="宋体" w:cs="宋体"/>
                <w:color w:val="auto"/>
                <w:highlight w:val="none"/>
              </w:rPr>
              <w:t xml:space="preserve">企业综合实力（5</w:t>
            </w:r>
            <w:r>
              <w:rPr>
                <w:rFonts w:hint="eastAsia" w:ascii="宋体" w:hAnsi="宋体" w:cs="宋体"/>
                <w:color w:val="auto"/>
                <w:spacing w:val="-30"/>
                <w:highlight w:val="none"/>
              </w:rPr>
              <w:t xml:space="preserve">分</w:t>
            </w:r>
            <w:r>
              <w:rPr>
                <w:rFonts w:hint="eastAsia" w:ascii="宋体" w:hAnsi="宋体" w:cs="宋体"/>
                <w:color w:val="auto"/>
                <w:highlight w:val="none"/>
              </w:rPr>
              <w:t xml:space="preserve">）</w:t>
            </w:r>
            <w:r/>
          </w:p>
        </w:tc>
        <w:tc>
          <w:tcPr>
            <w:tcW w:w="6845"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1.具有有效的质量管理体系认证证书、环境管理体系认证证书、职业健康安全管理体系认证证书的，每提供一份得1分，最高得3分。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2.具有有效的信息安全管理体系认证证书的得1分。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3.具有有效信息技术服务管理体系认证证书的得1分。</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注：1-3项须在投标文件中提供证书扫描件以及在国家认证认可监督管理委员会网站http://www.cnca.gov.cn/的查询截图，材料不提供或提供不全或证书不在有效期内的或无法认定的，不得分。</w:t>
            </w:r>
            <w:r/>
          </w:p>
        </w:tc>
      </w:tr>
      <w:tr>
        <w:trPr>
          <w:jc w:val="center"/>
          <w:trHeight w:val="621"/>
        </w:trPr>
        <w:tc>
          <w:tcPr>
            <w:tcW w:w="1660" w:type="dxa"/>
            <w:vAlign w:val="center"/>
            <w:textDirection w:val="lrTb"/>
            <w:noWrap w:val="false"/>
          </w:tcPr>
          <w:p>
            <w:pPr>
              <w:jc w:val="center"/>
              <w:spacing w:line="320" w:lineRule="exact"/>
              <w:rPr>
                <w:color w:val="auto"/>
                <w:highlight w:val="none"/>
              </w:rPr>
            </w:pPr>
            <w:r>
              <w:rPr>
                <w:rFonts w:hint="eastAsia"/>
                <w:color w:val="auto"/>
                <w:sz w:val="24"/>
                <w:highlight w:val="none"/>
              </w:rPr>
              <w:t xml:space="preserve">拟派团队实力</w:t>
            </w:r>
            <w:r>
              <w:rPr>
                <w:color w:val="auto"/>
                <w:sz w:val="24"/>
                <w:highlight w:val="none"/>
              </w:rPr>
              <w:t xml:space="preserve">（</w:t>
            </w:r>
            <w:r>
              <w:rPr>
                <w:rFonts w:hint="eastAsia"/>
                <w:color w:val="auto"/>
                <w:sz w:val="24"/>
                <w:highlight w:val="none"/>
              </w:rPr>
              <w:t xml:space="preserve">8</w:t>
            </w:r>
            <w:r>
              <w:rPr>
                <w:color w:val="auto"/>
                <w:spacing w:val="-30"/>
                <w:sz w:val="24"/>
                <w:highlight w:val="none"/>
              </w:rPr>
              <w:t xml:space="preserve"> 分</w:t>
            </w:r>
            <w:r>
              <w:rPr>
                <w:color w:val="auto"/>
                <w:sz w:val="24"/>
                <w:highlight w:val="none"/>
              </w:rPr>
              <w:t xml:space="preserve">）</w:t>
            </w:r>
            <w:r/>
          </w:p>
        </w:tc>
        <w:tc>
          <w:tcPr>
            <w:tcW w:w="6845"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1.项目负责人具有信息系统管理工程师、IT服务工程师、设备安装施工员、网络工程师，每有一个证书得1分，最高得4分；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2.项目团队中（项目负责人除外）具有特种作业操作（作业类别：高处作业）、IT运维工程师、软件技术开发工程师、软件设计师的，每有一个得1分，最高得4分。</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注：上述1-2项提供人员相关证书原件扫描件及2024年</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月以来</w:t>
            </w:r>
            <w:r>
              <w:rPr>
                <w:rFonts w:hint="eastAsia" w:ascii="宋体" w:hAnsi="宋体" w:eastAsia="宋体" w:cs="宋体"/>
                <w:b/>
                <w:color w:val="auto"/>
                <w:sz w:val="24"/>
                <w:szCs w:val="24"/>
                <w:highlight w:val="none"/>
                <w:lang w:val="en-US" w:eastAsia="zh-CN"/>
              </w:rPr>
              <w:t xml:space="preserve">任意1个月</w:t>
            </w:r>
            <w:r>
              <w:rPr>
                <w:rFonts w:hint="eastAsia" w:ascii="宋体" w:hAnsi="宋体" w:eastAsia="宋体" w:cs="宋体"/>
                <w:b/>
                <w:color w:val="auto"/>
                <w:sz w:val="24"/>
                <w:szCs w:val="24"/>
                <w:highlight w:val="none"/>
              </w:rPr>
              <w:t xml:space="preserve">由投标人为其缴纳的社保证明材料并加盖投标人公章，未提供不得分。以上人员证书不可重复计分。</w:t>
            </w:r>
            <w:r/>
          </w:p>
        </w:tc>
      </w:tr>
      <w:tr>
        <w:trPr>
          <w:jc w:val="center"/>
          <w:trHeight w:val="621"/>
        </w:trPr>
        <w:tc>
          <w:tcPr>
            <w:tcW w:w="1660" w:type="dxa"/>
            <w:vAlign w:val="center"/>
            <w:textDirection w:val="lrTb"/>
            <w:noWrap w:val="false"/>
          </w:tcPr>
          <w:p>
            <w:pPr>
              <w:jc w:val="center"/>
              <w:spacing w:line="3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业绩</w:t>
            </w:r>
            <w:r/>
          </w:p>
          <w:p>
            <w:pPr>
              <w:jc w:val="center"/>
              <w:spacing w:line="320" w:lineRule="exact"/>
              <w:rPr>
                <w:color w:val="auto"/>
                <w:highlight w:val="none"/>
              </w:rPr>
            </w:pPr>
            <w:r>
              <w:rPr>
                <w:rFonts w:hint="eastAsia" w:ascii="宋体" w:hAnsi="宋体" w:eastAsia="宋体" w:cs="Times New Roman"/>
                <w:color w:val="auto"/>
                <w:sz w:val="24"/>
                <w:szCs w:val="24"/>
                <w:highlight w:val="none"/>
              </w:rPr>
              <w:t xml:space="preserve">(9分)</w:t>
            </w:r>
            <w:r/>
          </w:p>
        </w:tc>
        <w:tc>
          <w:tcPr>
            <w:tcW w:w="6845"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自2021年1月1日(含)以来（以合同签订时间为准），投标人具有类似业绩的，每提供有1份得3分，最多得9分。</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注：上述类似业绩须提供合同扫描件加盖投标人公章，否则不得分。</w:t>
            </w:r>
            <w:r/>
          </w:p>
        </w:tc>
      </w:tr>
      <w:tr>
        <w:trPr>
          <w:jc w:val="center"/>
          <w:trHeight w:val="899"/>
        </w:trPr>
        <w:tc>
          <w:tcPr>
            <w:tcW w:w="1660" w:type="dxa"/>
            <w:vAlign w:val="center"/>
            <w:textDirection w:val="lrTb"/>
            <w:noWrap w:val="false"/>
          </w:tcPr>
          <w:p>
            <w:pPr>
              <w:jc w:val="center"/>
              <w:spacing w:line="3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质保期</w:t>
            </w:r>
            <w:r/>
          </w:p>
          <w:p>
            <w:pPr>
              <w:jc w:val="center"/>
              <w:spacing w:line="3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(4分)</w:t>
            </w:r>
            <w:r/>
          </w:p>
        </w:tc>
        <w:tc>
          <w:tcPr>
            <w:tcW w:w="6845" w:type="dxa"/>
            <w:vAlign w:val="center"/>
            <w:textDirection w:val="lrTb"/>
            <w:noWrap w:val="false"/>
          </w:tcPr>
          <w:p>
            <w:pPr>
              <w:spacing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在满足本项目免费质保期的基础要求上：质保期每增加1年得2分，最多得4分。提供承诺书，格式自拟，否则不得分。</w:t>
            </w:r>
            <w:r/>
          </w:p>
        </w:tc>
      </w:tr>
    </w:tbl>
    <w:p>
      <w:pPr>
        <w:ind w:firstLine="480"/>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637"/>
        <w:jc w:val="center"/>
        <w:spacing w:before="156" w:after="156" w:line="360" w:lineRule="auto"/>
        <w:rPr>
          <w:rFonts w:ascii="黑体" w:hAnsi="黑体" w:eastAsia="黑体"/>
          <w:b w:val="0"/>
          <w:color w:val="auto"/>
          <w:highlight w:val="none"/>
        </w:rPr>
      </w:pPr>
      <w:r/>
      <w:bookmarkStart w:id="15" w:name="_Toc165205799"/>
      <w:r>
        <w:rPr>
          <w:rFonts w:hint="eastAsia" w:ascii="黑体" w:hAnsi="黑体" w:eastAsia="黑体"/>
          <w:b w:val="0"/>
          <w:color w:val="auto"/>
          <w:highlight w:val="none"/>
        </w:rPr>
        <w:t xml:space="preserve">第六章  投标文件格式</w:t>
      </w:r>
      <w:bookmarkEnd w:id="15"/>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致：江苏宝宏项目管理咨询有限公司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十一、中小企业声明函（货物）（分包号：**）</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rPr>
        <w:t xml:space="preserve">江苏宝宏项目管理咨询有限公司</w:t>
      </w:r>
      <w:r>
        <w:rPr>
          <w:rFonts w:hint="eastAsia" w:ascii="宋体" w:hAnsi="宋体" w:eastAsia="宋体" w:cs="Times New Roman"/>
          <w:color w:val="auto"/>
          <w:sz w:val="24"/>
          <w:szCs w:val="21"/>
          <w:highlight w:val="none"/>
        </w:rPr>
        <w:t xml:space="preserve">组织的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6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 xml:space="preserve">4、行数或事项不够，可自行增加。</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16" w:name="_Hlt26955054"/>
      <w:r/>
      <w:bookmarkEnd w:id="16"/>
      <w:r>
        <w:rPr>
          <w:rFonts w:hint="eastAsia" w:ascii="Arial" w:hAnsi="Arial" w:eastAsia="宋体" w:cs="Arial"/>
          <w:i/>
          <w:iCs/>
          <w:color w:val="auto"/>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7" w:name="_Hlt24879081"/>
            <w:r/>
            <w:bookmarkEnd w:id="17"/>
            <w:r/>
            <w:bookmarkStart w:id="18" w:name="_Hlt26782999"/>
            <w:r/>
            <w:bookmarkEnd w:id="18"/>
            <w:r/>
            <w:bookmarkStart w:id="19" w:name="_Hlt26955064"/>
            <w:r/>
            <w:bookmarkEnd w:id="19"/>
            <w:r/>
            <w:bookmarkStart w:id="20" w:name="_Hlt26671343"/>
            <w:r/>
            <w:bookmarkEnd w:id="20"/>
            <w:r/>
            <w:bookmarkStart w:id="21" w:name="_Hlt26580838"/>
            <w:r/>
            <w:bookmarkEnd w:id="21"/>
            <w:r/>
            <w:bookmarkStart w:id="22" w:name="_Hlt26609391"/>
            <w:r/>
            <w:bookmarkEnd w:id="22"/>
            <w:r/>
            <w:bookmarkStart w:id="23" w:name="_Hlt26955056"/>
            <w:r/>
            <w:bookmarkEnd w:id="23"/>
            <w:r/>
            <w:bookmarkStart w:id="24" w:name="_Hlt26671372"/>
            <w:r/>
            <w:bookmarkEnd w:id="24"/>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25" w:name="_Hlt26955066"/>
      <w:r/>
      <w:bookmarkEnd w:id="25"/>
      <w:r/>
      <w:bookmarkStart w:id="26" w:name="_Hlt26609389"/>
      <w:r/>
      <w:bookmarkEnd w:id="26"/>
      <w:r/>
      <w:bookmarkStart w:id="27" w:name="_Hlt26671374"/>
      <w:r/>
      <w:bookmarkEnd w:id="27"/>
      <w:r/>
      <w:bookmarkStart w:id="28" w:name="_格式2__法定代表人授权书"/>
      <w:r/>
      <w:bookmarkEnd w:id="28"/>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ind w:firstLine="643"/>
        <w:jc w:val="left"/>
        <w:spacing w:line="500" w:lineRule="exact"/>
        <w:rPr>
          <w:rFonts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r>
      <w:r/>
    </w:p>
    <w:p>
      <w:pPr>
        <w:jc w:val="left"/>
        <w:rPr>
          <w:rFonts w:ascii="Times New Roman" w:hAnsi="Times New Roman" w:eastAsia="仿宋_GB2312" w:cs="Times New Roman"/>
          <w:color w:val="auto"/>
          <w:sz w:val="24"/>
          <w:szCs w:val="20"/>
          <w:highlight w:val="none"/>
        </w:rPr>
      </w:pPr>
      <w:r>
        <w:rPr>
          <w:rFonts w:hint="eastAsia" w:ascii="宋体" w:hAnsi="宋体" w:eastAsia="宋体" w:cs="宋体"/>
          <w:bCs/>
          <w:i/>
          <w:color w:val="auto"/>
          <w:sz w:val="36"/>
          <w:szCs w:val="36"/>
          <w:highlight w:val="none"/>
          <w:u w:val="single"/>
        </w:rPr>
        <w:t xml:space="preserve">十九、开标一览表</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投标人全称（CA公章）：</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                                   分包号：</w:t>
      </w:r>
      <w:r/>
    </w:p>
    <w:tbl>
      <w:tblPr>
        <w:tblStyle w:val="654"/>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W w:w="5703" w:type="dxa"/>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703" w:type="dxa"/>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c>
          <w:tcPr>
            <w:tcW w:w="2802" w:type="dxa"/>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w:t>
            </w:r>
            <w:r/>
          </w:p>
        </w:tc>
        <w:tc>
          <w:tcPr>
            <w:tcW w:w="5703" w:type="dxa"/>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jc w:val="righ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年     月     日</w:t>
      </w:r>
      <w:r/>
    </w:p>
    <w:p>
      <w:pP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rPr>
          <w:rFonts w:ascii="Times New Roman" w:hAnsi="Times New Roman" w:eastAsia="仿宋_GB2312" w:cs="Times New Roman"/>
          <w:color w:val="auto"/>
          <w:sz w:val="24"/>
          <w:szCs w:val="20"/>
          <w:highlight w:val="none"/>
        </w:rPr>
      </w:pPr>
      <w:r>
        <w:rPr>
          <w:rFonts w:hint="eastAsia" w:ascii="宋体" w:hAnsi="宋体" w:eastAsia="宋体" w:cs="宋体"/>
          <w:bCs/>
          <w:i/>
          <w:color w:val="auto"/>
          <w:sz w:val="36"/>
          <w:szCs w:val="36"/>
          <w:highlight w:val="none"/>
          <w:u w:val="single"/>
        </w:rPr>
        <w:t xml:space="preserve">二十、财务状况报告及税收、社会保障资金缴纳情况承诺函</w:t>
      </w:r>
      <w:r/>
    </w:p>
    <w:p>
      <w:pPr>
        <w:jc w:val="center"/>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spacing w:line="560" w:lineRule="exact"/>
        <w:rPr>
          <w:rFonts w:ascii="Calibri" w:hAnsi="Calibri" w:eastAsia="宋体" w:cs="Times New Roman"/>
          <w:color w:val="auto"/>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 </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【标段名称】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【标段编号】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法定代表人或委托代理人（签字或盖章）：</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jc w:val="center"/>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华文楷体">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jc w:val="center"/>
    </w:pPr>
    <w:r/>
    <w:r/>
  </w:p>
  <w:p>
    <w:pPr>
      <w:pStyle w:val="6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0"/>
          <w:jc w:val="center"/>
        </w:pPr>
        <w:r>
          <w:fldChar w:fldCharType="begin"/>
        </w:r>
        <w:r>
          <w:instrText xml:space="preserve"> PAGE   \* MERGEFORMAT </w:instrText>
        </w:r>
        <w:r>
          <w:fldChar w:fldCharType="separate"/>
        </w:r>
        <w:r>
          <w:rPr>
            <w:lang w:val="zh-CN"/>
          </w:rPr>
          <w:t xml:space="preserve">46</w:t>
        </w:r>
        <w:r>
          <w:rPr>
            <w:lang w:val="zh-CN"/>
          </w:rPr>
          <w:fldChar w:fldCharType="end"/>
        </w:r>
        <w:r/>
      </w:p>
    </w:sdtContent>
  </w:sdt>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7"/>
    <w:uiPriority w:val="9"/>
    <w:rPr>
      <w:rFonts w:ascii="Arial" w:hAnsi="Arial" w:eastAsia="Arial" w:cs="Arial"/>
      <w:sz w:val="40"/>
      <w:szCs w:val="40"/>
    </w:rPr>
  </w:style>
  <w:style w:type="character" w:styleId="15">
    <w:name w:val="Heading 2 Char"/>
    <w:basedOn w:val="640"/>
    <w:link w:val="638"/>
    <w:uiPriority w:val="9"/>
    <w:rPr>
      <w:rFonts w:ascii="Arial" w:hAnsi="Arial" w:eastAsia="Arial" w:cs="Arial"/>
      <w:sz w:val="34"/>
    </w:rPr>
  </w:style>
  <w:style w:type="character" w:styleId="17">
    <w:name w:val="Heading 3 Char"/>
    <w:basedOn w:val="640"/>
    <w:link w:val="639"/>
    <w:uiPriority w:val="9"/>
    <w:rPr>
      <w:rFonts w:ascii="Arial" w:hAnsi="Arial" w:eastAsia="Arial" w:cs="Arial"/>
      <w:sz w:val="30"/>
      <w:szCs w:val="30"/>
    </w:rPr>
  </w:style>
  <w:style w:type="paragraph" w:styleId="18">
    <w:name w:val="Heading 4"/>
    <w:basedOn w:val="636"/>
    <w:next w:val="6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0"/>
    <w:link w:val="18"/>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0"/>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0"/>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0"/>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0"/>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0"/>
    <w:link w:val="28"/>
    <w:uiPriority w:val="9"/>
    <w:rPr>
      <w:rFonts w:ascii="Arial" w:hAnsi="Arial" w:eastAsia="Arial" w:cs="Arial"/>
      <w:i/>
      <w:iCs/>
      <w:sz w:val="21"/>
      <w:szCs w:val="21"/>
    </w:rPr>
  </w:style>
  <w:style w:type="paragraph" w:styleId="30">
    <w:name w:val="List Paragraph"/>
    <w:basedOn w:val="6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40"/>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40"/>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0"/>
    <w:link w:val="651"/>
    <w:uiPriority w:val="99"/>
  </w:style>
  <w:style w:type="character" w:styleId="44">
    <w:name w:val="Footer Char"/>
    <w:basedOn w:val="640"/>
    <w:link w:val="650"/>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50"/>
    <w:uiPriority w:val="99"/>
  </w:style>
  <w:style w:type="table" w:styleId="48">
    <w:name w:val="Table Grid Light"/>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0"/>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0"/>
    <w:uiPriority w:val="99"/>
    <w:semiHidden/>
    <w:unhideWhenUsed/>
    <w:rPr>
      <w:vertAlign w:val="superscript"/>
    </w:rPr>
  </w:style>
  <w:style w:type="paragraph" w:styleId="181">
    <w:name w:val="toc 2"/>
    <w:basedOn w:val="636"/>
    <w:next w:val="636"/>
    <w:uiPriority w:val="39"/>
    <w:unhideWhenUsed/>
    <w:pPr>
      <w:ind w:left="283" w:right="0" w:firstLine="0"/>
      <w:spacing w:after="57"/>
    </w:pPr>
  </w:style>
  <w:style w:type="paragraph" w:styleId="182">
    <w:name w:val="toc 3"/>
    <w:basedOn w:val="636"/>
    <w:next w:val="636"/>
    <w:uiPriority w:val="39"/>
    <w:unhideWhenUsed/>
    <w:pPr>
      <w:ind w:left="567"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5">
    <w:name w:val="toc 6"/>
    <w:basedOn w:val="636"/>
    <w:next w:val="636"/>
    <w:uiPriority w:val="39"/>
    <w:unhideWhenUsed/>
    <w:pPr>
      <w:ind w:left="1417"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next w:val="64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7">
    <w:name w:val="Heading 1"/>
    <w:basedOn w:val="636"/>
    <w:next w:val="636"/>
    <w:link w:val="659"/>
    <w:uiPriority w:val="9"/>
    <w:qFormat/>
    <w:pPr>
      <w:keepLines/>
      <w:keepNext/>
      <w:spacing w:before="340" w:after="330" w:line="578" w:lineRule="auto"/>
      <w:outlineLvl w:val="0"/>
    </w:pPr>
    <w:rPr>
      <w:b/>
      <w:bCs/>
      <w:sz w:val="44"/>
      <w:szCs w:val="44"/>
    </w:rPr>
  </w:style>
  <w:style w:type="paragraph" w:styleId="638">
    <w:name w:val="Heading 2"/>
    <w:basedOn w:val="636"/>
    <w:next w:val="636"/>
    <w:link w:val="6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662"/>
    <w:uiPriority w:val="9"/>
    <w:unhideWhenUsed/>
    <w:qFormat/>
    <w:pPr>
      <w:keepLines/>
      <w:keepNext/>
      <w:spacing w:before="260" w:after="260" w:line="416" w:lineRule="auto"/>
      <w:outlineLvl w:val="2"/>
    </w:pPr>
    <w:rPr>
      <w:b/>
      <w:bCs/>
      <w:sz w:val="32"/>
      <w:szCs w:val="32"/>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643">
    <w:name w:val="Document Map"/>
    <w:basedOn w:val="636"/>
    <w:link w:val="660"/>
    <w:uiPriority w:val="99"/>
    <w:semiHidden/>
    <w:unhideWhenUsed/>
    <w:qFormat/>
    <w:rPr>
      <w:rFonts w:ascii="宋体" w:eastAsia="宋体"/>
      <w:sz w:val="18"/>
      <w:szCs w:val="18"/>
    </w:rPr>
  </w:style>
  <w:style w:type="paragraph" w:styleId="644">
    <w:name w:val="annotation text"/>
    <w:basedOn w:val="636"/>
    <w:link w:val="664"/>
    <w:uiPriority w:val="0"/>
    <w:qFormat/>
    <w:pPr>
      <w:ind w:firstLine="922"/>
      <w:jc w:val="left"/>
      <w:spacing w:line="360" w:lineRule="auto"/>
    </w:pPr>
    <w:rPr>
      <w:rFonts w:ascii="Times New Roman" w:hAnsi="Times New Roman" w:eastAsia="宋体" w:cs="Times New Roman"/>
      <w:szCs w:val="24"/>
    </w:rPr>
  </w:style>
  <w:style w:type="paragraph" w:styleId="645">
    <w:name w:val="Body Text"/>
    <w:basedOn w:val="636"/>
    <w:next w:val="636"/>
    <w:link w:val="667"/>
    <w:uiPriority w:val="0"/>
    <w:unhideWhenUsed/>
    <w:qFormat/>
    <w:pPr>
      <w:spacing w:after="120"/>
    </w:pPr>
    <w:rPr>
      <w:rFonts w:ascii="Calibri" w:hAnsi="Calibri" w:eastAsia="宋体" w:cs="Times New Roman"/>
    </w:rPr>
  </w:style>
  <w:style w:type="paragraph" w:styleId="646">
    <w:name w:val="Body Text Indent"/>
    <w:basedOn w:val="636"/>
    <w:link w:val="668"/>
    <w:uiPriority w:val="0"/>
    <w:qFormat/>
    <w:pPr>
      <w:ind w:left="420"/>
      <w:spacing w:after="120"/>
    </w:pPr>
    <w:rPr>
      <w:rFonts w:ascii="Times New Roman" w:hAnsi="Times New Roman" w:eastAsia="宋体" w:cs="Times New Roman"/>
      <w:szCs w:val="24"/>
    </w:rPr>
  </w:style>
  <w:style w:type="paragraph" w:styleId="647">
    <w:name w:val="Plain Text"/>
    <w:basedOn w:val="636"/>
    <w:next w:val="636"/>
    <w:link w:val="669"/>
    <w:uiPriority w:val="0"/>
    <w:qFormat/>
    <w:rPr>
      <w:rFonts w:ascii="宋体" w:hAnsi="Courier New" w:eastAsia="宋体" w:cs="Courier New"/>
      <w:szCs w:val="21"/>
    </w:rPr>
  </w:style>
  <w:style w:type="paragraph" w:styleId="648">
    <w:name w:val="Date"/>
    <w:basedOn w:val="636"/>
    <w:next w:val="636"/>
    <w:link w:val="663"/>
    <w:uiPriority w:val="99"/>
    <w:semiHidden/>
    <w:unhideWhenUsed/>
    <w:qFormat/>
    <w:pPr>
      <w:ind w:left="100"/>
    </w:pPr>
  </w:style>
  <w:style w:type="paragraph" w:styleId="649">
    <w:name w:val="Balloon Text"/>
    <w:basedOn w:val="636"/>
    <w:link w:val="665"/>
    <w:uiPriority w:val="99"/>
    <w:semiHidden/>
    <w:unhideWhenUsed/>
    <w:qFormat/>
    <w:rPr>
      <w:sz w:val="18"/>
      <w:szCs w:val="18"/>
    </w:rPr>
  </w:style>
  <w:style w:type="paragraph" w:styleId="650">
    <w:name w:val="Footer"/>
    <w:basedOn w:val="636"/>
    <w:link w:val="658"/>
    <w:uiPriority w:val="99"/>
    <w:unhideWhenUsed/>
    <w:qFormat/>
    <w:pPr>
      <w:jc w:val="left"/>
      <w:tabs>
        <w:tab w:val="center" w:pos="4153" w:leader="none"/>
        <w:tab w:val="right" w:pos="8306" w:leader="none"/>
      </w:tabs>
    </w:pPr>
    <w:rPr>
      <w:sz w:val="18"/>
      <w:szCs w:val="18"/>
    </w:rPr>
  </w:style>
  <w:style w:type="paragraph" w:styleId="651">
    <w:name w:val="Header"/>
    <w:basedOn w:val="636"/>
    <w:link w:val="6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2">
    <w:name w:val="toc 1"/>
    <w:basedOn w:val="636"/>
    <w:next w:val="636"/>
    <w:uiPriority w:val="39"/>
    <w:unhideWhenUsed/>
    <w:qFormat/>
    <w:pPr>
      <w:jc w:val="center"/>
      <w:tabs>
        <w:tab w:val="right" w:pos="8296" w:leader="dot"/>
      </w:tabs>
    </w:pPr>
    <w:rPr>
      <w:rFonts w:ascii="黑体" w:hAnsi="黑体" w:eastAsia="黑体"/>
      <w:sz w:val="44"/>
      <w:szCs w:val="44"/>
    </w:rPr>
  </w:style>
  <w:style w:type="paragraph" w:styleId="653">
    <w:name w:val="Normal (Web)"/>
    <w:basedOn w:val="636"/>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table" w:styleId="654">
    <w:name w:val="Table Grid"/>
    <w:basedOn w:val="6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5">
    <w:name w:val="Hyperlink"/>
    <w:uiPriority w:val="99"/>
    <w:qFormat/>
    <w:rPr>
      <w:color w:val="0000ff"/>
      <w:u w:val="none"/>
    </w:rPr>
  </w:style>
  <w:style w:type="character" w:styleId="656">
    <w:name w:val="annotation reference"/>
    <w:uiPriority w:val="0"/>
    <w:qFormat/>
    <w:rPr>
      <w:sz w:val="21"/>
      <w:szCs w:val="21"/>
    </w:rPr>
  </w:style>
  <w:style w:type="character" w:styleId="657" w:customStyle="1">
    <w:name w:val="页眉 Char"/>
    <w:basedOn w:val="640"/>
    <w:link w:val="651"/>
    <w:uiPriority w:val="99"/>
    <w:qFormat/>
    <w:rPr>
      <w:sz w:val="18"/>
      <w:szCs w:val="18"/>
    </w:rPr>
  </w:style>
  <w:style w:type="character" w:styleId="658" w:customStyle="1">
    <w:name w:val="页脚 Char"/>
    <w:basedOn w:val="640"/>
    <w:link w:val="650"/>
    <w:uiPriority w:val="99"/>
    <w:qFormat/>
    <w:rPr>
      <w:sz w:val="18"/>
      <w:szCs w:val="18"/>
    </w:rPr>
  </w:style>
  <w:style w:type="character" w:styleId="659" w:customStyle="1">
    <w:name w:val="标题 1 Char"/>
    <w:basedOn w:val="640"/>
    <w:link w:val="637"/>
    <w:uiPriority w:val="9"/>
    <w:qFormat/>
    <w:rPr>
      <w:b/>
      <w:bCs/>
      <w:sz w:val="44"/>
      <w:szCs w:val="44"/>
    </w:rPr>
  </w:style>
  <w:style w:type="character" w:styleId="660" w:customStyle="1">
    <w:name w:val="文档结构图 Char"/>
    <w:basedOn w:val="640"/>
    <w:link w:val="643"/>
    <w:uiPriority w:val="99"/>
    <w:semiHidden/>
    <w:qFormat/>
    <w:rPr>
      <w:rFonts w:ascii="宋体" w:eastAsia="宋体"/>
      <w:sz w:val="18"/>
      <w:szCs w:val="18"/>
    </w:rPr>
  </w:style>
  <w:style w:type="character" w:styleId="661" w:customStyle="1">
    <w:name w:val="标题 2 Char"/>
    <w:basedOn w:val="640"/>
    <w:link w:val="638"/>
    <w:uiPriority w:val="9"/>
    <w:qFormat/>
    <w:rPr>
      <w:rFonts w:asciiTheme="majorHAnsi" w:hAnsiTheme="majorHAnsi" w:eastAsiaTheme="majorEastAsia" w:cstheme="majorBidi"/>
      <w:b/>
      <w:bCs/>
      <w:sz w:val="32"/>
      <w:szCs w:val="32"/>
    </w:rPr>
  </w:style>
  <w:style w:type="character" w:styleId="662" w:customStyle="1">
    <w:name w:val="标题 3 Char"/>
    <w:basedOn w:val="640"/>
    <w:link w:val="639"/>
    <w:uiPriority w:val="9"/>
    <w:qFormat/>
    <w:rPr>
      <w:b/>
      <w:bCs/>
      <w:sz w:val="32"/>
      <w:szCs w:val="32"/>
    </w:rPr>
  </w:style>
  <w:style w:type="character" w:styleId="663" w:customStyle="1">
    <w:name w:val="日期 Char"/>
    <w:basedOn w:val="640"/>
    <w:link w:val="648"/>
    <w:uiPriority w:val="99"/>
    <w:semiHidden/>
    <w:qFormat/>
  </w:style>
  <w:style w:type="character" w:styleId="664" w:customStyle="1">
    <w:name w:val="批注文字 Char"/>
    <w:basedOn w:val="640"/>
    <w:link w:val="644"/>
    <w:uiPriority w:val="0"/>
    <w:qFormat/>
    <w:rPr>
      <w:rFonts w:ascii="Times New Roman" w:hAnsi="Times New Roman" w:eastAsia="宋体" w:cs="Times New Roman"/>
      <w:szCs w:val="24"/>
    </w:rPr>
  </w:style>
  <w:style w:type="character" w:styleId="665" w:customStyle="1">
    <w:name w:val="批注框文本 Char"/>
    <w:basedOn w:val="640"/>
    <w:link w:val="649"/>
    <w:uiPriority w:val="99"/>
    <w:semiHidden/>
    <w:qFormat/>
    <w:rPr>
      <w:sz w:val="18"/>
      <w:szCs w:val="18"/>
    </w:rPr>
  </w:style>
  <w:style w:type="paragraph" w:styleId="6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667" w:customStyle="1">
    <w:name w:val="正文文本 Char"/>
    <w:basedOn w:val="640"/>
    <w:link w:val="645"/>
    <w:uiPriority w:val="0"/>
    <w:qFormat/>
    <w:rPr>
      <w:rFonts w:ascii="Calibri" w:hAnsi="Calibri" w:eastAsia="宋体" w:cs="Times New Roman"/>
    </w:rPr>
  </w:style>
  <w:style w:type="character" w:styleId="668" w:customStyle="1">
    <w:name w:val="正文文本缩进 Char"/>
    <w:basedOn w:val="640"/>
    <w:link w:val="646"/>
    <w:uiPriority w:val="0"/>
    <w:qFormat/>
    <w:rPr>
      <w:rFonts w:ascii="Times New Roman" w:hAnsi="Times New Roman" w:eastAsia="宋体" w:cs="Times New Roman"/>
      <w:szCs w:val="24"/>
    </w:rPr>
  </w:style>
  <w:style w:type="character" w:styleId="669" w:customStyle="1">
    <w:name w:val="纯文本 Char"/>
    <w:basedOn w:val="640"/>
    <w:link w:val="647"/>
    <w:uiPriority w:val="0"/>
    <w:qFormat/>
    <w:rPr>
      <w:rFonts w:ascii="宋体" w:hAnsi="Courier New" w:eastAsia="宋体" w:cs="Courier New"/>
      <w:szCs w:val="21"/>
    </w:rPr>
  </w:style>
  <w:style w:type="paragraph" w:styleId="670" w:customStyle="1">
    <w:name w:val="列出段落1"/>
    <w:basedOn w:val="636"/>
    <w:uiPriority w:val="0"/>
    <w:qFormat/>
    <w:pPr>
      <w:ind w:firstLine="420"/>
    </w:pPr>
    <w:rPr>
      <w:rFonts w:ascii="Times New Roman" w:hAnsi="Times New Roman" w:eastAsia="宋体" w:cs="Times New Roman"/>
      <w:szCs w:val="21"/>
    </w:rPr>
  </w:style>
  <w:style w:type="paragraph" w:styleId="671" w:customStyle="1">
    <w:name w:val="Table Paragraph"/>
    <w:basedOn w:val="636"/>
    <w:uiPriority w:val="1"/>
    <w:qFormat/>
    <w:pPr>
      <w:ind w:firstLine="922"/>
      <w:jc w:val="left"/>
      <w:spacing w:line="360" w:lineRule="auto"/>
    </w:pPr>
    <w:rPr>
      <w:rFonts w:ascii="Times New Roman" w:hAnsi="Times New Roman" w:eastAsia="宋体" w:cs="Times New Roman"/>
      <w:sz w:val="24"/>
      <w:szCs w:val="24"/>
    </w:rPr>
  </w:style>
  <w:style w:type="numbering" w:styleId="7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孙盼</cp:lastModifiedBy>
  <cp:revision>13</cp:revision>
  <dcterms:created xsi:type="dcterms:W3CDTF">2024-11-30T02:37:00Z</dcterms:created>
  <dcterms:modified xsi:type="dcterms:W3CDTF">2024-12-12T04:12:09Z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975EEF9C75F145EB96D122AFA2148849_13</vt:lpwstr>
  </property>
</Properties>
</file>