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center"/>
        <w:keepLines w:val="0"/>
        <w:keepNext w:val="0"/>
        <w:pageBreakBefore w:val="0"/>
        <w:spacing w:before="0" w:beforeAutospacing="0" w:after="0" w:afterAutospacing="0" w:line="600" w:lineRule="exact"/>
        <w:widowControl w:val="off"/>
        <w:rPr>
          <w:rFonts w:hint="eastAsia" w:ascii="黑体" w:hAnsi="黑体" w:eastAsia="黑体" w:cs="黑体"/>
          <w:b/>
          <w:bCs w:val="0"/>
          <w:color w:val="auto"/>
          <w:spacing w:val="20"/>
          <w:sz w:val="36"/>
          <w:szCs w:val="36"/>
          <w:highlight w:val="none"/>
          <w:lang w:val="en-US" w:eastAsia="zh-CN" w:bidi="ar"/>
        </w:rPr>
        <w:suppressLineNumbers w:val="0"/>
      </w:pPr>
      <w:r>
        <w:rPr>
          <w:rFonts w:hint="eastAsia" w:ascii="黑体" w:hAnsi="黑体" w:eastAsia="黑体" w:cs="黑体"/>
          <w:b/>
          <w:bCs w:val="0"/>
          <w:color w:val="auto"/>
          <w:spacing w:val="20"/>
          <w:sz w:val="36"/>
          <w:szCs w:val="36"/>
          <w:highlight w:val="none"/>
          <w:lang w:val="en-US" w:eastAsia="zh-CN" w:bidi="ar"/>
        </w:rPr>
        <w:t xml:space="preserve">南通市新开街道综合性养老服务中心、</w:t>
      </w:r>
      <w:r/>
    </w:p>
    <w:p>
      <w:pPr>
        <w:ind w:right="0"/>
        <w:jc w:val="center"/>
        <w:keepLines w:val="0"/>
        <w:keepNext w:val="0"/>
        <w:pageBreakBefore w:val="0"/>
        <w:spacing w:before="0" w:beforeAutospacing="0" w:after="0" w:afterAutospacing="0" w:line="600" w:lineRule="exact"/>
        <w:widowControl w:val="off"/>
        <w:rPr>
          <w:rFonts w:hint="eastAsia" w:ascii="黑体" w:hAnsi="黑体" w:eastAsia="黑体" w:cs="黑体"/>
          <w:b/>
          <w:bCs w:val="0"/>
          <w:color w:val="auto"/>
          <w:sz w:val="36"/>
          <w:szCs w:val="36"/>
          <w:highlight w:val="none"/>
          <w:lang w:val="en-US"/>
        </w:rPr>
        <w:suppressLineNumbers w:val="0"/>
      </w:pPr>
      <w:r>
        <w:rPr>
          <w:rFonts w:hint="eastAsia" w:ascii="黑体" w:hAnsi="黑体" w:eastAsia="黑体" w:cs="黑体"/>
          <w:b/>
          <w:bCs w:val="0"/>
          <w:color w:val="auto"/>
          <w:spacing w:val="20"/>
          <w:sz w:val="36"/>
          <w:szCs w:val="36"/>
          <w:highlight w:val="none"/>
          <w:lang w:val="en-US" w:eastAsia="zh-CN" w:bidi="ar"/>
        </w:rPr>
        <w:t xml:space="preserve">居家和社区养老服务等采购项目</w:t>
      </w:r>
      <w:r/>
    </w:p>
    <w:p>
      <w:pPr>
        <w:jc w:val="left"/>
        <w:keepLines w:val="0"/>
        <w:pageBreakBefore w:val="0"/>
        <w:spacing w:line="1100" w:lineRule="exact"/>
        <w:widowControl w:val="off"/>
        <w:rPr>
          <w:rFonts w:hint="eastAsia" w:ascii="黑体" w:hAnsi="黑体" w:eastAsia="黑体" w:cs="黑体"/>
          <w:b/>
          <w:color w:val="auto"/>
          <w:spacing w:val="20"/>
          <w:sz w:val="52"/>
          <w:szCs w:val="52"/>
          <w:highlight w:val="none"/>
        </w:rPr>
      </w:pPr>
      <w:r>
        <w:rPr>
          <w:rFonts w:hint="eastAsia" w:ascii="黑体" w:hAnsi="黑体" w:eastAsia="黑体" w:cs="黑体"/>
          <w:b/>
          <w:color w:val="auto"/>
          <w:spacing w:val="20"/>
          <w:sz w:val="52"/>
          <w:szCs w:val="52"/>
          <w:highlight w:val="none"/>
        </w:rPr>
      </w:r>
      <w:r/>
    </w:p>
    <w:p>
      <w:pPr>
        <w:ind w:firstLine="1446"/>
        <w:jc w:val="left"/>
        <w:keepLines w:val="0"/>
        <w:pageBreakBefore w:val="0"/>
        <w:spacing w:line="1100" w:lineRule="exact"/>
        <w:widowControl w:val="off"/>
        <w:rPr>
          <w:rFonts w:hint="eastAsia" w:ascii="黑体" w:hAnsi="黑体" w:eastAsia="黑体" w:cs="黑体"/>
          <w:bCs/>
          <w:color w:val="auto"/>
          <w:sz w:val="100"/>
          <w:szCs w:val="100"/>
          <w:highlight w:val="none"/>
        </w:rPr>
      </w:pPr>
      <w:r>
        <w:rPr>
          <w:rFonts w:hint="eastAsia" w:ascii="黑体" w:hAnsi="黑体" w:eastAsia="黑体" w:cs="黑体"/>
          <w:b/>
          <w:color w:val="auto"/>
          <w:sz w:val="72"/>
          <w:szCs w:val="72"/>
          <w:highlight w:val="none"/>
        </w:rPr>
        <w:t xml:space="preserve">政府采购招标文件</w:t>
      </w:r>
      <w:r/>
    </w:p>
    <w:p>
      <w:pPr>
        <w:pStyle w:val="973"/>
        <w:jc w:val="left"/>
        <w:keepLines w:val="0"/>
        <w:pageBreakBefore w:val="0"/>
        <w:spacing w:line="1100" w:lineRule="exact"/>
        <w:widowControl w:val="off"/>
        <w:rPr>
          <w:rFonts w:hint="eastAsia" w:ascii="黑体" w:hAnsi="黑体" w:eastAsia="黑体" w:cs="黑体"/>
          <w:b w:val="0"/>
          <w:bCs/>
          <w:color w:val="auto"/>
          <w:highlight w:val="none"/>
        </w:rPr>
      </w:pPr>
      <w:r>
        <w:rPr>
          <w:rFonts w:hint="eastAsia" w:ascii="黑体" w:hAnsi="黑体" w:eastAsia="黑体" w:cs="黑体"/>
          <w:b w:val="0"/>
          <w:bCs/>
          <w:color w:val="auto"/>
          <w:highlight w:val="none"/>
        </w:rPr>
      </w:r>
      <w:r/>
    </w:p>
    <w:p>
      <w:pPr>
        <w:pStyle w:val="973"/>
        <w:ind w:firstLine="1400"/>
        <w:jc w:val="left"/>
        <w:keepLines w:val="0"/>
        <w:pageBreakBefore w:val="0"/>
        <w:spacing w:line="1100" w:lineRule="exact"/>
        <w:widowControl w:val="off"/>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 xml:space="preserve">项目编号：JSZC-320690-NTRT-G2024-0010</w:t>
      </w:r>
      <w:r/>
    </w:p>
    <w:p>
      <w:pPr>
        <w:jc w:val="left"/>
        <w:pageBreakBefore w:val="0"/>
        <w:spacing w:line="440" w:lineRule="exact"/>
        <w:rPr>
          <w:rFonts w:hint="eastAsia" w:ascii="黑体" w:hAnsi="黑体" w:eastAsia="黑体" w:cs="黑体"/>
          <w:color w:val="auto"/>
          <w:sz w:val="32"/>
          <w:highlight w:val="none"/>
        </w:rPr>
      </w:pPr>
      <w:r>
        <w:rPr>
          <w:rFonts w:hint="eastAsia" w:ascii="黑体" w:hAnsi="黑体" w:eastAsia="黑体" w:cs="黑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1" o:title=""/>
          </v:shape>
          <o:OLEObject DrawAspect="Content" r:id="rId12" ObjectID="_1525041" ProgID="" ShapeID="_x0000_i1" Type="Embed"/>
        </w:object>
      </w:r>
      <w:r/>
    </w:p>
    <w:p>
      <w:pPr>
        <w:jc w:val="left"/>
        <w:pageBreakBefore w:val="0"/>
        <w:spacing w:line="440" w:lineRule="exact"/>
        <w:rPr>
          <w:rFonts w:hint="eastAsia" w:ascii="黑体" w:hAnsi="黑体" w:eastAsia="黑体" w:cs="黑体"/>
          <w:color w:val="auto"/>
          <w:sz w:val="32"/>
          <w:highlight w:val="none"/>
        </w:rPr>
      </w:pPr>
      <w:r>
        <w:rPr>
          <w:rFonts w:hint="eastAsia" w:ascii="黑体" w:hAnsi="黑体" w:eastAsia="黑体" w:cs="黑体"/>
          <w:color w:val="auto"/>
          <w:sz w:val="32"/>
          <w:highlight w:val="none"/>
        </w:rPr>
      </w:r>
      <w:r/>
    </w:p>
    <w:p>
      <w:pPr>
        <w:pStyle w:val="926"/>
        <w:rPr>
          <w:rFonts w:hint="eastAsia" w:ascii="黑体" w:hAnsi="黑体" w:eastAsia="黑体" w:cs="黑体"/>
          <w:color w:val="auto"/>
          <w:sz w:val="32"/>
          <w:highlight w:val="none"/>
        </w:rPr>
      </w:pPr>
      <w:r>
        <w:rPr>
          <w:rFonts w:hint="eastAsia" w:ascii="黑体" w:hAnsi="黑体" w:eastAsia="黑体" w:cs="黑体"/>
          <w:color w:val="auto"/>
          <w:sz w:val="32"/>
          <w:highlight w:val="none"/>
        </w:rPr>
      </w:r>
      <w:r/>
    </w:p>
    <w:p>
      <w:pPr>
        <w:pStyle w:val="926"/>
        <w:rPr>
          <w:rFonts w:hint="eastAsia" w:ascii="黑体" w:hAnsi="黑体" w:eastAsia="黑体" w:cs="黑体"/>
          <w:color w:val="auto"/>
          <w:sz w:val="32"/>
          <w:highlight w:val="none"/>
        </w:rPr>
      </w:pPr>
      <w:r>
        <w:rPr>
          <w:rFonts w:hint="eastAsia" w:ascii="黑体" w:hAnsi="黑体" w:eastAsia="黑体" w:cs="黑体"/>
          <w:color w:val="auto"/>
          <w:sz w:val="32"/>
          <w:highlight w:val="none"/>
        </w:rPr>
      </w:r>
      <w:r/>
    </w:p>
    <w:p>
      <w:pPr>
        <w:jc w:val="left"/>
        <w:pageBreakBefore w:val="0"/>
        <w:spacing w:line="440" w:lineRule="exact"/>
        <w:rPr>
          <w:rFonts w:hint="eastAsia" w:ascii="黑体" w:hAnsi="黑体" w:eastAsia="黑体" w:cs="黑体"/>
          <w:color w:val="auto"/>
          <w:sz w:val="32"/>
          <w:highlight w:val="none"/>
        </w:rPr>
      </w:pPr>
      <w:r>
        <w:rPr>
          <w:rFonts w:hint="eastAsia" w:ascii="黑体" w:hAnsi="黑体" w:eastAsia="黑体" w:cs="黑体"/>
          <w:color w:val="auto"/>
          <w:sz w:val="32"/>
          <w:highlight w:val="none"/>
        </w:rPr>
      </w:r>
      <w:r/>
    </w:p>
    <w:p>
      <w:pPr>
        <w:ind w:left="0" w:right="0" w:firstLine="321"/>
        <w:jc w:val="left"/>
        <w:keepLines w:val="0"/>
        <w:keepNext w:val="0"/>
        <w:pageBreakBefore w:val="0"/>
        <w:spacing w:before="0" w:beforeAutospacing="0" w:after="0" w:afterAutospacing="0" w:line="700" w:lineRule="exact"/>
        <w:widowControl w:val="off"/>
        <w:rPr>
          <w:rFonts w:hint="eastAsia" w:ascii="黑体" w:hAnsi="黑体" w:eastAsia="黑体" w:cs="黑体"/>
          <w:b/>
          <w:bCs w:val="0"/>
          <w:color w:val="auto"/>
          <w:sz w:val="32"/>
          <w:szCs w:val="32"/>
          <w:highlight w:val="none"/>
          <w:lang w:val="en-US"/>
        </w:rPr>
        <w:suppressLineNumbers w:val="0"/>
      </w:pPr>
      <w:r>
        <w:rPr>
          <w:rFonts w:hint="eastAsia" w:ascii="黑体" w:hAnsi="黑体" w:eastAsia="黑体" w:cs="黑体"/>
          <w:b/>
          <w:bCs w:val="0"/>
          <w:color w:val="auto"/>
          <w:sz w:val="32"/>
          <w:szCs w:val="32"/>
          <w:highlight w:val="none"/>
          <w:lang w:val="en-US" w:eastAsia="zh-CN" w:bidi="ar"/>
        </w:rPr>
        <w:t xml:space="preserve">采购人：南通市新开街道办事处</w:t>
      </w:r>
      <w:r/>
    </w:p>
    <w:p>
      <w:pPr>
        <w:ind w:left="0" w:right="0" w:firstLine="321"/>
        <w:jc w:val="left"/>
        <w:keepLines w:val="0"/>
        <w:keepNext w:val="0"/>
        <w:pageBreakBefore w:val="0"/>
        <w:spacing w:before="0" w:beforeAutospacing="0" w:after="0" w:afterAutospacing="0" w:line="700" w:lineRule="exact"/>
        <w:widowControl w:val="off"/>
        <w:rPr>
          <w:rFonts w:hint="eastAsia" w:ascii="黑体" w:hAnsi="黑体" w:eastAsia="黑体" w:cs="黑体"/>
          <w:b/>
          <w:bCs w:val="0"/>
          <w:color w:val="auto"/>
          <w:sz w:val="32"/>
          <w:szCs w:val="32"/>
          <w:highlight w:val="none"/>
          <w:lang w:val="en-US"/>
        </w:rPr>
        <w:suppressLineNumbers w:val="0"/>
      </w:pPr>
      <w:r>
        <w:rPr>
          <w:rFonts w:hint="eastAsia" w:ascii="黑体" w:hAnsi="黑体" w:eastAsia="黑体" w:cs="黑体"/>
          <w:b/>
          <w:bCs w:val="0"/>
          <w:color w:val="auto"/>
          <w:sz w:val="32"/>
          <w:szCs w:val="32"/>
          <w:highlight w:val="none"/>
          <w:lang w:val="en-US" w:eastAsia="zh-CN" w:bidi="ar"/>
        </w:rPr>
        <w:t xml:space="preserve">代理机构：南通润通项目管理有限公司</w:t>
      </w:r>
      <w:r/>
    </w:p>
    <w:p>
      <w:pPr>
        <w:ind w:left="0" w:right="0" w:firstLine="321"/>
        <w:jc w:val="left"/>
        <w:keepLines w:val="0"/>
        <w:keepNext w:val="0"/>
        <w:pageBreakBefore w:val="0"/>
        <w:spacing w:before="0" w:beforeAutospacing="0" w:after="0" w:afterAutospacing="0" w:line="700" w:lineRule="exact"/>
        <w:widowControl w:val="off"/>
        <w:rPr>
          <w:rFonts w:hint="eastAsia" w:ascii="黑体" w:hAnsi="黑体" w:eastAsia="黑体" w:cs="黑体"/>
          <w:b/>
          <w:bCs w:val="0"/>
          <w:color w:val="auto"/>
          <w:sz w:val="32"/>
          <w:szCs w:val="32"/>
          <w:highlight w:val="none"/>
          <w:lang w:val="en-US"/>
        </w:rPr>
        <w:suppressLineNumbers w:val="0"/>
      </w:pPr>
      <w:r>
        <w:rPr>
          <w:rFonts w:hint="eastAsia" w:ascii="黑体" w:hAnsi="黑体" w:eastAsia="黑体" w:cs="黑体"/>
          <w:b/>
          <w:bCs w:val="0"/>
          <w:color w:val="auto"/>
          <w:sz w:val="32"/>
          <w:szCs w:val="32"/>
          <w:highlight w:val="none"/>
          <w:lang w:val="en-US" w:eastAsia="zh-CN" w:bidi="ar"/>
        </w:rPr>
        <w:t xml:space="preserve">日期：二○二四年十月十一日</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pacing w:val="20"/>
          <w:sz w:val="40"/>
          <w:szCs w:val="22"/>
          <w:highlight w:val="none"/>
          <w:lang w:val="en-US" w:eastAsia="zh-CN" w:bidi="ar"/>
        </w:rPr>
        <w:suppressLineNumbers w:val="0"/>
      </w:pPr>
      <w:r>
        <w:rPr>
          <w:rFonts w:hint="eastAsia" w:ascii="黑体" w:hAnsi="黑体" w:eastAsia="黑体" w:cs="黑体"/>
          <w:color w:val="auto"/>
          <w:sz w:val="44"/>
          <w:szCs w:val="44"/>
          <w:highlight w:val="none"/>
        </w:rPr>
        <w:br w:type="page" w:clear="all"/>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44"/>
          <w:szCs w:val="44"/>
          <w:highlight w:val="none"/>
          <w:lang w:val="en-US"/>
        </w:rPr>
        <w:suppressLineNumbers w:val="0"/>
      </w:pPr>
      <w:r>
        <w:rPr>
          <w:rFonts w:hint="eastAsia" w:ascii="黑体" w:hAnsi="黑体" w:eastAsia="黑体" w:cs="黑体"/>
          <w:color w:val="auto"/>
          <w:sz w:val="44"/>
          <w:szCs w:val="44"/>
          <w:highlight w:val="none"/>
          <w:lang w:val="en-US" w:eastAsia="zh-CN" w:bidi="ar"/>
        </w:rPr>
        <w:t xml:space="preserve">目      录</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44"/>
          <w:szCs w:val="24"/>
          <w:highlight w:val="none"/>
          <w:lang w:val="en-US"/>
        </w:rPr>
        <w:suppressLineNumbers w:val="0"/>
      </w:pPr>
      <w:r>
        <w:rPr>
          <w:rFonts w:hint="eastAsia" w:ascii="黑体" w:hAnsi="黑体" w:eastAsia="黑体" w:cs="黑体"/>
          <w:color w:val="auto"/>
          <w:sz w:val="44"/>
          <w:szCs w:val="24"/>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color w:val="auto"/>
          <w:spacing w:val="2"/>
          <w:sz w:val="32"/>
          <w:szCs w:val="32"/>
          <w:highlight w:val="none"/>
          <w:lang w:val="en-US"/>
        </w:rPr>
        <w:suppressLineNumbers w:val="0"/>
      </w:pPr>
      <w:r>
        <w:rPr>
          <w:rFonts w:hint="eastAsia" w:ascii="黑体" w:hAnsi="黑体" w:eastAsia="黑体" w:cs="黑体"/>
          <w:bCs/>
          <w:color w:val="auto"/>
          <w:sz w:val="32"/>
          <w:szCs w:val="32"/>
          <w:highlight w:val="none"/>
          <w:lang w:val="en-US" w:eastAsia="zh-CN" w:bidi="ar"/>
        </w:rPr>
        <w:t xml:space="preserve">第一部分  招标公告</w:t>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color w:val="auto"/>
          <w:sz w:val="32"/>
          <w:szCs w:val="32"/>
          <w:highlight w:val="none"/>
          <w:lang w:val="en-US"/>
        </w:rPr>
        <w:suppressLineNumbers w:val="0"/>
      </w:pPr>
      <w:r>
        <w:rPr>
          <w:rFonts w:hint="eastAsia" w:ascii="黑体" w:hAnsi="黑体" w:eastAsia="黑体" w:cs="黑体"/>
          <w:color w:val="auto"/>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color w:val="auto"/>
          <w:spacing w:val="2"/>
          <w:sz w:val="32"/>
          <w:szCs w:val="32"/>
          <w:highlight w:val="none"/>
          <w:lang w:val="en-US"/>
        </w:rPr>
        <w:suppressLineNumbers w:val="0"/>
      </w:pPr>
      <w:r>
        <w:rPr>
          <w:rFonts w:hint="eastAsia" w:ascii="黑体" w:hAnsi="黑体" w:eastAsia="黑体" w:cs="黑体"/>
          <w:bCs/>
          <w:color w:val="auto"/>
          <w:sz w:val="32"/>
          <w:szCs w:val="32"/>
          <w:highlight w:val="none"/>
          <w:lang w:val="en-US" w:eastAsia="zh-CN" w:bidi="ar"/>
        </w:rPr>
        <w:t xml:space="preserve">第二部分  投标须知</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32"/>
          <w:szCs w:val="32"/>
          <w:highlight w:val="none"/>
          <w:lang w:val="en-US"/>
        </w:rPr>
        <w:suppressLineNumbers w:val="0"/>
      </w:pPr>
      <w:r>
        <w:rPr>
          <w:rFonts w:hint="eastAsia" w:ascii="黑体" w:hAnsi="黑体" w:eastAsia="黑体" w:cs="黑体"/>
          <w:color w:val="auto"/>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color w:val="auto"/>
          <w:spacing w:val="2"/>
          <w:sz w:val="32"/>
          <w:szCs w:val="32"/>
          <w:highlight w:val="none"/>
          <w:lang w:val="en-US"/>
        </w:rPr>
        <w:suppressLineNumbers w:val="0"/>
      </w:pPr>
      <w:r>
        <w:rPr>
          <w:rFonts w:hint="eastAsia" w:ascii="黑体" w:hAnsi="黑体" w:eastAsia="黑体" w:cs="黑体"/>
          <w:bCs/>
          <w:color w:val="auto"/>
          <w:sz w:val="32"/>
          <w:szCs w:val="32"/>
          <w:highlight w:val="none"/>
          <w:lang w:val="en-US" w:eastAsia="zh-CN" w:bidi="ar"/>
        </w:rPr>
        <w:t xml:space="preserve">第三部分  项目需求说明</w:t>
      </w:r>
      <w:r/>
    </w:p>
    <w:p>
      <w:pPr>
        <w:pStyle w:val="875"/>
        <w:ind w:right="0"/>
        <w:jc w:val="left"/>
        <w:pageBreakBefore w:val="0"/>
        <w:spacing w:before="0" w:beforeAutospacing="0" w:after="120" w:afterAutospacing="0" w:line="440" w:lineRule="exact"/>
        <w:widowControl/>
        <w:tabs>
          <w:tab w:val="left" w:pos="7740" w:leader="none"/>
          <w:tab w:val="left" w:pos="7920" w:leader="none"/>
        </w:tabs>
        <w:rPr>
          <w:rFonts w:hint="eastAsia" w:ascii="黑体" w:hAnsi="黑体" w:eastAsia="黑体" w:cs="黑体"/>
          <w:color w:val="auto"/>
          <w:sz w:val="32"/>
          <w:szCs w:val="32"/>
          <w:highlight w:val="none"/>
          <w:lang w:val="en-US"/>
        </w:rPr>
      </w:pPr>
      <w:r>
        <w:rPr>
          <w:rFonts w:hint="eastAsia" w:ascii="黑体" w:hAnsi="黑体" w:eastAsia="黑体" w:cs="黑体"/>
          <w:color w:val="auto"/>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color w:val="auto"/>
          <w:spacing w:val="2"/>
          <w:sz w:val="32"/>
          <w:szCs w:val="32"/>
          <w:highlight w:val="none"/>
          <w:lang w:val="en-US"/>
        </w:rPr>
        <w:suppressLineNumbers w:val="0"/>
      </w:pPr>
      <w:r>
        <w:rPr>
          <w:rFonts w:hint="eastAsia" w:ascii="黑体" w:hAnsi="黑体" w:eastAsia="黑体" w:cs="黑体"/>
          <w:color w:val="auto"/>
          <w:sz w:val="32"/>
          <w:szCs w:val="32"/>
          <w:highlight w:val="none"/>
          <w:lang w:val="en-US" w:eastAsia="zh-CN" w:bidi="ar"/>
        </w:rPr>
        <w:t xml:space="preserve">第四部分  </w:t>
      </w:r>
      <w:r>
        <w:rPr>
          <w:rFonts w:hint="eastAsia" w:ascii="黑体" w:hAnsi="黑体" w:eastAsia="黑体" w:cs="黑体"/>
          <w:bCs/>
          <w:color w:val="auto"/>
          <w:sz w:val="32"/>
          <w:szCs w:val="32"/>
          <w:highlight w:val="none"/>
          <w:lang w:val="en-US" w:eastAsia="zh-CN" w:bidi="ar"/>
        </w:rPr>
        <w:t xml:space="preserve">开标和评标</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32"/>
          <w:szCs w:val="32"/>
          <w:highlight w:val="none"/>
          <w:lang w:val="en-US"/>
        </w:rPr>
        <w:suppressLineNumbers w:val="0"/>
      </w:pPr>
      <w:r>
        <w:rPr>
          <w:rFonts w:hint="eastAsia" w:ascii="黑体" w:hAnsi="黑体" w:eastAsia="黑体" w:cs="黑体"/>
          <w:color w:val="auto"/>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color w:val="auto"/>
          <w:spacing w:val="2"/>
          <w:sz w:val="32"/>
          <w:szCs w:val="32"/>
          <w:highlight w:val="none"/>
          <w:lang w:val="en-US"/>
        </w:rPr>
        <w:suppressLineNumbers w:val="0"/>
      </w:pPr>
      <w:r>
        <w:rPr>
          <w:rFonts w:hint="eastAsia" w:ascii="黑体" w:hAnsi="黑体" w:eastAsia="黑体" w:cs="黑体"/>
          <w:bCs/>
          <w:color w:val="auto"/>
          <w:sz w:val="32"/>
          <w:szCs w:val="32"/>
          <w:highlight w:val="none"/>
          <w:lang w:val="en-US" w:eastAsia="zh-CN" w:bidi="ar"/>
        </w:rPr>
        <w:t xml:space="preserve">第五部分  合同签订与验收付款</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32"/>
          <w:szCs w:val="32"/>
          <w:highlight w:val="none"/>
          <w:lang w:val="en-US"/>
        </w:rPr>
        <w:suppressLineNumbers w:val="0"/>
      </w:pPr>
      <w:r>
        <w:rPr>
          <w:rFonts w:hint="eastAsia" w:ascii="黑体" w:hAnsi="黑体" w:eastAsia="黑体" w:cs="黑体"/>
          <w:color w:val="auto"/>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color w:val="auto"/>
          <w:spacing w:val="2"/>
          <w:sz w:val="32"/>
          <w:szCs w:val="32"/>
          <w:highlight w:val="none"/>
          <w:lang w:val="en-US"/>
        </w:rPr>
        <w:suppressLineNumbers w:val="0"/>
      </w:pPr>
      <w:r>
        <w:rPr>
          <w:rFonts w:hint="eastAsia" w:ascii="黑体" w:hAnsi="黑体" w:eastAsia="黑体" w:cs="黑体"/>
          <w:bCs/>
          <w:color w:val="auto"/>
          <w:sz w:val="32"/>
          <w:szCs w:val="32"/>
          <w:highlight w:val="none"/>
          <w:lang w:val="en-US" w:eastAsia="zh-CN" w:bidi="ar"/>
        </w:rPr>
        <w:t xml:space="preserve">第六部分  质疑提出和处理</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32"/>
          <w:szCs w:val="32"/>
          <w:highlight w:val="none"/>
          <w:lang w:val="en-US"/>
        </w:rPr>
        <w:suppressLineNumbers w:val="0"/>
      </w:pPr>
      <w:r>
        <w:rPr>
          <w:rFonts w:hint="eastAsia" w:ascii="黑体" w:hAnsi="黑体" w:eastAsia="黑体" w:cs="黑体"/>
          <w:color w:val="auto"/>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color w:val="auto"/>
          <w:spacing w:val="2"/>
          <w:sz w:val="32"/>
          <w:szCs w:val="32"/>
          <w:highlight w:val="none"/>
          <w:lang w:val="en-US"/>
        </w:rPr>
        <w:suppressLineNumbers w:val="0"/>
      </w:pPr>
      <w:r>
        <w:rPr>
          <w:rFonts w:hint="eastAsia" w:ascii="黑体" w:hAnsi="黑体" w:eastAsia="黑体" w:cs="黑体"/>
          <w:bCs/>
          <w:color w:val="auto"/>
          <w:sz w:val="32"/>
          <w:szCs w:val="32"/>
          <w:highlight w:val="none"/>
          <w:lang w:val="en-US" w:eastAsia="zh-CN" w:bidi="ar"/>
        </w:rPr>
        <w:t xml:space="preserve">第七部分  投标文件组成</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2"/>
          <w:szCs w:val="32"/>
          <w:highlight w:val="none"/>
          <w:lang w:val="en-US"/>
        </w:rPr>
        <w:suppressLineNumbers w:val="0"/>
      </w:pPr>
      <w:r>
        <w:rPr>
          <w:rFonts w:hint="eastAsia" w:ascii="黑体" w:hAnsi="黑体" w:eastAsia="黑体" w:cs="黑体"/>
          <w:b/>
          <w:bCs w:val="0"/>
          <w:color w:val="auto"/>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b/>
          <w:bCs w:val="0"/>
          <w:color w:val="auto"/>
          <w:spacing w:val="2"/>
          <w:sz w:val="32"/>
          <w:szCs w:val="32"/>
          <w:highlight w:val="none"/>
          <w:lang w:val="en-US"/>
        </w:rPr>
        <w:suppressLineNumbers w:val="0"/>
      </w:pPr>
      <w:r>
        <w:rPr>
          <w:rFonts w:hint="eastAsia" w:ascii="黑体" w:hAnsi="黑体" w:eastAsia="黑体" w:cs="黑体"/>
          <w:b/>
          <w:bCs w:val="0"/>
          <w:color w:val="auto"/>
          <w:spacing w:val="2"/>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b/>
          <w:bCs w:val="0"/>
          <w:color w:val="auto"/>
          <w:spacing w:val="2"/>
          <w:sz w:val="32"/>
          <w:szCs w:val="32"/>
          <w:highlight w:val="none"/>
          <w:lang w:val="en-US"/>
        </w:rPr>
        <w:suppressLineNumbers w:val="0"/>
      </w:pPr>
      <w:r>
        <w:rPr>
          <w:rFonts w:hint="eastAsia" w:ascii="黑体" w:hAnsi="黑体" w:eastAsia="黑体" w:cs="黑体"/>
          <w:b/>
          <w:bCs w:val="0"/>
          <w:color w:val="auto"/>
          <w:spacing w:val="2"/>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tabs>
          <w:tab w:val="left" w:pos="7740" w:leader="none"/>
        </w:tabs>
        <w:rPr>
          <w:rFonts w:hint="eastAsia" w:ascii="黑体" w:hAnsi="黑体" w:eastAsia="黑体" w:cs="黑体"/>
          <w:b/>
          <w:bCs/>
          <w:color w:val="auto"/>
          <w:sz w:val="32"/>
          <w:szCs w:val="32"/>
          <w:highlight w:val="none"/>
          <w:lang w:val="en-US"/>
        </w:rPr>
        <w:suppressLineNumbers w:val="0"/>
      </w:pPr>
      <w:r>
        <w:rPr>
          <w:rFonts w:hint="eastAsia" w:ascii="黑体" w:hAnsi="黑体" w:eastAsia="黑体" w:cs="黑体"/>
          <w:b/>
          <w:bCs/>
          <w:color w:val="auto"/>
          <w:sz w:val="32"/>
          <w:szCs w:val="32"/>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44"/>
          <w:szCs w:val="44"/>
          <w:highlight w:val="none"/>
          <w:lang w:val="en-US"/>
        </w:rPr>
        <w:outlineLvl w:val="0"/>
        <w:suppressLineNumbers w:val="0"/>
      </w:pPr>
      <w:r>
        <w:rPr>
          <w:rFonts w:hint="eastAsia" w:ascii="黑体" w:hAnsi="黑体" w:eastAsia="黑体" w:cs="黑体"/>
          <w:b/>
          <w:bCs w:val="0"/>
          <w:color w:val="auto"/>
          <w:sz w:val="44"/>
          <w:szCs w:val="4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44"/>
          <w:szCs w:val="44"/>
          <w:highlight w:val="none"/>
          <w:lang w:val="en-US"/>
        </w:rPr>
        <w:outlineLvl w:val="0"/>
        <w:suppressLineNumbers w:val="0"/>
      </w:pPr>
      <w:r>
        <w:rPr>
          <w:rFonts w:hint="eastAsia" w:ascii="黑体" w:hAnsi="黑体" w:eastAsia="黑体" w:cs="黑体"/>
          <w:color w:val="auto"/>
          <w:sz w:val="44"/>
          <w:szCs w:val="4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44"/>
          <w:szCs w:val="44"/>
          <w:highlight w:val="none"/>
          <w:lang w:val="en-US"/>
        </w:rPr>
        <w:outlineLvl w:val="0"/>
        <w:suppressLineNumbers w:val="0"/>
      </w:pPr>
      <w:r>
        <w:rPr>
          <w:rFonts w:hint="eastAsia" w:ascii="黑体" w:hAnsi="黑体" w:eastAsia="黑体" w:cs="黑体"/>
          <w:color w:val="auto"/>
          <w:sz w:val="44"/>
          <w:szCs w:val="44"/>
          <w:highlight w:val="none"/>
          <w:lang w:val="en-US"/>
        </w:rPr>
      </w:r>
      <w:r/>
    </w:p>
    <w:p>
      <w:pPr>
        <w:pStyle w:val="873"/>
        <w:jc w:val="left"/>
        <w:pageBreakBefore w:val="0"/>
        <w:spacing w:line="440" w:lineRule="exact"/>
        <w:widowControl/>
        <w:rPr>
          <w:rFonts w:hint="eastAsia" w:ascii="黑体" w:hAnsi="黑体" w:eastAsia="黑体" w:cs="黑体"/>
          <w:color w:val="auto"/>
          <w:sz w:val="44"/>
          <w:szCs w:val="44"/>
          <w:highlight w:val="none"/>
          <w:lang w:val="en-US"/>
        </w:rPr>
      </w:pPr>
      <w:r>
        <w:rPr>
          <w:rFonts w:hint="eastAsia" w:ascii="黑体" w:hAnsi="黑体" w:eastAsia="黑体" w:cs="黑体"/>
          <w:color w:val="auto"/>
          <w:sz w:val="44"/>
          <w:szCs w:val="44"/>
          <w:highlight w:val="none"/>
          <w:lang w:val="en-US"/>
        </w:rPr>
      </w:r>
      <w:r/>
    </w:p>
    <w:p>
      <w:pPr>
        <w:pStyle w:val="873"/>
        <w:jc w:val="left"/>
        <w:pageBreakBefore w:val="0"/>
        <w:spacing w:line="440" w:lineRule="exact"/>
        <w:widowControl/>
        <w:rPr>
          <w:rFonts w:hint="eastAsia" w:ascii="黑体" w:hAnsi="黑体" w:eastAsia="黑体" w:cs="黑体"/>
          <w:color w:val="auto"/>
          <w:sz w:val="44"/>
          <w:szCs w:val="44"/>
          <w:highlight w:val="none"/>
          <w:lang w:val="en-US"/>
        </w:rPr>
      </w:pPr>
      <w:r>
        <w:rPr>
          <w:rFonts w:hint="eastAsia" w:ascii="黑体" w:hAnsi="黑体" w:eastAsia="黑体" w:cs="黑体"/>
          <w:color w:val="auto"/>
          <w:sz w:val="44"/>
          <w:szCs w:val="4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44"/>
          <w:szCs w:val="44"/>
          <w:highlight w:val="none"/>
          <w:lang w:val="en-US"/>
        </w:rPr>
        <w:outlineLvl w:val="0"/>
        <w:suppressLineNumbers w:val="0"/>
      </w:pPr>
      <w:r>
        <w:rPr>
          <w:rFonts w:hint="eastAsia" w:ascii="黑体" w:hAnsi="黑体" w:eastAsia="黑体" w:cs="黑体"/>
          <w:color w:val="auto"/>
          <w:sz w:val="44"/>
          <w:szCs w:val="44"/>
          <w:highlight w:val="none"/>
          <w:lang w:val="en-US"/>
        </w:rPr>
      </w:r>
      <w:r/>
    </w:p>
    <w:p>
      <w:pPr>
        <w:jc w:val="left"/>
        <w:pageBreakBefore w:val="0"/>
        <w:spacing w:line="440" w:lineRule="exact"/>
        <w:rPr>
          <w:rFonts w:hint="eastAsia" w:ascii="黑体" w:hAnsi="黑体" w:eastAsia="黑体" w:cs="黑体"/>
          <w:b/>
          <w:bCs w:val="0"/>
          <w:color w:val="auto"/>
          <w:sz w:val="36"/>
          <w:szCs w:val="36"/>
          <w:highlight w:val="none"/>
          <w:lang w:val="en-US" w:eastAsia="zh-CN" w:bidi="ar"/>
        </w:rP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黑体" w:hAnsi="黑体" w:eastAsia="黑体" w:cs="黑体"/>
          <w:b/>
          <w:bCs w:val="0"/>
          <w:color w:val="auto"/>
          <w:sz w:val="36"/>
          <w:szCs w:val="36"/>
          <w:highlight w:val="none"/>
          <w:lang w:val="en-US" w:eastAsia="zh-CN" w:bidi="ar"/>
        </w:rPr>
      </w:r>
      <w:r/>
    </w:p>
    <w:p>
      <w:pPr>
        <w:ind w:left="0" w:right="0" w:firstLine="26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44"/>
          <w:szCs w:val="44"/>
          <w:highlight w:val="none"/>
          <w:lang w:val="en-US"/>
        </w:rPr>
        <w:suppressLineNumbers w:val="0"/>
      </w:pPr>
      <w:r/>
      <w:bookmarkStart w:id="0" w:name="_Toc241913651"/>
      <w:r/>
      <w:bookmarkStart w:id="1" w:name="_Toc312608845"/>
      <w:r/>
      <w:bookmarkStart w:id="2" w:name="_Toc257275442"/>
      <w:r/>
      <w:bookmarkStart w:id="3" w:name="OLE_LINK9"/>
      <w:r>
        <w:rPr>
          <w:rFonts w:hint="eastAsia" w:ascii="黑体" w:hAnsi="黑体" w:eastAsia="黑体" w:cs="黑体"/>
          <w:color w:val="auto"/>
          <w:sz w:val="44"/>
          <w:szCs w:val="44"/>
          <w:highlight w:val="none"/>
          <w:lang w:val="en-US" w:eastAsia="zh-CN" w:bidi="ar"/>
        </w:rPr>
        <w:t xml:space="preserve">招标文件备案表</w:t>
      </w:r>
      <w:bookmarkEnd w:id="0"/>
      <w:r/>
      <w:bookmarkEnd w:id="1"/>
      <w:r/>
      <w:bookmarkEnd w:id="2"/>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5"/>
          <w:szCs w:val="25"/>
          <w:highlight w:val="none"/>
          <w:lang w:val="en-US"/>
        </w:rPr>
        <w:suppressLineNumbers w:val="0"/>
      </w:pPr>
      <w:r>
        <w:rPr>
          <w:rFonts w:hint="eastAsia" w:ascii="黑体" w:hAnsi="黑体" w:eastAsia="黑体" w:cs="黑体"/>
          <w:color w:val="auto"/>
          <w:sz w:val="25"/>
          <w:szCs w:val="25"/>
          <w:highlight w:val="none"/>
          <w:lang w:val="en-US"/>
        </w:rPr>
      </w:r>
      <w:r/>
    </w:p>
    <w:tbl>
      <w:tblPr>
        <w:tblStyle w:val="872"/>
        <w:tblW w:w="870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700"/>
      </w:tblGrid>
      <w:tr>
        <w:trPr>
          <w:jc w:val="center"/>
          <w:trHeight w:val="3861"/>
        </w:trPr>
        <w:tc>
          <w:tcPr>
            <w:tcBorders>
              <w:top w:val="single" w:color="auto" w:sz="4" w:space="0"/>
              <w:left w:val="single" w:color="auto" w:sz="4" w:space="0"/>
              <w:bottom w:val="single" w:color="auto" w:sz="4" w:space="0"/>
              <w:right w:val="single" w:color="auto" w:sz="4" w:space="0"/>
            </w:tcBorders>
            <w:tcW w:w="8700" w:type="dxa"/>
            <w:vAlign w:val="top"/>
            <w:textDirection w:val="lrTb"/>
            <w:noWrap/>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firstLine="840"/>
              <w:jc w:val="left"/>
              <w:keepLines w:val="0"/>
              <w:keepNext w:val="0"/>
              <w:pageBreakBefore w:val="0"/>
              <w:spacing w:before="0" w:beforeAutospacing="0" w:after="0" w:afterAutospacing="0" w:line="440" w:lineRule="exact"/>
              <w:widowControl w:val="off"/>
              <w:tabs>
                <w:tab w:val="left" w:pos="507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                      编制人：赵斌</w:t>
            </w:r>
            <w:r/>
          </w:p>
          <w:p>
            <w:pPr>
              <w:ind w:left="0" w:right="0"/>
              <w:jc w:val="left"/>
              <w:keepLines w:val="0"/>
              <w:keepNext w:val="0"/>
              <w:pageBreakBefore w:val="0"/>
              <w:spacing w:before="0" w:beforeAutospacing="0" w:after="0" w:afterAutospacing="0" w:line="440" w:lineRule="exact"/>
              <w:widowControl w:val="off"/>
              <w:tabs>
                <w:tab w:val="left" w:pos="507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firstLine="3360"/>
              <w:jc w:val="left"/>
              <w:keepLines w:val="0"/>
              <w:keepNext w:val="0"/>
              <w:pageBreakBefore w:val="0"/>
              <w:spacing w:before="0" w:beforeAutospacing="0" w:after="0" w:afterAutospacing="0" w:line="440" w:lineRule="exact"/>
              <w:widowControl w:val="off"/>
              <w:tabs>
                <w:tab w:val="left" w:pos="507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日  期：2024 年10月11日</w:t>
            </w:r>
            <w:r/>
          </w:p>
          <w:p>
            <w:pPr>
              <w:ind w:left="0" w:right="0" w:firstLine="8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jc w:val="center"/>
          <w:trHeight w:val="5699"/>
        </w:trPr>
        <w:tc>
          <w:tcPr>
            <w:tcBorders>
              <w:top w:val="single" w:color="auto" w:sz="4" w:space="0"/>
              <w:left w:val="single" w:color="auto" w:sz="4" w:space="0"/>
              <w:bottom w:val="single" w:color="auto" w:sz="4" w:space="0"/>
              <w:right w:val="single" w:color="auto" w:sz="4" w:space="0"/>
            </w:tcBorders>
            <w:tcW w:w="8700" w:type="dxa"/>
            <w:vAlign w:val="top"/>
            <w:textDirection w:val="lrTb"/>
            <w:noWrap/>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pStyle w:val="929"/>
              <w:jc w:val="left"/>
              <w:pageBreakBefore w:val="0"/>
              <w:spacing w:line="440" w:lineRule="exact"/>
              <w:widowControl/>
              <w:rPr>
                <w:rFonts w:hint="eastAsia" w:ascii="黑体" w:hAnsi="黑体" w:eastAsia="黑体" w:cs="黑体"/>
                <w:color w:val="auto"/>
                <w:highlight w:val="none"/>
                <w:lang w:val="en-US"/>
              </w:rPr>
            </w:pPr>
            <w:r>
              <w:rPr>
                <w:rFonts w:hint="eastAsia" w:ascii="黑体" w:hAnsi="黑体" w:eastAsia="黑体" w:cs="黑体"/>
                <w:color w:val="auto"/>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pStyle w:val="875"/>
              <w:ind w:right="0"/>
              <w:jc w:val="left"/>
              <w:pageBreakBefore w:val="0"/>
              <w:spacing w:before="0" w:beforeAutospacing="0" w:after="120" w:afterAutospacing="0" w:line="440" w:lineRule="exact"/>
              <w:widowControl/>
              <w:rPr>
                <w:rFonts w:hint="eastAsia" w:ascii="黑体" w:hAnsi="黑体" w:eastAsia="黑体" w:cs="黑体"/>
                <w:color w:val="auto"/>
                <w:highlight w:val="none"/>
                <w:lang w:val="en-US"/>
              </w:rPr>
            </w:pPr>
            <w:r>
              <w:rPr>
                <w:rFonts w:hint="eastAsia" w:ascii="黑体" w:hAnsi="黑体" w:eastAsia="黑体" w:cs="黑体"/>
                <w:color w:val="auto"/>
                <w:highlight w:val="none"/>
                <w:lang w:val="en-US"/>
              </w:rPr>
            </w:r>
            <w:r/>
          </w:p>
          <w:p>
            <w:pPr>
              <w:ind w:left="0" w:right="0" w:firstLine="8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采购单位(盖章)             法定代表人(签字或盖章) </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firstLine="8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pStyle w:val="929"/>
              <w:jc w:val="left"/>
              <w:pageBreakBefore w:val="0"/>
              <w:spacing w:line="440" w:lineRule="exact"/>
              <w:widowControl/>
              <w:rPr>
                <w:rFonts w:hint="eastAsia" w:ascii="黑体" w:hAnsi="黑体" w:eastAsia="黑体" w:cs="黑体"/>
                <w:color w:val="auto"/>
                <w:highlight w:val="none"/>
                <w:lang w:val="en-US"/>
              </w:rPr>
            </w:pPr>
            <w:r>
              <w:rPr>
                <w:rFonts w:hint="eastAsia" w:ascii="黑体" w:hAnsi="黑体" w:eastAsia="黑体" w:cs="黑体"/>
                <w:color w:val="auto"/>
                <w:highlight w:val="none"/>
                <w:lang w:val="en-US"/>
              </w:rPr>
            </w:r>
            <w:r/>
          </w:p>
          <w:p>
            <w:pPr>
              <w:ind w:left="0" w:right="0" w:firstLine="8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firstLine="8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代理机构(盖章)             法定代表人(签字或盖章) </w:t>
            </w:r>
            <w:r/>
          </w:p>
          <w:p>
            <w:pPr>
              <w:ind w:left="0" w:right="0" w:firstLine="56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firstLine="3360"/>
              <w:jc w:val="left"/>
              <w:keepLines w:val="0"/>
              <w:keepNext w:val="0"/>
              <w:pageBreakBefore w:val="0"/>
              <w:spacing w:before="0" w:beforeAutospacing="0" w:after="0" w:afterAutospacing="0" w:line="440" w:lineRule="exact"/>
              <w:widowControl w:val="off"/>
              <w:tabs>
                <w:tab w:val="left" w:pos="507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日  期：2024年10月11日</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bl>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rPr>
        <w:outlineLvl w:val="0"/>
        <w:suppressLineNumbers w:val="0"/>
      </w:pPr>
      <w:r>
        <w:rPr>
          <w:rFonts w:hint="eastAsia" w:ascii="黑体" w:hAnsi="黑体" w:eastAsia="黑体" w:cs="黑体"/>
          <w:b/>
          <w:bCs w:val="0"/>
          <w:color w:val="auto"/>
          <w:sz w:val="36"/>
          <w:szCs w:val="36"/>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rPr>
        <w:outlineLvl w:val="0"/>
        <w:suppressLineNumbers w:val="0"/>
      </w:pPr>
      <w:r>
        <w:rPr>
          <w:rFonts w:hint="eastAsia" w:ascii="黑体" w:hAnsi="黑体" w:eastAsia="黑体" w:cs="黑体"/>
          <w:b/>
          <w:bCs w:val="0"/>
          <w:color w:val="auto"/>
          <w:sz w:val="36"/>
          <w:szCs w:val="36"/>
          <w:highlight w:val="none"/>
          <w:lang w:val="en-US"/>
        </w:rPr>
      </w:r>
      <w:r/>
    </w:p>
    <w:p>
      <w:pPr>
        <w:pStyle w:val="929"/>
        <w:jc w:val="left"/>
        <w:pageBreakBefore w:val="0"/>
        <w:spacing w:line="440" w:lineRule="exact"/>
        <w:widowControl/>
        <w:rPr>
          <w:rFonts w:hint="eastAsia" w:ascii="黑体" w:hAnsi="黑体" w:eastAsia="黑体" w:cs="黑体"/>
          <w:color w:val="auto"/>
          <w:highlight w:val="none"/>
          <w:lang w:val="en-US"/>
        </w:rPr>
      </w:pPr>
      <w:r>
        <w:rPr>
          <w:rFonts w:hint="eastAsia" w:ascii="黑体" w:hAnsi="黑体" w:eastAsia="黑体" w:cs="黑体"/>
          <w:b/>
          <w:bCs w:val="0"/>
          <w:color w:val="auto"/>
          <w:sz w:val="36"/>
          <w:szCs w:val="36"/>
          <w:highlight w:val="none"/>
          <w:lang w:val="en-US"/>
        </w:rPr>
        <w:br w:type="page" w:clear="all"/>
      </w:r>
      <w:r/>
    </w:p>
    <w:p>
      <w:pPr>
        <w:ind w:left="0" w:right="0" w:firstLine="257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2"/>
          <w:szCs w:val="32"/>
          <w:highlight w:val="none"/>
          <w:lang w:val="en-US"/>
        </w:rPr>
        <w:outlineLvl w:val="0"/>
        <w:suppressLineNumbers w:val="0"/>
      </w:pPr>
      <w:r>
        <w:rPr>
          <w:rFonts w:hint="eastAsia" w:ascii="黑体" w:hAnsi="黑体" w:eastAsia="黑体" w:cs="黑体"/>
          <w:b/>
          <w:bCs w:val="0"/>
          <w:color w:val="auto"/>
          <w:sz w:val="32"/>
          <w:szCs w:val="32"/>
          <w:highlight w:val="none"/>
          <w:lang w:val="en-US" w:eastAsia="zh-CN" w:bidi="ar"/>
        </w:rPr>
        <w:t xml:space="preserve">第一部分</w:t>
      </w:r>
      <w:bookmarkStart w:id="4" w:name="OLE_LINK7"/>
      <w:r/>
      <w:bookmarkStart w:id="5" w:name="OLE_LINK5"/>
      <w:r/>
      <w:bookmarkStart w:id="6" w:name="OLE_LINK8"/>
      <w:r>
        <w:rPr>
          <w:rFonts w:hint="eastAsia" w:ascii="黑体" w:hAnsi="黑体" w:eastAsia="黑体" w:cs="黑体"/>
          <w:b/>
          <w:bCs w:val="0"/>
          <w:color w:val="auto"/>
          <w:sz w:val="32"/>
          <w:szCs w:val="32"/>
          <w:highlight w:val="none"/>
          <w:lang w:val="en-US" w:eastAsia="zh-CN" w:bidi="ar"/>
        </w:rPr>
        <w:t xml:space="preserve"> 招标公告</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7" w:name="OLE_LINK6"/>
      <w:r>
        <w:rPr>
          <w:rFonts w:hint="eastAsia" w:ascii="黑体" w:hAnsi="黑体" w:eastAsia="黑体" w:cs="黑体"/>
          <w:color w:val="auto"/>
          <w:sz w:val="24"/>
          <w:szCs w:val="24"/>
          <w:highlight w:val="none"/>
        </w:rPr>
        <w:t xml:space="preserve">项目概况</w:t>
      </w:r>
      <w:r/>
    </w:p>
    <w:p>
      <w:pPr>
        <w:ind w:firstLine="480"/>
        <w:jc w:val="left"/>
        <w:keepLines w:val="0"/>
        <w:keepNext w:val="0"/>
        <w:pageBreakBefore w:val="0"/>
        <w:spacing w:line="440" w:lineRule="exact"/>
        <w:widowControl w:val="off"/>
        <w:rPr>
          <w:rFonts w:hint="eastAsia" w:ascii="黑体" w:hAnsi="黑体" w:eastAsia="黑体" w:cs="黑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auto"/>
          <w:sz w:val="24"/>
          <w:szCs w:val="24"/>
          <w:highlight w:val="none"/>
          <w:lang w:val="en-US" w:eastAsia="zh-CN"/>
        </w:rPr>
        <w:t xml:space="preserve">南通市新开街道综合性养老服务中心、居家和社区养老服务等采购项目</w:t>
      </w:r>
      <w:r>
        <w:rPr>
          <w:rFonts w:hint="eastAsia" w:ascii="黑体" w:hAnsi="黑体" w:eastAsia="黑体" w:cs="黑体"/>
          <w:color w:val="auto"/>
          <w:sz w:val="24"/>
          <w:szCs w:val="24"/>
          <w:highlight w:val="none"/>
        </w:rPr>
        <w:t xml:space="preserve">的潜在</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应在江苏政府采购网获取招标文件，并于</w:t>
      </w:r>
      <w:r>
        <w:rPr>
          <w:rFonts w:hint="eastAsia" w:ascii="黑体" w:hAnsi="黑体" w:eastAsia="黑体" w:cs="黑体"/>
          <w:b/>
          <w:bCs/>
          <w:color w:val="auto"/>
          <w:sz w:val="24"/>
          <w:szCs w:val="24"/>
          <w:highlight w:val="none"/>
          <w:u w:val="single"/>
        </w:rPr>
        <w:t xml:space="preserve">2024年</w:t>
      </w:r>
      <w:r>
        <w:rPr>
          <w:rFonts w:hint="eastAsia" w:ascii="黑体" w:hAnsi="黑体" w:eastAsia="黑体" w:cs="黑体"/>
          <w:b/>
          <w:bCs/>
          <w:color w:val="auto"/>
          <w:sz w:val="24"/>
          <w:szCs w:val="24"/>
          <w:highlight w:val="none"/>
          <w:u w:val="single"/>
          <w:lang w:val="en-US" w:eastAsia="zh-CN"/>
        </w:rPr>
        <w:t xml:space="preserve">11</w:t>
      </w:r>
      <w:r>
        <w:rPr>
          <w:rFonts w:hint="eastAsia" w:ascii="黑体" w:hAnsi="黑体" w:eastAsia="黑体" w:cs="黑体"/>
          <w:b/>
          <w:bCs/>
          <w:color w:val="auto"/>
          <w:sz w:val="24"/>
          <w:szCs w:val="24"/>
          <w:highlight w:val="none"/>
          <w:u w:val="single"/>
        </w:rPr>
        <w:t xml:space="preserve">月</w:t>
      </w:r>
      <w:r>
        <w:rPr>
          <w:rFonts w:hint="eastAsia" w:ascii="黑体" w:hAnsi="黑体" w:eastAsia="黑体" w:cs="黑体"/>
          <w:b/>
          <w:bCs/>
          <w:color w:val="auto"/>
          <w:sz w:val="24"/>
          <w:szCs w:val="24"/>
          <w:highlight w:val="none"/>
          <w:u w:val="single"/>
          <w:lang w:val="en-US" w:eastAsia="zh-CN"/>
        </w:rPr>
        <w:t xml:space="preserve">1</w:t>
      </w:r>
      <w:r>
        <w:rPr>
          <w:rFonts w:hint="eastAsia" w:ascii="黑体" w:hAnsi="黑体" w:eastAsia="黑体" w:cs="黑体"/>
          <w:b/>
          <w:bCs/>
          <w:color w:val="auto"/>
          <w:sz w:val="24"/>
          <w:szCs w:val="24"/>
          <w:highlight w:val="none"/>
          <w:u w:val="single"/>
        </w:rPr>
        <w:t xml:space="preserve">日9点30分</w:t>
      </w:r>
      <w:r>
        <w:rPr>
          <w:rFonts w:hint="eastAsia" w:ascii="黑体" w:hAnsi="黑体" w:eastAsia="黑体" w:cs="黑体"/>
          <w:color w:val="auto"/>
          <w:sz w:val="24"/>
          <w:szCs w:val="24"/>
          <w:highlight w:val="none"/>
        </w:rPr>
        <w:t xml:space="preserve">（北京时间）前递交投标文件。</w:t>
      </w:r>
      <w:r/>
    </w:p>
    <w:p>
      <w:pPr>
        <w:ind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项目编号：JSZC-320690-NTRT-G2024-0010</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项目名称：南通市新开街道综合性养老服务中心、居家和社区养老服务等采购项目</w:t>
      </w:r>
      <w:r/>
    </w:p>
    <w:p>
      <w:pPr>
        <w:pStyle w:val="926"/>
        <w:ind w:firstLine="480"/>
        <w:jc w:val="left"/>
        <w:pageBreakBefore w:val="0"/>
        <w:spacing w:line="440" w:lineRule="exact"/>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采购方式：公开招标</w:t>
      </w:r>
      <w:r/>
    </w:p>
    <w:p>
      <w:pPr>
        <w:pStyle w:val="926"/>
        <w:ind w:firstLine="480"/>
        <w:jc w:val="left"/>
        <w:pageBreakBefore w:val="0"/>
        <w:spacing w:line="440" w:lineRule="exact"/>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项目类型：服务</w:t>
      </w:r>
      <w:r/>
    </w:p>
    <w:p>
      <w:pPr>
        <w:pStyle w:val="926"/>
        <w:ind w:firstLine="480"/>
        <w:jc w:val="left"/>
        <w:pageBreakBefore w:val="0"/>
        <w:spacing w:line="440" w:lineRule="exact"/>
        <w:rPr>
          <w:rFonts w:hint="eastAsia" w:ascii="黑体" w:hAnsi="黑体" w:eastAsia="黑体" w:cs="黑体"/>
          <w:color w:val="auto"/>
          <w:sz w:val="24"/>
          <w:szCs w:val="24"/>
          <w:highlight w:val="none"/>
          <w:u w:val="none"/>
          <w:lang w:val="en-US" w:eastAsia="zh-CN" w:bidi="ar"/>
        </w:rPr>
      </w:pPr>
      <w:r>
        <w:rPr>
          <w:rFonts w:hint="eastAsia" w:ascii="黑体" w:hAnsi="黑体" w:eastAsia="黑体" w:cs="黑体"/>
          <w:color w:val="auto"/>
          <w:sz w:val="24"/>
          <w:szCs w:val="24"/>
          <w:highlight w:val="none"/>
          <w:lang w:val="en-US" w:eastAsia="zh-CN" w:bidi="ar"/>
        </w:rPr>
        <w:t xml:space="preserve">所属行业：</w:t>
      </w:r>
      <w:r>
        <w:rPr>
          <w:rFonts w:hint="eastAsia" w:ascii="黑体" w:hAnsi="黑体" w:eastAsia="黑体" w:cs="黑体"/>
          <w:color w:val="auto"/>
          <w:sz w:val="24"/>
          <w:szCs w:val="24"/>
          <w:highlight w:val="none"/>
          <w:u w:val="none"/>
          <w:lang w:val="en-US" w:eastAsia="zh-CN" w:bidi="ar"/>
        </w:rPr>
        <w:t xml:space="preserve">其他未列明行业</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预算金额：人民币</w:t>
      </w:r>
      <w:r>
        <w:rPr>
          <w:rFonts w:hint="eastAsia" w:ascii="黑体" w:hAnsi="黑体" w:eastAsia="黑体" w:cs="黑体"/>
          <w:b w:val="0"/>
          <w:bCs w:val="0"/>
          <w:color w:val="auto"/>
          <w:sz w:val="24"/>
          <w:szCs w:val="24"/>
          <w:highlight w:val="none"/>
          <w:lang w:val="en-US" w:eastAsia="zh-CN"/>
        </w:rPr>
        <w:t xml:space="preserve">121.9</w:t>
      </w:r>
      <w:r>
        <w:rPr>
          <w:rFonts w:hint="eastAsia" w:ascii="黑体" w:hAnsi="黑体" w:eastAsia="黑体" w:cs="黑体"/>
          <w:b w:val="0"/>
          <w:bCs w:val="0"/>
          <w:color w:val="auto"/>
          <w:sz w:val="24"/>
          <w:szCs w:val="24"/>
          <w:highlight w:val="none"/>
        </w:rPr>
        <w:t xml:space="preserve">万元</w:t>
      </w:r>
      <w:r>
        <w:rPr>
          <w:rFonts w:hint="eastAsia" w:ascii="黑体" w:hAnsi="黑体" w:eastAsia="黑体" w:cs="黑体"/>
          <w:b w:val="0"/>
          <w:bCs w:val="0"/>
          <w:color w:val="auto"/>
          <w:sz w:val="24"/>
          <w:szCs w:val="24"/>
          <w:highlight w:val="none"/>
          <w:lang w:val="en-US" w:eastAsia="zh-CN"/>
        </w:rPr>
        <w:t xml:space="preserve">/年</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最高限价：具体详见如下：</w:t>
      </w:r>
      <w:r/>
    </w:p>
    <w:tbl>
      <w:tblPr>
        <w:tblStyle w:val="872"/>
        <w:tblpPr w:horzAnchor="page" w:tblpX="1553" w:vertAnchor="text" w:tblpY="471" w:leftFromText="180" w:topFromText="0" w:rightFromText="180" w:bottomFromText="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001"/>
        <w:gridCol w:w="1001"/>
        <w:gridCol w:w="5911"/>
      </w:tblGrid>
      <w:tr>
        <w:trPr>
          <w:trHeight w:val="78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4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服务项目</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服务内容</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收费标准最高限价</w:t>
            </w:r>
            <w:r/>
          </w:p>
        </w:tc>
      </w:tr>
      <w:tr>
        <w:trPr>
          <w:trHeight w:val="535"/>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482" w:type="pct"/>
            <w:vAlign w:val="center"/>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送餐助餐送餐配餐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第一年 10 元/餐/人，正餐配一大荤一小荤一素一汤，主食一份。</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47" w:type="pct"/>
            <w:vAlign w:val="center"/>
            <w:vMerge w:val="restart"/>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生活照料</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助浴</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定点助浴 20元/次（使用淋浴设备，配套坐浴椅，全身清洗）</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上门助浴 40元/次（使用淋浴设备，配套坐浴椅，全身清洗）</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理发</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定点服务 10元/次</w:t>
            </w:r>
            <w:r/>
          </w:p>
        </w:tc>
      </w:tr>
      <w:tr>
        <w:trPr>
          <w:trHeight w:val="740"/>
        </w:trPr>
        <w:tc>
          <w:tcPr>
            <w:tcBorders>
              <w:top w:val="single" w:color="000000" w:sz="4" w:space="0"/>
              <w:left w:val="single" w:color="000000" w:sz="4" w:space="0"/>
              <w:bottom w:val="non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上门理发 30元/次</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47" w:type="pct"/>
            <w:vAlign w:val="center"/>
            <w:vMerge w:val="restart"/>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生活照料</w:t>
            </w:r>
            <w:r/>
          </w:p>
        </w:tc>
        <w:tc>
          <w:tcPr>
            <w:tcBorders>
              <w:top w:val="single" w:color="000000" w:sz="4" w:space="0"/>
              <w:left w:val="single" w:color="000000" w:sz="4" w:space="0"/>
              <w:bottom w:val="single" w:color="000000" w:sz="4" w:space="0"/>
              <w:right w:val="single" w:color="000000" w:sz="4" w:space="0"/>
            </w:tcBorders>
            <w:tcW w:w="535" w:type="pct"/>
            <w:vAlign w:val="center"/>
            <w:vMerge w:val="restart"/>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修脚</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定点服务 30元/次（普通修脚，刮死皮、剪指甲等）</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上门修脚 50元/次（普通修脚，刮死皮、剪指甲等）</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鸡眼 10元/次（不含用药</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治甲沟炎 10元/次（不含用药）</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修垫核 10元/次（不含用药）</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修灰指甲 10元/次（不含用药）</w:t>
            </w:r>
            <w:r/>
          </w:p>
        </w:tc>
      </w:tr>
      <w:tr>
        <w:trPr>
          <w:trHeight w:val="740"/>
        </w:trPr>
        <w:tc>
          <w:tcPr>
            <w:tcBorders>
              <w:top w:val="single" w:color="000000" w:sz="4" w:space="0"/>
              <w:left w:val="single" w:color="000000" w:sz="4" w:space="0"/>
              <w:bottom w:val="single" w:color="000000" w:sz="4" w:space="0"/>
              <w:right w:val="single" w:color="000000" w:sz="4" w:space="0"/>
            </w:tcBorders>
            <w:tcW w:w="329"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47"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5" w:type="pct"/>
            <w:vAlign w:val="center"/>
            <w:vMerge w:val="continue"/>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修脚垫 10元/次（不含用药）</w:t>
            </w:r>
            <w:r/>
          </w:p>
        </w:tc>
      </w:tr>
      <w:tr>
        <w:trPr>
          <w:trHeight w:val="740"/>
        </w:trPr>
        <w:tc>
          <w:tcPr>
            <w:gridSpan w:val="3"/>
            <w:tcBorders>
              <w:top w:val="single" w:color="000000" w:sz="4" w:space="0"/>
              <w:left w:val="single" w:color="000000" w:sz="4" w:space="0"/>
              <w:bottom w:val="single" w:color="000000" w:sz="4" w:space="0"/>
              <w:right w:val="single" w:color="000000" w:sz="4" w:space="0"/>
            </w:tcBorders>
            <w:tcW w:w="1812" w:type="pct"/>
            <w:vAlign w:val="center"/>
            <w:textDirection w:val="lrTb"/>
            <w:noWrap/>
          </w:tcPr>
          <w:p>
            <w:pPr>
              <w:ind w:left="0" w:right="0"/>
              <w:jc w:val="center"/>
              <w:keepLines w:val="0"/>
              <w:keepNext w:val="0"/>
              <w:spacing w:before="0" w:beforeAutospacing="0" w:after="0" w:afterAutospacing="0"/>
              <w:widowControl/>
              <w:rPr>
                <w:rFonts w:hint="eastAsia" w:ascii="黑体" w:hAnsi="黑体" w:eastAsia="黑体" w:cs="黑体"/>
                <w:i w:val="0"/>
                <w:iCs w:val="0"/>
                <w:color w:val="auto"/>
                <w:sz w:val="24"/>
                <w:szCs w:val="24"/>
                <w:highlight w:val="none"/>
                <w:u w:val="none"/>
                <w:lang w:val="en-US"/>
              </w:rPr>
              <w:suppressLineNumbers w:val="0"/>
            </w:pPr>
            <w:r>
              <w:rPr>
                <w:rFonts w:hint="eastAsia" w:ascii="黑体" w:hAnsi="黑体" w:eastAsia="黑体" w:cs="黑体"/>
                <w:i w:val="0"/>
                <w:iCs w:val="0"/>
                <w:color w:val="auto"/>
                <w:sz w:val="24"/>
                <w:szCs w:val="24"/>
                <w:highlight w:val="none"/>
                <w:u w:val="none"/>
                <w:lang w:val="en-US" w:eastAsia="zh-CN" w:bidi="ar"/>
              </w:rPr>
              <w:t xml:space="preserve">最高限价合计价</w:t>
            </w:r>
            <w:r/>
          </w:p>
        </w:tc>
        <w:tc>
          <w:tcPr>
            <w:tcBorders>
              <w:top w:val="single" w:color="000000" w:sz="4" w:space="0"/>
              <w:left w:val="single" w:color="000000" w:sz="4" w:space="0"/>
              <w:bottom w:val="single" w:color="000000" w:sz="4" w:space="0"/>
              <w:right w:val="none" w:color="000000" w:sz="4" w:space="0"/>
            </w:tcBorders>
            <w:tcW w:w="3187" w:type="pct"/>
            <w:vAlign w:val="center"/>
            <w:textDirection w:val="lrTb"/>
            <w:noWrap/>
          </w:tcPr>
          <w:p>
            <w:pPr>
              <w:ind w:left="0" w:right="0"/>
              <w:jc w:val="center"/>
              <w:keepLines w:val="0"/>
              <w:keepNext w:val="0"/>
              <w:spacing w:before="0" w:beforeAutospacing="0" w:after="0" w:afterAutospacing="0"/>
              <w:rPr>
                <w:rFonts w:hint="eastAsia" w:ascii="黑体" w:hAnsi="黑体" w:eastAsia="黑体" w:cs="黑体"/>
                <w:i w:val="0"/>
                <w:iCs w:val="0"/>
                <w:color w:val="auto"/>
                <w:sz w:val="24"/>
                <w:szCs w:val="24"/>
                <w:highlight w:val="none"/>
                <w:u w:val="none"/>
                <w:lang w:val="en-US" w:eastAsia="zh-CN"/>
              </w:rPr>
              <w:suppressLineNumbers w:val="0"/>
            </w:pPr>
            <w:r>
              <w:rPr>
                <w:rFonts w:hint="eastAsia" w:ascii="黑体" w:hAnsi="黑体" w:eastAsia="黑体" w:cs="黑体"/>
                <w:i w:val="0"/>
                <w:iCs w:val="0"/>
                <w:color w:val="auto"/>
                <w:sz w:val="24"/>
                <w:szCs w:val="24"/>
                <w:highlight w:val="none"/>
                <w:u w:val="none"/>
                <w:lang w:val="en-US" w:eastAsia="zh-CN"/>
              </w:rPr>
              <w:t xml:space="preserve">240元</w:t>
            </w:r>
            <w:r/>
          </w:p>
        </w:tc>
      </w:tr>
    </w:tbl>
    <w:p>
      <w:pPr>
        <w:pStyle w:val="863"/>
        <w:numPr>
          <w:ilvl w:val="0"/>
          <w:numId w:val="0"/>
        </w:numPr>
        <w:ind w:firstLine="480"/>
        <w:jc w:val="left"/>
        <w:pageBreakBefore w:val="0"/>
        <w:spacing w:before="0" w:after="0" w:line="440" w:lineRule="exact"/>
        <w:rPr>
          <w:rFonts w:hint="eastAsia" w:ascii="黑体" w:hAnsi="黑体" w:eastAsia="黑体" w:cs="黑体"/>
          <w:color w:val="auto"/>
          <w:sz w:val="21"/>
          <w:szCs w:val="21"/>
          <w:lang w:val="en-US" w:eastAsia="zh-CN"/>
        </w:rPr>
      </w:pPr>
      <w:r>
        <w:rPr>
          <w:rFonts w:hint="eastAsia" w:ascii="黑体" w:hAnsi="黑体" w:eastAsia="黑体" w:cs="黑体"/>
          <w:b w:val="0"/>
          <w:bCs/>
          <w:color w:val="auto"/>
          <w:sz w:val="24"/>
          <w:szCs w:val="24"/>
          <w:lang w:val="en-US" w:eastAsia="zh-CN"/>
        </w:rPr>
        <w:t xml:space="preserve">本项目</w:t>
      </w:r>
      <w:r>
        <w:rPr>
          <w:rFonts w:hint="eastAsia" w:ascii="黑体" w:hAnsi="黑体" w:eastAsia="黑体" w:cs="黑体"/>
          <w:b w:val="0"/>
          <w:bCs/>
          <w:color w:val="auto"/>
          <w:sz w:val="24"/>
          <w:szCs w:val="24"/>
        </w:rPr>
        <w:t xml:space="preserve">居家养老服务</w:t>
      </w:r>
      <w:r>
        <w:rPr>
          <w:rFonts w:hint="eastAsia" w:ascii="黑体" w:hAnsi="黑体" w:eastAsia="黑体" w:cs="黑体"/>
          <w:b w:val="0"/>
          <w:bCs/>
          <w:color w:val="auto"/>
          <w:sz w:val="24"/>
          <w:szCs w:val="24"/>
          <w:lang w:val="en-US" w:eastAsia="zh-CN"/>
        </w:rPr>
        <w:t xml:space="preserve">中若干服务项目及内容单列出来作为本项目的居家养老服务投标报价，若投标报价各单项报价及合计报价超过最高限价的，</w:t>
      </w:r>
      <w:r>
        <w:rPr>
          <w:rFonts w:hint="eastAsia" w:ascii="黑体" w:hAnsi="黑体" w:eastAsia="黑体" w:cs="黑体"/>
          <w:b w:val="0"/>
          <w:bCs/>
          <w:color w:val="auto"/>
          <w:sz w:val="24"/>
          <w:szCs w:val="24"/>
        </w:rPr>
        <w:t xml:space="preserve">按照无效响应处理。</w:t>
      </w:r>
      <w:r>
        <w:rPr>
          <w:rFonts w:hint="eastAsia" w:ascii="黑体" w:hAnsi="黑体" w:eastAsia="黑体" w:cs="黑体"/>
          <w:b w:val="0"/>
          <w:bCs/>
          <w:color w:val="auto"/>
          <w:sz w:val="24"/>
          <w:szCs w:val="24"/>
          <w:lang w:val="en-US" w:eastAsia="zh-CN"/>
        </w:rPr>
        <w:t xml:space="preserve">报价表中未体现的报价执行</w:t>
      </w:r>
      <w:r>
        <w:rPr>
          <w:rFonts w:hint="eastAsia" w:ascii="黑体" w:hAnsi="黑体" w:cs="黑体"/>
          <w:b w:val="0"/>
          <w:bCs/>
          <w:color w:val="auto"/>
          <w:sz w:val="24"/>
          <w:szCs w:val="24"/>
          <w:lang w:val="en-US" w:eastAsia="zh-CN"/>
        </w:rPr>
        <w:t xml:space="preserve">《南通市居家和社区基本养老服务项目清单》（通民发〔2018〕94号）文件。</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采购需求：详见采购文件内容，请仔细研究。</w:t>
      </w:r>
      <w:r/>
    </w:p>
    <w:p>
      <w:pPr>
        <w:ind w:left="0" w:righ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合同履行期限：自合同签订之日起叁年。合同采取一年一签的方式，中标单位若在履行合同期限内，经采购人考核不通过，采购人有权终止合同且下一年不再续签。</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本项目不接受联合体投标。</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二、申请人的资格要求：</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1、满足《中华人民共和国政府采购法》第二十二条规定。</w:t>
      </w:r>
      <w:r/>
    </w:p>
    <w:p>
      <w:pPr>
        <w:ind w:left="0" w:firstLine="482"/>
        <w:jc w:val="left"/>
        <w:keepLines w:val="0"/>
        <w:keepNext w:val="0"/>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lang w:val="en-US" w:eastAsia="zh-CN" w:bidi="ar"/>
        </w:rPr>
        <w:t xml:space="preserve">2、落实政府采购政策需满足的资格要求</w:t>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rPr>
        <w:t xml:space="preserve">本项目为专门面向中小微企业采购项目（须按照财库〔2020〕46号文要求提供中小企业声明函，格式见附件）。</w:t>
      </w:r>
      <w:r/>
    </w:p>
    <w:p>
      <w:pPr>
        <w:ind w:left="0" w:firstLine="240"/>
        <w:jc w:val="left"/>
        <w:keepLines w:val="0"/>
        <w:keepNext w:val="0"/>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本项目采购标的对应的中小企业划分标准所属行业为</w:t>
      </w:r>
      <w:r>
        <w:rPr>
          <w:rFonts w:hint="eastAsia" w:ascii="黑体" w:hAnsi="黑体" w:eastAsia="黑体" w:cs="黑体"/>
          <w:b/>
          <w:bCs/>
          <w:color w:val="auto"/>
          <w:sz w:val="24"/>
          <w:szCs w:val="24"/>
          <w:highlight w:val="none"/>
          <w:u w:val="single"/>
        </w:rPr>
        <w:t xml:space="preserve">其他未列明行业</w:t>
      </w:r>
      <w:r>
        <w:rPr>
          <w:rFonts w:hint="eastAsia" w:ascii="黑体" w:hAnsi="黑体" w:eastAsia="黑体" w:cs="黑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0" w:firstLine="240"/>
        <w:jc w:val="left"/>
        <w:keepLines w:val="0"/>
        <w:keepNext w:val="0"/>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left="0" w:firstLine="240"/>
        <w:jc w:val="left"/>
        <w:keepLines w:val="0"/>
        <w:keepNext w:val="0"/>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（2）残疾人福利性单位按照《关于促进残疾人就业政府采购政策的通知》（财库〔2017〕141号）有关规定执行。</w:t>
      </w:r>
      <w:r/>
    </w:p>
    <w:p>
      <w:pPr>
        <w:ind w:left="0" w:firstLine="240"/>
        <w:jc w:val="left"/>
        <w:keepLines w:val="0"/>
        <w:keepNext w:val="0"/>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（3）监狱企业按照《关于政府采购支持监狱企业发展有关问题的通知》（财库【2014】68号）有关规定执行。</w:t>
      </w:r>
      <w:r/>
    </w:p>
    <w:p>
      <w:pPr>
        <w:ind w:left="0" w:firstLine="241"/>
        <w:jc w:val="left"/>
        <w:keepLines w:val="0"/>
        <w:keepNext w:val="0"/>
        <w:pageBreakBefore w:val="0"/>
        <w:spacing w:line="440" w:lineRule="exact"/>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
          <w:bCs/>
          <w:color w:val="auto"/>
          <w:sz w:val="24"/>
          <w:szCs w:val="24"/>
          <w:highlight w:val="none"/>
          <w:lang w:val="en-US" w:eastAsia="zh-CN" w:bidi="ar"/>
        </w:rPr>
      </w:pPr>
      <w:r>
        <w:rPr>
          <w:rFonts w:hint="eastAsia" w:ascii="黑体" w:hAnsi="黑体" w:eastAsia="黑体" w:cs="黑体"/>
          <w:b/>
          <w:bCs/>
          <w:color w:val="auto"/>
          <w:sz w:val="24"/>
          <w:szCs w:val="24"/>
          <w:highlight w:val="none"/>
        </w:rPr>
        <w:t xml:space="preserve">备注：本项目专门面向中小企业，不享受价格扣除优惠政策。</w:t>
      </w:r>
      <w:r/>
    </w:p>
    <w:p>
      <w:pPr>
        <w:ind w:left="0" w:right="0" w:firstLine="480"/>
        <w:jc w:val="left"/>
        <w:keepLines w:val="0"/>
        <w:keepNext w:val="0"/>
        <w:pageBreakBefore w:val="0"/>
        <w:spacing w:before="0" w:beforeAutospacing="0" w:after="0" w:afterAutospacing="0" w:line="440" w:lineRule="exact"/>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3、</w:t>
      </w:r>
      <w:r>
        <w:rPr>
          <w:rFonts w:hint="eastAsia" w:ascii="黑体" w:hAnsi="黑体" w:eastAsia="黑体" w:cs="黑体"/>
          <w:color w:val="auto"/>
          <w:sz w:val="24"/>
          <w:szCs w:val="24"/>
          <w:highlight w:val="none"/>
          <w:lang w:val="en-US" w:eastAsia="zh-CN" w:bidi="ar"/>
        </w:rPr>
        <w:t xml:space="preserve">供应商法定代表人参加的，必须提供法定代表人身份证明及法定代表人本人身份证原件扫描件（格式</w:t>
      </w:r>
      <w:r>
        <w:rPr>
          <w:rFonts w:hint="eastAsia" w:ascii="黑体" w:hAnsi="黑体" w:eastAsia="黑体" w:cs="黑体"/>
          <w:color w:val="auto"/>
          <w:sz w:val="24"/>
          <w:szCs w:val="24"/>
          <w:highlight w:val="none"/>
          <w:lang w:val="en-US" w:eastAsia="zh-CN" w:bidi="ar"/>
        </w:rPr>
        <w:t xml:space="preserve">参见</w:t>
      </w:r>
      <w:r>
        <w:rPr>
          <w:rFonts w:hint="eastAsia" w:ascii="黑体" w:hAnsi="黑体" w:eastAsia="黑体" w:cs="黑体"/>
          <w:color w:val="auto"/>
          <w:sz w:val="24"/>
          <w:szCs w:val="24"/>
          <w:highlight w:val="none"/>
          <w:lang w:val="en-US" w:eastAsia="zh-CN" w:bidi="ar"/>
        </w:rPr>
        <w:t xml:space="preserve">第七章）；非法定代表人参加的，必须提供法定代表人签字或盖章的授权委托书及法定代表人、被授权人的两人身份证的原件扫描件（格式参见第七章）；</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4、响应供应商未被“信用中国”网站、中国政府采购网、国家企业信用信息公示系统列入失信被执行人、重大税收违法案件当事人名单、政府采购严重违法失信行为记录名单、异常经营名录、严重违法失信企业名单；为确保政府采购守法供应商公平参加政府采购活动，采购代理机构将在开标开始后一个小时内，通过“信用中国”网站和中国政府采购网和国家企业信用信息公示系统对供应商信用信息进行查询查证，并将查询记录截屏打印保存在采购档案内。如核实未通过，经评标小组确认后资格审查不予通过；</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5、本项目的特定资格要求：无</w:t>
      </w:r>
      <w:r/>
    </w:p>
    <w:p>
      <w:pPr>
        <w:ind w:firstLine="480"/>
        <w:jc w:val="left"/>
        <w:pageBreakBefore w:val="0"/>
        <w:spacing w:line="440" w:lineRule="exact"/>
        <w:rPr>
          <w:rFonts w:hint="eastAsia" w:ascii="黑体" w:hAnsi="黑体" w:eastAsia="黑体" w:cs="黑体"/>
          <w:color w:val="auto"/>
          <w:sz w:val="24"/>
          <w:szCs w:val="24"/>
          <w:highlight w:val="none"/>
          <w:shd w:val="clear" w:color="auto" w:fill="ffffff"/>
        </w:rPr>
      </w:pPr>
      <w:r>
        <w:rPr>
          <w:rFonts w:hint="eastAsia" w:ascii="黑体" w:hAnsi="黑体" w:eastAsia="黑体" w:cs="黑体"/>
          <w:color w:val="auto"/>
          <w:sz w:val="24"/>
          <w:szCs w:val="24"/>
          <w:highlight w:val="none"/>
          <w:lang w:val="en-US" w:eastAsia="zh-CN" w:bidi="ar"/>
        </w:rPr>
        <w:t xml:space="preserve">6、</w:t>
      </w:r>
      <w:r>
        <w:rPr>
          <w:rFonts w:hint="eastAsia" w:ascii="黑体" w:hAnsi="黑体" w:eastAsia="黑体" w:cs="黑体"/>
          <w:color w:val="auto"/>
          <w:sz w:val="24"/>
          <w:szCs w:val="24"/>
          <w:highlight w:val="none"/>
          <w:shd w:val="clear" w:color="auto" w:fill="ffffff"/>
        </w:rPr>
        <w:t xml:space="preserve">符合法律、法规规定的其他条件。</w:t>
      </w:r>
      <w:r/>
    </w:p>
    <w:p>
      <w:pPr>
        <w:pStyle w:val="926"/>
        <w:ind w:firstLine="240"/>
        <w:keepLines w:val="0"/>
        <w:keepNext w:val="0"/>
        <w:pageBreakBefore w:val="0"/>
        <w:spacing w:line="360" w:lineRule="auto"/>
        <w:widowControl w:val="off"/>
        <w:rPr>
          <w:rFonts w:hint="eastAsia" w:ascii="黑体" w:hAnsi="黑体" w:eastAsia="黑体" w:cs="黑体"/>
          <w:color w:val="auto"/>
          <w:sz w:val="24"/>
          <w:szCs w:val="24"/>
          <w:highlight w:val="none"/>
          <w:shd w:val="clear" w:color="auto" w:fill="ffffff"/>
          <w:lang w:val="en-US" w:eastAsia="zh-CN" w:bidi="ar-SA"/>
        </w:rPr>
      </w:pPr>
      <w:r>
        <w:rPr>
          <w:rFonts w:hint="eastAsia" w:ascii="黑体" w:hAnsi="黑体" w:eastAsia="黑体" w:cs="黑体"/>
          <w:color w:val="auto"/>
          <w:sz w:val="24"/>
          <w:szCs w:val="24"/>
          <w:highlight w:val="none"/>
          <w:shd w:val="clear" w:color="auto" w:fill="ffffff"/>
          <w:lang w:val="en-US" w:eastAsia="zh-CN" w:bidi="ar-SA"/>
        </w:rPr>
        <w:t xml:space="preserve">【特别提醒】单位负责人为同一人或者存在直接控股、管理关系的不同供应商，不得参加同一合同 项下的采购活动，法定代表人为同一人的以上法人，母公司、全资子公司及其控股公司，都不得参加同一合同项目的采购活动。</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三、获取招标文件</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b w:val="0"/>
          <w:bCs w:val="0"/>
          <w:color w:val="auto"/>
          <w:sz w:val="24"/>
          <w:szCs w:val="24"/>
          <w:highlight w:val="none"/>
          <w:u w:val="single"/>
          <w:lang w:val="en-US" w:eastAsia="zh-CN"/>
        </w:rPr>
        <w:suppressLineNumbers w:val="0"/>
      </w:pPr>
      <w:r>
        <w:rPr>
          <w:rFonts w:hint="eastAsia" w:ascii="黑体" w:hAnsi="黑体" w:eastAsia="黑体" w:cs="黑体"/>
          <w:color w:val="auto"/>
          <w:sz w:val="24"/>
          <w:szCs w:val="24"/>
          <w:highlight w:val="none"/>
          <w:lang w:val="en-US" w:eastAsia="zh-CN" w:bidi="ar"/>
        </w:rPr>
        <w:t xml:space="preserve">时间</w:t>
      </w:r>
      <w:r>
        <w:rPr>
          <w:rFonts w:hint="eastAsia" w:ascii="黑体" w:hAnsi="黑体" w:eastAsia="黑体" w:cs="黑体"/>
          <w:b/>
          <w:bCs/>
          <w:color w:val="auto"/>
          <w:sz w:val="24"/>
          <w:szCs w:val="24"/>
          <w:highlight w:val="none"/>
          <w:lang w:val="en-US" w:eastAsia="zh-CN" w:bidi="ar"/>
        </w:rPr>
        <w:t xml:space="preserve">：</w:t>
      </w:r>
      <w:r>
        <w:rPr>
          <w:rFonts w:hint="eastAsia" w:ascii="黑体" w:hAnsi="黑体" w:eastAsia="黑体" w:cs="黑体"/>
          <w:b/>
          <w:bCs/>
          <w:color w:val="auto"/>
          <w:sz w:val="24"/>
          <w:szCs w:val="24"/>
          <w:highlight w:val="none"/>
          <w:u w:val="single"/>
          <w:lang w:val="en-US" w:eastAsia="zh-CN" w:bidi="ar"/>
        </w:rPr>
        <w:t xml:space="preserve">2024年10月11日至2024 年10 月17日17:00（北京时间）</w:t>
      </w:r>
      <w:r>
        <w:rPr>
          <w:rFonts w:hint="eastAsia" w:ascii="黑体" w:hAnsi="黑体" w:eastAsia="黑体" w:cs="黑体"/>
          <w:b w:val="0"/>
          <w:bCs w:val="0"/>
          <w:color w:val="auto"/>
          <w:sz w:val="24"/>
          <w:szCs w:val="24"/>
          <w:highlight w:val="none"/>
          <w:u w:val="single"/>
          <w:lang w:val="en-US" w:eastAsia="zh-CN" w:bidi="ar"/>
        </w:rPr>
        <w:t xml:space="preserve">（</w:t>
      </w:r>
      <w:r>
        <w:rPr>
          <w:rFonts w:hint="eastAsia" w:ascii="黑体" w:hAnsi="黑体" w:eastAsia="黑体" w:cs="黑体"/>
          <w:b w:val="0"/>
          <w:bCs w:val="0"/>
          <w:color w:val="auto"/>
          <w:sz w:val="24"/>
          <w:szCs w:val="24"/>
          <w:highlight w:val="none"/>
          <w:shd w:val="clear" w:color="auto" w:fill="ffffff"/>
          <w:lang w:val="en-US" w:eastAsia="en-US"/>
        </w:rPr>
        <w:t xml:space="preserve">自招标文件公告发布之日起5个工作日</w:t>
      </w:r>
      <w:r>
        <w:rPr>
          <w:rFonts w:hint="eastAsia" w:ascii="黑体" w:hAnsi="黑体" w:eastAsia="黑体" w:cs="黑体"/>
          <w:b w:val="0"/>
          <w:bCs w:val="0"/>
          <w:color w:val="auto"/>
          <w:sz w:val="24"/>
          <w:szCs w:val="24"/>
          <w:highlight w:val="none"/>
          <w:shd w:val="clear" w:color="auto" w:fill="ffffff"/>
          <w:lang w:val="en-US" w:eastAsia="zh-CN"/>
        </w:rPr>
        <w:t xml:space="preserve">）</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地点：江苏政府采购网站</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方式：自行下载</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四、提交投标文件截止时间、开标时间和地点</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b/>
          <w:bCs/>
          <w:color w:val="auto"/>
          <w:sz w:val="24"/>
          <w:szCs w:val="24"/>
          <w:highlight w:val="none"/>
          <w:u w:val="none"/>
          <w:lang w:val="en-US" w:eastAsia="zh-CN" w:bidi="ar"/>
        </w:rPr>
        <w:t xml:space="preserve">截止时间：</w:t>
      </w:r>
      <w:r>
        <w:rPr>
          <w:rFonts w:hint="eastAsia" w:ascii="黑体" w:hAnsi="黑体" w:eastAsia="黑体" w:cs="黑体"/>
          <w:b/>
          <w:bCs/>
          <w:color w:val="auto"/>
          <w:sz w:val="24"/>
          <w:szCs w:val="24"/>
          <w:highlight w:val="none"/>
          <w:u w:val="single"/>
          <w:lang w:val="en-US" w:eastAsia="zh-CN" w:bidi="ar"/>
        </w:rPr>
        <w:t xml:space="preserve">2024年11月1日9点30分（北京时间），</w:t>
      </w:r>
      <w:r>
        <w:rPr>
          <w:rFonts w:hint="eastAsia" w:ascii="黑体" w:hAnsi="黑体" w:eastAsia="黑体" w:cs="黑体"/>
          <w:color w:val="auto"/>
          <w:sz w:val="24"/>
          <w:szCs w:val="24"/>
          <w:highlight w:val="none"/>
          <w:lang w:val="en-US" w:eastAsia="zh-CN" w:bidi="ar"/>
        </w:rPr>
        <w:t xml:space="preserve">逾时，开标现场不再接收投标文件。</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i/>
          <w:iCs w:val="0"/>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地点：</w:t>
      </w:r>
      <w:r>
        <w:rPr>
          <w:rFonts w:hint="eastAsia" w:ascii="黑体" w:hAnsi="黑体" w:eastAsia="黑体" w:cs="黑体"/>
          <w:b w:val="0"/>
          <w:bCs w:val="0"/>
          <w:color w:val="auto"/>
          <w:sz w:val="24"/>
          <w:szCs w:val="24"/>
          <w:highlight w:val="none"/>
          <w:lang w:val="en-US" w:eastAsia="zh-CN" w:bidi="ar"/>
        </w:rPr>
        <w:t xml:space="preserve">南通市开发区</w:t>
      </w:r>
      <w:r>
        <w:rPr>
          <w:rFonts w:hint="eastAsia" w:ascii="黑体" w:hAnsi="黑体" w:eastAsia="黑体" w:cs="黑体"/>
          <w:b w:val="0"/>
          <w:bCs w:val="0"/>
          <w:color w:val="auto"/>
          <w:sz w:val="24"/>
          <w:szCs w:val="24"/>
          <w:highlight w:val="none"/>
          <w:shd w:val="clear" w:color="auto" w:fill="auto"/>
          <w:lang w:val="en-US" w:eastAsia="en-US"/>
        </w:rPr>
        <w:t xml:space="preserve">开发区长通路9号（飞马国际中心A座</w:t>
      </w:r>
      <w:r>
        <w:rPr>
          <w:rFonts w:hint="eastAsia" w:ascii="黑体" w:hAnsi="黑体" w:eastAsia="黑体" w:cs="黑体"/>
          <w:b w:val="0"/>
          <w:bCs w:val="0"/>
          <w:color w:val="auto"/>
          <w:sz w:val="24"/>
          <w:szCs w:val="24"/>
          <w:highlight w:val="none"/>
          <w:shd w:val="clear" w:color="auto" w:fill="auto"/>
          <w:lang w:val="en-US" w:eastAsia="zh-CN"/>
        </w:rPr>
        <w:t xml:space="preserve">1408</w:t>
      </w:r>
      <w:r>
        <w:rPr>
          <w:rFonts w:hint="eastAsia" w:ascii="黑体" w:hAnsi="黑体" w:eastAsia="黑体" w:cs="黑体"/>
          <w:b w:val="0"/>
          <w:bCs w:val="0"/>
          <w:color w:val="auto"/>
          <w:sz w:val="24"/>
          <w:szCs w:val="24"/>
          <w:highlight w:val="none"/>
          <w:shd w:val="clear" w:color="auto" w:fill="auto"/>
          <w:lang w:val="en-US" w:eastAsia="en-US"/>
        </w:rPr>
        <w:t xml:space="preserve">室）</w:t>
      </w:r>
      <w:r>
        <w:rPr>
          <w:rFonts w:hint="eastAsia" w:ascii="黑体" w:hAnsi="黑体" w:eastAsia="黑体" w:cs="黑体"/>
          <w:b/>
          <w:bCs/>
          <w:color w:val="auto"/>
          <w:sz w:val="24"/>
          <w:szCs w:val="24"/>
          <w:highlight w:val="none"/>
          <w:lang w:val="en-US" w:eastAsia="zh-CN" w:bidi="ar"/>
        </w:rPr>
        <w:t xml:space="preserve"> </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五、公告期限</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自本公告发布之日起5个工作日。</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1.投标保证金：免收</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2.项目开标活动模式：现场模式，投标授权人需将有效身份证带至开标会备查。</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3.对项目需求部分（供应商其他资格要求、项目需求、评分标准）的询问、质疑请向采购人提出，由采购人负责答复；对项目招标文件其它部分的询问请向招标代理机构提出。</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4.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r/>
    </w:p>
    <w:p>
      <w:pPr>
        <w:pStyle w:val="926"/>
        <w:ind w:firstLine="480"/>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5、本项目为纸质投标 ，响应文件分三部分。第一部分为“资格审查材料”、第二部分为“商务技术标”、第三部分为“价格标”；三部分应分别装订成册，每部分的响应文件（一式伍份）可一并密封也可分别密封。特别提示：与投标报价相关的任何资料（</w:t>
      </w:r>
      <w:r>
        <w:rPr>
          <w:rFonts w:hint="eastAsia" w:ascii="黑体" w:hAnsi="黑体" w:eastAsia="黑体" w:cs="黑体"/>
          <w:color w:val="auto"/>
          <w:sz w:val="24"/>
          <w:szCs w:val="24"/>
          <w:highlight w:val="none"/>
          <w:u w:val="single"/>
          <w:lang w:val="en-US" w:eastAsia="zh-CN" w:bidi="ar"/>
        </w:rPr>
        <w:t xml:space="preserve">专指</w:t>
      </w:r>
      <w:r>
        <w:rPr>
          <w:rFonts w:hint="eastAsia" w:ascii="黑体" w:hAnsi="黑体" w:eastAsia="黑体" w:cs="黑体"/>
          <w:color w:val="auto"/>
          <w:sz w:val="24"/>
          <w:szCs w:val="24"/>
          <w:u w:val="single"/>
          <w:lang w:val="en-US" w:eastAsia="zh-CN"/>
        </w:rPr>
        <w:t xml:space="preserve">供应商针对本项目</w:t>
      </w:r>
      <w:r>
        <w:rPr>
          <w:rFonts w:hint="eastAsia" w:ascii="黑体" w:hAnsi="黑体" w:eastAsia="黑体" w:cs="黑体"/>
          <w:color w:val="auto"/>
          <w:sz w:val="24"/>
          <w:szCs w:val="24"/>
          <w:u w:val="single"/>
        </w:rPr>
        <w:t xml:space="preserve">居家</w:t>
      </w:r>
      <w:bookmarkStart w:id="36" w:name="_GoBack"/>
      <w:r/>
      <w:bookmarkEnd w:id="36"/>
      <w:r>
        <w:rPr>
          <w:rFonts w:hint="eastAsia" w:ascii="黑体" w:hAnsi="黑体" w:eastAsia="黑体" w:cs="黑体"/>
          <w:color w:val="auto"/>
          <w:sz w:val="24"/>
          <w:szCs w:val="24"/>
          <w:u w:val="single"/>
        </w:rPr>
        <w:t xml:space="preserve">养老服务</w:t>
      </w:r>
      <w:r>
        <w:rPr>
          <w:rFonts w:hint="eastAsia" w:ascii="黑体" w:hAnsi="黑体" w:eastAsia="黑体" w:cs="黑体"/>
          <w:color w:val="auto"/>
          <w:sz w:val="24"/>
          <w:szCs w:val="24"/>
          <w:u w:val="single"/>
          <w:lang w:val="en-US" w:eastAsia="zh-CN"/>
        </w:rPr>
        <w:t xml:space="preserve">分项作投标报价的内容</w:t>
      </w:r>
      <w:r>
        <w:rPr>
          <w:rFonts w:hint="eastAsia" w:ascii="黑体" w:hAnsi="黑体" w:eastAsia="黑体" w:cs="黑体"/>
          <w:color w:val="auto"/>
          <w:sz w:val="24"/>
          <w:szCs w:val="24"/>
          <w:highlight w:val="none"/>
          <w:lang w:val="en-US" w:eastAsia="zh-CN" w:bidi="ar"/>
        </w:rPr>
        <w:t xml:space="preserve">），不得出现在“资格审查材料”和“商务技术标”之中。密封后应标明投标文件项目名称、项目编号、供应商名称、边缝处加盖单位骑缝章或骑缝签字。</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1.采购人信息</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名    称：南通市新开街道办事处  </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地    址：开发区春天花园56号</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联 系 方 式： 朱先生，0513-81012262</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2.招标代理机构信息</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名 称：南通润通项目管理有限公司</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地   址：南通经济技术开发区长通路9号（飞马国际中心A座1408室）</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联系人：赵斌</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联系方式：19812255667</w:t>
      </w:r>
      <w:bookmarkEnd w:id="3"/>
      <w:r/>
      <w:bookmarkEnd w:id="4"/>
      <w:r/>
      <w:bookmarkEnd w:id="5"/>
      <w:r/>
      <w:bookmarkEnd w:id="6"/>
      <w:r/>
      <w:bookmarkEnd w:id="7"/>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rPr>
        <w:suppressLineNumbers w:val="0"/>
      </w:pPr>
      <w:r>
        <w:rPr>
          <w:rFonts w:hint="eastAsia" w:ascii="黑体" w:hAnsi="黑体" w:eastAsia="黑体" w:cs="黑体"/>
          <w:b/>
          <w:bCs w:val="0"/>
          <w:color w:val="auto"/>
          <w:sz w:val="24"/>
          <w:szCs w:val="24"/>
          <w:highlight w:val="none"/>
          <w:lang w:val="en-US" w:eastAsia="zh-CN" w:bidi="ar"/>
        </w:rPr>
        <w:br w:type="page" w:clear="all"/>
      </w:r>
      <w:r>
        <w:rPr>
          <w:rFonts w:hint="eastAsia" w:ascii="黑体" w:hAnsi="黑体" w:eastAsia="黑体" w:cs="黑体"/>
          <w:b/>
          <w:bCs w:val="0"/>
          <w:color w:val="auto"/>
          <w:sz w:val="36"/>
          <w:szCs w:val="36"/>
          <w:highlight w:val="none"/>
          <w:lang w:val="en-US" w:eastAsia="zh-CN" w:bidi="ar"/>
        </w:rPr>
        <w:t xml:space="preserve">            第二部分 投标须知</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一、招标文件由采购人解释</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供应商下载招标文件后，应仔细检查招标文件的所有内容，如对政府采购活动事项有疑问的，应在下载招标文件开始之日起3日内以书面形式提出询问或疑问，未在规定的3日内提出询问或疑问的，视同供应商理解并接受本招标文件所有内容，并由此引起的投标损失自负。</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应认真审阅招标文件中所有的事项、格式、条款和规范要求等，如果</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没有按照招标文件要求提交投标文件，或者投标文件没有对招标文件做出实质性响应，其投标将被拒绝，</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自行承担责任。</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二、招标文件的澄清、修改、答疑</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1.采购人有权对发出的招标文件进行必要的澄清或修改。</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2.采购人可视情取消、延长相关时间。</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3.采购人对招标文件的澄清、修改将构成招标文件的一部分，对投标供应商具有约束力。</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4.供应商对采购人提供的采购文件所做出的推论、解释和结论，采购人概不负责。供应商由于对采购文件的任何推论和误解以及采购人对有关问题的口头解释所造成的后果，均由各潜在供应商自负。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5.采购人视情组织答疑会。</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zh-CN" w:eastAsia="zh-CN" w:bidi="ar"/>
        </w:rPr>
        <w:t xml:space="preserve">三、投标文件的编写、递交、上传</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（一）投标文件的编写</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投标供应商按“第七部分 投标文件组成”要求编写投标文件。</w:t>
      </w:r>
      <w:r/>
    </w:p>
    <w:p>
      <w:pPr>
        <w:numPr>
          <w:ilvl w:val="0"/>
          <w:numId w:val="1"/>
        </w:num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zh-CN" w:eastAsia="zh-CN"/>
        </w:rPr>
        <w:suppressLineNumbers w:val="0"/>
      </w:pPr>
      <w:r>
        <w:rPr>
          <w:rFonts w:hint="eastAsia" w:ascii="黑体" w:hAnsi="黑体" w:eastAsia="黑体" w:cs="黑体"/>
          <w:b/>
          <w:bCs/>
          <w:color w:val="auto"/>
          <w:sz w:val="24"/>
          <w:szCs w:val="24"/>
          <w:highlight w:val="none"/>
          <w:lang w:val="zh-CN" w:eastAsia="zh-CN" w:bidi="ar"/>
        </w:rPr>
        <w:t xml:space="preserve">投标文件的递交</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w:t>
      </w:r>
      <w:r>
        <w:rPr>
          <w:rFonts w:hint="eastAsia" w:ascii="黑体" w:hAnsi="黑体" w:eastAsia="黑体" w:cs="黑体"/>
          <w:b/>
          <w:bCs/>
          <w:color w:val="auto"/>
          <w:sz w:val="24"/>
          <w:szCs w:val="24"/>
          <w:highlight w:val="none"/>
          <w:lang w:val="en-US" w:eastAsia="zh-CN" w:bidi="ar"/>
        </w:rPr>
        <w:t xml:space="preserve">投标文件均包含三部分内容</w:t>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zh-CN" w:eastAsia="zh-CN" w:bidi="ar"/>
        </w:rPr>
        <w:t xml:space="preserve">资格审查</w:t>
      </w:r>
      <w:r>
        <w:rPr>
          <w:rFonts w:hint="eastAsia" w:ascii="黑体" w:hAnsi="黑体" w:eastAsia="黑体" w:cs="黑体"/>
          <w:color w:val="auto"/>
          <w:sz w:val="24"/>
          <w:szCs w:val="24"/>
          <w:highlight w:val="none"/>
          <w:lang w:val="en-US" w:eastAsia="zh-CN" w:bidi="ar"/>
        </w:rPr>
        <w:t xml:space="preserve">文件</w:t>
      </w:r>
      <w:r>
        <w:rPr>
          <w:rFonts w:hint="eastAsia" w:ascii="黑体" w:hAnsi="黑体" w:eastAsia="黑体" w:cs="黑体"/>
          <w:color w:val="auto"/>
          <w:sz w:val="24"/>
          <w:szCs w:val="24"/>
          <w:highlight w:val="none"/>
          <w:lang w:val="zh-CN" w:eastAsia="zh-CN" w:bidi="ar"/>
        </w:rPr>
        <w:t xml:space="preserve">、商务技术标、价格标</w:t>
      </w:r>
      <w:r>
        <w:rPr>
          <w:rFonts w:hint="eastAsia" w:ascii="黑体" w:hAnsi="黑体" w:eastAsia="黑体" w:cs="黑体"/>
          <w:color w:val="auto"/>
          <w:sz w:val="24"/>
          <w:szCs w:val="24"/>
          <w:highlight w:val="none"/>
          <w:lang w:val="en-US" w:eastAsia="zh-CN" w:bidi="ar"/>
        </w:rPr>
        <w:t xml:space="preserve">）须分别单独密封，并牢固装订成册，不得相互混淆，文件自编目录并连续标注页码，不得将内容拆开。报价文件不得出现于其他投标文件中。</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投标文件每一部分内容均须提供“一正、四副”纸质投标文件，可将正本、副本及图纸类等（如需提供图纸等其它资料的话）合并密封，可统一装在一个密封袋或密封箱内（如有A3大小的图纸类，可单独密封）。</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3.纸质投标文件须采用A4纸（图纸等除外），正本须打印并由法定代表人或授权人签字并加盖单位印章。副本可复印，但须加盖单位印章。文件内容中不得行间插字、涂改、增删，如修补错漏处，须由投标文件签署人签字并加盖公章。</w:t>
      </w:r>
      <w:r/>
    </w:p>
    <w:p>
      <w:pPr>
        <w:pStyle w:val="926"/>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r>
      <w:r/>
    </w:p>
    <w:p>
      <w:pPr>
        <w:pStyle w:val="926"/>
        <w:ind w:firstLine="562"/>
        <w:keepLines w:val="0"/>
        <w:keepNext w:val="0"/>
        <w:pageBreakBefore w:val="0"/>
        <w:spacing w:line="380" w:lineRule="exact"/>
        <w:widowControl w:val="off"/>
        <w:rPr>
          <w:rFonts w:hint="eastAsia" w:ascii="黑体" w:hAnsi="黑体" w:eastAsia="黑体" w:cs="黑体"/>
          <w:b/>
          <w:bCs/>
          <w:color w:val="auto"/>
          <w:sz w:val="28"/>
          <w:szCs w:val="28"/>
          <w:u w:val="single"/>
          <w:lang w:val="en-US" w:eastAsia="zh-CN"/>
        </w:rPr>
      </w:pPr>
      <w:r>
        <w:rPr>
          <w:rFonts w:hint="eastAsia" w:ascii="黑体" w:hAnsi="黑体" w:eastAsia="黑体" w:cs="黑体"/>
          <w:b/>
          <w:bCs/>
          <w:color w:val="auto"/>
          <w:sz w:val="28"/>
          <w:szCs w:val="28"/>
          <w:highlight w:val="none"/>
          <w:u w:val="single"/>
          <w:lang w:val="en-US" w:eastAsia="zh-CN" w:bidi="ar"/>
        </w:rPr>
        <w:t xml:space="preserve">特别提示：与投标报价相关的任何资料（专指</w:t>
      </w:r>
      <w:r>
        <w:rPr>
          <w:rFonts w:hint="eastAsia" w:ascii="黑体" w:hAnsi="黑体" w:eastAsia="黑体" w:cs="黑体"/>
          <w:b/>
          <w:bCs/>
          <w:color w:val="auto"/>
          <w:sz w:val="28"/>
          <w:szCs w:val="28"/>
          <w:u w:val="single"/>
          <w:lang w:val="en-US" w:eastAsia="zh-CN"/>
        </w:rPr>
        <w:t xml:space="preserve">供应商针对本项目</w:t>
      </w:r>
      <w:r>
        <w:rPr>
          <w:rFonts w:hint="eastAsia" w:ascii="黑体" w:hAnsi="黑体" w:eastAsia="黑体" w:cs="黑体"/>
          <w:b/>
          <w:bCs/>
          <w:color w:val="auto"/>
          <w:sz w:val="28"/>
          <w:szCs w:val="28"/>
          <w:u w:val="single"/>
        </w:rPr>
        <w:t xml:space="preserve">居家养老服务</w:t>
      </w:r>
      <w:r>
        <w:rPr>
          <w:rFonts w:hint="eastAsia" w:ascii="黑体" w:hAnsi="黑体" w:eastAsia="黑体" w:cs="黑体"/>
          <w:b/>
          <w:bCs/>
          <w:color w:val="auto"/>
          <w:sz w:val="28"/>
          <w:szCs w:val="28"/>
          <w:u w:val="single"/>
          <w:lang w:val="en-US" w:eastAsia="zh-CN"/>
        </w:rPr>
        <w:t xml:space="preserve">分项作投标报价的内容，</w:t>
      </w:r>
      <w:r>
        <w:rPr>
          <w:rFonts w:hint="eastAsia" w:ascii="黑体" w:hAnsi="黑体" w:eastAsia="黑体" w:cs="黑体"/>
          <w:b/>
          <w:bCs/>
          <w:color w:val="auto"/>
          <w:sz w:val="28"/>
          <w:szCs w:val="28"/>
          <w:highlight w:val="none"/>
          <w:u w:val="single"/>
          <w:lang w:val="en-US" w:eastAsia="zh-CN" w:bidi="ar"/>
        </w:rPr>
        <w:t xml:space="preserve">不得出现在“资格审查材料”和“商务技术标”之中。</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4.投标文件密封后应标明投标文件项目名称、项目编号、供应商名称、边缝处加盖单位骑缝章或骑缝签字，</w:t>
      </w:r>
      <w:r>
        <w:rPr>
          <w:rFonts w:hint="eastAsia" w:ascii="黑体" w:hAnsi="黑体" w:eastAsia="黑体" w:cs="黑体"/>
          <w:b/>
          <w:bCs/>
          <w:color w:val="auto"/>
          <w:sz w:val="24"/>
          <w:szCs w:val="24"/>
          <w:highlight w:val="none"/>
          <w:u w:val="single"/>
          <w:lang w:val="en-US" w:eastAsia="zh-CN" w:bidi="ar"/>
        </w:rPr>
        <w:t xml:space="preserve">并注明于投标前不得启封。</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5.递交时间：供应商须在规定的投标文件接收截止时间前送达指定地点。供应商送达投标文件，即视为已投标参加政府采购活动。</w:t>
      </w:r>
      <w:r/>
    </w:p>
    <w:p>
      <w:pPr>
        <w:ind w:firstLine="480"/>
        <w:spacing w:after="0" w:line="479" w:lineRule="atLeast"/>
        <w:shd w:val="clear" w:color="auto" w:fill="auto"/>
        <w:rPr>
          <w:rFonts w:hint="eastAsia" w:ascii="黑体" w:hAnsi="黑体" w:eastAsia="黑体" w:cs="黑体"/>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szCs w:val="24"/>
          <w:highlight w:val="none"/>
          <w:lang w:val="en-US" w:eastAsia="zh-CN" w:bidi="ar"/>
        </w:rPr>
        <w:t xml:space="preserve">6.如果密封包装未按要求密封和加写标记，代理机构对误投或过早启封概不负责。对由此造成提前开封的响应文件，代理机构将予以拒绝，作无效响应处理。</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1"/>
        <w:suppressLineNumbers w:val="0"/>
      </w:pPr>
      <w:r>
        <w:rPr>
          <w:rFonts w:hint="eastAsia" w:ascii="黑体" w:hAnsi="黑体" w:eastAsia="黑体" w:cs="黑体"/>
          <w:b/>
          <w:bCs/>
          <w:color w:val="auto"/>
          <w:sz w:val="24"/>
          <w:szCs w:val="24"/>
          <w:highlight w:val="none"/>
          <w:lang w:val="en-US" w:eastAsia="zh-CN" w:bidi="ar"/>
        </w:rPr>
        <w:t xml:space="preserve">四、投标文件的有效期</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1、从投标文件接收截止之日算起，</w:t>
      </w:r>
      <w:r>
        <w:rPr>
          <w:rFonts w:hint="eastAsia" w:ascii="黑体" w:hAnsi="黑体" w:eastAsia="黑体" w:cs="黑体"/>
          <w:color w:val="auto"/>
          <w:sz w:val="24"/>
          <w:szCs w:val="24"/>
          <w:highlight w:val="none"/>
          <w:u w:val="single"/>
          <w:lang w:val="en-US" w:eastAsia="zh-CN" w:bidi="ar"/>
        </w:rPr>
        <w:t xml:space="preserve">60</w:t>
      </w:r>
      <w:r>
        <w:rPr>
          <w:rFonts w:hint="eastAsia" w:ascii="黑体" w:hAnsi="黑体" w:eastAsia="黑体" w:cs="黑体"/>
          <w:b/>
          <w:bCs w:val="0"/>
          <w:color w:val="auto"/>
          <w:sz w:val="24"/>
          <w:szCs w:val="24"/>
          <w:highlight w:val="none"/>
          <w:u w:val="single"/>
          <w:lang w:val="en-US" w:eastAsia="zh-CN" w:bidi="ar"/>
        </w:rPr>
        <w:t xml:space="preserve"> </w:t>
      </w:r>
      <w:r>
        <w:rPr>
          <w:rFonts w:hint="eastAsia" w:ascii="黑体" w:hAnsi="黑体" w:eastAsia="黑体" w:cs="黑体"/>
          <w:color w:val="auto"/>
          <w:sz w:val="24"/>
          <w:szCs w:val="24"/>
          <w:highlight w:val="none"/>
          <w:lang w:val="en-US" w:eastAsia="zh-CN" w:bidi="ar"/>
        </w:rPr>
        <w:t xml:space="preserve">个“日历天”内投标书应保持有效。有效期短于这个规定期限的，投标将被拒绝。</w:t>
      </w:r>
      <w:r/>
    </w:p>
    <w:p>
      <w:pPr>
        <w:ind w:firstLine="470"/>
        <w:jc w:val="left"/>
        <w:pageBreakBefore w:val="0"/>
        <w:spacing w:line="440" w:lineRule="exact"/>
        <w:rPr>
          <w:rFonts w:hint="eastAsia" w:ascii="黑体" w:hAnsi="黑体" w:eastAsia="黑体" w:cs="黑体"/>
          <w:b/>
          <w:color w:val="auto"/>
          <w:sz w:val="24"/>
          <w:szCs w:val="32"/>
          <w:highlight w:val="none"/>
        </w:rPr>
        <w:outlineLvl w:val="1"/>
      </w:pPr>
      <w:r>
        <w:rPr>
          <w:rFonts w:hint="eastAsia" w:ascii="黑体" w:hAnsi="黑体" w:eastAsia="黑体" w:cs="黑体"/>
          <w:color w:val="auto"/>
          <w:sz w:val="24"/>
          <w:szCs w:val="32"/>
          <w:highlight w:val="none"/>
        </w:rPr>
        <w:t xml:space="preserve">2、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eastAsia="zh-CN"/>
        </w:rPr>
        <w:t xml:space="preserve">五、投标报价</w:t>
      </w:r>
      <w:r/>
    </w:p>
    <w:p>
      <w:pPr>
        <w:pStyle w:val="940"/>
        <w:contextualSpacing/>
        <w:ind w:left="0" w:firstLine="480"/>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color w:val="auto"/>
          <w:sz w:val="24"/>
          <w:szCs w:val="24"/>
          <w:highlight w:val="none"/>
          <w:lang w:val="en-US"/>
        </w:rPr>
        <w:t xml:space="preserve">一个标的（段）只允许一个报价，不接受任何有选择性的报价。</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六、</w:t>
      </w:r>
      <w:r>
        <w:rPr>
          <w:rFonts w:hint="eastAsia" w:ascii="黑体" w:hAnsi="黑体" w:eastAsia="黑体" w:cs="黑体"/>
          <w:b/>
          <w:bCs w:val="0"/>
          <w:color w:val="auto"/>
          <w:sz w:val="24"/>
          <w:szCs w:val="24"/>
          <w:highlight w:val="none"/>
          <w:lang w:val="en-US" w:eastAsia="zh-CN" w:bidi="ar"/>
        </w:rPr>
        <w:t xml:space="preserve">投标</w:t>
      </w:r>
      <w:r>
        <w:rPr>
          <w:rFonts w:hint="eastAsia" w:ascii="黑体" w:hAnsi="黑体" w:eastAsia="黑体" w:cs="黑体"/>
          <w:b/>
          <w:bCs/>
          <w:color w:val="auto"/>
          <w:sz w:val="24"/>
          <w:szCs w:val="24"/>
          <w:highlight w:val="none"/>
          <w:lang w:val="en-US" w:eastAsia="zh-CN" w:bidi="ar"/>
        </w:rPr>
        <w:t xml:space="preserve">费用</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1、供应商承担参与投标可能发生的全部费用，采购人在任何情况下均无义务和责任承担这些费用。</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2、采购人不收取任何费用。</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3、招标代理费：依据财政部《政府采购代理机构管理暂行办法》第十五条规定，本项目2024年-2026年的招标代理服务费用约定由成交供应商向招标代理机构支付代理服务费。代理服务费计取金额按照下列规定标准，按差额定率累进法计算结果的80%计（不足4000元按照4000元收取），此项费用含在投标报价中，并不单独立项，由中标人在取得成交通知书前，向招标代理机构一次付清。</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70"/>
        <w:gridCol w:w="1370"/>
        <w:gridCol w:w="1370"/>
        <w:gridCol w:w="1371"/>
      </w:tblGrid>
      <w:tr>
        <w:trPr>
          <w:jc w:val="center"/>
          <w:trHeight w:val="688"/>
        </w:trPr>
        <w:tc>
          <w:tcPr>
            <w:tcW w:w="39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代理服务费率中标金额（万元）</w:t>
            </w:r>
            <w:r/>
          </w:p>
        </w:tc>
        <w:tc>
          <w:tcPr>
            <w:tcW w:w="13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货物</w:t>
            </w:r>
            <w:r/>
          </w:p>
        </w:tc>
        <w:tc>
          <w:tcPr>
            <w:tcW w:w="13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服务</w:t>
            </w:r>
            <w:r/>
          </w:p>
        </w:tc>
        <w:tc>
          <w:tcPr>
            <w:tcW w:w="1371"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工程</w:t>
            </w:r>
            <w:r/>
          </w:p>
        </w:tc>
      </w:tr>
      <w:tr>
        <w:trPr>
          <w:jc w:val="center"/>
          <w:trHeight w:val="535"/>
        </w:trPr>
        <w:tc>
          <w:tcPr>
            <w:tcW w:w="39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100（含）以下</w:t>
            </w:r>
            <w:r/>
          </w:p>
        </w:tc>
        <w:tc>
          <w:tcPr>
            <w:tcW w:w="13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1.5%</w:t>
            </w:r>
            <w:r/>
          </w:p>
        </w:tc>
        <w:tc>
          <w:tcPr>
            <w:tcW w:w="13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1.5%</w:t>
            </w:r>
            <w:r/>
          </w:p>
        </w:tc>
        <w:tc>
          <w:tcPr>
            <w:tcW w:w="1371"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1.0%</w:t>
            </w:r>
            <w:r/>
          </w:p>
        </w:tc>
      </w:tr>
      <w:tr>
        <w:trPr>
          <w:jc w:val="center"/>
          <w:trHeight w:val="535"/>
        </w:trPr>
        <w:tc>
          <w:tcPr>
            <w:tcW w:w="39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100-500</w:t>
            </w:r>
            <w:r/>
          </w:p>
        </w:tc>
        <w:tc>
          <w:tcPr>
            <w:tcW w:w="13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1.1%</w:t>
            </w:r>
            <w:r/>
          </w:p>
        </w:tc>
        <w:tc>
          <w:tcPr>
            <w:tcW w:w="13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0.8%</w:t>
            </w:r>
            <w:r/>
          </w:p>
        </w:tc>
        <w:tc>
          <w:tcPr>
            <w:tcW w:w="1371"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0.7%</w:t>
            </w:r>
            <w:r/>
          </w:p>
        </w:tc>
      </w:tr>
      <w:tr>
        <w:trPr>
          <w:jc w:val="center"/>
          <w:trHeight w:val="535"/>
        </w:trPr>
        <w:tc>
          <w:tcPr>
            <w:tcW w:w="39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500-1000</w:t>
            </w:r>
            <w:r/>
          </w:p>
        </w:tc>
        <w:tc>
          <w:tcPr>
            <w:tcW w:w="13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0.8%</w:t>
            </w:r>
            <w:r/>
          </w:p>
        </w:tc>
        <w:tc>
          <w:tcPr>
            <w:tcW w:w="1370"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0.45%</w:t>
            </w:r>
            <w:r/>
          </w:p>
        </w:tc>
        <w:tc>
          <w:tcPr>
            <w:tcW w:w="1371" w:type="dxa"/>
            <w:vAlign w:val="center"/>
            <w:textDirection w:val="lrTb"/>
            <w:noWrap/>
          </w:tcPr>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0.55%</w:t>
            </w:r>
            <w:r/>
          </w:p>
        </w:tc>
      </w:tr>
    </w:tbl>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（2）采购代理服务费收取账户信息如下：</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收款单位：南通润通项目管理有限公司</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outlineLvl w:val="1"/>
        <w:suppressLineNumbers w:val="0"/>
      </w:pPr>
      <w:r>
        <w:rPr>
          <w:rFonts w:hint="eastAsia" w:ascii="黑体" w:hAnsi="黑体" w:eastAsia="黑体" w:cs="黑体"/>
          <w:color w:val="auto"/>
          <w:sz w:val="24"/>
          <w:szCs w:val="24"/>
          <w:highlight w:val="none"/>
          <w:lang w:val="en-US" w:eastAsia="zh-CN" w:bidi="ar"/>
        </w:rPr>
        <w:t xml:space="preserve">开户行：中国工商银行股份有限公司南通春晖支行</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outlineLvl w:val="1"/>
        <w:suppressLineNumbers w:val="0"/>
      </w:pPr>
      <w:r>
        <w:rPr>
          <w:rFonts w:hint="eastAsia" w:ascii="黑体" w:hAnsi="黑体" w:eastAsia="黑体" w:cs="黑体"/>
          <w:color w:val="auto"/>
          <w:sz w:val="24"/>
          <w:szCs w:val="24"/>
          <w:highlight w:val="none"/>
          <w:lang w:val="en-US" w:eastAsia="zh-CN" w:bidi="ar"/>
        </w:rPr>
        <w:t xml:space="preserve">账  号：1111829809100050650</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outlineLvl w:val="1"/>
        <w:suppressLineNumbers w:val="0"/>
      </w:pPr>
      <w:r>
        <w:rPr>
          <w:rFonts w:hint="eastAsia" w:ascii="黑体" w:hAnsi="黑体" w:eastAsia="黑体" w:cs="黑体"/>
          <w:color w:val="auto"/>
          <w:sz w:val="24"/>
          <w:szCs w:val="24"/>
          <w:highlight w:val="none"/>
          <w:lang w:val="en-US" w:eastAsia="zh-CN" w:bidi="ar"/>
        </w:rPr>
        <w:t xml:space="preserve">汇款至招标代理指定账户。</w:t>
      </w:r>
      <w:r/>
    </w:p>
    <w:p>
      <w:pPr>
        <w:ind w:left="0" w:right="0" w:firstLine="482"/>
        <w:jc w:val="left"/>
        <w:keepLines w:val="0"/>
        <w:keepNext w:val="0"/>
        <w:pageBreakBefore w:val="0"/>
        <w:spacing w:before="0" w:beforeAutospacing="0" w:after="120" w:afterAutospacing="0" w:line="440" w:lineRule="exact"/>
        <w:widowControl w:val="off"/>
        <w:rPr>
          <w:rFonts w:hint="eastAsia" w:ascii="黑体" w:hAnsi="黑体" w:eastAsia="黑体" w:cs="黑体"/>
          <w:b/>
          <w:bCs/>
          <w:color w:val="auto"/>
          <w:sz w:val="24"/>
          <w:szCs w:val="24"/>
          <w:highlight w:val="none"/>
          <w:lang w:val="zh-CN" w:eastAsia="zh-CN"/>
        </w:rPr>
        <w:suppressLineNumbers w:val="0"/>
      </w:pPr>
      <w:r>
        <w:rPr>
          <w:rFonts w:hint="eastAsia" w:ascii="黑体" w:hAnsi="黑体" w:eastAsia="黑体" w:cs="黑体"/>
          <w:b/>
          <w:bCs/>
          <w:color w:val="auto"/>
          <w:sz w:val="24"/>
          <w:szCs w:val="24"/>
          <w:highlight w:val="none"/>
          <w:lang w:val="en-US" w:eastAsia="zh-CN" w:bidi="ar"/>
        </w:rPr>
        <w:t xml:space="preserve">七</w:t>
      </w:r>
      <w:r>
        <w:rPr>
          <w:rFonts w:hint="eastAsia" w:ascii="黑体" w:hAnsi="黑体" w:eastAsia="黑体" w:cs="黑体"/>
          <w:b/>
          <w:bCs/>
          <w:color w:val="auto"/>
          <w:sz w:val="24"/>
          <w:szCs w:val="24"/>
          <w:highlight w:val="none"/>
          <w:lang w:val="zh-CN" w:eastAsia="zh-CN" w:bidi="ar"/>
        </w:rPr>
        <w:t xml:space="preserve">、履约保证金</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outlineLvl w:val="1"/>
        <w:suppressLineNumbers w:val="0"/>
      </w:pPr>
      <w:r>
        <w:rPr>
          <w:rFonts w:hint="eastAsia" w:ascii="黑体" w:hAnsi="黑体" w:eastAsia="黑体" w:cs="黑体"/>
          <w:color w:val="auto"/>
          <w:sz w:val="24"/>
          <w:szCs w:val="24"/>
          <w:highlight w:val="none"/>
          <w:lang w:val="en-US" w:eastAsia="zh-CN" w:bidi="ar"/>
        </w:rPr>
        <w:t xml:space="preserve">1、本项目中标后的履约保证金为壹拾万元。</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2、成交供应商应当以数字人民币、支票、汇票或者金融机构、担保机构出具的保函、现金等形式缴纳履约保证金。</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注明：对政府采购信用档案中无不良记录的中小企业可免收履约保证金。</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outlineLvl w:val="1"/>
        <w:suppressLineNumbers w:val="0"/>
      </w:pPr>
      <w:r>
        <w:rPr>
          <w:rFonts w:hint="eastAsia" w:ascii="黑体" w:hAnsi="黑体" w:eastAsia="黑体" w:cs="黑体"/>
          <w:color w:val="auto"/>
          <w:sz w:val="24"/>
          <w:szCs w:val="24"/>
          <w:highlight w:val="none"/>
          <w:lang w:val="en-US" w:eastAsia="zh-CN" w:bidi="ar"/>
        </w:rPr>
        <w:t xml:space="preserve">3、中标供应商在中标通知书发出之日起30日内，凭“中标通知书”和“履约保证金”的缴纳凭证，与采购人签订合同，超期或未有协商，则视为自动放弃中标资格。</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outlineLvl w:val="1"/>
        <w:suppressLineNumbers w:val="0"/>
      </w:pPr>
      <w:r>
        <w:rPr>
          <w:rFonts w:hint="eastAsia" w:ascii="黑体" w:hAnsi="黑体" w:eastAsia="黑体" w:cs="黑体"/>
          <w:color w:val="auto"/>
          <w:sz w:val="24"/>
          <w:szCs w:val="24"/>
          <w:highlight w:val="none"/>
          <w:lang w:val="en-US" w:eastAsia="zh-CN" w:bidi="ar"/>
        </w:rPr>
        <w:t xml:space="preserve">4、成交供应商全部履约合同义务，经采购单位验收合格无质量、进度等问题的，采购人在验收合格后一次性退还履约保证金，采购人若逾期退还履约保证金的，按照逾期部分的每日0.05%支付违约金；</w:t>
      </w:r>
      <w:r>
        <w:rPr>
          <w:rFonts w:hint="eastAsia" w:ascii="黑体" w:hAnsi="黑体" w:eastAsia="黑体" w:cs="黑体"/>
          <w:color w:val="auto"/>
          <w:sz w:val="24"/>
          <w:szCs w:val="24"/>
          <w:highlight w:val="none"/>
          <w:lang w:val="en-US" w:eastAsia="zh-CN" w:bidi="ar"/>
        </w:rPr>
        <w:br/>
      </w:r>
      <w:r>
        <w:rPr>
          <w:rFonts w:hint="eastAsia" w:ascii="黑体" w:hAnsi="黑体" w:eastAsia="黑体" w:cs="黑体"/>
          <w:color w:val="auto"/>
          <w:sz w:val="24"/>
          <w:szCs w:val="24"/>
          <w:highlight w:val="none"/>
          <w:lang w:val="en-US" w:eastAsia="zh-CN" w:bidi="ar"/>
        </w:rPr>
        <w:t xml:space="preserve">    5、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pageBreakBefore w:val="0"/>
        <w:spacing w:line="440" w:lineRule="exact"/>
        <w:widowControl w:val="off"/>
        <w:rPr>
          <w:rFonts w:hint="eastAsia" w:ascii="黑体" w:hAnsi="黑体" w:eastAsia="黑体" w:cs="黑体"/>
          <w:color w:val="auto"/>
          <w:sz w:val="24"/>
          <w:szCs w:val="24"/>
          <w:highlight w:val="none"/>
          <w:lang w:val="en-US" w:eastAsia="en-US"/>
        </w:rPr>
      </w:pPr>
      <w:r>
        <w:rPr>
          <w:rFonts w:hint="eastAsia" w:ascii="黑体" w:hAnsi="黑体" w:eastAsia="黑体" w:cs="黑体"/>
          <w:color w:val="auto"/>
          <w:sz w:val="24"/>
          <w:szCs w:val="24"/>
          <w:highlight w:val="none"/>
          <w:lang w:val="en-US" w:eastAsia="zh-CN" w:bidi="ar"/>
        </w:rPr>
        <w:t xml:space="preserve">6、</w:t>
      </w:r>
      <w:r>
        <w:rPr>
          <w:rFonts w:hint="eastAsia" w:ascii="黑体" w:hAnsi="黑体" w:eastAsia="黑体" w:cs="黑体"/>
          <w:color w:val="auto"/>
          <w:sz w:val="24"/>
          <w:szCs w:val="24"/>
          <w:highlight w:val="none"/>
          <w:lang w:val="en-US" w:eastAsia="en-US"/>
        </w:rPr>
        <w:t xml:space="preserve">办理政采贷和履约保函（保险）告知函</w:t>
      </w:r>
      <w:r/>
    </w:p>
    <w:p>
      <w:pPr>
        <w:ind w:firstLine="480"/>
        <w:jc w:val="left"/>
        <w:pageBreakBefore w:val="0"/>
        <w:spacing w:line="440" w:lineRule="exact"/>
        <w:widowControl w:val="off"/>
        <w:rPr>
          <w:rFonts w:hint="eastAsia" w:ascii="黑体" w:hAnsi="黑体" w:eastAsia="黑体" w:cs="黑体"/>
          <w:b/>
          <w:color w:val="auto"/>
          <w:sz w:val="24"/>
          <w:szCs w:val="24"/>
          <w:highlight w:val="none"/>
          <w:lang w:val="en-US" w:eastAsia="en-US"/>
        </w:rPr>
      </w:pPr>
      <w:r>
        <w:rPr>
          <w:rFonts w:hint="eastAsia" w:ascii="黑体" w:hAnsi="黑体" w:eastAsia="黑体" w:cs="黑体"/>
          <w:color w:val="auto"/>
          <w:sz w:val="24"/>
          <w:szCs w:val="24"/>
          <w:highlight w:val="none"/>
          <w:lang w:val="en-US" w:eastAsia="en-US"/>
        </w:rPr>
        <w:t xml:space="preserve">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outlineLvl w:val="1"/>
        <w:suppressLineNumbers w:val="0"/>
      </w:pPr>
      <w:r>
        <w:rPr>
          <w:rFonts w:hint="eastAsia" w:ascii="黑体" w:hAnsi="黑体" w:eastAsia="黑体" w:cs="黑体"/>
          <w:color w:val="auto"/>
          <w:sz w:val="24"/>
          <w:szCs w:val="24"/>
          <w:highlight w:val="none"/>
          <w:lang w:val="en-US" w:eastAsia="zh-CN" w:bidi="ar"/>
        </w:rPr>
      </w:r>
      <w:r/>
    </w:p>
    <w:p>
      <w:pPr>
        <w:ind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rPr>
        <w:suppressLineNumbers w:val="0"/>
      </w:pPr>
      <w:r>
        <w:rPr>
          <w:rFonts w:hint="eastAsia" w:ascii="黑体" w:hAnsi="黑体" w:eastAsia="黑体" w:cs="黑体"/>
          <w:b/>
          <w:bCs w:val="0"/>
          <w:color w:val="auto"/>
          <w:sz w:val="36"/>
          <w:szCs w:val="36"/>
          <w:highlight w:val="none"/>
          <w:lang w:val="en-US" w:eastAsia="zh-CN" w:bidi="ar"/>
        </w:rPr>
        <w:br w:type="page" w:clear="all"/>
      </w:r>
      <w:r>
        <w:rPr>
          <w:rFonts w:hint="eastAsia" w:ascii="黑体" w:hAnsi="黑体" w:eastAsia="黑体" w:cs="黑体"/>
          <w:b/>
          <w:bCs w:val="0"/>
          <w:color w:val="auto"/>
          <w:sz w:val="36"/>
          <w:szCs w:val="36"/>
          <w:highlight w:val="none"/>
          <w:lang w:val="en-US" w:eastAsia="zh-CN" w:bidi="ar"/>
        </w:rPr>
        <w:t xml:space="preserve">            第三部分 项目需求说明</w:t>
      </w:r>
      <w:bookmarkStart w:id="8" w:name="OLE_LINK4"/>
      <w:r/>
      <w:bookmarkStart w:id="9" w:name="OLE_LINK3"/>
      <w:r/>
      <w:bookmarkEnd w:id="8"/>
      <w:r/>
      <w:bookmarkEnd w:id="9"/>
      <w:r/>
      <w:r/>
    </w:p>
    <w:p>
      <w:pPr>
        <w:ind w:firstLine="482"/>
        <w:jc w:val="left"/>
        <w:pageBreakBefore w:val="0"/>
        <w:spacing w:line="440" w:lineRule="exact"/>
        <w:rPr>
          <w:rFonts w:hint="eastAsia" w:ascii="黑体" w:hAnsi="黑体" w:eastAsia="黑体" w:cs="黑体"/>
          <w:b/>
          <w:color w:val="auto"/>
          <w:sz w:val="24"/>
          <w:szCs w:val="24"/>
          <w:highlight w:val="none"/>
          <w:lang w:val="zh-CN" w:eastAsia="zh-CN" w:bidi="ar-SA"/>
        </w:rPr>
      </w:pPr>
      <w:r>
        <w:rPr>
          <w:rFonts w:hint="eastAsia" w:ascii="黑体" w:hAnsi="黑体" w:eastAsia="黑体" w:cs="黑体"/>
          <w:b/>
          <w:color w:val="auto"/>
          <w:sz w:val="24"/>
          <w:szCs w:val="24"/>
          <w:highlight w:val="none"/>
          <w:lang w:val="zh-CN" w:eastAsia="zh-CN" w:bidi="ar-SA"/>
        </w:rPr>
        <w:t xml:space="preserve">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w:t>
      </w:r>
      <w:r>
        <w:rPr>
          <w:rFonts w:hint="eastAsia" w:ascii="黑体" w:hAnsi="黑体" w:eastAsia="黑体" w:cs="黑体"/>
          <w:b/>
          <w:color w:val="auto"/>
          <w:sz w:val="24"/>
          <w:szCs w:val="24"/>
          <w:highlight w:val="none"/>
          <w:lang w:val="en-US" w:eastAsia="zh-CN" w:bidi="ar-SA"/>
        </w:rPr>
        <w:t xml:space="preserve">商品</w:t>
      </w:r>
      <w:r>
        <w:rPr>
          <w:rFonts w:hint="eastAsia" w:ascii="黑体" w:hAnsi="黑体" w:eastAsia="黑体" w:cs="黑体"/>
          <w:b/>
          <w:color w:val="auto"/>
          <w:sz w:val="24"/>
          <w:szCs w:val="24"/>
          <w:highlight w:val="none"/>
          <w:lang w:val="zh-CN" w:eastAsia="zh-CN" w:bidi="ar-SA"/>
        </w:rPr>
        <w:t xml:space="preserve">包装、</w:t>
      </w:r>
      <w:r>
        <w:rPr>
          <w:rFonts w:hint="eastAsia" w:ascii="黑体" w:hAnsi="黑体" w:eastAsia="黑体" w:cs="黑体"/>
          <w:b/>
          <w:color w:val="auto"/>
          <w:sz w:val="24"/>
          <w:szCs w:val="24"/>
          <w:highlight w:val="none"/>
          <w:lang w:val="en-US" w:eastAsia="zh-CN" w:bidi="ar-SA"/>
        </w:rPr>
        <w:t xml:space="preserve">快递包装</w:t>
      </w:r>
      <w:r>
        <w:rPr>
          <w:rFonts w:hint="eastAsia" w:ascii="黑体" w:hAnsi="黑体" w:eastAsia="黑体" w:cs="黑体"/>
          <w:b/>
          <w:color w:val="auto"/>
          <w:sz w:val="24"/>
          <w:szCs w:val="24"/>
          <w:highlight w:val="none"/>
          <w:lang w:val="zh-CN" w:eastAsia="zh-CN" w:bidi="ar-SA"/>
        </w:rPr>
        <w:t xml:space="preserve">和运输，售后服务，保险等。</w:t>
      </w:r>
      <w:r/>
    </w:p>
    <w:p>
      <w:pPr>
        <w:pStyle w:val="947"/>
        <w:contextualSpacing/>
        <w:ind w:firstLine="482"/>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lang w:val="zh-CN"/>
        </w:rPr>
        <w:t xml:space="preserve">请供应商在制作投标文件时仔细研究项目需求说明。</w:t>
      </w:r>
      <w:r>
        <w:rPr>
          <w:rFonts w:hint="eastAsia" w:ascii="黑体" w:hAnsi="黑体" w:eastAsia="黑体" w:cs="黑体"/>
          <w:color w:val="auto"/>
          <w:sz w:val="24"/>
          <w:szCs w:val="24"/>
          <w:highlight w:val="none"/>
          <w:lang w:val="zh-CN"/>
        </w:rPr>
        <w:t xml:space="preserve">供应商不能简单照搬照抄采购人项目需求说明中的技术、商务要求，必须作实事求是的响应。如照搬照抄项目需求说明中的技术、商务要求的，中标后供应商在同采购人签订合同和履约环节中不得提出异议，一切后果和损失由中标供应商承担。如供应商提供的货物和服务同采购人提出的项目需求说明中的技术、商务要求不同的，必须在《商</w:t>
      </w:r>
      <w:r>
        <w:rPr>
          <w:rFonts w:hint="eastAsia" w:ascii="黑体" w:hAnsi="黑体" w:eastAsia="黑体" w:cs="黑体"/>
          <w:color w:val="auto"/>
          <w:sz w:val="24"/>
          <w:szCs w:val="24"/>
          <w:highlight w:val="none"/>
        </w:rPr>
        <w:t xml:space="preserve">务部分正负偏离表》和《技术部分正负偏离表》上明示</w:t>
      </w:r>
      <w:r>
        <w:rPr>
          <w:rFonts w:hint="eastAsia" w:ascii="黑体" w:hAnsi="黑体" w:eastAsia="黑体" w:cs="黑体"/>
          <w:color w:val="auto"/>
          <w:sz w:val="24"/>
          <w:szCs w:val="24"/>
          <w:highlight w:val="none"/>
          <w:lang w:val="zh-CN"/>
        </w:rPr>
        <w:t xml:space="preserve">。</w:t>
      </w:r>
      <w:r/>
    </w:p>
    <w:p>
      <w:pPr>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一、采购标的需实现的功能或者目标，以及为落实政府采购政策需满足的要求</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根据以下相关文件和要求，开展开发区新开街道综合性养老服务中心建设及运营服务的采购活动：</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《南通市促进和规范利用存量资源改建养老托育服务设施工作指南》（通发改社会〔2022〕582号）；</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《南通市“一老一小”整体解决方案》（通政发〔2022〕40号）；</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《市政府关于印发&lt;南通市居家和社区养老服务改革试点实施方案&gt;的通知》（通政发〔2018〕31号）</w:t>
      </w:r>
      <w:r>
        <w:rPr>
          <w:rFonts w:hint="eastAsia" w:ascii="黑体" w:hAnsi="黑体" w:eastAsia="黑体" w:cs="黑体"/>
          <w:color w:val="auto"/>
          <w:sz w:val="24"/>
          <w:szCs w:val="24"/>
          <w:highlight w:val="none"/>
          <w:lang w:val="en-US" w:eastAsia="zh-CN" w:bidi="ar"/>
        </w:rPr>
        <w:t xml:space="preserve">；</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《关于印发&lt;江苏省城市街道综合性养老服务中心建设及运营规范&gt;的通知》（苏民养老〔2021〕22号）</w:t>
      </w:r>
      <w:r>
        <w:rPr>
          <w:rFonts w:hint="eastAsia" w:ascii="黑体" w:hAnsi="黑体" w:eastAsia="黑体" w:cs="黑体"/>
          <w:color w:val="auto"/>
          <w:sz w:val="24"/>
          <w:szCs w:val="24"/>
          <w:highlight w:val="none"/>
          <w:lang w:val="en-US" w:eastAsia="zh-CN" w:bidi="ar"/>
        </w:rPr>
        <w:t xml:space="preserve">；</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《长者驿家建设和管理规范DB3206/T1031-2022》</w:t>
      </w:r>
      <w:r>
        <w:rPr>
          <w:rFonts w:hint="eastAsia" w:ascii="黑体" w:hAnsi="黑体" w:eastAsia="黑体" w:cs="黑体"/>
          <w:color w:val="auto"/>
          <w:sz w:val="24"/>
          <w:szCs w:val="24"/>
          <w:highlight w:val="none"/>
          <w:lang w:val="en-US" w:eastAsia="zh-CN" w:bidi="ar"/>
        </w:rPr>
        <w:t xml:space="preserve">；</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《南通经济技术开发区居家和社区养老政府购买服务补贴办法》（通开发民政〔2019〕18号）</w:t>
      </w:r>
      <w:r>
        <w:rPr>
          <w:rFonts w:hint="eastAsia" w:ascii="黑体" w:hAnsi="黑体" w:eastAsia="黑体" w:cs="黑体"/>
          <w:color w:val="auto"/>
          <w:sz w:val="24"/>
          <w:szCs w:val="24"/>
          <w:highlight w:val="none"/>
          <w:lang w:val="en-US" w:eastAsia="zh-CN" w:bidi="ar"/>
        </w:rPr>
        <w:t xml:space="preserve">；</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《关于进一步开展南通开发区居家和社区养老政府购买服务工作的通知》（通开发民政〔2021〕11号）</w:t>
      </w:r>
      <w:r>
        <w:rPr>
          <w:rFonts w:hint="eastAsia" w:ascii="黑体" w:hAnsi="黑体" w:eastAsia="黑体" w:cs="黑体"/>
          <w:color w:val="auto"/>
          <w:sz w:val="24"/>
          <w:szCs w:val="24"/>
          <w:highlight w:val="none"/>
          <w:lang w:val="en-US" w:eastAsia="zh-CN" w:bidi="ar"/>
        </w:rPr>
        <w:t xml:space="preserve">；</w:t>
      </w:r>
      <w:r/>
    </w:p>
    <w:p>
      <w:pPr>
        <w:numPr>
          <w:ilvl w:val="0"/>
          <w:numId w:val="0"/>
        </w:numPr>
        <w:ind w:right="0" w:firstLine="480"/>
        <w:jc w:val="left"/>
        <w:keepLines w:val="0"/>
        <w:keepNext w:val="0"/>
        <w:pageBreakBefore w:val="0"/>
        <w:spacing w:line="44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《关于印发&lt;南通市经济技术开发区居家养老服务中心（站）工作考评办法&gt;的通知》（通开发民政〔2023〕4号）</w:t>
      </w:r>
      <w:r>
        <w:rPr>
          <w:rFonts w:hint="eastAsia" w:ascii="黑体" w:hAnsi="黑体" w:eastAsia="黑体" w:cs="黑体"/>
          <w:color w:val="auto"/>
          <w:sz w:val="24"/>
          <w:szCs w:val="24"/>
          <w:highlight w:val="none"/>
          <w:lang w:val="en-US" w:eastAsia="zh-CN" w:bidi="ar"/>
        </w:rPr>
        <w:t xml:space="preserve">；</w:t>
      </w:r>
      <w:r/>
    </w:p>
    <w:p>
      <w:pPr>
        <w:numPr>
          <w:ilvl w:val="0"/>
          <w:numId w:val="0"/>
        </w:numPr>
        <w:ind w:right="0" w:firstLine="480"/>
        <w:jc w:val="left"/>
        <w:keepLines w:val="0"/>
        <w:keepNext w:val="0"/>
        <w:pageBreakBefore w:val="0"/>
        <w:spacing w:line="40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《南通市残疾人之家建设管理指导意见（试行）》（通残工委〔2020〕4号）</w:t>
      </w:r>
      <w:r>
        <w:rPr>
          <w:rFonts w:hint="eastAsia" w:ascii="黑体" w:hAnsi="黑体" w:eastAsia="黑体" w:cs="黑体"/>
          <w:color w:val="auto"/>
          <w:sz w:val="24"/>
          <w:szCs w:val="24"/>
          <w:highlight w:val="none"/>
          <w:lang w:val="en-US" w:eastAsia="zh-CN" w:bidi="ar"/>
        </w:rPr>
        <w:t xml:space="preserve">；</w:t>
      </w:r>
      <w:r/>
    </w:p>
    <w:p>
      <w:pPr>
        <w:numPr>
          <w:ilvl w:val="0"/>
          <w:numId w:val="0"/>
        </w:numPr>
        <w:ind w:right="0" w:firstLine="480"/>
        <w:jc w:val="left"/>
        <w:keepLines w:val="0"/>
        <w:keepNext w:val="0"/>
        <w:pageBreakBefore w:val="0"/>
        <w:spacing w:line="40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《南通开发区“残疾人之家”建设实施方案（试行）》（通开发残〔2018〕1号）</w:t>
      </w:r>
      <w:r>
        <w:rPr>
          <w:rFonts w:hint="eastAsia" w:ascii="黑体" w:hAnsi="黑体" w:eastAsia="黑体" w:cs="黑体"/>
          <w:color w:val="auto"/>
          <w:sz w:val="24"/>
          <w:szCs w:val="24"/>
          <w:highlight w:val="none"/>
          <w:lang w:val="en-US" w:eastAsia="zh-CN" w:bidi="ar"/>
        </w:rPr>
        <w:t xml:space="preserve">；</w:t>
      </w:r>
      <w:r/>
    </w:p>
    <w:p>
      <w:pPr>
        <w:numPr>
          <w:ilvl w:val="0"/>
          <w:numId w:val="0"/>
        </w:numPr>
        <w:ind w:right="0" w:firstLine="480"/>
        <w:jc w:val="left"/>
        <w:keepLines w:val="0"/>
        <w:keepNext w:val="0"/>
        <w:pageBreakBefore w:val="0"/>
        <w:spacing w:line="400" w:lineRule="exact"/>
        <w:widowControl w:val="off"/>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en-US" w:bidi="ar"/>
        </w:rPr>
        <w:t xml:space="preserve">《南通市居家和社区基本养老服务项目清单》（通民发〔2018〕94号）的标准</w:t>
      </w:r>
      <w:r>
        <w:rPr>
          <w:rFonts w:hint="eastAsia" w:ascii="黑体" w:hAnsi="黑体" w:eastAsia="黑体" w:cs="黑体"/>
          <w:color w:val="auto"/>
          <w:sz w:val="24"/>
          <w:szCs w:val="24"/>
          <w:highlight w:val="none"/>
          <w:lang w:val="en-US" w:eastAsia="zh-CN" w:bidi="ar"/>
        </w:rPr>
        <w:t xml:space="preserve">。</w:t>
      </w:r>
      <w:r/>
    </w:p>
    <w:p>
      <w:pPr>
        <w:jc w:val="left"/>
        <w:pageBreakBefore w:val="0"/>
        <w:spacing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二、采购标的需执行的国家相关标准、行业标准、地方标准或者其他标准、规范</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采购标的技术标准按国家标准执行，无国家标准的，按行业标准执行，无国家和行业标准的，按企业标准执行；但在招标文件中有特别要求的，按磋商文件中规定的要求执行，并且符合相关法律、法规规定的要求。</w:t>
      </w:r>
      <w:r/>
    </w:p>
    <w:p>
      <w:pPr>
        <w:jc w:val="left"/>
        <w:pageBreakBefore w:val="0"/>
        <w:spacing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三、采购标的的数量、采购项目交付或者实施的时间和地点</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rPr>
        <w:t xml:space="preserve">1、采购范围：</w:t>
      </w:r>
      <w:r>
        <w:rPr>
          <w:rFonts w:hint="eastAsia" w:ascii="黑体" w:hAnsi="黑体" w:eastAsia="黑体" w:cs="黑体"/>
          <w:color w:val="auto"/>
          <w:sz w:val="24"/>
          <w:szCs w:val="24"/>
          <w:highlight w:val="none"/>
          <w:lang w:val="en-US" w:eastAsia="zh-CN" w:bidi="ar"/>
        </w:rPr>
        <w:t xml:space="preserve">南通市新开街道综合性养老服务中心、居家和社区养老服务等采购项目；</w:t>
      </w:r>
      <w:r/>
    </w:p>
    <w:p>
      <w:pPr>
        <w:ind w:firstLine="480"/>
        <w:jc w:val="left"/>
        <w:pageBreakBefore w:val="0"/>
        <w:spacing w:line="440" w:lineRule="exact"/>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2、项目地点：</w:t>
      </w:r>
      <w:r>
        <w:rPr>
          <w:rFonts w:hint="eastAsia" w:ascii="黑体" w:hAnsi="黑体" w:eastAsia="黑体" w:cs="黑体"/>
          <w:color w:val="auto"/>
          <w:sz w:val="24"/>
          <w:szCs w:val="24"/>
          <w:highlight w:val="none"/>
          <w:lang w:val="en-US" w:eastAsia="zh-CN"/>
        </w:rPr>
        <w:t xml:space="preserve">南通市新开街道区域内</w:t>
      </w:r>
      <w:r>
        <w:rPr>
          <w:rFonts w:hint="eastAsia" w:ascii="黑体" w:hAnsi="黑体" w:eastAsia="黑体" w:cs="黑体"/>
          <w:color w:val="auto"/>
          <w:sz w:val="24"/>
          <w:szCs w:val="24"/>
          <w:highlight w:val="none"/>
        </w:rPr>
        <w:t xml:space="preserve">；</w:t>
      </w:r>
      <w:r/>
    </w:p>
    <w:p>
      <w:pPr>
        <w:ind w:firstLine="480"/>
        <w:jc w:val="left"/>
        <w:pageBreakBefore w:val="0"/>
        <w:spacing w:line="440" w:lineRule="exact"/>
        <w:widowControl/>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3、服务期限：</w:t>
      </w:r>
      <w:r>
        <w:rPr>
          <w:rFonts w:hint="eastAsia" w:ascii="黑体" w:hAnsi="黑体" w:eastAsia="黑体" w:cs="黑体"/>
          <w:color w:val="auto"/>
          <w:sz w:val="24"/>
          <w:szCs w:val="24"/>
          <w:highlight w:val="none"/>
          <w:lang w:val="en-US" w:eastAsia="zh-CN"/>
        </w:rPr>
        <w:t xml:space="preserve">自合同签订之日起叁年。合同采取一年一签的方式，中标单位若在履行合同期限内，经采购人考核不通过，采购人有权终止合同且下一年不再续签。 </w:t>
      </w:r>
      <w:r/>
    </w:p>
    <w:p>
      <w:pPr>
        <w:ind w:firstLine="480"/>
        <w:jc w:val="left"/>
        <w:pageBreakBefore w:val="0"/>
        <w:spacing w:line="440" w:lineRule="exact"/>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注明：在预算保障的前提下，对于购买内容相对固定、连续性强、经费来源稳定、价格变化幅度小的政府购买服务项目，可以签订履行期限不超过3年的政府购买服务合同。</w:t>
      </w:r>
      <w:r/>
    </w:p>
    <w:p>
      <w:pPr>
        <w:numPr>
          <w:ilvl w:val="0"/>
          <w:numId w:val="2"/>
        </w:numPr>
        <w:jc w:val="left"/>
        <w:pageBreakBefore w:val="0"/>
        <w:spacing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采购标的需满足的服务标准、期限、效率等要求；</w:t>
      </w:r>
      <w:r/>
    </w:p>
    <w:p>
      <w:pPr>
        <w:numPr>
          <w:ilvl w:val="0"/>
          <w:numId w:val="0"/>
        </w:numPr>
        <w:jc w:val="left"/>
        <w:pageBreakBefore w:val="0"/>
        <w:spacing w:line="440" w:lineRule="exact"/>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val="en-US" w:eastAsia="zh-CN"/>
        </w:rPr>
        <w:t xml:space="preserve">一</w:t>
      </w:r>
      <w:r>
        <w:rPr>
          <w:rFonts w:hint="eastAsia" w:ascii="黑体" w:hAnsi="黑体" w:eastAsia="黑体" w:cs="黑体"/>
          <w:b/>
          <w:bCs/>
          <w:color w:val="auto"/>
          <w:sz w:val="24"/>
          <w:szCs w:val="24"/>
          <w:highlight w:val="none"/>
          <w:lang w:eastAsia="zh-CN"/>
        </w:rPr>
        <w:t xml:space="preserve">）</w:t>
      </w:r>
      <w:r>
        <w:rPr>
          <w:rFonts w:hint="eastAsia" w:ascii="黑体" w:hAnsi="黑体" w:eastAsia="黑体" w:cs="黑体"/>
          <w:b/>
          <w:bCs/>
          <w:color w:val="auto"/>
          <w:sz w:val="24"/>
          <w:szCs w:val="24"/>
          <w:highlight w:val="none"/>
          <w:lang w:val="en-US" w:eastAsia="zh-CN"/>
        </w:rPr>
        <w:t xml:space="preserve">各服务分项详见下表</w:t>
      </w:r>
      <w:r/>
    </w:p>
    <w:tbl>
      <w:tblPr>
        <w:tblStyle w:val="872"/>
        <w:tblW w:w="8282" w:type="dxa"/>
        <w:tblInd w:w="-5" w:type="dxa"/>
        <w:tblLayout w:type="fixed"/>
        <w:tblCellMar>
          <w:left w:w="108" w:type="dxa"/>
          <w:top w:w="0" w:type="dxa"/>
          <w:right w:w="108" w:type="dxa"/>
          <w:bottom w:w="0" w:type="dxa"/>
        </w:tblCellMar>
        <w:tblLook w:val="04A0" w:firstRow="1" w:lastRow="0" w:firstColumn="1" w:lastColumn="0" w:noHBand="0" w:noVBand="1"/>
      </w:tblPr>
      <w:tblGrid>
        <w:gridCol w:w="3513"/>
        <w:gridCol w:w="1285"/>
        <w:gridCol w:w="3484"/>
      </w:tblGrid>
      <w:tr>
        <w:trPr>
          <w:trHeight w:val="690"/>
        </w:trPr>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color w:val="auto"/>
                <w:sz w:val="21"/>
                <w:szCs w:val="21"/>
                <w:lang w:val="en-US" w:eastAsia="zh-CN"/>
              </w:rPr>
              <w:suppressLineNumbers w:val="0"/>
            </w:pPr>
            <w:r>
              <w:rPr>
                <w:rFonts w:hint="eastAsia" w:ascii="黑体" w:hAnsi="黑体" w:eastAsia="黑体" w:cs="黑体"/>
                <w:b/>
                <w:color w:val="auto"/>
                <w:sz w:val="21"/>
                <w:szCs w:val="21"/>
                <w:lang w:val="en-US" w:eastAsia="zh-CN"/>
              </w:rPr>
              <w:t xml:space="preserve">各分项</w:t>
            </w:r>
            <w:r>
              <w:rPr>
                <w:rFonts w:hint="eastAsia" w:ascii="黑体" w:hAnsi="黑体" w:eastAsia="黑体" w:cs="黑体"/>
                <w:b/>
                <w:color w:val="auto"/>
                <w:sz w:val="21"/>
                <w:szCs w:val="21"/>
              </w:rPr>
              <w:t xml:space="preserve">服务</w:t>
            </w:r>
            <w:r>
              <w:rPr>
                <w:rFonts w:hint="eastAsia" w:ascii="黑体" w:hAnsi="黑体" w:eastAsia="黑体" w:cs="黑体"/>
                <w:b/>
                <w:color w:val="auto"/>
                <w:sz w:val="21"/>
                <w:szCs w:val="21"/>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1285"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color w:val="auto"/>
                <w:sz w:val="21"/>
                <w:szCs w:val="21"/>
              </w:rPr>
              <w:suppressLineNumbers w:val="0"/>
            </w:pPr>
            <w:r>
              <w:rPr>
                <w:rFonts w:hint="eastAsia" w:ascii="黑体" w:hAnsi="黑体" w:eastAsia="黑体" w:cs="黑体"/>
                <w:b/>
                <w:color w:val="auto"/>
                <w:sz w:val="21"/>
                <w:szCs w:val="21"/>
                <w:lang w:val="en-US" w:eastAsia="zh-CN"/>
              </w:rPr>
              <w:t xml:space="preserve">最高限价</w:t>
            </w:r>
            <w:r>
              <w:rPr>
                <w:rFonts w:hint="eastAsia" w:ascii="黑体" w:hAnsi="黑体" w:eastAsia="黑体" w:cs="黑体"/>
                <w:b/>
                <w:color w:val="auto"/>
                <w:sz w:val="21"/>
                <w:szCs w:val="21"/>
              </w:rPr>
              <w:t xml:space="preserve">（万元</w:t>
            </w:r>
            <w:r>
              <w:rPr>
                <w:rFonts w:hint="eastAsia" w:ascii="黑体" w:hAnsi="黑体" w:eastAsia="黑体" w:cs="黑体"/>
                <w:b/>
                <w:color w:val="auto"/>
                <w:sz w:val="21"/>
                <w:szCs w:val="21"/>
                <w:lang w:val="en-US" w:eastAsia="zh-CN"/>
              </w:rPr>
              <w:t xml:space="preserve">/年</w:t>
            </w:r>
            <w:r>
              <w:rPr>
                <w:rFonts w:hint="eastAsia" w:ascii="黑体" w:hAnsi="黑体" w:eastAsia="黑体" w:cs="黑体"/>
                <w:b/>
                <w:color w:val="auto"/>
                <w:sz w:val="21"/>
                <w:szCs w:val="21"/>
              </w:rPr>
              <w:t xml:space="preserve">）</w:t>
            </w:r>
            <w:r/>
          </w:p>
        </w:tc>
        <w:tc>
          <w:tcPr>
            <w:tcBorders>
              <w:top w:val="single" w:color="auto" w:sz="4" w:space="0"/>
              <w:left w:val="none" w:color="000000" w:sz="4" w:space="0"/>
              <w:bottom w:val="single" w:color="auto" w:sz="4" w:space="0"/>
              <w:right w:val="single" w:color="auto" w:sz="4" w:space="0"/>
            </w:tcBorders>
            <w:tcW w:w="3484" w:type="dxa"/>
            <w:vAlign w:val="center"/>
            <w:textDirection w:val="lrTb"/>
            <w:noWrap/>
          </w:tcPr>
          <w:p>
            <w:pPr>
              <w:ind w:left="0" w:right="0" w:firstLine="632"/>
              <w:jc w:val="left"/>
              <w:keepLines w:val="0"/>
              <w:keepNext w:val="0"/>
              <w:pageBreakBefore w:val="0"/>
              <w:spacing w:before="0" w:beforeAutospacing="0" w:after="0" w:afterAutospacing="0" w:line="440" w:lineRule="exact"/>
              <w:widowControl/>
              <w:rPr>
                <w:rFonts w:hint="eastAsia" w:ascii="黑体" w:hAnsi="黑体" w:eastAsia="黑体" w:cs="黑体"/>
                <w:b/>
                <w:color w:val="auto"/>
                <w:sz w:val="21"/>
                <w:szCs w:val="21"/>
              </w:rPr>
              <w:suppressLineNumbers w:val="0"/>
            </w:pPr>
            <w:r>
              <w:rPr>
                <w:rFonts w:hint="eastAsia" w:ascii="黑体" w:hAnsi="黑体" w:eastAsia="黑体" w:cs="黑体"/>
                <w:b/>
                <w:color w:val="auto"/>
                <w:sz w:val="21"/>
                <w:szCs w:val="21"/>
              </w:rPr>
              <w:t xml:space="preserve">备</w:t>
            </w:r>
            <w:r>
              <w:rPr>
                <w:rFonts w:hint="eastAsia" w:ascii="黑体" w:hAnsi="黑体" w:eastAsia="黑体" w:cs="黑体"/>
                <w:b/>
                <w:color w:val="auto"/>
                <w:sz w:val="21"/>
                <w:szCs w:val="21"/>
                <w:lang w:val="en-US" w:eastAsia="zh-CN"/>
              </w:rPr>
              <w:t xml:space="preserve">  </w:t>
            </w:r>
            <w:r>
              <w:rPr>
                <w:rFonts w:hint="eastAsia" w:ascii="黑体" w:hAnsi="黑体" w:eastAsia="黑体" w:cs="黑体"/>
                <w:b/>
                <w:color w:val="auto"/>
                <w:sz w:val="21"/>
                <w:szCs w:val="21"/>
              </w:rPr>
              <w:t xml:space="preserve">注</w:t>
            </w:r>
            <w:r/>
          </w:p>
        </w:tc>
      </w:tr>
      <w:tr>
        <w:trPr>
          <w:trHeight w:val="690"/>
        </w:trPr>
        <w:tc>
          <w:tcPr>
            <w:tcBorders>
              <w:top w:val="none" w:color="000000" w:sz="4" w:space="0"/>
              <w:left w:val="single" w:color="auto" w:sz="4" w:space="0"/>
              <w:bottom w:val="single" w:color="auto" w:sz="4" w:space="0"/>
              <w:right w:val="single" w:color="auto" w:sz="4" w:space="0"/>
            </w:tcBorders>
            <w:tcW w:w="3513"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lang w:val="en-US" w:eastAsia="zh-CN"/>
              </w:rPr>
              <w:t xml:space="preserve">综合性养老服务中心建设及运营管理</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default"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lang w:val="en-US" w:eastAsia="zh-CN"/>
              </w:rPr>
              <w:t xml:space="preserve">供应商投资建设</w:t>
            </w:r>
            <w:r/>
          </w:p>
        </w:tc>
        <w:tc>
          <w:tcPr>
            <w:tcBorders>
              <w:top w:val="none" w:color="000000" w:sz="4" w:space="0"/>
              <w:left w:val="none" w:color="000000" w:sz="4" w:space="0"/>
              <w:bottom w:val="single" w:color="auto" w:sz="4" w:space="0"/>
              <w:right w:val="single" w:color="auto" w:sz="4" w:space="0"/>
            </w:tcBorders>
            <w:tcW w:w="3484"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lang w:val="en-US" w:eastAsia="zh-CN"/>
              </w:rPr>
              <w:t xml:space="preserve">供应商确保提交的装修设计方案经采购人确认后施工，并承诺自合同签订之日起180日历天内竣工、验收合格并通过民政部门备案。</w:t>
            </w:r>
            <w:r/>
          </w:p>
        </w:tc>
      </w:tr>
      <w:tr>
        <w:trPr>
          <w:trHeight w:val="690"/>
        </w:trPr>
        <w:tc>
          <w:tcPr>
            <w:tcBorders>
              <w:top w:val="none" w:color="000000" w:sz="4" w:space="0"/>
              <w:left w:val="single" w:color="auto" w:sz="4" w:space="0"/>
              <w:bottom w:val="single" w:color="auto" w:sz="4" w:space="0"/>
              <w:right w:val="single" w:color="auto" w:sz="4" w:space="0"/>
            </w:tcBorders>
            <w:tcW w:w="3513"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rPr>
              <w:suppressLineNumbers w:val="0"/>
            </w:pPr>
            <w:r>
              <w:rPr>
                <w:rFonts w:hint="eastAsia" w:ascii="黑体" w:hAnsi="黑体" w:eastAsia="黑体" w:cs="黑体"/>
                <w:color w:val="auto"/>
                <w:lang w:val="en-US" w:eastAsia="zh-CN"/>
              </w:rPr>
              <w:t xml:space="preserve">居家养老服务中心（站）运营管理</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rPr>
              <w:t xml:space="preserve">1</w:t>
            </w:r>
            <w:r>
              <w:rPr>
                <w:rFonts w:hint="eastAsia" w:ascii="黑体" w:hAnsi="黑体" w:eastAsia="黑体" w:cs="黑体"/>
                <w:color w:val="auto"/>
                <w:sz w:val="21"/>
                <w:szCs w:val="21"/>
                <w:lang w:val="en-US" w:eastAsia="zh-CN"/>
              </w:rPr>
              <w:t xml:space="preserve">7.00</w:t>
            </w:r>
            <w:r/>
          </w:p>
        </w:tc>
        <w:tc>
          <w:tcPr>
            <w:tcBorders>
              <w:top w:val="none" w:color="000000" w:sz="4" w:space="0"/>
              <w:left w:val="none" w:color="000000" w:sz="4" w:space="0"/>
              <w:bottom w:val="single" w:color="auto" w:sz="4" w:space="0"/>
              <w:right w:val="single" w:color="auto" w:sz="4" w:space="0"/>
            </w:tcBorders>
            <w:tcW w:w="3484"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rPr>
              <w:suppressLineNumbers w:val="0"/>
            </w:pPr>
            <w:r>
              <w:rPr>
                <w:rFonts w:hint="eastAsia" w:ascii="黑体" w:hAnsi="黑体" w:eastAsia="黑体" w:cs="黑体"/>
                <w:color w:val="auto"/>
                <w:sz w:val="21"/>
                <w:szCs w:val="21"/>
                <w:lang w:val="en-US" w:eastAsia="zh-CN"/>
              </w:rPr>
              <w:t xml:space="preserve">实际金额以上级拨付为准，</w:t>
            </w:r>
            <w:r>
              <w:rPr>
                <w:rFonts w:hint="eastAsia" w:ascii="黑体" w:hAnsi="黑体" w:eastAsia="黑体" w:cs="黑体"/>
                <w:color w:val="auto"/>
                <w:sz w:val="21"/>
                <w:szCs w:val="21"/>
              </w:rPr>
              <w:t xml:space="preserve">按考评结果拨付（按年结算）</w:t>
            </w:r>
            <w:r/>
          </w:p>
        </w:tc>
      </w:tr>
      <w:tr>
        <w:trPr>
          <w:trHeight w:val="690"/>
        </w:trPr>
        <w:tc>
          <w:tcPr>
            <w:tcBorders>
              <w:top w:val="none" w:color="000000" w:sz="4" w:space="0"/>
              <w:left w:val="single" w:color="auto" w:sz="4" w:space="0"/>
              <w:bottom w:val="single" w:color="auto" w:sz="4" w:space="0"/>
              <w:right w:val="single" w:color="auto" w:sz="4" w:space="0"/>
            </w:tcBorders>
            <w:tcW w:w="3513"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rPr>
              <w:suppressLineNumbers w:val="0"/>
            </w:pPr>
            <w:r>
              <w:rPr>
                <w:rFonts w:hint="eastAsia" w:ascii="黑体" w:hAnsi="黑体" w:eastAsia="黑体" w:cs="黑体"/>
                <w:color w:val="auto"/>
                <w:lang w:val="en-US" w:eastAsia="zh-CN"/>
              </w:rPr>
              <w:t xml:space="preserve">居家和社区养老政府购买服务</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rPr>
              <w:t xml:space="preserve">97.9</w:t>
            </w:r>
            <w:r>
              <w:rPr>
                <w:rFonts w:hint="eastAsia" w:ascii="黑体" w:hAnsi="黑体" w:eastAsia="黑体" w:cs="黑体"/>
                <w:color w:val="auto"/>
                <w:sz w:val="21"/>
                <w:szCs w:val="21"/>
                <w:lang w:val="en-US" w:eastAsia="zh-CN"/>
              </w:rPr>
              <w:t xml:space="preserve">0</w:t>
            </w:r>
            <w:r/>
          </w:p>
        </w:tc>
        <w:tc>
          <w:tcPr>
            <w:tcBorders>
              <w:top w:val="none" w:color="000000" w:sz="4" w:space="0"/>
              <w:left w:val="none" w:color="000000" w:sz="4" w:space="0"/>
              <w:bottom w:val="single" w:color="auto" w:sz="4" w:space="0"/>
              <w:right w:val="single" w:color="auto" w:sz="4" w:space="0"/>
            </w:tcBorders>
            <w:tcW w:w="3484" w:type="dxa"/>
            <w:vAlign w:val="center"/>
            <w:textDirection w:val="lrTb"/>
            <w:noWrap/>
          </w:tcPr>
          <w:p>
            <w:pPr>
              <w:numPr>
                <w:ilvl w:val="0"/>
                <w:numId w:val="3"/>
              </w:num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eastAsia="zh-CN"/>
              </w:rPr>
              <w:suppressLineNumbers w:val="0"/>
            </w:pPr>
            <w:r>
              <w:rPr>
                <w:rFonts w:hint="eastAsia" w:ascii="黑体" w:hAnsi="黑体" w:eastAsia="黑体" w:cs="黑体"/>
                <w:color w:val="auto"/>
                <w:sz w:val="21"/>
                <w:szCs w:val="21"/>
              </w:rPr>
              <w:t xml:space="preserve">具体按实际发生服务数据结算（按季结算）</w:t>
            </w:r>
            <w:r>
              <w:rPr>
                <w:rFonts w:hint="eastAsia" w:ascii="黑体" w:hAnsi="黑体" w:eastAsia="黑体" w:cs="黑体"/>
                <w:color w:val="auto"/>
                <w:sz w:val="21"/>
                <w:szCs w:val="21"/>
                <w:lang w:eastAsia="zh-CN"/>
              </w:rPr>
              <w:t xml:space="preserve">；</w:t>
            </w:r>
            <w:r/>
          </w:p>
          <w:p>
            <w:pPr>
              <w:numPr>
                <w:ilvl w:val="0"/>
                <w:numId w:val="3"/>
              </w:num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lang w:val="en-US" w:eastAsia="zh-CN"/>
              </w:rPr>
              <w:t xml:space="preserve">本项的若干服务项目及内容单列出来作为本项目的居家养老服务投标报价，具体详见招标公告最高限价表格中的内容。</w:t>
            </w:r>
            <w:r/>
          </w:p>
        </w:tc>
      </w:tr>
      <w:tr>
        <w:trPr>
          <w:trHeight w:val="690"/>
        </w:trPr>
        <w:tc>
          <w:tcPr>
            <w:tcBorders>
              <w:top w:val="none" w:color="000000" w:sz="4" w:space="0"/>
              <w:left w:val="single" w:color="auto" w:sz="4" w:space="0"/>
              <w:bottom w:val="single" w:color="auto" w:sz="4" w:space="0"/>
              <w:right w:val="single" w:color="auto" w:sz="4" w:space="0"/>
            </w:tcBorders>
            <w:tcW w:w="3513"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rPr>
              <w:suppressLineNumbers w:val="0"/>
            </w:pPr>
            <w:r>
              <w:rPr>
                <w:rFonts w:hint="eastAsia" w:ascii="黑体" w:hAnsi="黑体" w:eastAsia="黑体" w:cs="黑体"/>
                <w:color w:val="auto"/>
                <w:lang w:val="en-US" w:eastAsia="zh-CN"/>
              </w:rPr>
              <w:t xml:space="preserve">残疾人之家运营管理</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rPr>
              <w:t xml:space="preserve">7</w:t>
            </w:r>
            <w:r>
              <w:rPr>
                <w:rFonts w:hint="eastAsia" w:ascii="黑体" w:hAnsi="黑体" w:eastAsia="黑体" w:cs="黑体"/>
                <w:color w:val="auto"/>
                <w:sz w:val="21"/>
                <w:szCs w:val="21"/>
                <w:lang w:val="en-US" w:eastAsia="zh-CN"/>
              </w:rPr>
              <w:t xml:space="preserve">.00</w:t>
            </w:r>
            <w:r/>
          </w:p>
        </w:tc>
        <w:tc>
          <w:tcPr>
            <w:tcBorders>
              <w:top w:val="none" w:color="000000" w:sz="4" w:space="0"/>
              <w:left w:val="none" w:color="000000" w:sz="4" w:space="0"/>
              <w:bottom w:val="single" w:color="auto" w:sz="4" w:space="0"/>
              <w:right w:val="single" w:color="auto" w:sz="4" w:space="0"/>
            </w:tcBorders>
            <w:tcW w:w="3484"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rPr>
              <w:t xml:space="preserve">按实际发生额结算（按年结算）</w:t>
            </w:r>
            <w:r>
              <w:rPr>
                <w:rFonts w:hint="eastAsia" w:ascii="黑体" w:hAnsi="黑体" w:eastAsia="黑体" w:cs="黑体"/>
                <w:color w:val="auto"/>
                <w:sz w:val="21"/>
                <w:szCs w:val="21"/>
                <w:lang w:eastAsia="zh-CN"/>
              </w:rPr>
              <w:t xml:space="preserve">，</w:t>
            </w:r>
            <w:r>
              <w:rPr>
                <w:rFonts w:hint="eastAsia" w:ascii="黑体" w:hAnsi="黑体" w:eastAsia="黑体" w:cs="黑体"/>
                <w:color w:val="auto"/>
                <w:sz w:val="21"/>
                <w:szCs w:val="21"/>
                <w:lang w:val="en-US" w:eastAsia="zh-CN"/>
              </w:rPr>
              <w:t xml:space="preserve">结算超过7万元的由成交供应商自行承担。</w:t>
            </w:r>
            <w:r/>
          </w:p>
        </w:tc>
      </w:tr>
      <w:tr>
        <w:trPr>
          <w:trHeight w:val="690"/>
        </w:trPr>
        <w:tc>
          <w:tcPr>
            <w:tcBorders>
              <w:top w:val="none" w:color="000000" w:sz="4" w:space="0"/>
              <w:left w:val="single" w:color="auto" w:sz="4" w:space="0"/>
              <w:bottom w:val="single" w:color="auto" w:sz="4" w:space="0"/>
              <w:right w:val="single" w:color="auto" w:sz="4" w:space="0"/>
            </w:tcBorders>
            <w:tcW w:w="3513" w:type="dxa"/>
            <w:vAlign w:val="center"/>
            <w:textDirection w:val="lrTb"/>
            <w:noWrap/>
          </w:tcPr>
          <w:p>
            <w:pPr>
              <w:ind w:left="0" w:right="0" w:firstLine="84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lang w:val="en-US" w:eastAsia="zh-CN"/>
              </w:rPr>
              <w:t xml:space="preserve">合   计</w:t>
            </w:r>
            <w:r/>
          </w:p>
        </w:tc>
        <w:tc>
          <w:tcPr>
            <w:tcBorders>
              <w:top w:val="none" w:color="000000" w:sz="4" w:space="0"/>
              <w:left w:val="none" w:color="000000" w:sz="4" w:space="0"/>
              <w:bottom w:val="single" w:color="auto" w:sz="4" w:space="0"/>
              <w:right w:val="single" w:color="auto" w:sz="4" w:space="0"/>
            </w:tcBorders>
            <w:tcW w:w="1285"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lang w:val="en-US" w:eastAsia="zh-CN"/>
              </w:rPr>
              <w:suppressLineNumbers w:val="0"/>
            </w:pPr>
            <w:r>
              <w:rPr>
                <w:rFonts w:hint="eastAsia" w:ascii="黑体" w:hAnsi="黑体" w:eastAsia="黑体" w:cs="黑体"/>
                <w:color w:val="auto"/>
                <w:sz w:val="21"/>
                <w:szCs w:val="21"/>
                <w:lang w:val="en-US" w:eastAsia="zh-CN"/>
              </w:rPr>
              <w:t xml:space="preserve">121.90</w:t>
            </w:r>
            <w:r/>
          </w:p>
        </w:tc>
        <w:tc>
          <w:tcPr>
            <w:tcBorders>
              <w:top w:val="none" w:color="000000" w:sz="4" w:space="0"/>
              <w:left w:val="none" w:color="000000" w:sz="4" w:space="0"/>
              <w:bottom w:val="single" w:color="auto" w:sz="4" w:space="0"/>
              <w:right w:val="single" w:color="auto" w:sz="4" w:space="0"/>
            </w:tcBorders>
            <w:tcW w:w="3484" w:type="dxa"/>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rPr>
              <w:suppressLineNumbers w:val="0"/>
            </w:pPr>
            <w:r>
              <w:rPr>
                <w:rFonts w:hint="eastAsia" w:ascii="黑体" w:hAnsi="黑体" w:eastAsia="黑体" w:cs="黑体"/>
                <w:color w:val="auto"/>
                <w:sz w:val="21"/>
                <w:szCs w:val="21"/>
              </w:rPr>
            </w:r>
            <w:r/>
          </w:p>
        </w:tc>
      </w:tr>
    </w:tbl>
    <w:p>
      <w:pPr>
        <w:jc w:val="left"/>
        <w:pageBreakBefore w:val="0"/>
        <w:spacing w:line="440" w:lineRule="exact"/>
        <w:widowControl/>
        <w:rPr>
          <w:rFonts w:hint="eastAsia" w:ascii="黑体" w:hAnsi="黑体" w:eastAsia="黑体" w:cs="黑体"/>
          <w:b/>
          <w:bCs/>
          <w:color w:val="auto"/>
          <w:lang w:val="en-US" w:eastAsia="zh-CN"/>
        </w:rPr>
      </w:pPr>
      <w:r>
        <w:rPr>
          <w:rFonts w:hint="eastAsia" w:ascii="黑体" w:hAnsi="黑体" w:eastAsia="黑体" w:cs="黑体"/>
          <w:b/>
          <w:bCs/>
          <w:color w:val="auto"/>
          <w:lang w:val="en-US" w:eastAsia="zh-CN"/>
        </w:rPr>
      </w:r>
      <w:r/>
    </w:p>
    <w:p>
      <w:pPr>
        <w:jc w:val="left"/>
        <w:pageBreakBefore w:val="0"/>
        <w:spacing w:line="440" w:lineRule="exact"/>
        <w:widowControl/>
        <w:rPr>
          <w:rFonts w:hint="eastAsia" w:ascii="黑体" w:hAnsi="黑体" w:eastAsia="黑体" w:cs="黑体"/>
          <w:color w:val="auto"/>
          <w:sz w:val="24"/>
          <w:szCs w:val="24"/>
          <w:lang w:val="en-US" w:eastAsia="zh-CN"/>
        </w:rPr>
      </w:pPr>
      <w:r>
        <w:rPr>
          <w:rFonts w:hint="eastAsia" w:ascii="黑体" w:hAnsi="黑体" w:eastAsia="黑体" w:cs="黑体"/>
          <w:b/>
          <w:bCs/>
          <w:color w:val="auto"/>
          <w:lang w:val="en-US" w:eastAsia="zh-CN"/>
        </w:rPr>
        <w:t xml:space="preserve">注明：</w:t>
      </w:r>
      <w:r>
        <w:rPr>
          <w:rFonts w:hint="eastAsia" w:ascii="黑体" w:hAnsi="黑体" w:eastAsia="黑体" w:cs="黑体"/>
          <w:b/>
          <w:bCs/>
          <w:color w:val="auto"/>
          <w:sz w:val="24"/>
          <w:szCs w:val="24"/>
          <w:highlight w:val="none"/>
          <w:u w:val="single"/>
          <w:lang w:val="zh-CN"/>
        </w:rPr>
        <w:t xml:space="preserve">★</w:t>
      </w:r>
      <w:r>
        <w:rPr>
          <w:rFonts w:hint="eastAsia" w:ascii="黑体" w:hAnsi="黑体" w:eastAsia="黑体" w:cs="黑体"/>
          <w:b/>
          <w:bCs/>
          <w:color w:val="auto"/>
          <w:sz w:val="24"/>
          <w:szCs w:val="24"/>
          <w:u w:val="single"/>
          <w:lang w:val="en-US" w:eastAsia="zh-CN"/>
        </w:rPr>
        <w:t xml:space="preserve">综合性养老服务中心建设及运营管理</w:t>
      </w:r>
      <w:r>
        <w:rPr>
          <w:rFonts w:hint="eastAsia" w:ascii="黑体" w:hAnsi="黑体" w:eastAsia="黑体" w:cs="黑体"/>
          <w:b/>
          <w:bCs/>
          <w:color w:val="auto"/>
          <w:sz w:val="24"/>
          <w:szCs w:val="24"/>
          <w:u w:val="single"/>
          <w:lang w:eastAsia="zh-CN"/>
        </w:rPr>
        <w:t xml:space="preserve">，</w:t>
      </w:r>
      <w:r>
        <w:rPr>
          <w:rFonts w:hint="eastAsia" w:ascii="黑体" w:hAnsi="黑体" w:eastAsia="黑体" w:cs="黑体"/>
          <w:b/>
          <w:bCs/>
          <w:color w:val="auto"/>
          <w:sz w:val="24"/>
          <w:szCs w:val="24"/>
          <w:u w:val="single"/>
          <w:lang w:val="en-US" w:eastAsia="zh-CN"/>
        </w:rPr>
        <w:t xml:space="preserve">残疾人之家运营管理，以上各分项服务、涉及的数量、金额以及备注中内容，供应商均在符合性审查内容中以承诺的方式响应，若未按本注明中要求相应承诺的，符合性审查不予通过，按照无效标处理。</w:t>
      </w:r>
      <w:r/>
    </w:p>
    <w:p>
      <w:pPr>
        <w:pStyle w:val="863"/>
        <w:numPr>
          <w:ilvl w:val="0"/>
          <w:numId w:val="0"/>
        </w:numPr>
        <w:ind w:firstLine="240"/>
        <w:jc w:val="left"/>
        <w:pageBreakBefore w:val="0"/>
        <w:spacing w:before="0" w:after="0" w:line="440" w:lineRule="exact"/>
        <w:rPr>
          <w:rFonts w:hint="eastAsia" w:ascii="黑体" w:hAnsi="黑体" w:eastAsia="黑体" w:cs="黑体"/>
          <w:b w:val="0"/>
          <w:bCs/>
          <w:color w:val="auto"/>
          <w:sz w:val="24"/>
          <w:szCs w:val="24"/>
        </w:rPr>
      </w:pPr>
      <w:r>
        <w:rPr>
          <w:rFonts w:hint="eastAsia" w:ascii="黑体" w:hAnsi="黑体" w:eastAsia="黑体" w:cs="黑体"/>
          <w:b w:val="0"/>
          <w:bCs/>
          <w:color w:val="auto"/>
          <w:sz w:val="24"/>
          <w:szCs w:val="24"/>
          <w:lang w:val="en-US" w:eastAsia="zh-CN"/>
        </w:rPr>
        <w:t xml:space="preserve">本项目的</w:t>
      </w:r>
      <w:r>
        <w:rPr>
          <w:rFonts w:hint="eastAsia" w:ascii="黑体" w:hAnsi="黑体" w:eastAsia="黑体" w:cs="黑体"/>
          <w:b w:val="0"/>
          <w:bCs/>
          <w:color w:val="auto"/>
          <w:sz w:val="24"/>
          <w:szCs w:val="24"/>
        </w:rPr>
        <w:t xml:space="preserve">居家养老服务</w:t>
      </w:r>
      <w:r>
        <w:rPr>
          <w:rFonts w:hint="eastAsia" w:ascii="黑体" w:hAnsi="黑体" w:eastAsia="黑体" w:cs="黑体"/>
          <w:b w:val="0"/>
          <w:bCs/>
          <w:color w:val="auto"/>
          <w:sz w:val="24"/>
          <w:szCs w:val="24"/>
          <w:lang w:val="en-US" w:eastAsia="zh-CN"/>
        </w:rPr>
        <w:t xml:space="preserve">中若干服务项目及内容单列出来作为本项目的居家养老服务投标报价，若投标报价各单项报价及合计报价超过最高限价的，</w:t>
      </w:r>
      <w:r>
        <w:rPr>
          <w:rFonts w:hint="eastAsia" w:ascii="黑体" w:hAnsi="黑体" w:eastAsia="黑体" w:cs="黑体"/>
          <w:b w:val="0"/>
          <w:bCs/>
          <w:color w:val="auto"/>
          <w:sz w:val="24"/>
          <w:szCs w:val="24"/>
        </w:rPr>
        <w:t xml:space="preserve">按照无效响应处理。</w:t>
      </w:r>
      <w:r>
        <w:rPr>
          <w:rFonts w:hint="eastAsia" w:ascii="黑体" w:hAnsi="黑体" w:eastAsia="黑体" w:cs="黑体"/>
          <w:b w:val="0"/>
          <w:bCs/>
          <w:color w:val="auto"/>
          <w:sz w:val="24"/>
          <w:szCs w:val="24"/>
          <w:lang w:val="en-US" w:eastAsia="zh-CN"/>
        </w:rPr>
        <w:t xml:space="preserve">报价表中未体现的报价执行</w:t>
      </w:r>
      <w:r>
        <w:rPr>
          <w:rFonts w:hint="eastAsia" w:ascii="黑体" w:hAnsi="黑体" w:cs="黑体"/>
          <w:b w:val="0"/>
          <w:bCs/>
          <w:color w:val="auto"/>
          <w:sz w:val="24"/>
          <w:szCs w:val="24"/>
          <w:lang w:val="en-US" w:eastAsia="zh-CN"/>
        </w:rPr>
        <w:t xml:space="preserve">《南通市居家和社区基本养老服务项目清单》（通民发〔2018〕94号）文件。</w:t>
      </w:r>
      <w:r/>
    </w:p>
    <w:p>
      <w:pPr>
        <w:jc w:val="left"/>
        <w:pageBreakBefore w:val="0"/>
        <w:spacing w:line="440" w:lineRule="exac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lang w:val="en-US" w:eastAsia="zh-CN"/>
        </w:rPr>
        <w:t xml:space="preserve">（二）</w:t>
      </w:r>
      <w:r>
        <w:rPr>
          <w:rFonts w:hint="eastAsia" w:ascii="黑体" w:hAnsi="黑体" w:eastAsia="黑体" w:cs="黑体"/>
          <w:b/>
          <w:color w:val="auto"/>
          <w:sz w:val="24"/>
          <w:szCs w:val="24"/>
        </w:rPr>
        <w:t xml:space="preserve">管理团队要求</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rPr>
      </w:pPr>
      <w:r>
        <w:rPr>
          <w:rFonts w:hint="eastAsia" w:ascii="黑体" w:hAnsi="黑体" w:eastAsia="黑体" w:cs="黑体"/>
          <w:color w:val="auto"/>
          <w:sz w:val="24"/>
          <w:szCs w:val="24"/>
        </w:rPr>
        <w:t xml:space="preserve">成交供应商必须配备1名总负责人</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项目负责人</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rPr>
        <w:t xml:space="preserve">，全职，负责</w:t>
      </w:r>
      <w:r>
        <w:rPr>
          <w:rFonts w:hint="eastAsia" w:ascii="黑体" w:hAnsi="黑体" w:eastAsia="黑体" w:cs="黑体"/>
          <w:color w:val="auto"/>
          <w:sz w:val="24"/>
          <w:szCs w:val="24"/>
          <w:lang w:val="en-US" w:eastAsia="zh-CN"/>
        </w:rPr>
        <w:t xml:space="preserve">本项目</w:t>
      </w:r>
      <w:r>
        <w:rPr>
          <w:rFonts w:hint="eastAsia" w:ascii="黑体" w:hAnsi="黑体" w:eastAsia="黑体" w:cs="黑体"/>
          <w:color w:val="auto"/>
          <w:sz w:val="24"/>
          <w:szCs w:val="24"/>
        </w:rPr>
        <w:t xml:space="preserve">所有服务内容的管理工作，具有全日制本科及以上文化水平，</w:t>
      </w:r>
      <w:r>
        <w:rPr>
          <w:rFonts w:hint="eastAsia" w:ascii="黑体" w:hAnsi="黑体" w:eastAsia="黑体" w:cs="黑体"/>
          <w:color w:val="auto"/>
          <w:sz w:val="24"/>
          <w:szCs w:val="24"/>
          <w:lang w:val="en-US" w:eastAsia="zh-CN"/>
        </w:rPr>
        <w:t xml:space="preserve">须为供应商正式人员</w:t>
      </w:r>
      <w:r>
        <w:rPr>
          <w:rFonts w:hint="eastAsia" w:ascii="黑体" w:hAnsi="黑体" w:eastAsia="黑体" w:cs="黑体"/>
          <w:color w:val="auto"/>
          <w:sz w:val="24"/>
          <w:szCs w:val="24"/>
        </w:rPr>
        <w:t xml:space="preserve">，资深养老服务管理从业人员。其余工作人员如康复师、护士、专职服务人员、保洁员、帮厨人员等服务团队在满足</w:t>
      </w:r>
      <w:r>
        <w:rPr>
          <w:rFonts w:hint="eastAsia" w:ascii="黑体" w:hAnsi="黑体" w:eastAsia="黑体" w:cs="黑体"/>
          <w:color w:val="auto"/>
          <w:sz w:val="24"/>
          <w:szCs w:val="24"/>
          <w:lang w:val="en-US" w:eastAsia="zh-CN"/>
        </w:rPr>
        <w:t xml:space="preserve">采购人本章</w:t>
      </w:r>
      <w:r>
        <w:rPr>
          <w:rFonts w:hint="eastAsia" w:ascii="黑体" w:hAnsi="黑体" w:eastAsia="黑体" w:cs="黑体"/>
          <w:color w:val="auto"/>
          <w:sz w:val="24"/>
          <w:szCs w:val="24"/>
        </w:rPr>
        <w:t xml:space="preserve">下述服务要求和管理考核细则后，由成交供应商根据实际情况安排。所有团队人员的待遇保障和个人安全等保障</w:t>
      </w:r>
      <w:r>
        <w:rPr>
          <w:rFonts w:hint="eastAsia" w:ascii="黑体" w:hAnsi="黑体" w:eastAsia="黑体" w:cs="黑体"/>
          <w:color w:val="auto"/>
          <w:sz w:val="24"/>
          <w:szCs w:val="24"/>
          <w:lang w:val="en-US" w:eastAsia="zh-CN"/>
        </w:rPr>
        <w:t xml:space="preserve">均</w:t>
      </w:r>
      <w:r>
        <w:rPr>
          <w:rFonts w:hint="eastAsia" w:ascii="黑体" w:hAnsi="黑体" w:eastAsia="黑体" w:cs="黑体"/>
          <w:color w:val="auto"/>
          <w:sz w:val="24"/>
          <w:szCs w:val="24"/>
        </w:rPr>
        <w:t xml:space="preserve">由成交供应商负责。从业人员上岗前须持有健康证明，配备的专业人员必须持证上岗</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以上所有人员花名册须书面上报给采购人，采购人有随时核实的权利</w:t>
      </w:r>
      <w:r>
        <w:rPr>
          <w:rFonts w:hint="eastAsia" w:ascii="黑体" w:hAnsi="黑体" w:eastAsia="黑体" w:cs="黑体"/>
          <w:color w:val="auto"/>
          <w:sz w:val="24"/>
          <w:szCs w:val="24"/>
        </w:rPr>
        <w:t xml:space="preserve">。</w:t>
      </w:r>
      <w:r/>
    </w:p>
    <w:p>
      <w:pPr>
        <w:numPr>
          <w:ilvl w:val="0"/>
          <w:numId w:val="4"/>
        </w:numPr>
        <w:jc w:val="left"/>
        <w:keepLines w:val="0"/>
        <w:keepNext w:val="0"/>
        <w:pageBreakBefore w:val="0"/>
        <w:spacing w:line="440" w:lineRule="exact"/>
        <w:widowControl/>
        <w:rPr>
          <w:rFonts w:hint="eastAsia" w:ascii="黑体" w:hAnsi="黑体" w:eastAsia="黑体" w:cs="黑体"/>
          <w:b/>
          <w:bCs/>
          <w:color w:val="auto"/>
          <w:sz w:val="24"/>
          <w:szCs w:val="24"/>
          <w:lang w:val="en-US" w:eastAsia="zh-CN"/>
        </w:rPr>
      </w:pPr>
      <w:r>
        <w:rPr>
          <w:rFonts w:hint="eastAsia" w:ascii="黑体" w:hAnsi="黑体" w:eastAsia="黑体" w:cs="黑体"/>
          <w:b/>
          <w:bCs/>
          <w:color w:val="auto"/>
          <w:sz w:val="24"/>
          <w:szCs w:val="24"/>
          <w:lang w:val="en-US" w:eastAsia="zh-CN"/>
        </w:rPr>
        <w:t xml:space="preserve">各分项的服务内容及要求</w:t>
      </w:r>
      <w:r/>
    </w:p>
    <w:p>
      <w:pPr>
        <w:numPr>
          <w:ilvl w:val="0"/>
          <w:numId w:val="0"/>
        </w:numPr>
        <w:rPr>
          <w:rFonts w:hint="eastAsia" w:ascii="黑体" w:hAnsi="黑体" w:eastAsia="黑体" w:cs="黑体"/>
          <w:b/>
          <w:bCs/>
          <w:color w:val="auto"/>
          <w:sz w:val="28"/>
          <w:szCs w:val="28"/>
          <w:lang w:val="en-US" w:eastAsia="zh-CN"/>
        </w:rPr>
      </w:pPr>
      <w:r>
        <w:rPr>
          <w:rFonts w:hint="eastAsia" w:ascii="黑体" w:hAnsi="黑体" w:eastAsia="黑体" w:cs="黑体"/>
          <w:b/>
          <w:bCs/>
          <w:color w:val="auto"/>
          <w:sz w:val="28"/>
          <w:szCs w:val="28"/>
          <w:lang w:val="en-US" w:eastAsia="zh-CN"/>
        </w:rPr>
        <w:t xml:space="preserve">A、综合性养老服务中心建设及运营管理</w:t>
      </w:r>
      <w:r/>
    </w:p>
    <w:p>
      <w:pPr>
        <w:numPr>
          <w:ilvl w:val="0"/>
          <w:numId w:val="0"/>
        </w:numPr>
        <w:ind w:firstLine="480"/>
        <w:jc w:val="left"/>
        <w:keepLines w:val="0"/>
        <w:keepNext w:val="0"/>
        <w:pageBreakBefore w:val="0"/>
        <w:spacing w:line="440" w:lineRule="exact"/>
        <w:widowControl/>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t xml:space="preserve">新开街</w:t>
      </w:r>
      <w:r>
        <w:rPr>
          <w:rFonts w:hint="eastAsia" w:ascii="黑体" w:hAnsi="黑体" w:eastAsia="黑体" w:cs="黑体"/>
          <w:color w:val="auto"/>
          <w:sz w:val="24"/>
          <w:szCs w:val="24"/>
        </w:rPr>
        <w:t xml:space="preserve">道综合性养老服务中心由</w:t>
      </w:r>
      <w:r>
        <w:rPr>
          <w:rFonts w:hint="eastAsia" w:ascii="黑体" w:hAnsi="黑体" w:eastAsia="黑体" w:cs="黑体"/>
          <w:color w:val="auto"/>
          <w:sz w:val="24"/>
          <w:szCs w:val="24"/>
          <w:lang w:val="en-US" w:eastAsia="zh-CN"/>
        </w:rPr>
        <w:t xml:space="preserve">本项目</w:t>
      </w:r>
      <w:r>
        <w:rPr>
          <w:rFonts w:hint="eastAsia" w:ascii="黑体" w:hAnsi="黑体" w:eastAsia="黑体" w:cs="黑体"/>
          <w:color w:val="auto"/>
          <w:sz w:val="24"/>
          <w:szCs w:val="24"/>
        </w:rPr>
        <w:t xml:space="preserve">成交供应商投资装修建设，应具备全托、日托、上门服务以及业务指导等综合功能，并通过民政部门备案。</w:t>
      </w:r>
      <w:r/>
    </w:p>
    <w:p>
      <w:pPr>
        <w:numPr>
          <w:ilvl w:val="0"/>
          <w:numId w:val="0"/>
        </w:numPr>
        <w:ind w:firstLine="480"/>
        <w:jc w:val="left"/>
        <w:keepLines w:val="0"/>
        <w:keepNext w:val="0"/>
        <w:pageBreakBefore w:val="0"/>
        <w:spacing w:line="440" w:lineRule="exact"/>
        <w:widowControl/>
        <w:rPr>
          <w:rFonts w:hint="default" w:ascii="黑体" w:hAnsi="黑体" w:eastAsia="黑体" w:cs="黑体"/>
          <w:color w:val="auto"/>
          <w:sz w:val="24"/>
          <w:szCs w:val="24"/>
          <w:lang w:val="en-US" w:eastAsia="zh-CN"/>
        </w:rPr>
      </w:pPr>
      <w:r>
        <w:rPr>
          <w:rFonts w:hint="eastAsia" w:ascii="黑体" w:hAnsi="黑体" w:eastAsia="黑体" w:cs="黑体"/>
          <w:color w:val="auto"/>
          <w:sz w:val="24"/>
          <w:szCs w:val="24"/>
        </w:rPr>
        <w:t xml:space="preserve">建设选址：</w:t>
      </w:r>
      <w:r>
        <w:rPr>
          <w:rFonts w:hint="eastAsia" w:ascii="黑体" w:hAnsi="黑体" w:eastAsia="黑体" w:cs="黑体"/>
          <w:color w:val="auto"/>
          <w:sz w:val="24"/>
          <w:szCs w:val="24"/>
          <w:lang w:eastAsia="zh-CN"/>
        </w:rPr>
        <w:t xml:space="preserve">新里程花苑96幢二层和三层，面积4020.94㎡，房屋性质为公益性配套用房。其中201室（用途“社区居委会”） 和202室（用途“文化活动站”） ，建筑面积共751.36㎡，建设成街道综合性养老服务中心开放区域，作为社区居委会开展工作和居民开展文化活动的公共场所；203室、204室、205室、206室、207室、301室、302室、303室和304室（用途“居家养老站”），建筑面积共3269.58㎡，建设成街道综合性养老服务中心自有区域。由供应商自行勘探现场，提交装修设计方案。</w:t>
      </w:r>
      <w:r>
        <w:rPr>
          <w:rFonts w:hint="eastAsia" w:ascii="黑体" w:hAnsi="黑体" w:eastAsia="黑体" w:cs="黑体"/>
          <w:color w:val="auto"/>
          <w:sz w:val="24"/>
          <w:szCs w:val="24"/>
          <w:lang w:val="en-US" w:eastAsia="zh-CN"/>
        </w:rPr>
        <w:t xml:space="preserve">自合同签订之日起180日历天内竣工、验收合格并通过民政部门备案。</w:t>
      </w:r>
      <w:r/>
    </w:p>
    <w:p>
      <w:pPr>
        <w:numPr>
          <w:ilvl w:val="0"/>
          <w:numId w:val="0"/>
        </w:numPr>
        <w:ind w:firstLine="482"/>
        <w:jc w:val="left"/>
        <w:keepLines w:val="0"/>
        <w:keepNext w:val="0"/>
        <w:pageBreakBefore w:val="0"/>
        <w:spacing w:line="440" w:lineRule="exact"/>
        <w:widowControl/>
        <w:rPr>
          <w:rFonts w:hint="eastAsia" w:ascii="黑体" w:hAnsi="黑体" w:eastAsia="黑体" w:cs="黑体"/>
          <w:b/>
          <w:bCs/>
          <w:color w:val="auto"/>
          <w:sz w:val="24"/>
          <w:szCs w:val="24"/>
          <w:u w:val="single"/>
          <w:lang w:val="en-US" w:eastAsia="zh-CN"/>
        </w:rPr>
      </w:pPr>
      <w:r>
        <w:rPr>
          <w:rFonts w:hint="eastAsia" w:ascii="黑体" w:hAnsi="黑体" w:eastAsia="黑体" w:cs="黑体"/>
          <w:b/>
          <w:bCs/>
          <w:color w:val="auto"/>
          <w:sz w:val="24"/>
          <w:szCs w:val="24"/>
          <w:u w:val="single"/>
          <w:lang w:val="en-US" w:eastAsia="zh-CN"/>
        </w:rPr>
        <w:t xml:space="preserve">注明：</w:t>
      </w:r>
      <w:r>
        <w:rPr>
          <w:rFonts w:hint="eastAsia" w:ascii="黑体" w:hAnsi="黑体" w:eastAsia="黑体" w:cs="黑体"/>
          <w:b/>
          <w:bCs/>
          <w:color w:val="auto"/>
          <w:sz w:val="24"/>
          <w:szCs w:val="24"/>
          <w:u w:val="single"/>
          <w:lang w:eastAsia="zh-CN"/>
        </w:rPr>
        <w:t xml:space="preserve">根据《关于运用政府和社会资本合作模式支持养老服务业发展的实施意见》（财金〔2017〕86号）和《关于推进政府和社会资本合作规范发展的实施意见》（财金〔2019〕10号）第二条（一）项第1点，采购人就本项目涉及养老收费的定价机制，考虑到</w:t>
      </w:r>
      <w:r>
        <w:rPr>
          <w:rFonts w:hint="eastAsia" w:ascii="黑体" w:hAnsi="黑体" w:eastAsia="黑体" w:cs="黑体"/>
          <w:b/>
          <w:bCs/>
          <w:color w:val="auto"/>
          <w:sz w:val="24"/>
          <w:szCs w:val="24"/>
          <w:u w:val="single"/>
          <w:lang w:val="en-US" w:eastAsia="zh-CN"/>
        </w:rPr>
        <w:t xml:space="preserve">本项目新开街</w:t>
      </w:r>
      <w:r>
        <w:rPr>
          <w:rFonts w:hint="eastAsia" w:ascii="黑体" w:hAnsi="黑体" w:eastAsia="黑体" w:cs="黑体"/>
          <w:b/>
          <w:bCs/>
          <w:color w:val="auto"/>
          <w:sz w:val="24"/>
          <w:szCs w:val="24"/>
          <w:u w:val="single"/>
          <w:lang w:eastAsia="zh-CN"/>
        </w:rPr>
        <w:t xml:space="preserve">道综合性养老服务中心投资建设后的承办运营收益水平和风险分配</w:t>
      </w:r>
      <w:r>
        <w:rPr>
          <w:rFonts w:hint="eastAsia" w:ascii="黑体" w:hAnsi="黑体" w:eastAsia="黑体" w:cs="黑体"/>
          <w:b/>
          <w:bCs/>
          <w:color w:val="auto"/>
          <w:sz w:val="24"/>
          <w:szCs w:val="24"/>
          <w:u w:val="single"/>
          <w:lang w:val="en-US" w:eastAsia="zh-CN"/>
        </w:rPr>
        <w:t xml:space="preserve">的情况</w:t>
      </w:r>
      <w:r>
        <w:rPr>
          <w:rFonts w:hint="eastAsia" w:ascii="黑体" w:hAnsi="黑体" w:eastAsia="黑体" w:cs="黑体"/>
          <w:b/>
          <w:bCs/>
          <w:color w:val="auto"/>
          <w:sz w:val="24"/>
          <w:szCs w:val="24"/>
          <w:u w:val="single"/>
          <w:lang w:eastAsia="zh-CN"/>
        </w:rPr>
        <w:t xml:space="preserve">，</w:t>
      </w:r>
      <w:r>
        <w:rPr>
          <w:rFonts w:hint="eastAsia" w:ascii="黑体" w:hAnsi="黑体" w:eastAsia="黑体" w:cs="黑体"/>
          <w:b/>
          <w:bCs/>
          <w:color w:val="auto"/>
          <w:sz w:val="24"/>
          <w:szCs w:val="24"/>
          <w:u w:val="single"/>
          <w:lang w:val="en-US" w:eastAsia="zh-CN"/>
        </w:rPr>
        <w:t xml:space="preserve">新开街</w:t>
      </w:r>
      <w:r>
        <w:rPr>
          <w:rFonts w:hint="eastAsia" w:ascii="黑体" w:hAnsi="黑体" w:eastAsia="黑体" w:cs="黑体"/>
          <w:b/>
          <w:bCs/>
          <w:color w:val="auto"/>
          <w:sz w:val="24"/>
          <w:szCs w:val="24"/>
          <w:u w:val="single"/>
          <w:lang w:eastAsia="zh-CN"/>
        </w:rPr>
        <w:t xml:space="preserve">道综合性养老服务中心</w:t>
      </w:r>
      <w:r>
        <w:rPr>
          <w:rFonts w:hint="eastAsia" w:ascii="黑体" w:hAnsi="黑体" w:eastAsia="黑体" w:cs="黑体"/>
          <w:b/>
          <w:bCs/>
          <w:color w:val="auto"/>
          <w:sz w:val="24"/>
          <w:szCs w:val="24"/>
          <w:u w:val="single"/>
          <w:lang w:val="en-US" w:eastAsia="zh-CN"/>
        </w:rPr>
        <w:t xml:space="preserve">的房屋租赁协议（含租赁期、租金等）由采购人和本项目成交供应商协商一致后另行签订。</w:t>
      </w:r>
      <w:r/>
    </w:p>
    <w:p>
      <w:pPr>
        <w:numPr>
          <w:ilvl w:val="0"/>
          <w:numId w:val="0"/>
        </w:numPr>
        <w:ind w:firstLine="480"/>
        <w:jc w:val="left"/>
        <w:keepLines w:val="0"/>
        <w:keepNext w:val="0"/>
        <w:pageBreakBefore w:val="0"/>
        <w:spacing w:line="440" w:lineRule="exact"/>
        <w:widowControl/>
        <w:rPr>
          <w:rFonts w:hint="eastAsia" w:ascii="黑体" w:hAnsi="黑体" w:eastAsia="黑体" w:cs="黑体"/>
          <w:color w:val="auto"/>
          <w:sz w:val="24"/>
          <w:szCs w:val="24"/>
        </w:rPr>
      </w:pPr>
      <w:r>
        <w:rPr>
          <w:rFonts w:hint="eastAsia" w:ascii="黑体" w:hAnsi="黑体" w:eastAsia="黑体" w:cs="黑体"/>
          <w:color w:val="auto"/>
          <w:sz w:val="24"/>
          <w:szCs w:val="24"/>
        </w:rPr>
        <w:t xml:space="preserve">由</w:t>
      </w:r>
      <w:r>
        <w:rPr>
          <w:rFonts w:hint="eastAsia" w:ascii="黑体" w:hAnsi="黑体" w:eastAsia="黑体" w:cs="黑体"/>
          <w:color w:val="auto"/>
          <w:sz w:val="24"/>
          <w:szCs w:val="24"/>
          <w:lang w:eastAsia="zh-CN"/>
        </w:rPr>
        <w:t xml:space="preserve">供应商</w:t>
      </w:r>
      <w:r>
        <w:rPr>
          <w:rFonts w:hint="eastAsia" w:ascii="黑体" w:hAnsi="黑体" w:eastAsia="黑体" w:cs="黑体"/>
          <w:color w:val="auto"/>
          <w:sz w:val="24"/>
          <w:szCs w:val="24"/>
        </w:rPr>
        <w:t xml:space="preserve">提交街道综合性养老服务中心运营方案、服务方案、收费标准和优惠政策等，方案包含但不限于以下内容：</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A1</w:t>
      </w:r>
      <w:r>
        <w:rPr>
          <w:rFonts w:hint="eastAsia" w:ascii="黑体" w:hAnsi="黑体" w:eastAsia="黑体" w:cs="黑体"/>
          <w:b/>
          <w:color w:val="auto"/>
          <w:sz w:val="24"/>
          <w:szCs w:val="24"/>
        </w:rPr>
        <w:t xml:space="preserve">服务场所</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（1）环境要求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1.建筑设计及室内环境应符合JGJ450的要求。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2.公共区域标识应符合MZ/T131的要求。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（2）设施设备要求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1.公共设施应与服务功能相匹配，无障碍设施应符合GB50763的要求。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2.消防设施配置应符合GB50016、GB50116、GB50140的要求。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3.供电、给排水、采暖通风、通讯等基础设施配置应符合JGJ450的要求。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4.应配置高清视频监控设备，监控范围应覆盖公共区域，并有醒目标识。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5.休息区、公共卫生间、公共助浴间应设紧急呼叫装置。</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6.应配置可联动所在地区智慧养老平台的管理系统，至少提供紧急呼叫救援、安全防护、资源管理调度等功能。</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（3）用房设置要求</w:t>
      </w:r>
      <w:r/>
    </w:p>
    <w:p>
      <w:pPr>
        <w:ind w:firstLine="72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基本要求：应根据老年人的使用特点和各项设施的功能要求进行合理布局和综合设置。具体可分为生活用房、医疗保健用房、公共活动用房、服务用房。每类用房的具体设置应符合JGJ450的规定。</w:t>
      </w:r>
      <w:r/>
    </w:p>
    <w:p>
      <w:pPr>
        <w:ind w:firstLine="723"/>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b/>
          <w:bCs/>
          <w:color w:val="auto"/>
          <w:sz w:val="24"/>
          <w:szCs w:val="24"/>
          <w:lang w:val="en-US" w:eastAsia="zh-CN"/>
        </w:rPr>
        <w:t xml:space="preserve">A2.</w:t>
      </w:r>
      <w:r>
        <w:rPr>
          <w:rFonts w:hint="eastAsia" w:ascii="黑体" w:hAnsi="黑体" w:eastAsia="黑体" w:cs="黑体"/>
          <w:b/>
          <w:bCs/>
          <w:color w:val="auto"/>
          <w:sz w:val="24"/>
          <w:szCs w:val="24"/>
        </w:rPr>
        <w:t xml:space="preserve">生活用房：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（1）生活用房主要包括老年人休息室、公共卫生间、公共助浴间、公共餐厅、理发室。</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（2）老年人休息室应选择相对安静的区域，分区配置全托床位、日间照料床位。护理型床位不少于20张。</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（3）公共卫生间应与老年人经常使用的公共活动用房同层，宜邻近设置，光线明亮，具备通风换气条件。公用卫生间应设无障碍厕位，便器旁应安装扶手。</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（4）公共助浴间应配置沐浴器、恒温设备和沐浴椅（凳）、防滑垫、排气扇等。</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（5）公共餐厅应配置可移动、牢固的桌椅，为护理员留有分餐、助餐空间。采用柜台式售饭方式的，应设置低位服务窗口。</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（6）理发室应配置理发和剃须器具、梳妆镜、理发座椅等。</w:t>
      </w:r>
      <w:r/>
    </w:p>
    <w:p>
      <w:pPr>
        <w:ind w:firstLine="482"/>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b/>
          <w:bCs/>
          <w:color w:val="auto"/>
          <w:sz w:val="24"/>
          <w:szCs w:val="24"/>
          <w:lang w:val="en-US" w:eastAsia="zh-CN"/>
        </w:rPr>
        <w:t xml:space="preserve">A3.</w:t>
      </w:r>
      <w:r>
        <w:rPr>
          <w:rFonts w:hint="eastAsia" w:ascii="黑体" w:hAnsi="黑体" w:eastAsia="黑体" w:cs="黑体"/>
          <w:b/>
          <w:bCs/>
          <w:color w:val="auto"/>
          <w:sz w:val="24"/>
          <w:szCs w:val="24"/>
        </w:rPr>
        <w:t xml:space="preserve">医疗保健用房：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（1）医疗保健用房主要包括医务室、护理站、康复室、心理疏导室。</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（2）宜设置医务室、护理站等医疗机构，或与其他基层卫生医疗机构签订医疗合作协议。</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（3）康复室应配备适合老年人的运动康复器械和作业康复器械。</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（4）心理疏导室应配置良好的隔间设施、暖色桌椅、沙发以及心理沙盘、心理宣泄工具。</w:t>
      </w:r>
      <w:r/>
    </w:p>
    <w:p>
      <w:pPr>
        <w:ind w:firstLine="482"/>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b/>
          <w:bCs/>
          <w:color w:val="auto"/>
          <w:sz w:val="24"/>
          <w:szCs w:val="24"/>
          <w:lang w:val="en-US" w:eastAsia="zh-CN"/>
        </w:rPr>
        <w:t xml:space="preserve">A4.</w:t>
      </w:r>
      <w:r>
        <w:rPr>
          <w:rFonts w:hint="eastAsia" w:ascii="黑体" w:hAnsi="黑体" w:eastAsia="黑体" w:cs="黑体"/>
          <w:b/>
          <w:bCs/>
          <w:color w:val="auto"/>
          <w:sz w:val="24"/>
          <w:szCs w:val="24"/>
        </w:rPr>
        <w:t xml:space="preserve">公共活动用房：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（1）公共活动用房主要包括多功能活动室、棋牌室、阅览室、书画室，在满足使用功能和相互不干扰前提下，可合并设置。</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（2）宜设置在建筑物首层，有良好的自然采光与通风条件。</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（3）多功能活动室应合理配备音响、影视器材等用品。</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（4）棋牌室应配备桌椅、棋牌等用品。</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（5）阅览室应配备书架、阅览桌、坐椅，有一定数量的藏书和报刊，有条件的宜配备开通网络功能的电脑。</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（6）书画室应提供书法、绘画所需的书案、字帖等用品。</w:t>
      </w:r>
      <w:r/>
    </w:p>
    <w:p>
      <w:pPr>
        <w:ind w:firstLine="482"/>
        <w:jc w:val="left"/>
        <w:pageBreakBefore w:val="0"/>
        <w:spacing w:line="440" w:lineRule="exact"/>
        <w:rPr>
          <w:rFonts w:hint="eastAsia" w:ascii="黑体" w:hAnsi="黑体" w:eastAsia="黑体" w:cs="黑体"/>
          <w:b/>
          <w:bCs/>
          <w:color w:val="auto"/>
          <w:sz w:val="24"/>
          <w:szCs w:val="24"/>
        </w:rPr>
      </w:pPr>
      <w:r>
        <w:rPr>
          <w:rFonts w:hint="eastAsia" w:ascii="黑体" w:hAnsi="黑体" w:eastAsia="黑体" w:cs="黑体"/>
          <w:b/>
          <w:bCs/>
          <w:color w:val="auto"/>
          <w:sz w:val="24"/>
          <w:szCs w:val="24"/>
          <w:lang w:val="en-US" w:eastAsia="zh-CN"/>
        </w:rPr>
        <w:t xml:space="preserve">A5.</w:t>
      </w:r>
      <w:r>
        <w:rPr>
          <w:rFonts w:hint="eastAsia" w:ascii="黑体" w:hAnsi="黑体" w:eastAsia="黑体" w:cs="黑体"/>
          <w:b/>
          <w:bCs/>
          <w:color w:val="auto"/>
          <w:sz w:val="24"/>
          <w:szCs w:val="24"/>
        </w:rPr>
        <w:t xml:space="preserve">服务用房：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（1）服务用房主要包括值班室、厨房（备餐间）、职工用房、洗衣房、污物间、清扫间。</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（2）值班室可与咨询接待、入住登记合并使用，位置应明显易找并设置醒目标识。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（3）厨房（配餐间）应配备基本炊具及餐具，必要的卫生防疫和消防防火装置。利用就近餐饮服务资源开展配餐、送餐服务的，可不设置厨房。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（4）职工用房宜包括职工休息室、卫生间、沐浴间、夜间值班室。</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（5）洗衣房应配置洗涤设备和烘干设备。由社会配套提供洗衣服务的，可不设置洗衣房。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（6）污物间、清扫间应与生活用房等保持相对距离，清洁工具与污物箱应分类摆放，避免污染。</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A6.</w:t>
      </w:r>
      <w:r>
        <w:rPr>
          <w:rFonts w:hint="eastAsia" w:ascii="黑体" w:hAnsi="黑体" w:eastAsia="黑体" w:cs="黑体"/>
          <w:b/>
          <w:color w:val="auto"/>
          <w:sz w:val="24"/>
          <w:szCs w:val="24"/>
        </w:rPr>
        <w:t xml:space="preserve">服务机构及人员</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（1）机构要求</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rPr>
        <w:t xml:space="preserve">1</w:t>
      </w:r>
      <w:r>
        <w:rPr>
          <w:rFonts w:hint="eastAsia" w:ascii="黑体" w:hAnsi="黑体" w:eastAsia="黑体" w:cs="黑体"/>
          <w:color w:val="auto"/>
          <w:sz w:val="24"/>
          <w:szCs w:val="24"/>
          <w:highlight w:val="none"/>
        </w:rPr>
        <w:t xml:space="preserve">法人或者其他组织的营业执照等证明文件，自然人的身份证明。</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2.设置医疗卫生机构的，应取得医疗机构执业许可证。</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3.配备满足服务和运营需要的服务和管理人员。</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4.与街道办事处签订合作服务协议，明确权责义务。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（2）人员要求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w:t>
      </w:r>
      <w:r>
        <w:rPr>
          <w:rFonts w:hint="eastAsia" w:ascii="黑体" w:hAnsi="黑体" w:eastAsia="黑体" w:cs="黑体"/>
          <w:color w:val="auto"/>
          <w:sz w:val="24"/>
          <w:szCs w:val="24"/>
          <w:lang w:val="en-US" w:eastAsia="zh-CN"/>
        </w:rPr>
        <w:t xml:space="preserve">配备的</w:t>
      </w:r>
      <w:r>
        <w:rPr>
          <w:rFonts w:hint="eastAsia" w:ascii="黑体" w:hAnsi="黑体" w:eastAsia="黑体" w:cs="黑体"/>
          <w:color w:val="auto"/>
          <w:sz w:val="24"/>
          <w:szCs w:val="24"/>
        </w:rPr>
        <w:t xml:space="preserve">医生、护士、药剂师、康复治疗师、心理咨询师、养老护理员、社会工作者等团队人员应符合行业要求并具备相关资质。</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t xml:space="preserve">注明：</w:t>
      </w:r>
      <w:r>
        <w:rPr>
          <w:rFonts w:hint="eastAsia" w:ascii="黑体" w:hAnsi="黑体" w:eastAsia="黑体" w:cs="黑体"/>
          <w:color w:val="auto"/>
          <w:sz w:val="24"/>
          <w:szCs w:val="24"/>
        </w:rPr>
        <w:t xml:space="preserve">医生、护士、药剂师需取得</w:t>
      </w:r>
      <w:r>
        <w:rPr>
          <w:rFonts w:hint="eastAsia" w:ascii="黑体" w:hAnsi="黑体" w:eastAsia="黑体" w:cs="黑体"/>
          <w:color w:val="auto"/>
          <w:sz w:val="24"/>
          <w:szCs w:val="24"/>
          <w:lang w:val="en-US" w:eastAsia="zh-CN"/>
        </w:rPr>
        <w:t xml:space="preserve">相关行政主管部门颁发有效</w:t>
      </w:r>
      <w:r>
        <w:rPr>
          <w:rFonts w:hint="eastAsia" w:ascii="黑体" w:hAnsi="黑体" w:eastAsia="黑体" w:cs="黑体"/>
          <w:color w:val="auto"/>
          <w:sz w:val="24"/>
          <w:szCs w:val="24"/>
        </w:rPr>
        <w:t xml:space="preserve">的卫生专业技术资格；社会工作者需取得</w:t>
      </w:r>
      <w:r>
        <w:rPr>
          <w:rFonts w:hint="eastAsia" w:ascii="黑体" w:hAnsi="黑体" w:eastAsia="黑体" w:cs="黑体"/>
          <w:color w:val="auto"/>
          <w:sz w:val="24"/>
          <w:szCs w:val="24"/>
          <w:lang w:val="en-US" w:eastAsia="zh-CN"/>
        </w:rPr>
        <w:t xml:space="preserve">相关行政主管部门</w:t>
      </w:r>
      <w:r>
        <w:rPr>
          <w:rFonts w:hint="eastAsia" w:ascii="黑体" w:hAnsi="黑体" w:eastAsia="黑体" w:cs="黑体"/>
          <w:color w:val="auto"/>
          <w:sz w:val="24"/>
          <w:szCs w:val="24"/>
        </w:rPr>
        <w:t xml:space="preserve">颁发</w:t>
      </w:r>
      <w:r>
        <w:rPr>
          <w:rFonts w:hint="eastAsia" w:ascii="黑体" w:hAnsi="黑体" w:eastAsia="黑体" w:cs="黑体"/>
          <w:color w:val="auto"/>
          <w:sz w:val="24"/>
          <w:szCs w:val="24"/>
          <w:lang w:val="en-US" w:eastAsia="zh-CN"/>
        </w:rPr>
        <w:t xml:space="preserve">有效的</w:t>
      </w:r>
      <w:r>
        <w:rPr>
          <w:rFonts w:hint="eastAsia" w:ascii="黑体" w:hAnsi="黑体" w:eastAsia="黑体" w:cs="黑体"/>
          <w:color w:val="auto"/>
          <w:sz w:val="24"/>
          <w:szCs w:val="24"/>
        </w:rPr>
        <w:t xml:space="preserve">社会工作者职业资格；康复治疗师、心理咨询师、养老护理员需取得</w:t>
      </w:r>
      <w:r>
        <w:rPr>
          <w:rFonts w:hint="eastAsia" w:ascii="黑体" w:hAnsi="黑体" w:eastAsia="黑体" w:cs="黑体"/>
          <w:color w:val="auto"/>
          <w:sz w:val="24"/>
          <w:szCs w:val="24"/>
          <w:lang w:eastAsia="zh-CN"/>
        </w:rPr>
        <w:t xml:space="preserve">相关行政主管部门</w:t>
      </w:r>
      <w:r>
        <w:rPr>
          <w:rFonts w:hint="eastAsia" w:ascii="黑体" w:hAnsi="黑体" w:eastAsia="黑体" w:cs="黑体"/>
          <w:color w:val="auto"/>
          <w:sz w:val="24"/>
          <w:szCs w:val="24"/>
        </w:rPr>
        <w:t xml:space="preserve">职业技能鉴定（指导）中心颁发的相关证书。）工勤人员应持有所从事工种的国家职业资格证书。一线员工及餐饮人员应持有健康证</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配备的</w:t>
      </w:r>
      <w:r>
        <w:rPr>
          <w:rFonts w:hint="eastAsia" w:ascii="黑体" w:hAnsi="黑体" w:eastAsia="黑体" w:cs="黑体"/>
          <w:color w:val="auto"/>
          <w:sz w:val="24"/>
          <w:szCs w:val="24"/>
          <w:lang w:eastAsia="zh-CN"/>
        </w:rPr>
        <w:t xml:space="preserve">厨师</w:t>
      </w:r>
      <w:r>
        <w:rPr>
          <w:rFonts w:hint="eastAsia" w:ascii="黑体" w:hAnsi="黑体" w:eastAsia="黑体" w:cs="黑体"/>
          <w:color w:val="auto"/>
          <w:sz w:val="24"/>
          <w:szCs w:val="24"/>
          <w:lang w:val="en-US" w:eastAsia="zh-CN"/>
        </w:rPr>
        <w:t xml:space="preserve">和面点师</w:t>
      </w:r>
      <w:r>
        <w:rPr>
          <w:rFonts w:hint="eastAsia" w:ascii="黑体" w:hAnsi="黑体" w:eastAsia="黑体" w:cs="黑体"/>
          <w:color w:val="auto"/>
          <w:sz w:val="24"/>
          <w:szCs w:val="24"/>
          <w:lang w:eastAsia="zh-CN"/>
        </w:rPr>
        <w:t xml:space="preserve">需</w:t>
      </w:r>
      <w:r>
        <w:rPr>
          <w:rFonts w:hint="eastAsia" w:ascii="黑体" w:hAnsi="黑体" w:eastAsia="黑体" w:cs="黑体"/>
          <w:color w:val="auto"/>
          <w:sz w:val="24"/>
          <w:szCs w:val="24"/>
          <w:lang w:val="en-US" w:eastAsia="zh-CN"/>
        </w:rPr>
        <w:t xml:space="preserve">具</w:t>
      </w:r>
      <w:r>
        <w:rPr>
          <w:rFonts w:hint="eastAsia" w:ascii="黑体" w:hAnsi="黑体" w:eastAsia="黑体" w:cs="黑体"/>
          <w:color w:val="auto"/>
          <w:sz w:val="24"/>
          <w:szCs w:val="24"/>
          <w:lang w:eastAsia="zh-CN"/>
        </w:rPr>
        <w:t xml:space="preserve">有</w:t>
      </w:r>
      <w:r>
        <w:rPr>
          <w:rFonts w:hint="eastAsia" w:ascii="黑体" w:hAnsi="黑体" w:eastAsia="黑体" w:cs="黑体"/>
          <w:color w:val="auto"/>
          <w:sz w:val="24"/>
          <w:szCs w:val="24"/>
          <w:lang w:val="en-US" w:eastAsia="zh-CN"/>
        </w:rPr>
        <w:t xml:space="preserve">相关行政主管部门</w:t>
      </w:r>
      <w:r>
        <w:rPr>
          <w:rFonts w:hint="eastAsia" w:ascii="黑体" w:hAnsi="黑体" w:eastAsia="黑体" w:cs="黑体"/>
          <w:color w:val="auto"/>
          <w:sz w:val="24"/>
          <w:szCs w:val="24"/>
        </w:rPr>
        <w:t xml:space="preserve">颁发</w:t>
      </w:r>
      <w:r>
        <w:rPr>
          <w:rFonts w:hint="eastAsia" w:ascii="黑体" w:hAnsi="黑体" w:eastAsia="黑体" w:cs="黑体"/>
          <w:color w:val="auto"/>
          <w:sz w:val="24"/>
          <w:szCs w:val="24"/>
          <w:lang w:val="en-US" w:eastAsia="zh-CN"/>
        </w:rPr>
        <w:t xml:space="preserve">的</w:t>
      </w:r>
      <w:r>
        <w:rPr>
          <w:rFonts w:hint="eastAsia" w:ascii="黑体" w:hAnsi="黑体" w:eastAsia="黑体" w:cs="黑体"/>
          <w:color w:val="auto"/>
          <w:sz w:val="24"/>
          <w:szCs w:val="24"/>
          <w:lang w:eastAsia="zh-CN"/>
        </w:rPr>
        <w:t xml:space="preserve">资格证书 </w:t>
      </w:r>
      <w:r>
        <w:rPr>
          <w:rFonts w:hint="eastAsia" w:ascii="黑体" w:hAnsi="黑体" w:eastAsia="黑体" w:cs="黑体"/>
          <w:color w:val="auto"/>
          <w:sz w:val="24"/>
          <w:szCs w:val="24"/>
        </w:rPr>
        <w:t xml:space="preserve">。</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与床位配套的照护服务从业人员应接受专项培训，经考试合格后上岗。培训内容包括但不限于：老年服务职业道德与法律法规；老年人常见病护理要点；老年人生理及心理特点；具体服务知识与技能；常见服务风险与应急处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3.应掌握与老年人沟通技巧，热情周到、耐心细致、认真负责。</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A7.</w:t>
      </w:r>
      <w:r>
        <w:rPr>
          <w:rFonts w:hint="eastAsia" w:ascii="黑体" w:hAnsi="黑体" w:eastAsia="黑体" w:cs="黑体"/>
          <w:b/>
          <w:color w:val="auto"/>
          <w:sz w:val="24"/>
          <w:szCs w:val="24"/>
        </w:rPr>
        <w:t xml:space="preserve">服务内容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（1）专业照护</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专业照护服务包括但不限于以下内容：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1.日间照料服务：为社区内有需求的老年人提供日间托养，有条件可开展接送等附加服务；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2.全托服务：为老年人提供集中居住和照料护理服务；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上门照料服务：为有特殊服务需求的老年人提供上门照料服务，包括协助进食、协助排泄及如厕、协助移动、更换衣物、卧位护理，以及洗发、梳头、口腔清洁、洗脸、剃胡须、修剪指甲、洗手洗脚、沐浴等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（2）医疗护理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医疗护理服务包括但不限于以下内容：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1.健康管理：为老年人提供生活方式和健康状况评估、中医体质辨识、体格检查、辅助检查和健康指导等服务；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2.家庭护理（含家庭照护床位）：根据需要提供换药、理疗、刮痧等上门医疗服务。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（3）康复保健</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康复保健服务包括但不限于以下内容：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1.辅具适配与指导：配备适合老年人需要的基本健身器具和康复辅助器具，并指导老年人使用；</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2.康复训练：对失智老年人进行非药物干预益智康复训练；</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3.辅具租赁：提供卧床、助行等康复辅具租赁服务，可根据老年人需求灵活采用日租、月租、年租等方式。</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（4）膳食供应</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膳食供应服务包括但不限于以下内容：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1.集中供餐：在公共餐厅为老年人提供符合其身体特点、荤素搭配、营养丰富、合理均衡的餐食；</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2.上门送餐：使用符合保温、保鲜要求的设备及运输工具，安排专人及时将餐食送至老年人居住处。</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（5）精神文化</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精神文化服务包括但不限于以下内容：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1.心理慰藉：为无子女、认知和情感障碍等需要关心的老年人提供沟通、情绪疏导、心理咨询、危机干预等服务；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2.文体娱乐：开展各种有益于老年人身心健康的文化娱乐活动，内容包括书法、绘画、棋牌、唱歌、戏曲、趣味活动、益智游戏以及健身运动等。</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（6）教育咨询</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教育咨询服务包括但不限于以下内容：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1.教育咨询：通过老年课堂、专家讲座等形式，提供保健养生、常见疾病预防、安全教育、智能设备使用等教育服务；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2.养老顾问：为老年人提供养老服务资源介绍、老年人福利政策指导等现场政策咨询和资源供需对接服务；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3.法律咨询：对老年人的法律咨询服务宜转介有法律从业资质的律师或律师事务所提供。</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（7）委托代办</w:t>
      </w:r>
      <w:r/>
    </w:p>
    <w:p>
      <w:pPr>
        <w:ind w:firstLine="480"/>
        <w:jc w:val="left"/>
        <w:pageBreakBefore w:val="0"/>
        <w:spacing w:line="440" w:lineRule="exact"/>
        <w:rPr>
          <w:rFonts w:hint="eastAsia" w:ascii="黑体" w:hAnsi="黑体" w:eastAsia="黑体" w:cs="黑体"/>
          <w:b w:val="0"/>
          <w:bCs w:val="0"/>
          <w:color w:val="auto"/>
          <w:sz w:val="24"/>
          <w:szCs w:val="24"/>
        </w:rPr>
      </w:pPr>
      <w:r>
        <w:rPr>
          <w:rFonts w:hint="eastAsia" w:ascii="黑体" w:hAnsi="黑体" w:eastAsia="黑体" w:cs="黑体"/>
          <w:b w:val="0"/>
          <w:bCs w:val="0"/>
          <w:color w:val="auto"/>
          <w:sz w:val="24"/>
          <w:szCs w:val="24"/>
        </w:rPr>
        <w:t xml:space="preserve">委托代办服务包括但不限于以下内容：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1.代读、代写书信；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2.代挂号、代买药；</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3.代领物品：为老年人代领物品、相关证件及资料等，应准确记录物品种类、数量，并核实、签字；</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4.代缴费用：为老年人代缴水电费、燃气费、医保费等，应当面清点钱物，并核实、签字。</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（8）居家安全</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b w:val="0"/>
          <w:bCs w:val="0"/>
          <w:color w:val="auto"/>
          <w:sz w:val="24"/>
          <w:szCs w:val="24"/>
        </w:rPr>
        <w:t xml:space="preserve">居家安全服务包括但不限于以下内容</w:t>
      </w:r>
      <w:r>
        <w:rPr>
          <w:rFonts w:hint="eastAsia" w:ascii="黑体" w:hAnsi="黑体" w:eastAsia="黑体" w:cs="黑体"/>
          <w:color w:val="auto"/>
          <w:sz w:val="24"/>
          <w:szCs w:val="24"/>
        </w:rPr>
        <w:t xml:space="preserve">：</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1.呼叫服务：整合联系社会专业服务机构、服务资源和社区志愿者，响应老年人通过互联网、物联网等网络手段或电话、可视网络等电子设备终端提出的养老服务需求，为居家老年人提供专业化养老服务；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2.安全防护服务：依托智慧养老平台及物联网等技术设备，为居家老年人提供电子围栏、烟雾报警、跌倒报警等安全技防服务；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3.适老化改造服务:根据实际情况，协助完成老年人家庭居室适老化改造。</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（9）家庭支持</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家庭支持服务包括但不限于以下内容：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1.照护者技能培训：对失能失智老年人的家庭照料者开展照料技能培训服务；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2.短期照料“喘息服务”：通过政府购买服务、个人付费等方式，组织专业人员，到老年人家中或将老年人接到服务中心进行短期照护，减轻老年人家庭成员的长期照护负担和精神压力。</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A8.</w:t>
      </w:r>
      <w:r>
        <w:rPr>
          <w:rFonts w:hint="eastAsia" w:ascii="黑体" w:hAnsi="黑体" w:eastAsia="黑体" w:cs="黑体"/>
          <w:b/>
          <w:color w:val="auto"/>
          <w:sz w:val="24"/>
          <w:szCs w:val="24"/>
        </w:rPr>
        <w:t xml:space="preserve">运营保障</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（1）运营要求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1.应建立完善的机构管理制度，包括但不限于：财务制度、人力资源管理制度、服务制度、行政管理制度、档案管理制度。</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2.档案应包括机构档案和服务档案。机构档案包括运营过程中的各类纸质、电子资料;服务档案包括服务对象信息、服务协议、服务内容、服务计划、服务记录等。</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3.应在显著位置公示机构资质、服务项目、收费标准、规章制度、工作流程、服务承诺、投诉方式等信息。内容应真实、准确、完整，及时更新。</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（2）安全管理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1.应符合GB38600的要求。</w:t>
      </w:r>
      <w:r/>
    </w:p>
    <w:p>
      <w:pPr>
        <w:ind w:firstLine="480"/>
        <w:jc w:val="left"/>
        <w:pageBreakBefore w:val="0"/>
        <w:spacing w:line="440" w:lineRule="exact"/>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rPr>
        <w:t xml:space="preserve">2.应建立机</w:t>
      </w:r>
      <w:r>
        <w:rPr>
          <w:rFonts w:hint="eastAsia" w:ascii="黑体" w:hAnsi="黑体" w:eastAsia="黑体" w:cs="黑体"/>
          <w:color w:val="auto"/>
          <w:sz w:val="24"/>
          <w:szCs w:val="24"/>
          <w:highlight w:val="none"/>
        </w:rPr>
        <w:t xml:space="preserve">构安全管理规范及自查制度，每年由第三方出具安全检测报告或者安全评估报告</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此费用包含在投标报价中。</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3.应制定养老服务意外事件处置应急预案，涵盖机构内服务及上门服务。至少每半年开展1次培训和演练。</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4.应制定服务对象隐私保护措施。内容包括但不限于：肖像保护、个人信息、家庭信息、服务信息。</w:t>
      </w:r>
      <w:r/>
    </w:p>
    <w:p>
      <w:pPr>
        <w:ind w:left="560"/>
        <w:jc w:val="left"/>
        <w:pageBreakBefore w:val="0"/>
        <w:spacing w:line="440" w:lineRule="exact"/>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val="en-US" w:eastAsia="zh-CN"/>
        </w:rPr>
        <w:t xml:space="preserve">B</w:t>
      </w:r>
      <w:r>
        <w:rPr>
          <w:rFonts w:hint="eastAsia" w:ascii="黑体" w:hAnsi="黑体" w:eastAsia="黑体" w:cs="黑体"/>
          <w:b/>
          <w:bCs/>
          <w:color w:val="auto"/>
          <w:sz w:val="28"/>
          <w:szCs w:val="28"/>
          <w:highlight w:val="none"/>
        </w:rPr>
        <w:t xml:space="preserve">、</w:t>
      </w:r>
      <w:r>
        <w:rPr>
          <w:rFonts w:hint="eastAsia" w:ascii="黑体" w:hAnsi="黑体" w:eastAsia="黑体" w:cs="黑体"/>
          <w:b/>
          <w:bCs/>
          <w:color w:val="auto"/>
          <w:sz w:val="28"/>
          <w:szCs w:val="28"/>
          <w:lang w:val="en-US" w:eastAsia="zh-CN"/>
        </w:rPr>
        <w:t xml:space="preserve">居家养老服务中心（站）运营管理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highlight w:val="none"/>
        </w:rPr>
        <w:t xml:space="preserve">由</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提交社区居家养老服务站运营方案</w:t>
      </w:r>
      <w:r>
        <w:rPr>
          <w:rFonts w:hint="eastAsia" w:ascii="黑体" w:hAnsi="黑体" w:eastAsia="黑体" w:cs="黑体"/>
          <w:color w:val="auto"/>
          <w:sz w:val="24"/>
          <w:szCs w:val="24"/>
        </w:rPr>
        <w:t xml:space="preserve">、活动方案，方案包含但不限于以下内容：</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B1.</w:t>
      </w:r>
      <w:r>
        <w:rPr>
          <w:rFonts w:hint="eastAsia" w:ascii="黑体" w:hAnsi="黑体" w:eastAsia="黑体" w:cs="黑体"/>
          <w:b/>
          <w:color w:val="auto"/>
          <w:sz w:val="24"/>
          <w:szCs w:val="24"/>
        </w:rPr>
        <w:t xml:space="preserve">人员配备</w:t>
      </w:r>
      <w:r/>
    </w:p>
    <w:p>
      <w:pPr>
        <w:ind w:firstLine="480"/>
        <w:jc w:val="left"/>
        <w:pageBreakBefore w:val="0"/>
        <w:spacing w:line="440" w:lineRule="exact"/>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rPr>
        <w:t xml:space="preserve">每个安置房社区居家养老服务站至少配备1名专职人员，每2个商品房社区居家养老服务站至少配备1名专职人员。站点专职人员负责日常开关门、场地保洁、人员签到、活动开展等。站点专职人员专职从事站点运营，不得与居家养老服务人员交叉使用。</w:t>
      </w:r>
      <w:r>
        <w:rPr>
          <w:rFonts w:hint="eastAsia" w:ascii="黑体" w:hAnsi="黑体" w:eastAsia="黑体" w:cs="黑体"/>
          <w:color w:val="auto"/>
          <w:sz w:val="24"/>
          <w:szCs w:val="24"/>
          <w:lang w:val="en-US" w:eastAsia="zh-CN"/>
        </w:rPr>
        <w:t xml:space="preserve">配备的相应人员须经采购人确认后方可到岗。</w:t>
      </w:r>
      <w:r/>
    </w:p>
    <w:p>
      <w:pPr>
        <w:ind w:firstLine="482"/>
        <w:jc w:val="left"/>
        <w:pageBreakBefore w:val="0"/>
        <w:spacing w:line="440" w:lineRule="exact"/>
        <w:tabs>
          <w:tab w:val="left" w:pos="2775" w:leader="none"/>
        </w:tabs>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B2.</w:t>
      </w:r>
      <w:r>
        <w:rPr>
          <w:rFonts w:hint="eastAsia" w:ascii="黑体" w:hAnsi="黑体" w:eastAsia="黑体" w:cs="黑体"/>
          <w:b/>
          <w:color w:val="auto"/>
          <w:sz w:val="24"/>
          <w:szCs w:val="24"/>
        </w:rPr>
        <w:t xml:space="preserve">站点开放时间</w:t>
      </w:r>
      <w:r/>
    </w:p>
    <w:p>
      <w:pPr>
        <w:ind w:firstLine="480"/>
        <w:jc w:val="left"/>
        <w:pageBreakBefore w:val="0"/>
        <w:spacing w:line="440" w:lineRule="exact"/>
        <w:tabs>
          <w:tab w:val="left" w:pos="2775" w:leader="none"/>
        </w:tabs>
        <w:rPr>
          <w:rFonts w:hint="eastAsia" w:ascii="黑体" w:hAnsi="黑体" w:eastAsia="黑体" w:cs="黑体"/>
          <w:color w:val="auto"/>
          <w:sz w:val="24"/>
          <w:szCs w:val="24"/>
        </w:rPr>
      </w:pPr>
      <w:r>
        <w:rPr>
          <w:rFonts w:hint="eastAsia" w:ascii="黑体" w:hAnsi="黑体" w:eastAsia="黑体" w:cs="黑体"/>
          <w:color w:val="auto"/>
          <w:sz w:val="24"/>
          <w:szCs w:val="24"/>
        </w:rPr>
        <w:t xml:space="preserve">周一至周五8：00-12：00，13：00-17：00，每日开放时间不少于8小时。</w:t>
      </w:r>
      <w:r/>
    </w:p>
    <w:p>
      <w:pPr>
        <w:ind w:firstLine="482"/>
        <w:jc w:val="left"/>
        <w:pageBreakBefore w:val="0"/>
        <w:spacing w:line="440" w:lineRule="exact"/>
        <w:tabs>
          <w:tab w:val="left" w:pos="2775" w:leader="none"/>
        </w:tabs>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B3</w:t>
      </w:r>
      <w:r>
        <w:rPr>
          <w:rFonts w:hint="eastAsia" w:ascii="黑体" w:hAnsi="黑体" w:eastAsia="黑体" w:cs="黑体"/>
          <w:b/>
          <w:color w:val="auto"/>
          <w:sz w:val="24"/>
          <w:szCs w:val="24"/>
        </w:rPr>
        <w:t xml:space="preserve">活动开展</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1.根据老年人老有所为、老有所乐的需求定期开展个性化活动，活动内容包括但不限于节日主题活动、健康和知识文化类专题讲座和政策宣讲、义诊、书法绘画、法律咨询、手工制作、读书交流、棋牌切磋等。</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rPr>
        <w:t xml:space="preserve">2.科学制定活动计划，月月有活动，社区全覆盖，活动台账完备。每个安置房社区居家养老服务站全年活动不少于12场，每个商品房社区居家养老服务站全年</w:t>
      </w:r>
      <w:r>
        <w:rPr>
          <w:rFonts w:hint="eastAsia" w:ascii="黑体" w:hAnsi="黑体" w:eastAsia="黑体" w:cs="黑体"/>
          <w:color w:val="auto"/>
          <w:sz w:val="24"/>
          <w:szCs w:val="24"/>
          <w:highlight w:val="none"/>
        </w:rPr>
        <w:t xml:space="preserve">活动不少于4场。</w:t>
      </w:r>
      <w:r/>
    </w:p>
    <w:p>
      <w:pPr>
        <w:numPr>
          <w:ilvl w:val="0"/>
          <w:numId w:val="0"/>
        </w:numPr>
        <w:ind w:firstLine="562"/>
        <w:rPr>
          <w:rFonts w:hint="eastAsia" w:ascii="黑体" w:hAnsi="黑体" w:eastAsia="黑体" w:cs="黑体"/>
          <w:b/>
          <w:bCs/>
          <w:color w:val="auto"/>
          <w:sz w:val="28"/>
          <w:szCs w:val="28"/>
          <w:highlight w:val="none"/>
          <w:lang w:val="en-US" w:eastAsia="zh-CN"/>
        </w:rPr>
      </w:pPr>
      <w:r>
        <w:rPr>
          <w:rFonts w:hint="eastAsia" w:ascii="黑体" w:hAnsi="黑体" w:eastAsia="黑体" w:cs="黑体"/>
          <w:b/>
          <w:bCs/>
          <w:color w:val="auto"/>
          <w:sz w:val="28"/>
          <w:szCs w:val="28"/>
          <w:highlight w:val="none"/>
          <w:lang w:val="en-US" w:eastAsia="zh-CN"/>
        </w:rPr>
        <w:t xml:space="preserve">C、居家和社区养老政府购买服务</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年满60周岁、户籍在新开街道，经审批符合政府购买服务条件的老年人。包括：1、分散供养的城镇“三无”老人；2、分散供养的农村“五保”老人；3、低保家庭60周岁以上老人；4、低收入家庭60周岁以上老人；5、60周岁以上重点优抚对象；6、75 周岁以上无子女家庭的老人；</w:t>
      </w:r>
      <w:r>
        <w:rPr>
          <w:rFonts w:hint="eastAsia" w:ascii="黑体" w:hAnsi="黑体" w:eastAsia="黑体" w:cs="黑体"/>
          <w:color w:val="auto"/>
          <w:sz w:val="24"/>
          <w:szCs w:val="24"/>
          <w:highlight w:val="none"/>
        </w:rPr>
        <w:t xml:space="preserve">7、80 周岁以上重度失能老人；8、90周岁以上老人；9、80—89周岁老人。服务对象享受补贴的标准按照《南通经济开发区居家和社区养老政府购买服务补贴办法》（通开发民政〔2019〕18号）和《关于进一步开展南通开发区居家和社区养老政府购买服务工作的通知》（通开发民政〔2021〕11号）执行，根据居家养老服务老人实际消费额度进行兑付。养老服务额度仅限用于老人兑换养老服务，限定当月使用，当月结清，不得跨月使用。服务项目的收费标准不得超过《南通市居家和社区基本养老服务项目清单》（通民发〔2018〕94号）的标准。</w:t>
      </w:r>
      <w:r/>
    </w:p>
    <w:p>
      <w:pPr>
        <w:numPr>
          <w:ilvl w:val="0"/>
          <w:numId w:val="0"/>
        </w:numPr>
        <w:ind w:firstLine="562"/>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val="en-US" w:eastAsia="zh-CN"/>
        </w:rPr>
        <w:t xml:space="preserve">D、残疾人之家运营管理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highlight w:val="none"/>
        </w:rPr>
        <w:t xml:space="preserve">由</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提交残疾人之家</w:t>
      </w:r>
      <w:r>
        <w:rPr>
          <w:rFonts w:hint="eastAsia" w:ascii="黑体" w:hAnsi="黑体" w:eastAsia="黑体" w:cs="黑体"/>
          <w:color w:val="auto"/>
          <w:sz w:val="24"/>
          <w:szCs w:val="24"/>
        </w:rPr>
        <w:t xml:space="preserve">运营方案，运营方案包含但不限于以下内容：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服务机构须承担残疾人之家管理和服务的工作从事残疾人之家的日常管理，为残疾人提供服务，保证残疾人之家的正常开放运行。</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1.至少配备1名与“残疾人之家”功能匹配的管理和服务人员，并应具有相应的工作经验和能力，不得与居家养老服务人员交叉使用。</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2.做好对残疾人之家的残疾人员（以下简称残疾人）的业务指导和管理工作，并排好每月工作计划，做好相应活动台账记录。</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3.做好残疾人之家每天的运行工作，开展好日间照料和辅助性就业工作。做好与合作单位的业务对接工作，负责劳动原材料及产品等运输，负责对残疾人手工劳动工作量的计件清点工作。</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4.组织残疾人开展适合其身心特点的手工劳动、文体活动、学习培训及康复训练活动，丰富残疾人的精神文化生活。</w:t>
      </w:r>
      <w:r/>
    </w:p>
    <w:p>
      <w:pPr>
        <w:ind w:firstLine="480"/>
        <w:jc w:val="left"/>
        <w:pageBreakBefore w:val="0"/>
        <w:spacing w:line="440" w:lineRule="exact"/>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rPr>
        <w:t xml:space="preserve">5.正确使用残疾人之家的设施、设备，做好设施、设备的日常清洁、维护工作，确保其完好性和正常功能。</w:t>
      </w:r>
      <w:r/>
    </w:p>
    <w:p>
      <w:pPr>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u w:val="single"/>
        </w:rPr>
        <w:t xml:space="preserve">★</w:t>
      </w:r>
      <w:r>
        <w:rPr>
          <w:rFonts w:hint="eastAsia" w:ascii="黑体" w:hAnsi="黑体" w:eastAsia="黑体" w:cs="黑体"/>
          <w:b/>
          <w:color w:val="auto"/>
          <w:sz w:val="24"/>
          <w:szCs w:val="24"/>
          <w:highlight w:val="none"/>
        </w:rPr>
        <w:t xml:space="preserve">主要成果</w:t>
      </w:r>
      <w:r/>
    </w:p>
    <w:p>
      <w:pPr>
        <w:ind w:firstLine="482"/>
        <w:jc w:val="left"/>
        <w:pageBreakBefore w:val="0"/>
        <w:spacing w:line="440" w:lineRule="exact"/>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rPr>
        <w:t xml:space="preserve">成交供应商要将街道综合性养老服务中心、日间照料中心、社区居家养老服务站等统筹融合，实现优势互补、融合发展，同时要建立新开街道居家养老服务平台和网络服务体系，实现服务的信息化、智能化，满足服务工单的派送、流转、监管、统计、结算等功能，信息平台端口可接入市区平台，使居家和社区养老服务全程可监控、全程透明化。</w:t>
      </w:r>
      <w:r>
        <w:rPr>
          <w:rFonts w:hint="eastAsia" w:ascii="黑体" w:hAnsi="黑体" w:eastAsia="黑体" w:cs="黑体"/>
          <w:b/>
          <w:color w:val="auto"/>
          <w:sz w:val="24"/>
          <w:szCs w:val="24"/>
          <w:highlight w:val="none"/>
          <w:lang w:val="en-US" w:eastAsia="zh-CN"/>
        </w:rPr>
        <w:t xml:space="preserve">以上供应商须提供响应承诺，没有完全承诺的符合性审查不予通过。</w:t>
      </w:r>
      <w:r/>
    </w:p>
    <w:p>
      <w:pPr>
        <w:pStyle w:val="947"/>
        <w:ind w:firstLine="496"/>
        <w:jc w:val="left"/>
        <w:pageBreakBefore w:val="0"/>
        <w:spacing w:line="440" w:lineRule="exact"/>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u w:val="single"/>
        </w:rPr>
        <w:t xml:space="preserve">注明：本项目需求中加所有★项内容为本项目实质性响应条款，若在符合性审查阶段，经</w:t>
      </w:r>
      <w:r>
        <w:rPr>
          <w:rFonts w:hint="eastAsia" w:ascii="黑体" w:hAnsi="黑体" w:eastAsia="黑体" w:cs="黑体"/>
          <w:b/>
          <w:color w:val="auto"/>
          <w:sz w:val="24"/>
          <w:szCs w:val="24"/>
          <w:highlight w:val="none"/>
          <w:u w:val="single"/>
          <w:lang w:eastAsia="zh-CN"/>
        </w:rPr>
        <w:t xml:space="preserve">磋商小组</w:t>
      </w:r>
      <w:r>
        <w:rPr>
          <w:rFonts w:hint="eastAsia" w:ascii="黑体" w:hAnsi="黑体" w:eastAsia="黑体" w:cs="黑体"/>
          <w:b/>
          <w:color w:val="auto"/>
          <w:sz w:val="24"/>
          <w:szCs w:val="24"/>
          <w:highlight w:val="none"/>
          <w:u w:val="single"/>
        </w:rPr>
        <w:t xml:space="preserve">确认响应供应商未能在投标文件中提交本项目需求中加★项响应内容（提供相应的佐证材料或相关承诺）的，经评标委员会核实将被判为不满足</w:t>
      </w:r>
      <w:r>
        <w:rPr>
          <w:rFonts w:hint="eastAsia" w:ascii="黑体" w:hAnsi="黑体" w:eastAsia="黑体" w:cs="黑体"/>
          <w:b/>
          <w:color w:val="auto"/>
          <w:sz w:val="24"/>
          <w:szCs w:val="24"/>
          <w:highlight w:val="none"/>
          <w:u w:val="single"/>
          <w:lang w:val="en-US" w:eastAsia="zh-CN"/>
        </w:rPr>
        <w:t xml:space="preserve">磋商</w:t>
      </w:r>
      <w:r>
        <w:rPr>
          <w:rFonts w:hint="eastAsia" w:ascii="黑体" w:hAnsi="黑体" w:eastAsia="黑体" w:cs="黑体"/>
          <w:b/>
          <w:color w:val="auto"/>
          <w:sz w:val="24"/>
          <w:szCs w:val="24"/>
          <w:highlight w:val="none"/>
          <w:u w:val="single"/>
        </w:rPr>
        <w:t xml:space="preserve">文件实质性要求，作为无效响应处理。</w:t>
      </w:r>
      <w:r/>
    </w:p>
    <w:p>
      <w:pPr>
        <w:jc w:val="left"/>
        <w:pageBreakBefore w:val="0"/>
        <w:spacing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五</w:t>
      </w:r>
      <w:r>
        <w:rPr>
          <w:rFonts w:hint="eastAsia" w:ascii="黑体" w:hAnsi="黑体" w:eastAsia="黑体" w:cs="黑体"/>
          <w:color w:val="auto"/>
          <w:sz w:val="24"/>
          <w:szCs w:val="24"/>
          <w:highlight w:val="none"/>
        </w:rPr>
        <w:t xml:space="preserve">、</w:t>
      </w:r>
      <w:r>
        <w:rPr>
          <w:rFonts w:hint="eastAsia" w:ascii="黑体" w:hAnsi="黑体" w:eastAsia="黑体" w:cs="黑体"/>
          <w:b/>
          <w:bCs/>
          <w:color w:val="auto"/>
          <w:sz w:val="24"/>
          <w:szCs w:val="24"/>
          <w:highlight w:val="none"/>
        </w:rPr>
        <w:t xml:space="preserve">付款方式</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①</w:t>
      </w:r>
      <w:r>
        <w:rPr>
          <w:rFonts w:hint="eastAsia" w:ascii="黑体" w:hAnsi="黑体" w:eastAsia="黑体" w:cs="黑体"/>
          <w:b w:val="0"/>
          <w:bCs w:val="0"/>
          <w:color w:val="auto"/>
          <w:sz w:val="24"/>
          <w:szCs w:val="24"/>
          <w:highlight w:val="none"/>
          <w:lang w:eastAsia="zh-CN"/>
        </w:rPr>
        <w:t xml:space="preserve">街道综合性养老服务中心运营</w:t>
      </w:r>
      <w:r>
        <w:rPr>
          <w:rFonts w:hint="eastAsia" w:ascii="黑体" w:hAnsi="黑体" w:eastAsia="黑体" w:cs="黑体"/>
          <w:b w:val="0"/>
          <w:bCs w:val="0"/>
          <w:color w:val="auto"/>
          <w:sz w:val="24"/>
          <w:szCs w:val="24"/>
          <w:highlight w:val="none"/>
          <w:lang w:val="en-US" w:eastAsia="zh-CN"/>
        </w:rPr>
        <w:t xml:space="preserve">服务费：</w:t>
      </w:r>
      <w:r>
        <w:rPr>
          <w:rFonts w:hint="eastAsia" w:ascii="黑体" w:hAnsi="黑体" w:eastAsia="黑体" w:cs="黑体"/>
          <w:b w:val="0"/>
          <w:bCs w:val="0"/>
          <w:color w:val="auto"/>
          <w:sz w:val="24"/>
          <w:szCs w:val="24"/>
          <w:highlight w:val="none"/>
          <w:lang w:eastAsia="zh-CN"/>
        </w:rPr>
        <w:t xml:space="preserve">对以上居家养老服务中心（站）运营经费，考核得分90（含90分）以上的，运营补贴按照100%发放；考核得分80-90（含80）区间的，运营补贴按照90%发放；考核得分70-80（含70）区间的，运营补贴按照80%发放；对考核低于70分的社区居家养老服务站，不予补贴。</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t xml:space="preserve">②社区居家养老服务站运营</w:t>
      </w:r>
      <w:r>
        <w:rPr>
          <w:rFonts w:hint="eastAsia" w:ascii="黑体" w:hAnsi="黑体" w:eastAsia="黑体" w:cs="黑体"/>
          <w:b w:val="0"/>
          <w:bCs w:val="0"/>
          <w:color w:val="auto"/>
          <w:sz w:val="24"/>
          <w:szCs w:val="24"/>
          <w:highlight w:val="none"/>
          <w:lang w:val="en-US" w:eastAsia="zh-CN"/>
        </w:rPr>
        <w:t xml:space="preserve">服务费：</w:t>
      </w:r>
      <w:r>
        <w:rPr>
          <w:rFonts w:hint="eastAsia" w:ascii="黑体" w:hAnsi="黑体" w:eastAsia="黑体" w:cs="黑体"/>
          <w:b w:val="0"/>
          <w:bCs w:val="0"/>
          <w:color w:val="auto"/>
          <w:sz w:val="24"/>
          <w:szCs w:val="24"/>
          <w:highlight w:val="none"/>
          <w:lang w:eastAsia="zh-CN"/>
        </w:rPr>
        <w:t xml:space="preserve">对以上居家养老服务中心（站）运营经费，考核得分90（含90分）以上的，运营补贴按照100%发放；考核得分80-90（含80）区间的，运营补贴按照90%发放；考核得分70-80（含70）区间的，运营补贴按照80%发放；对考核低于70分的社区居家养老服务站，不予补贴。</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rPr>
        <w:t xml:space="preserve">③居家养老服务费</w:t>
      </w:r>
      <w:r>
        <w:rPr>
          <w:rFonts w:hint="eastAsia" w:ascii="黑体" w:hAnsi="黑体" w:eastAsia="黑体" w:cs="黑体"/>
          <w:b w:val="0"/>
          <w:bCs w:val="0"/>
          <w:color w:val="auto"/>
          <w:sz w:val="24"/>
          <w:szCs w:val="24"/>
          <w:highlight w:val="none"/>
          <w:lang w:eastAsia="zh-CN"/>
        </w:rPr>
        <w:t xml:space="preserve">：</w:t>
      </w:r>
      <w:r>
        <w:rPr>
          <w:rFonts w:hint="eastAsia" w:ascii="黑体" w:hAnsi="黑体" w:eastAsia="黑体" w:cs="黑体"/>
          <w:b w:val="0"/>
          <w:bCs w:val="0"/>
          <w:color w:val="auto"/>
          <w:sz w:val="24"/>
          <w:szCs w:val="24"/>
          <w:highlight w:val="none"/>
        </w:rPr>
        <w:t xml:space="preserve">每3个月付一次。根据</w:t>
      </w:r>
      <w:r>
        <w:rPr>
          <w:rFonts w:hint="eastAsia" w:ascii="黑体" w:hAnsi="黑体" w:eastAsia="黑体" w:cs="黑体"/>
          <w:b w:val="0"/>
          <w:bCs w:val="0"/>
          <w:color w:val="auto"/>
          <w:sz w:val="24"/>
          <w:szCs w:val="24"/>
          <w:highlight w:val="none"/>
          <w:lang w:val="en-US" w:eastAsia="zh-CN"/>
        </w:rPr>
        <w:t xml:space="preserve">新开街道按照相关文件要求</w:t>
      </w:r>
      <w:r>
        <w:rPr>
          <w:rFonts w:hint="eastAsia" w:ascii="黑体" w:hAnsi="黑体" w:eastAsia="黑体" w:cs="黑体"/>
          <w:b w:val="0"/>
          <w:bCs w:val="0"/>
          <w:color w:val="auto"/>
          <w:sz w:val="24"/>
          <w:szCs w:val="24"/>
          <w:highlight w:val="none"/>
        </w:rPr>
        <w:t xml:space="preserve">对成交</w:t>
      </w:r>
      <w:r>
        <w:rPr>
          <w:rFonts w:hint="eastAsia" w:ascii="黑体" w:hAnsi="黑体" w:eastAsia="黑体" w:cs="黑体"/>
          <w:b w:val="0"/>
          <w:bCs w:val="0"/>
          <w:color w:val="auto"/>
          <w:sz w:val="24"/>
          <w:szCs w:val="24"/>
          <w:highlight w:val="none"/>
          <w:lang w:eastAsia="zh-CN"/>
        </w:rPr>
        <w:t xml:space="preserve">供应商</w:t>
      </w:r>
      <w:r>
        <w:rPr>
          <w:rFonts w:hint="eastAsia" w:ascii="黑体" w:hAnsi="黑体" w:eastAsia="黑体" w:cs="黑体"/>
          <w:b w:val="0"/>
          <w:bCs w:val="0"/>
          <w:color w:val="auto"/>
          <w:sz w:val="24"/>
          <w:szCs w:val="24"/>
          <w:highlight w:val="none"/>
        </w:rPr>
        <w:t xml:space="preserve">考核评估结果拨付服务费。</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服务费以</w:t>
      </w:r>
      <w:r>
        <w:rPr>
          <w:rFonts w:hint="eastAsia" w:ascii="黑体" w:hAnsi="黑体" w:eastAsia="黑体" w:cs="黑体"/>
          <w:b w:val="0"/>
          <w:bCs w:val="0"/>
          <w:color w:val="auto"/>
          <w:sz w:val="24"/>
          <w:szCs w:val="24"/>
          <w:highlight w:val="none"/>
          <w:lang w:eastAsia="zh-CN"/>
        </w:rPr>
        <w:t xml:space="preserve">供应商</w:t>
      </w:r>
      <w:r>
        <w:rPr>
          <w:rFonts w:hint="eastAsia" w:ascii="黑体" w:hAnsi="黑体" w:eastAsia="黑体" w:cs="黑体"/>
          <w:b w:val="0"/>
          <w:bCs w:val="0"/>
          <w:color w:val="auto"/>
          <w:sz w:val="24"/>
          <w:szCs w:val="24"/>
          <w:highlight w:val="none"/>
        </w:rPr>
        <w:t xml:space="preserve">固定服务费标准*实际服务人数*实际服务次数核算，采购人对中标</w:t>
      </w:r>
      <w:r>
        <w:rPr>
          <w:rFonts w:hint="eastAsia" w:ascii="黑体" w:hAnsi="黑体" w:eastAsia="黑体" w:cs="黑体"/>
          <w:b w:val="0"/>
          <w:bCs w:val="0"/>
          <w:color w:val="auto"/>
          <w:sz w:val="24"/>
          <w:szCs w:val="24"/>
          <w:highlight w:val="none"/>
          <w:lang w:eastAsia="zh-CN"/>
        </w:rPr>
        <w:t xml:space="preserve">供应商</w:t>
      </w:r>
      <w:r>
        <w:rPr>
          <w:rFonts w:hint="eastAsia" w:ascii="黑体" w:hAnsi="黑体" w:eastAsia="黑体" w:cs="黑体"/>
          <w:b w:val="0"/>
          <w:bCs w:val="0"/>
          <w:color w:val="auto"/>
          <w:sz w:val="24"/>
          <w:szCs w:val="24"/>
          <w:highlight w:val="none"/>
        </w:rPr>
        <w:t xml:space="preserve">实际服务成效进行考核评估，根据考核评估结果进行付款。</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街道每季度对第三方实际服务情况分别进行考核，考核分值均为100分，留存记录。</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考核总得分 95分（含）以上为“优秀”，总得分 90-95分（不含）为“合格”，总得分80-90分（不含）为“基本合格”，80分以下的为“不合格”。</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将每季度考核评分作为第三方服务机构经费下拨依据，“基本合格”（含）以上，根据区级拨款，按时全额下拨服务经费。如有考核“不合格”情况，第三方应在5个工作日内完成整改，整改后合格的，下拨该季度服务经费，整改后仍不合格的，按该季度服务经费的90%下拨，剩余10%不予下拨。如下季度考核仍“不合格”，扣除100%，终止合同。</w:t>
      </w:r>
      <w:r/>
    </w:p>
    <w:p>
      <w:pPr>
        <w:numPr>
          <w:ilvl w:val="0"/>
          <w:numId w:val="0"/>
        </w:numPr>
        <w:ind w:firstLine="480"/>
        <w:jc w:val="left"/>
        <w:keepLines w:val="0"/>
        <w:keepNext w:val="0"/>
        <w:pageBreakBefore w:val="0"/>
        <w:spacing w:line="440" w:lineRule="exact"/>
        <w:widowControl w:val="off"/>
        <w:rPr>
          <w:rFonts w:hint="eastAsia" w:ascii="黑体" w:hAnsi="黑体" w:eastAsia="黑体" w:cs="黑体"/>
          <w:b w:val="0"/>
          <w:bCs w:val="0"/>
          <w:color w:val="auto"/>
          <w:highlight w:val="none"/>
        </w:rPr>
      </w:pPr>
      <w:r>
        <w:rPr>
          <w:rFonts w:hint="eastAsia" w:ascii="黑体" w:hAnsi="黑体" w:eastAsia="黑体" w:cs="黑体"/>
          <w:b w:val="0"/>
          <w:bCs w:val="0"/>
          <w:color w:val="auto"/>
          <w:sz w:val="24"/>
          <w:szCs w:val="24"/>
          <w:highlight w:val="none"/>
        </w:rPr>
        <w:t xml:space="preserve">全年季度考核均为 “基本合格”以上的或有1次“不合格”，但有1次“优秀”，其余2次为“基本合格”以上的续签下一年度合同；全年有1次“不合格”的，无“优秀”的或上级考核全市排名靠后、受到通报批评等情形的，不再续签下一年度合同。</w:t>
      </w:r>
      <w:r/>
    </w:p>
    <w:p>
      <w:pPr>
        <w:pStyle w:val="880"/>
        <w:ind w:right="116" w:firstLine="480"/>
        <w:jc w:val="left"/>
        <w:keepLines w:val="0"/>
        <w:keepNext w:val="0"/>
        <w:pageBreakBefore w:val="0"/>
        <w:spacing w:before="139"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t xml:space="preserve">④残疾人之家运营服务</w:t>
      </w:r>
      <w:r>
        <w:rPr>
          <w:rFonts w:hint="eastAsia" w:ascii="黑体" w:hAnsi="黑体" w:eastAsia="黑体" w:cs="黑体"/>
          <w:b w:val="0"/>
          <w:bCs w:val="0"/>
          <w:color w:val="auto"/>
          <w:sz w:val="24"/>
          <w:szCs w:val="24"/>
          <w:highlight w:val="none"/>
        </w:rPr>
        <w:t xml:space="preserve">费：</w:t>
      </w:r>
      <w:r>
        <w:rPr>
          <w:rFonts w:hint="eastAsia" w:ascii="黑体" w:hAnsi="黑体" w:eastAsia="黑体" w:cs="黑体"/>
          <w:b w:val="0"/>
          <w:bCs w:val="0"/>
          <w:color w:val="auto"/>
          <w:sz w:val="24"/>
          <w:szCs w:val="24"/>
          <w:highlight w:val="none"/>
          <w:lang w:eastAsia="zh-CN"/>
        </w:rPr>
        <w:t xml:space="preserve">验收合格后一次性拨付。由</w:t>
      </w:r>
      <w:r>
        <w:rPr>
          <w:rFonts w:hint="eastAsia" w:ascii="黑体" w:hAnsi="黑体" w:eastAsia="黑体" w:cs="黑体"/>
          <w:b w:val="0"/>
          <w:bCs w:val="0"/>
          <w:color w:val="auto"/>
          <w:sz w:val="24"/>
          <w:szCs w:val="24"/>
          <w:highlight w:val="none"/>
          <w:lang w:val="en-US" w:eastAsia="zh-CN"/>
        </w:rPr>
        <w:t xml:space="preserve">成交供应商</w:t>
      </w:r>
      <w:r>
        <w:rPr>
          <w:rFonts w:hint="eastAsia" w:ascii="黑体" w:hAnsi="黑体" w:eastAsia="黑体" w:cs="黑体"/>
          <w:b w:val="0"/>
          <w:bCs w:val="0"/>
          <w:color w:val="auto"/>
          <w:sz w:val="24"/>
          <w:szCs w:val="24"/>
          <w:highlight w:val="none"/>
          <w:lang w:eastAsia="zh-CN"/>
        </w:rPr>
        <w:t xml:space="preserve">根据区残联要求提供相关考核材料， 由街道残联初审，区残联会同区财政局及相关审计部门进行实地验收打分及材料审核，根据运转及资金实际使用情况，分档次按一定比例拨付相关经费 。每</w:t>
      </w:r>
      <w:r>
        <w:rPr>
          <w:rFonts w:hint="eastAsia" w:ascii="黑体" w:hAnsi="黑体" w:eastAsia="黑体" w:cs="黑体"/>
          <w:b w:val="0"/>
          <w:bCs w:val="0"/>
          <w:color w:val="auto"/>
          <w:sz w:val="24"/>
          <w:szCs w:val="24"/>
          <w:highlight w:val="none"/>
          <w:lang w:val="en-US" w:eastAsia="zh-CN"/>
        </w:rPr>
        <w:t xml:space="preserve">年付一次。</w:t>
      </w:r>
      <w:r/>
    </w:p>
    <w:p>
      <w:pPr>
        <w:pStyle w:val="949"/>
        <w:jc w:val="left"/>
        <w:keepLines w:val="0"/>
        <w:keepNext w:val="0"/>
        <w:pageBreakBefore w:val="0"/>
        <w:spacing w:line="440" w:lineRule="exact"/>
        <w:widowControl w:val="off"/>
        <w:rPr>
          <w:rFonts w:hint="eastAsia" w:ascii="黑体" w:hAnsi="黑体" w:eastAsia="黑体" w:cs="黑体"/>
          <w:b w:val="0"/>
          <w:bCs w:val="0"/>
          <w:color w:val="auto"/>
          <w:highlight w:val="none"/>
          <w:lang w:val="en-US" w:eastAsia="zh-CN"/>
        </w:rPr>
      </w:pPr>
      <w:r>
        <w:rPr>
          <w:rFonts w:hint="eastAsia" w:ascii="黑体" w:hAnsi="黑体" w:eastAsia="黑体" w:cs="黑体"/>
          <w:b w:val="0"/>
          <w:bCs w:val="0"/>
          <w:color w:val="auto"/>
          <w:sz w:val="24"/>
          <w:szCs w:val="24"/>
          <w:highlight w:val="none"/>
          <w:lang w:val="en-US" w:eastAsia="zh-CN"/>
        </w:rPr>
        <w:t xml:space="preserve">以上具体的考评要求详见本磋商文件后附材料。</w:t>
      </w:r>
      <w:r/>
    </w:p>
    <w:p>
      <w:pPr>
        <w:jc w:val="left"/>
        <w:pageBreakBefore w:val="0"/>
        <w:spacing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六、履约保证金</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1、本项目成交后的履约保证金为</w:t>
      </w:r>
      <w:r>
        <w:rPr>
          <w:rFonts w:hint="eastAsia" w:ascii="黑体" w:hAnsi="黑体" w:eastAsia="黑体" w:cs="黑体"/>
          <w:color w:val="auto"/>
          <w:sz w:val="24"/>
          <w:szCs w:val="24"/>
          <w:highlight w:val="none"/>
          <w:lang w:val="en-US" w:eastAsia="zh-CN"/>
        </w:rPr>
        <w:t xml:space="preserve">壹拾万元</w:t>
      </w:r>
      <w:r>
        <w:rPr>
          <w:rFonts w:hint="eastAsia" w:ascii="黑体" w:hAnsi="黑体" w:eastAsia="黑体" w:cs="黑体"/>
          <w:color w:val="auto"/>
          <w:sz w:val="24"/>
          <w:szCs w:val="24"/>
          <w:highlight w:val="none"/>
        </w:rPr>
        <w:t xml:space="preserve">，成交供应商的履约保证金须在成交通知书发出之日起至合同签订前汇入采购单位账户（应当以支票、汇票或者金融机构、担保机构出具的保函等形式提交），成交供应商凭成交通知书与采购单位签订合同。超期或未有协商，则视为自动放弃成交资格。</w:t>
      </w:r>
      <w:r>
        <w:rPr>
          <w:rFonts w:hint="eastAsia" w:ascii="黑体" w:hAnsi="黑体" w:eastAsia="黑体" w:cs="黑体"/>
          <w:color w:val="auto"/>
          <w:sz w:val="24"/>
          <w:szCs w:val="24"/>
          <w:highlight w:val="none"/>
        </w:rPr>
        <w:br/>
      </w:r>
      <w:r>
        <w:rPr>
          <w:rFonts w:hint="eastAsia" w:ascii="黑体" w:hAnsi="黑体" w:eastAsia="黑体" w:cs="黑体"/>
          <w:color w:val="auto"/>
          <w:sz w:val="24"/>
          <w:szCs w:val="24"/>
          <w:highlight w:val="none"/>
        </w:rPr>
        <w:t xml:space="preserve">   2、成交供应商全部履约合同义务，经采购单位验收合格无质量、进度等问题的，采购人在验收合格后一次性退还履约保证金；</w:t>
      </w:r>
      <w:r>
        <w:rPr>
          <w:rFonts w:hint="eastAsia" w:ascii="黑体" w:hAnsi="黑体" w:eastAsia="黑体" w:cs="黑体"/>
          <w:color w:val="auto"/>
          <w:sz w:val="24"/>
          <w:szCs w:val="24"/>
          <w:highlight w:val="none"/>
        </w:rPr>
        <w:br/>
      </w:r>
      <w:r>
        <w:rPr>
          <w:rFonts w:hint="eastAsia" w:ascii="黑体" w:hAnsi="黑体" w:eastAsia="黑体" w:cs="黑体"/>
          <w:color w:val="auto"/>
          <w:sz w:val="24"/>
          <w:szCs w:val="24"/>
          <w:highlight w:val="none"/>
        </w:rPr>
        <w:t xml:space="preserve">   3、发生以下情况的，履约保证金不予退还或部分退还：</w:t>
      </w:r>
      <w:r>
        <w:rPr>
          <w:rFonts w:hint="eastAsia" w:ascii="黑体" w:hAnsi="黑体" w:eastAsia="黑体" w:cs="黑体"/>
          <w:color w:val="auto"/>
          <w:sz w:val="24"/>
          <w:szCs w:val="24"/>
          <w:highlight w:val="none"/>
        </w:rPr>
        <w:br/>
      </w:r>
      <w:r>
        <w:rPr>
          <w:rFonts w:hint="eastAsia" w:ascii="黑体" w:hAnsi="黑体" w:eastAsia="黑体" w:cs="黑体"/>
          <w:color w:val="auto"/>
          <w:sz w:val="24"/>
          <w:szCs w:val="24"/>
          <w:highlight w:val="none"/>
        </w:rPr>
        <w:t xml:space="preserve">   a.签订合同后，成交供应商不履行合同义务的，采购单位有权全额扣除履约保证金，全额不予退还，同时采购单位亦有权终止合同，中标供应商还须承担相应的法律赔偿责任。</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4、根据《南通市财政局关于进一步加大政府采购支持中小企业力度的通知》（通财购〔2022〕23号）精神，对政府采购信用档案中无不良记录的中小企业可以免收履约保证金。</w:t>
      </w:r>
      <w:r/>
    </w:p>
    <w:p>
      <w:pPr>
        <w:ind w:firstLine="482"/>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5、</w:t>
      </w:r>
      <w:r>
        <w:rPr>
          <w:rFonts w:hint="eastAsia" w:ascii="黑体" w:hAnsi="黑体" w:eastAsia="黑体" w:cs="黑体"/>
          <w:color w:val="auto"/>
          <w:sz w:val="24"/>
          <w:szCs w:val="24"/>
          <w:highlight w:val="none"/>
        </w:rPr>
        <w:t xml:space="preserve">办理政采贷和履约保函（保险）告知函</w:t>
      </w:r>
      <w:r/>
    </w:p>
    <w:p>
      <w:pPr>
        <w:ind w:firstLine="482"/>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黑体" w:hAnsi="黑体" w:eastAsia="黑体" w:cs="黑体"/>
          <w:b w:val="0"/>
          <w:bCs/>
          <w:color w:val="auto"/>
          <w:highlight w:val="none"/>
        </w:rPr>
        <w:t xml:space="preserve">。</w:t>
      </w:r>
      <w:r/>
    </w:p>
    <w:p>
      <w:pPr>
        <w:ind w:firstLine="482"/>
        <w:jc w:val="left"/>
        <w:pageBreakBefore w:val="0"/>
        <w:spacing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七、安全责任条款</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成交供应商在本</w:t>
      </w:r>
      <w:r>
        <w:rPr>
          <w:rFonts w:hint="eastAsia" w:ascii="黑体" w:hAnsi="黑体" w:eastAsia="黑体" w:cs="黑体"/>
          <w:color w:val="auto"/>
          <w:sz w:val="24"/>
          <w:szCs w:val="24"/>
          <w:highlight w:val="none"/>
        </w:rPr>
        <w:t xml:space="preserve">项目服务过程中必须严格遵守相关的法规、规范和现场操作规定，使用专业人员、专业工具规范操作,督促服务人员采取严格有力的安全防护措施等，确保相关人员人身安全。本项目发生以下情况一切安全责任均由成交供应商负责，采购人不承担任何责任：成交供应商人员在岗履行工作职责期间，发生自身的人身伤害、伤亡；成交供应商违反国家相关法规，与聘用人员发生纠纷，均由成交供应商负责调解与处理；成交供应商在所有服务中违反国家相关法规或行业规范，因过失造成他人人身伤亡等，均由成交供应商负责处理并承担经济和道义上的责任，采购人不承担任何责任。</w:t>
      </w:r>
      <w:r/>
    </w:p>
    <w:p>
      <w:pPr>
        <w:numPr>
          <w:ilvl w:val="0"/>
          <w:numId w:val="5"/>
        </w:numPr>
        <w:ind w:left="70" w:firstLine="560"/>
        <w:jc w:val="left"/>
        <w:pageBreakBefore w:val="0"/>
        <w:spacing w:line="440" w:lineRule="exact"/>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其他要求</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rPr>
        <w:t xml:space="preserve">成交供应商依托站点为服务对象提供以上服务内容及基本项目。</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2、成交供应商依托站点除开展以上基本服务项目以外，可根据站点实际增加服务功能，但新增服务功能及服务方案、定价方案必须书面征得</w:t>
      </w:r>
      <w:r>
        <w:rPr>
          <w:rFonts w:hint="eastAsia" w:ascii="黑体" w:hAnsi="黑体" w:eastAsia="黑体" w:cs="黑体"/>
          <w:color w:val="auto"/>
          <w:sz w:val="24"/>
          <w:szCs w:val="24"/>
          <w:highlight w:val="none"/>
          <w:lang w:eastAsia="zh-CN"/>
        </w:rPr>
        <w:t xml:space="preserve">采购人</w:t>
      </w:r>
      <w:r>
        <w:rPr>
          <w:rFonts w:hint="eastAsia" w:ascii="黑体" w:hAnsi="黑体" w:eastAsia="黑体" w:cs="黑体"/>
          <w:color w:val="auto"/>
          <w:sz w:val="24"/>
          <w:szCs w:val="24"/>
          <w:highlight w:val="none"/>
        </w:rPr>
        <w:t xml:space="preserve">同意后方可对外开放和实施。</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color w:val="auto"/>
          <w:sz w:val="24"/>
          <w:szCs w:val="24"/>
          <w:highlight w:val="none"/>
        </w:rPr>
        <w:t xml:space="preserve">、成交供应商在街道综合性养老服务中心现有基础上的相关改造、所需增添的设施设备以及运营管理（含人员、水电费用）由成交供应商负责。</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4</w:t>
      </w:r>
      <w:r>
        <w:rPr>
          <w:rFonts w:hint="eastAsia" w:ascii="黑体" w:hAnsi="黑体" w:eastAsia="黑体" w:cs="黑体"/>
          <w:color w:val="auto"/>
          <w:sz w:val="24"/>
          <w:szCs w:val="24"/>
          <w:highlight w:val="none"/>
        </w:rPr>
        <w:t xml:space="preserve">、社区居家养老服务站的水电费用由</w:t>
      </w:r>
      <w:r>
        <w:rPr>
          <w:rFonts w:hint="eastAsia" w:ascii="黑体" w:hAnsi="黑体" w:eastAsia="黑体" w:cs="黑体"/>
          <w:color w:val="auto"/>
          <w:sz w:val="24"/>
          <w:szCs w:val="24"/>
          <w:highlight w:val="none"/>
          <w:lang w:val="en-US" w:eastAsia="zh-CN"/>
        </w:rPr>
        <w:t xml:space="preserve">采购</w:t>
      </w:r>
      <w:r>
        <w:rPr>
          <w:rFonts w:hint="eastAsia" w:ascii="黑体" w:hAnsi="黑体" w:eastAsia="黑体" w:cs="黑体"/>
          <w:color w:val="auto"/>
          <w:sz w:val="24"/>
          <w:szCs w:val="24"/>
          <w:highlight w:val="none"/>
        </w:rPr>
        <w:t xml:space="preserve">人负责，经费从街道居家养老服务站点运营经费中支出。运营管理由成交供应商负责。</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5</w:t>
      </w:r>
      <w:r>
        <w:rPr>
          <w:rFonts w:hint="eastAsia" w:ascii="黑体" w:hAnsi="黑体" w:eastAsia="黑体" w:cs="黑体"/>
          <w:color w:val="auto"/>
          <w:sz w:val="24"/>
          <w:szCs w:val="24"/>
          <w:highlight w:val="none"/>
        </w:rPr>
        <w:t xml:space="preserve">、街道残疾人之家所有费用由成交供应商承担（包括但不限于水电、煤气、宽带、网络等费用）。残疾人之家的设备、设施的管理、维护、维修由成交供应商负责，费用由成交供应商承担。设备、设施出现故障、损坏的，成交供应商应当及时维修，不能维修的，成交供应商应当购置同样的设备、设施，如成交供应商未能及时维修或购买，</w:t>
      </w:r>
      <w:r>
        <w:rPr>
          <w:rFonts w:hint="eastAsia" w:ascii="黑体" w:hAnsi="黑体" w:eastAsia="黑体" w:cs="黑体"/>
          <w:color w:val="auto"/>
          <w:sz w:val="24"/>
          <w:szCs w:val="24"/>
          <w:highlight w:val="none"/>
          <w:lang w:val="en-US" w:eastAsia="zh-CN"/>
        </w:rPr>
        <w:t xml:space="preserve">采购人</w:t>
      </w:r>
      <w:r>
        <w:rPr>
          <w:rFonts w:hint="eastAsia" w:ascii="黑体" w:hAnsi="黑体" w:eastAsia="黑体" w:cs="黑体"/>
          <w:color w:val="auto"/>
          <w:sz w:val="24"/>
          <w:szCs w:val="24"/>
          <w:highlight w:val="none"/>
        </w:rPr>
        <w:t xml:space="preserve">可以委托人员进行维修或购买，但其发生所有费用均由成交供应商承担，以保障残疾人之家的正常运营。</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u w:val="single"/>
          <w:lang w:val="en-US" w:eastAsia="zh-CN"/>
        </w:rPr>
        <w:t xml:space="preserve">6、本项目各分项的服务站点、涉及到的</w:t>
      </w:r>
      <w:r>
        <w:rPr>
          <w:rFonts w:hint="eastAsia" w:ascii="黑体" w:hAnsi="黑体" w:eastAsia="黑体" w:cs="黑体"/>
          <w:color w:val="auto"/>
          <w:sz w:val="24"/>
          <w:szCs w:val="24"/>
          <w:highlight w:val="none"/>
          <w:u w:val="single"/>
        </w:rPr>
        <w:t xml:space="preserve">运营方案、服务方案、收费标准和优惠政策</w:t>
      </w:r>
      <w:r>
        <w:rPr>
          <w:rFonts w:hint="eastAsia" w:ascii="黑体" w:hAnsi="黑体" w:eastAsia="黑体" w:cs="黑体"/>
          <w:color w:val="auto"/>
          <w:sz w:val="24"/>
          <w:szCs w:val="24"/>
          <w:highlight w:val="none"/>
          <w:u w:val="single"/>
          <w:lang w:eastAsia="zh-CN"/>
        </w:rPr>
        <w:t xml:space="preserve">、</w:t>
      </w:r>
      <w:r>
        <w:rPr>
          <w:rFonts w:hint="eastAsia" w:ascii="黑体" w:hAnsi="黑体" w:eastAsia="黑体" w:cs="黑体"/>
          <w:color w:val="auto"/>
          <w:sz w:val="24"/>
          <w:szCs w:val="24"/>
          <w:highlight w:val="none"/>
          <w:u w:val="single"/>
          <w:lang w:val="en-US" w:eastAsia="zh-CN"/>
        </w:rPr>
        <w:t xml:space="preserve">建设方案、设计要求及图纸等，均以成交供应商在采购人规定期限内提交给采购人核实并确认的为准，成交供应商单方面确定或实施造成的后果由成交供应商自行承担。</w:t>
      </w:r>
      <w:r/>
    </w:p>
    <w:p>
      <w:pPr>
        <w:pStyle w:val="892"/>
        <w:numPr>
          <w:ilvl w:val="0"/>
          <w:numId w:val="0"/>
        </w:numPr>
        <w:ind w:firstLine="480"/>
        <w:jc w:val="left"/>
        <w:keepLines w:val="0"/>
        <w:keepNext w:val="0"/>
        <w:pageBreakBefore w:val="0"/>
        <w:spacing w:before="0" w:beforeAutospacing="0" w:after="0" w:afterAutospacing="0" w:line="440" w:lineRule="exact"/>
        <w:shd w:val="clear" w:color="auto" w:fill="auto"/>
        <w:widowControl w:val="off"/>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u w:val="single"/>
          <w:lang w:val="en-US" w:eastAsia="zh-CN"/>
        </w:rPr>
        <w:t xml:space="preserve">7、本项目各分项具体服务点及服务内容及要求，请各响应供应商自行查勘现场并结合磋商文件内容后进行合理报价，若成交后成交供应商以各种理由在磋商文件规定的时间内不予签订合同及实施的，采购人将上报有关监管部门后将其列入信用黑名单，视情节轻重该单位将1-3年之内不能参加南通市政府采购相关活动。</w:t>
      </w:r>
      <w:r/>
    </w:p>
    <w:p>
      <w:pPr>
        <w:ind w:firstLine="480"/>
        <w:jc w:val="left"/>
        <w:pageBreakBefore w:val="0"/>
        <w:spacing w:line="440" w:lineRule="exact"/>
        <w:rPr>
          <w:rFonts w:hint="eastAsia" w:ascii="黑体" w:hAnsi="黑体" w:eastAsia="黑体" w:cs="黑体"/>
          <w:color w:val="auto"/>
          <w:sz w:val="24"/>
          <w:szCs w:val="24"/>
          <w:highlight w:val="none"/>
          <w:u w:val="single"/>
          <w:lang w:val="en-US" w:eastAsia="zh-CN" w:bidi="ar-SA"/>
        </w:rPr>
      </w:pPr>
      <w:r>
        <w:rPr>
          <w:rFonts w:hint="eastAsia" w:ascii="黑体" w:hAnsi="黑体" w:eastAsia="黑体" w:cs="黑体"/>
          <w:color w:val="auto"/>
          <w:sz w:val="24"/>
          <w:szCs w:val="24"/>
          <w:highlight w:val="none"/>
          <w:u w:val="single"/>
          <w:lang w:val="en-US" w:eastAsia="zh-CN" w:bidi="ar-SA"/>
        </w:rPr>
        <w:t xml:space="preserve">8、中标人在合同期内出现重大失误，造成服务对象投诉或影响采购人正常工作的，采购人有权终止合同，并从服务费中扣除中标人造成的损失，且履约保证金不予退还。重大失误由采购人进行认定，中标人无条件服从。</w:t>
      </w:r>
      <w:r/>
    </w:p>
    <w:p>
      <w:pPr>
        <w:pStyle w:val="949"/>
        <w:ind w:left="0" w:firstLine="241"/>
        <w:jc w:val="left"/>
        <w:pageBreakBefore w:val="0"/>
        <w:spacing w:line="440" w:lineRule="exact"/>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九、相关考评标准（本招标文件后附）</w:t>
      </w:r>
      <w:r/>
    </w:p>
    <w:p>
      <w:pPr>
        <w:numPr>
          <w:ilvl w:val="0"/>
          <w:numId w:val="6"/>
        </w:numPr>
        <w:jc w:val="left"/>
        <w:keepLines w:val="0"/>
        <w:keepNext w:val="0"/>
        <w:pageBreakBefore w:val="0"/>
        <w:spacing w:line="44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（通开发残【2018】1号）南通开发区“残疾人之家”建设实施方案（试行）</w:t>
      </w:r>
      <w:r/>
    </w:p>
    <w:p>
      <w:pPr>
        <w:numPr>
          <w:ilvl w:val="0"/>
          <w:numId w:val="0"/>
        </w:numPr>
        <w:jc w:val="left"/>
        <w:keepLines w:val="0"/>
        <w:keepNext w:val="0"/>
        <w:pageBreakBefore w:val="0"/>
        <w:spacing w:line="440" w:lineRule="exact"/>
        <w:widowControl w:val="off"/>
        <w:rPr>
          <w:rFonts w:hint="eastAsia" w:ascii="黑体" w:hAnsi="黑体" w:eastAsia="黑体" w:cs="黑体"/>
          <w:b w:val="0"/>
          <w:bCs/>
          <w:color w:val="auto"/>
          <w:sz w:val="24"/>
          <w:szCs w:val="24"/>
          <w:highlight w:val="none"/>
          <w:lang w:val="en-US" w:eastAsia="zh-CN"/>
        </w:rPr>
      </w:pPr>
      <w:r>
        <w:rPr>
          <w:rFonts w:hint="eastAsia" w:ascii="黑体" w:hAnsi="黑体" w:eastAsia="黑体" w:cs="黑体"/>
          <w:b w:val="0"/>
          <w:bCs/>
          <w:color w:val="auto"/>
          <w:sz w:val="24"/>
          <w:szCs w:val="24"/>
          <w:highlight w:val="none"/>
          <w:lang w:val="en-US" w:eastAsia="zh-CN"/>
        </w:rPr>
        <w:t xml:space="preserve">2、</w:t>
      </w:r>
      <w:r>
        <w:rPr>
          <w:rFonts w:hint="eastAsia" w:ascii="黑体" w:hAnsi="黑体" w:eastAsia="黑体" w:cs="黑体"/>
          <w:b w:val="0"/>
          <w:bCs/>
          <w:color w:val="auto"/>
          <w:sz w:val="24"/>
          <w:szCs w:val="24"/>
          <w:highlight w:val="none"/>
        </w:rPr>
        <w:t xml:space="preserve">（通开发民政〔2023〕4号）关于印发《南通市经济技术开发区居家养老服务中心（站）工作考评办法》的通知</w:t>
      </w:r>
      <w:r/>
    </w:p>
    <w:p>
      <w:pPr>
        <w:pStyle w:val="949"/>
        <w:ind w:left="0" w:firstLine="0"/>
        <w:jc w:val="left"/>
        <w:keepLines w:val="0"/>
        <w:keepNext w:val="0"/>
        <w:pageBreakBefore w:val="0"/>
        <w:spacing w:line="44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lang w:val="en-US" w:eastAsia="zh-CN"/>
        </w:rPr>
        <w:t xml:space="preserve">3、</w:t>
      </w:r>
      <w:r>
        <w:rPr>
          <w:rFonts w:hint="eastAsia" w:ascii="黑体" w:hAnsi="黑体" w:eastAsia="黑体" w:cs="黑体"/>
          <w:b w:val="0"/>
          <w:bCs/>
          <w:color w:val="auto"/>
          <w:sz w:val="24"/>
          <w:szCs w:val="24"/>
          <w:highlight w:val="none"/>
        </w:rPr>
        <w:t xml:space="preserve">新开街道居家和社区养老政府购买服务考核办法（通新街办[2023]76号）</w:t>
      </w:r>
      <w:r/>
    </w:p>
    <w:p>
      <w:pPr>
        <w:numPr>
          <w:ilvl w:val="0"/>
          <w:numId w:val="0"/>
        </w:numPr>
        <w:jc w:val="left"/>
        <w:keepLines w:val="0"/>
        <w:keepNext w:val="0"/>
        <w:pageBreakBefore w:val="0"/>
        <w:spacing w:line="44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lang w:val="en-US" w:eastAsia="zh-CN"/>
        </w:rPr>
        <w:t xml:space="preserve">4、通民发〔2018〕94号关于印发《南通市居家和社区基本养老服务项目清单》的通知</w:t>
      </w:r>
      <w:r/>
    </w:p>
    <w:p>
      <w:pPr>
        <w:jc w:val="left"/>
        <w:keepLines w:val="0"/>
        <w:keepNext w:val="0"/>
        <w:pageBreakBefore w:val="0"/>
        <w:spacing w:line="440" w:lineRule="exact"/>
        <w:widowControl w:val="off"/>
        <w:rPr>
          <w:rFonts w:hint="eastAsia" w:ascii="黑体" w:hAnsi="黑体" w:eastAsia="黑体" w:cs="黑体"/>
          <w:b w:val="0"/>
          <w:bCs/>
          <w:color w:val="auto"/>
          <w:sz w:val="24"/>
          <w:szCs w:val="24"/>
          <w:highlight w:val="none"/>
          <w:lang w:val="en-US" w:eastAsia="zh-CN"/>
        </w:rPr>
      </w:pPr>
      <w:r>
        <w:rPr>
          <w:rFonts w:hint="eastAsia" w:ascii="黑体" w:hAnsi="黑体" w:eastAsia="黑体" w:cs="黑体"/>
          <w:b w:val="0"/>
          <w:bCs/>
          <w:color w:val="auto"/>
          <w:sz w:val="24"/>
          <w:szCs w:val="24"/>
          <w:highlight w:val="none"/>
          <w:lang w:val="en-US" w:eastAsia="zh-CN"/>
        </w:rPr>
        <w:t xml:space="preserve">5、考评细则详见如下：</w:t>
      </w:r>
      <w:r/>
    </w:p>
    <w:p>
      <w:pPr>
        <w:jc w:val="left"/>
        <w:keepLines w:val="0"/>
        <w:keepNext w:val="0"/>
        <w:pageBreakBefore w:val="0"/>
        <w:spacing w:line="440" w:lineRule="exact"/>
        <w:widowControl/>
        <w:rPr>
          <w:rFonts w:hint="eastAsia" w:ascii="黑体" w:hAnsi="黑体" w:eastAsia="黑体" w:cs="黑体"/>
          <w:i w:val="0"/>
          <w:iCs w:val="0"/>
          <w:color w:val="auto"/>
          <w:sz w:val="36"/>
          <w:szCs w:val="36"/>
          <w:u w:val="none"/>
          <w:lang w:val="en-US" w:eastAsia="zh-CN" w:bidi="ar"/>
        </w:rPr>
        <w:suppressLineNumbers w:val="0"/>
      </w:pPr>
      <w:r>
        <w:rPr>
          <w:rFonts w:hint="eastAsia" w:ascii="黑体" w:hAnsi="黑体" w:eastAsia="黑体" w:cs="黑体"/>
          <w:b w:val="0"/>
          <w:bCs/>
          <w:color w:val="auto"/>
          <w:sz w:val="24"/>
          <w:szCs w:val="24"/>
          <w:highlight w:val="none"/>
        </w:rPr>
        <w:br w:type="page" w:clear="all"/>
      </w:r>
      <w:r/>
    </w:p>
    <w:tbl>
      <w:tblPr>
        <w:tblStyle w:val="87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19"/>
        <w:gridCol w:w="542"/>
        <w:gridCol w:w="542"/>
        <w:gridCol w:w="3926"/>
        <w:gridCol w:w="546"/>
        <w:gridCol w:w="1722"/>
        <w:gridCol w:w="725"/>
      </w:tblGrid>
      <w:tr>
        <w:trPr>
          <w:trHeight w:val="51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36"/>
                <w:szCs w:val="36"/>
                <w:u w:val="none"/>
              </w:rPr>
              <w:suppressLineNumbers w:val="0"/>
            </w:pPr>
            <w:r>
              <w:rPr>
                <w:rFonts w:hint="eastAsia" w:ascii="黑体" w:hAnsi="黑体" w:eastAsia="黑体" w:cs="黑体"/>
                <w:i w:val="0"/>
                <w:iCs w:val="0"/>
                <w:color w:val="auto"/>
                <w:sz w:val="36"/>
                <w:szCs w:val="36"/>
                <w:u w:val="none"/>
                <w:lang w:val="en-US" w:eastAsia="zh-CN" w:bidi="ar"/>
              </w:rPr>
              <w:t xml:space="preserve">南通市经济技术开发区社区居家养老服务站工作考评细则</w:t>
            </w:r>
            <w:r/>
          </w:p>
        </w:tc>
      </w:tr>
      <w:tr>
        <w:trPr>
          <w:trHeight w:val="555"/>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8"/>
                <w:szCs w:val="28"/>
                <w:u w:val="none"/>
              </w:rPr>
              <w:suppressLineNumbers w:val="0"/>
            </w:pPr>
            <w:r>
              <w:rPr>
                <w:rFonts w:hint="eastAsia" w:ascii="黑体" w:hAnsi="黑体" w:eastAsia="黑体" w:cs="黑体"/>
                <w:i w:val="0"/>
                <w:iCs w:val="0"/>
                <w:color w:val="auto"/>
                <w:sz w:val="28"/>
                <w:szCs w:val="28"/>
                <w:u w:val="none"/>
                <w:lang w:val="en-US" w:eastAsia="zh-CN" w:bidi="ar"/>
              </w:rPr>
              <w:t xml:space="preserve">被考评单位：                              考评日期：     年    月    日</w:t>
            </w:r>
            <w:r/>
          </w:p>
        </w:tc>
      </w:tr>
      <w:tr>
        <w:trPr>
          <w:trHeight w:val="495"/>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评分细则</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考核分</w:t>
            </w:r>
            <w:r/>
          </w:p>
        </w:tc>
      </w:tr>
      <w:tr>
        <w:trPr>
          <w:trHeight w:val="945"/>
        </w:trPr>
        <w:tc>
          <w:tcPr>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设</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施</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建</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设</w:t>
            </w:r>
            <w:r/>
          </w:p>
        </w:tc>
        <w:tc>
          <w:tcPr>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服务场所</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根据社区标准化要求建设，一般设置在社区公共服务中心内，面积不少于200平方米，可与社区文体娱乐、医疗卫生等功能设施共建共享。</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面积未达要求，扣5分；未与相关功能设施共建共享扣5分。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服务区域整洁卫生、管理规范有序</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达到要求得满分，部分达到酌情扣分。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设施配备</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服务接待：办公桌椅、电话、档案柜、文件柜、计算机等</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助餐配餐：餐桌、餐椅、餐食的保鲜保温设施、洗涤池、消毒柜</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日间照料：托老休息设施（床或躺椅）不少于10张，老年人午休所需的基本生活用具，如毛毯、痰盂、废纸篓等</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文体活动：①图书阅览：桌椅、书架、书籍、报刊、杂志；②棋牌活动：棋牌桌椅；③健身活动：配置不同功能的康复健身器具</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未达基本要求，一项扣2分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健康管理：办公设备、常规医疗器具（如：血压计、体温表、血氧仪等）</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安全管理</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配备相应的消防器材，定期巡检；安全出口、疏散通道保持畅通；安全疏散指示标志完好。</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未达基本要求，一项扣2分。发生安全事故的不得分。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运</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营</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管</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理</w:t>
            </w:r>
            <w:r/>
          </w:p>
        </w:tc>
        <w:tc>
          <w:tcPr>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开展</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掌握服务范围内的老年人基本信息，政府购买服务对象档案完整</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未达基本要求，一项扣2分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宣传相关居家养老服务政策</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未开展宣传活动，不得分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为老年人提供助餐配餐、日间照料、健康管理、文体娱乐、应急服务以及居家上门服务等</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每天开放时间不少于8小时</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完成区民政局、街道办事处交办的工作任务。</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未完成交办任务，不得分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制度建立</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建有管理制度、岗位职责、服务流程、服务项目、收费标准、服务记录等台帐资料。运营补贴资金使用规范，实行专款专用。</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人员配备</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至少配备1名专职管理人员</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45"/>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none" w:color="000000" w:sz="4" w:space="0"/>
            </w:tcBorders>
            <w:tcW w:w="32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成效</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日均享受服务老年人数占服务范围内老年人数的比例不小于0.5%。</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未达基本要求，每低1个百分点扣1分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non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老年人服务满意率达90%以上</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未达要求，每低1个百分点扣1分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non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居家养老服务年度审计情况</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有一项整改的扣1分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55"/>
        </w:trPr>
        <w:tc>
          <w:tcPr>
            <w:gridSpan w:val="4"/>
            <w:tcBorders>
              <w:top w:val="single" w:color="000000" w:sz="4" w:space="0"/>
              <w:left w:val="single" w:color="000000" w:sz="4" w:space="0"/>
              <w:bottom w:val="single" w:color="000000" w:sz="4" w:space="0"/>
              <w:right w:val="single" w:color="000000" w:sz="4" w:space="0"/>
            </w:tcBorders>
            <w:tcW w:w="325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55"/>
        </w:trPr>
        <w:tc>
          <w:tcPr>
            <w:gridSpan w:val="7"/>
            <w:tcBorders>
              <w:top w:val="singl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4"/>
                <w:szCs w:val="24"/>
                <w:u w:val="none"/>
              </w:rPr>
              <w:suppressLineNumbers w:val="0"/>
            </w:pPr>
            <w:r>
              <w:rPr>
                <w:rFonts w:hint="eastAsia" w:ascii="黑体" w:hAnsi="黑体" w:eastAsia="黑体" w:cs="黑体"/>
                <w:b/>
                <w:bCs/>
                <w:i w:val="0"/>
                <w:iCs w:val="0"/>
                <w:color w:val="auto"/>
                <w:sz w:val="24"/>
                <w:szCs w:val="24"/>
                <w:u w:val="none"/>
                <w:lang w:val="en-US" w:eastAsia="zh-CN" w:bidi="ar"/>
              </w:rPr>
              <w:t xml:space="preserve">考核人员签字：                               被考核单位人员签字： </w:t>
            </w:r>
            <w:r/>
          </w:p>
        </w:tc>
      </w:tr>
    </w:tbl>
    <w:p>
      <w:pPr>
        <w:jc w:val="left"/>
        <w:pageBreakBefore w:val="0"/>
        <w:spacing w:line="44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32"/>
          <w:szCs w:val="32"/>
          <w:highlight w:val="none"/>
        </w:rPr>
        <w:br w:type="page" w:clear="all"/>
      </w:r>
      <w:r/>
    </w:p>
    <w:tbl>
      <w:tblPr>
        <w:tblStyle w:val="87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41"/>
        <w:gridCol w:w="685"/>
        <w:gridCol w:w="437"/>
        <w:gridCol w:w="4554"/>
        <w:gridCol w:w="546"/>
        <w:gridCol w:w="1142"/>
        <w:gridCol w:w="617"/>
      </w:tblGrid>
      <w:tr>
        <w:trPr>
          <w:trHeight w:val="57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40"/>
                <w:szCs w:val="40"/>
                <w:u w:val="none"/>
              </w:rPr>
              <w:suppressLineNumbers w:val="0"/>
            </w:pPr>
            <w:r>
              <w:rPr>
                <w:rFonts w:hint="eastAsia" w:ascii="黑体" w:hAnsi="黑体" w:eastAsia="黑体" w:cs="黑体"/>
                <w:i w:val="0"/>
                <w:iCs w:val="0"/>
                <w:color w:val="auto"/>
                <w:sz w:val="40"/>
                <w:szCs w:val="40"/>
                <w:u w:val="none"/>
                <w:lang w:val="en-US" w:eastAsia="zh-CN" w:bidi="ar"/>
              </w:rPr>
              <w:t xml:space="preserve">南通市经济技术开发区街道居家养老服务中心工作考评细则</w:t>
            </w:r>
            <w:r/>
          </w:p>
        </w:tc>
      </w:tr>
      <w:tr>
        <w:trPr>
          <w:trHeight w:val="495"/>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8"/>
                <w:szCs w:val="28"/>
                <w:u w:val="none"/>
              </w:rPr>
              <w:suppressLineNumbers w:val="0"/>
            </w:pPr>
            <w:r>
              <w:rPr>
                <w:rFonts w:hint="eastAsia" w:ascii="黑体" w:hAnsi="黑体" w:eastAsia="黑体" w:cs="黑体"/>
                <w:i w:val="0"/>
                <w:iCs w:val="0"/>
                <w:color w:val="auto"/>
                <w:sz w:val="28"/>
                <w:szCs w:val="28"/>
                <w:u w:val="none"/>
                <w:lang w:val="en-US" w:eastAsia="zh-CN" w:bidi="ar"/>
              </w:rPr>
              <w:t xml:space="preserve">被考评单位：                                                         考评日期：     年    月    日</w:t>
            </w:r>
            <w:r/>
          </w:p>
        </w:tc>
      </w:tr>
      <w:tr>
        <w:trPr>
          <w:trHeight w:val="48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评分细则</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考核分</w:t>
            </w:r>
            <w:r/>
          </w:p>
        </w:tc>
      </w:tr>
      <w:tr>
        <w:trPr>
          <w:trHeight w:val="1080"/>
        </w:trPr>
        <w:tc>
          <w:tcPr>
            <w:tcBorders>
              <w:top w:val="single" w:color="000000" w:sz="4" w:space="0"/>
              <w:left w:val="single" w:color="000000" w:sz="4" w:space="0"/>
              <w:bottom w:val="single" w:color="000000" w:sz="4" w:space="0"/>
              <w:right w:val="single" w:color="000000" w:sz="4" w:space="0"/>
            </w:tcBorders>
            <w:tcW w:w="33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设</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施</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建</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设</w:t>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服务场所</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使用面积要不少于500平方米，其中生活服务用房180平方米（含休息室、沭浴间、餐厅）、保健康复用房100平方米（含医疗保健室、康复训练室、心理疏导室）、娱乐用房80平方米（含阅览及书画室、网络室、多功能活动室）、辅助用房140平方米（含办公室、洗衣房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未达要求，一项扣2分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4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服务区域整洁卫生、管理规范有序</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达到要求得满分，部分达到酌情扣分。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设施配备</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服务接待：办公桌椅、电话、档案柜、文件柜、计算机等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助餐配餐：餐桌、餐椅、餐食的保鲜保温设施、洗涤池、消毒柜等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日间照料：托老休息设施（床或躺椅）不少于10张，老年人午休所需的基本生活用具，如毛毯、痰盂、废纸篓等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文体活动：①图书阅览：桌椅、书架、书籍、报刊、杂志；②棋牌活动：棋牌桌椅；③健身活动：配置不同功能的康复健身器具</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健康管理：办公设备、常规医疗器具（如：血压计、体温表、血氧仪等）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沐浴室：配置淋浴器、淋浴椅、防滑垫、呼叫按钮、排气扇</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保健康复室：配置理疗床、康复器材等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老年课堂：整合辖区教育资源，方便老年人就近学习</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未达要求，不得分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精神关爱：配置心理沙盘、心理宣泄工具</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中央厨房建设符合消防、食品卫生等相关要求，食品经营许可证、从业人员健康证等各项证照齐全、在有效期内且公示于醒目处。建立食品安全索证索要制度，卫生消毒制度，食品留样等制度，厨师持证上岗。</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未达基本要求，一项扣0.5分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安全管理</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中央厨房安装燃气泄露报警及自动关闭装置</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未达基本要求，一项扣0.5分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特种设备定期维保及检验</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未达要求，不得分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配备相应的消防器材，定期巡检；安全出口、疏散通道保持畅通；安全疏散指示标志完好。配有与服务功能相适应的无障碍设施和技防、照明、防滑、紧急呼叫、卫生消毒等安全防护措施。</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未达基本要求，一项扣1分。发生安全事故的不得分。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运</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营</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管</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理</w:t>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服务开展</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掌握服务范围内的老年人基本信息，政府购买服务对象档案完整</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宣传相关居家养老服务政策</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未开展宣传活动，不得分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面向家庭成员普及照料失能、失智等老年人护理知识和技能的免费培训</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未开展免费培训，不得分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为老年人提供助餐配餐、日间照料、健康管理、文体娱乐、保健康复、教育培训、应急服务、应急救援、精神慰藉以及居家上门服务等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未达基本要求，一项扣0.5分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每天开放时间不少于8小时</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完成区民政局、街道办事处交办的工作任务。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未完成交办任务，不得分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制度建立</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建有管理制度、岗位职责、服务流程、服务项目、收费标准、服务记录等台帐资料。运营补贴资金使用规范，实行专款专用。</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人员配备</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至少配备2名专职管理人员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未达基本要求，每少1人扣2分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服务成效</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日均享受服务老年人数占服务范围内老年人数的比例不小于0.5%。</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未达基本要求，每低1个百分点扣1分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1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信访投诉（12345、啄木鸟等）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有效投诉有一次扣1分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政府购买居家养老服务准确情况</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服务对象未及时停发导致多享受服务补贴的情况有一次扣1分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老年人服务满意率达90%以上</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未达基本要求，每低1个百分点扣1分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5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居家养老服务年度审计情况</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有一项整改的扣1分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480"/>
        </w:trPr>
        <w:tc>
          <w:tcPr>
            <w:gridSpan w:val="4"/>
            <w:tcBorders>
              <w:top w:val="single" w:color="000000" w:sz="4" w:space="0"/>
              <w:left w:val="single" w:color="000000" w:sz="4" w:space="0"/>
              <w:bottom w:val="single" w:color="000000" w:sz="4" w:space="0"/>
              <w:right w:val="single" w:color="000000" w:sz="4" w:space="0"/>
            </w:tcBorders>
            <w:tcW w:w="366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85"/>
        </w:trPr>
        <w:tc>
          <w:tcPr>
            <w:gridSpan w:val="7"/>
            <w:tcBorders>
              <w:top w:val="singl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4"/>
                <w:szCs w:val="24"/>
                <w:u w:val="none"/>
              </w:rPr>
              <w:suppressLineNumbers w:val="0"/>
            </w:pPr>
            <w:r>
              <w:rPr>
                <w:rFonts w:hint="eastAsia" w:ascii="黑体" w:hAnsi="黑体" w:eastAsia="黑体" w:cs="黑体"/>
                <w:b/>
                <w:bCs/>
                <w:i w:val="0"/>
                <w:iCs w:val="0"/>
                <w:color w:val="auto"/>
                <w:sz w:val="24"/>
                <w:szCs w:val="24"/>
                <w:u w:val="none"/>
                <w:lang w:val="en-US" w:eastAsia="zh-CN" w:bidi="ar"/>
              </w:rPr>
              <w:t xml:space="preserve">考核人员签字：                                                             被考评单位人员签字： </w:t>
            </w:r>
            <w:r/>
          </w:p>
        </w:tc>
      </w:tr>
    </w:tbl>
    <w:p>
      <w:pPr>
        <w:jc w:val="left"/>
        <w:pageBreakBefore w:val="0"/>
        <w:spacing w:line="44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r>
      <w:r/>
    </w:p>
    <w:p>
      <w:pPr>
        <w:jc w:val="center"/>
        <w:spacing w:line="570" w:lineRule="exact"/>
        <w:rPr>
          <w:rFonts w:hint="eastAsia" w:ascii="黑体" w:hAnsi="黑体" w:eastAsia="黑体" w:cs="黑体"/>
          <w:color w:val="auto"/>
          <w:sz w:val="44"/>
          <w:szCs w:val="44"/>
        </w:rPr>
      </w:pPr>
      <w:r>
        <w:rPr>
          <w:rFonts w:hint="eastAsia" w:ascii="黑体" w:hAnsi="黑体" w:eastAsia="黑体" w:cs="黑体"/>
          <w:i w:val="0"/>
          <w:iCs w:val="0"/>
          <w:color w:val="auto"/>
          <w:sz w:val="36"/>
          <w:szCs w:val="36"/>
          <w:u w:val="none"/>
          <w:lang w:val="en-US" w:eastAsia="zh-CN" w:bidi="ar"/>
        </w:rPr>
        <w:br w:type="page" w:clear="all"/>
      </w:r>
      <w:r>
        <w:rPr>
          <w:rFonts w:hint="eastAsia" w:ascii="黑体" w:hAnsi="黑体" w:eastAsia="黑体" w:cs="黑体"/>
          <w:b/>
          <w:bCs w:val="0"/>
          <w:color w:val="auto"/>
          <w:sz w:val="36"/>
          <w:szCs w:val="36"/>
          <w:highlight w:val="none"/>
          <w:lang w:val="en-US" w:eastAsia="zh-CN" w:bidi="ar"/>
        </w:rPr>
        <w:t xml:space="preserve"> </w:t>
      </w:r>
      <w:r>
        <w:rPr>
          <w:rFonts w:hint="eastAsia" w:ascii="黑体" w:hAnsi="黑体" w:eastAsia="黑体" w:cs="黑体"/>
          <w:color w:val="auto"/>
          <w:sz w:val="44"/>
          <w:szCs w:val="44"/>
        </w:rPr>
        <w:t xml:space="preserve">新开街道居家养老第三方服务考核评分表</w:t>
      </w:r>
      <w:r/>
    </w:p>
    <w:p>
      <w:pPr>
        <w:ind w:right="720"/>
        <w:jc w:val="both"/>
        <w:spacing w:line="360" w:lineRule="exact"/>
        <w:rPr>
          <w:rFonts w:hint="eastAsia" w:ascii="黑体" w:hAnsi="黑体" w:eastAsia="黑体" w:cs="黑体"/>
          <w:b/>
          <w:bCs/>
          <w:color w:val="auto"/>
          <w:sz w:val="24"/>
          <w:szCs w:val="24"/>
        </w:rPr>
      </w:pPr>
      <w:r>
        <w:rPr>
          <w:rFonts w:hint="eastAsia" w:ascii="黑体" w:hAnsi="黑体" w:eastAsia="黑体" w:cs="黑体"/>
          <w:b/>
          <w:bCs/>
          <w:color w:val="auto"/>
          <w:sz w:val="24"/>
          <w:szCs w:val="24"/>
        </w:rPr>
        <w:t xml:space="preserve">考核季度：      </w:t>
      </w:r>
      <w:r>
        <w:rPr>
          <w:rFonts w:hint="eastAsia" w:ascii="黑体" w:hAnsi="黑体" w:eastAsia="黑体" w:cs="黑体"/>
          <w:b/>
          <w:bCs/>
          <w:color w:val="auto"/>
          <w:sz w:val="24"/>
          <w:szCs w:val="24"/>
          <w:lang w:val="en-US" w:eastAsia="zh-CN"/>
        </w:rPr>
        <w:t xml:space="preserve">                        </w:t>
      </w:r>
      <w:r>
        <w:rPr>
          <w:rFonts w:hint="eastAsia" w:ascii="黑体" w:hAnsi="黑体" w:eastAsia="黑体" w:cs="黑体"/>
          <w:b/>
          <w:bCs/>
          <w:color w:val="auto"/>
          <w:sz w:val="24"/>
          <w:szCs w:val="24"/>
        </w:rPr>
        <w:t xml:space="preserve">年第 </w:t>
      </w:r>
      <w:r>
        <w:rPr>
          <w:rFonts w:hint="eastAsia" w:ascii="黑体" w:hAnsi="黑体" w:eastAsia="黑体" w:cs="黑体"/>
          <w:b/>
          <w:bCs/>
          <w:color w:val="auto"/>
          <w:sz w:val="24"/>
          <w:szCs w:val="24"/>
          <w:lang w:val="en-US" w:eastAsia="zh-CN"/>
        </w:rPr>
        <w:t xml:space="preserve"> </w:t>
      </w:r>
      <w:r>
        <w:rPr>
          <w:rFonts w:hint="eastAsia" w:ascii="黑体" w:hAnsi="黑体" w:eastAsia="黑体" w:cs="黑体"/>
          <w:b/>
          <w:bCs/>
          <w:color w:val="auto"/>
          <w:sz w:val="24"/>
          <w:szCs w:val="24"/>
        </w:rPr>
        <w:t xml:space="preserve">  季度                                                            考核日期：   月   日</w:t>
      </w:r>
      <w:r/>
    </w:p>
    <w:tbl>
      <w:tblPr>
        <w:tblStyle w:val="87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1"/>
        <w:gridCol w:w="1394"/>
        <w:gridCol w:w="4763"/>
        <w:gridCol w:w="752"/>
        <w:gridCol w:w="84"/>
        <w:gridCol w:w="667"/>
        <w:gridCol w:w="752"/>
        <w:gridCol w:w="9"/>
      </w:tblGrid>
      <w:tr>
        <w:trPr>
          <w:gridAfter w:val="1"/>
          <w:trHeight w:val="405"/>
        </w:trPr>
        <w:tc>
          <w:tcPr>
            <w:gridSpan w:val="2"/>
            <w:tcBorders>
              <w:top w:val="single" w:color="auto"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项    目</w:t>
            </w:r>
            <w:r/>
          </w:p>
        </w:tc>
        <w:tc>
          <w:tcPr>
            <w:tcBorders>
              <w:top w:val="single" w:color="auto" w:sz="4" w:space="0"/>
              <w:left w:val="none" w:color="000000" w:sz="4" w:space="0"/>
              <w:bottom w:val="single" w:color="auto" w:sz="4" w:space="0"/>
              <w:right w:val="single" w:color="auto" w:sz="4" w:space="0"/>
            </w:tcBorders>
            <w:tcW w:w="30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细    则</w:t>
            </w:r>
            <w:r/>
          </w:p>
        </w:tc>
        <w:tc>
          <w:tcPr>
            <w:tcBorders>
              <w:top w:val="single" w:color="auto"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分 值</w:t>
            </w:r>
            <w:r/>
          </w:p>
        </w:tc>
        <w:tc>
          <w:tcPr>
            <w:gridSpan w:val="2"/>
            <w:tcBorders>
              <w:top w:val="single" w:color="auto"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得 分</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备 注</w:t>
            </w:r>
            <w:r/>
          </w:p>
        </w:tc>
      </w:tr>
      <w:tr>
        <w:trPr>
          <w:gridAfter w:val="1"/>
          <w:trHeight w:val="553"/>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队伍保障</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按要求配备站点管理人员，人员相对稳定，向街道报备管理人员合同、向街道报告管理人员变动，提供人员月考勤表。工作人员礼貌、热情、富有爱心。</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52"/>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站点运营</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根据《居家养老服务站运营情况抽查记录表》计算平均分。</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17"/>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服务满意度</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根据《居家养老回访记录表》“总体评价”计算平均分。</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23"/>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助餐服务</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根据《居家养老助餐服务抽查记录表》计算平均分。</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服务工单</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服务记录真实，派工合理、领取人签字记录清晰，无遗漏。数据准确，及时剔除不合理的派工记录。</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lang w:val="en-US" w:eastAsia="zh-CN"/>
              </w:rPr>
              <w:suppressLineNumbers w:val="0"/>
            </w:pPr>
            <w:r>
              <w:rPr>
                <w:rFonts w:hint="eastAsia" w:ascii="黑体" w:hAnsi="黑体" w:eastAsia="黑体" w:cs="黑体"/>
                <w:color w:val="auto"/>
                <w:sz w:val="24"/>
                <w:szCs w:val="24"/>
              </w:rPr>
              <w:t xml:space="preserve">厨房</w:t>
            </w:r>
            <w:r>
              <w:rPr>
                <w:rFonts w:hint="eastAsia" w:ascii="黑体" w:hAnsi="黑体" w:eastAsia="黑体" w:cs="黑体"/>
                <w:color w:val="auto"/>
                <w:sz w:val="24"/>
                <w:szCs w:val="24"/>
                <w:lang w:val="en-US" w:eastAsia="zh-CN"/>
              </w:rPr>
              <w:t xml:space="preserve">或备餐间</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根据《厨房抽查记录表》计算平均分（占7分）。按月提供食品检验检疫材料、厨房消杀记录、进出库单等台账资料（占3分）。</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92"/>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活动开展</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按计划开展居家养老活动，活动内容丰富，达到相应场次。</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活动台账</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活动有完整的文字记录，包括活动申请表、活动方案、活动签到表、活动现场照片、实际费用明细、活动总结和活动验收单等资料齐全，并整理成档。</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11"/>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投诉处置</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根据投诉数量扣减分值，所有投诉能及时有效进行处置。</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02"/>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其    他</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及时完成其他交办事项，沟通顺畅。</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总   分</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考核总得分 95分（含）以上为“优秀”，总得分 90-95分（不含）为“合格”，总得分80-90分（不含）为“基本合格”，80分以下的为“不合格”。</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100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r>
            <w:r/>
          </w:p>
        </w:tc>
      </w:tr>
      <w:tr>
        <w:trPr>
          <w:gridBefore w:val="1"/>
          <w:trHeight w:val="270"/>
        </w:trPr>
        <w:tc>
          <w:tcPr>
            <w:gridSpan w:val="4"/>
            <w:tcBorders>
              <w:top w:val="none" w:color="000000" w:sz="4" w:space="0"/>
              <w:left w:val="none" w:color="000000" w:sz="4" w:space="0"/>
              <w:bottom w:val="none" w:color="000000" w:sz="4" w:space="0"/>
              <w:right w:val="none" w:color="000000" w:sz="4" w:space="0"/>
            </w:tcBorders>
            <w:tcW w:w="3989" w:type="pct"/>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备注：街道可根据实际情况适时调整考核内容，不再另行发文。</w:t>
            </w:r>
            <w:r/>
          </w:p>
        </w:tc>
        <w:tc>
          <w:tcPr>
            <w:gridSpan w:val="3"/>
            <w:tcBorders>
              <w:top w:val="none" w:color="000000" w:sz="4" w:space="0"/>
              <w:left w:val="none" w:color="000000" w:sz="4" w:space="0"/>
              <w:bottom w:val="none" w:color="000000" w:sz="4" w:space="0"/>
              <w:right w:val="none" w:color="000000" w:sz="4" w:space="0"/>
            </w:tcBorders>
            <w:tcW w:w="971" w:type="pct"/>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bl>
    <w:p>
      <w:pPr>
        <w:jc w:val="left"/>
        <w:pageBreakBefore w:val="0"/>
        <w:spacing w:line="440" w:lineRule="exact"/>
        <w:rPr>
          <w:rFonts w:hint="eastAsia" w:ascii="黑体" w:hAnsi="黑体" w:eastAsia="黑体" w:cs="黑体"/>
          <w:b/>
          <w:bCs/>
          <w:color w:val="auto"/>
          <w:sz w:val="28"/>
          <w:szCs w:val="28"/>
        </w:rPr>
      </w:pPr>
      <w:r>
        <w:rPr>
          <w:rFonts w:hint="eastAsia" w:ascii="黑体" w:hAnsi="黑体" w:eastAsia="黑体" w:cs="黑体"/>
          <w:b/>
          <w:bCs/>
          <w:color w:val="auto"/>
          <w:sz w:val="28"/>
          <w:szCs w:val="28"/>
        </w:rPr>
        <w:t xml:space="preserve">考核人：</w:t>
      </w:r>
      <w:r>
        <w:rPr>
          <w:rFonts w:hint="eastAsia" w:ascii="黑体" w:hAnsi="黑体" w:eastAsia="黑体" w:cs="黑体"/>
          <w:b/>
          <w:bCs/>
          <w:color w:val="auto"/>
          <w:sz w:val="28"/>
          <w:szCs w:val="28"/>
        </w:rPr>
        <w:tab/>
      </w:r>
      <w:r>
        <w:rPr>
          <w:rFonts w:hint="eastAsia" w:ascii="黑体" w:hAnsi="黑体" w:eastAsia="黑体" w:cs="黑体"/>
          <w:b/>
          <w:bCs/>
          <w:color w:val="auto"/>
          <w:sz w:val="28"/>
          <w:szCs w:val="28"/>
        </w:rPr>
        <w:t xml:space="preserve">                                               </w:t>
      </w:r>
      <w:r>
        <w:rPr>
          <w:rFonts w:hint="eastAsia" w:ascii="黑体" w:hAnsi="黑体" w:eastAsia="黑体" w:cs="黑体"/>
          <w:b/>
          <w:bCs/>
          <w:color w:val="auto"/>
          <w:sz w:val="28"/>
          <w:szCs w:val="28"/>
        </w:rPr>
        <w:tab/>
      </w:r>
      <w:r/>
    </w:p>
    <w:p>
      <w:pPr>
        <w:jc w:val="left"/>
        <w:pageBreakBefore w:val="0"/>
        <w:spacing w:line="440" w:lineRule="exact"/>
        <w:rPr>
          <w:rFonts w:hint="eastAsia" w:ascii="黑体" w:hAnsi="黑体" w:eastAsia="黑体" w:cs="黑体"/>
          <w:color w:val="auto"/>
          <w:lang w:eastAsia="zh-CN"/>
        </w:rPr>
      </w:pPr>
      <w:r>
        <w:rPr>
          <w:rFonts w:hint="eastAsia" w:ascii="黑体" w:hAnsi="黑体" w:eastAsia="黑体" w:cs="黑体"/>
          <w:b/>
          <w:bCs/>
          <w:color w:val="auto"/>
          <w:sz w:val="28"/>
          <w:szCs w:val="28"/>
        </w:rPr>
        <w:t xml:space="preserve">审核人：</w:t>
      </w:r>
      <w:r/>
    </w:p>
    <w:p>
      <w:pPr>
        <w:ind w:left="0" w:right="0" w:firstLine="723"/>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eastAsia="zh-CN" w:bidi="ar"/>
        </w:rPr>
        <w:suppressLineNumbers w:val="0"/>
      </w:pPr>
      <w:r>
        <w:rPr>
          <w:rFonts w:hint="eastAsia" w:ascii="黑体" w:hAnsi="黑体" w:eastAsia="黑体" w:cs="黑体"/>
          <w:b/>
          <w:bCs w:val="0"/>
          <w:color w:val="auto"/>
          <w:sz w:val="36"/>
          <w:szCs w:val="36"/>
          <w:highlight w:val="none"/>
          <w:lang w:val="en-US" w:eastAsia="zh-CN" w:bidi="ar"/>
        </w:rPr>
        <w:t xml:space="preserve">     </w:t>
      </w:r>
      <w:r/>
    </w:p>
    <w:p>
      <w:pPr>
        <w:ind w:left="0" w:right="0" w:firstLine="723"/>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rPr>
        <w:suppressLineNumbers w:val="0"/>
      </w:pPr>
      <w:r>
        <w:rPr>
          <w:rFonts w:hint="eastAsia" w:ascii="黑体" w:hAnsi="黑体" w:eastAsia="黑体" w:cs="黑体"/>
          <w:b/>
          <w:bCs w:val="0"/>
          <w:color w:val="auto"/>
          <w:sz w:val="36"/>
          <w:szCs w:val="36"/>
          <w:highlight w:val="none"/>
          <w:lang w:val="en-US" w:eastAsia="zh-CN" w:bidi="ar"/>
        </w:rPr>
        <w:br w:type="page" w:clear="all"/>
      </w:r>
      <w:r>
        <w:rPr>
          <w:rFonts w:hint="eastAsia" w:ascii="黑体" w:hAnsi="黑体" w:eastAsia="黑体" w:cs="黑体"/>
          <w:b/>
          <w:bCs w:val="0"/>
          <w:color w:val="auto"/>
          <w:sz w:val="36"/>
          <w:szCs w:val="36"/>
          <w:highlight w:val="none"/>
          <w:lang w:val="en-US" w:eastAsia="zh-CN" w:bidi="ar"/>
        </w:rPr>
        <w:t xml:space="preserve">      第四部分  开标和评标</w:t>
      </w:r>
      <w:r/>
    </w:p>
    <w:p>
      <w:pPr>
        <w:pStyle w:val="945"/>
        <w:ind w:left="0" w:firstLine="482"/>
        <w:jc w:val="left"/>
        <w:keepLines w:val="0"/>
        <w:pageBreakBefore w:val="0"/>
        <w:spacing w:before="0" w:beforeAutospacing="0" w:after="0" w:afterAutospacing="0" w:line="440" w:lineRule="exact"/>
        <w:widowControl/>
        <w:rPr>
          <w:rFonts w:hint="eastAsia"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一、采购人组织开标</w:t>
      </w:r>
      <w:r/>
    </w:p>
    <w:p>
      <w:pPr>
        <w:ind w:firstLine="463"/>
        <w:jc w:val="left"/>
        <w:keepLines w:val="0"/>
        <w:pageBreakBefore w:val="0"/>
        <w:spacing w:beforeAutospacing="0" w:afterAutospacing="0" w:line="440" w:lineRule="exact"/>
        <w:tabs>
          <w:tab w:val="left" w:pos="3585" w:leader="none"/>
        </w:tabs>
        <w:rPr>
          <w:rFonts w:hint="eastAsia" w:ascii="黑体" w:hAnsi="黑体" w:eastAsia="黑体" w:cs="黑体"/>
          <w:b/>
          <w:bCs/>
          <w:color w:val="auto"/>
          <w:sz w:val="24"/>
          <w:szCs w:val="32"/>
          <w:highlight w:val="none"/>
        </w:rPr>
      </w:pPr>
      <w:r>
        <w:rPr>
          <w:rFonts w:hint="eastAsia" w:ascii="黑体" w:hAnsi="黑体" w:eastAsia="黑体" w:cs="黑体"/>
          <w:b/>
          <w:bCs/>
          <w:color w:val="auto"/>
          <w:sz w:val="24"/>
          <w:szCs w:val="24"/>
          <w:highlight w:val="none"/>
          <w:lang w:eastAsia="zh-CN"/>
        </w:rPr>
        <w:t xml:space="preserve">本项目采用现场</w:t>
      </w:r>
      <w:r>
        <w:rPr>
          <w:rFonts w:hint="eastAsia" w:ascii="黑体" w:hAnsi="黑体" w:eastAsia="黑体" w:cs="黑体"/>
          <w:b/>
          <w:bCs/>
          <w:color w:val="auto"/>
          <w:sz w:val="24"/>
          <w:szCs w:val="24"/>
          <w:highlight w:val="none"/>
          <w:lang w:val="en-US" w:eastAsia="zh-CN"/>
        </w:rPr>
        <w:t xml:space="preserve">开评标</w:t>
      </w:r>
      <w:r>
        <w:rPr>
          <w:rFonts w:hint="eastAsia" w:ascii="黑体" w:hAnsi="黑体" w:eastAsia="黑体" w:cs="黑体"/>
          <w:b/>
          <w:bCs/>
          <w:color w:val="auto"/>
          <w:sz w:val="24"/>
          <w:szCs w:val="24"/>
          <w:highlight w:val="none"/>
          <w:lang w:eastAsia="zh-CN"/>
        </w:rPr>
        <w:t xml:space="preserve">模式</w:t>
      </w:r>
      <w:r>
        <w:rPr>
          <w:rFonts w:hint="eastAsia" w:ascii="黑体" w:hAnsi="黑体" w:eastAsia="黑体" w:cs="黑体"/>
          <w:b/>
          <w:bCs/>
          <w:color w:val="auto"/>
          <w:sz w:val="24"/>
          <w:szCs w:val="24"/>
          <w:highlight w:val="none"/>
          <w:lang w:val="zh-CN" w:eastAsia="zh-CN"/>
        </w:rPr>
        <w:t xml:space="preserve">。</w:t>
      </w:r>
      <w:r>
        <w:rPr>
          <w:rFonts w:hint="eastAsia" w:ascii="黑体" w:hAnsi="黑体" w:eastAsia="黑体" w:cs="黑体"/>
          <w:b/>
          <w:bCs/>
          <w:color w:val="auto"/>
          <w:sz w:val="24"/>
          <w:szCs w:val="32"/>
          <w:highlight w:val="none"/>
          <w:lang w:val="zh-CN"/>
        </w:rPr>
        <w:t xml:space="preserve">供应商须持有效身份</w:t>
      </w:r>
      <w:r>
        <w:rPr>
          <w:rFonts w:hint="eastAsia" w:ascii="黑体" w:hAnsi="黑体" w:eastAsia="黑体" w:cs="黑体"/>
          <w:b/>
          <w:bCs/>
          <w:color w:val="auto"/>
          <w:sz w:val="24"/>
          <w:szCs w:val="32"/>
          <w:highlight w:val="none"/>
        </w:rPr>
        <w:t xml:space="preserve">证明</w:t>
      </w:r>
      <w:r>
        <w:rPr>
          <w:rFonts w:hint="eastAsia" w:ascii="黑体" w:hAnsi="黑体" w:eastAsia="黑体" w:cs="黑体"/>
          <w:b/>
          <w:bCs/>
          <w:color w:val="auto"/>
          <w:sz w:val="24"/>
          <w:szCs w:val="32"/>
          <w:highlight w:val="none"/>
          <w:lang w:val="zh-CN"/>
        </w:rPr>
        <w:t xml:space="preserve">参加开标会。</w:t>
      </w:r>
      <w:r/>
    </w:p>
    <w:p>
      <w:pPr>
        <w:pStyle w:val="945"/>
        <w:ind w:left="0" w:firstLine="482"/>
        <w:jc w:val="left"/>
        <w:keepLines w:val="0"/>
        <w:pageBreakBefore w:val="0"/>
        <w:spacing w:before="0" w:beforeAutospacing="0" w:after="0" w:afterAutospacing="0" w:line="440" w:lineRule="exact"/>
        <w:widowControl/>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val="zh-CN" w:eastAsia="zh-CN"/>
        </w:rPr>
        <w:t xml:space="preserve">二、评委会</w:t>
      </w:r>
      <w:r>
        <w:rPr>
          <w:rFonts w:hint="eastAsia" w:ascii="黑体" w:hAnsi="黑体" w:eastAsia="黑体" w:cs="黑体"/>
          <w:b/>
          <w:bCs/>
          <w:color w:val="auto"/>
          <w:sz w:val="24"/>
          <w:szCs w:val="24"/>
          <w:highlight w:val="none"/>
          <w:lang w:eastAsia="zh-CN"/>
        </w:rPr>
        <w:t xml:space="preserve">实施评标工作</w:t>
      </w:r>
      <w:r/>
    </w:p>
    <w:p>
      <w:pPr>
        <w:ind w:firstLine="480"/>
        <w:jc w:val="left"/>
        <w:keepLines w:val="0"/>
        <w:pageBreakBefore w:val="0"/>
        <w:spacing w:beforeAutospacing="0" w:afterAutospacing="0" w:line="440" w:lineRule="exact"/>
        <w:rPr>
          <w:rFonts w:hint="eastAsia" w:ascii="黑体" w:hAnsi="黑体" w:eastAsia="黑体" w:cs="黑体"/>
          <w:b/>
          <w:color w:val="auto"/>
          <w:sz w:val="24"/>
          <w:szCs w:val="24"/>
          <w:highlight w:val="none"/>
        </w:rPr>
      </w:pPr>
      <w:r>
        <w:rPr>
          <w:rFonts w:hint="eastAsia" w:ascii="黑体" w:hAnsi="黑体" w:eastAsia="黑体" w:cs="黑体"/>
          <w:color w:val="auto"/>
          <w:sz w:val="24"/>
          <w:szCs w:val="24"/>
          <w:highlight w:val="none"/>
        </w:rPr>
        <w:t xml:space="preserve">2.1开标后，采购人或采购代理机构将立即组织评标委员会（以下简称评委会）进行评标。</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2.2 评委会由采购人代表和有关技术、经济等方面的专家组成，且人员构成符合政府采购有关规定。</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2.3评委会独立工作，负责评审所有投标文件并确定中标侯选人。</w:t>
      </w:r>
      <w:r/>
    </w:p>
    <w:p>
      <w:pPr>
        <w:pStyle w:val="974"/>
        <w:ind w:firstLine="482"/>
        <w:jc w:val="left"/>
        <w:keepLines w:val="0"/>
        <w:pageBreakBefore w:val="0"/>
        <w:spacing w:beforeAutospacing="0" w:afterAutospacing="0" w:line="440" w:lineRule="exact"/>
        <w:rPr>
          <w:rFonts w:hint="eastAsia" w:ascii="黑体" w:hAnsi="黑体" w:eastAsia="黑体" w:cs="黑体"/>
          <w:b/>
          <w:bCs/>
          <w:color w:val="auto"/>
          <w:sz w:val="24"/>
          <w:szCs w:val="24"/>
          <w:highlight w:val="none"/>
          <w:lang w:val="en-US" w:eastAsia="zh-CN" w:bidi="ar"/>
        </w:rPr>
      </w:pPr>
      <w:r>
        <w:rPr>
          <w:rFonts w:hint="eastAsia" w:ascii="黑体" w:hAnsi="黑体" w:eastAsia="黑体" w:cs="黑体"/>
          <w:b/>
          <w:bCs/>
          <w:color w:val="auto"/>
          <w:sz w:val="24"/>
          <w:szCs w:val="24"/>
          <w:highlight w:val="none"/>
          <w:lang w:val="en-US" w:eastAsia="zh-CN" w:bidi="ar"/>
        </w:rPr>
        <w:t xml:space="preserve">三、评标过程的保密与公正</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3.1</w:t>
      </w:r>
      <w:r>
        <w:rPr>
          <w:rFonts w:hint="eastAsia" w:ascii="黑体" w:hAnsi="黑体" w:eastAsia="黑体" w:cs="黑体"/>
          <w:bCs/>
          <w:color w:val="auto"/>
          <w:sz w:val="24"/>
          <w:szCs w:val="24"/>
          <w:highlight w:val="none"/>
        </w:rPr>
        <w:t xml:space="preserve">公开开标后，直至向中标的</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授予合同时止，凡是与审查、澄清、评价和比较投标的有关资料以及授标建议等，采购人、评委、采购代理机构均不得向</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或与评标无关的其他人员透露。</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3.2在评标过程中，</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不得以任何行为影响评标过程，否则其投标文件将被作为无效投标文件。</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3.3在评标期间，采购代理机构将设专门人员与</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联系。</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3.4采购人或采购代理机构和评标委员会不向未中标的</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解释未中标原因，也不公布评标过程中的相关细节。</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3.5采用综合评分法的项目，公布评标结果时一并公布所有</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的评审得分及排序情况。</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3.6采用最低评标价法的采购项目，提供相同品牌产品的不同</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，其他投标无效。</w:t>
      </w:r>
      <w:r/>
    </w:p>
    <w:p>
      <w:pPr>
        <w:pStyle w:val="974"/>
        <w:ind w:firstLine="482"/>
        <w:jc w:val="left"/>
        <w:keepLines w:val="0"/>
        <w:pageBreakBefore w:val="0"/>
        <w:spacing w:beforeAutospacing="0" w:afterAutospacing="0" w:line="440" w:lineRule="exact"/>
        <w:rPr>
          <w:rFonts w:hint="eastAsia" w:ascii="黑体" w:hAnsi="黑体" w:eastAsia="黑体" w:cs="黑体"/>
          <w:b/>
          <w:bCs/>
          <w:color w:val="auto"/>
          <w:sz w:val="24"/>
          <w:szCs w:val="24"/>
          <w:highlight w:val="none"/>
        </w:rPr>
      </w:pPr>
      <w:r/>
      <w:bookmarkStart w:id="10" w:name="_Toc20823304"/>
      <w:r/>
      <w:bookmarkStart w:id="11" w:name="_Toc16938548"/>
      <w:r/>
      <w:bookmarkStart w:id="12" w:name="_Toc513029232"/>
      <w:r>
        <w:rPr>
          <w:rFonts w:hint="eastAsia" w:ascii="黑体" w:hAnsi="黑体" w:eastAsia="黑体" w:cs="黑体"/>
          <w:b/>
          <w:bCs/>
          <w:color w:val="auto"/>
          <w:sz w:val="24"/>
          <w:szCs w:val="24"/>
          <w:highlight w:val="none"/>
          <w:lang w:val="en-US" w:eastAsia="zh-CN"/>
        </w:rPr>
        <w:t xml:space="preserve">四、</w:t>
      </w:r>
      <w:r>
        <w:rPr>
          <w:rFonts w:hint="eastAsia" w:ascii="黑体" w:hAnsi="黑体" w:eastAsia="黑体" w:cs="黑体"/>
          <w:b/>
          <w:bCs/>
          <w:color w:val="auto"/>
          <w:sz w:val="24"/>
          <w:szCs w:val="24"/>
          <w:highlight w:val="none"/>
        </w:rPr>
        <w:t xml:space="preserve">投标的澄清</w:t>
      </w:r>
      <w:bookmarkEnd w:id="10"/>
      <w:r/>
      <w:bookmarkEnd w:id="11"/>
      <w:r/>
      <w:bookmarkEnd w:id="12"/>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4.1评标期间，为有助于对投标文件的审查、评价和比较，评委会有权以</w:t>
      </w:r>
      <w:r>
        <w:rPr>
          <w:rFonts w:hint="eastAsia" w:ascii="黑体" w:hAnsi="黑体" w:eastAsia="黑体" w:cs="黑体"/>
          <w:color w:val="auto"/>
          <w:sz w:val="24"/>
          <w:szCs w:val="24"/>
          <w:highlight w:val="none"/>
          <w:lang w:val="en-US" w:eastAsia="zh-CN"/>
        </w:rPr>
        <w:t xml:space="preserve">递交书面</w:t>
      </w:r>
      <w:r>
        <w:rPr>
          <w:rFonts w:hint="eastAsia" w:ascii="黑体" w:hAnsi="黑体" w:eastAsia="黑体" w:cs="黑体"/>
          <w:color w:val="auto"/>
          <w:sz w:val="24"/>
          <w:szCs w:val="24"/>
          <w:highlight w:val="none"/>
        </w:rPr>
        <w:t xml:space="preserve">形式要求</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对其投标文件进行澄清，但并非对每个</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都作澄清要求。</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4.2接到评委会澄清要求的</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应派</w:t>
      </w:r>
      <w:r>
        <w:rPr>
          <w:rFonts w:hint="eastAsia" w:ascii="黑体" w:hAnsi="黑体" w:eastAsia="黑体" w:cs="黑体"/>
          <w:color w:val="auto"/>
          <w:sz w:val="24"/>
          <w:szCs w:val="24"/>
          <w:highlight w:val="none"/>
          <w:lang w:val="en-US" w:eastAsia="zh-CN"/>
        </w:rPr>
        <w:t xml:space="preserve">授权委托人</w:t>
      </w:r>
      <w:r>
        <w:rPr>
          <w:rFonts w:hint="eastAsia" w:ascii="黑体" w:hAnsi="黑体" w:eastAsia="黑体" w:cs="黑体"/>
          <w:color w:val="auto"/>
          <w:sz w:val="24"/>
          <w:szCs w:val="24"/>
          <w:highlight w:val="none"/>
        </w:rPr>
        <w:t xml:space="preserve">按评委会规定的时间</w:t>
      </w:r>
      <w:r>
        <w:rPr>
          <w:rFonts w:hint="eastAsia" w:ascii="黑体" w:hAnsi="黑体" w:eastAsia="黑体" w:cs="黑体"/>
          <w:color w:val="auto"/>
          <w:sz w:val="24"/>
          <w:szCs w:val="24"/>
          <w:highlight w:val="none"/>
          <w:lang w:val="en-US" w:eastAsia="zh-CN"/>
        </w:rPr>
        <w:t xml:space="preserve">内和格式</w:t>
      </w:r>
      <w:r>
        <w:rPr>
          <w:rFonts w:hint="eastAsia" w:ascii="黑体" w:hAnsi="黑体" w:eastAsia="黑体" w:cs="黑体"/>
          <w:color w:val="auto"/>
          <w:sz w:val="24"/>
          <w:szCs w:val="24"/>
          <w:highlight w:val="none"/>
        </w:rPr>
        <w:t xml:space="preserve">做出澄清，澄清的内容作为投标文件的补充部分，但投标的价格和实质性的内容不得做任何更改。</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4.3 接到评委会澄清要求的</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如未按规定做出澄清，其风险由</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自行承担。</w:t>
      </w:r>
      <w:r/>
    </w:p>
    <w:p>
      <w:pPr>
        <w:pStyle w:val="974"/>
        <w:ind w:firstLine="482"/>
        <w:jc w:val="left"/>
        <w:keepLines w:val="0"/>
        <w:pageBreakBefore w:val="0"/>
        <w:spacing w:beforeAutospacing="0" w:afterAutospacing="0" w:line="440" w:lineRule="exact"/>
        <w:rPr>
          <w:rFonts w:hint="eastAsia" w:ascii="黑体" w:hAnsi="黑体" w:eastAsia="黑体" w:cs="黑体"/>
          <w:b/>
          <w:bCs/>
          <w:color w:val="auto"/>
          <w:sz w:val="24"/>
          <w:szCs w:val="24"/>
          <w:highlight w:val="none"/>
        </w:rPr>
      </w:pPr>
      <w:r/>
      <w:bookmarkStart w:id="13" w:name="_Toc513029233"/>
      <w:r/>
      <w:bookmarkStart w:id="14" w:name="_Toc16938549"/>
      <w:r/>
      <w:bookmarkStart w:id="15" w:name="_Toc20823305"/>
      <w:r>
        <w:rPr>
          <w:rFonts w:hint="eastAsia" w:ascii="黑体" w:hAnsi="黑体" w:eastAsia="黑体" w:cs="黑体"/>
          <w:b/>
          <w:bCs/>
          <w:color w:val="auto"/>
          <w:sz w:val="24"/>
          <w:szCs w:val="24"/>
          <w:highlight w:val="none"/>
          <w:lang w:val="en-US" w:eastAsia="zh-CN"/>
        </w:rPr>
        <w:t xml:space="preserve">五、</w:t>
      </w:r>
      <w:r>
        <w:rPr>
          <w:rFonts w:hint="eastAsia" w:ascii="黑体" w:hAnsi="黑体" w:eastAsia="黑体" w:cs="黑体"/>
          <w:b/>
          <w:bCs/>
          <w:color w:val="auto"/>
          <w:sz w:val="24"/>
          <w:szCs w:val="24"/>
          <w:highlight w:val="none"/>
        </w:rPr>
        <w:t xml:space="preserve">对投标文件的初审</w:t>
      </w:r>
      <w:bookmarkEnd w:id="13"/>
      <w:r/>
      <w:bookmarkEnd w:id="14"/>
      <w:r/>
      <w:bookmarkEnd w:id="15"/>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5.1</w:t>
      </w:r>
      <w:r>
        <w:rPr>
          <w:rFonts w:hint="eastAsia" w:ascii="黑体" w:hAnsi="黑体" w:eastAsia="黑体" w:cs="黑体"/>
          <w:bCs/>
          <w:color w:val="auto"/>
          <w:sz w:val="24"/>
          <w:szCs w:val="24"/>
          <w:highlight w:val="none"/>
        </w:rPr>
        <w:t xml:space="preserve">投标文件初审分为资格审查和符合性审查。</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482"/>
        <w:jc w:val="left"/>
        <w:keepLines w:val="0"/>
        <w:pageBreakBefore w:val="0"/>
        <w:spacing w:beforeAutospacing="0" w:afterAutospacing="0"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采购人在进行资格性审查的同时，评标委员会从“信用中国”网站查询供应商的信用记录，以确定供应商是否具备资格。</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5.1.3 未通过资格审查或符合性审查的</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，采购人或采购代理机构告知未通过资格审查或符合性审查的原因，评审结束后，采购人或采购代理机构将不再告知未通过资格审查或符合性审查的原因。</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所谓重大偏离或保留是指与招标文件规定的实质性要求存在负偏离，或者在实质上与招标文件不一致，而且限制了合同中买方和见证方的权利或</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的义务，纠正这些偏离或保留将会对其他实质性响应要求的</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的竞争地位产生不公正的影响。重大偏离的认定需经过评委会以少数服从多数的原则作出结论。</w:t>
      </w:r>
      <w:r>
        <w:rPr>
          <w:rFonts w:hint="eastAsia" w:ascii="黑体" w:hAnsi="黑体" w:eastAsia="黑体" w:cs="黑体"/>
          <w:bCs/>
          <w:color w:val="auto"/>
          <w:sz w:val="24"/>
          <w:szCs w:val="24"/>
          <w:highlight w:val="none"/>
        </w:rPr>
        <w:t xml:space="preserve">评委决定投标文件的响应性只根据投标文件本身的内容，而不寻求外部的证据。</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5.3</w:t>
      </w:r>
      <w:r>
        <w:rPr>
          <w:rFonts w:hint="eastAsia" w:ascii="黑体" w:hAnsi="黑体" w:eastAsia="黑体" w:cs="黑体"/>
          <w:bCs/>
          <w:color w:val="auto"/>
          <w:sz w:val="24"/>
          <w:szCs w:val="24"/>
          <w:highlight w:val="none"/>
        </w:rPr>
        <w:t xml:space="preserve">如果投标文件实质上没有响应招标文件的要求，评委会将予以拒绝，</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不得通过修改或撤销不合要求的偏离或保留而使其投标成为实质性响应的投标。</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5.4</w:t>
      </w:r>
      <w:r>
        <w:rPr>
          <w:rFonts w:hint="eastAsia" w:ascii="黑体" w:hAnsi="黑体" w:eastAsia="黑体" w:cs="黑体"/>
          <w:bCs/>
          <w:color w:val="auto"/>
          <w:sz w:val="24"/>
          <w:szCs w:val="24"/>
          <w:highlight w:val="none"/>
        </w:rPr>
        <w:t xml:space="preserve">评委会将对确定为实质性响应的投标进行进一步审核，看其是否有计算上或累加上的算术错误，修正错误的原则如下：</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（1）投标文件中开标一览表内容与投标文件中相应内容不一致的，以开标一览表为准。</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（2）大写金额和小写金额不一致的，以大写金额为准。</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（3）单价金额小数点或者百分比有明显错位的，以开标一览表的</w:t>
      </w:r>
      <w:r>
        <w:rPr>
          <w:rFonts w:hint="eastAsia" w:ascii="黑体" w:hAnsi="黑体" w:eastAsia="黑体" w:cs="黑体"/>
          <w:bCs/>
          <w:color w:val="auto"/>
          <w:sz w:val="24"/>
          <w:szCs w:val="24"/>
          <w:highlight w:val="none"/>
          <w:lang w:eastAsia="zh-CN"/>
        </w:rPr>
        <w:t xml:space="preserve">单价</w:t>
      </w:r>
      <w:r>
        <w:rPr>
          <w:rFonts w:hint="eastAsia" w:ascii="黑体" w:hAnsi="黑体" w:eastAsia="黑体" w:cs="黑体"/>
          <w:bCs/>
          <w:color w:val="auto"/>
          <w:sz w:val="24"/>
          <w:szCs w:val="24"/>
          <w:highlight w:val="none"/>
        </w:rPr>
        <w:t xml:space="preserve">为准，并修改单价。</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w:t>
      </w:r>
      <w:r>
        <w:rPr>
          <w:rFonts w:hint="eastAsia" w:ascii="黑体" w:hAnsi="黑体" w:eastAsia="黑体" w:cs="黑体"/>
          <w:bCs/>
          <w:color w:val="auto"/>
          <w:sz w:val="24"/>
          <w:szCs w:val="24"/>
          <w:highlight w:val="none"/>
          <w:lang w:eastAsia="zh-CN"/>
        </w:rPr>
        <w:t xml:space="preserve">单价</w:t>
      </w:r>
      <w:r>
        <w:rPr>
          <w:rFonts w:hint="eastAsia" w:ascii="黑体" w:hAnsi="黑体" w:eastAsia="黑体" w:cs="黑体"/>
          <w:bCs/>
          <w:color w:val="auto"/>
          <w:sz w:val="24"/>
          <w:szCs w:val="24"/>
          <w:highlight w:val="none"/>
        </w:rPr>
        <w:t xml:space="preserve">金额与按单价汇总金额不一致的，以单价金额计算结果为准。</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同时出现两种以上错误的，按照前款规定的顺序修正。</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5.5</w:t>
      </w:r>
      <w:r>
        <w:rPr>
          <w:rFonts w:hint="eastAsia" w:ascii="黑体" w:hAnsi="黑体" w:eastAsia="黑体" w:cs="黑体"/>
          <w:bCs/>
          <w:color w:val="auto"/>
          <w:sz w:val="24"/>
          <w:szCs w:val="24"/>
          <w:highlight w:val="none"/>
        </w:rPr>
        <w:t xml:space="preserve">评委会将按上述修正错误的方法调整投标文件中的投标报价，并告知</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，调整后的价格应对</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具有约束力。如果</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不接受修正后的价格，则其投标将被拒绝。</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5.6</w:t>
      </w:r>
      <w:r>
        <w:rPr>
          <w:rFonts w:hint="eastAsia" w:ascii="黑体" w:hAnsi="黑体" w:eastAsia="黑体" w:cs="黑体"/>
          <w:bCs/>
          <w:color w:val="auto"/>
          <w:sz w:val="24"/>
          <w:szCs w:val="24"/>
          <w:highlight w:val="none"/>
        </w:rPr>
        <w:t xml:space="preserve">评委会将允许修正投标文件中不构成重大偏离的、微小的、非正规的、不一致的或不规则的地方，但这些修改不能影响任何</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相应的名次排列。</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bookmarkStart w:id="16" w:name="_Toc513029234"/>
      <w:r/>
      <w:bookmarkStart w:id="17" w:name="_Toc20823306"/>
      <w:r/>
      <w:bookmarkStart w:id="18" w:name="_Toc16938550"/>
      <w:r>
        <w:rPr>
          <w:rFonts w:hint="eastAsia" w:ascii="黑体" w:hAnsi="黑体" w:eastAsia="黑体" w:cs="黑体"/>
          <w:color w:val="auto"/>
          <w:sz w:val="24"/>
          <w:szCs w:val="24"/>
          <w:highlight w:val="none"/>
        </w:rPr>
        <w:t xml:space="preserve">5.7采用最低评标价法的采购项目，提供相同品牌产品的不同</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，其他投标无效。</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使用综合评分法的采购项目，提供相同品牌产品且通过资格审查、符合性审查的不同</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参加同一合同项下投标的，按一家</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计算，评审后得分最高的同品牌</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不作为中标候选人。</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非单一产品采购项目，招标文件中将载明其中的核心产品。多家</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提供的核心产品品牌相同的，按前两款规定处理。</w:t>
      </w:r>
      <w:r/>
    </w:p>
    <w:p>
      <w:pPr>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5.8 </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在开、评标全过程中应保持通讯畅通，并安排专人与采购人或采购代理机构及评标委员会联系。</w:t>
      </w:r>
      <w:bookmarkEnd w:id="16"/>
      <w:r/>
      <w:bookmarkEnd w:id="17"/>
      <w:r/>
      <w:bookmarkEnd w:id="18"/>
      <w:r/>
      <w:r/>
    </w:p>
    <w:p>
      <w:pPr>
        <w:pStyle w:val="974"/>
        <w:ind w:firstLine="482"/>
        <w:jc w:val="left"/>
        <w:keepLines w:val="0"/>
        <w:pageBreakBefore w:val="0"/>
        <w:spacing w:beforeAutospacing="0" w:afterAutospacing="0"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lang w:val="en-US" w:eastAsia="zh-CN"/>
        </w:rPr>
        <w:t xml:space="preserve">六、</w:t>
      </w:r>
      <w:r>
        <w:rPr>
          <w:rFonts w:hint="eastAsia" w:ascii="黑体" w:hAnsi="黑体" w:eastAsia="黑体" w:cs="黑体"/>
          <w:b/>
          <w:bCs/>
          <w:color w:val="auto"/>
          <w:sz w:val="24"/>
          <w:szCs w:val="24"/>
          <w:highlight w:val="none"/>
        </w:rPr>
        <w:t xml:space="preserve">无效投标条款和废标条款</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bookmarkStart w:id="19" w:name="_Toc20823307"/>
      <w:r/>
      <w:bookmarkStart w:id="20" w:name="_Toc513029235"/>
      <w:r/>
      <w:bookmarkStart w:id="21" w:name="_Toc16938551"/>
      <w:r>
        <w:rPr>
          <w:rFonts w:hint="eastAsia" w:ascii="黑体" w:hAnsi="黑体" w:eastAsia="黑体" w:cs="黑体"/>
          <w:bCs/>
          <w:color w:val="auto"/>
          <w:sz w:val="24"/>
          <w:szCs w:val="24"/>
          <w:highlight w:val="none"/>
        </w:rPr>
        <w:t xml:space="preserve">6.1无效投标条款</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6.1.1 </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在规定的时间内未成功解密电子投标文件的</w:t>
      </w:r>
      <w:r>
        <w:rPr>
          <w:rFonts w:hint="eastAsia" w:ascii="黑体" w:hAnsi="黑体" w:eastAsia="黑体" w:cs="黑体"/>
          <w:bCs/>
          <w:color w:val="auto"/>
          <w:sz w:val="24"/>
          <w:szCs w:val="24"/>
          <w:highlight w:val="none"/>
          <w:lang w:eastAsia="zh-CN"/>
        </w:rPr>
        <w:t xml:space="preserve">（</w:t>
      </w:r>
      <w:r>
        <w:rPr>
          <w:rFonts w:hint="eastAsia" w:ascii="黑体" w:hAnsi="黑体" w:eastAsia="黑体" w:cs="黑体"/>
          <w:bCs/>
          <w:color w:val="auto"/>
          <w:sz w:val="24"/>
          <w:szCs w:val="24"/>
          <w:highlight w:val="none"/>
          <w:lang w:val="en-US" w:eastAsia="zh-CN"/>
        </w:rPr>
        <w:t xml:space="preserve">如有</w:t>
      </w:r>
      <w:r>
        <w:rPr>
          <w:rFonts w:hint="eastAsia" w:ascii="黑体" w:hAnsi="黑体" w:eastAsia="黑体" w:cs="黑体"/>
          <w:bCs/>
          <w:color w:val="auto"/>
          <w:sz w:val="24"/>
          <w:szCs w:val="24"/>
          <w:highlight w:val="none"/>
          <w:lang w:eastAsia="zh-CN"/>
        </w:rPr>
        <w:t xml:space="preserve">）</w:t>
      </w:r>
      <w:r>
        <w:rPr>
          <w:rFonts w:hint="eastAsia" w:ascii="黑体" w:hAnsi="黑体" w:eastAsia="黑体" w:cs="黑体"/>
          <w:bCs/>
          <w:color w:val="auto"/>
          <w:sz w:val="24"/>
          <w:szCs w:val="24"/>
          <w:highlight w:val="none"/>
        </w:rPr>
        <w:t xml:space="preserve">。</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6.1.2 </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未按照招标文件要求</w:t>
      </w:r>
      <w:r>
        <w:rPr>
          <w:rFonts w:hint="eastAsia" w:ascii="黑体" w:hAnsi="黑体" w:eastAsia="黑体" w:cs="黑体"/>
          <w:bCs/>
          <w:color w:val="auto"/>
          <w:sz w:val="24"/>
          <w:szCs w:val="24"/>
          <w:highlight w:val="none"/>
          <w:lang w:val="en-US" w:eastAsia="zh-CN"/>
        </w:rPr>
        <w:t xml:space="preserve">递交</w:t>
      </w:r>
      <w:r>
        <w:rPr>
          <w:rFonts w:hint="eastAsia" w:ascii="黑体" w:hAnsi="黑体" w:eastAsia="黑体" w:cs="黑体"/>
          <w:bCs/>
          <w:color w:val="auto"/>
          <w:sz w:val="24"/>
          <w:szCs w:val="24"/>
          <w:highlight w:val="none"/>
        </w:rPr>
        <w:t xml:space="preserve">投标文件的。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6.1.3同一</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提交两个（含两个）以上不同的投标报价的。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6.1.4</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不具备招标文件中规定资格要求的。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6.1.5</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的报价超过了采购预算或最高限价的。</w:t>
      </w:r>
      <w:r/>
    </w:p>
    <w:p>
      <w:pPr>
        <w:ind w:firstLine="480"/>
        <w:jc w:val="left"/>
        <w:keepLines w:val="0"/>
        <w:pageBreakBefore w:val="0"/>
        <w:spacing w:beforeAutospacing="0" w:afterAutospacing="0" w:line="440" w:lineRule="exact"/>
        <w:rPr>
          <w:rFonts w:hint="eastAsia" w:ascii="黑体" w:hAnsi="黑体" w:eastAsia="黑体" w:cs="黑体"/>
          <w:bCs/>
          <w:i/>
          <w:color w:val="auto"/>
          <w:sz w:val="24"/>
          <w:szCs w:val="24"/>
          <w:highlight w:val="none"/>
          <w:u w:val="single"/>
        </w:rPr>
      </w:pPr>
      <w:r>
        <w:rPr>
          <w:rFonts w:hint="eastAsia" w:ascii="黑体" w:hAnsi="黑体" w:eastAsia="黑体" w:cs="黑体"/>
          <w:bCs/>
          <w:color w:val="auto"/>
          <w:sz w:val="24"/>
          <w:szCs w:val="24"/>
          <w:highlight w:val="none"/>
        </w:rPr>
        <w:t xml:space="preserve">6.1.6未通过符合性检查的。</w:t>
      </w:r>
      <w:r/>
    </w:p>
    <w:p>
      <w:pPr>
        <w:ind w:firstLine="480"/>
        <w:jc w:val="left"/>
        <w:keepLines w:val="0"/>
        <w:pageBreakBefore w:val="0"/>
        <w:spacing w:beforeAutospacing="0" w:afterAutospacing="0" w:line="440" w:lineRule="exact"/>
        <w:rPr>
          <w:rFonts w:hint="eastAsia" w:ascii="黑体" w:hAnsi="黑体" w:eastAsia="黑体" w:cs="黑体"/>
          <w:bCs/>
          <w:i/>
          <w:color w:val="auto"/>
          <w:sz w:val="24"/>
          <w:szCs w:val="24"/>
          <w:highlight w:val="none"/>
          <w:u w:val="single"/>
        </w:rPr>
      </w:pPr>
      <w:r>
        <w:rPr>
          <w:rFonts w:hint="eastAsia" w:ascii="黑体" w:hAnsi="黑体" w:eastAsia="黑体" w:cs="黑体"/>
          <w:bCs/>
          <w:color w:val="auto"/>
          <w:sz w:val="24"/>
          <w:szCs w:val="24"/>
          <w:highlight w:val="none"/>
        </w:rPr>
        <w:t xml:space="preserve">6.1.7不符合招标文件中规定的其他实质性要求和条件的。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6.1.8 </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被 “信用中国”网站列入失信被执行人或重大税收违法案件当事人名单或政府采购严重失信行为记录名单。或查询“信用中国”网站后发现</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存在其他不符合《中华人民共和国政府采购法》第二十二条规定条件的信用记录。</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6.1.9 投标文件含有采购人不能接受的附加条件的。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6.1.10评标委员会认为</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的报价明显低于其他通过符合性审查</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的报价，有可能影响产品质量或者不能诚信履约的，将</w:t>
      </w:r>
      <w:r>
        <w:rPr>
          <w:rFonts w:hint="eastAsia" w:ascii="黑体" w:hAnsi="黑体" w:eastAsia="黑体" w:cs="黑体"/>
          <w:bCs/>
          <w:color w:val="auto"/>
          <w:sz w:val="24"/>
          <w:szCs w:val="24"/>
          <w:highlight w:val="none"/>
          <w:lang w:val="en-US" w:eastAsia="zh-CN"/>
        </w:rPr>
        <w:t xml:space="preserve">在开标现场</w:t>
      </w:r>
      <w:r>
        <w:rPr>
          <w:rFonts w:hint="eastAsia" w:ascii="黑体" w:hAnsi="黑体" w:eastAsia="黑体" w:cs="黑体"/>
          <w:bCs/>
          <w:color w:val="auto"/>
          <w:sz w:val="24"/>
          <w:szCs w:val="24"/>
          <w:highlight w:val="none"/>
        </w:rPr>
        <w:t xml:space="preserve">要求其在合理的时间内提供说明，必要时提交相关证明材料；</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不能证明其报价合理性的，评标委员会应当将其作为无效投标处理。</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6.1.11本项目采购产品被财政部、国家发改委、生态环境部等列入“节能产品品目清单”、“环境标志产品品目清单”强制采购范围，而</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975"/>
        <w:ind w:firstLine="480"/>
        <w:jc w:val="left"/>
        <w:keepLines w:val="0"/>
        <w:pageBreakBefore w:val="0"/>
        <w:spacing w:beforeAutospacing="0" w:afterAutospacing="0" w:line="44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6.1.13投标文件未按照招标文件要求加盖电子签章。</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6.1.14不同的</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投标文件制作机器码、文件创建标识码一致的。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6.1.15</w:t>
      </w:r>
      <w:r>
        <w:rPr>
          <w:rFonts w:hint="eastAsia" w:ascii="黑体" w:hAnsi="黑体" w:eastAsia="黑体" w:cs="黑体"/>
          <w:b/>
          <w:bCs/>
          <w:color w:val="auto"/>
          <w:sz w:val="24"/>
          <w:szCs w:val="24"/>
          <w:highlight w:val="none"/>
          <w:lang w:val="en-US" w:eastAsia="zh-CN"/>
        </w:rPr>
        <w:t xml:space="preserve">投标</w:t>
      </w:r>
      <w:r>
        <w:rPr>
          <w:rFonts w:hint="eastAsia" w:ascii="黑体" w:hAnsi="黑体" w:eastAsia="黑体" w:cs="黑体"/>
          <w:b/>
          <w:bCs/>
          <w:color w:val="auto"/>
          <w:sz w:val="24"/>
          <w:szCs w:val="24"/>
          <w:highlight w:val="none"/>
          <w:lang w:val="zh-CN" w:eastAsia="zh-CN"/>
        </w:rPr>
        <w:t xml:space="preserve">文件技术商务分得分低于本</w:t>
      </w:r>
      <w:r>
        <w:rPr>
          <w:rFonts w:hint="eastAsia" w:ascii="黑体" w:hAnsi="黑体" w:eastAsia="黑体" w:cs="黑体"/>
          <w:b/>
          <w:bCs/>
          <w:color w:val="auto"/>
          <w:sz w:val="24"/>
          <w:szCs w:val="24"/>
          <w:highlight w:val="none"/>
          <w:lang w:val="en-US" w:eastAsia="zh-CN"/>
        </w:rPr>
        <w:t xml:space="preserve">招标</w:t>
      </w:r>
      <w:r>
        <w:rPr>
          <w:rFonts w:hint="eastAsia" w:ascii="黑体" w:hAnsi="黑体" w:eastAsia="黑体" w:cs="黑体"/>
          <w:b/>
          <w:bCs/>
          <w:color w:val="auto"/>
          <w:sz w:val="24"/>
          <w:szCs w:val="24"/>
          <w:highlight w:val="none"/>
          <w:lang w:val="zh-CN" w:eastAsia="zh-CN"/>
        </w:rPr>
        <w:t xml:space="preserve">文件技术标评分分值（</w:t>
      </w:r>
      <w:r>
        <w:rPr>
          <w:rFonts w:hint="eastAsia" w:ascii="黑体" w:hAnsi="黑体" w:eastAsia="黑体" w:cs="黑体"/>
          <w:b/>
          <w:bCs/>
          <w:color w:val="auto"/>
          <w:sz w:val="24"/>
          <w:szCs w:val="24"/>
          <w:highlight w:val="none"/>
          <w:lang w:val="en-US" w:eastAsia="zh-CN"/>
        </w:rPr>
        <w:t xml:space="preserve">90</w:t>
      </w:r>
      <w:r>
        <w:rPr>
          <w:rFonts w:hint="eastAsia" w:ascii="黑体" w:hAnsi="黑体" w:eastAsia="黑体" w:cs="黑体"/>
          <w:b/>
          <w:bCs/>
          <w:color w:val="auto"/>
          <w:sz w:val="24"/>
          <w:szCs w:val="24"/>
          <w:highlight w:val="none"/>
          <w:lang w:val="zh-CN" w:eastAsia="zh-CN"/>
        </w:rPr>
        <w:t xml:space="preserve">分）的50%时视为未实质性响应采购文件要求，作为无效投标处理。</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6.1.16其他法律、法规及本招标文件规定的属无效投标的情形。</w:t>
      </w:r>
      <w:r/>
    </w:p>
    <w:p>
      <w:pPr>
        <w:contextualSpacing/>
        <w:ind w:firstLine="48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lang w:val="en-US" w:eastAsia="zh-CN"/>
        </w:rPr>
        <w:t xml:space="preserve">6.</w:t>
      </w:r>
      <w:r>
        <w:rPr>
          <w:rFonts w:hint="eastAsia" w:ascii="黑体" w:hAnsi="黑体" w:eastAsia="黑体" w:cs="黑体"/>
          <w:bCs/>
          <w:color w:val="auto"/>
          <w:sz w:val="24"/>
          <w:szCs w:val="24"/>
          <w:highlight w:val="none"/>
        </w:rPr>
        <w:t xml:space="preserve">1.1</w:t>
      </w:r>
      <w:r>
        <w:rPr>
          <w:rFonts w:hint="eastAsia" w:ascii="黑体" w:hAnsi="黑体" w:eastAsia="黑体" w:cs="黑体"/>
          <w:bCs/>
          <w:color w:val="auto"/>
          <w:sz w:val="24"/>
          <w:szCs w:val="24"/>
          <w:highlight w:val="none"/>
          <w:lang w:val="en-US" w:eastAsia="zh-CN"/>
        </w:rPr>
        <w:t xml:space="preserve">7</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出现以下情形的，将被认定为</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串通投标，其投标无效</w:t>
      </w:r>
      <w:r/>
    </w:p>
    <w:p>
      <w:pPr>
        <w:contextualSpacing/>
        <w:ind w:firstLine="48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（1）不同</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的投标文件由同一单位或者个人编制；</w:t>
      </w:r>
      <w:r/>
    </w:p>
    <w:p>
      <w:pPr>
        <w:contextualSpacing/>
        <w:ind w:firstLine="48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（2）不同</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委托同一单位或者个人办理投标事宜；</w:t>
      </w:r>
      <w:r/>
    </w:p>
    <w:p>
      <w:pPr>
        <w:contextualSpacing/>
        <w:ind w:firstLine="48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（3）不同</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的投标文件载明的项目管理成员或者联系人员为同一人；</w:t>
      </w:r>
      <w:r/>
    </w:p>
    <w:p>
      <w:pPr>
        <w:contextualSpacing/>
        <w:ind w:firstLine="48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（4）不同</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的投标文件异常一致或者投标报价呈规律性差异；</w:t>
      </w:r>
      <w:r/>
    </w:p>
    <w:p>
      <w:pPr>
        <w:contextualSpacing/>
        <w:ind w:firstLine="48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（5）不同</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的投标文件相互混装；</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6.2废标条款：</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6.2.1符合专业条件的供应商或者对招标文件作实质响应的供应商不足三家的。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6.2.2出现影响采购公正的违法、违规行为的。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6.2.3因重大变故，采购任务取消的。</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6.2.4评标委员会认定招标文件存在歧义、重大缺陷导致评审工作无法进行。</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6.2.5 因系统故障原因造成开标不成功的</w:t>
      </w:r>
      <w:r>
        <w:rPr>
          <w:rFonts w:hint="eastAsia" w:ascii="黑体" w:hAnsi="黑体" w:eastAsia="黑体" w:cs="黑体"/>
          <w:bCs/>
          <w:color w:val="auto"/>
          <w:sz w:val="24"/>
          <w:szCs w:val="24"/>
          <w:highlight w:val="none"/>
          <w:lang w:eastAsia="zh-CN"/>
        </w:rPr>
        <w:t xml:space="preserve">（</w:t>
      </w:r>
      <w:r>
        <w:rPr>
          <w:rFonts w:hint="eastAsia" w:ascii="黑体" w:hAnsi="黑体" w:eastAsia="黑体" w:cs="黑体"/>
          <w:bCs/>
          <w:color w:val="auto"/>
          <w:sz w:val="24"/>
          <w:szCs w:val="24"/>
          <w:highlight w:val="none"/>
          <w:lang w:val="en-US" w:eastAsia="zh-CN"/>
        </w:rPr>
        <w:t xml:space="preserve">如有</w:t>
      </w:r>
      <w:r>
        <w:rPr>
          <w:rFonts w:hint="eastAsia" w:ascii="黑体" w:hAnsi="黑体" w:eastAsia="黑体" w:cs="黑体"/>
          <w:bCs/>
          <w:color w:val="auto"/>
          <w:sz w:val="24"/>
          <w:szCs w:val="24"/>
          <w:highlight w:val="none"/>
          <w:lang w:eastAsia="zh-CN"/>
        </w:rPr>
        <w:t xml:space="preserve">）</w:t>
      </w:r>
      <w:r>
        <w:rPr>
          <w:rFonts w:hint="eastAsia" w:ascii="黑体" w:hAnsi="黑体" w:eastAsia="黑体" w:cs="黑体"/>
          <w:bCs/>
          <w:color w:val="auto"/>
          <w:sz w:val="24"/>
          <w:szCs w:val="24"/>
          <w:highlight w:val="none"/>
        </w:rPr>
        <w:t xml:space="preserve">。</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6.3 投标截止时间结束后参加投标的供应商不足三家的处理：</w:t>
      </w:r>
      <w:r/>
    </w:p>
    <w:p>
      <w:pPr>
        <w:ind w:firstLine="480"/>
        <w:jc w:val="left"/>
        <w:keepLines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6.3.1如出现投标截止时间结束后参加投标的供应商或者在评标期间对招标文件做出实质响应的供应商不足三家情况，按政府采购相关规定执行。</w:t>
      </w:r>
      <w:bookmarkEnd w:id="19"/>
      <w:r/>
      <w:bookmarkEnd w:id="20"/>
      <w:r/>
      <w:bookmarkEnd w:id="21"/>
      <w:r/>
      <w:r/>
    </w:p>
    <w:p>
      <w:pPr>
        <w:pStyle w:val="945"/>
        <w:jc w:val="left"/>
        <w:keepLines w:val="0"/>
        <w:pageBreakBefore w:val="0"/>
        <w:spacing w:before="0" w:beforeAutospacing="0" w:after="0" w:afterAutospacing="0" w:line="440" w:lineRule="exact"/>
        <w:widowControl/>
        <w:rPr>
          <w:rFonts w:hint="eastAsia"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en-US" w:eastAsia="zh-CN"/>
        </w:rPr>
        <w:t xml:space="preserve">七</w:t>
      </w:r>
      <w:r>
        <w:rPr>
          <w:rFonts w:hint="eastAsia" w:ascii="黑体" w:hAnsi="黑体" w:eastAsia="黑体" w:cs="黑体"/>
          <w:b/>
          <w:bCs/>
          <w:color w:val="auto"/>
          <w:sz w:val="24"/>
          <w:szCs w:val="24"/>
          <w:highlight w:val="none"/>
          <w:lang w:val="zh-CN" w:eastAsia="zh-CN"/>
        </w:rPr>
        <w:t xml:space="preserve">、评标方法</w:t>
      </w:r>
      <w:r/>
    </w:p>
    <w:p>
      <w:pPr>
        <w:pStyle w:val="945"/>
        <w:ind w:left="0" w:firstLine="480"/>
        <w:jc w:val="left"/>
        <w:keepLines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采用综合评分法。分资格审查、商务技术标、价格标三部分评审，总分值为100分，加分和减分因素除外。</w:t>
      </w:r>
      <w:r/>
    </w:p>
    <w:p>
      <w:pPr>
        <w:pStyle w:val="945"/>
        <w:ind w:left="0" w:firstLine="480"/>
        <w:jc w:val="left"/>
        <w:keepLines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首先由采购人评审投标供应商资格性、符合性，对合格的投标供应商由评委会评审商务技术标，待商务技术标评审结束后，再开启价格标。</w:t>
      </w:r>
      <w:r/>
    </w:p>
    <w:p>
      <w:pPr>
        <w:pStyle w:val="945"/>
        <w:ind w:left="0" w:firstLine="480"/>
        <w:jc w:val="left"/>
        <w:keepLines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评委在认真审阅投标文件的基础上，根据各投标文件的商务、技术部分的响应情况，对各评分项目进行评分，不得统一打分。</w:t>
      </w:r>
      <w:r/>
    </w:p>
    <w:p>
      <w:pPr>
        <w:ind w:left="0" w:right="0" w:firstLine="482"/>
        <w:jc w:val="left"/>
        <w:keepLines w:val="0"/>
        <w:keepNext w:val="0"/>
        <w:pageBreakBefore w:val="0"/>
        <w:spacing w:beforeAutospacing="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br w:type="page" w:clear="all"/>
      </w:r>
      <w:r>
        <w:rPr>
          <w:rFonts w:hint="eastAsia" w:ascii="黑体" w:hAnsi="黑体" w:eastAsia="黑体" w:cs="黑体"/>
          <w:b/>
          <w:bCs w:val="0"/>
          <w:color w:val="auto"/>
          <w:sz w:val="24"/>
          <w:szCs w:val="24"/>
          <w:highlight w:val="none"/>
          <w:lang w:val="en-US" w:eastAsia="zh-CN" w:bidi="ar"/>
        </w:rPr>
        <w:t xml:space="preserve">（一）采购人对供应商资格进行审查。</w:t>
      </w:r>
      <w:r/>
    </w:p>
    <w:tbl>
      <w:tblPr>
        <w:tblStyle w:val="8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6117"/>
      </w:tblGrid>
      <w:tr>
        <w:trPr>
          <w:trHeight w:val="1053"/>
        </w:trPr>
        <w:tc>
          <w:tcPr>
            <w:tcBorders>
              <w:top w:val="single" w:color="auto" w:sz="4" w:space="0"/>
              <w:left w:val="single" w:color="auto" w:sz="4" w:space="0"/>
              <w:bottom w:val="single" w:color="auto" w:sz="4" w:space="0"/>
              <w:right w:val="single" w:color="auto" w:sz="4" w:space="0"/>
            </w:tcBorders>
            <w:tcW w:w="141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rPr>
              <w:suppressLineNumbers w:val="0"/>
            </w:pPr>
            <w:r>
              <w:rPr>
                <w:rFonts w:hint="eastAsia" w:ascii="黑体" w:hAnsi="黑体" w:eastAsia="黑体" w:cs="黑体"/>
                <w:color w:val="auto"/>
                <w:sz w:val="21"/>
                <w:szCs w:val="21"/>
                <w:highlight w:val="none"/>
                <w:shd w:val="clear" w:color="auto" w:fill="auto"/>
              </w:rPr>
              <w:t xml:space="preserve">法定代表人身份证明书、授权委托书</w:t>
            </w:r>
            <w:r/>
          </w:p>
        </w:tc>
        <w:tc>
          <w:tcPr>
            <w:tcBorders>
              <w:top w:val="single" w:color="auto" w:sz="4" w:space="0"/>
              <w:left w:val="single" w:color="auto" w:sz="4" w:space="0"/>
              <w:bottom w:val="single" w:color="auto" w:sz="4" w:space="0"/>
              <w:right w:val="single" w:color="auto" w:sz="4" w:space="0"/>
            </w:tcBorders>
            <w:tcW w:w="3588" w:type="pct"/>
            <w:vAlign w:val="top"/>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rPr>
              <w:suppressLineNumbers w:val="0"/>
            </w:pPr>
            <w:r>
              <w:rPr>
                <w:rFonts w:hint="eastAsia" w:ascii="黑体" w:hAnsi="黑体" w:eastAsia="黑体" w:cs="黑体"/>
                <w:color w:val="auto"/>
                <w:sz w:val="21"/>
                <w:szCs w:val="21"/>
                <w:highlight w:val="none"/>
                <w:shd w:val="clear" w:color="auto" w:fill="auto"/>
              </w:rPr>
              <w:t xml:space="preserve">法定代表人参加投标的，必须提供法人身份证明原件及本人身份证原件扫描件；非法定代表人参加的，必须提供法定代表人签名或盖章的授权委托书原件及被委托授权人身份证原件扫描件和法定代表人的身份证原件扫描件；（按招标文件后附格式）。</w:t>
            </w:r>
            <w:r/>
          </w:p>
        </w:tc>
      </w:tr>
      <w:tr>
        <w:trPr>
          <w:trHeight w:val="685"/>
        </w:trPr>
        <w:tc>
          <w:tcPr>
            <w:tcBorders>
              <w:top w:val="single" w:color="auto" w:sz="4" w:space="0"/>
              <w:left w:val="single" w:color="auto" w:sz="4" w:space="0"/>
              <w:bottom w:val="single" w:color="auto" w:sz="4" w:space="0"/>
              <w:right w:val="single" w:color="auto" w:sz="4" w:space="0"/>
            </w:tcBorders>
            <w:tcW w:w="141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rPr>
              <w:suppressLineNumbers w:val="0"/>
            </w:pPr>
            <w:r>
              <w:rPr>
                <w:rFonts w:hint="eastAsia" w:ascii="黑体" w:hAnsi="黑体" w:eastAsia="黑体" w:cs="黑体"/>
                <w:color w:val="auto"/>
                <w:sz w:val="21"/>
                <w:szCs w:val="21"/>
                <w:highlight w:val="none"/>
                <w:shd w:val="clear" w:color="auto" w:fill="auto"/>
              </w:rPr>
              <w:t xml:space="preserve">具有独立承担民事责任的能力</w:t>
            </w:r>
            <w:r/>
          </w:p>
        </w:tc>
        <w:tc>
          <w:tcPr>
            <w:tcBorders>
              <w:top w:val="single" w:color="auto" w:sz="4" w:space="0"/>
              <w:left w:val="single" w:color="auto" w:sz="4" w:space="0"/>
              <w:bottom w:val="single" w:color="auto" w:sz="4" w:space="0"/>
              <w:right w:val="single" w:color="auto" w:sz="4" w:space="0"/>
            </w:tcBorders>
            <w:tcW w:w="3588"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rPr>
              <w:suppressLineNumbers w:val="0"/>
            </w:pPr>
            <w:r>
              <w:rPr>
                <w:rFonts w:hint="eastAsia" w:ascii="黑体" w:hAnsi="黑体" w:eastAsia="黑体" w:cs="黑体"/>
                <w:color w:val="auto"/>
                <w:sz w:val="21"/>
                <w:szCs w:val="21"/>
                <w:highlight w:val="none"/>
                <w:shd w:val="clear" w:color="auto" w:fill="auto"/>
              </w:rPr>
              <w:t xml:space="preserve">法人或者其他组织的营业执照等证明文件，自然人的身份证明；</w:t>
            </w:r>
            <w:r/>
          </w:p>
        </w:tc>
      </w:tr>
      <w:tr>
        <w:trPr>
          <w:trHeight w:val="938"/>
        </w:trPr>
        <w:tc>
          <w:tcPr>
            <w:tcBorders>
              <w:top w:val="single" w:color="auto" w:sz="4" w:space="0"/>
              <w:left w:val="single" w:color="auto" w:sz="4" w:space="0"/>
              <w:bottom w:val="single" w:color="auto" w:sz="4" w:space="0"/>
              <w:right w:val="single" w:color="auto" w:sz="4" w:space="0"/>
            </w:tcBorders>
            <w:tcW w:w="141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rPr>
              <w:suppressLineNumbers w:val="0"/>
            </w:pPr>
            <w:r>
              <w:rPr>
                <w:rFonts w:hint="eastAsia" w:ascii="黑体" w:hAnsi="黑体" w:eastAsia="黑体" w:cs="黑体"/>
                <w:color w:val="auto"/>
                <w:sz w:val="21"/>
                <w:szCs w:val="21"/>
                <w:highlight w:val="none"/>
                <w:shd w:val="clear" w:color="auto" w:fill="auto"/>
              </w:rPr>
              <w:t xml:space="preserve">声明函</w:t>
            </w:r>
            <w:r/>
          </w:p>
        </w:tc>
        <w:tc>
          <w:tcPr>
            <w:tcBorders>
              <w:top w:val="single" w:color="auto" w:sz="4" w:space="0"/>
              <w:left w:val="single" w:color="auto" w:sz="4" w:space="0"/>
              <w:bottom w:val="single" w:color="auto" w:sz="4" w:space="0"/>
              <w:right w:val="single" w:color="auto" w:sz="4" w:space="0"/>
            </w:tcBorders>
            <w:tcW w:w="3588" w:type="pct"/>
            <w:vAlign w:val="top"/>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rPr>
              <w:suppressLineNumbers w:val="0"/>
            </w:pPr>
            <w:r>
              <w:rPr>
                <w:rFonts w:hint="eastAsia" w:ascii="黑体" w:hAnsi="黑体" w:eastAsia="黑体" w:cs="黑体"/>
                <w:color w:val="auto"/>
                <w:sz w:val="21"/>
                <w:szCs w:val="21"/>
                <w:highlight w:val="none"/>
                <w:shd w:val="clear" w:color="auto" w:fill="auto"/>
                <w:lang w:eastAsia="zh-CN"/>
              </w:rPr>
              <w:t xml:space="preserve">供应商</w:t>
            </w:r>
            <w:r>
              <w:rPr>
                <w:rFonts w:hint="eastAsia" w:ascii="黑体" w:hAnsi="黑体" w:eastAsia="黑体" w:cs="黑体"/>
                <w:color w:val="auto"/>
                <w:sz w:val="21"/>
                <w:szCs w:val="21"/>
                <w:highlight w:val="none"/>
                <w:shd w:val="clear" w:color="auto" w:fill="auto"/>
              </w:rPr>
              <w:t xml:space="preserve">符合《政府采购法》第二十二条规定条件的声明函（按招标文件后附格式）。</w:t>
            </w:r>
            <w:r/>
          </w:p>
        </w:tc>
      </w:tr>
      <w:tr>
        <w:trPr>
          <w:trHeight w:val="938"/>
        </w:trPr>
        <w:tc>
          <w:tcPr>
            <w:tcBorders>
              <w:top w:val="single" w:color="auto" w:sz="4" w:space="0"/>
              <w:left w:val="single" w:color="auto" w:sz="4" w:space="0"/>
              <w:bottom w:val="single" w:color="auto" w:sz="4" w:space="0"/>
              <w:right w:val="single" w:color="auto" w:sz="4" w:space="0"/>
            </w:tcBorders>
            <w:tcW w:w="141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en-US" w:eastAsia="zh-CN" w:bidi="ar-SA"/>
              </w:rPr>
              <w:suppressLineNumbers w:val="0"/>
            </w:pPr>
            <w:r>
              <w:rPr>
                <w:rFonts w:hint="eastAsia" w:ascii="黑体" w:hAnsi="黑体" w:eastAsia="黑体" w:cs="黑体"/>
                <w:color w:val="auto"/>
                <w:sz w:val="21"/>
                <w:szCs w:val="21"/>
                <w:highlight w:val="none"/>
                <w:lang w:val="en-US" w:eastAsia="zh-CN"/>
              </w:rPr>
              <w:t xml:space="preserve">中小企业声明函</w:t>
            </w:r>
            <w:r/>
          </w:p>
        </w:tc>
        <w:tc>
          <w:tcPr>
            <w:tcBorders>
              <w:top w:val="single" w:color="auto" w:sz="4" w:space="0"/>
              <w:left w:val="single" w:color="auto" w:sz="4" w:space="0"/>
              <w:bottom w:val="single" w:color="auto" w:sz="4" w:space="0"/>
              <w:right w:val="single" w:color="auto" w:sz="4" w:space="0"/>
            </w:tcBorders>
            <w:tcW w:w="3588"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黑体" w:hAnsi="黑体" w:eastAsia="黑体" w:cs="黑体"/>
                <w:color w:val="auto"/>
                <w:sz w:val="21"/>
                <w:szCs w:val="21"/>
                <w:highlight w:val="none"/>
              </w:rPr>
              <w:t xml:space="preserve">本项目为专门面向中小微企业采购项目（须按照财库〔2020〕46号文要求提供中小企业声明函，格式见附件）。</w:t>
            </w:r>
            <w:r/>
          </w:p>
        </w:tc>
      </w:tr>
      <w:tr>
        <w:trPr>
          <w:trHeight w:val="3045"/>
        </w:trPr>
        <w:tc>
          <w:tcPr>
            <w:tcBorders>
              <w:top w:val="single" w:color="auto" w:sz="4" w:space="0"/>
              <w:left w:val="single" w:color="auto" w:sz="4" w:space="0"/>
              <w:bottom w:val="single" w:color="auto" w:sz="4" w:space="0"/>
              <w:right w:val="single" w:color="auto" w:sz="4" w:space="0"/>
            </w:tcBorders>
            <w:tcW w:w="141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rPr>
              <w:suppressLineNumbers w:val="0"/>
            </w:pPr>
            <w:r>
              <w:rPr>
                <w:rFonts w:hint="eastAsia" w:ascii="黑体" w:hAnsi="黑体" w:eastAsia="黑体" w:cs="黑体"/>
                <w:color w:val="auto"/>
                <w:sz w:val="21"/>
                <w:szCs w:val="21"/>
                <w:highlight w:val="none"/>
                <w:shd w:val="clear" w:color="auto" w:fill="auto"/>
                <w:lang w:eastAsia="zh-CN"/>
              </w:rPr>
              <w:t xml:space="preserve">供应商</w:t>
            </w:r>
            <w:r>
              <w:rPr>
                <w:rFonts w:hint="eastAsia" w:ascii="黑体" w:hAnsi="黑体" w:eastAsia="黑体" w:cs="黑体"/>
                <w:color w:val="auto"/>
                <w:sz w:val="21"/>
                <w:szCs w:val="21"/>
                <w:highlight w:val="none"/>
                <w:shd w:val="clear" w:color="auto" w:fill="auto"/>
              </w:rPr>
              <w:t xml:space="preserve">未列入失信被执行人或重大税收违法案件当事人名单或政府采购严重失信行为记录名单的证明材料</w:t>
            </w:r>
            <w:r/>
          </w:p>
        </w:tc>
        <w:tc>
          <w:tcPr>
            <w:tcBorders>
              <w:top w:val="single" w:color="auto" w:sz="4" w:space="0"/>
              <w:left w:val="single" w:color="auto" w:sz="4" w:space="0"/>
              <w:bottom w:val="single" w:color="auto" w:sz="4" w:space="0"/>
              <w:right w:val="single" w:color="auto" w:sz="4" w:space="0"/>
            </w:tcBorders>
            <w:tcW w:w="3588"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rPr>
              <w:suppressLineNumbers w:val="0"/>
            </w:pPr>
            <w:r>
              <w:rPr>
                <w:rFonts w:hint="eastAsia" w:ascii="黑体" w:hAnsi="黑体" w:eastAsia="黑体" w:cs="黑体"/>
                <w:color w:val="auto"/>
                <w:sz w:val="21"/>
                <w:szCs w:val="21"/>
                <w:highlight w:val="none"/>
                <w:shd w:val="clear" w:color="auto" w:fill="auto"/>
                <w:lang w:eastAsia="zh-CN"/>
              </w:rPr>
              <w:t xml:space="preserve">供应商</w:t>
            </w:r>
            <w:r>
              <w:rPr>
                <w:rFonts w:hint="eastAsia" w:ascii="黑体" w:hAnsi="黑体" w:eastAsia="黑体" w:cs="黑体"/>
                <w:color w:val="auto"/>
                <w:sz w:val="21"/>
                <w:szCs w:val="21"/>
                <w:highlight w:val="none"/>
                <w:shd w:val="clear" w:color="auto" w:fill="auto"/>
              </w:rPr>
              <w:t xml:space="preserve">未被“信用中国”网站、中国政府采购网、国家企业信用信息公示系统列入失信被执行人、重大税收违法案件当事人名单、政府采购严重违法失信行为记录名单、异常经营名录、严重违法失信企业名单；为确保国企采购守法</w:t>
            </w:r>
            <w:r>
              <w:rPr>
                <w:rFonts w:hint="eastAsia" w:ascii="黑体" w:hAnsi="黑体" w:eastAsia="黑体" w:cs="黑体"/>
                <w:color w:val="auto"/>
                <w:sz w:val="21"/>
                <w:szCs w:val="21"/>
                <w:highlight w:val="none"/>
                <w:shd w:val="clear" w:color="auto" w:fill="auto"/>
                <w:lang w:eastAsia="zh-CN"/>
              </w:rPr>
              <w:t xml:space="preserve">供应商</w:t>
            </w:r>
            <w:r>
              <w:rPr>
                <w:rFonts w:hint="eastAsia" w:ascii="黑体" w:hAnsi="黑体" w:eastAsia="黑体" w:cs="黑体"/>
                <w:color w:val="auto"/>
                <w:sz w:val="21"/>
                <w:szCs w:val="21"/>
                <w:highlight w:val="none"/>
                <w:shd w:val="clear" w:color="auto" w:fill="auto"/>
              </w:rPr>
              <w:t xml:space="preserve">公平参加国企采购活动，采购代理机构将在开标开始后一个小时内，通过“信用中国”网站和中国政府采购网和国家企业信用信息公示系统对</w:t>
            </w:r>
            <w:r>
              <w:rPr>
                <w:rFonts w:hint="eastAsia" w:ascii="黑体" w:hAnsi="黑体" w:eastAsia="黑体" w:cs="黑体"/>
                <w:color w:val="auto"/>
                <w:sz w:val="21"/>
                <w:szCs w:val="21"/>
                <w:highlight w:val="none"/>
                <w:shd w:val="clear" w:color="auto" w:fill="auto"/>
                <w:lang w:eastAsia="zh-CN"/>
              </w:rPr>
              <w:t xml:space="preserve">供应商</w:t>
            </w:r>
            <w:r>
              <w:rPr>
                <w:rFonts w:hint="eastAsia" w:ascii="黑体" w:hAnsi="黑体" w:eastAsia="黑体" w:cs="黑体"/>
                <w:color w:val="auto"/>
                <w:sz w:val="21"/>
                <w:szCs w:val="21"/>
                <w:highlight w:val="none"/>
                <w:shd w:val="clear" w:color="auto" w:fill="auto"/>
              </w:rPr>
              <w:t xml:space="preserve">信用信息进行查询查证，并将查询记录截屏打印保存在采购档案内。如核实未通过，经评标小组确认后资格审查不予通过。</w:t>
            </w:r>
            <w:r/>
          </w:p>
        </w:tc>
      </w:tr>
      <w:tr>
        <w:trPr>
          <w:trHeight w:val="695"/>
        </w:trPr>
        <w:tc>
          <w:tcPr>
            <w:tcBorders>
              <w:top w:val="single" w:color="auto" w:sz="4" w:space="0"/>
              <w:left w:val="single" w:color="auto" w:sz="4" w:space="0"/>
              <w:bottom w:val="single" w:color="auto" w:sz="4" w:space="0"/>
              <w:right w:val="single" w:color="auto" w:sz="4" w:space="0"/>
            </w:tcBorders>
            <w:tcW w:w="141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lang w:val="en-US" w:eastAsia="zh-CN"/>
              </w:rPr>
              <w:suppressLineNumbers w:val="0"/>
            </w:pPr>
            <w:r>
              <w:rPr>
                <w:rFonts w:hint="eastAsia" w:ascii="黑体" w:hAnsi="黑体" w:eastAsia="黑体" w:cs="黑体"/>
                <w:color w:val="auto"/>
                <w:sz w:val="21"/>
                <w:szCs w:val="21"/>
                <w:highlight w:val="none"/>
                <w:shd w:val="clear" w:color="auto" w:fill="auto"/>
                <w:lang w:val="en-US" w:eastAsia="zh-CN"/>
              </w:rPr>
              <w:t xml:space="preserve">供应商信用承诺书</w:t>
            </w:r>
            <w:r/>
          </w:p>
        </w:tc>
        <w:tc>
          <w:tcPr>
            <w:tcBorders>
              <w:top w:val="single" w:color="auto" w:sz="4" w:space="0"/>
              <w:left w:val="single" w:color="auto" w:sz="4" w:space="0"/>
              <w:bottom w:val="single" w:color="auto" w:sz="4" w:space="0"/>
              <w:right w:val="single" w:color="auto" w:sz="4" w:space="0"/>
            </w:tcBorders>
            <w:tcW w:w="3588" w:type="pct"/>
            <w:vAlign w:val="center"/>
            <w:textDirection w:val="lrTb"/>
            <w:noWrap w:val="false"/>
          </w:tcPr>
          <w:p>
            <w:pPr>
              <w:pStyle w:val="929"/>
              <w:ind w:firstLine="0"/>
              <w:jc w:val="left"/>
              <w:pageBreakBefore w:val="0"/>
              <w:spacing w:line="440" w:lineRule="exact"/>
              <w:rPr>
                <w:rFonts w:hint="eastAsia" w:ascii="黑体" w:hAnsi="黑体" w:eastAsia="黑体" w:cs="黑体"/>
                <w:color w:val="auto"/>
                <w:sz w:val="21"/>
                <w:szCs w:val="21"/>
                <w:highlight w:val="none"/>
                <w:shd w:val="clear" w:color="auto" w:fill="auto"/>
              </w:rPr>
            </w:pPr>
            <w:r>
              <w:rPr>
                <w:rFonts w:hint="eastAsia" w:ascii="黑体" w:hAnsi="黑体" w:eastAsia="黑体" w:cs="黑体"/>
                <w:color w:val="auto"/>
                <w:sz w:val="21"/>
                <w:szCs w:val="21"/>
                <w:highlight w:val="none"/>
                <w:shd w:val="clear" w:color="auto" w:fill="auto"/>
                <w:lang w:val="en-US" w:eastAsia="zh-CN"/>
              </w:rPr>
              <w:t xml:space="preserve">供应商信用承诺书</w:t>
            </w:r>
            <w:r>
              <w:rPr>
                <w:rFonts w:hint="eastAsia" w:ascii="黑体" w:hAnsi="黑体" w:eastAsia="黑体" w:cs="黑体"/>
                <w:color w:val="auto"/>
                <w:sz w:val="21"/>
                <w:szCs w:val="21"/>
                <w:highlight w:val="none"/>
                <w:shd w:val="clear" w:color="auto" w:fill="auto"/>
              </w:rPr>
              <w:t xml:space="preserve">（按招标文件后附格式）。</w:t>
            </w:r>
            <w:r/>
          </w:p>
        </w:tc>
      </w:tr>
      <w:tr>
        <w:trPr>
          <w:trHeight w:val="695"/>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shd w:val="clear" w:color="auto" w:fill="auto"/>
                <w:lang w:val="en-US" w:eastAsia="zh-CN"/>
              </w:rPr>
              <w:suppressLineNumbers w:val="0"/>
            </w:pPr>
            <w:r>
              <w:rPr>
                <w:rFonts w:hint="eastAsia" w:ascii="黑体" w:hAnsi="黑体" w:eastAsia="黑体" w:cs="黑体"/>
                <w:b/>
                <w:bCs/>
                <w:color w:val="auto"/>
                <w:sz w:val="21"/>
                <w:szCs w:val="21"/>
                <w:highlight w:val="none"/>
              </w:rPr>
              <w:t xml:space="preserve">上述资格评审标准的纸质递交资料需提供清晰的原件</w:t>
            </w:r>
            <w:r>
              <w:rPr>
                <w:rFonts w:hint="eastAsia" w:ascii="黑体" w:hAnsi="黑体" w:eastAsia="黑体" w:cs="黑体"/>
                <w:b/>
                <w:bCs/>
                <w:color w:val="auto"/>
                <w:sz w:val="21"/>
                <w:szCs w:val="21"/>
                <w:highlight w:val="none"/>
                <w:lang w:eastAsia="zh-CN"/>
              </w:rPr>
              <w:t xml:space="preserve">原件扫描件</w:t>
            </w:r>
            <w:r>
              <w:rPr>
                <w:rFonts w:hint="eastAsia" w:ascii="黑体" w:hAnsi="黑体" w:eastAsia="黑体" w:cs="黑体"/>
                <w:b/>
                <w:bCs/>
                <w:color w:val="auto"/>
                <w:sz w:val="21"/>
                <w:szCs w:val="21"/>
                <w:highlight w:val="none"/>
              </w:rPr>
              <w:t xml:space="preserve">并加盖单位公章；以上资格评审标准评审标等相关内容不清晰或资料不全的，由此引起的后果由供应商自负。</w:t>
            </w:r>
            <w:r/>
          </w:p>
        </w:tc>
      </w:tr>
    </w:tbl>
    <w:p>
      <w:pPr>
        <w:numPr>
          <w:ilvl w:val="0"/>
          <w:numId w:val="0"/>
        </w:numPr>
        <w:ind w:right="0"/>
        <w:jc w:val="left"/>
        <w:keepLines w:val="0"/>
        <w:keepNext w:val="0"/>
        <w:pageBreakBefore w:val="0"/>
        <w:spacing w:beforeAutospacing="0" w:afterAutospacing="0" w:line="440" w:lineRule="exact"/>
        <w:widowControl w:val="off"/>
        <w:rPr>
          <w:rFonts w:hint="eastAsia" w:ascii="黑体" w:hAnsi="黑体" w:eastAsia="黑体" w:cs="黑体"/>
          <w:b/>
          <w:bCs w:val="0"/>
          <w:color w:val="auto"/>
          <w:sz w:val="24"/>
          <w:szCs w:val="24"/>
          <w:highlight w:val="none"/>
          <w:lang w:val="en-US" w:eastAsia="zh-CN" w:bidi="ar"/>
        </w:rPr>
        <w:suppressLineNumbers w:val="0"/>
      </w:pPr>
      <w:r>
        <w:rPr>
          <w:rFonts w:hint="eastAsia" w:ascii="黑体" w:hAnsi="黑体" w:eastAsia="黑体" w:cs="黑体"/>
          <w:b/>
          <w:bCs w:val="0"/>
          <w:color w:val="auto"/>
          <w:sz w:val="24"/>
          <w:szCs w:val="24"/>
          <w:highlight w:val="none"/>
          <w:lang w:val="en-US" w:eastAsia="zh-CN" w:bidi="ar"/>
        </w:rPr>
        <w:t xml:space="preserve">（二）评标委员会对符合资格供应商的投标文件进行符合性审查。</w:t>
      </w:r>
      <w:r/>
    </w:p>
    <w:p>
      <w:pPr>
        <w:numPr>
          <w:ilvl w:val="0"/>
          <w:numId w:val="0"/>
        </w:numPr>
        <w:ind w:firstLine="1446"/>
        <w:jc w:val="left"/>
        <w:keepLines w:val="0"/>
        <w:keepNext w:val="0"/>
        <w:pageBreakBefore w:val="0"/>
        <w:spacing w:line="440" w:lineRule="exact"/>
        <w:widowControl w:val="off"/>
        <w:rPr>
          <w:rFonts w:hint="eastAsia" w:ascii="黑体" w:hAnsi="黑体" w:eastAsia="黑体" w:cs="黑体"/>
          <w:b/>
          <w:bCs w:val="0"/>
          <w:color w:val="auto"/>
          <w:sz w:val="24"/>
          <w:szCs w:val="24"/>
          <w:highlight w:val="none"/>
          <w:lang w:val="en-US" w:eastAsia="en-US"/>
        </w:rPr>
      </w:pPr>
      <w:r>
        <w:rPr>
          <w:rFonts w:hint="eastAsia" w:ascii="黑体" w:hAnsi="黑体" w:eastAsia="黑体" w:cs="黑体"/>
          <w:b/>
          <w:bCs w:val="0"/>
          <w:color w:val="auto"/>
          <w:sz w:val="24"/>
          <w:szCs w:val="24"/>
          <w:highlight w:val="none"/>
          <w:lang w:val="en-US" w:eastAsia="en-US"/>
        </w:rPr>
        <w:t xml:space="preserve">符合性审查要求</w:t>
      </w:r>
      <w:r/>
    </w:p>
    <w:tbl>
      <w:tblPr>
        <w:tblStyle w:val="872"/>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2"/>
      </w:tblGrid>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zh-CN"/>
              </w:rPr>
              <w:suppressLineNumbers w:val="0"/>
            </w:pPr>
            <w:r>
              <w:rPr>
                <w:rFonts w:hint="eastAsia" w:ascii="黑体" w:hAnsi="黑体" w:eastAsia="黑体" w:cs="黑体"/>
                <w:color w:val="auto"/>
                <w:sz w:val="21"/>
                <w:szCs w:val="21"/>
                <w:highlight w:val="none"/>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zh-CN"/>
              </w:rPr>
              <w:suppressLineNumbers w:val="0"/>
            </w:pPr>
            <w:r>
              <w:rPr>
                <w:rFonts w:hint="eastAsia" w:ascii="黑体" w:hAnsi="黑体" w:eastAsia="黑体" w:cs="黑体"/>
                <w:b/>
                <w:bCs/>
                <w:color w:val="auto"/>
                <w:sz w:val="21"/>
                <w:szCs w:val="21"/>
                <w:highlight w:val="none"/>
                <w:lang w:val="zh-CN"/>
              </w:rPr>
              <w:t xml:space="preserve">满足《</w:t>
            </w:r>
            <w:r>
              <w:rPr>
                <w:rFonts w:hint="eastAsia" w:ascii="黑体" w:hAnsi="黑体" w:eastAsia="黑体" w:cs="黑体"/>
                <w:b/>
                <w:bCs/>
                <w:color w:val="auto"/>
                <w:sz w:val="21"/>
                <w:szCs w:val="21"/>
                <w:highlight w:val="none"/>
                <w:lang w:val="en-US" w:eastAsia="zh-CN"/>
              </w:rPr>
              <w:t xml:space="preserve">招标</w:t>
            </w:r>
            <w:r>
              <w:rPr>
                <w:rFonts w:hint="eastAsia" w:ascii="黑体" w:hAnsi="黑体" w:eastAsia="黑体" w:cs="黑体"/>
                <w:b/>
                <w:bCs/>
                <w:color w:val="auto"/>
                <w:sz w:val="21"/>
                <w:szCs w:val="21"/>
                <w:highlight w:val="none"/>
                <w:lang w:val="zh-CN"/>
              </w:rPr>
              <w:t xml:space="preserve">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rPr>
              <w:suppressLineNumbers w:val="0"/>
            </w:pPr>
            <w:r>
              <w:rPr>
                <w:rFonts w:hint="eastAsia" w:ascii="黑体" w:hAnsi="黑体" w:eastAsia="黑体" w:cs="黑体"/>
                <w:b/>
                <w:bCs/>
                <w:color w:val="auto"/>
                <w:sz w:val="21"/>
                <w:szCs w:val="21"/>
                <w:highlight w:val="none"/>
                <w:lang w:val="zh-CN"/>
              </w:rPr>
              <w:t xml:space="preserve">按《竞争性磋商文件》要求</w:t>
            </w:r>
            <w:r>
              <w:rPr>
                <w:rFonts w:hint="eastAsia" w:ascii="黑体" w:hAnsi="黑体" w:eastAsia="黑体" w:cs="黑体"/>
                <w:b/>
                <w:bCs/>
                <w:color w:val="auto"/>
                <w:sz w:val="21"/>
                <w:szCs w:val="21"/>
                <w:highlight w:val="none"/>
              </w:rPr>
              <w:t xml:space="preserve">提供承诺书</w:t>
            </w:r>
            <w:r>
              <w:rPr>
                <w:rFonts w:hint="eastAsia" w:ascii="黑体" w:hAnsi="黑体" w:eastAsia="黑体" w:cs="黑体"/>
                <w:b/>
                <w:bCs/>
                <w:color w:val="auto"/>
                <w:sz w:val="21"/>
                <w:szCs w:val="21"/>
                <w:highlight w:val="none"/>
                <w:lang w:eastAsia="zh-CN"/>
              </w:rPr>
              <w:t xml:space="preserve">（</w:t>
            </w:r>
            <w:r>
              <w:rPr>
                <w:rFonts w:hint="eastAsia" w:ascii="黑体" w:hAnsi="黑体" w:eastAsia="黑体" w:cs="黑体"/>
                <w:b/>
                <w:bCs/>
                <w:color w:val="auto"/>
                <w:sz w:val="21"/>
                <w:szCs w:val="21"/>
                <w:highlight w:val="none"/>
                <w:lang w:val="en-US" w:eastAsia="zh-CN"/>
              </w:rPr>
              <w:t xml:space="preserve">如有</w:t>
            </w:r>
            <w:r>
              <w:rPr>
                <w:rFonts w:hint="eastAsia" w:ascii="黑体" w:hAnsi="黑体" w:eastAsia="黑体" w:cs="黑体"/>
                <w:b/>
                <w:bCs/>
                <w:color w:val="auto"/>
                <w:sz w:val="21"/>
                <w:szCs w:val="21"/>
                <w:highlight w:val="none"/>
                <w:lang w:eastAsia="zh-CN"/>
              </w:rPr>
              <w:t xml:space="preserve">）</w:t>
            </w:r>
            <w:r>
              <w:rPr>
                <w:rFonts w:hint="eastAsia" w:ascii="黑体" w:hAnsi="黑体" w:eastAsia="黑体" w:cs="黑体"/>
                <w:color w:val="auto"/>
                <w:sz w:val="21"/>
                <w:szCs w:val="21"/>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zh-CN"/>
              </w:rPr>
              <w:suppressLineNumbers w:val="0"/>
            </w:pPr>
            <w:r>
              <w:rPr>
                <w:rFonts w:hint="eastAsia" w:ascii="黑体" w:hAnsi="黑体" w:eastAsia="黑体" w:cs="黑体"/>
                <w:color w:val="auto"/>
                <w:sz w:val="21"/>
                <w:szCs w:val="21"/>
                <w:highlight w:val="none"/>
                <w:lang w:val="zh-CN"/>
              </w:rPr>
              <w:t xml:space="preserve">没有无效投标条款。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zh-CN"/>
              </w:rPr>
              <w:suppressLineNumbers w:val="0"/>
            </w:pPr>
            <w:r>
              <w:rPr>
                <w:rFonts w:hint="eastAsia" w:ascii="黑体" w:hAnsi="黑体" w:eastAsia="黑体" w:cs="黑体"/>
                <w:color w:val="auto"/>
                <w:sz w:val="21"/>
                <w:szCs w:val="21"/>
                <w:highlight w:val="none"/>
                <w:lang w:val="zh-CN"/>
              </w:rPr>
              <w:t xml:space="preserve">没有串通投标情形。</w:t>
            </w:r>
            <w:r/>
          </w:p>
        </w:tc>
      </w:tr>
    </w:tbl>
    <w:p>
      <w:pPr>
        <w:pStyle w:val="947"/>
        <w:jc w:val="left"/>
        <w:pageBreakBefore w:val="0"/>
        <w:spacing w:line="440" w:lineRule="exact"/>
        <w:rPr>
          <w:rFonts w:hint="eastAsia" w:ascii="黑体" w:hAnsi="黑体" w:eastAsia="黑体" w:cs="黑体"/>
          <w:b/>
          <w:bCs/>
          <w:color w:val="auto"/>
          <w:sz w:val="24"/>
          <w:szCs w:val="24"/>
          <w:highlight w:val="none"/>
          <w:u w:val="single"/>
          <w:lang w:val="en-US" w:eastAsia="zh-CN" w:bidi="ar-SA"/>
        </w:rPr>
      </w:pPr>
      <w:r>
        <w:rPr>
          <w:rFonts w:hint="eastAsia" w:ascii="黑体" w:hAnsi="黑体" w:eastAsia="黑体" w:cs="黑体"/>
          <w:b/>
          <w:bCs/>
          <w:color w:val="auto"/>
          <w:sz w:val="24"/>
          <w:szCs w:val="24"/>
          <w:highlight w:val="none"/>
          <w:u w:val="single"/>
          <w:lang w:val="zh-CN" w:eastAsia="zh-CN" w:bidi="ar-SA"/>
        </w:rPr>
        <w:t xml:space="preserve">本</w:t>
      </w:r>
      <w:r>
        <w:rPr>
          <w:rFonts w:hint="eastAsia" w:ascii="黑体" w:hAnsi="黑体" w:eastAsia="黑体" w:cs="黑体"/>
          <w:b/>
          <w:bCs/>
          <w:color w:val="auto"/>
          <w:sz w:val="24"/>
          <w:szCs w:val="24"/>
          <w:highlight w:val="none"/>
          <w:u w:val="single"/>
          <w:lang w:val="en-US" w:eastAsia="zh-CN" w:bidi="ar-SA"/>
        </w:rPr>
        <w:t xml:space="preserve">招标</w:t>
      </w:r>
      <w:r>
        <w:rPr>
          <w:rFonts w:hint="eastAsia" w:ascii="黑体" w:hAnsi="黑体" w:eastAsia="黑体" w:cs="黑体"/>
          <w:b/>
          <w:bCs/>
          <w:color w:val="auto"/>
          <w:sz w:val="24"/>
          <w:szCs w:val="24"/>
          <w:highlight w:val="none"/>
          <w:u w:val="single"/>
          <w:lang w:val="zh-CN" w:eastAsia="zh-CN" w:bidi="ar-SA"/>
        </w:rPr>
        <w:t xml:space="preserve">文件有“★”标明的条款，请各供应商仔细研读且作为符合性审查要求，未通过符合性审查的响应文件，经</w:t>
      </w:r>
      <w:r>
        <w:rPr>
          <w:rFonts w:hint="eastAsia" w:ascii="黑体" w:hAnsi="黑体" w:eastAsia="黑体" w:cs="黑体"/>
          <w:b/>
          <w:bCs/>
          <w:color w:val="auto"/>
          <w:sz w:val="24"/>
          <w:szCs w:val="24"/>
          <w:highlight w:val="none"/>
          <w:u w:val="single"/>
          <w:lang w:val="en-US" w:eastAsia="zh-CN" w:bidi="ar-SA"/>
        </w:rPr>
        <w:t xml:space="preserve">评标</w:t>
      </w:r>
      <w:r>
        <w:rPr>
          <w:rFonts w:hint="eastAsia" w:ascii="黑体" w:hAnsi="黑体" w:eastAsia="黑体" w:cs="黑体"/>
          <w:b/>
          <w:bCs/>
          <w:color w:val="auto"/>
          <w:sz w:val="24"/>
          <w:szCs w:val="24"/>
          <w:highlight w:val="none"/>
          <w:u w:val="single"/>
          <w:lang w:val="zh-CN" w:eastAsia="zh-CN" w:bidi="ar-SA"/>
        </w:rPr>
        <w:t xml:space="preserve">小组核实将被判为不满足</w:t>
      </w:r>
      <w:r>
        <w:rPr>
          <w:rFonts w:hint="eastAsia" w:ascii="黑体" w:hAnsi="黑体" w:eastAsia="黑体" w:cs="黑体"/>
          <w:b/>
          <w:bCs/>
          <w:color w:val="auto"/>
          <w:sz w:val="24"/>
          <w:szCs w:val="24"/>
          <w:highlight w:val="none"/>
          <w:u w:val="single"/>
          <w:lang w:val="en-US" w:eastAsia="zh-CN" w:bidi="ar-SA"/>
        </w:rPr>
        <w:t xml:space="preserve">招标</w:t>
      </w:r>
      <w:r>
        <w:rPr>
          <w:rFonts w:hint="eastAsia" w:ascii="黑体" w:hAnsi="黑体" w:eastAsia="黑体" w:cs="黑体"/>
          <w:b/>
          <w:bCs/>
          <w:color w:val="auto"/>
          <w:sz w:val="24"/>
          <w:szCs w:val="24"/>
          <w:highlight w:val="none"/>
          <w:u w:val="single"/>
          <w:lang w:val="zh-CN" w:eastAsia="zh-CN" w:bidi="ar-SA"/>
        </w:rPr>
        <w:t xml:space="preserve">文件实质性要求，</w:t>
      </w:r>
      <w:r>
        <w:rPr>
          <w:rFonts w:hint="eastAsia" w:ascii="黑体" w:hAnsi="黑体" w:eastAsia="黑体" w:cs="黑体"/>
          <w:b/>
          <w:bCs/>
          <w:color w:val="auto"/>
          <w:sz w:val="24"/>
          <w:szCs w:val="24"/>
          <w:highlight w:val="none"/>
          <w:u w:val="single"/>
          <w:lang w:val="en-US" w:eastAsia="zh-CN" w:bidi="ar-SA"/>
        </w:rPr>
        <w:t xml:space="preserve">作无效响应处理。</w:t>
      </w:r>
      <w:r/>
    </w:p>
    <w:p>
      <w:pPr>
        <w:numPr>
          <w:ilvl w:val="0"/>
          <w:numId w:val="1"/>
        </w:numPr>
        <w:ind w:left="0" w:right="0" w:firstLine="482"/>
        <w:jc w:val="left"/>
        <w:keepLines w:val="0"/>
        <w:keepNext w:val="0"/>
        <w:pageBreakBefore w:val="0"/>
        <w:spacing w:beforeAutospacing="0" w:afterAutospacing="0" w:line="440" w:lineRule="exact"/>
        <w:widowControl w:val="off"/>
        <w:rPr>
          <w:rFonts w:hint="eastAsia" w:ascii="黑体" w:hAnsi="黑体" w:eastAsia="黑体" w:cs="黑体"/>
          <w:bCs/>
          <w:color w:val="auto"/>
          <w:sz w:val="24"/>
          <w:szCs w:val="24"/>
          <w:highlight w:val="none"/>
          <w:lang w:val="zh-CN" w:eastAsia="zh-CN" w:bidi="ar"/>
        </w:rPr>
        <w:suppressLineNumbers w:val="0"/>
      </w:pPr>
      <w:r>
        <w:rPr>
          <w:rFonts w:hint="eastAsia" w:ascii="黑体" w:hAnsi="黑体" w:eastAsia="黑体" w:cs="黑体"/>
          <w:b/>
          <w:bCs w:val="0"/>
          <w:color w:val="auto"/>
          <w:sz w:val="24"/>
          <w:szCs w:val="24"/>
          <w:highlight w:val="none"/>
          <w:lang w:val="zh-CN" w:eastAsia="zh-CN" w:bidi="ar"/>
        </w:rPr>
        <w:t xml:space="preserve">商务技术分：</w:t>
      </w:r>
      <w:r>
        <w:rPr>
          <w:rFonts w:hint="eastAsia" w:ascii="黑体" w:hAnsi="黑体" w:eastAsia="黑体" w:cs="黑体"/>
          <w:bCs/>
          <w:color w:val="auto"/>
          <w:sz w:val="24"/>
          <w:szCs w:val="24"/>
          <w:highlight w:val="none"/>
          <w:u w:val="single"/>
          <w:lang w:val="en-US" w:eastAsia="zh-CN" w:bidi="ar"/>
        </w:rPr>
        <w:t xml:space="preserve">90</w:t>
      </w:r>
      <w:r>
        <w:rPr>
          <w:rFonts w:hint="eastAsia" w:ascii="黑体" w:hAnsi="黑体" w:eastAsia="黑体" w:cs="黑体"/>
          <w:bCs/>
          <w:color w:val="auto"/>
          <w:sz w:val="24"/>
          <w:szCs w:val="24"/>
          <w:highlight w:val="none"/>
          <w:lang w:val="zh-CN" w:eastAsia="zh-CN" w:bidi="ar"/>
        </w:rPr>
        <w:t xml:space="preserve">分</w:t>
      </w:r>
      <w:r/>
    </w:p>
    <w:tbl>
      <w:tblPr>
        <w:tblStyle w:val="872"/>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1522"/>
        <w:gridCol w:w="1284"/>
        <w:gridCol w:w="5643"/>
      </w:tblGrid>
      <w:tr>
        <w:trPr>
          <w:jc w:val="center"/>
          <w:trHeight w:val="626"/>
        </w:trPr>
        <w:tc>
          <w:tcPr>
            <w:gridSpan w:val="3"/>
            <w:tcW w:w="3816"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rPr>
              <w:t xml:space="preserve">分值构成（100分）</w:t>
            </w:r>
            <w:r/>
          </w:p>
        </w:tc>
        <w:tc>
          <w:tcPr>
            <w:tcBorders>
              <w:left w:val="none" w:color="000000" w:sz="4" w:space="0"/>
            </w:tcBorders>
            <w:tcW w:w="5643"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rPr>
              <w:t xml:space="preserve">商务技术标</w:t>
            </w:r>
            <w:r>
              <w:rPr>
                <w:rFonts w:hint="eastAsia" w:ascii="黑体" w:hAnsi="黑体" w:eastAsia="黑体" w:cs="黑体"/>
                <w:color w:val="auto"/>
                <w:sz w:val="21"/>
                <w:szCs w:val="21"/>
                <w:highlight w:val="none"/>
                <w:lang w:val="en-US" w:eastAsia="zh-CN"/>
              </w:rPr>
              <w:t xml:space="preserve">9</w:t>
            </w:r>
            <w:r>
              <w:rPr>
                <w:rFonts w:hint="eastAsia" w:ascii="黑体" w:hAnsi="黑体" w:eastAsia="黑体" w:cs="黑体"/>
                <w:color w:val="auto"/>
                <w:sz w:val="21"/>
                <w:szCs w:val="21"/>
                <w:highlight w:val="none"/>
              </w:rPr>
              <w:t xml:space="preserve">0分，报价标</w:t>
            </w:r>
            <w:r>
              <w:rPr>
                <w:rFonts w:hint="eastAsia" w:ascii="黑体" w:hAnsi="黑体" w:eastAsia="黑体" w:cs="黑体"/>
                <w:color w:val="auto"/>
                <w:sz w:val="21"/>
                <w:szCs w:val="21"/>
                <w:highlight w:val="none"/>
                <w:lang w:val="en-US" w:eastAsia="zh-CN"/>
              </w:rPr>
              <w:t xml:space="preserve">1</w:t>
            </w:r>
            <w:r>
              <w:rPr>
                <w:rFonts w:hint="eastAsia" w:ascii="黑体" w:hAnsi="黑体" w:eastAsia="黑体" w:cs="黑体"/>
                <w:color w:val="auto"/>
                <w:sz w:val="21"/>
                <w:szCs w:val="21"/>
                <w:highlight w:val="none"/>
              </w:rPr>
              <w:t xml:space="preserve">0分</w:t>
            </w:r>
            <w:r/>
          </w:p>
        </w:tc>
      </w:tr>
      <w:tr>
        <w:trPr>
          <w:jc w:val="center"/>
          <w:trHeight w:val="647"/>
        </w:trPr>
        <w:tc>
          <w:tcPr>
            <w:tcW w:w="1010"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bCs/>
                <w:color w:val="auto"/>
                <w:sz w:val="21"/>
                <w:szCs w:val="21"/>
                <w:highlight w:val="none"/>
              </w:rPr>
              <w:suppressLineNumbers w:val="0"/>
            </w:pPr>
            <w:r>
              <w:rPr>
                <w:rFonts w:hint="eastAsia" w:ascii="黑体" w:hAnsi="黑体" w:eastAsia="黑体" w:cs="黑体"/>
                <w:bCs/>
                <w:color w:val="auto"/>
                <w:sz w:val="21"/>
                <w:szCs w:val="21"/>
                <w:highlight w:val="none"/>
              </w:rPr>
              <w:t xml:space="preserve">序号</w:t>
            </w:r>
            <w:r/>
          </w:p>
        </w:tc>
        <w:tc>
          <w:tcPr>
            <w:tcBorders>
              <w:left w:val="none" w:color="000000" w:sz="4" w:space="0"/>
            </w:tcBorders>
            <w:tcW w:w="1522"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bCs/>
                <w:color w:val="auto"/>
                <w:sz w:val="21"/>
                <w:szCs w:val="21"/>
                <w:highlight w:val="none"/>
              </w:rPr>
              <w:suppressLineNumbers w:val="0"/>
            </w:pPr>
            <w:r>
              <w:rPr>
                <w:rFonts w:hint="eastAsia" w:ascii="黑体" w:hAnsi="黑体" w:eastAsia="黑体" w:cs="黑体"/>
                <w:bCs/>
                <w:color w:val="auto"/>
                <w:sz w:val="21"/>
                <w:szCs w:val="21"/>
                <w:highlight w:val="none"/>
              </w:rPr>
              <w:t xml:space="preserve">评分因素</w:t>
            </w:r>
            <w:r/>
          </w:p>
        </w:tc>
        <w:tc>
          <w:tcPr>
            <w:gridSpan w:val="2"/>
            <w:tcBorders>
              <w:left w:val="none" w:color="000000" w:sz="4" w:space="0"/>
            </w:tcBorders>
            <w:tcW w:w="6927"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bCs/>
                <w:color w:val="auto"/>
                <w:sz w:val="21"/>
                <w:szCs w:val="21"/>
                <w:highlight w:val="none"/>
              </w:rPr>
              <w:suppressLineNumbers w:val="0"/>
            </w:pPr>
            <w:r>
              <w:rPr>
                <w:rFonts w:hint="eastAsia" w:ascii="黑体" w:hAnsi="黑体" w:eastAsia="黑体" w:cs="黑体"/>
                <w:bCs/>
                <w:color w:val="auto"/>
                <w:sz w:val="21"/>
                <w:szCs w:val="21"/>
                <w:highlight w:val="none"/>
              </w:rPr>
              <w:t xml:space="preserve">评分标准</w:t>
            </w:r>
            <w:r/>
          </w:p>
        </w:tc>
      </w:tr>
      <w:tr>
        <w:trPr>
          <w:jc w:val="center"/>
          <w:trHeight w:val="955"/>
        </w:trPr>
        <w:tc>
          <w:tcPr>
            <w:tcW w:w="1010"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bCs/>
                <w:color w:val="auto"/>
                <w:sz w:val="21"/>
                <w:szCs w:val="21"/>
                <w:highlight w:val="none"/>
                <w:lang w:val="en-US" w:eastAsia="zh-CN"/>
              </w:rPr>
              <w:suppressLineNumbers w:val="0"/>
            </w:pPr>
            <w:r>
              <w:rPr>
                <w:rFonts w:hint="eastAsia" w:ascii="黑体" w:hAnsi="黑体" w:eastAsia="黑体" w:cs="黑体"/>
                <w:bCs/>
                <w:color w:val="auto"/>
                <w:sz w:val="21"/>
                <w:szCs w:val="21"/>
                <w:highlight w:val="none"/>
                <w:lang w:val="en-US" w:eastAsia="zh-CN"/>
              </w:rPr>
              <w:t xml:space="preserve">1</w:t>
            </w:r>
            <w:r/>
          </w:p>
        </w:tc>
        <w:tc>
          <w:tcPr>
            <w:tcBorders>
              <w:left w:val="none" w:color="000000" w:sz="4" w:space="0"/>
            </w:tcBorders>
            <w:tcW w:w="1522"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highlight w:val="none"/>
                <w:lang w:val="en-US" w:eastAsia="zh-CN"/>
              </w:rPr>
              <w:suppressLineNumbers w:val="0"/>
            </w:pPr>
            <w:r>
              <w:rPr>
                <w:rFonts w:hint="eastAsia" w:ascii="黑体" w:hAnsi="黑体" w:eastAsia="黑体" w:cs="黑体"/>
                <w:color w:val="auto"/>
                <w:sz w:val="21"/>
                <w:szCs w:val="21"/>
                <w:highlight w:val="none"/>
                <w:lang w:val="en-US" w:eastAsia="zh-CN"/>
              </w:rPr>
              <w:t xml:space="preserve">本项目的服务实施方案（31分）</w:t>
            </w:r>
            <w:r/>
          </w:p>
        </w:tc>
        <w:tc>
          <w:tcPr>
            <w:gridSpan w:val="2"/>
            <w:tcBorders>
              <w:left w:val="none" w:color="000000" w:sz="4" w:space="0"/>
            </w:tcBorders>
            <w:tcW w:w="6927"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rPr>
              <w:suppressLineNumbers w:val="0"/>
            </w:pPr>
            <w:r>
              <w:rPr>
                <w:rFonts w:hint="eastAsia" w:ascii="黑体" w:hAnsi="黑体" w:eastAsia="黑体" w:cs="黑体"/>
                <w:b/>
                <w:bCs/>
                <w:color w:val="auto"/>
                <w:sz w:val="21"/>
                <w:szCs w:val="21"/>
                <w:lang w:val="en-US" w:eastAsia="zh-CN"/>
              </w:rPr>
              <w:t xml:space="preserve">1、</w:t>
            </w:r>
            <w:r>
              <w:rPr>
                <w:rFonts w:hint="eastAsia" w:ascii="黑体" w:hAnsi="黑体" w:eastAsia="黑体" w:cs="黑体"/>
                <w:color w:val="auto"/>
                <w:sz w:val="21"/>
                <w:szCs w:val="21"/>
                <w:lang w:val="en-US" w:eastAsia="zh-CN"/>
              </w:rPr>
              <w:t xml:space="preserve">居家和社区养老政府购买服务、居家养老服务中心（站）运营管理、残疾人之家运营管理以</w:t>
            </w:r>
            <w:r>
              <w:rPr>
                <w:rFonts w:hint="eastAsia" w:ascii="黑体" w:hAnsi="黑体" w:eastAsia="黑体" w:cs="黑体"/>
                <w:b/>
                <w:bCs/>
                <w:color w:val="auto"/>
                <w:sz w:val="21"/>
                <w:szCs w:val="21"/>
                <w:lang w:val="en-US" w:eastAsia="zh-CN"/>
              </w:rPr>
              <w:t xml:space="preserve">上三个分项的服务</w:t>
            </w:r>
            <w:r>
              <w:rPr>
                <w:rFonts w:hint="eastAsia" w:ascii="黑体" w:hAnsi="黑体" w:eastAsia="黑体" w:cs="黑体"/>
                <w:b/>
                <w:bCs/>
                <w:color w:val="auto"/>
                <w:sz w:val="21"/>
                <w:szCs w:val="21"/>
              </w:rPr>
              <w:t xml:space="preserve">方案</w:t>
            </w:r>
            <w:r>
              <w:rPr>
                <w:rFonts w:hint="eastAsia" w:ascii="黑体" w:hAnsi="黑体" w:eastAsia="黑体" w:cs="黑体"/>
                <w:b/>
                <w:bCs/>
                <w:color w:val="auto"/>
                <w:sz w:val="21"/>
                <w:szCs w:val="21"/>
                <w:lang w:eastAsia="zh-CN"/>
              </w:rPr>
              <w:t xml:space="preserve">（</w:t>
            </w:r>
            <w:r>
              <w:rPr>
                <w:rFonts w:hint="eastAsia" w:ascii="黑体" w:hAnsi="黑体" w:eastAsia="黑体" w:cs="黑体"/>
                <w:b/>
                <w:bCs/>
                <w:color w:val="auto"/>
                <w:sz w:val="21"/>
                <w:szCs w:val="21"/>
                <w:lang w:val="en-US" w:eastAsia="zh-CN"/>
              </w:rPr>
              <w:t xml:space="preserve">共12分</w:t>
            </w:r>
            <w:r>
              <w:rPr>
                <w:rFonts w:hint="eastAsia" w:ascii="黑体" w:hAnsi="黑体" w:eastAsia="黑体" w:cs="黑体"/>
                <w:b/>
                <w:bCs/>
                <w:color w:val="auto"/>
                <w:sz w:val="21"/>
                <w:szCs w:val="21"/>
                <w:lang w:eastAsia="zh-CN"/>
              </w:rPr>
              <w:t xml:space="preserve">）</w:t>
            </w:r>
            <w:r>
              <w:rPr>
                <w:rFonts w:hint="eastAsia" w:ascii="黑体" w:hAnsi="黑体" w:eastAsia="黑体" w:cs="黑体"/>
                <w:b/>
                <w:bCs/>
                <w:color w:val="auto"/>
                <w:sz w:val="21"/>
                <w:szCs w:val="21"/>
              </w:rPr>
              <w:t xml:space="preserve">：</w:t>
            </w:r>
            <w:r>
              <w:rPr>
                <w:rFonts w:hint="eastAsia" w:ascii="黑体" w:hAnsi="黑体" w:eastAsia="黑体" w:cs="黑体"/>
                <w:color w:val="auto"/>
                <w:sz w:val="21"/>
                <w:szCs w:val="21"/>
              </w:rPr>
              <w:t xml:space="preserve">根据</w:t>
            </w:r>
            <w:r>
              <w:rPr>
                <w:rFonts w:hint="eastAsia" w:ascii="黑体" w:hAnsi="黑体" w:eastAsia="黑体" w:cs="黑体"/>
                <w:color w:val="auto"/>
                <w:sz w:val="21"/>
                <w:szCs w:val="21"/>
                <w:lang w:val="en-US" w:eastAsia="zh-CN"/>
              </w:rPr>
              <w:t xml:space="preserve">本磋商文件项目需求中每个分项服务点</w:t>
            </w:r>
            <w:r>
              <w:rPr>
                <w:rFonts w:hint="eastAsia" w:ascii="黑体" w:hAnsi="黑体" w:eastAsia="黑体" w:cs="黑体"/>
                <w:color w:val="auto"/>
                <w:sz w:val="21"/>
                <w:szCs w:val="21"/>
              </w:rPr>
              <w:t xml:space="preserve">项目服务</w:t>
            </w:r>
            <w:r>
              <w:rPr>
                <w:rFonts w:hint="eastAsia" w:ascii="黑体" w:hAnsi="黑体" w:eastAsia="黑体" w:cs="黑体"/>
                <w:color w:val="auto"/>
                <w:sz w:val="21"/>
                <w:szCs w:val="21"/>
                <w:lang w:val="en-US" w:eastAsia="zh-CN"/>
              </w:rPr>
              <w:t xml:space="preserve">具体</w:t>
            </w:r>
            <w:r>
              <w:rPr>
                <w:rFonts w:hint="eastAsia" w:ascii="黑体" w:hAnsi="黑体" w:eastAsia="黑体" w:cs="黑体"/>
                <w:color w:val="auto"/>
                <w:sz w:val="21"/>
                <w:szCs w:val="21"/>
              </w:rPr>
              <w:t xml:space="preserve">内容，制定</w:t>
            </w:r>
            <w:r>
              <w:rPr>
                <w:rFonts w:hint="eastAsia" w:ascii="黑体" w:hAnsi="黑体" w:eastAsia="黑体" w:cs="黑体"/>
                <w:color w:val="auto"/>
                <w:sz w:val="21"/>
                <w:szCs w:val="21"/>
                <w:lang w:val="en-US" w:eastAsia="zh-CN"/>
              </w:rPr>
              <w:t xml:space="preserve">相应的</w:t>
            </w:r>
            <w:r>
              <w:rPr>
                <w:rFonts w:hint="eastAsia" w:ascii="黑体" w:hAnsi="黑体" w:eastAsia="黑体" w:cs="黑体"/>
                <w:color w:val="auto"/>
                <w:sz w:val="21"/>
                <w:szCs w:val="21"/>
              </w:rPr>
              <w:t xml:space="preserve">运营方案。</w:t>
            </w:r>
            <w:r>
              <w:rPr>
                <w:rFonts w:hint="eastAsia" w:ascii="黑体" w:hAnsi="黑体" w:eastAsia="黑体" w:cs="黑体"/>
                <w:color w:val="auto"/>
                <w:sz w:val="21"/>
                <w:szCs w:val="21"/>
                <w:lang w:val="en-US" w:eastAsia="zh-CN"/>
              </w:rPr>
              <w:t xml:space="preserve">每个分项点的</w:t>
            </w:r>
            <w:r>
              <w:rPr>
                <w:rFonts w:hint="eastAsia" w:ascii="黑体" w:hAnsi="黑体" w:eastAsia="黑体" w:cs="黑体"/>
                <w:color w:val="auto"/>
                <w:sz w:val="21"/>
                <w:szCs w:val="21"/>
              </w:rPr>
              <w:t xml:space="preserve">服务方案内容切实可行，符合实际情况，具有一定的</w:t>
            </w:r>
            <w:r>
              <w:rPr>
                <w:rFonts w:hint="eastAsia" w:ascii="黑体" w:hAnsi="黑体" w:eastAsia="黑体" w:cs="黑体"/>
                <w:color w:val="auto"/>
                <w:sz w:val="21"/>
                <w:szCs w:val="21"/>
                <w:lang w:val="en-US" w:eastAsia="zh-CN"/>
              </w:rPr>
              <w:t xml:space="preserve">完整</w:t>
            </w:r>
            <w:r>
              <w:rPr>
                <w:rFonts w:hint="eastAsia" w:ascii="黑体" w:hAnsi="黑体" w:eastAsia="黑体" w:cs="黑体"/>
                <w:color w:val="auto"/>
                <w:sz w:val="21"/>
                <w:szCs w:val="21"/>
              </w:rPr>
              <w:t xml:space="preserve">性和可操作性，相关观点和具体实施细节体现专业性。</w:t>
            </w:r>
            <w:r/>
          </w:p>
          <w:p>
            <w:pPr>
              <w:pStyle w:val="930"/>
              <w:ind w:left="0" w:right="0" w:firstLine="42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lang w:val="zh-CN" w:eastAsia="zh-CN" w:bidi="ar-SA"/>
              </w:rPr>
              <w:suppressLineNumbers w:val="0"/>
            </w:pPr>
            <w:r>
              <w:rPr>
                <w:rFonts w:hint="eastAsia" w:ascii="黑体" w:hAnsi="黑体" w:eastAsia="黑体" w:cs="黑体"/>
                <w:color w:val="auto"/>
                <w:sz w:val="21"/>
                <w:szCs w:val="21"/>
                <w:lang w:val="en-US" w:eastAsia="zh-CN" w:bidi="ar-SA"/>
              </w:rPr>
              <w:t xml:space="preserve">供应商针对以上</w:t>
            </w:r>
            <w:r>
              <w:rPr>
                <w:rFonts w:hint="eastAsia" w:ascii="黑体" w:hAnsi="黑体" w:eastAsia="黑体" w:cs="黑体"/>
                <w:b/>
                <w:bCs/>
                <w:color w:val="auto"/>
                <w:sz w:val="21"/>
                <w:szCs w:val="21"/>
                <w:u w:val="single"/>
                <w:lang w:val="en-US" w:eastAsia="zh-CN" w:bidi="ar-SA"/>
              </w:rPr>
              <w:t xml:space="preserve">对应的单项服务内容</w:t>
            </w:r>
            <w:r>
              <w:rPr>
                <w:rFonts w:hint="eastAsia" w:ascii="黑体" w:hAnsi="黑体" w:eastAsia="黑体" w:cs="黑体"/>
                <w:color w:val="auto"/>
                <w:sz w:val="21"/>
                <w:szCs w:val="21"/>
                <w:lang w:val="zh-CN" w:eastAsia="zh-CN" w:bidi="ar-SA"/>
              </w:rPr>
              <w:t xml:space="preserve">制定较完善的实施方案，完整和</w:t>
            </w:r>
            <w:r>
              <w:rPr>
                <w:rFonts w:hint="eastAsia" w:ascii="黑体" w:hAnsi="黑体" w:eastAsia="黑体" w:cs="黑体"/>
                <w:color w:val="auto"/>
                <w:sz w:val="21"/>
                <w:szCs w:val="21"/>
                <w:lang w:val="en-US" w:eastAsia="zh-CN" w:bidi="ar-SA"/>
              </w:rPr>
              <w:t xml:space="preserve">本项目具有</w:t>
            </w:r>
            <w:r>
              <w:rPr>
                <w:rFonts w:hint="eastAsia" w:ascii="黑体" w:hAnsi="黑体" w:eastAsia="黑体" w:cs="黑体"/>
                <w:color w:val="auto"/>
                <w:sz w:val="21"/>
                <w:szCs w:val="21"/>
                <w:lang w:val="zh-CN" w:eastAsia="zh-CN" w:bidi="ar-SA"/>
              </w:rPr>
              <w:t xml:space="preserve">实用</w:t>
            </w:r>
            <w:r>
              <w:rPr>
                <w:rFonts w:hint="eastAsia" w:ascii="黑体" w:hAnsi="黑体" w:eastAsia="黑体" w:cs="黑体"/>
                <w:color w:val="auto"/>
                <w:sz w:val="21"/>
                <w:szCs w:val="21"/>
                <w:lang w:val="en-US" w:eastAsia="zh-CN" w:bidi="ar-SA"/>
              </w:rPr>
              <w:t xml:space="preserve">性</w:t>
            </w:r>
            <w:r>
              <w:rPr>
                <w:rFonts w:hint="eastAsia" w:ascii="黑体" w:hAnsi="黑体" w:eastAsia="黑体" w:cs="黑体"/>
                <w:color w:val="auto"/>
                <w:sz w:val="21"/>
                <w:szCs w:val="21"/>
                <w:lang w:val="zh-CN" w:eastAsia="zh-CN" w:bidi="ar-SA"/>
              </w:rPr>
              <w:t xml:space="preserve">的得</w:t>
            </w:r>
            <w:r>
              <w:rPr>
                <w:rFonts w:hint="eastAsia" w:ascii="黑体" w:hAnsi="黑体" w:eastAsia="黑体" w:cs="黑体"/>
                <w:color w:val="auto"/>
                <w:sz w:val="21"/>
                <w:szCs w:val="21"/>
                <w:lang w:val="en-US" w:eastAsia="zh-CN" w:bidi="ar-SA"/>
              </w:rPr>
              <w:t xml:space="preserve">4</w:t>
            </w:r>
            <w:r>
              <w:rPr>
                <w:rFonts w:hint="eastAsia" w:ascii="黑体" w:hAnsi="黑体" w:eastAsia="黑体" w:cs="黑体"/>
                <w:color w:val="auto"/>
                <w:sz w:val="21"/>
                <w:szCs w:val="21"/>
                <w:lang w:val="zh-CN" w:eastAsia="zh-CN" w:bidi="ar-SA"/>
              </w:rPr>
              <w:t xml:space="preserve">分；内容基本完整、思路清晰、可行性较好的的得</w:t>
            </w:r>
            <w:r>
              <w:rPr>
                <w:rFonts w:hint="eastAsia" w:ascii="黑体" w:hAnsi="黑体" w:eastAsia="黑体" w:cs="黑体"/>
                <w:color w:val="auto"/>
                <w:sz w:val="21"/>
                <w:szCs w:val="21"/>
                <w:lang w:val="en-US" w:eastAsia="zh-CN" w:bidi="ar-SA"/>
              </w:rPr>
              <w:t xml:space="preserve">3</w:t>
            </w:r>
            <w:r>
              <w:rPr>
                <w:rFonts w:hint="eastAsia" w:ascii="黑体" w:hAnsi="黑体" w:eastAsia="黑体" w:cs="黑体"/>
                <w:color w:val="auto"/>
                <w:sz w:val="21"/>
                <w:szCs w:val="21"/>
                <w:lang w:val="zh-CN" w:eastAsia="zh-CN" w:bidi="ar-SA"/>
              </w:rPr>
              <w:t xml:space="preserve">分；方案内容有一定偏差，但不影响实质性内容表达，较具有针对性和可操作性，得</w:t>
            </w:r>
            <w:r>
              <w:rPr>
                <w:rFonts w:hint="eastAsia" w:ascii="黑体" w:hAnsi="黑体" w:eastAsia="黑体" w:cs="黑体"/>
                <w:color w:val="auto"/>
                <w:sz w:val="21"/>
                <w:szCs w:val="21"/>
                <w:lang w:val="en-US" w:eastAsia="zh-CN" w:bidi="ar-SA"/>
              </w:rPr>
              <w:t xml:space="preserve">2</w:t>
            </w:r>
            <w:r>
              <w:rPr>
                <w:rFonts w:hint="eastAsia" w:ascii="黑体" w:hAnsi="黑体" w:eastAsia="黑体" w:cs="黑体"/>
                <w:color w:val="auto"/>
                <w:sz w:val="21"/>
                <w:szCs w:val="21"/>
                <w:lang w:val="zh-CN" w:eastAsia="zh-CN" w:bidi="ar-SA"/>
              </w:rPr>
              <w:t xml:space="preserve">分；有项目实施方案，但方案内容模糊，没有针对本项目主要工作内容制定，内容不详实、不完整、内容不全面的</w:t>
            </w:r>
            <w:r>
              <w:rPr>
                <w:rFonts w:hint="eastAsia" w:ascii="黑体" w:hAnsi="黑体" w:eastAsia="黑体" w:cs="黑体"/>
                <w:color w:val="auto"/>
                <w:sz w:val="21"/>
                <w:szCs w:val="21"/>
                <w:lang w:val="en-US" w:eastAsia="zh-CN" w:bidi="ar-SA"/>
              </w:rPr>
              <w:t xml:space="preserve">1</w:t>
            </w:r>
            <w:r>
              <w:rPr>
                <w:rFonts w:hint="eastAsia" w:ascii="黑体" w:hAnsi="黑体" w:eastAsia="黑体" w:cs="黑体"/>
                <w:color w:val="auto"/>
                <w:sz w:val="21"/>
                <w:szCs w:val="21"/>
                <w:lang w:val="zh-CN" w:eastAsia="zh-CN" w:bidi="ar-SA"/>
              </w:rPr>
              <w:t xml:space="preserve">分；没有内容的不得分。</w:t>
            </w:r>
            <w:r/>
          </w:p>
          <w:p>
            <w:pPr>
              <w:pStyle w:val="930"/>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lang w:val="en-US" w:eastAsia="zh-CN" w:bidi="ar-SA"/>
              </w:rPr>
              <w:suppressLineNumbers w:val="0"/>
            </w:pPr>
            <w:r>
              <w:rPr>
                <w:rFonts w:hint="eastAsia" w:ascii="黑体" w:hAnsi="黑体" w:eastAsia="黑体" w:cs="黑体"/>
                <w:b/>
                <w:bCs/>
                <w:color w:val="auto"/>
                <w:sz w:val="21"/>
                <w:szCs w:val="21"/>
                <w:lang w:val="en-US" w:eastAsia="zh-CN" w:bidi="ar-SA"/>
              </w:rPr>
              <w:t xml:space="preserve">2、本项目的人员管理方案（3分）</w:t>
            </w:r>
            <w:r>
              <w:rPr>
                <w:rFonts w:hint="eastAsia" w:ascii="黑体" w:hAnsi="黑体" w:eastAsia="黑体" w:cs="黑体"/>
                <w:color w:val="auto"/>
                <w:sz w:val="21"/>
                <w:szCs w:val="21"/>
                <w:lang w:val="en-US" w:eastAsia="zh-CN" w:bidi="ar-SA"/>
              </w:rPr>
              <w:t xml:space="preserve">：拟投入人员配备及管理方案，包括但不限于人员投入计划及花名册、管理方案、运营组织机构、专业资质证明、培训情况、人员考核等情况。</w:t>
            </w:r>
            <w:r/>
          </w:p>
          <w:p>
            <w:pPr>
              <w:pStyle w:val="930"/>
              <w:ind w:left="0" w:right="0" w:firstLine="42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lang w:val="en-US" w:eastAsia="zh-CN" w:bidi="ar-SA"/>
              </w:rPr>
              <w:suppressLineNumbers w:val="0"/>
            </w:pPr>
            <w:r>
              <w:rPr>
                <w:rFonts w:hint="eastAsia" w:ascii="黑体" w:hAnsi="黑体" w:eastAsia="黑体" w:cs="黑体"/>
                <w:color w:val="auto"/>
                <w:sz w:val="21"/>
                <w:szCs w:val="21"/>
                <w:lang w:val="en-US" w:eastAsia="zh-CN" w:bidi="ar-SA"/>
              </w:rPr>
              <w:t xml:space="preserve">根据方案的完整性和可行性评分，合理性、完善性、规范性、考虑周到、可操作性较好、措施得力的得3分，合理性、完善性、规范性、考虑欠缺、可操作性一般、措施可行的得2分，合理性、完善性、规范性、可操作性较差、措施不力的1分；未提供不得分。</w:t>
            </w:r>
            <w:r/>
          </w:p>
          <w:p>
            <w:pPr>
              <w:pStyle w:val="930"/>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lang w:val="en-US" w:eastAsia="zh-CN" w:bidi="ar-SA"/>
              </w:rPr>
              <w:suppressLineNumbers w:val="0"/>
            </w:pPr>
            <w:r>
              <w:rPr>
                <w:rFonts w:hint="eastAsia" w:ascii="黑体" w:hAnsi="黑体" w:eastAsia="黑体" w:cs="黑体"/>
                <w:b/>
                <w:bCs/>
                <w:color w:val="auto"/>
                <w:sz w:val="21"/>
                <w:szCs w:val="21"/>
                <w:lang w:val="en-US" w:eastAsia="zh-CN" w:bidi="ar-SA"/>
              </w:rPr>
              <w:t xml:space="preserve">3、本项目整理</w:t>
            </w:r>
            <w:r>
              <w:rPr>
                <w:rFonts w:hint="eastAsia" w:ascii="黑体" w:hAnsi="黑体" w:eastAsia="黑体" w:cs="黑体"/>
                <w:b/>
                <w:bCs/>
                <w:color w:val="auto"/>
                <w:sz w:val="21"/>
                <w:szCs w:val="21"/>
                <w:lang w:val="zh-CN" w:eastAsia="zh-CN" w:bidi="ar-SA"/>
              </w:rPr>
              <w:t xml:space="preserve">配合协调方案（</w:t>
            </w:r>
            <w:r>
              <w:rPr>
                <w:rFonts w:hint="eastAsia" w:ascii="黑体" w:hAnsi="黑体" w:eastAsia="黑体" w:cs="黑体"/>
                <w:b/>
                <w:bCs/>
                <w:color w:val="auto"/>
                <w:sz w:val="21"/>
                <w:szCs w:val="21"/>
                <w:lang w:val="en-US" w:eastAsia="zh-CN" w:bidi="ar-SA"/>
              </w:rPr>
              <w:t xml:space="preserve">3</w:t>
            </w:r>
            <w:r>
              <w:rPr>
                <w:rFonts w:hint="eastAsia" w:ascii="黑体" w:hAnsi="黑体" w:eastAsia="黑体" w:cs="黑体"/>
                <w:b/>
                <w:bCs/>
                <w:color w:val="auto"/>
                <w:sz w:val="21"/>
                <w:szCs w:val="21"/>
                <w:lang w:val="zh-CN" w:eastAsia="zh-CN" w:bidi="ar-SA"/>
              </w:rPr>
              <w:t xml:space="preserve">分）</w:t>
            </w:r>
            <w:r>
              <w:rPr>
                <w:rFonts w:hint="eastAsia" w:ascii="黑体" w:hAnsi="黑体" w:eastAsia="黑体" w:cs="黑体"/>
                <w:color w:val="auto"/>
                <w:sz w:val="21"/>
                <w:szCs w:val="21"/>
                <w:lang w:val="en-US" w:eastAsia="zh-CN" w:bidi="ar-SA"/>
              </w:rPr>
              <w:t xml:space="preserve"> </w:t>
            </w:r>
            <w:r>
              <w:rPr>
                <w:rFonts w:hint="eastAsia" w:ascii="黑体" w:hAnsi="黑体" w:eastAsia="黑体" w:cs="黑体"/>
                <w:color w:val="auto"/>
                <w:sz w:val="21"/>
                <w:szCs w:val="21"/>
                <w:lang w:val="zh-CN" w:eastAsia="zh-CN" w:bidi="ar-SA"/>
              </w:rPr>
              <w:t xml:space="preserve">：服务期间在任务变化、人员调整、区域变动、行业监督等情况下，能够有完善的配合协调处置方案，服务方案具体详细，满足实际需求。</w:t>
            </w:r>
            <w:r/>
          </w:p>
          <w:p>
            <w:pPr>
              <w:pStyle w:val="930"/>
              <w:ind w:left="0" w:right="0" w:firstLine="42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lang w:val="zh-CN" w:eastAsia="zh-CN" w:bidi="ar-SA"/>
              </w:rPr>
              <w:suppressLineNumbers w:val="0"/>
            </w:pPr>
            <w:r>
              <w:rPr>
                <w:rFonts w:hint="eastAsia" w:ascii="黑体" w:hAnsi="黑体" w:eastAsia="黑体" w:cs="黑体"/>
                <w:color w:val="auto"/>
                <w:sz w:val="21"/>
                <w:szCs w:val="21"/>
                <w:lang w:val="zh-CN" w:eastAsia="zh-CN" w:bidi="ar-SA"/>
              </w:rPr>
              <w:t xml:space="preserve">根据方案的完整性和可行性评分，合理性、完善性、规范性、考虑周到、可操作性较好、措施得力的得</w:t>
            </w:r>
            <w:r>
              <w:rPr>
                <w:rFonts w:hint="eastAsia" w:ascii="黑体" w:hAnsi="黑体" w:eastAsia="黑体" w:cs="黑体"/>
                <w:color w:val="auto"/>
                <w:sz w:val="21"/>
                <w:szCs w:val="21"/>
                <w:lang w:val="en-US" w:eastAsia="zh-CN" w:bidi="ar-SA"/>
              </w:rPr>
              <w:t xml:space="preserve">3</w:t>
            </w:r>
            <w:r>
              <w:rPr>
                <w:rFonts w:hint="eastAsia" w:ascii="黑体" w:hAnsi="黑体" w:eastAsia="黑体" w:cs="黑体"/>
                <w:color w:val="auto"/>
                <w:sz w:val="21"/>
                <w:szCs w:val="21"/>
                <w:lang w:val="zh-CN" w:eastAsia="zh-CN" w:bidi="ar-SA"/>
              </w:rPr>
              <w:t xml:space="preserve">分，合理性、完善性、规范性、考虑欠缺、可操作性一般、措施可行的得</w:t>
            </w:r>
            <w:r>
              <w:rPr>
                <w:rFonts w:hint="eastAsia" w:ascii="黑体" w:hAnsi="黑体" w:eastAsia="黑体" w:cs="黑体"/>
                <w:color w:val="auto"/>
                <w:sz w:val="21"/>
                <w:szCs w:val="21"/>
                <w:lang w:val="en-US" w:eastAsia="zh-CN" w:bidi="ar-SA"/>
              </w:rPr>
              <w:t xml:space="preserve">2</w:t>
            </w:r>
            <w:r>
              <w:rPr>
                <w:rFonts w:hint="eastAsia" w:ascii="黑体" w:hAnsi="黑体" w:eastAsia="黑体" w:cs="黑体"/>
                <w:color w:val="auto"/>
                <w:sz w:val="21"/>
                <w:szCs w:val="21"/>
                <w:lang w:val="zh-CN" w:eastAsia="zh-CN" w:bidi="ar-SA"/>
              </w:rPr>
              <w:t xml:space="preserve">分，合理性、完善性、规范性、可操作性较差、措施不力的1分；未提供不得分。</w:t>
            </w:r>
            <w:r/>
          </w:p>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rPr>
            </w:pPr>
            <w:r>
              <w:rPr>
                <w:rFonts w:hint="eastAsia" w:ascii="黑体" w:hAnsi="黑体" w:eastAsia="黑体" w:cs="黑体"/>
                <w:b/>
                <w:bCs/>
                <w:color w:val="auto"/>
                <w:sz w:val="21"/>
                <w:szCs w:val="21"/>
                <w:lang w:val="en-US" w:eastAsia="zh-CN"/>
              </w:rPr>
              <w:t xml:space="preserve">4、本项目</w:t>
            </w:r>
            <w:r>
              <w:rPr>
                <w:rFonts w:hint="eastAsia" w:ascii="黑体" w:hAnsi="黑体" w:eastAsia="黑体" w:cs="黑体"/>
                <w:b/>
                <w:bCs/>
                <w:color w:val="auto"/>
                <w:sz w:val="21"/>
                <w:szCs w:val="21"/>
              </w:rPr>
              <w:t xml:space="preserve">应急监管和保障机制（</w:t>
            </w:r>
            <w:r>
              <w:rPr>
                <w:rFonts w:hint="eastAsia" w:ascii="黑体" w:hAnsi="黑体" w:eastAsia="黑体" w:cs="黑体"/>
                <w:b/>
                <w:bCs/>
                <w:color w:val="auto"/>
                <w:sz w:val="21"/>
                <w:szCs w:val="21"/>
                <w:lang w:val="en-US" w:eastAsia="zh-CN"/>
              </w:rPr>
              <w:t xml:space="preserve">4</w:t>
            </w:r>
            <w:r>
              <w:rPr>
                <w:rFonts w:hint="eastAsia" w:ascii="黑体" w:hAnsi="黑体" w:eastAsia="黑体" w:cs="黑体"/>
                <w:b/>
                <w:bCs/>
                <w:color w:val="auto"/>
                <w:sz w:val="21"/>
                <w:szCs w:val="21"/>
              </w:rPr>
              <w:t xml:space="preserve">分）：</w:t>
            </w:r>
            <w:r>
              <w:rPr>
                <w:rFonts w:hint="eastAsia" w:ascii="黑体" w:hAnsi="黑体" w:eastAsia="黑体" w:cs="黑体"/>
                <w:color w:val="auto"/>
                <w:sz w:val="21"/>
                <w:szCs w:val="21"/>
              </w:rPr>
              <w:t xml:space="preserve">监管机制包含但不限于以下内容：（1）有专职的业务监管队伍和监管人员；（2）有明确的监管责任；（3）有全面的监管措施；（4）有配套的惩处措施；（5）有合适的问题解决方案。（6）服务回访及投诉处理。</w:t>
            </w:r>
            <w:r>
              <w:rPr>
                <w:rFonts w:hint="eastAsia" w:ascii="黑体" w:hAnsi="黑体" w:eastAsia="黑体" w:cs="黑体"/>
                <w:b/>
                <w:bCs/>
                <w:color w:val="auto"/>
                <w:sz w:val="21"/>
                <w:szCs w:val="21"/>
              </w:rPr>
              <w:t xml:space="preserve">保障措施：</w:t>
            </w:r>
            <w:r>
              <w:rPr>
                <w:rFonts w:hint="eastAsia" w:ascii="黑体" w:hAnsi="黑体" w:eastAsia="黑体" w:cs="黑体"/>
                <w:color w:val="auto"/>
                <w:sz w:val="21"/>
                <w:szCs w:val="21"/>
                <w:lang w:eastAsia="zh-CN"/>
              </w:rPr>
              <w:t xml:space="preserve">供应商</w:t>
            </w:r>
            <w:r>
              <w:rPr>
                <w:rFonts w:hint="eastAsia" w:ascii="黑体" w:hAnsi="黑体" w:eastAsia="黑体" w:cs="黑体"/>
                <w:color w:val="auto"/>
                <w:sz w:val="21"/>
                <w:szCs w:val="21"/>
              </w:rPr>
              <w:t xml:space="preserve">制订项目实施的保障制度和服务质量保障措施，包括检查监督、投诉处理、服务改进等，制定突发事件应急预案并组织演练，有详细的规章制度和服务规范内容。制定突发事件处置预案、居家上门服务预案、专业防控服务方案等。</w:t>
            </w:r>
            <w:r/>
          </w:p>
          <w:p>
            <w:pPr>
              <w:pStyle w:val="949"/>
              <w:ind w:left="0" w:firstLine="420"/>
              <w:jc w:val="left"/>
              <w:keepLines w:val="0"/>
              <w:keepNext w:val="0"/>
              <w:pageBreakBefore w:val="0"/>
              <w:spacing w:line="440" w:lineRule="exact"/>
              <w:rPr>
                <w:rFonts w:hint="eastAsia" w:ascii="黑体" w:hAnsi="黑体" w:eastAsia="黑体" w:cs="黑体"/>
                <w:color w:val="auto"/>
                <w:sz w:val="21"/>
                <w:szCs w:val="21"/>
              </w:rPr>
            </w:pPr>
            <w:r>
              <w:rPr>
                <w:rFonts w:hint="eastAsia" w:ascii="黑体" w:hAnsi="黑体" w:eastAsia="黑体" w:cs="黑体"/>
                <w:color w:val="auto"/>
                <w:sz w:val="21"/>
                <w:szCs w:val="21"/>
              </w:rPr>
              <w:t xml:space="preserve">根据方案的完整性和可行性评分，合理性、完善性、规范性、考虑周到、可操作性较好、措施得力的得</w:t>
            </w:r>
            <w:r>
              <w:rPr>
                <w:rFonts w:hint="eastAsia" w:ascii="黑体" w:hAnsi="黑体" w:eastAsia="黑体" w:cs="黑体"/>
                <w:color w:val="auto"/>
                <w:sz w:val="21"/>
                <w:szCs w:val="21"/>
                <w:lang w:val="en-US" w:eastAsia="zh-CN"/>
              </w:rPr>
              <w:t xml:space="preserve">4</w:t>
            </w:r>
            <w:r>
              <w:rPr>
                <w:rFonts w:hint="eastAsia" w:ascii="黑体" w:hAnsi="黑体" w:eastAsia="黑体" w:cs="黑体"/>
                <w:color w:val="auto"/>
                <w:sz w:val="21"/>
                <w:szCs w:val="21"/>
              </w:rPr>
              <w:t xml:space="preserve">分，合理性、完善性、规范性、考虑欠缺、可操作性一般、措施可行的得</w:t>
            </w:r>
            <w:r>
              <w:rPr>
                <w:rFonts w:hint="eastAsia" w:ascii="黑体" w:hAnsi="黑体" w:eastAsia="黑体" w:cs="黑体"/>
                <w:color w:val="auto"/>
                <w:sz w:val="21"/>
                <w:szCs w:val="21"/>
                <w:lang w:val="en-US" w:eastAsia="zh-CN"/>
              </w:rPr>
              <w:t xml:space="preserve">2</w:t>
            </w:r>
            <w:r>
              <w:rPr>
                <w:rFonts w:hint="eastAsia" w:ascii="黑体" w:hAnsi="黑体" w:eastAsia="黑体" w:cs="黑体"/>
                <w:color w:val="auto"/>
                <w:sz w:val="21"/>
                <w:szCs w:val="21"/>
              </w:rPr>
              <w:t xml:space="preserve">分，合理性、完善性、规范性、可操作性较差、措施不力的1分；未提供不得分。</w:t>
            </w:r>
            <w:r/>
          </w:p>
          <w:p>
            <w:pPr>
              <w:pStyle w:val="949"/>
              <w:ind w:left="0" w:firstLine="0"/>
              <w:jc w:val="left"/>
              <w:keepLines w:val="0"/>
              <w:keepNext w:val="0"/>
              <w:pageBreakBefore w:val="0"/>
              <w:spacing w:line="440" w:lineRule="exact"/>
              <w:rPr>
                <w:rFonts w:hint="eastAsia" w:ascii="黑体" w:hAnsi="黑体" w:eastAsia="黑体" w:cs="黑体"/>
                <w:color w:val="auto"/>
                <w:sz w:val="21"/>
                <w:szCs w:val="21"/>
              </w:rPr>
            </w:pPr>
            <w:r>
              <w:rPr>
                <w:rFonts w:hint="eastAsia" w:ascii="黑体" w:hAnsi="黑体" w:eastAsia="黑体" w:cs="黑体"/>
                <w:b/>
                <w:bCs/>
                <w:color w:val="auto"/>
                <w:sz w:val="21"/>
                <w:szCs w:val="21"/>
                <w:lang w:val="en-US" w:eastAsia="zh-CN"/>
              </w:rPr>
              <w:t xml:space="preserve">5、本项目</w:t>
            </w:r>
            <w:r>
              <w:rPr>
                <w:rFonts w:hint="eastAsia" w:ascii="黑体" w:hAnsi="黑体" w:eastAsia="黑体" w:cs="黑体"/>
                <w:b/>
                <w:bCs/>
                <w:color w:val="auto"/>
                <w:sz w:val="21"/>
                <w:szCs w:val="21"/>
              </w:rPr>
              <w:t xml:space="preserve">档案管理和保密方案（</w:t>
            </w:r>
            <w:r>
              <w:rPr>
                <w:rFonts w:hint="eastAsia" w:ascii="黑体" w:hAnsi="黑体" w:eastAsia="黑体" w:cs="黑体"/>
                <w:b/>
                <w:bCs/>
                <w:color w:val="auto"/>
                <w:sz w:val="21"/>
                <w:szCs w:val="21"/>
                <w:lang w:val="en-US" w:eastAsia="zh-CN"/>
              </w:rPr>
              <w:t xml:space="preserve">3</w:t>
            </w:r>
            <w:r>
              <w:rPr>
                <w:rFonts w:hint="eastAsia" w:ascii="黑体" w:hAnsi="黑体" w:eastAsia="黑体" w:cs="黑体"/>
                <w:b/>
                <w:bCs/>
                <w:color w:val="auto"/>
                <w:sz w:val="21"/>
                <w:szCs w:val="21"/>
              </w:rPr>
              <w:t xml:space="preserve">分）</w:t>
            </w:r>
            <w:r>
              <w:rPr>
                <w:rFonts w:hint="eastAsia" w:ascii="黑体" w:hAnsi="黑体" w:eastAsia="黑体" w:cs="黑体"/>
                <w:color w:val="auto"/>
                <w:sz w:val="21"/>
                <w:szCs w:val="21"/>
              </w:rPr>
              <w:t xml:space="preserve">：档案资料管理包括电子档案、文书档案；制定针对本项目的符合国家法律法规的数据管理和保密方案。</w:t>
            </w:r>
            <w:r/>
          </w:p>
          <w:p>
            <w:pPr>
              <w:ind w:left="0" w:right="0" w:firstLine="48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en-US" w:eastAsia="zh-CN"/>
              </w:rPr>
              <w:suppressLineNumbers w:val="0"/>
            </w:pPr>
            <w:r>
              <w:rPr>
                <w:rFonts w:hint="eastAsia" w:ascii="黑体" w:hAnsi="黑体" w:eastAsia="黑体" w:cs="黑体"/>
                <w:color w:val="auto"/>
                <w:sz w:val="21"/>
                <w:szCs w:val="21"/>
              </w:rPr>
              <w:t xml:space="preserve">根据方案的完整性和可行性评分，合理性、完善性、规范性、考虑周到、可操作性较好、措施得力的得</w:t>
            </w:r>
            <w:r>
              <w:rPr>
                <w:rFonts w:hint="eastAsia" w:ascii="黑体" w:hAnsi="黑体" w:eastAsia="黑体" w:cs="黑体"/>
                <w:color w:val="auto"/>
                <w:sz w:val="21"/>
                <w:szCs w:val="21"/>
                <w:lang w:val="en-US" w:eastAsia="zh-CN"/>
              </w:rPr>
              <w:t xml:space="preserve">3</w:t>
            </w:r>
            <w:r>
              <w:rPr>
                <w:rFonts w:hint="eastAsia" w:ascii="黑体" w:hAnsi="黑体" w:eastAsia="黑体" w:cs="黑体"/>
                <w:color w:val="auto"/>
                <w:sz w:val="21"/>
                <w:szCs w:val="21"/>
              </w:rPr>
              <w:t xml:space="preserve">分，合理性、完善性、规范性、考虑欠缺、可操作性一般、措施可行的得</w:t>
            </w:r>
            <w:r>
              <w:rPr>
                <w:rFonts w:hint="eastAsia" w:ascii="黑体" w:hAnsi="黑体" w:eastAsia="黑体" w:cs="黑体"/>
                <w:color w:val="auto"/>
                <w:sz w:val="21"/>
                <w:szCs w:val="21"/>
                <w:lang w:val="en-US" w:eastAsia="zh-CN"/>
              </w:rPr>
              <w:t xml:space="preserve">2</w:t>
            </w:r>
            <w:r>
              <w:rPr>
                <w:rFonts w:hint="eastAsia" w:ascii="黑体" w:hAnsi="黑体" w:eastAsia="黑体" w:cs="黑体"/>
                <w:color w:val="auto"/>
                <w:sz w:val="21"/>
                <w:szCs w:val="21"/>
              </w:rPr>
              <w:t xml:space="preserve">分，合理性、合理性、完善性、规范性、可操作性较差、措施不力的1分；未提供不得分。</w:t>
            </w:r>
            <w:r/>
          </w:p>
          <w:p>
            <w:pPr>
              <w:pStyle w:val="949"/>
              <w:ind w:left="0" w:firstLine="0"/>
              <w:jc w:val="left"/>
              <w:keepLines w:val="0"/>
              <w:keepNext w:val="0"/>
              <w:pageBreakBefore w:val="0"/>
              <w:spacing w:line="440" w:lineRule="exact"/>
              <w:rPr>
                <w:rFonts w:hint="eastAsia" w:ascii="黑体" w:hAnsi="黑体" w:eastAsia="黑体" w:cs="黑体"/>
                <w:color w:val="auto"/>
                <w:sz w:val="21"/>
                <w:szCs w:val="21"/>
              </w:rPr>
            </w:pPr>
            <w:r>
              <w:rPr>
                <w:rFonts w:hint="eastAsia" w:ascii="黑体" w:hAnsi="黑体" w:eastAsia="黑体" w:cs="黑体"/>
                <w:b/>
                <w:bCs/>
                <w:color w:val="auto"/>
                <w:sz w:val="21"/>
                <w:szCs w:val="21"/>
                <w:highlight w:val="none"/>
                <w:lang w:val="en-US" w:eastAsia="zh-CN"/>
              </w:rPr>
              <w:t xml:space="preserve">6、本项目</w:t>
            </w:r>
            <w:r>
              <w:rPr>
                <w:rFonts w:hint="eastAsia" w:ascii="黑体" w:hAnsi="黑体" w:eastAsia="黑体" w:cs="黑体"/>
                <w:b/>
                <w:bCs/>
                <w:color w:val="auto"/>
                <w:sz w:val="21"/>
                <w:szCs w:val="21"/>
              </w:rPr>
              <w:t xml:space="preserve">过渡交接</w:t>
            </w:r>
            <w:r>
              <w:rPr>
                <w:rFonts w:hint="eastAsia" w:ascii="黑体" w:hAnsi="黑体" w:eastAsia="黑体" w:cs="黑体"/>
                <w:b/>
                <w:bCs/>
                <w:color w:val="auto"/>
                <w:sz w:val="21"/>
                <w:szCs w:val="21"/>
                <w:lang w:eastAsia="zh-CN"/>
              </w:rPr>
              <w:t xml:space="preserve">（</w:t>
            </w:r>
            <w:r>
              <w:rPr>
                <w:rFonts w:hint="eastAsia" w:ascii="黑体" w:hAnsi="黑体" w:eastAsia="黑体" w:cs="黑体"/>
                <w:b/>
                <w:bCs/>
                <w:color w:val="auto"/>
                <w:sz w:val="21"/>
                <w:szCs w:val="21"/>
                <w:lang w:val="en-US" w:eastAsia="zh-CN"/>
              </w:rPr>
              <w:t xml:space="preserve">3分</w:t>
            </w:r>
            <w:r>
              <w:rPr>
                <w:rFonts w:hint="eastAsia" w:ascii="黑体" w:hAnsi="黑体" w:eastAsia="黑体" w:cs="黑体"/>
                <w:b/>
                <w:bCs/>
                <w:color w:val="auto"/>
                <w:sz w:val="21"/>
                <w:szCs w:val="21"/>
                <w:lang w:eastAsia="zh-CN"/>
              </w:rPr>
              <w:t xml:space="preserve">）</w:t>
            </w:r>
            <w:r>
              <w:rPr>
                <w:rFonts w:hint="eastAsia" w:ascii="黑体" w:hAnsi="黑体" w:eastAsia="黑体" w:cs="黑体"/>
                <w:b/>
                <w:bCs/>
                <w:color w:val="auto"/>
                <w:sz w:val="21"/>
                <w:szCs w:val="21"/>
              </w:rPr>
              <w:t xml:space="preserve">：</w:t>
            </w:r>
            <w:r>
              <w:rPr>
                <w:rFonts w:hint="eastAsia" w:ascii="黑体" w:hAnsi="黑体" w:eastAsia="黑体" w:cs="黑体"/>
                <w:color w:val="auto"/>
                <w:sz w:val="21"/>
                <w:szCs w:val="21"/>
              </w:rPr>
              <w:t xml:space="preserve">制定与前期居家养老服务单位过渡交接计划，保证老年人服务不断档。</w:t>
            </w:r>
            <w:r/>
          </w:p>
          <w:p>
            <w:pPr>
              <w:ind w:left="0" w:right="0" w:firstLine="48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zh-CN"/>
              </w:rPr>
              <w:suppressLineNumbers w:val="0"/>
            </w:pPr>
            <w:r>
              <w:rPr>
                <w:rFonts w:hint="eastAsia" w:ascii="黑体" w:hAnsi="黑体" w:eastAsia="黑体" w:cs="黑体"/>
                <w:color w:val="auto"/>
                <w:sz w:val="21"/>
                <w:szCs w:val="21"/>
              </w:rPr>
              <w:t xml:space="preserve">根据方案的完整性和可行性评分，合理性、完善性、规范性、考虑周到、可操作性较好、措施得力的得</w:t>
            </w:r>
            <w:r>
              <w:rPr>
                <w:rFonts w:hint="eastAsia" w:ascii="黑体" w:hAnsi="黑体" w:eastAsia="黑体" w:cs="黑体"/>
                <w:color w:val="auto"/>
                <w:sz w:val="21"/>
                <w:szCs w:val="21"/>
                <w:lang w:val="en-US" w:eastAsia="zh-CN"/>
              </w:rPr>
              <w:t xml:space="preserve">3</w:t>
            </w:r>
            <w:r>
              <w:rPr>
                <w:rFonts w:hint="eastAsia" w:ascii="黑体" w:hAnsi="黑体" w:eastAsia="黑体" w:cs="黑体"/>
                <w:color w:val="auto"/>
                <w:sz w:val="21"/>
                <w:szCs w:val="21"/>
              </w:rPr>
              <w:t xml:space="preserve">分，合理性、完善性、规范性、考虑欠缺、可操作性一般、措施可行的得</w:t>
            </w:r>
            <w:r>
              <w:rPr>
                <w:rFonts w:hint="eastAsia" w:ascii="黑体" w:hAnsi="黑体" w:eastAsia="黑体" w:cs="黑体"/>
                <w:color w:val="auto"/>
                <w:sz w:val="21"/>
                <w:szCs w:val="21"/>
                <w:lang w:val="en-US" w:eastAsia="zh-CN"/>
              </w:rPr>
              <w:t xml:space="preserve">2</w:t>
            </w:r>
            <w:r>
              <w:rPr>
                <w:rFonts w:hint="eastAsia" w:ascii="黑体" w:hAnsi="黑体" w:eastAsia="黑体" w:cs="黑体"/>
                <w:color w:val="auto"/>
                <w:sz w:val="21"/>
                <w:szCs w:val="21"/>
              </w:rPr>
              <w:t xml:space="preserve">分，合理性、合理性、完善性、规范性、可操作性较差、措施不力的1分；未提供不得分。</w:t>
            </w:r>
            <w:r/>
          </w:p>
          <w:p>
            <w:pPr>
              <w:numPr>
                <w:ilvl w:val="0"/>
                <w:numId w:val="0"/>
              </w:num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rPr>
              <w:suppressLineNumbers w:val="0"/>
            </w:pPr>
            <w:r>
              <w:rPr>
                <w:rFonts w:hint="eastAsia" w:ascii="黑体" w:hAnsi="黑体" w:eastAsia="黑体" w:cs="黑体"/>
                <w:b/>
                <w:bCs/>
                <w:color w:val="auto"/>
                <w:sz w:val="21"/>
                <w:szCs w:val="21"/>
                <w:highlight w:val="none"/>
                <w:lang w:val="en-US" w:eastAsia="zh-CN"/>
              </w:rPr>
              <w:t xml:space="preserve">7、本项目智能化建设（3分）</w:t>
            </w:r>
            <w:r>
              <w:rPr>
                <w:rFonts w:hint="eastAsia" w:ascii="黑体" w:hAnsi="黑体" w:eastAsia="黑体" w:cs="黑体"/>
                <w:color w:val="auto"/>
                <w:sz w:val="21"/>
                <w:szCs w:val="21"/>
                <w:highlight w:val="none"/>
                <w:lang w:val="en-US" w:eastAsia="zh-CN"/>
              </w:rPr>
              <w:t xml:space="preserve">：</w:t>
            </w:r>
            <w:r>
              <w:rPr>
                <w:rFonts w:hint="eastAsia" w:ascii="黑体" w:hAnsi="黑体" w:eastAsia="黑体" w:cs="黑体"/>
                <w:color w:val="auto"/>
                <w:sz w:val="21"/>
                <w:szCs w:val="21"/>
              </w:rPr>
              <w:t xml:space="preserve">建立新开街道居家养老服务平台和网络服务体系，实现服务的信息化、智能化，满足服务工单的派送、流转、监管、统计、结算等功能，信息平台端口可接入市区平台，使居家和社区养老服务全程可监控、全程透明化</w:t>
            </w:r>
            <w:r>
              <w:rPr>
                <w:rFonts w:hint="eastAsia" w:ascii="黑体" w:hAnsi="黑体" w:eastAsia="黑体" w:cs="黑体"/>
                <w:color w:val="auto"/>
                <w:sz w:val="21"/>
                <w:szCs w:val="21"/>
                <w:lang w:val="en-US" w:eastAsia="zh-CN"/>
              </w:rPr>
              <w:t xml:space="preserve">的具体实施方案</w:t>
            </w:r>
            <w:r>
              <w:rPr>
                <w:rFonts w:hint="eastAsia" w:ascii="黑体" w:hAnsi="黑体" w:eastAsia="黑体" w:cs="黑体"/>
                <w:color w:val="auto"/>
                <w:sz w:val="21"/>
                <w:szCs w:val="21"/>
              </w:rPr>
              <w:t xml:space="preserve">。</w:t>
            </w:r>
            <w:r/>
          </w:p>
          <w:p>
            <w:pPr>
              <w:pStyle w:val="949"/>
              <w:numPr>
                <w:ilvl w:val="0"/>
                <w:numId w:val="0"/>
              </w:numPr>
              <w:ind w:firstLine="420"/>
              <w:jc w:val="left"/>
              <w:keepLines w:val="0"/>
              <w:keepNext w:val="0"/>
              <w:pageBreakBefore w:val="0"/>
              <w:spacing w:line="440" w:lineRule="exact"/>
              <w:rPr>
                <w:rFonts w:hint="eastAsia" w:ascii="黑体" w:hAnsi="黑体" w:eastAsia="黑体" w:cs="黑体"/>
                <w:color w:val="auto"/>
                <w:sz w:val="21"/>
                <w:szCs w:val="21"/>
                <w:lang w:val="en-US" w:eastAsia="zh-CN"/>
              </w:rPr>
            </w:pPr>
            <w:r>
              <w:rPr>
                <w:rFonts w:hint="eastAsia" w:ascii="黑体" w:hAnsi="黑体" w:eastAsia="黑体" w:cs="黑体"/>
                <w:color w:val="auto"/>
                <w:sz w:val="21"/>
                <w:szCs w:val="21"/>
              </w:rPr>
              <w:t xml:space="preserve">根据方案的完整性和可行性评分，合理性、完善性、规范性、考虑周到、可操作性较好、措施得力的得</w:t>
            </w:r>
            <w:r>
              <w:rPr>
                <w:rFonts w:hint="eastAsia" w:ascii="黑体" w:hAnsi="黑体" w:eastAsia="黑体" w:cs="黑体"/>
                <w:color w:val="auto"/>
                <w:sz w:val="21"/>
                <w:szCs w:val="21"/>
                <w:lang w:val="en-US" w:eastAsia="zh-CN"/>
              </w:rPr>
              <w:t xml:space="preserve">3</w:t>
            </w:r>
            <w:r>
              <w:rPr>
                <w:rFonts w:hint="eastAsia" w:ascii="黑体" w:hAnsi="黑体" w:eastAsia="黑体" w:cs="黑体"/>
                <w:color w:val="auto"/>
                <w:sz w:val="21"/>
                <w:szCs w:val="21"/>
              </w:rPr>
              <w:t xml:space="preserve">分，合理性、完善性、规范性、考虑欠缺、可操作性一般、措施可行的得</w:t>
            </w:r>
            <w:r>
              <w:rPr>
                <w:rFonts w:hint="eastAsia" w:ascii="黑体" w:hAnsi="黑体" w:eastAsia="黑体" w:cs="黑体"/>
                <w:color w:val="auto"/>
                <w:sz w:val="21"/>
                <w:szCs w:val="21"/>
                <w:lang w:val="en-US" w:eastAsia="zh-CN"/>
              </w:rPr>
              <w:t xml:space="preserve">2</w:t>
            </w:r>
            <w:r>
              <w:rPr>
                <w:rFonts w:hint="eastAsia" w:ascii="黑体" w:hAnsi="黑体" w:eastAsia="黑体" w:cs="黑体"/>
                <w:color w:val="auto"/>
                <w:sz w:val="21"/>
                <w:szCs w:val="21"/>
              </w:rPr>
              <w:t xml:space="preserve">分，合理性、合理性、完善性、规范性、可操作性较差、措施不力的1分；未提供不得分。</w:t>
            </w:r>
            <w:r/>
          </w:p>
        </w:tc>
      </w:tr>
      <w:tr>
        <w:trPr>
          <w:jc w:val="center"/>
          <w:trHeight w:val="1031"/>
        </w:trPr>
        <w:tc>
          <w:tcPr>
            <w:tcW w:w="1010"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bCs/>
                <w:color w:val="auto"/>
                <w:sz w:val="21"/>
                <w:szCs w:val="21"/>
                <w:highlight w:val="none"/>
                <w:lang w:val="en-US" w:eastAsia="zh-CN"/>
              </w:rPr>
              <w:suppressLineNumbers w:val="0"/>
            </w:pPr>
            <w:r>
              <w:rPr>
                <w:rFonts w:hint="eastAsia" w:ascii="黑体" w:hAnsi="黑体" w:eastAsia="黑体" w:cs="黑体"/>
                <w:bCs/>
                <w:color w:val="auto"/>
                <w:sz w:val="21"/>
                <w:szCs w:val="21"/>
                <w:highlight w:val="none"/>
                <w:lang w:val="en-US" w:eastAsia="zh-CN"/>
              </w:rPr>
              <w:t xml:space="preserve">2</w:t>
            </w:r>
            <w:r/>
          </w:p>
        </w:tc>
        <w:tc>
          <w:tcPr>
            <w:tcBorders>
              <w:left w:val="none" w:color="000000" w:sz="4" w:space="0"/>
            </w:tcBorders>
            <w:tcW w:w="1522"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highlight w:val="none"/>
                <w:lang w:val="en-US" w:eastAsia="zh-CN"/>
              </w:rPr>
              <w:suppressLineNumbers w:val="0"/>
            </w:pPr>
            <w:r>
              <w:rPr>
                <w:rFonts w:hint="eastAsia" w:ascii="黑体" w:hAnsi="黑体" w:eastAsia="黑体" w:cs="黑体"/>
                <w:color w:val="auto"/>
                <w:sz w:val="21"/>
                <w:szCs w:val="21"/>
                <w:highlight w:val="none"/>
                <w:lang w:val="zh-CN" w:eastAsia="zh-CN"/>
              </w:rPr>
              <w:t xml:space="preserve">新开街道综合性养老服务中心</w:t>
            </w:r>
            <w:r>
              <w:rPr>
                <w:rFonts w:hint="eastAsia" w:ascii="黑体" w:hAnsi="黑体" w:eastAsia="黑体" w:cs="黑体"/>
                <w:color w:val="auto"/>
                <w:sz w:val="21"/>
                <w:szCs w:val="21"/>
                <w:highlight w:val="none"/>
                <w:lang w:val="en-US" w:eastAsia="zh-CN"/>
              </w:rPr>
              <w:t xml:space="preserve">建设装修设计方案</w:t>
            </w:r>
            <w:r>
              <w:rPr>
                <w:rFonts w:hint="eastAsia" w:ascii="黑体" w:hAnsi="黑体" w:eastAsia="黑体" w:cs="黑体"/>
                <w:color w:val="auto"/>
                <w:sz w:val="21"/>
                <w:szCs w:val="21"/>
                <w:highlight w:val="none"/>
                <w:lang w:val="zh-CN" w:eastAsia="zh-CN"/>
              </w:rPr>
              <w:t xml:space="preserve">（</w:t>
            </w:r>
            <w:r>
              <w:rPr>
                <w:rFonts w:hint="eastAsia" w:ascii="黑体" w:hAnsi="黑体" w:eastAsia="黑体" w:cs="黑体"/>
                <w:color w:val="auto"/>
                <w:sz w:val="21"/>
                <w:szCs w:val="21"/>
                <w:highlight w:val="none"/>
                <w:lang w:val="en-US" w:eastAsia="zh-CN"/>
              </w:rPr>
              <w:t xml:space="preserve">11</w:t>
            </w:r>
            <w:r>
              <w:rPr>
                <w:rFonts w:hint="eastAsia" w:ascii="黑体" w:hAnsi="黑体" w:eastAsia="黑体" w:cs="黑体"/>
                <w:color w:val="auto"/>
                <w:sz w:val="21"/>
                <w:szCs w:val="21"/>
                <w:highlight w:val="none"/>
                <w:lang w:val="zh-CN" w:eastAsia="zh-CN"/>
              </w:rPr>
              <w:t xml:space="preserve">分）</w:t>
            </w:r>
            <w:r/>
          </w:p>
        </w:tc>
        <w:tc>
          <w:tcPr>
            <w:gridSpan w:val="2"/>
            <w:tcBorders>
              <w:left w:val="none" w:color="000000" w:sz="4" w:space="0"/>
            </w:tcBorders>
            <w:tcW w:w="6927" w:type="dxa"/>
            <w:vAlign w:val="center"/>
            <w:textDirection w:val="lrTb"/>
            <w:noWrap w:val="false"/>
          </w:tcPr>
          <w:p>
            <w:pPr>
              <w:pStyle w:val="930"/>
              <w:ind w:left="0" w:right="0"/>
              <w:jc w:val="left"/>
              <w:keepLines w:val="0"/>
              <w:keepNext w:val="0"/>
              <w:pageBreakBefore w:val="0"/>
              <w:spacing w:before="0" w:beforeAutospacing="0" w:after="0" w:afterAutospacing="0" w:line="360" w:lineRule="exact"/>
              <w:widowControl w:val="off"/>
              <w:rPr>
                <w:rFonts w:hint="eastAsia" w:ascii="黑体" w:hAnsi="黑体" w:eastAsia="黑体" w:cs="黑体"/>
                <w:color w:val="auto"/>
                <w:sz w:val="21"/>
                <w:szCs w:val="21"/>
                <w:highlight w:val="none"/>
                <w:lang w:val="en-US" w:eastAsia="zh-CN" w:bidi="ar-SA"/>
              </w:rPr>
              <w:suppressLineNumbers w:val="0"/>
            </w:pPr>
            <w:r>
              <w:rPr>
                <w:rFonts w:hint="eastAsia" w:ascii="黑体" w:hAnsi="黑体" w:eastAsia="黑体" w:cs="黑体"/>
                <w:color w:val="auto"/>
                <w:sz w:val="21"/>
                <w:szCs w:val="21"/>
                <w:highlight w:val="none"/>
                <w:lang w:val="en-US" w:eastAsia="zh-CN" w:bidi="ar-SA"/>
              </w:rPr>
              <w:t xml:space="preserve">通过设计说明（文字陈述），从方案设计是否符合</w:t>
            </w:r>
            <w:r>
              <w:rPr>
                <w:rFonts w:hint="eastAsia" w:ascii="黑体" w:hAnsi="黑体" w:eastAsia="黑体" w:cs="黑体"/>
                <w:color w:val="auto"/>
                <w:sz w:val="21"/>
                <w:szCs w:val="21"/>
                <w:highlight w:val="none"/>
                <w:lang w:val="zh-CN" w:eastAsia="zh-CN" w:bidi="ar-SA"/>
              </w:rPr>
              <w:t xml:space="preserve">新开街道综合性养老服务中心</w:t>
            </w:r>
            <w:r>
              <w:rPr>
                <w:rFonts w:hint="eastAsia" w:ascii="黑体" w:hAnsi="黑体" w:eastAsia="黑体" w:cs="黑体"/>
                <w:color w:val="auto"/>
                <w:sz w:val="21"/>
                <w:szCs w:val="21"/>
                <w:highlight w:val="none"/>
                <w:lang w:val="en-US" w:eastAsia="zh-CN" w:bidi="ar-SA"/>
              </w:rPr>
              <w:t xml:space="preserve">设计理念与要求、功能分区是否明确且齐全、是否合理利用有效面积、各功能房间面积配置合理等方面体现。</w:t>
            </w:r>
            <w:r/>
          </w:p>
          <w:p>
            <w:pPr>
              <w:pStyle w:val="929"/>
              <w:jc w:val="left"/>
              <w:keepLines w:val="0"/>
              <w:keepNext w:val="0"/>
              <w:pageBreakBefore w:val="0"/>
              <w:spacing w:line="360" w:lineRule="exact"/>
              <w:widowControl w:val="off"/>
              <w:rPr>
                <w:rFonts w:hint="eastAsia" w:ascii="黑体" w:hAnsi="黑体" w:eastAsia="黑体" w:cs="黑体"/>
                <w:color w:val="auto"/>
                <w:lang w:val="en-US" w:eastAsia="zh-CN"/>
              </w:rPr>
            </w:pPr>
            <w:r>
              <w:rPr>
                <w:rFonts w:hint="eastAsia" w:ascii="黑体" w:hAnsi="黑体" w:eastAsia="黑体" w:cs="黑体"/>
                <w:color w:val="auto"/>
                <w:sz w:val="21"/>
                <w:szCs w:val="21"/>
                <w:highlight w:val="none"/>
                <w:lang w:val="en-US" w:eastAsia="zh-CN" w:bidi="ar-SA"/>
              </w:rPr>
              <w:t xml:space="preserve">设计理念及要求紧贴本项目需求要求，功能分区明确且齐全、能合理利用有效面积、各功能房间面积配置合理得11分；设计理念及要求较符合本项目需求要求，功能分区较明确、齐全、能较合理利用有效面积、各功能房间面积配置较为合理得8分；设计理念及要求有部分本项目需求要求，有功能分区、有效面积、各功能房间面积配置有体现得4分；有设计理念、有功能分区、有效面积及各功能方面面积配置有体现得1分；未提供的不予得分。</w:t>
            </w:r>
            <w:r/>
          </w:p>
        </w:tc>
      </w:tr>
      <w:tr>
        <w:trPr>
          <w:jc w:val="center"/>
          <w:trHeight w:val="1031"/>
        </w:trPr>
        <w:tc>
          <w:tcPr>
            <w:tcW w:w="1010"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bCs/>
                <w:color w:val="auto"/>
                <w:sz w:val="21"/>
                <w:szCs w:val="21"/>
                <w:highlight w:val="none"/>
                <w:lang w:val="en-US" w:eastAsia="zh-CN"/>
              </w:rPr>
              <w:suppressLineNumbers w:val="0"/>
            </w:pPr>
            <w:r>
              <w:rPr>
                <w:rFonts w:hint="eastAsia" w:ascii="黑体" w:hAnsi="黑体" w:eastAsia="黑体" w:cs="黑体"/>
                <w:bCs/>
                <w:color w:val="auto"/>
                <w:sz w:val="21"/>
                <w:szCs w:val="21"/>
                <w:highlight w:val="none"/>
                <w:lang w:val="en-US" w:eastAsia="zh-CN"/>
              </w:rPr>
              <w:t xml:space="preserve">3</w:t>
            </w:r>
            <w:r/>
          </w:p>
        </w:tc>
        <w:tc>
          <w:tcPr>
            <w:tcBorders>
              <w:left w:val="none" w:color="000000" w:sz="4" w:space="0"/>
            </w:tcBorders>
            <w:tcW w:w="1522"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highlight w:val="none"/>
                <w:lang w:val="en-US" w:eastAsia="zh-CN"/>
              </w:rPr>
              <w:suppressLineNumbers w:val="0"/>
            </w:pPr>
            <w:r>
              <w:rPr>
                <w:rFonts w:hint="eastAsia" w:ascii="黑体" w:hAnsi="黑体" w:eastAsia="黑体" w:cs="黑体"/>
                <w:color w:val="auto"/>
                <w:sz w:val="21"/>
                <w:szCs w:val="21"/>
                <w:highlight w:val="none"/>
                <w:lang w:val="zh-CN" w:eastAsia="zh-CN"/>
              </w:rPr>
              <w:t xml:space="preserve">新开街道综合性养老服务中心</w:t>
            </w:r>
            <w:r>
              <w:rPr>
                <w:rFonts w:hint="eastAsia" w:ascii="黑体" w:hAnsi="黑体" w:eastAsia="黑体" w:cs="黑体"/>
                <w:color w:val="auto"/>
                <w:sz w:val="21"/>
                <w:szCs w:val="21"/>
                <w:highlight w:val="none"/>
                <w:lang w:val="en-US" w:eastAsia="zh-CN"/>
              </w:rPr>
              <w:t xml:space="preserve">建设装修设计效果图</w:t>
            </w:r>
            <w:r/>
          </w:p>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highlight w:val="none"/>
                <w:lang w:val="en-US" w:eastAsia="zh-CN"/>
              </w:rPr>
              <w:suppressLineNumbers w:val="0"/>
            </w:pPr>
            <w:r>
              <w:rPr>
                <w:rFonts w:hint="eastAsia" w:ascii="黑体" w:hAnsi="黑体" w:eastAsia="黑体" w:cs="黑体"/>
                <w:color w:val="auto"/>
                <w:sz w:val="21"/>
                <w:szCs w:val="21"/>
                <w:highlight w:val="none"/>
                <w:lang w:val="en-US" w:eastAsia="zh-CN"/>
              </w:rPr>
              <w:t xml:space="preserve">（11分）</w:t>
            </w:r>
            <w:r/>
          </w:p>
        </w:tc>
        <w:tc>
          <w:tcPr>
            <w:gridSpan w:val="2"/>
            <w:tcBorders>
              <w:left w:val="none" w:color="000000" w:sz="4" w:space="0"/>
            </w:tcBorders>
            <w:tcW w:w="6927" w:type="dxa"/>
            <w:vAlign w:val="center"/>
            <w:textDirection w:val="lrTb"/>
            <w:noWrap w:val="false"/>
          </w:tcPr>
          <w:p>
            <w:pPr>
              <w:ind w:left="0" w:right="0"/>
              <w:keepLines w:val="0"/>
              <w:keepNext w:val="0"/>
              <w:spacing w:before="0" w:beforeAutospacing="0" w:after="0" w:afterAutospacing="0" w:line="240" w:lineRule="auto"/>
              <w:widowControl/>
              <w:rPr>
                <w:rStyle w:val="983"/>
                <w:rFonts w:hint="eastAsia" w:ascii="黑体" w:hAnsi="黑体" w:eastAsia="黑体" w:cs="黑体"/>
                <w:i w:val="0"/>
                <w:iCs w:val="0"/>
                <w:color w:val="auto"/>
                <w:szCs w:val="21"/>
                <w:highlight w:val="none"/>
                <w:u w:val="none"/>
                <w:lang w:val="en-US"/>
              </w:rPr>
              <w:suppressLineNumbers w:val="0"/>
            </w:pPr>
            <w:r>
              <w:rPr>
                <w:rStyle w:val="983"/>
                <w:rFonts w:hint="eastAsia" w:ascii="黑体" w:hAnsi="黑体" w:eastAsia="黑体" w:cs="黑体"/>
                <w:i w:val="0"/>
                <w:iCs w:val="0"/>
                <w:color w:val="auto"/>
                <w:szCs w:val="21"/>
                <w:highlight w:val="none"/>
                <w:u w:val="none"/>
                <w:lang w:val="en-US"/>
              </w:rPr>
              <w:t xml:space="preserve">评委</w:t>
            </w:r>
            <w:r>
              <w:rPr>
                <w:rStyle w:val="983"/>
                <w:rFonts w:hint="eastAsia" w:ascii="黑体" w:hAnsi="黑体" w:eastAsia="黑体" w:cs="黑体"/>
                <w:i w:val="0"/>
                <w:iCs w:val="0"/>
                <w:color w:val="auto"/>
                <w:szCs w:val="21"/>
                <w:highlight w:val="none"/>
                <w:u w:val="none"/>
              </w:rPr>
              <w:t xml:space="preserve">根据供应商</w:t>
            </w:r>
            <w:r>
              <w:rPr>
                <w:rStyle w:val="983"/>
                <w:rFonts w:hint="eastAsia" w:ascii="黑体" w:hAnsi="黑体" w:eastAsia="黑体" w:cs="黑体"/>
                <w:i w:val="0"/>
                <w:iCs w:val="0"/>
                <w:color w:val="auto"/>
                <w:szCs w:val="21"/>
                <w:highlight w:val="none"/>
                <w:u w:val="none"/>
                <w:lang w:val="en-US"/>
              </w:rPr>
              <w:t xml:space="preserve">提供的</w:t>
            </w:r>
            <w:r>
              <w:rPr>
                <w:rFonts w:hint="eastAsia" w:ascii="黑体" w:hAnsi="黑体" w:eastAsia="黑体" w:cs="黑体"/>
                <w:color w:val="auto"/>
                <w:sz w:val="21"/>
                <w:szCs w:val="21"/>
                <w:highlight w:val="none"/>
                <w:lang w:val="zh-CN" w:eastAsia="zh-CN"/>
              </w:rPr>
              <w:t xml:space="preserve">新开街道综合性养老服务中心</w:t>
            </w:r>
            <w:r>
              <w:rPr>
                <w:rStyle w:val="983"/>
                <w:rFonts w:hint="eastAsia" w:ascii="黑体" w:hAnsi="黑体" w:eastAsia="黑体" w:cs="黑体"/>
                <w:i w:val="0"/>
                <w:iCs w:val="0"/>
                <w:color w:val="auto"/>
                <w:szCs w:val="21"/>
                <w:highlight w:val="none"/>
                <w:u w:val="none"/>
              </w:rPr>
              <w:t xml:space="preserve">功能</w:t>
            </w:r>
            <w:r>
              <w:rPr>
                <w:rStyle w:val="983"/>
                <w:rFonts w:hint="eastAsia" w:ascii="黑体" w:hAnsi="黑体" w:eastAsia="黑体" w:cs="黑体"/>
                <w:i w:val="0"/>
                <w:iCs w:val="0"/>
                <w:color w:val="auto"/>
                <w:szCs w:val="21"/>
                <w:highlight w:val="none"/>
                <w:u w:val="none"/>
                <w:lang w:val="en-US"/>
              </w:rPr>
              <w:t xml:space="preserve">划分、布局合理，注重空间利用，材料选用等从不同角度展示符合本项目需求内容的重点及特色等方面进行</w:t>
            </w:r>
            <w:r>
              <w:rPr>
                <w:rStyle w:val="983"/>
                <w:rFonts w:hint="eastAsia" w:ascii="黑体" w:hAnsi="黑体" w:eastAsia="黑体" w:cs="黑体"/>
                <w:i w:val="0"/>
                <w:iCs w:val="0"/>
                <w:color w:val="auto"/>
                <w:szCs w:val="21"/>
                <w:highlight w:val="none"/>
                <w:u w:val="none"/>
                <w:lang w:val="en-US" w:eastAsia="zh-CN"/>
              </w:rPr>
              <w:t xml:space="preserve">综合评分</w:t>
            </w:r>
            <w:r>
              <w:rPr>
                <w:rStyle w:val="983"/>
                <w:rFonts w:hint="eastAsia" w:ascii="黑体" w:hAnsi="黑体" w:eastAsia="黑体" w:cs="黑体"/>
                <w:i w:val="0"/>
                <w:iCs w:val="0"/>
                <w:color w:val="auto"/>
                <w:szCs w:val="21"/>
                <w:highlight w:val="none"/>
                <w:u w:val="none"/>
                <w:lang w:val="en-US"/>
              </w:rPr>
              <w:t xml:space="preserve">：</w:t>
            </w:r>
            <w:r/>
          </w:p>
          <w:p>
            <w:pPr>
              <w:ind w:left="0" w:right="0"/>
              <w:keepLines w:val="0"/>
              <w:keepNext w:val="0"/>
              <w:spacing w:before="0" w:beforeAutospacing="0" w:after="0" w:afterAutospacing="0" w:line="240" w:lineRule="auto"/>
              <w:widowControl/>
              <w:rPr>
                <w:rStyle w:val="983"/>
                <w:rFonts w:hint="eastAsia" w:ascii="黑体" w:hAnsi="黑体" w:eastAsia="黑体" w:cs="黑体"/>
                <w:i w:val="0"/>
                <w:iCs w:val="0"/>
                <w:color w:val="auto"/>
                <w:szCs w:val="21"/>
                <w:highlight w:val="none"/>
                <w:u w:val="none"/>
                <w:lang w:val="en-US"/>
              </w:rPr>
              <w:suppressLineNumbers w:val="0"/>
            </w:pPr>
            <w:r>
              <w:rPr>
                <w:rStyle w:val="983"/>
                <w:rFonts w:hint="eastAsia" w:ascii="黑体" w:hAnsi="黑体" w:eastAsia="黑体" w:cs="黑体"/>
                <w:i w:val="0"/>
                <w:iCs w:val="0"/>
                <w:color w:val="auto"/>
                <w:szCs w:val="21"/>
                <w:highlight w:val="none"/>
                <w:u w:val="none"/>
                <w:lang w:val="en-US" w:eastAsia="zh-CN"/>
              </w:rPr>
              <w:t xml:space="preserve">（1）效果图的</w:t>
            </w:r>
            <w:r>
              <w:rPr>
                <w:rStyle w:val="983"/>
                <w:rFonts w:hint="eastAsia" w:ascii="黑体" w:hAnsi="黑体" w:eastAsia="黑体" w:cs="黑体"/>
                <w:i w:val="0"/>
                <w:iCs w:val="0"/>
                <w:color w:val="auto"/>
                <w:szCs w:val="21"/>
                <w:highlight w:val="none"/>
                <w:u w:val="none"/>
                <w:lang w:val="en-US"/>
              </w:rPr>
              <w:t xml:space="preserve">功能划分、布局合理，注重空间利用，材料选用，</w:t>
            </w:r>
            <w:r>
              <w:rPr>
                <w:rStyle w:val="983"/>
                <w:rFonts w:hint="eastAsia" w:ascii="黑体" w:hAnsi="黑体" w:eastAsia="黑体" w:cs="黑体"/>
                <w:i w:val="0"/>
                <w:iCs w:val="0"/>
                <w:color w:val="auto"/>
                <w:szCs w:val="21"/>
                <w:highlight w:val="none"/>
                <w:u w:val="none"/>
                <w:lang w:val="en-US" w:eastAsia="zh-CN"/>
              </w:rPr>
              <w:t xml:space="preserve">设计合理、</w:t>
            </w:r>
            <w:r>
              <w:rPr>
                <w:rStyle w:val="983"/>
                <w:rFonts w:hint="eastAsia" w:ascii="黑体" w:hAnsi="黑体" w:eastAsia="黑体" w:cs="黑体"/>
                <w:i w:val="0"/>
                <w:iCs w:val="0"/>
                <w:color w:val="auto"/>
                <w:szCs w:val="21"/>
                <w:highlight w:val="none"/>
                <w:u w:val="none"/>
                <w:lang w:val="en-US"/>
              </w:rPr>
              <w:t xml:space="preserve">针对性和可操作性强的得</w:t>
            </w:r>
            <w:r>
              <w:rPr>
                <w:rStyle w:val="983"/>
                <w:rFonts w:hint="eastAsia" w:ascii="黑体" w:hAnsi="黑体" w:eastAsia="黑体" w:cs="黑体"/>
                <w:i w:val="0"/>
                <w:iCs w:val="0"/>
                <w:color w:val="auto"/>
                <w:szCs w:val="21"/>
                <w:highlight w:val="none"/>
                <w:u w:val="none"/>
                <w:lang w:val="en-US" w:eastAsia="zh-CN"/>
              </w:rPr>
              <w:t xml:space="preserve">11</w:t>
            </w:r>
            <w:r>
              <w:rPr>
                <w:rStyle w:val="983"/>
                <w:rFonts w:hint="eastAsia" w:ascii="黑体" w:hAnsi="黑体" w:eastAsia="黑体" w:cs="黑体"/>
                <w:i w:val="0"/>
                <w:iCs w:val="0"/>
                <w:color w:val="auto"/>
                <w:szCs w:val="21"/>
                <w:highlight w:val="none"/>
                <w:u w:val="none"/>
                <w:lang w:val="en-US"/>
              </w:rPr>
              <w:t xml:space="preserve">分；</w:t>
            </w:r>
            <w:r/>
          </w:p>
          <w:p>
            <w:pPr>
              <w:ind w:left="0" w:right="0"/>
              <w:keepLines w:val="0"/>
              <w:keepNext w:val="0"/>
              <w:spacing w:before="0" w:beforeAutospacing="0" w:after="0" w:afterAutospacing="0" w:line="240" w:lineRule="auto"/>
              <w:widowControl/>
              <w:rPr>
                <w:rStyle w:val="983"/>
                <w:rFonts w:hint="eastAsia" w:ascii="黑体" w:hAnsi="黑体" w:eastAsia="黑体" w:cs="黑体"/>
                <w:i w:val="0"/>
                <w:iCs w:val="0"/>
                <w:color w:val="auto"/>
                <w:szCs w:val="21"/>
                <w:highlight w:val="none"/>
                <w:u w:val="none"/>
                <w:lang w:val="en-US"/>
              </w:rPr>
              <w:suppressLineNumbers w:val="0"/>
            </w:pPr>
            <w:r>
              <w:rPr>
                <w:rStyle w:val="983"/>
                <w:rFonts w:hint="eastAsia" w:ascii="黑体" w:hAnsi="黑体" w:eastAsia="黑体" w:cs="黑体"/>
                <w:i w:val="0"/>
                <w:iCs w:val="0"/>
                <w:color w:val="auto"/>
                <w:szCs w:val="21"/>
                <w:highlight w:val="none"/>
                <w:u w:val="none"/>
                <w:lang w:val="en-US" w:eastAsia="zh-CN"/>
              </w:rPr>
              <w:t xml:space="preserve">（2）效果图的</w:t>
            </w:r>
            <w:r>
              <w:rPr>
                <w:rStyle w:val="983"/>
                <w:rFonts w:hint="eastAsia" w:ascii="黑体" w:hAnsi="黑体" w:eastAsia="黑体" w:cs="黑体"/>
                <w:i w:val="0"/>
                <w:iCs w:val="0"/>
                <w:color w:val="auto"/>
                <w:szCs w:val="21"/>
                <w:highlight w:val="none"/>
                <w:u w:val="none"/>
                <w:lang w:val="en-US"/>
              </w:rPr>
              <w:t xml:space="preserve">功能划分、布局合理，注重空间利用，材料选用，</w:t>
            </w:r>
            <w:r>
              <w:rPr>
                <w:rStyle w:val="983"/>
                <w:rFonts w:hint="eastAsia" w:ascii="黑体" w:hAnsi="黑体" w:eastAsia="黑体" w:cs="黑体"/>
                <w:i w:val="0"/>
                <w:iCs w:val="0"/>
                <w:color w:val="auto"/>
                <w:szCs w:val="21"/>
                <w:highlight w:val="none"/>
                <w:u w:val="none"/>
                <w:lang w:val="en-US" w:eastAsia="zh-CN"/>
              </w:rPr>
              <w:t xml:space="preserve">设计合理、</w:t>
            </w:r>
            <w:r>
              <w:rPr>
                <w:rStyle w:val="983"/>
                <w:rFonts w:hint="eastAsia" w:ascii="黑体" w:hAnsi="黑体" w:eastAsia="黑体" w:cs="黑体"/>
                <w:i w:val="0"/>
                <w:iCs w:val="0"/>
                <w:color w:val="auto"/>
                <w:szCs w:val="21"/>
                <w:highlight w:val="none"/>
                <w:u w:val="none"/>
                <w:lang w:val="en-US"/>
              </w:rPr>
              <w:t xml:space="preserve">不存在实施难度的得7分；</w:t>
            </w:r>
            <w:r/>
          </w:p>
          <w:p>
            <w:pPr>
              <w:ind w:left="0" w:right="0"/>
              <w:keepLines w:val="0"/>
              <w:keepNext w:val="0"/>
              <w:spacing w:before="0" w:beforeAutospacing="0" w:after="0" w:afterAutospacing="0" w:line="240" w:lineRule="auto"/>
              <w:widowControl/>
              <w:rPr>
                <w:rStyle w:val="983"/>
                <w:rFonts w:hint="eastAsia" w:ascii="黑体" w:hAnsi="黑体" w:eastAsia="黑体" w:cs="黑体"/>
                <w:i w:val="0"/>
                <w:iCs w:val="0"/>
                <w:color w:val="auto"/>
                <w:szCs w:val="21"/>
                <w:highlight w:val="none"/>
                <w:u w:val="none"/>
                <w:lang w:val="en-US"/>
              </w:rPr>
              <w:suppressLineNumbers w:val="0"/>
            </w:pPr>
            <w:r>
              <w:rPr>
                <w:rStyle w:val="983"/>
                <w:rFonts w:hint="eastAsia" w:ascii="黑体" w:hAnsi="黑体" w:eastAsia="黑体" w:cs="黑体"/>
                <w:i w:val="0"/>
                <w:iCs w:val="0"/>
                <w:color w:val="auto"/>
                <w:szCs w:val="21"/>
                <w:highlight w:val="none"/>
                <w:u w:val="none"/>
                <w:lang w:val="en-US" w:eastAsia="zh-CN"/>
              </w:rPr>
              <w:t xml:space="preserve">（3）效果图的</w:t>
            </w:r>
            <w:r>
              <w:rPr>
                <w:rStyle w:val="983"/>
                <w:rFonts w:hint="eastAsia" w:ascii="黑体" w:hAnsi="黑体" w:eastAsia="黑体" w:cs="黑体"/>
                <w:i w:val="0"/>
                <w:iCs w:val="0"/>
                <w:color w:val="auto"/>
                <w:szCs w:val="21"/>
                <w:highlight w:val="none"/>
                <w:u w:val="none"/>
                <w:lang w:val="en-US"/>
              </w:rPr>
              <w:t xml:space="preserve">功能划分、布局合理，注重空间利用，材料选用基本合理，</w:t>
            </w:r>
            <w:r>
              <w:rPr>
                <w:rStyle w:val="983"/>
                <w:rFonts w:hint="eastAsia" w:ascii="黑体" w:hAnsi="黑体" w:eastAsia="黑体" w:cs="黑体"/>
                <w:i w:val="0"/>
                <w:iCs w:val="0"/>
                <w:color w:val="auto"/>
                <w:szCs w:val="21"/>
                <w:highlight w:val="none"/>
                <w:u w:val="none"/>
                <w:lang w:val="en-US" w:eastAsia="zh-CN"/>
              </w:rPr>
              <w:t xml:space="preserve">图纸设计</w:t>
            </w:r>
            <w:r>
              <w:rPr>
                <w:rStyle w:val="983"/>
                <w:rFonts w:hint="eastAsia" w:ascii="黑体" w:hAnsi="黑体" w:eastAsia="黑体" w:cs="黑体"/>
                <w:i w:val="0"/>
                <w:iCs w:val="0"/>
                <w:color w:val="auto"/>
                <w:szCs w:val="21"/>
                <w:highlight w:val="none"/>
                <w:u w:val="none"/>
                <w:lang w:val="en-US"/>
              </w:rPr>
              <w:t xml:space="preserve">不到位，针对性和可操作性不强的得3分；</w:t>
            </w:r>
            <w:r/>
          </w:p>
          <w:p>
            <w:pPr>
              <w:ind w:left="0" w:right="0"/>
              <w:keepLines w:val="0"/>
              <w:keepNext w:val="0"/>
              <w:spacing w:before="0" w:beforeAutospacing="0" w:after="0" w:afterAutospacing="0" w:line="240" w:lineRule="auto"/>
              <w:widowControl/>
              <w:rPr>
                <w:rStyle w:val="983"/>
                <w:rFonts w:hint="eastAsia" w:ascii="黑体" w:hAnsi="黑体" w:eastAsia="黑体" w:cs="黑体"/>
                <w:i w:val="0"/>
                <w:iCs w:val="0"/>
                <w:color w:val="auto"/>
                <w:szCs w:val="21"/>
                <w:highlight w:val="none"/>
                <w:u w:val="none"/>
                <w:lang w:val="en-US"/>
              </w:rPr>
              <w:suppressLineNumbers w:val="0"/>
            </w:pPr>
            <w:r>
              <w:rPr>
                <w:rStyle w:val="983"/>
                <w:rFonts w:hint="eastAsia" w:ascii="黑体" w:hAnsi="黑体" w:eastAsia="黑体" w:cs="黑体"/>
                <w:i w:val="0"/>
                <w:iCs w:val="0"/>
                <w:color w:val="auto"/>
                <w:szCs w:val="21"/>
                <w:highlight w:val="none"/>
                <w:u w:val="none"/>
                <w:lang w:val="en-US" w:eastAsia="zh-CN"/>
              </w:rPr>
              <w:t xml:space="preserve">（4）效果图</w:t>
            </w:r>
            <w:r>
              <w:rPr>
                <w:rStyle w:val="983"/>
                <w:rFonts w:hint="eastAsia" w:ascii="黑体" w:hAnsi="黑体" w:eastAsia="黑体" w:cs="黑体"/>
                <w:i w:val="0"/>
                <w:iCs w:val="0"/>
                <w:color w:val="auto"/>
                <w:szCs w:val="21"/>
                <w:highlight w:val="none"/>
                <w:u w:val="none"/>
                <w:lang w:val="en-US"/>
              </w:rPr>
              <w:t xml:space="preserve">简单，描述略欠缺，存在一定实施难度的得1分；</w:t>
            </w:r>
            <w:r/>
          </w:p>
          <w:p>
            <w:pPr>
              <w:ind w:left="0" w:right="0"/>
              <w:keepLines w:val="0"/>
              <w:keepNext w:val="0"/>
              <w:spacing w:before="0" w:beforeAutospacing="0" w:after="0" w:afterAutospacing="0" w:line="240" w:lineRule="auto"/>
              <w:widowControl/>
              <w:rPr>
                <w:rFonts w:hint="eastAsia" w:ascii="黑体" w:hAnsi="黑体" w:eastAsia="黑体" w:cs="黑体"/>
                <w:color w:val="auto"/>
                <w:sz w:val="21"/>
                <w:szCs w:val="21"/>
                <w:highlight w:val="none"/>
                <w:lang w:val="en-US" w:eastAsia="zh-CN" w:bidi="ar-SA"/>
              </w:rPr>
              <w:suppressLineNumbers w:val="0"/>
            </w:pPr>
            <w:r>
              <w:rPr>
                <w:rStyle w:val="983"/>
                <w:rFonts w:hint="eastAsia" w:ascii="黑体" w:hAnsi="黑体" w:eastAsia="黑体" w:cs="黑体"/>
                <w:i w:val="0"/>
                <w:iCs w:val="0"/>
                <w:color w:val="auto"/>
                <w:szCs w:val="21"/>
                <w:highlight w:val="none"/>
                <w:u w:val="none"/>
                <w:lang w:val="en-US" w:eastAsia="zh-CN"/>
              </w:rPr>
              <w:t xml:space="preserve">（5）未提供效果图的</w:t>
            </w:r>
            <w:r>
              <w:rPr>
                <w:rStyle w:val="983"/>
                <w:rFonts w:hint="eastAsia" w:ascii="黑体" w:hAnsi="黑体" w:eastAsia="黑体" w:cs="黑体"/>
                <w:i w:val="0"/>
                <w:iCs w:val="0"/>
                <w:color w:val="auto"/>
                <w:szCs w:val="21"/>
                <w:highlight w:val="none"/>
                <w:u w:val="none"/>
                <w:lang w:val="en-US"/>
              </w:rPr>
              <w:t xml:space="preserve">不得分；</w:t>
            </w:r>
            <w:r/>
          </w:p>
        </w:tc>
      </w:tr>
      <w:tr>
        <w:trPr>
          <w:jc w:val="center"/>
          <w:trHeight w:val="1088"/>
        </w:trPr>
        <w:tc>
          <w:tcPr>
            <w:tcBorders>
              <w:top w:val="none" w:color="000000" w:sz="4" w:space="0"/>
            </w:tcBorders>
            <w:tcW w:w="1010"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en-US" w:eastAsia="zh-CN"/>
              </w:rPr>
              <w:suppressLineNumbers w:val="0"/>
            </w:pPr>
            <w:r>
              <w:rPr>
                <w:rFonts w:hint="eastAsia" w:ascii="黑体" w:hAnsi="黑体" w:eastAsia="黑体" w:cs="黑体"/>
                <w:color w:val="auto"/>
                <w:sz w:val="21"/>
                <w:szCs w:val="21"/>
                <w:highlight w:val="none"/>
                <w:lang w:val="en-US" w:eastAsia="zh-CN"/>
              </w:rPr>
              <w:t xml:space="preserve">4</w:t>
            </w:r>
            <w:r/>
          </w:p>
        </w:tc>
        <w:tc>
          <w:tcPr>
            <w:tcBorders>
              <w:left w:val="none" w:color="000000" w:sz="4" w:space="0"/>
            </w:tcBorders>
            <w:tcW w:w="1522" w:type="dxa"/>
            <w:vAlign w:val="center"/>
            <w:textDirection w:val="lrTb"/>
            <w:noWrap w:val="false"/>
          </w:tcPr>
          <w:p>
            <w:pPr>
              <w:contextualSpacing/>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en-US"/>
              </w:rPr>
              <w:suppressLineNumbers w:val="0"/>
            </w:pPr>
            <w:r>
              <w:rPr>
                <w:rFonts w:hint="eastAsia" w:ascii="黑体" w:hAnsi="黑体" w:eastAsia="黑体" w:cs="黑体"/>
                <w:color w:val="auto"/>
                <w:sz w:val="21"/>
                <w:szCs w:val="21"/>
                <w:highlight w:val="none"/>
              </w:rPr>
              <w:t xml:space="preserve">针对新开街道综合性养老服务中心</w:t>
            </w:r>
            <w:r>
              <w:rPr>
                <w:rFonts w:hint="eastAsia" w:ascii="黑体" w:hAnsi="黑体" w:eastAsia="黑体" w:cs="黑体"/>
                <w:color w:val="auto"/>
                <w:sz w:val="21"/>
                <w:szCs w:val="21"/>
                <w:highlight w:val="none"/>
                <w:lang w:val="en-US" w:eastAsia="zh-CN"/>
              </w:rPr>
              <w:t xml:space="preserve">全过程的运营实施方案</w:t>
            </w:r>
            <w:r/>
          </w:p>
          <w:p>
            <w:pPr>
              <w:contextualSpacing/>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rPr>
              <w:t xml:space="preserve">（1</w:t>
            </w:r>
            <w:r>
              <w:rPr>
                <w:rFonts w:hint="eastAsia" w:ascii="黑体" w:hAnsi="黑体" w:eastAsia="黑体" w:cs="黑体"/>
                <w:color w:val="auto"/>
                <w:sz w:val="21"/>
                <w:szCs w:val="21"/>
                <w:highlight w:val="none"/>
                <w:lang w:val="en-US" w:eastAsia="zh-CN"/>
              </w:rPr>
              <w:t xml:space="preserve">0</w:t>
            </w:r>
            <w:r>
              <w:rPr>
                <w:rFonts w:hint="eastAsia" w:ascii="黑体" w:hAnsi="黑体" w:eastAsia="黑体" w:cs="黑体"/>
                <w:color w:val="auto"/>
                <w:sz w:val="21"/>
                <w:szCs w:val="21"/>
                <w:highlight w:val="none"/>
              </w:rPr>
              <w:t xml:space="preserve">分）</w:t>
            </w:r>
            <w:r/>
          </w:p>
        </w:tc>
        <w:tc>
          <w:tcPr>
            <w:gridSpan w:val="2"/>
            <w:tcBorders>
              <w:left w:val="none" w:color="000000" w:sz="4" w:space="0"/>
            </w:tcBorders>
            <w:tcW w:w="6927" w:type="dxa"/>
            <w:vAlign w:val="center"/>
            <w:textDirection w:val="lrTb"/>
            <w:noWrap w:val="false"/>
          </w:tcPr>
          <w:p>
            <w:pPr>
              <w:contextualSpacing/>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rPr>
              <w:t xml:space="preserve">1．新开街道综合性养老服务中心</w:t>
            </w:r>
            <w:r>
              <w:rPr>
                <w:rFonts w:hint="eastAsia" w:ascii="黑体" w:hAnsi="黑体" w:eastAsia="黑体" w:cs="黑体"/>
                <w:color w:val="auto"/>
                <w:sz w:val="21"/>
                <w:szCs w:val="21"/>
                <w:highlight w:val="none"/>
                <w:lang w:val="en-US" w:eastAsia="zh-CN"/>
              </w:rPr>
              <w:t xml:space="preserve">全过程的运营</w:t>
            </w:r>
            <w:r>
              <w:rPr>
                <w:rFonts w:hint="eastAsia" w:ascii="黑体" w:hAnsi="黑体" w:eastAsia="黑体" w:cs="黑体"/>
                <w:color w:val="auto"/>
                <w:sz w:val="21"/>
                <w:szCs w:val="21"/>
                <w:highlight w:val="none"/>
              </w:rPr>
              <w:t xml:space="preserve">实施方案：供应商应根据采购文件具体要求及本项目特点，制订项目实施方案。实施方案应包括项目作业流程、设备配备、人员配置</w:t>
            </w:r>
            <w:r>
              <w:rPr>
                <w:rFonts w:hint="eastAsia" w:ascii="黑体" w:hAnsi="黑体" w:eastAsia="黑体" w:cs="黑体"/>
                <w:color w:val="auto"/>
                <w:sz w:val="21"/>
                <w:szCs w:val="21"/>
                <w:highlight w:val="none"/>
                <w:lang w:eastAsia="zh-CN"/>
              </w:rPr>
              <w:t xml:space="preserve">、</w:t>
            </w:r>
            <w:r>
              <w:rPr>
                <w:rFonts w:hint="eastAsia" w:ascii="黑体" w:hAnsi="黑体" w:eastAsia="黑体" w:cs="黑体"/>
                <w:color w:val="auto"/>
                <w:sz w:val="21"/>
                <w:szCs w:val="21"/>
                <w:highlight w:val="none"/>
                <w:lang w:val="en-US" w:eastAsia="zh-CN"/>
              </w:rPr>
              <w:t xml:space="preserve">服务内容</w:t>
            </w:r>
            <w:r>
              <w:rPr>
                <w:rFonts w:hint="eastAsia" w:ascii="黑体" w:hAnsi="黑体" w:eastAsia="黑体" w:cs="黑体"/>
                <w:color w:val="auto"/>
                <w:sz w:val="21"/>
                <w:szCs w:val="21"/>
                <w:highlight w:val="none"/>
              </w:rPr>
              <w:t xml:space="preserve">、</w:t>
            </w:r>
            <w:r>
              <w:rPr>
                <w:rFonts w:hint="eastAsia" w:ascii="黑体" w:hAnsi="黑体" w:eastAsia="黑体" w:cs="黑体"/>
                <w:color w:val="auto"/>
                <w:sz w:val="21"/>
                <w:szCs w:val="21"/>
                <w:highlight w:val="none"/>
                <w:lang w:val="en-US" w:eastAsia="zh-CN"/>
              </w:rPr>
              <w:t xml:space="preserve">运营保障</w:t>
            </w:r>
            <w:r>
              <w:rPr>
                <w:rFonts w:hint="eastAsia" w:ascii="黑体" w:hAnsi="黑体" w:eastAsia="黑体" w:cs="黑体"/>
                <w:color w:val="auto"/>
                <w:sz w:val="21"/>
                <w:szCs w:val="21"/>
                <w:highlight w:val="none"/>
              </w:rPr>
              <w:t xml:space="preserve">等内容，方案全面完整、思路与表述清晰明确的得</w:t>
            </w:r>
            <w:r>
              <w:rPr>
                <w:rFonts w:hint="eastAsia" w:ascii="黑体" w:hAnsi="黑体" w:eastAsia="黑体" w:cs="黑体"/>
                <w:color w:val="auto"/>
                <w:sz w:val="21"/>
                <w:szCs w:val="21"/>
                <w:highlight w:val="none"/>
                <w:lang w:val="en-US" w:eastAsia="zh-CN"/>
              </w:rPr>
              <w:t xml:space="preserve">5</w:t>
            </w:r>
            <w:r>
              <w:rPr>
                <w:rFonts w:hint="eastAsia" w:ascii="黑体" w:hAnsi="黑体" w:eastAsia="黑体" w:cs="黑体"/>
                <w:color w:val="auto"/>
                <w:sz w:val="21"/>
                <w:szCs w:val="21"/>
                <w:highlight w:val="none"/>
              </w:rPr>
              <w:t xml:space="preserve">分；方案基本完整、思路与表述较为清晰明确的得3分；方案完整性一般、思路与表述一般的得1分；方案不完整、思路与表述不清晰明确的不得分。</w:t>
            </w:r>
            <w:r/>
          </w:p>
          <w:p>
            <w:pPr>
              <w:contextualSpacing/>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lang w:val="en-US" w:eastAsia="zh-CN"/>
              </w:rPr>
              <w:t xml:space="preserve">2</w:t>
            </w:r>
            <w:r>
              <w:rPr>
                <w:rFonts w:hint="eastAsia" w:ascii="黑体" w:hAnsi="黑体" w:eastAsia="黑体" w:cs="黑体"/>
                <w:color w:val="auto"/>
                <w:sz w:val="21"/>
                <w:szCs w:val="21"/>
                <w:highlight w:val="none"/>
              </w:rPr>
              <w:t xml:space="preserve">．项目进度计划：供应商应制订具体的项目进度计划。项目进度计划应包含具体的项目进度及控制保障措施，控制保障措施应做到科学完整，确保项目能如期完成。视项目进度安排合理性、工序管理措施科学性、工期滞后弥补办法可行性等，进度控制合理、可行的得</w:t>
            </w:r>
            <w:r>
              <w:rPr>
                <w:rFonts w:hint="eastAsia" w:ascii="黑体" w:hAnsi="黑体" w:eastAsia="黑体" w:cs="黑体"/>
                <w:color w:val="auto"/>
                <w:sz w:val="21"/>
                <w:szCs w:val="21"/>
                <w:highlight w:val="none"/>
                <w:lang w:val="en-US" w:eastAsia="zh-CN"/>
              </w:rPr>
              <w:t xml:space="preserve">5</w:t>
            </w:r>
            <w:r>
              <w:rPr>
                <w:rFonts w:hint="eastAsia" w:ascii="黑体" w:hAnsi="黑体" w:eastAsia="黑体" w:cs="黑体"/>
                <w:color w:val="auto"/>
                <w:sz w:val="21"/>
                <w:szCs w:val="21"/>
                <w:highlight w:val="none"/>
              </w:rPr>
              <w:t xml:space="preserve">分；进度控制较合理、可行的得3分；进度控制一般合理、可行的得1分；进度控制不合理、不可行的不得分。</w:t>
            </w:r>
            <w:r/>
          </w:p>
        </w:tc>
      </w:tr>
      <w:tr>
        <w:trPr>
          <w:jc w:val="center"/>
          <w:trHeight w:val="377"/>
        </w:trPr>
        <w:tc>
          <w:tcPr>
            <w:tcW w:w="1010"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rPr>
              <w:t xml:space="preserve">5</w:t>
            </w:r>
            <w:r/>
          </w:p>
        </w:tc>
        <w:tc>
          <w:tcPr>
            <w:tcBorders>
              <w:left w:val="none" w:color="000000" w:sz="4" w:space="0"/>
            </w:tcBorders>
            <w:tcW w:w="1522"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rPr>
              <w:t xml:space="preserve">拟派本项目技术力量</w:t>
            </w:r>
            <w:r/>
          </w:p>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rPr>
              <w:t xml:space="preserve">（</w:t>
            </w:r>
            <w:r>
              <w:rPr>
                <w:rFonts w:hint="eastAsia" w:ascii="黑体" w:hAnsi="黑体" w:eastAsia="黑体" w:cs="黑体"/>
                <w:color w:val="auto"/>
                <w:sz w:val="21"/>
                <w:szCs w:val="21"/>
                <w:highlight w:val="none"/>
                <w:lang w:val="en-US" w:eastAsia="zh-CN"/>
              </w:rPr>
              <w:t xml:space="preserve">21</w:t>
            </w:r>
            <w:r>
              <w:rPr>
                <w:rFonts w:hint="eastAsia" w:ascii="黑体" w:hAnsi="黑体" w:eastAsia="黑体" w:cs="黑体"/>
                <w:color w:val="auto"/>
                <w:sz w:val="21"/>
                <w:szCs w:val="21"/>
                <w:highlight w:val="none"/>
              </w:rPr>
              <w:t xml:space="preserve">分）</w:t>
            </w:r>
            <w:r/>
          </w:p>
        </w:tc>
        <w:tc>
          <w:tcPr>
            <w:gridSpan w:val="2"/>
            <w:tcBorders>
              <w:left w:val="none" w:color="000000" w:sz="4" w:space="0"/>
            </w:tcBorders>
            <w:tcW w:w="6927" w:type="dxa"/>
            <w:vAlign w:val="center"/>
            <w:textDirection w:val="lrTb"/>
            <w:noWrap w:val="false"/>
          </w:tcPr>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1、供应商针对本项目拟派项目负责人具有全日制本科及以上学历得2分；负责人具有5年及以上养老服务运营管理经验得2分，2年及以上养老服务运营管理经验得1分。本项最高限得5分。</w:t>
            </w:r>
            <w:r/>
          </w:p>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en-US" w:eastAsia="zh-CN" w:bidi="ar-SA"/>
              </w:rPr>
              <w:suppressLineNumbers w:val="0"/>
            </w:pPr>
            <w:r>
              <w:rPr>
                <w:rFonts w:hint="eastAsia" w:ascii="黑体" w:hAnsi="黑体" w:eastAsia="黑体" w:cs="黑体"/>
                <w:color w:val="auto"/>
                <w:sz w:val="21"/>
                <w:szCs w:val="21"/>
                <w:highlight w:val="none"/>
                <w:lang w:val="en-US" w:eastAsia="zh-CN" w:bidi="ar-SA"/>
              </w:rPr>
              <w:t xml:space="preserve">（提供拟派负责人的学历证书、劳动合同、由本单位缴纳为其缴纳的自2024年7月至9月中任意一个月的由人社部门出具的社保缴费证明、拟派项目负责人养老服务运营管理经验证明材料需提供项目运营管理合同，合同中未体现拟派负责人为管理者时须同时出具由运营合同中甲方出具其为该运营项目管理人员的证明材料的原件扫描件（加盖甲方印章原件扫描件），以上所有资料均加盖供应商中，以上资料若未响应或不清晰或未提供的均不得分）；</w:t>
            </w:r>
            <w:r/>
          </w:p>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2、拟派本项目组成员具有养老服务生活照料、康复护理、精神慰藉等服务区内容相关的专职人员（医生、护士、药剂师、康复治疗师、心理咨询师、养老护理员、社会工作者等团队人员应符合行业要求并具备相关资质。（医生、护士、药剂师需取得相关行政主管部门颁发的卫生专业技术资格；社会工作者需取得相关行政主管部门颁发的社会工作者职业资格；康复治疗师、心理咨询师、养老护理员需取得相关行政主管部门职业技能鉴定（指导）中心颁发的相关证书。）</w:t>
            </w:r>
            <w:r/>
          </w:p>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①社工和养老护理员需提供不少于6人得3分，达不到要求或未提供不得分；</w:t>
            </w:r>
            <w:r/>
          </w:p>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②其他五类人员（康复治疗或理疗师，心理咨询师，医生，护士，药剂师）每提供1类人员（数量不少于1人）得1分，最高得3分；</w:t>
            </w:r>
            <w:r/>
          </w:p>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③每增加一名持证社工得1分，最高得2分；</w:t>
            </w:r>
            <w:r/>
          </w:p>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④每增加一名养老护理员得1分，最高得2分；</w:t>
            </w:r>
            <w:r/>
          </w:p>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3、护理员平均年龄小于55周岁得2分。最高得2分。</w:t>
            </w:r>
            <w:r/>
          </w:p>
          <w:p>
            <w:pPr>
              <w:pStyle w:val="949"/>
              <w:numPr>
                <w:ilvl w:val="0"/>
                <w:numId w:val="0"/>
              </w:numPr>
              <w:jc w:val="left"/>
              <w:keepLines w:val="0"/>
              <w:keepNext w:val="0"/>
              <w:pageBreakBefore w:val="0"/>
              <w:spacing w:line="44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t xml:space="preserve">4、每个安置房居家养老服务点设全职管理人员1人，专职人员配备到位（不少于2人），年龄小于50周岁，得2分。最高得2分。</w:t>
            </w:r>
            <w:r/>
          </w:p>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en-US" w:eastAsia="zh-CN" w:bidi="ar-SA"/>
              </w:rPr>
              <w:suppressLineNumbers w:val="0"/>
            </w:pPr>
            <w:r>
              <w:rPr>
                <w:rFonts w:hint="eastAsia" w:ascii="黑体" w:hAnsi="黑体" w:eastAsia="黑体" w:cs="黑体"/>
                <w:color w:val="auto"/>
                <w:sz w:val="21"/>
                <w:szCs w:val="21"/>
                <w:highlight w:val="none"/>
                <w:lang w:val="en-US" w:eastAsia="zh-CN" w:bidi="ar-SA"/>
              </w:rPr>
              <w:t xml:space="preserve">5、本项目配备的厨师需具有相关行政主管部门颁发的中式烹调师职业资格证书的得1分；配备的面点师具有相关行政主管部门颁发面点师职业资格证书的得1分；最高得2分。</w:t>
            </w:r>
            <w:r/>
          </w:p>
          <w:p>
            <w:pPr>
              <w:pStyle w:val="930"/>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1"/>
                <w:szCs w:val="21"/>
                <w:highlight w:val="none"/>
                <w:lang w:val="en-US" w:eastAsia="zh-CN" w:bidi="ar-SA"/>
              </w:rPr>
              <w:suppressLineNumbers w:val="0"/>
            </w:pPr>
            <w:r>
              <w:rPr>
                <w:rFonts w:hint="eastAsia" w:ascii="黑体" w:hAnsi="黑体" w:eastAsia="黑体" w:cs="黑体"/>
                <w:color w:val="auto"/>
                <w:sz w:val="21"/>
                <w:szCs w:val="21"/>
                <w:highlight w:val="none"/>
                <w:lang w:val="en-US" w:eastAsia="zh-CN" w:bidi="ar-SA"/>
              </w:rPr>
              <w:t xml:space="preserve">注：（1）以上人员不重复得分，</w:t>
            </w:r>
            <w:r/>
          </w:p>
          <w:p>
            <w:pPr>
              <w:numPr>
                <w:ilvl w:val="0"/>
                <w:numId w:val="0"/>
              </w:numPr>
              <w:ind w:left="0" w:right="0"/>
              <w:jc w:val="left"/>
              <w:keepLines w:val="0"/>
              <w:keepNext w:val="0"/>
              <w:pageBreakBefore w:val="0"/>
              <w:spacing w:before="0" w:beforeAutospacing="0" w:after="0" w:afterAutospacing="0" w:line="440" w:lineRule="exact"/>
              <w:rPr>
                <w:rFonts w:hint="eastAsia" w:ascii="黑体" w:hAnsi="黑体" w:eastAsia="黑体" w:cs="黑体"/>
                <w:b w:val="0"/>
                <w:bCs w:val="0"/>
                <w:color w:val="auto"/>
                <w:sz w:val="21"/>
                <w:szCs w:val="21"/>
                <w:highlight w:val="none"/>
              </w:rPr>
              <w:suppressLineNumbers w:val="0"/>
            </w:pPr>
            <w:r>
              <w:rPr>
                <w:rFonts w:hint="eastAsia" w:ascii="黑体" w:hAnsi="黑体" w:eastAsia="黑体" w:cs="黑体"/>
                <w:b w:val="0"/>
                <w:bCs w:val="0"/>
                <w:color w:val="auto"/>
                <w:sz w:val="21"/>
                <w:szCs w:val="21"/>
                <w:highlight w:val="none"/>
                <w:lang w:eastAsia="zh-CN"/>
              </w:rPr>
              <w:t xml:space="preserve">（</w:t>
            </w:r>
            <w:r>
              <w:rPr>
                <w:rFonts w:hint="eastAsia" w:ascii="黑体" w:hAnsi="黑体" w:eastAsia="黑体" w:cs="黑体"/>
                <w:b w:val="0"/>
                <w:bCs w:val="0"/>
                <w:color w:val="auto"/>
                <w:sz w:val="21"/>
                <w:szCs w:val="21"/>
                <w:highlight w:val="none"/>
                <w:lang w:val="en-US" w:eastAsia="zh-CN"/>
              </w:rPr>
              <w:t xml:space="preserve">2</w:t>
            </w:r>
            <w:r>
              <w:rPr>
                <w:rFonts w:hint="eastAsia" w:ascii="黑体" w:hAnsi="黑体" w:eastAsia="黑体" w:cs="黑体"/>
                <w:b w:val="0"/>
                <w:bCs w:val="0"/>
                <w:color w:val="auto"/>
                <w:sz w:val="21"/>
                <w:szCs w:val="21"/>
                <w:highlight w:val="none"/>
                <w:lang w:eastAsia="zh-CN"/>
              </w:rPr>
              <w:t xml:space="preserve">）</w:t>
            </w:r>
            <w:r>
              <w:rPr>
                <w:rFonts w:hint="eastAsia" w:ascii="黑体" w:hAnsi="黑体" w:eastAsia="黑体" w:cs="黑体"/>
                <w:b w:val="0"/>
                <w:bCs w:val="0"/>
                <w:color w:val="auto"/>
                <w:sz w:val="21"/>
                <w:szCs w:val="21"/>
                <w:highlight w:val="none"/>
              </w:rPr>
              <w:t xml:space="preserve">同时提供</w:t>
            </w:r>
            <w:r>
              <w:rPr>
                <w:rFonts w:hint="eastAsia" w:ascii="黑体" w:hAnsi="黑体" w:eastAsia="黑体" w:cs="黑体"/>
                <w:b w:val="0"/>
                <w:bCs w:val="0"/>
                <w:color w:val="auto"/>
                <w:sz w:val="21"/>
                <w:szCs w:val="21"/>
                <w:highlight w:val="none"/>
                <w:lang w:val="en-US" w:eastAsia="zh-CN"/>
              </w:rPr>
              <w:t xml:space="preserve">相关行政部门</w:t>
            </w:r>
            <w:r>
              <w:rPr>
                <w:rFonts w:hint="eastAsia" w:ascii="黑体" w:hAnsi="黑体" w:eastAsia="黑体" w:cs="黑体"/>
                <w:b w:val="0"/>
                <w:bCs w:val="0"/>
                <w:color w:val="auto"/>
                <w:sz w:val="21"/>
                <w:szCs w:val="21"/>
                <w:highlight w:val="none"/>
                <w:lang w:val="en-US" w:eastAsia="zh-CN" w:bidi="ar-SA"/>
              </w:rPr>
              <w:t xml:space="preserve">自2024年7月至9月中任意一个月的出具的社保缴费证明</w:t>
            </w:r>
            <w:r>
              <w:rPr>
                <w:rFonts w:hint="eastAsia" w:ascii="黑体" w:hAnsi="黑体" w:eastAsia="黑体" w:cs="黑体"/>
                <w:b w:val="0"/>
                <w:bCs w:val="0"/>
                <w:color w:val="auto"/>
                <w:sz w:val="21"/>
                <w:szCs w:val="21"/>
                <w:highlight w:val="none"/>
              </w:rPr>
              <w:t xml:space="preserve">，可提供官网打印的具有二维码或验证码的缴费清单扫描件。未提供</w:t>
            </w:r>
            <w:r>
              <w:rPr>
                <w:rFonts w:hint="eastAsia" w:ascii="黑体" w:hAnsi="黑体" w:eastAsia="黑体" w:cs="黑体"/>
                <w:b w:val="0"/>
                <w:bCs w:val="0"/>
                <w:color w:val="auto"/>
                <w:sz w:val="21"/>
                <w:szCs w:val="21"/>
                <w:highlight w:val="none"/>
                <w:lang w:val="en-US" w:eastAsia="zh-CN"/>
              </w:rPr>
              <w:t xml:space="preserve">或提供的不符合的</w:t>
            </w:r>
            <w:r>
              <w:rPr>
                <w:rFonts w:hint="eastAsia" w:ascii="黑体" w:hAnsi="黑体" w:eastAsia="黑体" w:cs="黑体"/>
                <w:b w:val="0"/>
                <w:bCs w:val="0"/>
                <w:color w:val="auto"/>
                <w:sz w:val="21"/>
                <w:szCs w:val="21"/>
                <w:highlight w:val="none"/>
              </w:rPr>
              <w:t xml:space="preserve">不得分，返聘人员不得分。</w:t>
            </w:r>
            <w:r/>
          </w:p>
          <w:p>
            <w:pPr>
              <w:pStyle w:val="892"/>
              <w:numPr>
                <w:ilvl w:val="0"/>
                <w:numId w:val="0"/>
              </w:numPr>
              <w:ind w:left="0" w:right="0" w:firstLine="422"/>
              <w:jc w:val="left"/>
              <w:keepLines w:val="0"/>
              <w:keepNext w:val="0"/>
              <w:pageBreakBefore w:val="0"/>
              <w:spacing w:before="0" w:beforeAutospacing="0" w:after="0" w:afterAutospacing="0" w:line="440" w:lineRule="exact"/>
              <w:shd w:val="clear" w:color="auto" w:fill="auto"/>
              <w:widowControl w:val="off"/>
              <w:rPr>
                <w:rFonts w:hint="eastAsia" w:ascii="黑体" w:hAnsi="黑体" w:eastAsia="黑体" w:cs="黑体"/>
                <w:b w:val="0"/>
                <w:bCs w:val="0"/>
                <w:color w:val="auto"/>
                <w:sz w:val="21"/>
                <w:szCs w:val="21"/>
                <w:highlight w:val="none"/>
                <w:lang w:val="en-US" w:eastAsia="zh-CN"/>
              </w:rPr>
              <w:suppressLineNumbers w:val="0"/>
            </w:pPr>
            <w:r>
              <w:rPr>
                <w:rFonts w:hint="eastAsia" w:ascii="黑体" w:hAnsi="黑体" w:eastAsia="黑体" w:cs="黑体"/>
                <w:b/>
                <w:bCs/>
                <w:color w:val="auto"/>
                <w:sz w:val="21"/>
                <w:szCs w:val="21"/>
                <w:highlight w:val="none"/>
                <w:lang w:val="en-US" w:eastAsia="zh-CN"/>
              </w:rPr>
              <w:t xml:space="preserve">注明：供应商若中标后，投标时提交拟派人员及证书须与实际拟派人员的相一致，若不一致且无与原提交拟派人员证书一致的替换人员到岗的或虚假应标的，经核实后采购人有权取消其中标的权利，并将上报有关监管部门后将其列入信用黑名单，视情节轻重该单位将1-3年之内不能参加南通市政府采购相关活动。</w:t>
            </w:r>
            <w:r/>
          </w:p>
        </w:tc>
      </w:tr>
      <w:tr>
        <w:trPr>
          <w:jc w:val="center"/>
          <w:trHeight w:val="1774"/>
        </w:trPr>
        <w:tc>
          <w:tcPr>
            <w:tcW w:w="1010"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highlight w:val="none"/>
                <w:lang w:val="en-US" w:eastAsia="zh-CN"/>
              </w:rPr>
              <w:suppressLineNumbers w:val="0"/>
            </w:pPr>
            <w:r>
              <w:rPr>
                <w:rFonts w:hint="eastAsia" w:ascii="黑体" w:hAnsi="黑体" w:eastAsia="黑体" w:cs="黑体"/>
                <w:color w:val="auto"/>
                <w:sz w:val="21"/>
                <w:szCs w:val="21"/>
                <w:highlight w:val="none"/>
                <w:lang w:val="en-US" w:eastAsia="zh-CN"/>
              </w:rPr>
              <w:t xml:space="preserve">6</w:t>
            </w:r>
            <w:r/>
          </w:p>
        </w:tc>
        <w:tc>
          <w:tcPr>
            <w:tcBorders>
              <w:left w:val="none" w:color="000000" w:sz="4" w:space="0"/>
            </w:tcBorders>
            <w:tcW w:w="1522" w:type="dxa"/>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color w:val="auto"/>
                <w:sz w:val="21"/>
                <w:szCs w:val="21"/>
                <w:highlight w:val="none"/>
              </w:rPr>
              <w:suppressLineNumbers w:val="0"/>
            </w:pPr>
            <w:r>
              <w:rPr>
                <w:rFonts w:hint="eastAsia" w:ascii="黑体" w:hAnsi="黑体" w:eastAsia="黑体" w:cs="黑体"/>
                <w:color w:val="auto"/>
                <w:sz w:val="21"/>
                <w:szCs w:val="21"/>
                <w:highlight w:val="none"/>
              </w:rPr>
              <w:t xml:space="preserve">供应商的相关业绩（</w:t>
            </w:r>
            <w:r>
              <w:rPr>
                <w:rFonts w:hint="eastAsia" w:ascii="黑体" w:hAnsi="黑体" w:eastAsia="黑体" w:cs="黑体"/>
                <w:color w:val="auto"/>
                <w:sz w:val="21"/>
                <w:szCs w:val="21"/>
                <w:highlight w:val="none"/>
                <w:lang w:val="en-US" w:eastAsia="zh-CN"/>
              </w:rPr>
              <w:t xml:space="preserve">6</w:t>
            </w:r>
            <w:r>
              <w:rPr>
                <w:rFonts w:hint="eastAsia" w:ascii="黑体" w:hAnsi="黑体" w:eastAsia="黑体" w:cs="黑体"/>
                <w:color w:val="auto"/>
                <w:sz w:val="21"/>
                <w:szCs w:val="21"/>
                <w:highlight w:val="none"/>
              </w:rPr>
              <w:t xml:space="preserve">分）</w:t>
            </w:r>
            <w:r/>
          </w:p>
        </w:tc>
        <w:tc>
          <w:tcPr>
            <w:gridSpan w:val="2"/>
            <w:tcBorders>
              <w:left w:val="none" w:color="000000" w:sz="4" w:space="0"/>
            </w:tcBorders>
            <w:tcW w:w="6927" w:type="dxa"/>
            <w:vAlign w:val="center"/>
            <w:textDirection w:val="lrTb"/>
            <w:noWrap w:val="false"/>
          </w:tcPr>
          <w:p>
            <w:pPr>
              <w:pStyle w:val="949"/>
              <w:ind w:left="0" w:firstLine="0"/>
              <w:jc w:val="left"/>
              <w:keepLines w:val="0"/>
              <w:keepNext w:val="0"/>
              <w:pageBreakBefore w:val="0"/>
              <w:spacing w:line="440" w:lineRule="exact"/>
              <w:rPr>
                <w:rFonts w:hint="eastAsia" w:ascii="黑体" w:hAnsi="黑体" w:eastAsia="黑体" w:cs="黑体"/>
                <w:b w:val="0"/>
                <w:bCs w:val="0"/>
                <w:color w:val="auto"/>
                <w:sz w:val="21"/>
                <w:szCs w:val="21"/>
                <w:lang w:val="en-US" w:eastAsia="zh-CN" w:bidi="ar-SA"/>
              </w:rPr>
            </w:pPr>
            <w:r>
              <w:rPr>
                <w:rFonts w:hint="eastAsia" w:ascii="黑体" w:hAnsi="黑体" w:eastAsia="黑体" w:cs="黑体"/>
                <w:color w:val="auto"/>
                <w:sz w:val="21"/>
                <w:szCs w:val="21"/>
                <w:highlight w:val="none"/>
                <w:lang w:eastAsia="zh-CN"/>
              </w:rPr>
              <w:t xml:space="preserve">供应</w:t>
            </w:r>
            <w:r>
              <w:rPr>
                <w:rFonts w:hint="eastAsia" w:ascii="黑体" w:hAnsi="黑体" w:eastAsia="黑体" w:cs="黑体"/>
                <w:b w:val="0"/>
                <w:bCs w:val="0"/>
                <w:color w:val="auto"/>
                <w:sz w:val="21"/>
                <w:szCs w:val="21"/>
                <w:highlight w:val="none"/>
                <w:lang w:eastAsia="zh-CN"/>
              </w:rPr>
              <w:t xml:space="preserve">商</w:t>
            </w:r>
            <w:r>
              <w:rPr>
                <w:rFonts w:hint="eastAsia" w:ascii="黑体" w:hAnsi="黑体" w:eastAsia="黑体" w:cs="黑体"/>
                <w:b w:val="0"/>
                <w:bCs w:val="0"/>
                <w:color w:val="auto"/>
                <w:sz w:val="21"/>
                <w:szCs w:val="21"/>
                <w:lang w:val="en-US" w:eastAsia="zh-CN" w:bidi="ar-SA"/>
              </w:rPr>
              <w:t xml:space="preserve">自2021年1月以来承接过类似本项目（社区居家养老服务类）的成功案例，每提供一个得3分（同一甲方项目不能重复得分），本项最高得6分。</w:t>
            </w:r>
            <w:r/>
          </w:p>
          <w:p>
            <w:pPr>
              <w:ind w:left="0" w:right="0"/>
              <w:jc w:val="left"/>
              <w:keepLines w:val="0"/>
              <w:keepNext w:val="0"/>
              <w:pageBreakBefore w:val="0"/>
              <w:spacing w:before="0" w:beforeAutospacing="0" w:after="0" w:afterAutospacing="0" w:line="440" w:lineRule="exact"/>
              <w:rPr>
                <w:rFonts w:hint="eastAsia" w:ascii="黑体" w:hAnsi="黑体" w:eastAsia="黑体" w:cs="黑体"/>
                <w:b w:val="0"/>
                <w:bCs w:val="0"/>
                <w:color w:val="auto"/>
                <w:sz w:val="21"/>
                <w:szCs w:val="21"/>
                <w:highlight w:val="none"/>
              </w:rPr>
              <w:suppressLineNumbers w:val="0"/>
            </w:pPr>
            <w:r>
              <w:rPr>
                <w:rFonts w:hint="eastAsia" w:ascii="黑体" w:hAnsi="黑体" w:eastAsia="黑体" w:cs="黑体"/>
                <w:b w:val="0"/>
                <w:bCs w:val="0"/>
                <w:color w:val="auto"/>
                <w:sz w:val="21"/>
                <w:szCs w:val="21"/>
                <w:highlight w:val="none"/>
              </w:rPr>
              <w:t xml:space="preserve">注：</w:t>
            </w:r>
            <w:r>
              <w:rPr>
                <w:rFonts w:hint="eastAsia" w:ascii="黑体" w:hAnsi="黑体" w:eastAsia="黑体" w:cs="黑体"/>
                <w:b w:val="0"/>
                <w:bCs w:val="0"/>
                <w:color w:val="auto"/>
                <w:sz w:val="21"/>
                <w:szCs w:val="21"/>
                <w:highlight w:val="none"/>
                <w:lang w:val="en-US" w:eastAsia="zh-CN"/>
              </w:rPr>
              <w:t xml:space="preserve">1、</w:t>
            </w:r>
            <w:r>
              <w:rPr>
                <w:rFonts w:hint="eastAsia" w:ascii="黑体" w:hAnsi="黑体" w:eastAsia="黑体" w:cs="黑体"/>
                <w:b w:val="0"/>
                <w:bCs w:val="0"/>
                <w:color w:val="auto"/>
                <w:sz w:val="21"/>
                <w:szCs w:val="21"/>
                <w:highlight w:val="none"/>
              </w:rPr>
              <w:t xml:space="preserve">须在投标文件中提供项目合同原件扫描件并加盖单位公章，转包、分包合同无效，未按要求提供证明材料的不得分。</w:t>
            </w:r>
            <w:r/>
          </w:p>
          <w:p>
            <w:pPr>
              <w:pStyle w:val="949"/>
              <w:ind w:left="0" w:firstLine="210"/>
              <w:jc w:val="left"/>
              <w:keepLines w:val="0"/>
              <w:keepNext w:val="0"/>
              <w:pageBreakBefore w:val="0"/>
              <w:spacing w:line="440" w:lineRule="exact"/>
              <w:rPr>
                <w:rFonts w:hint="eastAsia" w:ascii="黑体" w:hAnsi="黑体" w:eastAsia="黑体" w:cs="黑体"/>
                <w:color w:val="auto"/>
                <w:sz w:val="21"/>
                <w:szCs w:val="21"/>
                <w:lang w:val="en-US" w:eastAsia="zh-CN"/>
              </w:rPr>
            </w:pPr>
            <w:r>
              <w:rPr>
                <w:rFonts w:hint="eastAsia" w:ascii="黑体" w:hAnsi="黑体" w:eastAsia="黑体" w:cs="黑体"/>
                <w:b w:val="0"/>
                <w:bCs w:val="0"/>
                <w:color w:val="auto"/>
                <w:sz w:val="21"/>
                <w:szCs w:val="21"/>
                <w:highlight w:val="none"/>
                <w:lang w:val="en-US" w:eastAsia="zh-CN"/>
              </w:rPr>
              <w:t xml:space="preserve">2、</w:t>
            </w:r>
            <w:r>
              <w:rPr>
                <w:rFonts w:hint="eastAsia" w:ascii="黑体" w:hAnsi="黑体" w:eastAsia="黑体" w:cs="黑体"/>
                <w:b w:val="0"/>
                <w:bCs w:val="0"/>
                <w:color w:val="auto"/>
                <w:sz w:val="21"/>
                <w:szCs w:val="21"/>
              </w:rPr>
              <w:t xml:space="preserve">成功案例时间以合同签订时间为准</w:t>
            </w:r>
            <w:r>
              <w:rPr>
                <w:rFonts w:hint="eastAsia" w:ascii="黑体" w:hAnsi="黑体" w:eastAsia="黑体" w:cs="黑体"/>
                <w:b w:val="0"/>
                <w:bCs w:val="0"/>
                <w:color w:val="auto"/>
                <w:sz w:val="21"/>
                <w:szCs w:val="21"/>
                <w:lang w:eastAsia="zh-CN"/>
              </w:rPr>
              <w:t xml:space="preserve">。</w:t>
            </w:r>
            <w:r/>
          </w:p>
        </w:tc>
      </w:tr>
      <w:tr>
        <w:trPr>
          <w:jc w:val="center"/>
          <w:trHeight w:val="1017"/>
        </w:trPr>
        <w:tc>
          <w:tcPr>
            <w:gridSpan w:val="4"/>
            <w:tcW w:w="9459" w:type="dxa"/>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b/>
                <w:bCs/>
                <w:color w:val="auto"/>
                <w:sz w:val="21"/>
                <w:szCs w:val="21"/>
                <w:highlight w:val="none"/>
              </w:rPr>
              <w:suppressLineNumbers w:val="0"/>
            </w:pPr>
            <w:r>
              <w:rPr>
                <w:rFonts w:hint="eastAsia" w:ascii="黑体" w:hAnsi="黑体" w:eastAsia="黑体" w:cs="黑体"/>
                <w:b/>
                <w:bCs/>
                <w:color w:val="auto"/>
                <w:sz w:val="21"/>
                <w:szCs w:val="21"/>
                <w:highlight w:val="none"/>
              </w:rPr>
              <w:t xml:space="preserve">注：上述</w:t>
            </w:r>
            <w:r>
              <w:rPr>
                <w:rFonts w:hint="eastAsia" w:ascii="黑体" w:hAnsi="黑体" w:eastAsia="黑体" w:cs="黑体"/>
                <w:color w:val="auto"/>
                <w:sz w:val="21"/>
                <w:szCs w:val="21"/>
                <w:highlight w:val="none"/>
              </w:rPr>
              <w:t xml:space="preserve">商务技术标</w:t>
            </w:r>
            <w:r>
              <w:rPr>
                <w:rFonts w:hint="eastAsia" w:ascii="黑体" w:hAnsi="黑体" w:eastAsia="黑体" w:cs="黑体"/>
                <w:b/>
                <w:bCs/>
                <w:color w:val="auto"/>
                <w:sz w:val="21"/>
                <w:szCs w:val="21"/>
                <w:highlight w:val="none"/>
              </w:rPr>
              <w:t xml:space="preserve">的</w:t>
            </w:r>
            <w:r>
              <w:rPr>
                <w:rFonts w:hint="eastAsia" w:ascii="黑体" w:hAnsi="黑体" w:eastAsia="黑体" w:cs="黑体"/>
                <w:b/>
                <w:bCs/>
                <w:color w:val="auto"/>
                <w:sz w:val="21"/>
                <w:szCs w:val="21"/>
                <w:highlight w:val="none"/>
                <w:lang w:val="en-US" w:eastAsia="zh-CN"/>
              </w:rPr>
              <w:t xml:space="preserve">供应商</w:t>
            </w:r>
            <w:r>
              <w:rPr>
                <w:rFonts w:hint="eastAsia" w:ascii="黑体" w:hAnsi="黑体" w:eastAsia="黑体" w:cs="黑体"/>
                <w:b/>
                <w:bCs/>
                <w:color w:val="auto"/>
                <w:sz w:val="21"/>
                <w:szCs w:val="21"/>
                <w:highlight w:val="none"/>
              </w:rPr>
              <w:t xml:space="preserve">响应所有</w:t>
            </w:r>
            <w:r>
              <w:rPr>
                <w:rFonts w:hint="eastAsia" w:ascii="黑体" w:hAnsi="黑体" w:eastAsia="黑体" w:cs="黑体"/>
                <w:b/>
                <w:bCs/>
                <w:color w:val="auto"/>
                <w:sz w:val="21"/>
                <w:szCs w:val="21"/>
                <w:highlight w:val="none"/>
                <w:lang w:val="en-US" w:eastAsia="zh-CN"/>
              </w:rPr>
              <w:t xml:space="preserve">佐证</w:t>
            </w:r>
            <w:r>
              <w:rPr>
                <w:rFonts w:hint="eastAsia" w:ascii="黑体" w:hAnsi="黑体" w:eastAsia="黑体" w:cs="黑体"/>
                <w:b/>
                <w:bCs/>
                <w:color w:val="auto"/>
                <w:sz w:val="21"/>
                <w:szCs w:val="21"/>
                <w:highlight w:val="none"/>
              </w:rPr>
              <w:t xml:space="preserve">材料需提供</w:t>
            </w:r>
            <w:r>
              <w:rPr>
                <w:rFonts w:hint="eastAsia" w:ascii="黑体" w:hAnsi="黑体" w:eastAsia="黑体" w:cs="黑体"/>
                <w:b/>
                <w:bCs/>
                <w:color w:val="auto"/>
                <w:sz w:val="21"/>
                <w:szCs w:val="21"/>
                <w:highlight w:val="none"/>
                <w:lang w:eastAsia="zh-CN"/>
              </w:rPr>
              <w:t xml:space="preserve">原件</w:t>
            </w:r>
            <w:r>
              <w:rPr>
                <w:rFonts w:hint="eastAsia" w:ascii="黑体" w:hAnsi="黑体" w:eastAsia="黑体" w:cs="黑体"/>
                <w:b/>
                <w:bCs/>
                <w:color w:val="auto"/>
                <w:sz w:val="21"/>
                <w:szCs w:val="21"/>
                <w:highlight w:val="none"/>
                <w:lang w:val="en-US" w:eastAsia="zh-CN"/>
              </w:rPr>
              <w:t xml:space="preserve">扫描件</w:t>
            </w:r>
            <w:r>
              <w:rPr>
                <w:rFonts w:hint="eastAsia" w:ascii="黑体" w:hAnsi="黑体" w:eastAsia="黑体" w:cs="黑体"/>
                <w:b/>
                <w:bCs/>
                <w:color w:val="auto"/>
                <w:sz w:val="21"/>
                <w:szCs w:val="21"/>
                <w:highlight w:val="none"/>
                <w:lang w:eastAsia="zh-CN"/>
              </w:rPr>
              <w:t xml:space="preserve">件</w:t>
            </w:r>
            <w:r>
              <w:rPr>
                <w:rFonts w:hint="eastAsia" w:ascii="黑体" w:hAnsi="黑体" w:eastAsia="黑体" w:cs="黑体"/>
                <w:b/>
                <w:bCs/>
                <w:color w:val="auto"/>
                <w:sz w:val="21"/>
                <w:szCs w:val="21"/>
                <w:highlight w:val="none"/>
              </w:rPr>
              <w:t xml:space="preserve">并加盖单位公章</w:t>
            </w:r>
            <w:r>
              <w:rPr>
                <w:rFonts w:hint="eastAsia" w:ascii="黑体" w:hAnsi="黑体" w:eastAsia="黑体" w:cs="黑体"/>
                <w:b/>
                <w:bCs/>
                <w:color w:val="auto"/>
                <w:sz w:val="21"/>
                <w:szCs w:val="21"/>
                <w:highlight w:val="none"/>
                <w:lang w:eastAsia="zh-CN"/>
              </w:rPr>
              <w:t xml:space="preserve">，</w:t>
            </w:r>
            <w:r>
              <w:rPr>
                <w:rFonts w:hint="eastAsia" w:ascii="黑体" w:hAnsi="黑体" w:eastAsia="黑体" w:cs="黑体"/>
                <w:b/>
                <w:bCs/>
                <w:color w:val="auto"/>
                <w:sz w:val="21"/>
                <w:szCs w:val="21"/>
                <w:highlight w:val="none"/>
              </w:rPr>
              <w:t xml:space="preserve">无原件</w:t>
            </w:r>
            <w:r>
              <w:rPr>
                <w:rFonts w:hint="eastAsia" w:ascii="黑体" w:hAnsi="黑体" w:eastAsia="黑体" w:cs="黑体"/>
                <w:b/>
                <w:bCs/>
                <w:color w:val="auto"/>
                <w:sz w:val="21"/>
                <w:szCs w:val="21"/>
                <w:highlight w:val="none"/>
                <w:lang w:val="en-US" w:eastAsia="zh-CN"/>
              </w:rPr>
              <w:t xml:space="preserve">扫描件</w:t>
            </w:r>
            <w:r>
              <w:rPr>
                <w:rFonts w:hint="eastAsia" w:ascii="黑体" w:hAnsi="黑体" w:eastAsia="黑体" w:cs="黑体"/>
                <w:b/>
                <w:bCs/>
                <w:color w:val="auto"/>
                <w:sz w:val="21"/>
                <w:szCs w:val="21"/>
                <w:highlight w:val="none"/>
              </w:rPr>
              <w:t xml:space="preserve">或未响应上述要求未提供完整</w:t>
            </w:r>
            <w:r>
              <w:rPr>
                <w:rFonts w:hint="eastAsia" w:ascii="黑体" w:hAnsi="黑体" w:eastAsia="黑体" w:cs="黑体"/>
                <w:b/>
                <w:bCs/>
                <w:color w:val="auto"/>
                <w:sz w:val="21"/>
                <w:szCs w:val="21"/>
                <w:highlight w:val="none"/>
                <w:lang w:val="en-US" w:eastAsia="zh-CN"/>
              </w:rPr>
              <w:t xml:space="preserve">或不清晰</w:t>
            </w:r>
            <w:r>
              <w:rPr>
                <w:rFonts w:hint="eastAsia" w:ascii="黑体" w:hAnsi="黑体" w:eastAsia="黑体" w:cs="黑体"/>
                <w:b/>
                <w:bCs/>
                <w:color w:val="auto"/>
                <w:sz w:val="21"/>
                <w:szCs w:val="21"/>
                <w:highlight w:val="none"/>
              </w:rPr>
              <w:t xml:space="preserve">的</w:t>
            </w:r>
            <w:r>
              <w:rPr>
                <w:rFonts w:hint="eastAsia" w:ascii="黑体" w:hAnsi="黑体" w:eastAsia="黑体" w:cs="黑体"/>
                <w:b/>
                <w:bCs/>
                <w:color w:val="auto"/>
                <w:sz w:val="21"/>
                <w:szCs w:val="21"/>
                <w:highlight w:val="none"/>
                <w:lang w:val="en-US" w:eastAsia="zh-CN"/>
              </w:rPr>
              <w:t xml:space="preserve">均</w:t>
            </w:r>
            <w:r>
              <w:rPr>
                <w:rFonts w:hint="eastAsia" w:ascii="黑体" w:hAnsi="黑体" w:eastAsia="黑体" w:cs="黑体"/>
                <w:b/>
                <w:bCs/>
                <w:color w:val="auto"/>
                <w:sz w:val="21"/>
                <w:szCs w:val="21"/>
                <w:highlight w:val="none"/>
              </w:rPr>
              <w:t xml:space="preserve">不予得分。</w:t>
            </w:r>
            <w:r/>
          </w:p>
        </w:tc>
      </w:tr>
    </w:tbl>
    <w:p>
      <w:pPr>
        <w:pStyle w:val="945"/>
        <w:jc w:val="left"/>
        <w:keepLines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各投标供应商得分为评委会成员评分的算术平均分，分值保留小数点后两位。</w:t>
      </w:r>
      <w:r/>
    </w:p>
    <w:p>
      <w:pPr>
        <w:pStyle w:val="945"/>
        <w:jc w:val="left"/>
        <w:keepLines w:val="0"/>
        <w:keepNext w:val="0"/>
        <w:pageBreakBefore w:val="0"/>
        <w:spacing w:line="440" w:lineRule="exact"/>
        <w:widowControl/>
        <w:rPr>
          <w:rFonts w:hint="eastAsia"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注明：</w:t>
      </w:r>
      <w:r>
        <w:rPr>
          <w:rFonts w:hint="eastAsia" w:ascii="黑体" w:hAnsi="黑体" w:eastAsia="黑体" w:cs="黑体"/>
          <w:b/>
          <w:bCs/>
          <w:color w:val="auto"/>
          <w:sz w:val="24"/>
          <w:szCs w:val="24"/>
          <w:highlight w:val="none"/>
          <w:lang w:val="en-US" w:eastAsia="zh-CN"/>
        </w:rPr>
        <w:t xml:space="preserve">（1）投标</w:t>
      </w:r>
      <w:r>
        <w:rPr>
          <w:rFonts w:hint="eastAsia" w:ascii="黑体" w:hAnsi="黑体" w:eastAsia="黑体" w:cs="黑体"/>
          <w:b/>
          <w:bCs/>
          <w:color w:val="auto"/>
          <w:sz w:val="24"/>
          <w:szCs w:val="24"/>
          <w:highlight w:val="none"/>
          <w:lang w:val="zh-CN" w:eastAsia="zh-CN"/>
        </w:rPr>
        <w:t xml:space="preserve">文件技术商务分得分低于本</w:t>
      </w:r>
      <w:r>
        <w:rPr>
          <w:rFonts w:hint="eastAsia" w:ascii="黑体" w:hAnsi="黑体" w:eastAsia="黑体" w:cs="黑体"/>
          <w:b/>
          <w:bCs/>
          <w:color w:val="auto"/>
          <w:sz w:val="24"/>
          <w:szCs w:val="24"/>
          <w:highlight w:val="none"/>
          <w:lang w:val="en-US" w:eastAsia="zh-CN"/>
        </w:rPr>
        <w:t xml:space="preserve">招标</w:t>
      </w:r>
      <w:r>
        <w:rPr>
          <w:rFonts w:hint="eastAsia" w:ascii="黑体" w:hAnsi="黑体" w:eastAsia="黑体" w:cs="黑体"/>
          <w:b/>
          <w:bCs/>
          <w:color w:val="auto"/>
          <w:sz w:val="24"/>
          <w:szCs w:val="24"/>
          <w:highlight w:val="none"/>
          <w:lang w:val="zh-CN" w:eastAsia="zh-CN"/>
        </w:rPr>
        <w:t xml:space="preserve">文件技术标评分分值（</w:t>
      </w:r>
      <w:r>
        <w:rPr>
          <w:rFonts w:hint="eastAsia" w:ascii="黑体" w:hAnsi="黑体" w:eastAsia="黑体" w:cs="黑体"/>
          <w:b/>
          <w:bCs/>
          <w:color w:val="auto"/>
          <w:sz w:val="24"/>
          <w:szCs w:val="24"/>
          <w:highlight w:val="none"/>
          <w:lang w:val="en-US" w:eastAsia="zh-CN"/>
        </w:rPr>
        <w:t xml:space="preserve">90</w:t>
      </w:r>
      <w:r>
        <w:rPr>
          <w:rFonts w:hint="eastAsia" w:ascii="黑体" w:hAnsi="黑体" w:eastAsia="黑体" w:cs="黑体"/>
          <w:b/>
          <w:bCs/>
          <w:color w:val="auto"/>
          <w:sz w:val="24"/>
          <w:szCs w:val="24"/>
          <w:highlight w:val="none"/>
          <w:lang w:val="zh-CN" w:eastAsia="zh-CN"/>
        </w:rPr>
        <w:t xml:space="preserve">分）的50%时视为未实质性响应采购文件要求，作为无效投标处理。</w:t>
      </w:r>
      <w:r/>
    </w:p>
    <w:p>
      <w:pPr>
        <w:pStyle w:val="945"/>
        <w:ind w:firstLine="723"/>
        <w:jc w:val="left"/>
        <w:keepLines w:val="0"/>
        <w:keepNext w:val="0"/>
        <w:pageBreakBefore w:val="0"/>
        <w:spacing w:line="440" w:lineRule="exact"/>
        <w:widowControl/>
        <w:rPr>
          <w:rFonts w:hint="eastAsia"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en-US" w:eastAsia="zh-CN"/>
        </w:rPr>
        <w:t xml:space="preserve">（2）</w:t>
      </w:r>
      <w:r>
        <w:rPr>
          <w:rFonts w:hint="eastAsia" w:ascii="黑体" w:hAnsi="黑体" w:eastAsia="黑体" w:cs="黑体"/>
          <w:b/>
          <w:bCs/>
          <w:color w:val="auto"/>
          <w:sz w:val="24"/>
          <w:szCs w:val="24"/>
          <w:highlight w:val="none"/>
          <w:lang w:val="zh-CN" w:eastAsia="zh-CN"/>
        </w:rPr>
        <w:t xml:space="preserve">以上需提供的证书及相关证明材料（包含</w:t>
      </w:r>
      <w:r>
        <w:rPr>
          <w:rFonts w:hint="eastAsia" w:ascii="黑体" w:hAnsi="黑体" w:eastAsia="黑体" w:cs="黑体"/>
          <w:b/>
          <w:bCs/>
          <w:color w:val="auto"/>
          <w:sz w:val="24"/>
          <w:szCs w:val="24"/>
          <w:highlight w:val="none"/>
          <w:lang w:val="en-US" w:eastAsia="zh-CN"/>
        </w:rPr>
        <w:t xml:space="preserve">投标单位</w:t>
      </w:r>
      <w:r>
        <w:rPr>
          <w:rFonts w:hint="eastAsia" w:ascii="黑体" w:hAnsi="黑体" w:eastAsia="黑体" w:cs="黑体"/>
          <w:b/>
          <w:bCs/>
          <w:color w:val="auto"/>
          <w:sz w:val="24"/>
          <w:szCs w:val="24"/>
          <w:highlight w:val="none"/>
          <w:lang w:val="zh-CN" w:eastAsia="zh-CN"/>
        </w:rPr>
        <w:t xml:space="preserve">公章的证明材料），中标单位须在中标后</w:t>
      </w:r>
      <w:r>
        <w:rPr>
          <w:rFonts w:hint="eastAsia" w:ascii="黑体" w:hAnsi="黑体" w:eastAsia="黑体" w:cs="黑体"/>
          <w:b/>
          <w:bCs w:val="0"/>
          <w:color w:val="auto"/>
          <w:sz w:val="24"/>
          <w:szCs w:val="24"/>
          <w:highlight w:val="none"/>
          <w:u w:val="single"/>
          <w:lang w:val="en-US" w:eastAsia="zh-CN" w:bidi="ar-SA"/>
        </w:rPr>
        <w:t xml:space="preserve">（成交公示之日起3日历天内）</w:t>
      </w:r>
      <w:r>
        <w:rPr>
          <w:rFonts w:hint="eastAsia" w:ascii="黑体" w:hAnsi="黑体" w:eastAsia="黑体" w:cs="黑体"/>
          <w:b/>
          <w:bCs/>
          <w:color w:val="auto"/>
          <w:sz w:val="24"/>
          <w:szCs w:val="24"/>
          <w:highlight w:val="none"/>
          <w:lang w:val="zh-CN" w:eastAsia="zh-CN"/>
        </w:rPr>
        <w:t xml:space="preserve">三日内提供以上相关材料的原件供采购人核实，如不能提供或者提供虚假材料者视为虚假应标，情节严重者报相关部门、并承担相应的法律责任 ，且采购人将取消其中标权利。</w:t>
      </w:r>
      <w:r/>
    </w:p>
    <w:p>
      <w:pPr>
        <w:pStyle w:val="945"/>
        <w:ind w:left="0" w:firstLine="482"/>
        <w:jc w:val="left"/>
        <w:keepLines w:val="0"/>
        <w:keepNext w:val="0"/>
        <w:pageBreakBefore w:val="0"/>
        <w:spacing w:line="440" w:lineRule="exact"/>
        <w:widowControl/>
        <w:rPr>
          <w:rFonts w:hint="eastAsia"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w:t>
      </w:r>
      <w:r>
        <w:rPr>
          <w:rFonts w:hint="eastAsia" w:ascii="黑体" w:hAnsi="黑体" w:eastAsia="黑体" w:cs="黑体"/>
          <w:b/>
          <w:bCs/>
          <w:color w:val="auto"/>
          <w:sz w:val="24"/>
          <w:szCs w:val="24"/>
          <w:highlight w:val="none"/>
          <w:lang w:eastAsia="zh-CN"/>
        </w:rPr>
        <w:t xml:space="preserve">四</w:t>
      </w:r>
      <w:r>
        <w:rPr>
          <w:rFonts w:hint="eastAsia" w:ascii="黑体" w:hAnsi="黑体" w:eastAsia="黑体" w:cs="黑体"/>
          <w:b/>
          <w:bCs/>
          <w:color w:val="auto"/>
          <w:sz w:val="24"/>
          <w:szCs w:val="24"/>
          <w:highlight w:val="none"/>
          <w:lang w:val="zh-CN" w:eastAsia="zh-CN"/>
        </w:rPr>
        <w:t xml:space="preserve">）</w:t>
      </w:r>
      <w:r>
        <w:rPr>
          <w:rFonts w:hint="eastAsia" w:ascii="黑体" w:hAnsi="黑体" w:eastAsia="黑体" w:cs="黑体"/>
          <w:b/>
          <w:bCs w:val="0"/>
          <w:color w:val="auto"/>
          <w:sz w:val="24"/>
          <w:szCs w:val="24"/>
          <w:highlight w:val="none"/>
          <w:lang w:val="zh-CN" w:eastAsia="zh-CN"/>
        </w:rPr>
        <w:t xml:space="preserve">价格分：</w:t>
      </w:r>
      <w:r>
        <w:rPr>
          <w:rFonts w:hint="eastAsia" w:ascii="黑体" w:hAnsi="黑体" w:eastAsia="黑体" w:cs="黑体"/>
          <w:b/>
          <w:bCs w:val="0"/>
          <w:color w:val="auto"/>
          <w:sz w:val="24"/>
          <w:szCs w:val="24"/>
          <w:highlight w:val="none"/>
          <w:lang w:val="en-US" w:eastAsia="zh-CN"/>
        </w:rPr>
        <w:t xml:space="preserve">10</w:t>
      </w:r>
      <w:r>
        <w:rPr>
          <w:rFonts w:hint="eastAsia" w:ascii="黑体" w:hAnsi="黑体" w:eastAsia="黑体" w:cs="黑体"/>
          <w:b/>
          <w:bCs w:val="0"/>
          <w:color w:val="auto"/>
          <w:sz w:val="24"/>
          <w:szCs w:val="24"/>
          <w:highlight w:val="none"/>
          <w:lang w:val="zh-CN" w:eastAsia="zh-CN"/>
        </w:rPr>
        <w:t xml:space="preserve">分</w:t>
      </w:r>
      <w:r/>
    </w:p>
    <w:p>
      <w:pPr>
        <w:pStyle w:val="945"/>
        <w:ind w:left="0" w:firstLine="480"/>
        <w:jc w:val="left"/>
        <w:keepLines w:val="0"/>
        <w:keepNext w:val="0"/>
        <w:pageBreakBefore w:val="0"/>
        <w:spacing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价格分统一采用低价优先法计算，即满足招标文件要求且投标价格最低的投标报价为评标基准价，其价格分为满分。其他投标供应商的价格分统一按照下列公式计算：</w:t>
      </w:r>
      <w:r/>
    </w:p>
    <w:p>
      <w:pPr>
        <w:pStyle w:val="945"/>
        <w:ind w:left="0" w:firstLine="480"/>
        <w:jc w:val="left"/>
        <w:keepLines w:val="0"/>
        <w:keepNext w:val="0"/>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zh-CN" w:eastAsia="zh-CN"/>
        </w:rPr>
        <w:t xml:space="preserve">投标报价得分=（评标基准价/投标报价）×</w:t>
      </w:r>
      <w:r>
        <w:rPr>
          <w:rFonts w:hint="eastAsia" w:ascii="黑体" w:hAnsi="黑体" w:eastAsia="黑体" w:cs="黑体"/>
          <w:color w:val="auto"/>
          <w:sz w:val="24"/>
          <w:szCs w:val="24"/>
          <w:highlight w:val="none"/>
          <w:lang w:val="en-US" w:eastAsia="zh-CN"/>
        </w:rPr>
        <w:t xml:space="preserve">10</w:t>
      </w:r>
      <w:r>
        <w:rPr>
          <w:rFonts w:hint="eastAsia" w:ascii="黑体" w:hAnsi="黑体" w:eastAsia="黑体" w:cs="黑体"/>
          <w:color w:val="auto"/>
          <w:sz w:val="24"/>
          <w:szCs w:val="24"/>
          <w:highlight w:val="none"/>
          <w:lang w:val="en-US"/>
        </w:rPr>
        <w:t xml:space="preserve">%</w:t>
      </w:r>
      <w:r>
        <w:rPr>
          <w:rFonts w:hint="eastAsia" w:ascii="黑体" w:hAnsi="黑体" w:eastAsia="黑体" w:cs="黑体"/>
          <w:color w:val="auto"/>
          <w:sz w:val="24"/>
          <w:szCs w:val="24"/>
          <w:highlight w:val="none"/>
          <w:lang w:val="zh-CN" w:eastAsia="zh-CN"/>
        </w:rPr>
        <w:t xml:space="preserve">×</w:t>
      </w:r>
      <w:r>
        <w:rPr>
          <w:rFonts w:hint="eastAsia" w:ascii="黑体" w:hAnsi="黑体" w:eastAsia="黑体" w:cs="黑体"/>
          <w:color w:val="auto"/>
          <w:sz w:val="24"/>
          <w:szCs w:val="24"/>
          <w:highlight w:val="none"/>
          <w:lang w:val="en-US"/>
        </w:rPr>
        <w:t xml:space="preserve">100</w:t>
      </w:r>
      <w:r/>
    </w:p>
    <w:p>
      <w:pPr>
        <w:pStyle w:val="945"/>
        <w:ind w:left="0" w:firstLine="482"/>
        <w:jc w:val="left"/>
        <w:keepLines w:val="0"/>
        <w:keepNext w:val="0"/>
        <w:pageBreakBefore w:val="0"/>
        <w:spacing w:line="440" w:lineRule="exact"/>
        <w:widowControl/>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eastAsia="zh-CN"/>
        </w:rPr>
        <w:t xml:space="preserve">（五）政府采购政策功能落实</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eastAsia="zh-CN" w:bidi="ar"/>
        </w:rPr>
        <w:suppressLineNumbers w:val="0"/>
      </w:pPr>
      <w:r>
        <w:rPr>
          <w:rFonts w:hint="eastAsia" w:ascii="黑体" w:hAnsi="黑体" w:eastAsia="黑体" w:cs="黑体"/>
          <w:color w:val="auto"/>
          <w:sz w:val="24"/>
          <w:szCs w:val="24"/>
          <w:highlight w:val="none"/>
          <w:lang w:val="en-US" w:eastAsia="zh-CN" w:bidi="ar"/>
        </w:rPr>
        <w:t xml:space="preserve">本项目采购标的对应的中小企业划分标准所属行业为</w:t>
      </w:r>
      <w:r>
        <w:rPr>
          <w:rFonts w:hint="eastAsia" w:ascii="黑体" w:hAnsi="黑体" w:eastAsia="黑体" w:cs="黑体"/>
          <w:color w:val="auto"/>
          <w:sz w:val="24"/>
          <w:szCs w:val="24"/>
          <w:highlight w:val="none"/>
          <w:u w:val="single"/>
          <w:lang w:val="en-US" w:eastAsia="zh-CN" w:bidi="ar"/>
        </w:rPr>
        <w:t xml:space="preserve">其他未列明行业</w:t>
      </w:r>
      <w:r>
        <w:rPr>
          <w:rFonts w:hint="eastAsia" w:ascii="黑体" w:hAnsi="黑体" w:eastAsia="黑体" w:cs="黑体"/>
          <w:color w:val="auto"/>
          <w:sz w:val="24"/>
          <w:szCs w:val="24"/>
          <w:highlight w:val="none"/>
          <w:lang w:val="en-US" w:eastAsia="zh-CN" w:bidi="ar"/>
        </w:rPr>
        <w:t xml:space="preserve">。</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1、小微型企业价格扣除</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（1）本项目对小型和微型企业产品给予</w:t>
      </w:r>
      <w:r>
        <w:rPr>
          <w:rFonts w:hint="eastAsia" w:ascii="黑体" w:hAnsi="黑体" w:eastAsia="黑体" w:cs="黑体"/>
          <w:b/>
          <w:bCs w:val="0"/>
          <w:color w:val="auto"/>
          <w:sz w:val="24"/>
          <w:szCs w:val="24"/>
          <w:highlight w:val="none"/>
          <w:lang w:val="en-US" w:eastAsia="zh-CN" w:bidi="ar"/>
        </w:rPr>
        <w:t xml:space="preserve">10%</w:t>
      </w:r>
      <w:r>
        <w:rPr>
          <w:rFonts w:hint="eastAsia" w:ascii="黑体" w:hAnsi="黑体" w:eastAsia="黑体" w:cs="黑体"/>
          <w:bCs/>
          <w:color w:val="auto"/>
          <w:sz w:val="24"/>
          <w:szCs w:val="24"/>
          <w:highlight w:val="none"/>
          <w:lang w:val="en-US" w:eastAsia="zh-CN" w:bidi="ar"/>
        </w:rPr>
        <w:t xml:space="preserve">的扣除价格，用扣除后的价格参与评审。</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（2）供应商需按照《政府采购促进中小企业发展管理办法》（财库﹝2020﹞46 号）的规定提供相应的《中小企业声明函》。</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（3）企业标准请参照《关于印发中小企业划型标准规定的通知》（工信部联企业[2011]300号）文件规定自行填写。</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2、残疾人福利单位价格扣除</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（1）本项目对残疾人福利性单位，给予</w:t>
      </w:r>
      <w:r>
        <w:rPr>
          <w:rFonts w:hint="eastAsia" w:ascii="黑体" w:hAnsi="黑体" w:eastAsia="黑体" w:cs="黑体"/>
          <w:b/>
          <w:bCs w:val="0"/>
          <w:color w:val="auto"/>
          <w:sz w:val="24"/>
          <w:szCs w:val="24"/>
          <w:highlight w:val="none"/>
          <w:lang w:val="en-US" w:eastAsia="zh-CN" w:bidi="ar"/>
        </w:rPr>
        <w:t xml:space="preserve">10%</w:t>
      </w:r>
      <w:r>
        <w:rPr>
          <w:rFonts w:hint="eastAsia" w:ascii="黑体" w:hAnsi="黑体" w:eastAsia="黑体" w:cs="黑体"/>
          <w:bCs/>
          <w:color w:val="auto"/>
          <w:sz w:val="24"/>
          <w:szCs w:val="24"/>
          <w:highlight w:val="none"/>
          <w:lang w:val="en-US" w:eastAsia="zh-CN" w:bidi="ar"/>
        </w:rPr>
        <w:t xml:space="preserve">的价格扣除，用扣除后的价格参与评审。</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（2）残疾人福利单位需按照采购文件的要求提供《残疾人福利性单位声明函》。</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（3）残疾人福利单位标准请参照《关于促进残疾人就业政府采购政策的通知》（财库〔2017〕141号）。</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3、监狱和戒毒企业价格扣除</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（1）本项目对监狱和戒毒企业（简称监狱企业）给予</w:t>
      </w:r>
      <w:r>
        <w:rPr>
          <w:rFonts w:hint="eastAsia" w:ascii="黑体" w:hAnsi="黑体" w:eastAsia="黑体" w:cs="黑体"/>
          <w:b/>
          <w:bCs w:val="0"/>
          <w:color w:val="auto"/>
          <w:sz w:val="24"/>
          <w:szCs w:val="24"/>
          <w:highlight w:val="none"/>
          <w:lang w:val="en-US" w:eastAsia="zh-CN" w:bidi="ar"/>
        </w:rPr>
        <w:t xml:space="preserve">10%</w:t>
      </w:r>
      <w:r>
        <w:rPr>
          <w:rFonts w:hint="eastAsia" w:ascii="黑体" w:hAnsi="黑体" w:eastAsia="黑体" w:cs="黑体"/>
          <w:bCs/>
          <w:color w:val="auto"/>
          <w:sz w:val="24"/>
          <w:szCs w:val="24"/>
          <w:highlight w:val="none"/>
          <w:lang w:val="en-US" w:eastAsia="zh-CN" w:bidi="ar"/>
        </w:rPr>
        <w:t xml:space="preserve">的价格扣除，用扣除后的价格参与评审。</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（3）监狱企业标准请参照《关于政府采购支持监狱企业发展有关问题的通知》（财库[2014]68号）。</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4、残疾人福利单位、监狱企业属于小型、微型企业的，不重复享受政策。</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6、联合体各方均为小型、微型企业（残疾人福利单位、监狱企业）的，联合体享受上述同类价格扣除，用扣除后的价格参与评审。</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7、</w:t>
      </w:r>
      <w:r>
        <w:rPr>
          <w:rFonts w:hint="eastAsia" w:ascii="黑体" w:hAnsi="黑体" w:eastAsia="黑体" w:cs="黑体"/>
          <w:b/>
          <w:bCs w:val="0"/>
          <w:color w:val="auto"/>
          <w:sz w:val="24"/>
          <w:szCs w:val="24"/>
          <w:highlight w:val="none"/>
          <w:u w:val="single"/>
          <w:lang w:val="en-US" w:eastAsia="zh-CN" w:bidi="ar"/>
        </w:rPr>
        <w:t xml:space="preserve">本项目不执行价格评审优惠的扶持政策。</w:t>
      </w:r>
      <w:r/>
    </w:p>
    <w:p>
      <w:pPr>
        <w:ind w:firstLine="48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8、根据《江苏省政府采购信用管理暂行办法》的规定，对有失信行为的供应商将根据信用评价结果按规定予以扣分或价格加成。</w:t>
      </w:r>
      <w:r/>
    </w:p>
    <w:p>
      <w:pPr>
        <w:ind w:left="0" w:right="0" w:firstLine="57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（六）中标人的确定</w:t>
      </w:r>
      <w:r/>
    </w:p>
    <w:p>
      <w:pPr>
        <w:ind w:firstLine="57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评委会认为</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的报价明显低于其他通过符合性审查</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的报价，有可能影响产品质量或者不能诚信履约的，应当要求其在合理的时间内提供书面说明，必要时提交相关证明材料；</w:t>
      </w:r>
      <w:r>
        <w:rPr>
          <w:rFonts w:hint="eastAsia" w:ascii="黑体" w:hAnsi="黑体" w:eastAsia="黑体" w:cs="黑体"/>
          <w:bCs/>
          <w:color w:val="auto"/>
          <w:sz w:val="24"/>
          <w:szCs w:val="24"/>
          <w:highlight w:val="none"/>
          <w:lang w:eastAsia="zh-CN"/>
        </w:rPr>
        <w:t xml:space="preserve">供应商</w:t>
      </w:r>
      <w:r>
        <w:rPr>
          <w:rFonts w:hint="eastAsia" w:ascii="黑体" w:hAnsi="黑体" w:eastAsia="黑体" w:cs="黑体"/>
          <w:bCs/>
          <w:color w:val="auto"/>
          <w:sz w:val="24"/>
          <w:szCs w:val="24"/>
          <w:highlight w:val="none"/>
        </w:rPr>
        <w:t xml:space="preserve">不能证明其报价合理性的，评委会应当将其作为无效投标处理。</w:t>
      </w:r>
      <w:r/>
    </w:p>
    <w:p>
      <w:pPr>
        <w:ind w:firstLine="57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评委对中标候选人报价总表和明细表进行审核，应审核供应商投标报价是否前后一致、大小写金额是否一致、</w:t>
      </w:r>
      <w:r>
        <w:rPr>
          <w:rFonts w:hint="eastAsia" w:ascii="黑体" w:hAnsi="黑体" w:eastAsia="黑体" w:cs="黑体"/>
          <w:bCs/>
          <w:color w:val="auto"/>
          <w:sz w:val="24"/>
          <w:szCs w:val="24"/>
          <w:highlight w:val="none"/>
          <w:lang w:eastAsia="zh-CN"/>
        </w:rPr>
        <w:t xml:space="preserve">单价</w:t>
      </w:r>
      <w:r>
        <w:rPr>
          <w:rFonts w:hint="eastAsia" w:ascii="黑体" w:hAnsi="黑体" w:eastAsia="黑体" w:cs="黑体"/>
          <w:bCs/>
          <w:color w:val="auto"/>
          <w:sz w:val="24"/>
          <w:szCs w:val="24"/>
          <w:highlight w:val="none"/>
        </w:rPr>
        <w:t xml:space="preserve">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570"/>
        <w:jc w:val="left"/>
        <w:pageBreakBefore w:val="0"/>
        <w:spacing w:line="440" w:lineRule="exact"/>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评委会汇总各评委评分后，按照得分从高到低的顺序推荐三名中标候选人，并编写评标报告。</w:t>
      </w:r>
      <w:r/>
    </w:p>
    <w:p>
      <w:pPr>
        <w:ind w:firstLine="570"/>
        <w:jc w:val="left"/>
        <w:pageBreakBefore w:val="0"/>
        <w:spacing w:line="440" w:lineRule="exact"/>
        <w:rPr>
          <w:rFonts w:hint="eastAsia" w:ascii="黑体" w:hAnsi="黑体" w:eastAsia="黑体" w:cs="黑体"/>
          <w:bCs/>
          <w:color w:val="auto"/>
          <w:sz w:val="24"/>
          <w:szCs w:val="24"/>
          <w:highlight w:val="none"/>
        </w:rPr>
      </w:pPr>
      <w:r>
        <w:rPr>
          <w:rFonts w:hint="eastAsia" w:ascii="黑体" w:hAnsi="黑体" w:eastAsia="黑体" w:cs="黑体"/>
          <w:b/>
          <w:color w:val="auto"/>
          <w:sz w:val="24"/>
          <w:szCs w:val="24"/>
          <w:highlight w:val="none"/>
        </w:rPr>
        <w:t xml:space="preserve">采购人委托</w:t>
      </w:r>
      <w:r>
        <w:rPr>
          <w:rFonts w:hint="eastAsia" w:ascii="黑体" w:hAnsi="黑体" w:eastAsia="黑体" w:cs="黑体"/>
          <w:b/>
          <w:color w:val="auto"/>
          <w:sz w:val="24"/>
          <w:szCs w:val="24"/>
          <w:highlight w:val="none"/>
          <w:lang w:val="en-US" w:eastAsia="zh-CN"/>
        </w:rPr>
        <w:t xml:space="preserve">评标委员会</w:t>
      </w:r>
      <w:r>
        <w:rPr>
          <w:rFonts w:hint="eastAsia" w:ascii="黑体" w:hAnsi="黑体" w:eastAsia="黑体" w:cs="黑体"/>
          <w:b/>
          <w:bCs w:val="0"/>
          <w:color w:val="auto"/>
          <w:sz w:val="24"/>
          <w:szCs w:val="24"/>
          <w:highlight w:val="none"/>
        </w:rPr>
        <w:t xml:space="preserve">在评标报告确定的中标候选人名单中按</w:t>
      </w:r>
      <w:r>
        <w:rPr>
          <w:rFonts w:hint="eastAsia" w:ascii="黑体" w:hAnsi="黑体" w:eastAsia="黑体" w:cs="黑体"/>
          <w:b/>
          <w:bCs w:val="0"/>
          <w:color w:val="auto"/>
          <w:sz w:val="24"/>
          <w:szCs w:val="24"/>
          <w:highlight w:val="none"/>
          <w:lang w:val="en-US" w:eastAsia="zh-CN"/>
        </w:rPr>
        <w:t xml:space="preserve">得分由高到低</w:t>
      </w:r>
      <w:r>
        <w:rPr>
          <w:rFonts w:hint="eastAsia" w:ascii="黑体" w:hAnsi="黑体" w:eastAsia="黑体" w:cs="黑体"/>
          <w:b/>
          <w:bCs w:val="0"/>
          <w:color w:val="auto"/>
          <w:sz w:val="24"/>
          <w:szCs w:val="24"/>
          <w:highlight w:val="none"/>
        </w:rPr>
        <w:t xml:space="preserve">顺序确定中标人。</w:t>
      </w:r>
      <w:r>
        <w:rPr>
          <w:rFonts w:hint="eastAsia" w:ascii="黑体" w:hAnsi="黑体" w:eastAsia="黑体" w:cs="黑体"/>
          <w:b/>
          <w:bCs w:val="0"/>
          <w:color w:val="auto"/>
          <w:sz w:val="24"/>
          <w:szCs w:val="24"/>
          <w:highlight w:val="none"/>
          <w:lang w:val="en-US" w:eastAsia="zh-CN"/>
        </w:rPr>
        <w:t xml:space="preserve">得分相同的，按照投标报价由低到高顺序排列；得分且投标报价相同</w:t>
      </w:r>
      <w:r>
        <w:rPr>
          <w:rFonts w:hint="eastAsia" w:ascii="黑体" w:hAnsi="黑体" w:eastAsia="黑体" w:cs="黑体"/>
          <w:b/>
          <w:bCs w:val="0"/>
          <w:color w:val="auto"/>
          <w:sz w:val="24"/>
          <w:szCs w:val="24"/>
          <w:highlight w:val="none"/>
        </w:rPr>
        <w:t xml:space="preserve">，由采购人或者采购人委托评标委员会按照现场抽签方式确定中标人。</w:t>
      </w:r>
      <w:r/>
    </w:p>
    <w:p>
      <w:pPr>
        <w:ind w:left="0" w:right="0" w:firstLine="570"/>
        <w:jc w:val="left"/>
        <w:keepLines w:val="0"/>
        <w:keepNext w:val="0"/>
        <w:pageBreakBefore w:val="0"/>
        <w:spacing w:beforeAutospacing="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（七）采购代理机构宣布评标结果。</w:t>
      </w:r>
      <w:r/>
    </w:p>
    <w:p>
      <w:pPr>
        <w:ind w:left="0" w:right="0" w:firstLine="570"/>
        <w:jc w:val="left"/>
        <w:keepLines w:val="0"/>
        <w:keepNext w:val="0"/>
        <w:pageBreakBefore w:val="0"/>
        <w:spacing w:beforeAutospacing="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（八）公告中标结果</w:t>
      </w:r>
      <w:r/>
    </w:p>
    <w:p>
      <w:pPr>
        <w:ind w:left="0" w:right="0" w:firstLine="570"/>
        <w:jc w:val="left"/>
        <w:keepLines w:val="0"/>
        <w:keepNext w:val="0"/>
        <w:pageBreakBefore w:val="0"/>
        <w:spacing w:beforeAutospacing="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自确定中标人之日起2个工作日内，在江苏政府采购网站公告中标结果，公告期限为1个工作日。</w:t>
      </w:r>
      <w:r/>
    </w:p>
    <w:p>
      <w:pPr>
        <w:ind w:left="0" w:right="0" w:firstLine="570"/>
        <w:jc w:val="left"/>
        <w:keepLines w:val="0"/>
        <w:keepNext w:val="0"/>
        <w:pageBreakBefore w:val="0"/>
        <w:spacing w:beforeAutospacing="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（九）发放中标通知书</w:t>
      </w:r>
      <w:r/>
    </w:p>
    <w:p>
      <w:pPr>
        <w:ind w:firstLine="560"/>
        <w:jc w:val="left"/>
        <w:keepLines w:val="0"/>
        <w:keepNext w:val="0"/>
        <w:pageBreakBefore w:val="0"/>
        <w:spacing w:beforeAutospacing="0" w:afterAutospacing="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公告中标结果的同时，</w:t>
      </w:r>
      <w:r>
        <w:rPr>
          <w:rFonts w:hint="eastAsia" w:ascii="黑体" w:hAnsi="黑体" w:eastAsia="黑体" w:cs="黑体"/>
          <w:bCs/>
          <w:color w:val="auto"/>
          <w:sz w:val="24"/>
          <w:szCs w:val="24"/>
          <w:highlight w:val="none"/>
        </w:rPr>
        <w:t xml:space="preserve">采购人或采购代理机构向中标供应商发放中标通知书。</w:t>
      </w:r>
      <w:r/>
    </w:p>
    <w:p>
      <w:pPr>
        <w:pStyle w:val="945"/>
        <w:ind w:lef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中标通知书发出后，采购人不得违法改变中标结果，中标供应商无正当理由不得放弃中标</w:t>
      </w:r>
      <w:r/>
    </w:p>
    <w:p>
      <w:pPr>
        <w:pStyle w:val="945"/>
        <w:ind w:left="0" w:firstLine="723"/>
        <w:jc w:val="left"/>
        <w:keepLines w:val="0"/>
        <w:keepNext w:val="0"/>
        <w:pageBreakBefore w:val="0"/>
        <w:spacing w:before="0" w:beforeAutospacing="0" w:after="0" w:afterAutospacing="0" w:line="440" w:lineRule="exact"/>
        <w:widowControl/>
        <w:rPr>
          <w:rFonts w:hint="eastAsia"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eastAsia="zh-CN"/>
        </w:rPr>
        <w:t xml:space="preserve">（十）</w:t>
      </w:r>
      <w:r>
        <w:rPr>
          <w:rFonts w:hint="eastAsia" w:ascii="黑体" w:hAnsi="黑体" w:eastAsia="黑体" w:cs="黑体"/>
          <w:b/>
          <w:bCs/>
          <w:color w:val="auto"/>
          <w:sz w:val="24"/>
          <w:szCs w:val="24"/>
          <w:highlight w:val="none"/>
          <w:lang w:val="zh-CN" w:eastAsia="zh-CN"/>
        </w:rPr>
        <w:t xml:space="preserve">其他注意事项</w:t>
      </w:r>
      <w:r/>
    </w:p>
    <w:p>
      <w:pPr>
        <w:pStyle w:val="945"/>
        <w:ind w:lef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1.在投标、开标时间，投标供应商不得向评委询问情况，不得进行旨在影响评标结果的活动。</w:t>
      </w:r>
      <w:r/>
    </w:p>
    <w:p>
      <w:pPr>
        <w:pStyle w:val="945"/>
        <w:ind w:lef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2.评委会不得向投标供应商解释落标原因。</w:t>
      </w:r>
      <w:r/>
    </w:p>
    <w:p>
      <w:pPr>
        <w:pStyle w:val="945"/>
        <w:ind w:lef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3.在投标、评标过程中，如果投标供应商联合故意抬高报价或出现其他不正当行为，采购人有权中止投标或评标。</w:t>
      </w:r>
      <w:r/>
    </w:p>
    <w:p>
      <w:pPr>
        <w:pStyle w:val="945"/>
        <w:ind w:lef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t xml:space="preserve">4.凡在投标、开标过程中，采购人已提示是否异议的事项，投标供应商当时没有提出异议的，事后投标供应商不得针对上述事项提出质疑。比如：采购人在开标中提示评委是否回避，投标供应商现场未提出异议的，事后不得针对评委回避事项提出质疑。</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rPr>
        <w:suppressLineNumbers w:val="0"/>
      </w:pPr>
      <w:r>
        <w:rPr>
          <w:rFonts w:hint="eastAsia" w:ascii="黑体" w:hAnsi="黑体" w:eastAsia="黑体" w:cs="黑体"/>
          <w:b/>
          <w:bCs w:val="0"/>
          <w:color w:val="auto"/>
          <w:sz w:val="36"/>
          <w:szCs w:val="36"/>
          <w:highlight w:val="none"/>
          <w:lang w:val="en-US" w:eastAsia="zh-CN" w:bidi="ar"/>
        </w:rPr>
        <w:br w:type="page" w:clear="all"/>
      </w:r>
      <w:r>
        <w:rPr>
          <w:rFonts w:hint="eastAsia" w:ascii="黑体" w:hAnsi="黑体" w:eastAsia="黑体" w:cs="黑体"/>
          <w:b/>
          <w:bCs w:val="0"/>
          <w:color w:val="auto"/>
          <w:sz w:val="36"/>
          <w:szCs w:val="36"/>
          <w:highlight w:val="none"/>
          <w:lang w:val="en-US" w:eastAsia="zh-CN" w:bidi="ar"/>
        </w:rPr>
        <w:t xml:space="preserve">         第五部分  合同签订与验收付款</w:t>
      </w:r>
      <w:r/>
    </w:p>
    <w:p>
      <w:pPr>
        <w:pStyle w:val="945"/>
        <w:ind w:left="0" w:firstLine="482"/>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b/>
          <w:bCs w:val="0"/>
          <w:color w:val="auto"/>
          <w:sz w:val="24"/>
          <w:szCs w:val="24"/>
          <w:highlight w:val="none"/>
          <w:lang w:eastAsia="zh-CN"/>
        </w:rPr>
        <w:t xml:space="preserve">一</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b/>
          <w:bCs/>
          <w:color w:val="auto"/>
          <w:sz w:val="24"/>
          <w:szCs w:val="24"/>
          <w:highlight w:val="none"/>
          <w:lang w:eastAsia="zh-CN"/>
        </w:rPr>
        <w:t xml:space="preserve">中标供应商和采购人需在《中标通知书》发出之日起</w:t>
      </w:r>
      <w:r>
        <w:rPr>
          <w:rFonts w:hint="eastAsia" w:ascii="黑体" w:hAnsi="黑体" w:eastAsia="黑体" w:cs="黑体"/>
          <w:b/>
          <w:bCs/>
          <w:color w:val="auto"/>
          <w:sz w:val="24"/>
          <w:szCs w:val="24"/>
          <w:highlight w:val="none"/>
          <w:lang w:val="en-US" w:eastAsia="zh-CN"/>
        </w:rPr>
        <w:t xml:space="preserve">30</w:t>
      </w:r>
      <w:r>
        <w:rPr>
          <w:rFonts w:hint="eastAsia" w:ascii="黑体" w:hAnsi="黑体" w:eastAsia="黑体" w:cs="黑体"/>
          <w:b/>
          <w:bCs/>
          <w:color w:val="auto"/>
          <w:sz w:val="24"/>
          <w:szCs w:val="24"/>
          <w:highlight w:val="none"/>
          <w:lang w:eastAsia="zh-CN"/>
        </w:rPr>
        <w:t xml:space="preserve">日内签订合同。</w:t>
      </w:r>
      <w:r>
        <w:rPr>
          <w:rFonts w:hint="eastAsia" w:ascii="黑体" w:hAnsi="黑体" w:eastAsia="黑体" w:cs="黑体"/>
          <w:color w:val="auto"/>
          <w:sz w:val="24"/>
          <w:szCs w:val="24"/>
          <w:highlight w:val="none"/>
          <w:lang w:eastAsia="zh-CN"/>
        </w:rPr>
        <w:t xml:space="preserve">合同签订后中标供应商方可履约，否则引起的一切后果由中标供应商自行承担。</w:t>
      </w:r>
      <w:r>
        <w:rPr>
          <w:rFonts w:hint="eastAsia" w:ascii="黑体" w:hAnsi="黑体" w:eastAsia="黑体" w:cs="黑体"/>
          <w:bCs/>
          <w:color w:val="auto"/>
          <w:sz w:val="24"/>
          <w:szCs w:val="24"/>
          <w:highlight w:val="none"/>
          <w:lang w:eastAsia="zh-CN"/>
        </w:rPr>
        <w:t xml:space="preserve">纸质合同一式</w:t>
      </w:r>
      <w:r>
        <w:rPr>
          <w:rFonts w:hint="eastAsia" w:ascii="黑体" w:hAnsi="黑体" w:eastAsia="黑体" w:cs="黑体"/>
          <w:b/>
          <w:bCs w:val="0"/>
          <w:color w:val="auto"/>
          <w:sz w:val="24"/>
          <w:szCs w:val="24"/>
          <w:highlight w:val="none"/>
          <w:lang w:eastAsia="zh-CN"/>
        </w:rPr>
        <w:t xml:space="preserve">陆</w:t>
      </w:r>
      <w:r>
        <w:rPr>
          <w:rFonts w:hint="eastAsia" w:ascii="黑体" w:hAnsi="黑体" w:eastAsia="黑体" w:cs="黑体"/>
          <w:bCs/>
          <w:color w:val="auto"/>
          <w:sz w:val="24"/>
          <w:szCs w:val="24"/>
          <w:highlight w:val="none"/>
          <w:lang w:eastAsia="zh-CN"/>
        </w:rPr>
        <w:t xml:space="preserve">份，采购人</w:t>
      </w:r>
      <w:r>
        <w:rPr>
          <w:rFonts w:hint="eastAsia" w:ascii="黑体" w:hAnsi="黑体" w:eastAsia="黑体" w:cs="黑体"/>
          <w:b/>
          <w:bCs w:val="0"/>
          <w:color w:val="auto"/>
          <w:sz w:val="24"/>
          <w:szCs w:val="24"/>
          <w:highlight w:val="none"/>
          <w:lang w:eastAsia="zh-CN"/>
        </w:rPr>
        <w:t xml:space="preserve">叁</w:t>
      </w:r>
      <w:r>
        <w:rPr>
          <w:rFonts w:hint="eastAsia" w:ascii="黑体" w:hAnsi="黑体" w:eastAsia="黑体" w:cs="黑体"/>
          <w:bCs/>
          <w:color w:val="auto"/>
          <w:sz w:val="24"/>
          <w:szCs w:val="24"/>
          <w:highlight w:val="none"/>
          <w:lang w:eastAsia="zh-CN"/>
        </w:rPr>
        <w:t xml:space="preserve">份、供应商</w:t>
      </w:r>
      <w:r>
        <w:rPr>
          <w:rFonts w:hint="eastAsia" w:ascii="黑体" w:hAnsi="黑体" w:eastAsia="黑体" w:cs="黑体"/>
          <w:b/>
          <w:bCs w:val="0"/>
          <w:color w:val="auto"/>
          <w:sz w:val="24"/>
          <w:szCs w:val="24"/>
          <w:highlight w:val="none"/>
          <w:lang w:eastAsia="zh-CN"/>
        </w:rPr>
        <w:t xml:space="preserve">叁</w:t>
      </w:r>
      <w:r>
        <w:rPr>
          <w:rFonts w:hint="eastAsia" w:ascii="黑体" w:hAnsi="黑体" w:eastAsia="黑体" w:cs="黑体"/>
          <w:bCs/>
          <w:color w:val="auto"/>
          <w:sz w:val="24"/>
          <w:szCs w:val="24"/>
          <w:highlight w:val="none"/>
          <w:lang w:eastAsia="zh-CN"/>
        </w:rPr>
        <w:t xml:space="preserve">份；</w:t>
      </w:r>
      <w:r>
        <w:rPr>
          <w:rFonts w:hint="eastAsia" w:ascii="黑体" w:hAnsi="黑体" w:eastAsia="黑体" w:cs="黑体"/>
          <w:b/>
          <w:bCs/>
          <w:color w:val="auto"/>
          <w:sz w:val="24"/>
          <w:szCs w:val="24"/>
          <w:highlight w:val="none"/>
          <w:lang w:eastAsia="zh-CN"/>
        </w:rPr>
        <w:t xml:space="preserve">同时，采购合同需在合同签订之日起</w:t>
      </w:r>
      <w:r>
        <w:rPr>
          <w:rFonts w:hint="eastAsia" w:ascii="黑体" w:hAnsi="黑体" w:eastAsia="黑体" w:cs="黑体"/>
          <w:b/>
          <w:bCs/>
          <w:color w:val="auto"/>
          <w:sz w:val="24"/>
          <w:szCs w:val="24"/>
          <w:highlight w:val="none"/>
          <w:lang w:val="en-US"/>
        </w:rPr>
        <w:t xml:space="preserve">2</w:t>
      </w:r>
      <w:r>
        <w:rPr>
          <w:rFonts w:hint="eastAsia" w:ascii="黑体" w:hAnsi="黑体" w:eastAsia="黑体" w:cs="黑体"/>
          <w:b/>
          <w:bCs/>
          <w:color w:val="auto"/>
          <w:sz w:val="24"/>
          <w:szCs w:val="24"/>
          <w:highlight w:val="none"/>
          <w:lang w:eastAsia="zh-CN"/>
        </w:rPr>
        <w:t xml:space="preserve">个工作日内进行合同公告。</w:t>
      </w:r>
      <w:r>
        <w:rPr>
          <w:rFonts w:hint="eastAsia" w:ascii="黑体" w:hAnsi="黑体" w:eastAsia="黑体" w:cs="黑体"/>
          <w:color w:val="auto"/>
          <w:sz w:val="24"/>
          <w:szCs w:val="24"/>
          <w:highlight w:val="none"/>
          <w:lang w:val="zh-CN" w:eastAsia="zh-CN"/>
        </w:rPr>
        <w:t xml:space="preserve">所签合同不得对采购文件作实质性修改</w:t>
      </w:r>
      <w:r>
        <w:rPr>
          <w:rFonts w:hint="eastAsia" w:ascii="黑体" w:hAnsi="黑体" w:eastAsia="黑体" w:cs="黑体"/>
          <w:color w:val="auto"/>
          <w:sz w:val="24"/>
          <w:szCs w:val="24"/>
          <w:highlight w:val="none"/>
          <w:lang w:eastAsia="zh-CN"/>
        </w:rPr>
        <w:t xml:space="preserve">。采购人不得向中标供应商提出不合理的要求作为签订合同的条件，不得与中标供应商私下订立背离采购文件实质性内容的协议。</w:t>
      </w:r>
      <w:r/>
    </w:p>
    <w:p>
      <w:pPr>
        <w:pStyle w:val="945"/>
        <w:ind w:left="0" w:firstLine="472"/>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b/>
          <w:bCs w:val="0"/>
          <w:color w:val="auto"/>
          <w:sz w:val="24"/>
          <w:szCs w:val="24"/>
          <w:highlight w:val="none"/>
          <w:lang w:eastAsia="zh-CN"/>
        </w:rPr>
        <w:t xml:space="preserve">二</w:t>
      </w:r>
      <w:r>
        <w:rPr>
          <w:rFonts w:hint="eastAsia" w:ascii="黑体" w:hAnsi="黑体" w:eastAsia="黑体" w:cs="黑体"/>
          <w:color w:val="auto"/>
          <w:sz w:val="24"/>
          <w:szCs w:val="24"/>
          <w:highlight w:val="none"/>
          <w:lang w:eastAsia="zh-CN"/>
        </w:rPr>
        <w:t xml:space="preserve">、</w:t>
      </w:r>
      <w:bookmarkStart w:id="22" w:name="OLE_LINK1"/>
      <w:r/>
      <w:bookmarkStart w:id="23" w:name="OLE_LINK2"/>
      <w:r>
        <w:rPr>
          <w:rFonts w:hint="eastAsia" w:ascii="黑体" w:hAnsi="黑体" w:eastAsia="黑体" w:cs="黑体"/>
          <w:color w:val="auto"/>
          <w:sz w:val="24"/>
          <w:szCs w:val="24"/>
          <w:highlight w:val="none"/>
          <w:lang w:eastAsia="zh-CN"/>
        </w:rPr>
        <w:t xml:space="preserve">采购人按合同约定积极配合中标供应商履约，中标供应商履约到位后，请以书面形式向采购人提出验收申请，采购人接到申请后及时组织相关专业技术人员，必要时邀请专家、质检等部门共同参与验收，并出具验收报告，验收合格的支付相应款项。</w:t>
      </w:r>
      <w:r/>
    </w:p>
    <w:p>
      <w:pPr>
        <w:pStyle w:val="945"/>
        <w:ind w:left="0" w:firstLine="480"/>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eastAsia="zh-CN"/>
        </w:rPr>
        <w:t xml:space="preserve">三、采购人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pStyle w:val="943"/>
        <w:ind w:left="0" w:firstLine="480"/>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eastAsia="zh-CN"/>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p>
    <w:p>
      <w:pPr>
        <w:pStyle w:val="892"/>
        <w:contextualSpacing/>
        <w:ind w:left="0" w:right="210" w:firstLine="514"/>
        <w:jc w:val="left"/>
        <w:keepLines w:val="0"/>
        <w:keepNext w:val="0"/>
        <w:pageBreakBefore w:val="0"/>
        <w:spacing w:before="100" w:beforeAutospacing="1" w:after="100" w:afterAutospacing="1" w:line="440" w:lineRule="exact"/>
        <w:widowControl/>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zh-CN"/>
        </w:rPr>
        <w:t xml:space="preserve">五、</w:t>
      </w:r>
      <w:r>
        <w:rPr>
          <w:rFonts w:hint="eastAsia" w:ascii="黑体" w:hAnsi="黑体" w:eastAsia="黑体" w:cs="黑体"/>
          <w:b/>
          <w:bCs w:val="0"/>
          <w:color w:val="auto"/>
          <w:sz w:val="24"/>
          <w:szCs w:val="24"/>
          <w:highlight w:val="none"/>
          <w:lang w:val="en-US"/>
        </w:rPr>
        <w:t xml:space="preserve">不响应付款方式的，视同无效投标处理。实际付款方式以最终签订采购合同为准。</w:t>
      </w:r>
      <w:r/>
    </w:p>
    <w:p>
      <w:pPr>
        <w:pStyle w:val="892"/>
        <w:contextualSpacing/>
        <w:ind w:left="0" w:right="210" w:firstLine="480"/>
        <w:jc w:val="left"/>
        <w:keepLines w:val="0"/>
        <w:keepNext w:val="0"/>
        <w:pageBreakBefore w:val="0"/>
        <w:spacing w:before="100" w:beforeAutospacing="1" w:after="100" w:afterAutospacing="1" w:line="440" w:lineRule="exact"/>
        <w:widowControl/>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t xml:space="preserve">款项由采购人按相关财务支付规定办理支付手续。不得故意拖延支付时间</w:t>
      </w:r>
      <w:bookmarkEnd w:id="22"/>
      <w:r/>
      <w:bookmarkEnd w:id="23"/>
      <w:r>
        <w:rPr>
          <w:rFonts w:hint="eastAsia" w:ascii="黑体" w:hAnsi="黑体" w:eastAsia="黑体" w:cs="黑体"/>
          <w:color w:val="auto"/>
          <w:sz w:val="24"/>
          <w:szCs w:val="24"/>
          <w:highlight w:val="none"/>
          <w:lang w:val="en-US"/>
        </w:rPr>
        <w:t xml:space="preserve">。</w:t>
      </w:r>
      <w:r/>
    </w:p>
    <w:p>
      <w:pPr>
        <w:numPr>
          <w:ilvl w:val="0"/>
          <w:numId w:val="7"/>
        </w:numPr>
        <w:contextualSpacing/>
        <w:ind w:left="0" w:right="210" w:firstLine="514"/>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合同主要条款</w:t>
      </w:r>
      <w:r/>
    </w:p>
    <w:p>
      <w:pPr>
        <w:pStyle w:val="874"/>
        <w:ind w:right="0" w:firstLine="480"/>
        <w:jc w:val="left"/>
        <w:pageBreakBefore w:val="0"/>
        <w:spacing w:before="0" w:beforeAutospacing="0" w:after="120" w:afterAutospacing="0"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zh-CN" w:eastAsia="zh-CN"/>
        </w:rPr>
      </w:r>
      <w:r/>
    </w:p>
    <w:p>
      <w:p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b/>
          <w:bCs w:val="0"/>
          <w:color w:val="auto"/>
          <w:sz w:val="24"/>
          <w:szCs w:val="24"/>
          <w:highlight w:val="none"/>
          <w:lang w:val="en-US" w:eastAsia="zh-CN" w:bidi="ar"/>
        </w:rPr>
        <w:br w:type="page" w:clear="all"/>
      </w:r>
      <w:r>
        <w:rPr>
          <w:rFonts w:hint="eastAsia" w:ascii="黑体" w:hAnsi="黑体" w:eastAsia="黑体" w:cs="黑体"/>
          <w:color w:val="auto"/>
          <w:sz w:val="24"/>
          <w:szCs w:val="24"/>
          <w:highlight w:val="none"/>
        </w:rPr>
        <w:t xml:space="preserve">采购单位（或称甲方）：</w:t>
      </w:r>
      <w:r/>
    </w:p>
    <w:p>
      <w:pPr>
        <w:jc w:val="left"/>
        <w:pageBreakBefore w:val="0"/>
        <w:spacing w:after="6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中标供应商（或称乙方）：</w:t>
      </w:r>
      <w:r/>
    </w:p>
    <w:p>
      <w:p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签订时间：</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u w:val="single"/>
          <w:lang w:eastAsia="zh-CN"/>
        </w:rPr>
        <w:t xml:space="preserve">2024</w:t>
      </w:r>
      <w:r>
        <w:rPr>
          <w:rFonts w:hint="eastAsia" w:ascii="黑体" w:hAnsi="黑体" w:eastAsia="黑体" w:cs="黑体"/>
          <w:color w:val="auto"/>
          <w:sz w:val="24"/>
          <w:szCs w:val="24"/>
          <w:highlight w:val="none"/>
          <w:u w:val="single"/>
        </w:rPr>
        <w:t xml:space="preserve">年   月   日 </w:t>
      </w:r>
      <w:r/>
    </w:p>
    <w:p>
      <w:p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签订地点：</w:t>
      </w:r>
      <w:r/>
    </w:p>
    <w:p>
      <w:pPr>
        <w:ind w:firstLine="552"/>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根据《中华人民共和国政府采购法》、《中华人民共和国民法典》及</w:t>
      </w:r>
      <w:r>
        <w:rPr>
          <w:rFonts w:hint="eastAsia" w:ascii="黑体" w:hAnsi="黑体" w:eastAsia="黑体" w:cs="黑体"/>
          <w:color w:val="auto"/>
          <w:sz w:val="24"/>
          <w:szCs w:val="24"/>
          <w:highlight w:val="none"/>
          <w:lang w:eastAsia="zh-CN"/>
        </w:rPr>
        <w:t xml:space="preserve">2024</w:t>
      </w:r>
      <w:r>
        <w:rPr>
          <w:rFonts w:hint="eastAsia" w:ascii="黑体" w:hAnsi="黑体" w:eastAsia="黑体" w:cs="黑体"/>
          <w:color w:val="auto"/>
          <w:sz w:val="24"/>
          <w:szCs w:val="24"/>
          <w:highlight w:val="none"/>
        </w:rPr>
        <w:t xml:space="preserve">年   月   日</w:t>
      </w:r>
      <w:r>
        <w:rPr>
          <w:rFonts w:hint="eastAsia" w:ascii="黑体" w:hAnsi="黑体" w:eastAsia="黑体" w:cs="黑体"/>
          <w:b/>
          <w:bCs/>
          <w:color w:val="auto"/>
          <w:sz w:val="24"/>
          <w:szCs w:val="24"/>
          <w:highlight w:val="none"/>
          <w:u w:val="single"/>
        </w:rPr>
        <w:t xml:space="preserve">      项目 </w:t>
      </w:r>
      <w:r>
        <w:rPr>
          <w:rFonts w:hint="eastAsia" w:ascii="黑体" w:hAnsi="黑体" w:eastAsia="黑体" w:cs="黑体"/>
          <w:color w:val="auto"/>
          <w:sz w:val="24"/>
          <w:szCs w:val="24"/>
          <w:highlight w:val="none"/>
        </w:rPr>
        <w:t xml:space="preserve">采购项目的采购结果、采购文件及投标文件，经双方协商一致，签订本合同。</w:t>
      </w:r>
      <w:bookmarkStart w:id="24" w:name="_Toc81879411"/>
      <w:r/>
      <w:r/>
    </w:p>
    <w:p>
      <w:pPr>
        <w:jc w:val="left"/>
        <w:pageBreakBefore w:val="0"/>
        <w:spacing w:after="60"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一.服务：</w:t>
      </w:r>
      <w:bookmarkEnd w:id="24"/>
      <w:r/>
      <w:r/>
    </w:p>
    <w:p>
      <w:pPr>
        <w:ind w:firstLine="480"/>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1.1乙方向甲方提供以下技术服务、质保期服务等相关服务。</w:t>
      </w:r>
      <w:r/>
    </w:p>
    <w:p>
      <w:pPr>
        <w:ind w:firstLine="480"/>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1.2乙方按其投标文件提供的货物及服务必须满足采购文件的各项要求。</w:t>
      </w:r>
      <w:r/>
    </w:p>
    <w:p>
      <w:pPr>
        <w:ind w:firstLine="480"/>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1.3乙方提供的技术服务、质保期等服务不得低于采购文件的要求及投标文件承诺的标准。</w:t>
      </w:r>
      <w:bookmarkStart w:id="25" w:name="_Toc81879412"/>
      <w:r/>
      <w:r/>
    </w:p>
    <w:p>
      <w:pPr>
        <w:ind w:firstLine="480"/>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1.4前述采购要求甲方根据实际需要进行调整。</w:t>
      </w:r>
      <w:r/>
    </w:p>
    <w:p>
      <w:pPr>
        <w:pStyle w:val="875"/>
        <w:ind w:left="0"/>
        <w:jc w:val="left"/>
        <w:pageBreakBefore w:val="0"/>
        <w:spacing w:after="60"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二.价格：</w:t>
      </w:r>
      <w:bookmarkEnd w:id="25"/>
      <w:r/>
      <w:r/>
    </w:p>
    <w:p>
      <w:pPr>
        <w:numPr>
          <w:ilvl w:val="0"/>
          <w:numId w:val="0"/>
        </w:numP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2.1按照乙方的中标价，本合同价款总额为：大写人民币</w:t>
      </w:r>
      <w:r>
        <w:rPr>
          <w:rFonts w:hint="eastAsia" w:ascii="黑体" w:hAnsi="黑体" w:eastAsia="黑体" w:cs="黑体"/>
          <w:color w:val="auto"/>
          <w:sz w:val="24"/>
          <w:szCs w:val="24"/>
          <w:highlight w:val="none"/>
          <w:u w:val="single"/>
        </w:rPr>
        <w:t xml:space="preserve">（RMB元</w:t>
      </w:r>
      <w:r>
        <w:rPr>
          <w:rFonts w:hint="eastAsia" w:ascii="黑体" w:hAnsi="黑体" w:eastAsia="黑体" w:cs="黑体"/>
          <w:color w:val="auto"/>
          <w:sz w:val="24"/>
          <w:szCs w:val="24"/>
          <w:highlight w:val="none"/>
          <w:u w:val="single"/>
          <w:lang w:val="en-US" w:eastAsia="zh-CN"/>
        </w:rPr>
        <w:t xml:space="preserve">/年</w:t>
      </w:r>
      <w:r>
        <w:rPr>
          <w:rFonts w:hint="eastAsia" w:ascii="黑体" w:hAnsi="黑体" w:eastAsia="黑体" w:cs="黑体"/>
          <w:color w:val="auto"/>
          <w:sz w:val="24"/>
          <w:szCs w:val="24"/>
          <w:highlight w:val="none"/>
          <w:u w:val="single"/>
        </w:rPr>
        <w:t xml:space="preserve">）</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val="en-US" w:eastAsia="zh-CN"/>
        </w:rPr>
        <w:t xml:space="preserve">其中:</w:t>
      </w:r>
      <w:r/>
    </w:p>
    <w:p>
      <w:pPr>
        <w:numPr>
          <w:ilvl w:val="0"/>
          <w:numId w:val="0"/>
        </w:numPr>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居家养老服务中心（站）运营管理合同价为：</w:t>
      </w:r>
      <w:r>
        <w:rPr>
          <w:rFonts w:hint="eastAsia" w:ascii="黑体" w:hAnsi="黑体" w:eastAsia="黑体" w:cs="黑体"/>
          <w:color w:val="auto"/>
          <w:sz w:val="24"/>
          <w:szCs w:val="24"/>
          <w:highlight w:val="none"/>
        </w:rPr>
        <w:t xml:space="preserve">大写人民币</w:t>
      </w:r>
      <w:r>
        <w:rPr>
          <w:rFonts w:hint="eastAsia" w:ascii="黑体" w:hAnsi="黑体" w:eastAsia="黑体" w:cs="黑体"/>
          <w:color w:val="auto"/>
          <w:sz w:val="24"/>
          <w:szCs w:val="24"/>
          <w:highlight w:val="none"/>
          <w:u w:val="single"/>
          <w:lang w:val="en-US" w:eastAsia="zh-CN"/>
        </w:rPr>
        <w:t xml:space="preserve">   </w:t>
      </w:r>
      <w:r>
        <w:rPr>
          <w:rFonts w:hint="eastAsia" w:ascii="黑体" w:hAnsi="黑体" w:eastAsia="黑体" w:cs="黑体"/>
          <w:color w:val="auto"/>
          <w:sz w:val="24"/>
          <w:szCs w:val="24"/>
          <w:highlight w:val="none"/>
          <w:u w:val="single"/>
        </w:rPr>
        <w:t xml:space="preserve">（RMB元</w:t>
      </w:r>
      <w:r>
        <w:rPr>
          <w:rFonts w:hint="eastAsia" w:ascii="黑体" w:hAnsi="黑体" w:eastAsia="黑体" w:cs="黑体"/>
          <w:color w:val="auto"/>
          <w:sz w:val="24"/>
          <w:szCs w:val="24"/>
          <w:highlight w:val="none"/>
          <w:u w:val="single"/>
          <w:lang w:val="en-US" w:eastAsia="zh-CN"/>
        </w:rPr>
        <w:t xml:space="preserve">/年</w:t>
      </w:r>
      <w:r>
        <w:rPr>
          <w:rFonts w:hint="eastAsia" w:ascii="黑体" w:hAnsi="黑体" w:eastAsia="黑体" w:cs="黑体"/>
          <w:color w:val="auto"/>
          <w:sz w:val="24"/>
          <w:szCs w:val="24"/>
          <w:highlight w:val="none"/>
          <w:u w:val="single"/>
        </w:rPr>
        <w:t xml:space="preserve">）</w:t>
      </w:r>
      <w:r>
        <w:rPr>
          <w:rFonts w:hint="eastAsia" w:ascii="黑体" w:hAnsi="黑体" w:eastAsia="黑体" w:cs="黑体"/>
          <w:color w:val="auto"/>
          <w:sz w:val="24"/>
          <w:szCs w:val="24"/>
          <w:highlight w:val="none"/>
          <w:lang w:eastAsia="zh-CN"/>
        </w:rPr>
        <w:t xml:space="preserve">；</w:t>
      </w:r>
      <w:r/>
    </w:p>
    <w:tbl>
      <w:tblPr>
        <w:tblStyle w:val="87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563"/>
        <w:gridCol w:w="960"/>
        <w:gridCol w:w="3374"/>
        <w:gridCol w:w="965"/>
        <w:gridCol w:w="1005"/>
      </w:tblGrid>
      <w:tr>
        <w:trPr>
          <w:trHeight w:val="78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服务项目</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服务内容</w:t>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收费标准最高限价</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合同价</w:t>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备注</w:t>
            </w:r>
            <w:r/>
          </w:p>
        </w:tc>
      </w:tr>
      <w:tr>
        <w:trPr>
          <w:trHeight w:val="78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27"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送餐助餐送餐配餐</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第一年 10 元/餐/人，正餐配一大荤一小荤一素一汤，主食一份。</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7" w:type="pct"/>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生活照料</w:t>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助浴</w:t>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定点助浴 20元/次（使用淋浴设备，配套坐浴椅，全身清洗）</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上门助浴 40元/次（使用淋浴设备，配套坐浴椅，全身清洗）</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理发</w:t>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定点服务 10元/次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non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上门理发 30元/次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27" w:type="pct"/>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生活照料</w:t>
            </w:r>
            <w:r/>
          </w:p>
        </w:tc>
        <w:tc>
          <w:tcPr>
            <w:tcBorders>
              <w:top w:val="single" w:color="000000" w:sz="4" w:space="0"/>
              <w:left w:val="single" w:color="000000" w:sz="4" w:space="0"/>
              <w:bottom w:val="single" w:color="000000" w:sz="4" w:space="0"/>
              <w:right w:val="single" w:color="000000" w:sz="4" w:space="0"/>
            </w:tcBorders>
            <w:tcW w:w="531" w:type="pct"/>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修脚</w:t>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定点服务 30元/次（普通修脚，刮死皮、剪指甲等）</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上门修脚 50元/次（普通修脚，刮死皮、剪指甲等）</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鸡眼 10元/次（不含用药</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治甲沟炎 10元/次（不含用药）</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修垫核 10元/次（不含用药）</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修灰指甲 10元/次（不含用药）</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332"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27"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1" w:type="pct"/>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修脚垫 10元/次（不含用药）</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gridSpan w:val="3"/>
            <w:tcBorders>
              <w:top w:val="single" w:color="000000" w:sz="4" w:space="0"/>
              <w:left w:val="single" w:color="000000" w:sz="4" w:space="0"/>
              <w:bottom w:val="single" w:color="000000" w:sz="4" w:space="0"/>
              <w:right w:val="single" w:color="000000" w:sz="4" w:space="0"/>
            </w:tcBorders>
            <w:tcW w:w="1791"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rPr>
              <w:t xml:space="preserve">合计价</w:t>
            </w:r>
            <w:r/>
          </w:p>
        </w:tc>
        <w:tc>
          <w:tcPr>
            <w:tcBorders>
              <w:top w:val="single" w:color="000000" w:sz="4" w:space="0"/>
              <w:left w:val="single" w:color="000000" w:sz="4" w:space="0"/>
              <w:bottom w:val="single" w:color="000000" w:sz="4" w:space="0"/>
              <w:right w:val="none" w:color="000000" w:sz="4" w:space="0"/>
            </w:tcBorders>
            <w:tcW w:w="2113"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注：（1）上述合同单价为南通市居家和社区基本养老服务项目清单中挑选的项目，本表中未体现的价格执行《南通市居家和社区基本养老服务项目清单》（通民发〔2018〕94号）文件。（2）合计价为单价</w:t>
            </w:r>
            <w:r>
              <w:rPr>
                <w:rFonts w:hint="eastAsia" w:ascii="黑体" w:hAnsi="黑体" w:eastAsia="黑体" w:cs="黑体"/>
                <w:color w:val="auto"/>
                <w:sz w:val="24"/>
                <w:szCs w:val="24"/>
                <w:highlight w:val="none"/>
                <w:lang w:val="en-US" w:eastAsia="en-US"/>
              </w:rPr>
              <w:t xml:space="preserve">序号 1至 </w:t>
            </w:r>
            <w:r>
              <w:rPr>
                <w:rFonts w:hint="eastAsia" w:ascii="黑体" w:hAnsi="黑体" w:eastAsia="黑体" w:cs="黑体"/>
                <w:color w:val="auto"/>
                <w:sz w:val="24"/>
                <w:szCs w:val="24"/>
                <w:highlight w:val="none"/>
                <w:lang w:val="en-US" w:eastAsia="zh-CN"/>
              </w:rPr>
              <w:t xml:space="preserve">12</w:t>
            </w:r>
            <w:r>
              <w:rPr>
                <w:rFonts w:hint="eastAsia" w:ascii="黑体" w:hAnsi="黑体" w:eastAsia="黑体" w:cs="黑体"/>
                <w:color w:val="auto"/>
                <w:sz w:val="24"/>
                <w:szCs w:val="24"/>
                <w:highlight w:val="none"/>
                <w:lang w:val="en-US" w:eastAsia="en-US"/>
              </w:rPr>
              <w:t xml:space="preserve">的合计。</w:t>
            </w:r>
            <w:r/>
          </w:p>
        </w:tc>
      </w:tr>
    </w:tbl>
    <w:p>
      <w:pPr>
        <w:numPr>
          <w:ilvl w:val="0"/>
          <w:numId w:val="0"/>
        </w:numPr>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lang w:val="en-US" w:eastAsia="zh-CN"/>
        </w:rPr>
        <w:t xml:space="preserve">（2）居家和社区养老政府购买服务</w:t>
      </w:r>
      <w:r>
        <w:rPr>
          <w:rFonts w:hint="eastAsia" w:ascii="黑体" w:hAnsi="黑体" w:eastAsia="黑体" w:cs="黑体"/>
          <w:b/>
          <w:bCs/>
          <w:color w:val="auto"/>
          <w:sz w:val="24"/>
          <w:szCs w:val="24"/>
          <w:lang w:val="en-US" w:eastAsia="zh-CN"/>
        </w:rPr>
        <w:t xml:space="preserve">合同价为： </w:t>
      </w:r>
      <w:r>
        <w:rPr>
          <w:rFonts w:hint="eastAsia" w:ascii="黑体" w:hAnsi="黑体" w:eastAsia="黑体" w:cs="黑体"/>
          <w:color w:val="auto"/>
          <w:sz w:val="24"/>
          <w:szCs w:val="24"/>
          <w:highlight w:val="none"/>
        </w:rPr>
        <w:t xml:space="preserve">大写人民币</w:t>
      </w:r>
      <w:r>
        <w:rPr>
          <w:rFonts w:hint="eastAsia" w:ascii="黑体" w:hAnsi="黑体" w:eastAsia="黑体" w:cs="黑体"/>
          <w:color w:val="auto"/>
          <w:sz w:val="24"/>
          <w:szCs w:val="24"/>
          <w:highlight w:val="none"/>
          <w:u w:val="single"/>
          <w:lang w:val="en-US" w:eastAsia="zh-CN"/>
        </w:rPr>
        <w:t xml:space="preserve">   </w:t>
      </w:r>
      <w:r>
        <w:rPr>
          <w:rFonts w:hint="eastAsia" w:ascii="黑体" w:hAnsi="黑体" w:eastAsia="黑体" w:cs="黑体"/>
          <w:color w:val="auto"/>
          <w:sz w:val="24"/>
          <w:szCs w:val="24"/>
          <w:highlight w:val="none"/>
          <w:u w:val="single"/>
        </w:rPr>
        <w:t xml:space="preserve">（RMB元</w:t>
      </w:r>
      <w:r>
        <w:rPr>
          <w:rFonts w:hint="eastAsia" w:ascii="黑体" w:hAnsi="黑体" w:eastAsia="黑体" w:cs="黑体"/>
          <w:color w:val="auto"/>
          <w:sz w:val="24"/>
          <w:szCs w:val="24"/>
          <w:highlight w:val="none"/>
          <w:u w:val="single"/>
          <w:lang w:val="en-US" w:eastAsia="zh-CN"/>
        </w:rPr>
        <w:t xml:space="preserve">/年</w:t>
      </w:r>
      <w:r>
        <w:rPr>
          <w:rFonts w:hint="eastAsia" w:ascii="黑体" w:hAnsi="黑体" w:eastAsia="黑体" w:cs="黑体"/>
          <w:color w:val="auto"/>
          <w:sz w:val="24"/>
          <w:szCs w:val="24"/>
          <w:highlight w:val="none"/>
          <w:u w:val="single"/>
        </w:rPr>
        <w:t xml:space="preserve">）</w:t>
      </w:r>
      <w:r>
        <w:rPr>
          <w:rFonts w:hint="eastAsia" w:ascii="黑体" w:hAnsi="黑体" w:eastAsia="黑体" w:cs="黑体"/>
          <w:color w:val="auto"/>
          <w:sz w:val="24"/>
          <w:szCs w:val="24"/>
          <w:highlight w:val="none"/>
          <w:lang w:eastAsia="zh-CN"/>
        </w:rPr>
        <w:t xml:space="preserve">；</w:t>
      </w:r>
      <w:r/>
    </w:p>
    <w:p>
      <w:pPr>
        <w:numPr>
          <w:ilvl w:val="0"/>
          <w:numId w:val="0"/>
        </w:numPr>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b/>
          <w:bCs/>
          <w:color w:val="auto"/>
          <w:sz w:val="24"/>
          <w:szCs w:val="24"/>
          <w:lang w:val="en-US" w:eastAsia="zh-CN"/>
        </w:rPr>
        <w:t xml:space="preserve"> </w:t>
      </w:r>
      <w:r>
        <w:rPr>
          <w:rFonts w:hint="eastAsia" w:ascii="黑体" w:hAnsi="黑体" w:eastAsia="黑体" w:cs="黑体"/>
          <w:color w:val="auto"/>
          <w:sz w:val="24"/>
          <w:szCs w:val="24"/>
          <w:lang w:val="en-US" w:eastAsia="zh-CN"/>
        </w:rPr>
        <w:t xml:space="preserve">残疾人之家运营管理</w:t>
      </w:r>
      <w:r>
        <w:rPr>
          <w:rFonts w:hint="eastAsia" w:ascii="黑体" w:hAnsi="黑体" w:eastAsia="黑体" w:cs="黑体"/>
          <w:b/>
          <w:bCs/>
          <w:color w:val="auto"/>
          <w:sz w:val="24"/>
          <w:szCs w:val="24"/>
          <w:lang w:val="en-US" w:eastAsia="zh-CN"/>
        </w:rPr>
        <w:t xml:space="preserve">合同价为： </w:t>
      </w:r>
      <w:r>
        <w:rPr>
          <w:rFonts w:hint="eastAsia" w:ascii="黑体" w:hAnsi="黑体" w:eastAsia="黑体" w:cs="黑体"/>
          <w:color w:val="auto"/>
          <w:sz w:val="24"/>
          <w:szCs w:val="24"/>
          <w:highlight w:val="none"/>
        </w:rPr>
        <w:t xml:space="preserve">大写人民币</w:t>
      </w:r>
      <w:r>
        <w:rPr>
          <w:rFonts w:hint="eastAsia" w:ascii="黑体" w:hAnsi="黑体" w:eastAsia="黑体" w:cs="黑体"/>
          <w:color w:val="auto"/>
          <w:sz w:val="24"/>
          <w:szCs w:val="24"/>
          <w:highlight w:val="none"/>
          <w:u w:val="single"/>
          <w:lang w:val="en-US" w:eastAsia="zh-CN"/>
        </w:rPr>
        <w:t xml:space="preserve">   </w:t>
      </w:r>
      <w:r>
        <w:rPr>
          <w:rFonts w:hint="eastAsia" w:ascii="黑体" w:hAnsi="黑体" w:eastAsia="黑体" w:cs="黑体"/>
          <w:color w:val="auto"/>
          <w:sz w:val="24"/>
          <w:szCs w:val="24"/>
          <w:highlight w:val="none"/>
          <w:u w:val="single"/>
        </w:rPr>
        <w:t xml:space="preserve">（RMB元</w:t>
      </w:r>
      <w:r>
        <w:rPr>
          <w:rFonts w:hint="eastAsia" w:ascii="黑体" w:hAnsi="黑体" w:eastAsia="黑体" w:cs="黑体"/>
          <w:color w:val="auto"/>
          <w:sz w:val="24"/>
          <w:szCs w:val="24"/>
          <w:highlight w:val="none"/>
          <w:u w:val="single"/>
          <w:lang w:val="en-US" w:eastAsia="zh-CN"/>
        </w:rPr>
        <w:t xml:space="preserve">/年</w:t>
      </w:r>
      <w:r>
        <w:rPr>
          <w:rFonts w:hint="eastAsia" w:ascii="黑体" w:hAnsi="黑体" w:eastAsia="黑体" w:cs="黑体"/>
          <w:color w:val="auto"/>
          <w:sz w:val="24"/>
          <w:szCs w:val="24"/>
          <w:highlight w:val="none"/>
          <w:u w:val="single"/>
        </w:rPr>
        <w:t xml:space="preserve">）</w:t>
      </w:r>
      <w:r>
        <w:rPr>
          <w:rFonts w:hint="eastAsia" w:ascii="黑体" w:hAnsi="黑体" w:eastAsia="黑体" w:cs="黑体"/>
          <w:color w:val="auto"/>
          <w:sz w:val="24"/>
          <w:szCs w:val="24"/>
          <w:highlight w:val="none"/>
          <w:u w:val="single"/>
          <w:lang w:eastAsia="zh-CN"/>
        </w:rPr>
        <w:t xml:space="preserve">。</w:t>
      </w:r>
      <w:r/>
    </w:p>
    <w:p>
      <w:pPr>
        <w:ind w:firstLine="240"/>
        <w:jc w:val="left"/>
        <w:keepLines w:val="0"/>
        <w:keepNext w:val="0"/>
        <w:pageBreakBefore w:val="0"/>
        <w:spacing w:line="440" w:lineRule="exact"/>
        <w:widowControl w:val="off"/>
        <w:rPr>
          <w:rFonts w:hint="eastAsia" w:ascii="黑体" w:hAnsi="黑体" w:eastAsia="黑体" w:cs="黑体"/>
          <w:b/>
          <w:bCs/>
          <w:color w:val="auto"/>
          <w:sz w:val="24"/>
          <w:szCs w:val="24"/>
          <w:u w:val="single"/>
        </w:rPr>
      </w:pPr>
      <w:r>
        <w:rPr>
          <w:rFonts w:hint="eastAsia" w:ascii="黑体" w:hAnsi="黑体" w:eastAsia="黑体" w:cs="黑体"/>
          <w:color w:val="auto"/>
          <w:sz w:val="24"/>
          <w:szCs w:val="24"/>
          <w:highlight w:val="none"/>
        </w:rPr>
        <w:t xml:space="preserve">2.2合同价格为：</w:t>
      </w:r>
      <w:bookmarkStart w:id="26" w:name="_Toc81879413"/>
      <w:r>
        <w:rPr>
          <w:rFonts w:hint="eastAsia" w:ascii="黑体" w:hAnsi="黑体" w:eastAsia="黑体" w:cs="黑体"/>
          <w:color w:val="auto"/>
          <w:sz w:val="24"/>
          <w:szCs w:val="24"/>
          <w:highlight w:val="none"/>
        </w:rPr>
        <w:t xml:space="preserve">报价</w:t>
      </w:r>
      <w:r>
        <w:rPr>
          <w:rFonts w:hint="eastAsia" w:ascii="黑体" w:hAnsi="黑体" w:eastAsia="黑体" w:cs="黑体"/>
          <w:bCs/>
          <w:color w:val="auto"/>
          <w:sz w:val="24"/>
          <w:szCs w:val="24"/>
          <w:highlight w:val="none"/>
        </w:rPr>
        <w:t xml:space="preserve">包括从事本项目服务所需的一切费用，</w:t>
      </w:r>
      <w:r>
        <w:rPr>
          <w:rFonts w:hint="eastAsia" w:ascii="黑体" w:hAnsi="黑体" w:eastAsia="黑体" w:cs="黑体"/>
          <w:b/>
          <w:bCs/>
          <w:color w:val="auto"/>
          <w:sz w:val="24"/>
          <w:szCs w:val="24"/>
          <w:u w:val="single"/>
        </w:rPr>
        <w:t xml:space="preserve">包括但不限于响应磋商文件所列工作内容所需的人工费用（包括国假加班费、劳保等），设备、工具、耗材、管理费、培训费、保险费、第三方对中标单位完成本项目进行检验的费用</w:t>
      </w:r>
      <w:r>
        <w:rPr>
          <w:rFonts w:hint="eastAsia" w:ascii="黑体" w:hAnsi="黑体" w:eastAsia="黑体" w:cs="黑体"/>
          <w:b/>
          <w:bCs/>
          <w:color w:val="auto"/>
          <w:sz w:val="24"/>
          <w:szCs w:val="24"/>
          <w:u w:val="single"/>
        </w:rPr>
        <w:t xml:space="preserve">、</w:t>
      </w:r>
      <w:r>
        <w:rPr>
          <w:rFonts w:hint="eastAsia" w:ascii="黑体" w:hAnsi="黑体" w:eastAsia="黑体" w:cs="黑体"/>
          <w:b/>
          <w:bCs/>
          <w:color w:val="auto"/>
          <w:sz w:val="24"/>
          <w:szCs w:val="24"/>
          <w:u w:val="single"/>
        </w:rPr>
        <w:t xml:space="preserve">税金、利润等政策性文件规定及合同包含的所有风险、责任等各项应有费用，即招标物服务周期结束前的所有费用且包含响应磋商文件采购要求的所有费用。</w:t>
      </w:r>
      <w:r>
        <w:rPr>
          <w:rFonts w:hint="eastAsia" w:ascii="黑体" w:hAnsi="黑体" w:eastAsia="黑体" w:cs="黑体"/>
          <w:b/>
          <w:bCs/>
          <w:color w:val="auto"/>
          <w:sz w:val="24"/>
          <w:szCs w:val="24"/>
          <w:u w:val="single"/>
          <w:lang w:eastAsia="zh-CN"/>
        </w:rPr>
        <w:t xml:space="preserve">供应商</w:t>
      </w:r>
      <w:r>
        <w:rPr>
          <w:rFonts w:hint="eastAsia" w:ascii="黑体" w:hAnsi="黑体" w:eastAsia="黑体" w:cs="黑体"/>
          <w:b/>
          <w:bCs/>
          <w:color w:val="auto"/>
          <w:sz w:val="24"/>
          <w:szCs w:val="24"/>
          <w:u w:val="single"/>
        </w:rPr>
        <w:t xml:space="preserve">报价如有漏项或少计，视为对采购人的优惠。采购人在支付成交方投标报价款项后，不再支付其他任何费用。</w:t>
      </w:r>
      <w:r/>
    </w:p>
    <w:p>
      <w:pPr>
        <w:ind w:firstLine="241"/>
        <w:jc w:val="left"/>
        <w:keepLines w:val="0"/>
        <w:keepNext w:val="0"/>
        <w:pageBreakBefore w:val="0"/>
        <w:spacing w:line="440" w:lineRule="exact"/>
        <w:widowControl w:val="off"/>
        <w:rPr>
          <w:rFonts w:hint="eastAsia" w:ascii="黑体" w:hAnsi="黑体" w:eastAsia="黑体" w:cs="黑体"/>
          <w:b/>
          <w:bCs/>
          <w:color w:val="auto"/>
          <w:sz w:val="24"/>
          <w:szCs w:val="24"/>
          <w:u w:val="none"/>
          <w:lang w:val="en-US" w:eastAsia="zh-CN"/>
        </w:rPr>
      </w:pPr>
      <w:r>
        <w:rPr>
          <w:rFonts w:hint="eastAsia" w:ascii="黑体" w:hAnsi="黑体" w:eastAsia="黑体" w:cs="黑体"/>
          <w:b/>
          <w:bCs/>
          <w:color w:val="auto"/>
          <w:sz w:val="24"/>
          <w:szCs w:val="24"/>
          <w:u w:val="none"/>
          <w:lang w:val="en-US" w:eastAsia="zh-CN"/>
        </w:rPr>
        <w:t xml:space="preserve">2.3以上实际结算金额以上级拨付为准，并按各项考评结果拨付（按年结算）。</w:t>
      </w:r>
      <w:bookmarkEnd w:id="26"/>
      <w:r/>
      <w:r/>
    </w:p>
    <w:p>
      <w:pPr>
        <w:pStyle w:val="875"/>
        <w:numPr>
          <w:ilvl w:val="0"/>
          <w:numId w:val="8"/>
        </w:numPr>
        <w:ind w:left="0"/>
        <w:jc w:val="left"/>
        <w:pageBreakBefore w:val="0"/>
        <w:spacing w:after="60"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工作内容</w:t>
      </w:r>
      <w:r/>
    </w:p>
    <w:p>
      <w:pPr>
        <w:ind w:firstLine="482"/>
        <w:jc w:val="left"/>
        <w:pageBreakBefore w:val="0"/>
        <w:spacing w:line="440" w:lineRule="exact"/>
        <w:rPr>
          <w:rFonts w:hint="eastAsia" w:ascii="黑体" w:hAnsi="黑体" w:eastAsia="黑体" w:cs="黑体"/>
          <w:b/>
          <w:color w:val="auto"/>
          <w:sz w:val="24"/>
          <w:szCs w:val="24"/>
          <w:lang w:val="en-US" w:eastAsia="zh-CN"/>
        </w:rPr>
      </w:pPr>
      <w:r>
        <w:rPr>
          <w:rFonts w:hint="eastAsia" w:ascii="黑体" w:hAnsi="黑体" w:eastAsia="黑体" w:cs="黑体"/>
          <w:b/>
          <w:color w:val="auto"/>
          <w:sz w:val="24"/>
          <w:szCs w:val="24"/>
          <w:lang w:val="en-US" w:eastAsia="zh-CN"/>
        </w:rPr>
        <w:t xml:space="preserve">A、综合性养老服务中心建设及运营管理</w:t>
      </w:r>
      <w:r/>
    </w:p>
    <w:p>
      <w:pPr>
        <w:numPr>
          <w:ilvl w:val="0"/>
          <w:numId w:val="0"/>
        </w:numPr>
        <w:ind w:firstLine="480"/>
        <w:jc w:val="left"/>
        <w:keepLines w:val="0"/>
        <w:keepNext w:val="0"/>
        <w:pageBreakBefore w:val="0"/>
        <w:spacing w:line="440" w:lineRule="exact"/>
        <w:widowControl/>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t xml:space="preserve">新开街</w:t>
      </w:r>
      <w:r>
        <w:rPr>
          <w:rFonts w:hint="eastAsia" w:ascii="黑体" w:hAnsi="黑体" w:eastAsia="黑体" w:cs="黑体"/>
          <w:color w:val="auto"/>
          <w:sz w:val="24"/>
          <w:szCs w:val="24"/>
        </w:rPr>
        <w:t xml:space="preserve">道综合性养老服务中心由成交</w:t>
      </w:r>
      <w:r>
        <w:rPr>
          <w:rFonts w:hint="eastAsia" w:ascii="黑体" w:hAnsi="黑体" w:eastAsia="黑体" w:cs="黑体"/>
          <w:color w:val="auto"/>
          <w:sz w:val="24"/>
          <w:szCs w:val="24"/>
          <w:lang w:eastAsia="zh-CN"/>
        </w:rPr>
        <w:t xml:space="preserve">乙方</w:t>
      </w:r>
      <w:r>
        <w:rPr>
          <w:rFonts w:hint="eastAsia" w:ascii="黑体" w:hAnsi="黑体" w:eastAsia="黑体" w:cs="黑体"/>
          <w:color w:val="auto"/>
          <w:sz w:val="24"/>
          <w:szCs w:val="24"/>
        </w:rPr>
        <w:t xml:space="preserve">投资装修建设，应具备全托、日托、上门服务以及业务指导等综合功能，并通过民政部门备案。</w:t>
      </w:r>
      <w:r/>
    </w:p>
    <w:p>
      <w:pPr>
        <w:numPr>
          <w:ilvl w:val="0"/>
          <w:numId w:val="0"/>
        </w:numPr>
        <w:ind w:firstLine="480"/>
        <w:jc w:val="left"/>
        <w:keepLines w:val="0"/>
        <w:keepNext w:val="0"/>
        <w:pageBreakBefore w:val="0"/>
        <w:spacing w:line="440" w:lineRule="exact"/>
        <w:widowControl/>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rPr>
        <w:t xml:space="preserve">建设选址：</w:t>
      </w:r>
      <w:r>
        <w:rPr>
          <w:rFonts w:hint="eastAsia" w:ascii="黑体" w:hAnsi="黑体" w:eastAsia="黑体" w:cs="黑体"/>
          <w:color w:val="auto"/>
          <w:sz w:val="24"/>
          <w:szCs w:val="24"/>
          <w:lang w:eastAsia="zh-CN"/>
        </w:rPr>
        <w:t xml:space="preserve">新里程花苑96幢二层和三层，面积4020.94㎡，房屋性质为公益性配套用房。其中201室（用途“社区居委会”） 和202室（用途“文化活动站”） ，建筑面积共751.36㎡，建设成街道综合性养老服务中心开放区域，作为社区居委会开展工作和居民开展文化活动的公共场所；203室、204室、205室、206室、207室、301室、302室、303室和304室（用途“居家养老站”），建筑面积共3269.58㎡，建设成街道综合性养老服务中心自有区域。提交</w:t>
      </w:r>
      <w:r>
        <w:rPr>
          <w:rFonts w:hint="eastAsia" w:ascii="黑体" w:hAnsi="黑体" w:eastAsia="黑体" w:cs="黑体"/>
          <w:color w:val="auto"/>
          <w:sz w:val="24"/>
          <w:szCs w:val="24"/>
          <w:lang w:val="en-US" w:eastAsia="zh-CN"/>
        </w:rPr>
        <w:t xml:space="preserve">的</w:t>
      </w:r>
      <w:r>
        <w:rPr>
          <w:rFonts w:hint="eastAsia" w:ascii="黑体" w:hAnsi="黑体" w:eastAsia="黑体" w:cs="黑体"/>
          <w:color w:val="auto"/>
          <w:sz w:val="24"/>
          <w:szCs w:val="24"/>
          <w:lang w:eastAsia="zh-CN"/>
        </w:rPr>
        <w:t xml:space="preserve">装修设计方案</w:t>
      </w:r>
      <w:r>
        <w:rPr>
          <w:rFonts w:hint="eastAsia" w:ascii="黑体" w:hAnsi="黑体" w:eastAsia="黑体" w:cs="黑体"/>
          <w:color w:val="auto"/>
          <w:sz w:val="24"/>
          <w:szCs w:val="24"/>
          <w:lang w:val="en-US" w:eastAsia="zh-CN"/>
        </w:rPr>
        <w:t xml:space="preserve">须经甲方确认后方可实施</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自合同签订之日起180日历天内竣工、验收合格并通过民政部门备案。</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由</w:t>
      </w:r>
      <w:r>
        <w:rPr>
          <w:rFonts w:hint="eastAsia" w:ascii="黑体" w:hAnsi="黑体" w:eastAsia="黑体" w:cs="黑体"/>
          <w:color w:val="auto"/>
          <w:sz w:val="24"/>
          <w:szCs w:val="24"/>
          <w:lang w:eastAsia="zh-CN"/>
        </w:rPr>
        <w:t xml:space="preserve">乙方</w:t>
      </w:r>
      <w:r>
        <w:rPr>
          <w:rFonts w:hint="eastAsia" w:ascii="黑体" w:hAnsi="黑体" w:eastAsia="黑体" w:cs="黑体"/>
          <w:color w:val="auto"/>
          <w:sz w:val="24"/>
          <w:szCs w:val="24"/>
        </w:rPr>
        <w:t xml:space="preserve">提交街道综合性养老服务中心运营方案、服务方案、收费标准和优惠政策等，方案包含但不限于以下内容：</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A1</w:t>
      </w:r>
      <w:r>
        <w:rPr>
          <w:rFonts w:hint="eastAsia" w:ascii="黑体" w:hAnsi="黑体" w:eastAsia="黑体" w:cs="黑体"/>
          <w:b/>
          <w:color w:val="auto"/>
          <w:sz w:val="24"/>
          <w:szCs w:val="24"/>
        </w:rPr>
        <w:t xml:space="preserve">服务场所</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（1）环境要求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1.建筑设计及室内环境应符合JGJ450的要求。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2.公共区域标识应符合MZ/T131的要求。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（2）设施设备要求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1.公共设施应与服务功能相匹配，无障碍设施应符合GB50763的要求。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2.消防设施配置应符合GB50016、GB50116、GB50140的要求。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3.供电、给排水、采暖通风、通讯等基础设施配置应符合JGJ450的要求。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4.应配置高清视频监控设备，监控范围应覆盖公共区域，并有醒目标识。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5.休息区、公共卫生间、公共助浴间应设紧急呼叫装置。</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6.应配置可联动所在地区智慧养老平台的管理系统，至少提供紧急呼叫救援、安全防护、资源管理调度等功能。</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（3）用房设置要求</w:t>
      </w:r>
      <w:r/>
    </w:p>
    <w:p>
      <w:pPr>
        <w:ind w:firstLine="72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基本要求：应根据老年人的使用特点和各项设施的功能要求进行合理布局和综合设置。具体可分为生活用房、医疗保健用房、公共活动用房、服务用房。每类用房的具体设置应符合JGJ450的规定。</w:t>
      </w:r>
      <w:r/>
    </w:p>
    <w:p>
      <w:pPr>
        <w:ind w:firstLine="723"/>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b/>
          <w:bCs/>
          <w:color w:val="auto"/>
          <w:sz w:val="24"/>
          <w:szCs w:val="24"/>
          <w:lang w:val="en-US" w:eastAsia="zh-CN"/>
        </w:rPr>
        <w:t xml:space="preserve">A2.</w:t>
      </w:r>
      <w:r>
        <w:rPr>
          <w:rFonts w:hint="eastAsia" w:ascii="黑体" w:hAnsi="黑体" w:eastAsia="黑体" w:cs="黑体"/>
          <w:b/>
          <w:bCs/>
          <w:color w:val="auto"/>
          <w:sz w:val="24"/>
          <w:szCs w:val="24"/>
        </w:rPr>
        <w:t xml:space="preserve">生活用房：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（1）生活用房主要包括老年人休息室、公共卫生间、公共助浴间、公共餐厅、理发室。</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（2）老年人休息室应选择相对安静的区域，分区配置全托床位、日间照料床位。护理型床位不少于20张。</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（3）公共卫生间应与老年人经常使用的公共活动用房同层，宜邻近设置，光线明亮，具备通风换气条件。公用卫生间应设无障碍厕位，便器旁应安装扶手。</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（4）公共助浴间应配置沐浴器、恒温设备和沐浴椅（凳）、防滑垫、排气扇等。</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（5）公共餐厅应配置可移动、牢固的桌椅，为护理员留有分餐、助餐空间。采用柜台式售饭方式的，应设置低位服务窗口。</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（6）理发室应配置理发和剃须器具、梳妆镜、理发座椅等。</w:t>
      </w:r>
      <w:r/>
    </w:p>
    <w:p>
      <w:pPr>
        <w:ind w:firstLine="482"/>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b/>
          <w:bCs/>
          <w:color w:val="auto"/>
          <w:sz w:val="24"/>
          <w:szCs w:val="24"/>
          <w:lang w:val="en-US" w:eastAsia="zh-CN"/>
        </w:rPr>
        <w:t xml:space="preserve">A3.</w:t>
      </w:r>
      <w:r>
        <w:rPr>
          <w:rFonts w:hint="eastAsia" w:ascii="黑体" w:hAnsi="黑体" w:eastAsia="黑体" w:cs="黑体"/>
          <w:b/>
          <w:bCs/>
          <w:color w:val="auto"/>
          <w:sz w:val="24"/>
          <w:szCs w:val="24"/>
        </w:rPr>
        <w:t xml:space="preserve">医疗保健用房：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（1）医疗保健用房主要包括医务室、护理站、康复室、心理疏导室。</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（2）宜设置医务室、护理站等医疗机构，或与其他基层卫生医疗机构签订医疗合作协议。</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（3）康复室应配备适合老年人的运动康复器械和作业康复器械。</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（4）心理疏导室应配置良好的隔间设施、暖色桌椅、沙发以及心理沙盘、心理宣泄工具。</w:t>
      </w:r>
      <w:r/>
    </w:p>
    <w:p>
      <w:pPr>
        <w:ind w:firstLine="482"/>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b/>
          <w:bCs/>
          <w:color w:val="auto"/>
          <w:sz w:val="24"/>
          <w:szCs w:val="24"/>
          <w:lang w:val="en-US" w:eastAsia="zh-CN"/>
        </w:rPr>
        <w:t xml:space="preserve">A4.</w:t>
      </w:r>
      <w:r>
        <w:rPr>
          <w:rFonts w:hint="eastAsia" w:ascii="黑体" w:hAnsi="黑体" w:eastAsia="黑体" w:cs="黑体"/>
          <w:b/>
          <w:bCs/>
          <w:color w:val="auto"/>
          <w:sz w:val="24"/>
          <w:szCs w:val="24"/>
        </w:rPr>
        <w:t xml:space="preserve">公共活动用房：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（1）公共活动用房主要包括多功能活动室、棋牌室、阅览室、书画室，在满足使用功能和相互不干扰前提下，可合并设置。</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（2）宜设置在建筑物首层，有良好的自然采光与通风条件。</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（3）多功能活动室应合理配备音响、影视器材等用品。</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（4）棋牌室应配备桌椅、棋牌等用品。</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（5）阅览室应配备书架、阅览桌、坐椅，有一定数量的藏书和报刊，有条件的宜配备开通网络功能的电脑。</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（6）书画室应提供书法、绘画所需的书案、字帖等用品。</w:t>
      </w:r>
      <w:r/>
    </w:p>
    <w:p>
      <w:pPr>
        <w:ind w:firstLine="482"/>
        <w:jc w:val="left"/>
        <w:pageBreakBefore w:val="0"/>
        <w:spacing w:line="440" w:lineRule="exact"/>
        <w:rPr>
          <w:rFonts w:hint="eastAsia" w:ascii="黑体" w:hAnsi="黑体" w:eastAsia="黑体" w:cs="黑体"/>
          <w:b/>
          <w:bCs/>
          <w:color w:val="auto"/>
          <w:sz w:val="24"/>
          <w:szCs w:val="24"/>
        </w:rPr>
      </w:pPr>
      <w:r>
        <w:rPr>
          <w:rFonts w:hint="eastAsia" w:ascii="黑体" w:hAnsi="黑体" w:eastAsia="黑体" w:cs="黑体"/>
          <w:b/>
          <w:bCs/>
          <w:color w:val="auto"/>
          <w:sz w:val="24"/>
          <w:szCs w:val="24"/>
          <w:lang w:val="en-US" w:eastAsia="zh-CN"/>
        </w:rPr>
        <w:t xml:space="preserve">A5.</w:t>
      </w:r>
      <w:r>
        <w:rPr>
          <w:rFonts w:hint="eastAsia" w:ascii="黑体" w:hAnsi="黑体" w:eastAsia="黑体" w:cs="黑体"/>
          <w:b/>
          <w:bCs/>
          <w:color w:val="auto"/>
          <w:sz w:val="24"/>
          <w:szCs w:val="24"/>
        </w:rPr>
        <w:t xml:space="preserve">服务用房：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（1）服务用房主要包括值班室、厨房（备餐间）、职工用房、洗衣房、污物间、清扫间。</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（2）值班室可与咨询接待、入住登记合并使用，位置应明显易找并设置醒目标识。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（3）厨房（配餐间）应配备基本炊具及餐具，必要的卫生防疫和消防防火装置。利用就近餐饮服务资源开展配餐、送餐服务的，可不设置厨房。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（4）职工用房宜包括职工休息室、卫生间、沐浴间、夜间值班室。</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（5）洗衣房应配置洗涤设备和烘干设备。由社会配套提供洗衣服务的，可不设置洗衣房。</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（6）污物间、清扫间应与生活用房等保持相对距离，清洁工具与污物箱应分类摆放，避免污染。</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A6.</w:t>
      </w:r>
      <w:r>
        <w:rPr>
          <w:rFonts w:hint="eastAsia" w:ascii="黑体" w:hAnsi="黑体" w:eastAsia="黑体" w:cs="黑体"/>
          <w:b/>
          <w:color w:val="auto"/>
          <w:sz w:val="24"/>
          <w:szCs w:val="24"/>
        </w:rPr>
        <w:t xml:space="preserve">服务机构及人员</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（1）机构要求</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rPr>
        <w:t xml:space="preserve">1</w:t>
      </w:r>
      <w:r>
        <w:rPr>
          <w:rFonts w:hint="eastAsia" w:ascii="黑体" w:hAnsi="黑体" w:eastAsia="黑体" w:cs="黑体"/>
          <w:color w:val="auto"/>
          <w:sz w:val="24"/>
          <w:szCs w:val="24"/>
          <w:highlight w:val="none"/>
        </w:rPr>
        <w:t xml:space="preserve">法人或者其他组织的营业执照等证明文件，自然人的身份证明。</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2.设置医疗卫生机构的，应取得医疗机构执业许可证。</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3.配备满足服务和运营需要的服务和管理人员。</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4.与街道办事处签订合作服务协议，明确权责义务。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（2）人员要求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w:t>
      </w:r>
      <w:r>
        <w:rPr>
          <w:rFonts w:hint="eastAsia" w:ascii="黑体" w:hAnsi="黑体" w:eastAsia="黑体" w:cs="黑体"/>
          <w:color w:val="auto"/>
          <w:sz w:val="24"/>
          <w:szCs w:val="24"/>
          <w:lang w:val="en-US" w:eastAsia="zh-CN"/>
        </w:rPr>
        <w:t xml:space="preserve">配备的</w:t>
      </w:r>
      <w:r>
        <w:rPr>
          <w:rFonts w:hint="eastAsia" w:ascii="黑体" w:hAnsi="黑体" w:eastAsia="黑体" w:cs="黑体"/>
          <w:color w:val="auto"/>
          <w:sz w:val="24"/>
          <w:szCs w:val="24"/>
        </w:rPr>
        <w:t xml:space="preserve">医生、护士、药剂师、康复治疗师、心理咨询师、养老护理员、社会工作者等团队人员应符合行业要求并具备相关资质。</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t xml:space="preserve">注明：</w:t>
      </w:r>
      <w:r>
        <w:rPr>
          <w:rFonts w:hint="eastAsia" w:ascii="黑体" w:hAnsi="黑体" w:eastAsia="黑体" w:cs="黑体"/>
          <w:color w:val="auto"/>
          <w:sz w:val="24"/>
          <w:szCs w:val="24"/>
        </w:rPr>
        <w:t xml:space="preserve">医生、护士、药剂师需取得</w:t>
      </w:r>
      <w:r>
        <w:rPr>
          <w:rFonts w:hint="eastAsia" w:ascii="黑体" w:hAnsi="黑体" w:eastAsia="黑体" w:cs="黑体"/>
          <w:color w:val="auto"/>
          <w:sz w:val="24"/>
          <w:szCs w:val="24"/>
          <w:lang w:val="en-US" w:eastAsia="zh-CN"/>
        </w:rPr>
        <w:t xml:space="preserve">相关行政主管部门颁发有效</w:t>
      </w:r>
      <w:r>
        <w:rPr>
          <w:rFonts w:hint="eastAsia" w:ascii="黑体" w:hAnsi="黑体" w:eastAsia="黑体" w:cs="黑体"/>
          <w:color w:val="auto"/>
          <w:sz w:val="24"/>
          <w:szCs w:val="24"/>
        </w:rPr>
        <w:t xml:space="preserve">的卫生专业技术资格；社会工作者需取得</w:t>
      </w:r>
      <w:r>
        <w:rPr>
          <w:rFonts w:hint="eastAsia" w:ascii="黑体" w:hAnsi="黑体" w:eastAsia="黑体" w:cs="黑体"/>
          <w:color w:val="auto"/>
          <w:sz w:val="24"/>
          <w:szCs w:val="24"/>
          <w:lang w:val="en-US" w:eastAsia="zh-CN"/>
        </w:rPr>
        <w:t xml:space="preserve">相关行政主管部门</w:t>
      </w:r>
      <w:r>
        <w:rPr>
          <w:rFonts w:hint="eastAsia" w:ascii="黑体" w:hAnsi="黑体" w:eastAsia="黑体" w:cs="黑体"/>
          <w:color w:val="auto"/>
          <w:sz w:val="24"/>
          <w:szCs w:val="24"/>
        </w:rPr>
        <w:t xml:space="preserve">颁发</w:t>
      </w:r>
      <w:r>
        <w:rPr>
          <w:rFonts w:hint="eastAsia" w:ascii="黑体" w:hAnsi="黑体" w:eastAsia="黑体" w:cs="黑体"/>
          <w:color w:val="auto"/>
          <w:sz w:val="24"/>
          <w:szCs w:val="24"/>
          <w:lang w:val="en-US" w:eastAsia="zh-CN"/>
        </w:rPr>
        <w:t xml:space="preserve">有效的</w:t>
      </w:r>
      <w:r>
        <w:rPr>
          <w:rFonts w:hint="eastAsia" w:ascii="黑体" w:hAnsi="黑体" w:eastAsia="黑体" w:cs="黑体"/>
          <w:color w:val="auto"/>
          <w:sz w:val="24"/>
          <w:szCs w:val="24"/>
        </w:rPr>
        <w:t xml:space="preserve">社会工作者职业资格；康复治疗师、心理咨询师、养老护理员需取得</w:t>
      </w:r>
      <w:r>
        <w:rPr>
          <w:rFonts w:hint="eastAsia" w:ascii="黑体" w:hAnsi="黑体" w:eastAsia="黑体" w:cs="黑体"/>
          <w:color w:val="auto"/>
          <w:sz w:val="24"/>
          <w:szCs w:val="24"/>
          <w:lang w:eastAsia="zh-CN"/>
        </w:rPr>
        <w:t xml:space="preserve">相关行政主管部门</w:t>
      </w:r>
      <w:r>
        <w:rPr>
          <w:rFonts w:hint="eastAsia" w:ascii="黑体" w:hAnsi="黑体" w:eastAsia="黑体" w:cs="黑体"/>
          <w:color w:val="auto"/>
          <w:sz w:val="24"/>
          <w:szCs w:val="24"/>
        </w:rPr>
        <w:t xml:space="preserve">职业技能鉴定（指导）中心颁发的相关证书。）工勤人员应持有所从事工种的国家职业资格证书。一线员工及餐饮人员应持有健康证</w:t>
      </w:r>
      <w:r>
        <w:rPr>
          <w:rFonts w:hint="eastAsia" w:ascii="黑体" w:hAnsi="黑体" w:eastAsia="黑体" w:cs="黑体"/>
          <w:color w:val="auto"/>
          <w:sz w:val="24"/>
          <w:szCs w:val="24"/>
          <w:lang w:eastAsia="zh-CN"/>
        </w:rPr>
        <w:t xml:space="preserve">、</w:t>
      </w:r>
      <w:r>
        <w:rPr>
          <w:rFonts w:hint="eastAsia" w:ascii="黑体" w:hAnsi="黑体" w:eastAsia="黑体" w:cs="黑体"/>
          <w:color w:val="auto"/>
          <w:sz w:val="24"/>
          <w:szCs w:val="24"/>
          <w:lang w:val="en-US" w:eastAsia="zh-CN"/>
        </w:rPr>
        <w:t xml:space="preserve">配备的</w:t>
      </w:r>
      <w:r>
        <w:rPr>
          <w:rFonts w:hint="eastAsia" w:ascii="黑体" w:hAnsi="黑体" w:eastAsia="黑体" w:cs="黑体"/>
          <w:color w:val="auto"/>
          <w:sz w:val="24"/>
          <w:szCs w:val="24"/>
          <w:lang w:eastAsia="zh-CN"/>
        </w:rPr>
        <w:t xml:space="preserve">厨师</w:t>
      </w:r>
      <w:r>
        <w:rPr>
          <w:rFonts w:hint="eastAsia" w:ascii="黑体" w:hAnsi="黑体" w:eastAsia="黑体" w:cs="黑体"/>
          <w:color w:val="auto"/>
          <w:sz w:val="24"/>
          <w:szCs w:val="24"/>
          <w:lang w:val="en-US" w:eastAsia="zh-CN"/>
        </w:rPr>
        <w:t xml:space="preserve">和面点师</w:t>
      </w:r>
      <w:r>
        <w:rPr>
          <w:rFonts w:hint="eastAsia" w:ascii="黑体" w:hAnsi="黑体" w:eastAsia="黑体" w:cs="黑体"/>
          <w:color w:val="auto"/>
          <w:sz w:val="24"/>
          <w:szCs w:val="24"/>
          <w:lang w:eastAsia="zh-CN"/>
        </w:rPr>
        <w:t xml:space="preserve">需</w:t>
      </w:r>
      <w:r>
        <w:rPr>
          <w:rFonts w:hint="eastAsia" w:ascii="黑体" w:hAnsi="黑体" w:eastAsia="黑体" w:cs="黑体"/>
          <w:color w:val="auto"/>
          <w:sz w:val="24"/>
          <w:szCs w:val="24"/>
          <w:lang w:val="en-US" w:eastAsia="zh-CN"/>
        </w:rPr>
        <w:t xml:space="preserve">具</w:t>
      </w:r>
      <w:r>
        <w:rPr>
          <w:rFonts w:hint="eastAsia" w:ascii="黑体" w:hAnsi="黑体" w:eastAsia="黑体" w:cs="黑体"/>
          <w:color w:val="auto"/>
          <w:sz w:val="24"/>
          <w:szCs w:val="24"/>
          <w:lang w:eastAsia="zh-CN"/>
        </w:rPr>
        <w:t xml:space="preserve">有</w:t>
      </w:r>
      <w:r>
        <w:rPr>
          <w:rFonts w:hint="eastAsia" w:ascii="黑体" w:hAnsi="黑体" w:eastAsia="黑体" w:cs="黑体"/>
          <w:color w:val="auto"/>
          <w:sz w:val="24"/>
          <w:szCs w:val="24"/>
          <w:lang w:val="en-US" w:eastAsia="zh-CN"/>
        </w:rPr>
        <w:t xml:space="preserve">相关行政主管部门</w:t>
      </w:r>
      <w:r>
        <w:rPr>
          <w:rFonts w:hint="eastAsia" w:ascii="黑体" w:hAnsi="黑体" w:eastAsia="黑体" w:cs="黑体"/>
          <w:color w:val="auto"/>
          <w:sz w:val="24"/>
          <w:szCs w:val="24"/>
        </w:rPr>
        <w:t xml:space="preserve">颁发</w:t>
      </w:r>
      <w:r>
        <w:rPr>
          <w:rFonts w:hint="eastAsia" w:ascii="黑体" w:hAnsi="黑体" w:eastAsia="黑体" w:cs="黑体"/>
          <w:color w:val="auto"/>
          <w:sz w:val="24"/>
          <w:szCs w:val="24"/>
          <w:lang w:val="en-US" w:eastAsia="zh-CN"/>
        </w:rPr>
        <w:t xml:space="preserve">的</w:t>
      </w:r>
      <w:r>
        <w:rPr>
          <w:rFonts w:hint="eastAsia" w:ascii="黑体" w:hAnsi="黑体" w:eastAsia="黑体" w:cs="黑体"/>
          <w:color w:val="auto"/>
          <w:sz w:val="24"/>
          <w:szCs w:val="24"/>
          <w:lang w:eastAsia="zh-CN"/>
        </w:rPr>
        <w:t xml:space="preserve">资格证书 </w:t>
      </w:r>
      <w:r>
        <w:rPr>
          <w:rFonts w:hint="eastAsia" w:ascii="黑体" w:hAnsi="黑体" w:eastAsia="黑体" w:cs="黑体"/>
          <w:color w:val="auto"/>
          <w:sz w:val="24"/>
          <w:szCs w:val="24"/>
        </w:rPr>
        <w:t xml:space="preserve">。</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与床位配套的照护服务从业人员应接受专项培训，经考试合格后上岗。培训内容包括但不限于：老年服务职业道德与法律法规；老年人常见病护理要点；老年人生理及心理特点；具体服务知识与技能；常见服务风险与应急处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3.应掌握与老年人沟通技巧，热情周到、耐心细致、认真负责。</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A7.</w:t>
      </w:r>
      <w:r>
        <w:rPr>
          <w:rFonts w:hint="eastAsia" w:ascii="黑体" w:hAnsi="黑体" w:eastAsia="黑体" w:cs="黑体"/>
          <w:b/>
          <w:color w:val="auto"/>
          <w:sz w:val="24"/>
          <w:szCs w:val="24"/>
        </w:rPr>
        <w:t xml:space="preserve">服务内容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（1）专业照护</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专业照护服务包括但不限于以下内容：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1.日间照料服务：为社区内有需求的老年人提供日间托养，有条件可开展接送等附加服务；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2.全托服务：为老年人提供集中居住和照料护理服务；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上门照料服务：为有特殊服务需求的老年人提供上门照料服务，包括协助进食、协助排泄及如厕、协助移动、更换衣物、卧位护理，以及洗发、梳头、口腔清洁、洗脸、剃胡须、修剪指甲、洗手洗脚、沐浴等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（2）医疗护理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医疗护理服务包括但不限于以下内容：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1.健康管理：为老年人提供生活方式和健康状况评估、中医体质辨识、体格检查、辅助检查和健康指导等服务；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2.家庭护理（含家庭照护床位）：根据需要提供换药、理疗、刮痧等上门医疗服务。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（3）康复保健</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康复保健服务包括但不限于以下内容：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1.辅具适配与指导：配备适合老年人需要的基本健身器具和康复辅助器具，并指导老年人使用；</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2.康复训练：对失智老年人进行非药物干预益智康复训练；</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3.辅具租赁：提供卧床、助行等康复辅具租赁服务，可根据老年人需求灵活采用日租、月租、年租等方式。</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（4）膳食供应</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膳食供应服务包括但不限于以下内容：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1.集中供餐：在公共餐厅为老年人提供符合其身体特点、荤素搭配、营养丰富、合理均衡的餐食；</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2.上门送餐：使用符合保温、保鲜要求的设备及运输工具，安排专人及时将餐食送至老年人居住处。</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（5）精神文化</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精神文化服务包括但不限于以下内容：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1.心理慰藉：为无子女、认知和情感障碍等需要关心的老年人提供沟通、情绪疏导、心理咨询、危机干预等服务；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2.文体娱乐：开展各种有益于老年人身心健康的文化娱乐活动，内容包括书法、绘画、棋牌、唱歌、戏曲、趣味活动、益智游戏以及健身运动等。</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（6）教育咨询</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教育咨询服务包括但不限于以下内容：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1.教育咨询：通过老年课堂、专家讲座等形式，提供保健养生、常见疾病预防、安全教育、智能设备使用等教育服务；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2.养老顾问：为老年人提供养老服务资源介绍、老年人福利政策指导等现场政策咨询和资源供需对接服务；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3.法律咨询：对老年人的法律咨询服务宜转介有法律从业资质的律师或律师事务所提供。</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（7）委托代办</w:t>
      </w:r>
      <w:r/>
    </w:p>
    <w:p>
      <w:pPr>
        <w:ind w:firstLine="480"/>
        <w:jc w:val="left"/>
        <w:pageBreakBefore w:val="0"/>
        <w:spacing w:line="440" w:lineRule="exact"/>
        <w:rPr>
          <w:rFonts w:hint="eastAsia" w:ascii="黑体" w:hAnsi="黑体" w:eastAsia="黑体" w:cs="黑体"/>
          <w:b w:val="0"/>
          <w:bCs w:val="0"/>
          <w:color w:val="auto"/>
          <w:sz w:val="24"/>
          <w:szCs w:val="24"/>
        </w:rPr>
      </w:pPr>
      <w:r>
        <w:rPr>
          <w:rFonts w:hint="eastAsia" w:ascii="黑体" w:hAnsi="黑体" w:eastAsia="黑体" w:cs="黑体"/>
          <w:b w:val="0"/>
          <w:bCs w:val="0"/>
          <w:color w:val="auto"/>
          <w:sz w:val="24"/>
          <w:szCs w:val="24"/>
        </w:rPr>
        <w:t xml:space="preserve">委托代办服务包括但不限于以下内容：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1.代读、代写书信；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2.代挂号、代买药；</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3.代领物品：为老年人代领物品、相关证件及资料等，应准确记录物品种类、数量，并核实、签字；</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4.代缴费用：为老年人代缴水电费、燃气费、医保费等，应当面清点钱物，并核实、签字。</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（8）居家安全</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b w:val="0"/>
          <w:bCs w:val="0"/>
          <w:color w:val="auto"/>
          <w:sz w:val="24"/>
          <w:szCs w:val="24"/>
        </w:rPr>
        <w:t xml:space="preserve">居家安全服务包括但不限于以下内容</w:t>
      </w:r>
      <w:r>
        <w:rPr>
          <w:rFonts w:hint="eastAsia" w:ascii="黑体" w:hAnsi="黑体" w:eastAsia="黑体" w:cs="黑体"/>
          <w:color w:val="auto"/>
          <w:sz w:val="24"/>
          <w:szCs w:val="24"/>
        </w:rPr>
        <w:t xml:space="preserve">：</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1.呼叫服务：整合联系社会专业服务机构、服务资源和社区志愿者，响应老年人通过互联网、物联网等网络手段或电话、可视网络等电子设备终端提出的养老服务需求，为居家老年人提供专业化养老服务；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2.安全防护服务：依托智慧养老平台及物联网等技术设备，为居家老年人提供电子围栏、烟雾报警、跌倒报警等安全技防服务；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3.适老化改造服务:根据实际情况，协助完成老年人家庭居室适老化改造。</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（9）家庭支持</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家庭支持服务包括但不限于以下内容：</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1.照护者技能培训：对失能失智老年人的家庭照料者开展照料技能培训服务；</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2.短期照料“喘息服务”：通过政府购买服务、个人付费等方式，组织专业人员，到老年人家中或将老年人接到服务中心进行短期照护，减轻老年人家庭成员的长期照护负担和精神压力。</w:t>
      </w:r>
      <w:r/>
    </w:p>
    <w:p>
      <w:pPr>
        <w:ind w:firstLine="482"/>
        <w:jc w:val="left"/>
        <w:pageBreakBefore w:val="0"/>
        <w:spacing w:line="440" w:lineRule="exact"/>
        <w:rPr>
          <w:rFonts w:hint="eastAsia" w:ascii="黑体" w:hAnsi="黑体" w:eastAsia="黑体" w:cs="黑体"/>
          <w:b/>
          <w:color w:val="auto"/>
          <w:sz w:val="24"/>
          <w:szCs w:val="24"/>
        </w:rPr>
      </w:pPr>
      <w:r>
        <w:rPr>
          <w:rFonts w:hint="eastAsia" w:ascii="黑体" w:hAnsi="黑体" w:eastAsia="黑体" w:cs="黑体"/>
          <w:b/>
          <w:color w:val="auto"/>
          <w:sz w:val="24"/>
          <w:szCs w:val="24"/>
          <w:lang w:val="en-US" w:eastAsia="zh-CN"/>
        </w:rPr>
        <w:t xml:space="preserve">A8.</w:t>
      </w:r>
      <w:r>
        <w:rPr>
          <w:rFonts w:hint="eastAsia" w:ascii="黑体" w:hAnsi="黑体" w:eastAsia="黑体" w:cs="黑体"/>
          <w:b/>
          <w:color w:val="auto"/>
          <w:sz w:val="24"/>
          <w:szCs w:val="24"/>
        </w:rPr>
        <w:t xml:space="preserve">运营保障</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（1）运营要求</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1.应建立完善的机构管理制度，包括但不限于：财务制度、人力资源管理制度、服务制度、行政管理制度、档案管理制度。</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2.档案应包括机构档案和服务档案。机构档案包括运营过程中的各类纸质、电子资料;服务档案包括服务对象信息、服务协议、服务内容、服务计划、服务记录等。</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3.应在显著位置公示机构资质、服务项目、收费标准、规章制度、工作流程、服务承诺、投诉方式等信息。内容应真实、准确、完整，及时更新。</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（2）安全管理</w:t>
      </w:r>
      <w:r/>
    </w:p>
    <w:p>
      <w:pPr>
        <w:ind w:firstLine="480"/>
        <w:jc w:val="left"/>
        <w:pageBreakBefore w:val="0"/>
        <w:spacing w:line="440" w:lineRule="exact"/>
        <w:rPr>
          <w:rFonts w:hint="eastAsia" w:ascii="黑体" w:hAnsi="黑体" w:eastAsia="黑体" w:cs="黑体"/>
          <w:color w:val="auto"/>
          <w:sz w:val="24"/>
          <w:szCs w:val="24"/>
        </w:rPr>
      </w:pPr>
      <w:r>
        <w:rPr>
          <w:rFonts w:hint="eastAsia" w:ascii="黑体" w:hAnsi="黑体" w:eastAsia="黑体" w:cs="黑体"/>
          <w:color w:val="auto"/>
          <w:sz w:val="24"/>
          <w:szCs w:val="24"/>
        </w:rPr>
        <w:t xml:space="preserve">1.应符合GB38600的要求。</w:t>
      </w:r>
      <w:r/>
    </w:p>
    <w:p>
      <w:pPr>
        <w:ind w:firstLine="480"/>
        <w:jc w:val="left"/>
        <w:pageBreakBefore w:val="0"/>
        <w:spacing w:line="440" w:lineRule="exact"/>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rPr>
        <w:t xml:space="preserve">2.应建立机</w:t>
      </w:r>
      <w:r>
        <w:rPr>
          <w:rFonts w:hint="eastAsia" w:ascii="黑体" w:hAnsi="黑体" w:eastAsia="黑体" w:cs="黑体"/>
          <w:color w:val="auto"/>
          <w:sz w:val="24"/>
          <w:szCs w:val="24"/>
          <w:highlight w:val="none"/>
        </w:rPr>
        <w:t xml:space="preserve">构安全管理规范及自查制度，每年由第三方出具安全检测报告或者安全评估报告</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此费用包含在投标报价中。</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3.应制定养老服务意外事件处置应急预案，涵盖机构内服务及上门服务。至少每半年开展1次培训和演练。</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4.应制定服务对象隐私保护措施。内容包括但不限于：肖像保护、个人信息、家庭信息、服务信息。</w:t>
      </w:r>
      <w:r/>
    </w:p>
    <w:p>
      <w:pPr>
        <w:numPr>
          <w:ilvl w:val="0"/>
          <w:numId w:val="0"/>
        </w:numPr>
        <w:ind w:firstLine="562"/>
        <w:rPr>
          <w:rFonts w:hint="eastAsia" w:ascii="黑体" w:hAnsi="黑体" w:eastAsia="黑体" w:cs="黑体"/>
          <w:b/>
          <w:bCs/>
          <w:color w:val="auto"/>
          <w:sz w:val="28"/>
          <w:szCs w:val="28"/>
          <w:highlight w:val="none"/>
          <w:lang w:val="en-US" w:eastAsia="zh-CN"/>
        </w:rPr>
      </w:pPr>
      <w:r>
        <w:rPr>
          <w:rFonts w:hint="eastAsia" w:ascii="黑体" w:hAnsi="黑体" w:eastAsia="黑体" w:cs="黑体"/>
          <w:b/>
          <w:bCs/>
          <w:color w:val="auto"/>
          <w:sz w:val="28"/>
          <w:szCs w:val="28"/>
          <w:highlight w:val="none"/>
          <w:lang w:val="en-US" w:eastAsia="zh-CN"/>
        </w:rPr>
        <w:t xml:space="preserve">B</w:t>
      </w:r>
      <w:r>
        <w:rPr>
          <w:rFonts w:hint="eastAsia" w:ascii="黑体" w:hAnsi="黑体" w:eastAsia="黑体" w:cs="黑体"/>
          <w:b/>
          <w:bCs/>
          <w:color w:val="auto"/>
          <w:sz w:val="28"/>
          <w:szCs w:val="28"/>
          <w:highlight w:val="none"/>
        </w:rPr>
        <w:t xml:space="preserve">、</w:t>
      </w:r>
      <w:r>
        <w:rPr>
          <w:rFonts w:hint="eastAsia" w:ascii="黑体" w:hAnsi="黑体" w:eastAsia="黑体" w:cs="黑体"/>
          <w:b/>
          <w:bCs/>
          <w:color w:val="auto"/>
          <w:sz w:val="28"/>
          <w:szCs w:val="28"/>
          <w:highlight w:val="none"/>
          <w:lang w:val="en-US" w:eastAsia="zh-CN"/>
        </w:rPr>
        <w:t xml:space="preserve">居家养老服务中心（站）运营管理</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由</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提交社区居家养老服务站运营方案、活动方案，方案包含但不限于以下内容：</w:t>
      </w:r>
      <w:r/>
    </w:p>
    <w:p>
      <w:pPr>
        <w:ind w:firstLine="482"/>
        <w:jc w:val="left"/>
        <w:pageBreakBefore w:val="0"/>
        <w:spacing w:line="440" w:lineRule="exac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lang w:val="en-US" w:eastAsia="zh-CN"/>
        </w:rPr>
        <w:t xml:space="preserve">B1.</w:t>
      </w:r>
      <w:r>
        <w:rPr>
          <w:rFonts w:hint="eastAsia" w:ascii="黑体" w:hAnsi="黑体" w:eastAsia="黑体" w:cs="黑体"/>
          <w:b/>
          <w:color w:val="auto"/>
          <w:sz w:val="24"/>
          <w:szCs w:val="24"/>
          <w:highlight w:val="none"/>
        </w:rPr>
        <w:t xml:space="preserve">人员配备</w:t>
      </w:r>
      <w:r/>
    </w:p>
    <w:p>
      <w:pPr>
        <w:ind w:firstLine="480"/>
        <w:jc w:val="left"/>
        <w:pageBreakBefore w:val="0"/>
        <w:spacing w:line="440" w:lineRule="exact"/>
        <w:tabs>
          <w:tab w:val="left" w:pos="2775" w:leader="none"/>
        </w:tabs>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每个安置房社区居家养老服务站至少配备1名专职人员，每2个商品房社区居家养老服务站至少配备1名专职人员。站点专职人员负责日常开关门、场地保洁、人员签到、活动开展等。站点专职人员专职从事站点运营，不得与居家养老服务人员交叉使用。</w:t>
      </w:r>
      <w:r>
        <w:rPr>
          <w:rFonts w:hint="eastAsia" w:ascii="黑体" w:hAnsi="黑体" w:eastAsia="黑体" w:cs="黑体"/>
          <w:color w:val="auto"/>
          <w:sz w:val="24"/>
          <w:szCs w:val="24"/>
          <w:highlight w:val="none"/>
          <w:lang w:val="en-US" w:eastAsia="zh-CN"/>
        </w:rPr>
        <w:t xml:space="preserve">配备的相应人员须经采购人确认后方可到岗。</w:t>
      </w:r>
      <w:r/>
    </w:p>
    <w:p>
      <w:pPr>
        <w:ind w:firstLine="482"/>
        <w:jc w:val="left"/>
        <w:pageBreakBefore w:val="0"/>
        <w:spacing w:line="440" w:lineRule="exact"/>
        <w:tabs>
          <w:tab w:val="left" w:pos="2775" w:leader="none"/>
        </w:tabs>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lang w:val="en-US" w:eastAsia="zh-CN"/>
        </w:rPr>
        <w:t xml:space="preserve">B2.</w:t>
      </w:r>
      <w:r>
        <w:rPr>
          <w:rFonts w:hint="eastAsia" w:ascii="黑体" w:hAnsi="黑体" w:eastAsia="黑体" w:cs="黑体"/>
          <w:b/>
          <w:color w:val="auto"/>
          <w:sz w:val="24"/>
          <w:szCs w:val="24"/>
          <w:highlight w:val="none"/>
        </w:rPr>
        <w:t xml:space="preserve">站点开放时间</w:t>
      </w:r>
      <w:r/>
    </w:p>
    <w:p>
      <w:pPr>
        <w:ind w:firstLine="480"/>
        <w:jc w:val="left"/>
        <w:pageBreakBefore w:val="0"/>
        <w:spacing w:line="440" w:lineRule="exact"/>
        <w:tabs>
          <w:tab w:val="left" w:pos="2775"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周一至周五8：00-12：00，13：00-17：00，每日开放时间不少于8小时。</w:t>
      </w:r>
      <w:r/>
    </w:p>
    <w:p>
      <w:pPr>
        <w:ind w:firstLine="482"/>
        <w:jc w:val="left"/>
        <w:pageBreakBefore w:val="0"/>
        <w:spacing w:line="440" w:lineRule="exact"/>
        <w:tabs>
          <w:tab w:val="left" w:pos="2775" w:leader="none"/>
        </w:tabs>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lang w:val="en-US" w:eastAsia="zh-CN"/>
        </w:rPr>
        <w:t xml:space="preserve">B3</w:t>
      </w:r>
      <w:r>
        <w:rPr>
          <w:rFonts w:hint="eastAsia" w:ascii="黑体" w:hAnsi="黑体" w:eastAsia="黑体" w:cs="黑体"/>
          <w:b/>
          <w:color w:val="auto"/>
          <w:sz w:val="24"/>
          <w:szCs w:val="24"/>
          <w:highlight w:val="none"/>
        </w:rPr>
        <w:t xml:space="preserve">活动开展</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1.根据老年人老有所为、老有所乐的需求定期开展个性化活动，活动内容包括但不限于节日主题活动、健康和知识文化类专题讲座和政策宣讲、义诊、书法绘画、法律咨询、手工制作、读书交流、棋牌切磋等。</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2.科学制定活动计划，月月有活动，社区全覆盖，活动台账完备。每个安置房社区居家养老服务站全年活动不少于12场，每个商品房社区居家养老服务站全年活动不少于4场。</w:t>
      </w:r>
      <w:r/>
    </w:p>
    <w:p>
      <w:pPr>
        <w:ind w:left="560"/>
        <w:jc w:val="left"/>
        <w:pageBreakBefore w:val="0"/>
        <w:spacing w:line="440" w:lineRule="exact"/>
        <w:rPr>
          <w:rFonts w:hint="eastAsia" w:ascii="黑体" w:hAnsi="黑体" w:eastAsia="黑体" w:cs="黑体"/>
          <w:b/>
          <w:bCs/>
          <w:color w:val="auto"/>
          <w:sz w:val="28"/>
          <w:szCs w:val="28"/>
          <w:highlight w:val="none"/>
          <w:lang w:val="en-US" w:eastAsia="zh-CN"/>
        </w:rPr>
      </w:pPr>
      <w:r>
        <w:rPr>
          <w:rFonts w:hint="eastAsia" w:ascii="黑体" w:hAnsi="黑体" w:eastAsia="黑体" w:cs="黑体"/>
          <w:b/>
          <w:bCs/>
          <w:color w:val="auto"/>
          <w:sz w:val="28"/>
          <w:szCs w:val="28"/>
          <w:highlight w:val="none"/>
          <w:lang w:val="en-US" w:eastAsia="zh-CN"/>
        </w:rPr>
        <w:t xml:space="preserve">C、居家和社区养老政府购买服务</w:t>
      </w:r>
      <w:r/>
    </w:p>
    <w:p>
      <w:pPr>
        <w:ind w:firstLine="480"/>
        <w:jc w:val="left"/>
        <w:pageBreakBefore w:val="0"/>
        <w:spacing w:line="440" w:lineRule="exact"/>
        <w:rPr>
          <w:rFonts w:hint="eastAsia" w:ascii="黑体" w:hAnsi="黑体" w:eastAsia="黑体" w:cs="黑体"/>
          <w:b/>
          <w:bCs/>
          <w:color w:val="auto"/>
          <w:sz w:val="28"/>
          <w:szCs w:val="28"/>
          <w:highlight w:val="none"/>
          <w:lang w:val="en-US" w:eastAsia="zh-CN"/>
        </w:rPr>
      </w:pPr>
      <w:r>
        <w:rPr>
          <w:rFonts w:hint="eastAsia" w:ascii="黑体" w:hAnsi="黑体" w:eastAsia="黑体" w:cs="黑体"/>
          <w:color w:val="auto"/>
          <w:sz w:val="24"/>
          <w:szCs w:val="24"/>
          <w:highlight w:val="none"/>
          <w:lang w:val="en-US" w:eastAsia="zh-CN"/>
        </w:rPr>
        <w:t xml:space="preserve">年满60周岁、户籍在新开街道，经</w:t>
      </w:r>
      <w:r>
        <w:rPr>
          <w:rFonts w:hint="eastAsia" w:ascii="黑体" w:hAnsi="黑体" w:eastAsia="黑体" w:cs="黑体"/>
          <w:color w:val="auto"/>
          <w:sz w:val="24"/>
          <w:szCs w:val="24"/>
          <w:highlight w:val="none"/>
        </w:rPr>
        <w:t xml:space="preserve">审批符合政府购买服务条件的老年人。包括：1、分散供养的城镇“三无”老人；2、分散供养的农村“五保”老人；3、低保家庭60周岁以上老人；4、低收入家庭60周岁以上老人；5、60周岁以上重点优抚对象；6、75 周岁以上无子女家庭的老人；</w:t>
      </w:r>
      <w:r>
        <w:rPr>
          <w:rFonts w:hint="eastAsia" w:ascii="黑体" w:hAnsi="黑体" w:eastAsia="黑体" w:cs="黑体"/>
          <w:color w:val="auto"/>
          <w:sz w:val="24"/>
          <w:szCs w:val="24"/>
          <w:highlight w:val="none"/>
        </w:rPr>
        <w:t xml:space="preserve">7、80 周岁以上重度失能老人；8、90周岁以上老人；9、80—89周岁老人。服务对象享受补贴的标准按照《南通经济开发区居家和社区养老政府购买服务补贴办法》（通开发民政〔2019〕18号）和《关于进一步开展南通开发区居家和社区养老政府购买服务工作的通知》（通开发民政〔2021〕11号）执行，根据居家养老服务老人实际消费额度进行兑付。养老服务额度仅限用于老人兑换养老服务，限定当月使用，当月结清，不得跨月使用。服务项目的收费标准不得超过《南通市居家和社区基本养老服务项目清单》（通民发〔2018〕94号）的标准。</w:t>
      </w:r>
      <w:r/>
    </w:p>
    <w:p>
      <w:pPr>
        <w:numPr>
          <w:ilvl w:val="0"/>
          <w:numId w:val="0"/>
        </w:numPr>
        <w:ind w:firstLine="562"/>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val="en-US" w:eastAsia="zh-CN"/>
        </w:rPr>
        <w:t xml:space="preserve">D、残疾人之家运营管理</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由</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提交残疾人之家运营方案，运营方案包含但不限于以下内容：</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服务机构须承担残疾人之家管理和服务的工作从事残疾人之家的日常管理，为残疾人提供服务，保证残疾人之家的正常开放运行。</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1.至少配备1名与“残疾人之家”功能匹配的管理和服务人员，并应具有相应的工作经验和能力，不得与居家养老服务人员交叉使用。</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2.做好对残疾人之家的残疾人员（以下简称残疾人）的业务指导和管理工作，并排好每月工作计划，做好相应活动台账记录。</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3.做好残疾人之家每天的运行工作，开展好日间照料和辅助性就业工作。做好与合作单位的业务对接工作，负责劳动原材料及产品等运输，负责对残疾人手工劳动工作量的计件清点工作。</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4.组织残疾人开展适合其身心特点的手工劳动、文体活动、学习培训及康复训练活动，丰富残疾人的精神文化生活。</w:t>
      </w:r>
      <w:r/>
    </w:p>
    <w:p>
      <w:pPr>
        <w:ind w:firstLine="480"/>
        <w:jc w:val="left"/>
        <w:pageBreakBefore w:val="0"/>
        <w:spacing w:line="440" w:lineRule="exact"/>
        <w:rPr>
          <w:rFonts w:hint="eastAsia" w:ascii="黑体" w:hAnsi="黑体" w:eastAsia="黑体" w:cs="黑体"/>
          <w:color w:val="auto"/>
          <w:highlight w:val="none"/>
        </w:rPr>
      </w:pPr>
      <w:r>
        <w:rPr>
          <w:rFonts w:hint="eastAsia" w:ascii="黑体" w:hAnsi="黑体" w:eastAsia="黑体" w:cs="黑体"/>
          <w:color w:val="auto"/>
          <w:sz w:val="24"/>
          <w:szCs w:val="24"/>
          <w:highlight w:val="none"/>
        </w:rPr>
        <w:t xml:space="preserve">5.正确使用残疾人之家的设施、设备，做好设施、设备的日常清洁、维护工作，确保其完好性和正常功能。</w:t>
      </w:r>
      <w:r/>
    </w:p>
    <w:p>
      <w:pPr>
        <w:pStyle w:val="880"/>
        <w:ind w:firstLine="241"/>
        <w:jc w:val="left"/>
        <w:pageBreakBefore w:val="0"/>
        <w:spacing w:before="120" w:line="440" w:lineRule="exact"/>
        <w:rPr>
          <w:rFonts w:hint="eastAsia" w:ascii="黑体" w:hAnsi="黑体" w:eastAsia="黑体" w:cs="黑体"/>
          <w:b/>
          <w:bCs/>
          <w:color w:val="auto"/>
          <w:sz w:val="24"/>
          <w:szCs w:val="24"/>
          <w:highlight w:val="none"/>
        </w:rPr>
        <w:outlineLvl w:val="1"/>
      </w:pPr>
      <w:r/>
      <w:bookmarkStart w:id="27" w:name="_Toc81879417"/>
      <w:r>
        <w:rPr>
          <w:rFonts w:hint="eastAsia" w:ascii="黑体" w:hAnsi="黑体" w:eastAsia="黑体" w:cs="黑体"/>
          <w:b/>
          <w:bCs/>
          <w:color w:val="auto"/>
          <w:sz w:val="24"/>
          <w:szCs w:val="24"/>
          <w:highlight w:val="none"/>
        </w:rPr>
        <w:t xml:space="preserve">四.项目主要成果</w:t>
      </w:r>
      <w:r/>
    </w:p>
    <w:p>
      <w:pPr>
        <w:pStyle w:val="880"/>
        <w:ind w:firstLine="482"/>
        <w:jc w:val="left"/>
        <w:pageBreakBefore w:val="0"/>
        <w:spacing w:before="120" w:line="440" w:lineRule="exact"/>
        <w:rPr>
          <w:rFonts w:hint="eastAsia" w:ascii="黑体" w:hAnsi="黑体" w:eastAsia="黑体" w:cs="黑体"/>
          <w:b/>
          <w:color w:val="auto"/>
          <w:sz w:val="24"/>
          <w:szCs w:val="24"/>
          <w:highlight w:val="none"/>
          <w:lang w:val="en-US" w:eastAsia="zh-CN"/>
        </w:rPr>
        <w:outlineLvl w:val="1"/>
      </w:pPr>
      <w:r>
        <w:rPr>
          <w:rFonts w:hint="eastAsia" w:ascii="黑体" w:hAnsi="黑体" w:eastAsia="黑体" w:cs="黑体"/>
          <w:b/>
          <w:color w:val="auto"/>
          <w:sz w:val="24"/>
          <w:szCs w:val="24"/>
          <w:highlight w:val="none"/>
          <w:lang w:val="en-US" w:eastAsia="zh-CN"/>
        </w:rPr>
        <w:t xml:space="preserve">乙方提供</w:t>
      </w:r>
      <w:r>
        <w:rPr>
          <w:rFonts w:hint="eastAsia" w:ascii="黑体" w:hAnsi="黑体" w:eastAsia="黑体" w:cs="黑体"/>
          <w:b/>
          <w:color w:val="auto"/>
          <w:sz w:val="24"/>
          <w:szCs w:val="24"/>
          <w:highlight w:val="none"/>
        </w:rPr>
        <w:t xml:space="preserve">街道综合性养老服务中心、日间照料中心、社区居家养老服务站等统筹融合，实现优势互补、融合发展，同时要建立新开街道居家养老服务平台和网络服务体系，实现服务的信息化、智能化，满足服务工单的派送、流转、监管、统计、结算等功能，信息平台端口可接入市区平台，使居家和社区养老服务全程可监控、全程透明化。</w:t>
      </w:r>
      <w:r/>
    </w:p>
    <w:p>
      <w:pPr>
        <w:pStyle w:val="880"/>
        <w:numPr>
          <w:ilvl w:val="0"/>
          <w:numId w:val="2"/>
        </w:numPr>
        <w:ind w:left="0" w:firstLine="0"/>
        <w:jc w:val="left"/>
        <w:pageBreakBefore w:val="0"/>
        <w:spacing w:before="120" w:line="440" w:lineRule="exact"/>
        <w:rPr>
          <w:rFonts w:hint="eastAsia" w:ascii="黑体" w:hAnsi="黑体" w:eastAsia="黑体" w:cs="黑体"/>
          <w:b/>
          <w:bCs/>
          <w:color w:val="auto"/>
          <w:sz w:val="24"/>
          <w:szCs w:val="24"/>
          <w:highlight w:val="none"/>
        </w:rPr>
        <w:outlineLvl w:val="1"/>
      </w:pPr>
      <w:r>
        <w:rPr>
          <w:rFonts w:hint="eastAsia" w:ascii="黑体" w:hAnsi="黑体" w:eastAsia="黑体" w:cs="黑体"/>
          <w:b/>
          <w:bCs/>
          <w:color w:val="auto"/>
          <w:sz w:val="24"/>
          <w:szCs w:val="24"/>
          <w:highlight w:val="none"/>
        </w:rPr>
        <w:t xml:space="preserve">其他要求</w:t>
      </w:r>
      <w:bookmarkEnd w:id="27"/>
      <w:r/>
      <w:r/>
    </w:p>
    <w:p>
      <w:pPr>
        <w:pStyle w:val="880"/>
        <w:numPr>
          <w:ilvl w:val="0"/>
          <w:numId w:val="0"/>
        </w:numPr>
        <w:ind w:firstLine="480"/>
        <w:jc w:val="left"/>
        <w:keepLines w:val="0"/>
        <w:keepNext w:val="0"/>
        <w:pageBreakBefore w:val="0"/>
        <w:spacing w:before="120" w:line="440" w:lineRule="exact"/>
        <w:widowControl w:val="off"/>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lang w:val="en-US" w:eastAsia="zh-CN"/>
        </w:rPr>
        <w:t xml:space="preserve">5.1.乙方委派的所有工作人</w:t>
      </w:r>
      <w:r>
        <w:rPr>
          <w:rFonts w:hint="eastAsia" w:ascii="黑体" w:hAnsi="黑体" w:eastAsia="黑体" w:cs="黑体"/>
          <w:color w:val="auto"/>
          <w:sz w:val="24"/>
          <w:szCs w:val="24"/>
          <w:highlight w:val="none"/>
        </w:rPr>
        <w:t xml:space="preserve">在工作中故意或疏忽而出现的责任事故，或因乙方原因（乙方以外原因除外）造成他人人身伤害、财产损失及严重损害甲方声誉的，乙方除应自行承担相关赔偿责任，甲方有权单方面解除本合同并不承担由此造成的任何损失。</w:t>
      </w:r>
      <w:r/>
    </w:p>
    <w:p>
      <w:pPr>
        <w:pStyle w:val="880"/>
        <w:numPr>
          <w:ilvl w:val="0"/>
          <w:numId w:val="0"/>
        </w:numPr>
        <w:ind w:firstLine="480"/>
        <w:jc w:val="left"/>
        <w:keepLines w:val="0"/>
        <w:keepNext w:val="0"/>
        <w:pageBreakBefore w:val="0"/>
        <w:spacing w:before="120" w:line="440" w:lineRule="exact"/>
        <w:widowControl w:val="off"/>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lang w:val="en-US" w:eastAsia="zh-CN"/>
        </w:rPr>
        <w:t xml:space="preserve">5.2.</w:t>
      </w:r>
      <w:r>
        <w:rPr>
          <w:rFonts w:hint="eastAsia" w:ascii="黑体" w:hAnsi="黑体" w:eastAsia="黑体" w:cs="黑体"/>
          <w:color w:val="auto"/>
          <w:sz w:val="24"/>
          <w:szCs w:val="24"/>
          <w:highlight w:val="none"/>
        </w:rPr>
        <w:t xml:space="preserve">乙方应为其在甲方服务区域中的所有</w:t>
      </w:r>
      <w:r>
        <w:rPr>
          <w:rFonts w:hint="eastAsia" w:ascii="黑体" w:hAnsi="黑体" w:eastAsia="黑体" w:cs="黑体"/>
          <w:color w:val="auto"/>
          <w:sz w:val="24"/>
          <w:szCs w:val="24"/>
          <w:highlight w:val="none"/>
          <w:lang w:val="en-US" w:eastAsia="zh-CN"/>
        </w:rPr>
        <w:t xml:space="preserve">服务人员</w:t>
      </w:r>
      <w:r>
        <w:rPr>
          <w:rFonts w:hint="eastAsia" w:ascii="黑体" w:hAnsi="黑体" w:eastAsia="黑体" w:cs="黑体"/>
          <w:color w:val="auto"/>
          <w:sz w:val="24"/>
          <w:szCs w:val="24"/>
          <w:highlight w:val="none"/>
        </w:rPr>
        <w:t xml:space="preserve">购买工伤险，</w:t>
      </w:r>
      <w:r>
        <w:rPr>
          <w:rFonts w:hint="eastAsia" w:ascii="黑体" w:hAnsi="黑体" w:eastAsia="黑体" w:cs="黑体"/>
          <w:color w:val="auto"/>
          <w:sz w:val="24"/>
          <w:szCs w:val="24"/>
          <w:highlight w:val="none"/>
          <w:lang w:val="en-US" w:eastAsia="zh-CN"/>
        </w:rPr>
        <w:t xml:space="preserve">服务人员</w:t>
      </w:r>
      <w:r>
        <w:rPr>
          <w:rFonts w:hint="eastAsia" w:ascii="黑体" w:hAnsi="黑体" w:eastAsia="黑体" w:cs="黑体"/>
          <w:color w:val="auto"/>
          <w:sz w:val="24"/>
          <w:szCs w:val="24"/>
          <w:highlight w:val="none"/>
        </w:rPr>
        <w:t xml:space="preserve">在甲方服务区域中因意外事故造成的人身伤亡及其他如何事故应由乙方负责解决并承担费用，与甲方无关。</w:t>
      </w:r>
      <w:r/>
    </w:p>
    <w:p>
      <w:pPr>
        <w:pStyle w:val="880"/>
        <w:numPr>
          <w:ilvl w:val="0"/>
          <w:numId w:val="0"/>
        </w:numPr>
        <w:ind w:firstLine="480"/>
        <w:jc w:val="left"/>
        <w:keepLines w:val="0"/>
        <w:keepNext w:val="0"/>
        <w:pageBreakBefore w:val="0"/>
        <w:spacing w:before="120" w:line="440" w:lineRule="exact"/>
        <w:widowControl w:val="off"/>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lang w:val="en-US" w:eastAsia="zh-CN"/>
        </w:rPr>
        <w:t xml:space="preserve">5.3</w:t>
      </w:r>
      <w:r>
        <w:rPr>
          <w:rFonts w:hint="eastAsia" w:ascii="黑体" w:hAnsi="黑体" w:eastAsia="黑体" w:cs="黑体"/>
          <w:color w:val="auto"/>
          <w:sz w:val="24"/>
          <w:szCs w:val="24"/>
          <w:highlight w:val="none"/>
        </w:rPr>
        <w:t xml:space="preserve">乙方</w:t>
      </w:r>
      <w:r>
        <w:rPr>
          <w:rFonts w:hint="eastAsia" w:ascii="黑体" w:hAnsi="黑体" w:eastAsia="黑体" w:cs="黑体"/>
          <w:color w:val="auto"/>
          <w:sz w:val="24"/>
          <w:szCs w:val="24"/>
          <w:highlight w:val="none"/>
          <w:lang w:val="en-US" w:eastAsia="zh-CN"/>
        </w:rPr>
        <w:t xml:space="preserve">所有委派服务</w:t>
      </w:r>
      <w:r>
        <w:rPr>
          <w:rFonts w:hint="eastAsia" w:ascii="黑体" w:hAnsi="黑体" w:eastAsia="黑体" w:cs="黑体"/>
          <w:color w:val="auto"/>
          <w:sz w:val="24"/>
          <w:szCs w:val="24"/>
          <w:highlight w:val="none"/>
        </w:rPr>
        <w:t xml:space="preserve">人员应满足在职基本要求。</w:t>
      </w:r>
      <w:r/>
    </w:p>
    <w:p>
      <w:pPr>
        <w:pStyle w:val="880"/>
        <w:numPr>
          <w:ilvl w:val="0"/>
          <w:numId w:val="0"/>
        </w:numPr>
        <w:ind w:firstLine="480"/>
        <w:jc w:val="left"/>
        <w:keepLines w:val="0"/>
        <w:keepNext w:val="0"/>
        <w:pageBreakBefore w:val="0"/>
        <w:spacing w:before="120" w:line="440" w:lineRule="exact"/>
        <w:widowControl w:val="off"/>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lang w:val="en-US" w:eastAsia="zh-CN"/>
        </w:rPr>
        <w:t xml:space="preserve">投标时提交拟派人员及证书须与实际拟派人员的相一致，若经甲方核实后不一致的，在甲方许可并确认的前提下，替换委派人员的证书必须与投标时提供的证书一致后方可到岗，否则甲方予以违约处罚，若人员更换频繁且证书不符合的，甲方有终止双方合约的权利。</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5.4</w:t>
      </w:r>
      <w:r>
        <w:rPr>
          <w:rFonts w:hint="eastAsia" w:ascii="黑体" w:hAnsi="黑体" w:eastAsia="黑体" w:cs="黑体"/>
          <w:color w:val="auto"/>
          <w:sz w:val="24"/>
          <w:szCs w:val="24"/>
          <w:highlight w:val="none"/>
        </w:rPr>
        <w:t xml:space="preserve">乙方须向甲方提供服务人员的《员工花名册》、无犯罪证明，并确保</w:t>
      </w:r>
      <w:r>
        <w:rPr>
          <w:rFonts w:hint="eastAsia" w:ascii="黑体" w:hAnsi="黑体" w:eastAsia="黑体" w:cs="黑体"/>
          <w:color w:val="auto"/>
          <w:sz w:val="24"/>
          <w:szCs w:val="24"/>
          <w:highlight w:val="none"/>
          <w:lang w:val="en-US" w:eastAsia="zh-CN"/>
        </w:rPr>
        <w:t xml:space="preserve">服务人员</w:t>
      </w:r>
      <w:r>
        <w:rPr>
          <w:rFonts w:hint="eastAsia" w:ascii="黑体" w:hAnsi="黑体" w:eastAsia="黑体" w:cs="黑体"/>
          <w:color w:val="auto"/>
          <w:sz w:val="24"/>
          <w:szCs w:val="24"/>
          <w:highlight w:val="none"/>
        </w:rPr>
        <w:t xml:space="preserve">的从业资格有效。</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5.5</w:t>
      </w:r>
      <w:r>
        <w:rPr>
          <w:rFonts w:hint="eastAsia" w:ascii="黑体" w:hAnsi="黑体" w:eastAsia="黑体" w:cs="黑体"/>
          <w:color w:val="auto"/>
          <w:sz w:val="24"/>
          <w:szCs w:val="24"/>
          <w:highlight w:val="none"/>
        </w:rPr>
        <w:t xml:space="preserve">乙方保证所提供</w:t>
      </w:r>
      <w:r>
        <w:rPr>
          <w:rFonts w:hint="eastAsia" w:ascii="黑体" w:hAnsi="黑体" w:eastAsia="黑体" w:cs="黑体"/>
          <w:color w:val="auto"/>
          <w:sz w:val="24"/>
          <w:szCs w:val="24"/>
          <w:highlight w:val="none"/>
          <w:lang w:val="en-US" w:eastAsia="zh-CN"/>
        </w:rPr>
        <w:t xml:space="preserve">服务</w:t>
      </w:r>
      <w:r>
        <w:rPr>
          <w:rFonts w:hint="eastAsia" w:ascii="黑体" w:hAnsi="黑体" w:eastAsia="黑体" w:cs="黑体"/>
          <w:color w:val="auto"/>
          <w:sz w:val="24"/>
          <w:szCs w:val="24"/>
          <w:highlight w:val="none"/>
        </w:rPr>
        <w:t xml:space="preserve">员及管理人员为乙方聘用人员。由乙方与其签订劳动合同，并由乙方负责人务工、上岗、社会保险、福利待遇等各类合法劳动关系手续的办理，并承担所有费用。乙方要按时给乙方聘用人员发放工资，一旦发现拖欠工资行为并引起群体事件，由乙方自行解决，与甲方无关，甲方无条件解除服务合同。</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5.6</w:t>
      </w:r>
      <w:r>
        <w:rPr>
          <w:rFonts w:hint="eastAsia" w:ascii="黑体" w:hAnsi="黑体" w:eastAsia="黑体" w:cs="黑体"/>
          <w:color w:val="auto"/>
          <w:sz w:val="24"/>
          <w:szCs w:val="24"/>
          <w:highlight w:val="none"/>
        </w:rPr>
        <w:t xml:space="preserve">在合同期内，如乙方保安员患病、因工伤而发生的医疗等各类相关费用、乙方依法承担应承担的部分费用。</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6.乙方</w:t>
      </w:r>
      <w:r>
        <w:rPr>
          <w:rFonts w:hint="eastAsia" w:ascii="黑体" w:hAnsi="黑体" w:eastAsia="黑体" w:cs="黑体"/>
          <w:color w:val="auto"/>
          <w:sz w:val="24"/>
          <w:szCs w:val="24"/>
          <w:highlight w:val="none"/>
        </w:rPr>
        <w:t xml:space="preserve">依托站点为服务对象提供以上服务内容及基本项目。</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7</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依托站点除开展以上基本服务项目以外，可根据站点实际增加服务功能，但新增服务功能及服务方案、定价方案必须书面征得</w:t>
      </w:r>
      <w:r>
        <w:rPr>
          <w:rFonts w:hint="eastAsia" w:ascii="黑体" w:hAnsi="黑体" w:eastAsia="黑体" w:cs="黑体"/>
          <w:color w:val="auto"/>
          <w:sz w:val="24"/>
          <w:szCs w:val="24"/>
          <w:highlight w:val="none"/>
          <w:lang w:val="en-US" w:eastAsia="zh-CN"/>
        </w:rPr>
        <w:t xml:space="preserve">甲方</w:t>
      </w:r>
      <w:r>
        <w:rPr>
          <w:rFonts w:hint="eastAsia" w:ascii="黑体" w:hAnsi="黑体" w:eastAsia="黑体" w:cs="黑体"/>
          <w:color w:val="auto"/>
          <w:sz w:val="24"/>
          <w:szCs w:val="24"/>
          <w:highlight w:val="none"/>
        </w:rPr>
        <w:t xml:space="preserve">同意后方可对外开放和实施。</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8</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在街道综合性养老服务中心现有基础上的相关改造、所需增添的设施设备以及运营管理（含人员、水电费用）由</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负责。</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9</w:t>
      </w:r>
      <w:r>
        <w:rPr>
          <w:rFonts w:hint="eastAsia" w:ascii="黑体" w:hAnsi="黑体" w:eastAsia="黑体" w:cs="黑体"/>
          <w:color w:val="auto"/>
          <w:sz w:val="24"/>
          <w:szCs w:val="24"/>
          <w:highlight w:val="none"/>
        </w:rPr>
        <w:t xml:space="preserve">、社区居家养老服务站的水电费用由</w:t>
      </w:r>
      <w:r>
        <w:rPr>
          <w:rFonts w:hint="eastAsia" w:ascii="黑体" w:hAnsi="黑体" w:eastAsia="黑体" w:cs="黑体"/>
          <w:color w:val="auto"/>
          <w:sz w:val="24"/>
          <w:szCs w:val="24"/>
          <w:highlight w:val="none"/>
          <w:lang w:val="en-US" w:eastAsia="zh-CN"/>
        </w:rPr>
        <w:t xml:space="preserve">甲方</w:t>
      </w:r>
      <w:r>
        <w:rPr>
          <w:rFonts w:hint="eastAsia" w:ascii="黑体" w:hAnsi="黑体" w:eastAsia="黑体" w:cs="黑体"/>
          <w:color w:val="auto"/>
          <w:sz w:val="24"/>
          <w:szCs w:val="24"/>
          <w:highlight w:val="none"/>
        </w:rPr>
        <w:t xml:space="preserve">负责，经费从街道居家养老服务站点运营经费中支出。运营管理由</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负责。</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10</w:t>
      </w:r>
      <w:r>
        <w:rPr>
          <w:rFonts w:hint="eastAsia" w:ascii="黑体" w:hAnsi="黑体" w:eastAsia="黑体" w:cs="黑体"/>
          <w:color w:val="auto"/>
          <w:sz w:val="24"/>
          <w:szCs w:val="24"/>
          <w:highlight w:val="none"/>
        </w:rPr>
        <w:t xml:space="preserve">、街道残疾人之家所有费用由</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承担（包括但不限于水电、煤气、宽带、网络等费用）。残疾人之家的设备、设施的管理、维护、维修由</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负责，费用由</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承担。设备、设施出现故障、损坏的，</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应当及时维修，不能维修的，</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应当购置同样的设备、设施，如</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未能及时维修或购买，</w:t>
      </w:r>
      <w:r>
        <w:rPr>
          <w:rFonts w:hint="eastAsia" w:ascii="黑体" w:hAnsi="黑体" w:eastAsia="黑体" w:cs="黑体"/>
          <w:color w:val="auto"/>
          <w:sz w:val="24"/>
          <w:szCs w:val="24"/>
          <w:highlight w:val="none"/>
          <w:lang w:val="en-US" w:eastAsia="zh-CN"/>
        </w:rPr>
        <w:t xml:space="preserve">甲方</w:t>
      </w:r>
      <w:r>
        <w:rPr>
          <w:rFonts w:hint="eastAsia" w:ascii="黑体" w:hAnsi="黑体" w:eastAsia="黑体" w:cs="黑体"/>
          <w:color w:val="auto"/>
          <w:sz w:val="24"/>
          <w:szCs w:val="24"/>
          <w:highlight w:val="none"/>
        </w:rPr>
        <w:t xml:space="preserve">可以委托人员进行维修或购买，但其发生所有费用均由</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rPr>
        <w:t xml:space="preserve">承担，以保障残疾人之家的正常运营。</w:t>
      </w:r>
      <w:r/>
    </w:p>
    <w:p>
      <w:pPr>
        <w:ind w:firstLine="482"/>
        <w:jc w:val="left"/>
        <w:pageBreakBefore w:val="0"/>
        <w:spacing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七.服务期限</w:t>
      </w:r>
      <w:r/>
    </w:p>
    <w:p>
      <w:pPr>
        <w:ind w:firstLine="480"/>
        <w:jc w:val="left"/>
        <w:pageBreakBefore w:val="0"/>
        <w:spacing w:line="440" w:lineRule="exact"/>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rPr>
        <w:t xml:space="preserve">自本合同签订之日起</w:t>
      </w:r>
      <w:r>
        <w:rPr>
          <w:rFonts w:hint="eastAsia" w:ascii="黑体" w:hAnsi="黑体" w:eastAsia="黑体" w:cs="黑体"/>
          <w:color w:val="auto"/>
          <w:sz w:val="24"/>
          <w:szCs w:val="24"/>
          <w:highlight w:val="none"/>
          <w:u w:val="single"/>
          <w:lang w:val="en-US" w:eastAsia="zh-CN"/>
        </w:rPr>
        <w:t xml:space="preserve">  </w:t>
      </w:r>
      <w:r>
        <w:rPr>
          <w:rFonts w:hint="eastAsia" w:ascii="黑体" w:hAnsi="黑体" w:eastAsia="黑体" w:cs="黑体"/>
          <w:color w:val="auto"/>
          <w:sz w:val="24"/>
          <w:szCs w:val="24"/>
          <w:highlight w:val="none"/>
          <w:lang w:val="en-US" w:eastAsia="zh-CN"/>
        </w:rPr>
        <w:t xml:space="preserve">年</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val="en-US" w:eastAsia="zh-CN"/>
        </w:rPr>
        <w:t xml:space="preserve">自2024年 月 日至202  年  月  日止。</w:t>
      </w:r>
      <w:r/>
    </w:p>
    <w:p>
      <w:pPr>
        <w:ind w:firstLine="482"/>
        <w:jc w:val="left"/>
        <w:pageBreakBefore w:val="0"/>
        <w:spacing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八.履约保证金、结算及付款方式</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8.1</w:t>
      </w:r>
      <w:r>
        <w:rPr>
          <w:rFonts w:hint="eastAsia" w:ascii="黑体" w:hAnsi="黑体" w:eastAsia="黑体" w:cs="黑体"/>
          <w:color w:val="auto"/>
          <w:sz w:val="24"/>
          <w:szCs w:val="24"/>
          <w:highlight w:val="none"/>
        </w:rPr>
        <w:t xml:space="preserve">履约保证金为</w:t>
      </w:r>
      <w:r>
        <w:rPr>
          <w:rFonts w:hint="eastAsia" w:ascii="黑体" w:hAnsi="黑体" w:eastAsia="黑体" w:cs="黑体"/>
          <w:color w:val="auto"/>
          <w:sz w:val="24"/>
          <w:szCs w:val="24"/>
          <w:highlight w:val="none"/>
          <w:lang w:val="en-US" w:eastAsia="zh-CN"/>
        </w:rPr>
        <w:t xml:space="preserve">壹拾万</w:t>
      </w:r>
      <w:r>
        <w:rPr>
          <w:rFonts w:hint="eastAsia" w:ascii="黑体" w:hAnsi="黑体" w:eastAsia="黑体" w:cs="黑体"/>
          <w:color w:val="auto"/>
          <w:sz w:val="24"/>
          <w:szCs w:val="24"/>
          <w:highlight w:val="none"/>
        </w:rPr>
        <w:t xml:space="preserve">元。</w:t>
      </w:r>
      <w:r>
        <w:rPr>
          <w:rFonts w:hint="eastAsia" w:ascii="黑体" w:hAnsi="黑体" w:eastAsia="黑体" w:cs="黑体"/>
          <w:color w:val="auto"/>
          <w:sz w:val="24"/>
          <w:szCs w:val="24"/>
          <w:highlight w:val="none"/>
          <w:lang w:val="en-US" w:eastAsia="zh-CN"/>
        </w:rPr>
        <w:t xml:space="preserve">在合同签订前乙方</w:t>
      </w:r>
      <w:r>
        <w:rPr>
          <w:rFonts w:hint="eastAsia" w:ascii="黑体" w:hAnsi="黑体" w:eastAsia="黑体" w:cs="黑体"/>
          <w:color w:val="auto"/>
          <w:sz w:val="24"/>
          <w:szCs w:val="24"/>
          <w:highlight w:val="none"/>
        </w:rPr>
        <w:t xml:space="preserve">可自愿选择履约保函（保险）形式替代履约保证金，也可持政府采购合同在线向金融机构申请无抵押无担保贷款。履约保证金在本项目整个服务周期结束后在无任何质量问题的前提下无息退还。</w:t>
      </w:r>
      <w:r/>
    </w:p>
    <w:p>
      <w:pPr>
        <w:pStyle w:val="875"/>
        <w:jc w:val="left"/>
        <w:pageBreakBefore w:val="0"/>
        <w:spacing w:line="440" w:lineRule="exact"/>
        <w:rPr>
          <w:rFonts w:hint="eastAsia" w:ascii="黑体" w:hAnsi="黑体" w:eastAsia="黑体" w:cs="黑体"/>
          <w:color w:val="auto"/>
          <w:lang w:val="en-US" w:eastAsia="zh-CN"/>
        </w:rPr>
      </w:pPr>
      <w:r>
        <w:rPr>
          <w:rFonts w:hint="eastAsia" w:ascii="黑体" w:hAnsi="黑体" w:eastAsia="黑体" w:cs="黑体"/>
          <w:color w:val="auto"/>
          <w:sz w:val="24"/>
          <w:szCs w:val="24"/>
          <w:lang w:val="en-US" w:eastAsia="zh-CN"/>
        </w:rPr>
        <w:t xml:space="preserve">注明：乙方履约保证金若为履约保函，须为甲方索要即付保函。</w:t>
      </w:r>
      <w:r/>
    </w:p>
    <w:p>
      <w:pPr>
        <w:ind w:firstLine="480"/>
        <w:jc w:val="left"/>
        <w:pageBreakBefore w:val="0"/>
        <w:spacing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8.2</w:t>
      </w:r>
      <w:r>
        <w:rPr>
          <w:rFonts w:hint="eastAsia" w:ascii="黑体" w:hAnsi="黑体" w:eastAsia="黑体" w:cs="黑体"/>
          <w:color w:val="auto"/>
          <w:sz w:val="24"/>
          <w:szCs w:val="24"/>
          <w:highlight w:val="none"/>
        </w:rPr>
        <w:t xml:space="preserve"> 合同乙方即采购项目的中标人，结算价格为中标人投标文件所报中标价格。</w:t>
      </w:r>
      <w:r/>
    </w:p>
    <w:p>
      <w:pPr>
        <w:ind w:firstLine="480"/>
        <w:jc w:val="left"/>
        <w:pageBreakBefore w:val="0"/>
        <w:spacing w:line="440" w:lineRule="exact"/>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8.3付款方式</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①</w:t>
      </w:r>
      <w:r>
        <w:rPr>
          <w:rFonts w:hint="eastAsia" w:ascii="黑体" w:hAnsi="黑体" w:eastAsia="黑体" w:cs="黑体"/>
          <w:b w:val="0"/>
          <w:bCs w:val="0"/>
          <w:color w:val="auto"/>
          <w:sz w:val="24"/>
          <w:szCs w:val="24"/>
          <w:highlight w:val="none"/>
          <w:lang w:eastAsia="zh-CN"/>
        </w:rPr>
        <w:t xml:space="preserve">街道综合性养老服务中心运营</w:t>
      </w:r>
      <w:r>
        <w:rPr>
          <w:rFonts w:hint="eastAsia" w:ascii="黑体" w:hAnsi="黑体" w:eastAsia="黑体" w:cs="黑体"/>
          <w:b w:val="0"/>
          <w:bCs w:val="0"/>
          <w:color w:val="auto"/>
          <w:sz w:val="24"/>
          <w:szCs w:val="24"/>
          <w:highlight w:val="none"/>
          <w:lang w:val="en-US" w:eastAsia="zh-CN"/>
        </w:rPr>
        <w:t xml:space="preserve">服务费：</w:t>
      </w:r>
      <w:r>
        <w:rPr>
          <w:rFonts w:hint="eastAsia" w:ascii="黑体" w:hAnsi="黑体" w:eastAsia="黑体" w:cs="黑体"/>
          <w:b w:val="0"/>
          <w:bCs w:val="0"/>
          <w:color w:val="auto"/>
          <w:sz w:val="24"/>
          <w:szCs w:val="24"/>
          <w:highlight w:val="none"/>
          <w:lang w:eastAsia="zh-CN"/>
        </w:rPr>
        <w:t xml:space="preserve">对以上居家养老服务中心（站）运营经费，考核得分90（含90分）以上的，运营补贴按照100%发放；考核得分80-90（含80）区间的，运营补贴按照90%发放；考核得分70-80（含70）区间的，运营补贴按照80%发放；对考核低于70分的社区居家养老服务站，不予补贴。</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t xml:space="preserve">②社区居家养老服务站运营</w:t>
      </w:r>
      <w:r>
        <w:rPr>
          <w:rFonts w:hint="eastAsia" w:ascii="黑体" w:hAnsi="黑体" w:eastAsia="黑体" w:cs="黑体"/>
          <w:b w:val="0"/>
          <w:bCs w:val="0"/>
          <w:color w:val="auto"/>
          <w:sz w:val="24"/>
          <w:szCs w:val="24"/>
          <w:highlight w:val="none"/>
          <w:lang w:val="en-US" w:eastAsia="zh-CN"/>
        </w:rPr>
        <w:t xml:space="preserve">服务费：</w:t>
      </w:r>
      <w:r>
        <w:rPr>
          <w:rFonts w:hint="eastAsia" w:ascii="黑体" w:hAnsi="黑体" w:eastAsia="黑体" w:cs="黑体"/>
          <w:b w:val="0"/>
          <w:bCs w:val="0"/>
          <w:color w:val="auto"/>
          <w:sz w:val="24"/>
          <w:szCs w:val="24"/>
          <w:highlight w:val="none"/>
          <w:lang w:eastAsia="zh-CN"/>
        </w:rPr>
        <w:t xml:space="preserve">对以上居家养老服务中心（站）运营经费，考核得分90（含90分）以上的，运营补贴按照100%发放；考核得分80-90（含80）区间的，运营补贴按照90%发放；考核得分70-80（含70）区间的，运营补贴按照80%发放；对考核低于70分的社区居家养老服务站，不予补贴。</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rPr>
        <w:t xml:space="preserve">③居家养老服务费</w:t>
      </w:r>
      <w:r>
        <w:rPr>
          <w:rFonts w:hint="eastAsia" w:ascii="黑体" w:hAnsi="黑体" w:eastAsia="黑体" w:cs="黑体"/>
          <w:b w:val="0"/>
          <w:bCs w:val="0"/>
          <w:color w:val="auto"/>
          <w:sz w:val="24"/>
          <w:szCs w:val="24"/>
          <w:highlight w:val="none"/>
          <w:lang w:eastAsia="zh-CN"/>
        </w:rPr>
        <w:t xml:space="preserve">：</w:t>
      </w:r>
      <w:r>
        <w:rPr>
          <w:rFonts w:hint="eastAsia" w:ascii="黑体" w:hAnsi="黑体" w:eastAsia="黑体" w:cs="黑体"/>
          <w:b w:val="0"/>
          <w:bCs w:val="0"/>
          <w:color w:val="auto"/>
          <w:sz w:val="24"/>
          <w:szCs w:val="24"/>
          <w:highlight w:val="none"/>
        </w:rPr>
        <w:t xml:space="preserve">每3个月付一次。根据</w:t>
      </w:r>
      <w:r>
        <w:rPr>
          <w:rFonts w:hint="eastAsia" w:ascii="黑体" w:hAnsi="黑体" w:eastAsia="黑体" w:cs="黑体"/>
          <w:b w:val="0"/>
          <w:bCs w:val="0"/>
          <w:color w:val="auto"/>
          <w:sz w:val="24"/>
          <w:szCs w:val="24"/>
          <w:highlight w:val="none"/>
          <w:lang w:val="en-US" w:eastAsia="zh-CN"/>
        </w:rPr>
        <w:t xml:space="preserve">新开街道按照相关文件要求</w:t>
      </w:r>
      <w:r>
        <w:rPr>
          <w:rFonts w:hint="eastAsia" w:ascii="黑体" w:hAnsi="黑体" w:eastAsia="黑体" w:cs="黑体"/>
          <w:b w:val="0"/>
          <w:bCs w:val="0"/>
          <w:color w:val="auto"/>
          <w:sz w:val="24"/>
          <w:szCs w:val="24"/>
          <w:highlight w:val="none"/>
        </w:rPr>
        <w:t xml:space="preserve">对成交</w:t>
      </w:r>
      <w:r>
        <w:rPr>
          <w:rFonts w:hint="eastAsia" w:ascii="黑体" w:hAnsi="黑体" w:eastAsia="黑体" w:cs="黑体"/>
          <w:b w:val="0"/>
          <w:bCs w:val="0"/>
          <w:color w:val="auto"/>
          <w:sz w:val="24"/>
          <w:szCs w:val="24"/>
          <w:highlight w:val="none"/>
          <w:lang w:eastAsia="zh-CN"/>
        </w:rPr>
        <w:t xml:space="preserve">供应商</w:t>
      </w:r>
      <w:r>
        <w:rPr>
          <w:rFonts w:hint="eastAsia" w:ascii="黑体" w:hAnsi="黑体" w:eastAsia="黑体" w:cs="黑体"/>
          <w:b w:val="0"/>
          <w:bCs w:val="0"/>
          <w:color w:val="auto"/>
          <w:sz w:val="24"/>
          <w:szCs w:val="24"/>
          <w:highlight w:val="none"/>
        </w:rPr>
        <w:t xml:space="preserve">考核评估结果拨付服务费。</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服务费以</w:t>
      </w:r>
      <w:r>
        <w:rPr>
          <w:rFonts w:hint="eastAsia" w:ascii="黑体" w:hAnsi="黑体" w:eastAsia="黑体" w:cs="黑体"/>
          <w:b w:val="0"/>
          <w:bCs w:val="0"/>
          <w:color w:val="auto"/>
          <w:sz w:val="24"/>
          <w:szCs w:val="24"/>
          <w:highlight w:val="none"/>
          <w:lang w:eastAsia="zh-CN"/>
        </w:rPr>
        <w:t xml:space="preserve">供应商</w:t>
      </w:r>
      <w:r>
        <w:rPr>
          <w:rFonts w:hint="eastAsia" w:ascii="黑体" w:hAnsi="黑体" w:eastAsia="黑体" w:cs="黑体"/>
          <w:b w:val="0"/>
          <w:bCs w:val="0"/>
          <w:color w:val="auto"/>
          <w:sz w:val="24"/>
          <w:szCs w:val="24"/>
          <w:highlight w:val="none"/>
        </w:rPr>
        <w:t xml:space="preserve">固定服务费标准*实际服务人数*实际服务次数核算，采购人对中标</w:t>
      </w:r>
      <w:r>
        <w:rPr>
          <w:rFonts w:hint="eastAsia" w:ascii="黑体" w:hAnsi="黑体" w:eastAsia="黑体" w:cs="黑体"/>
          <w:b w:val="0"/>
          <w:bCs w:val="0"/>
          <w:color w:val="auto"/>
          <w:sz w:val="24"/>
          <w:szCs w:val="24"/>
          <w:highlight w:val="none"/>
          <w:lang w:eastAsia="zh-CN"/>
        </w:rPr>
        <w:t xml:space="preserve">供应商</w:t>
      </w:r>
      <w:r>
        <w:rPr>
          <w:rFonts w:hint="eastAsia" w:ascii="黑体" w:hAnsi="黑体" w:eastAsia="黑体" w:cs="黑体"/>
          <w:b w:val="0"/>
          <w:bCs w:val="0"/>
          <w:color w:val="auto"/>
          <w:sz w:val="24"/>
          <w:szCs w:val="24"/>
          <w:highlight w:val="none"/>
        </w:rPr>
        <w:t xml:space="preserve">实际服务成效进行考核评估，根据考核评估结果进行付款。</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街道每季度对第三方实际服务情况分别进行考核，考核分值均为100分，留存记录。</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考核总得分 95分（含）以上为“优秀”，总得分 90-95分（不含）为“合格”，总得分80-90分（不含）为“基本合格”，80分以下的为“不合格”。</w:t>
      </w:r>
      <w:r/>
    </w:p>
    <w:p>
      <w:pPr>
        <w:ind w:firstLine="480"/>
        <w:jc w:val="left"/>
        <w:keepLines w:val="0"/>
        <w:keepNext w:val="0"/>
        <w:pageBreakBefore w:val="0"/>
        <w:spacing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rPr>
        <w:t xml:space="preserve">将每季度考核评分作为第三方服务机构经费下拨依据，“基本合格”（含）以上，根据区级拨款，按时全额下拨服务经费。如有考核“不合格”情况，第三方应在5个工作日内完成整改，整改后合格的，下拨该季度服务经费，整改后仍不合格的，按该季度服务经费的90%下拨，剩余10%不予下拨。如下季度考核仍“不合格”，扣除100%，终止合同。</w:t>
      </w:r>
      <w:r/>
    </w:p>
    <w:p>
      <w:pPr>
        <w:numPr>
          <w:ilvl w:val="0"/>
          <w:numId w:val="0"/>
        </w:numPr>
        <w:ind w:firstLine="480"/>
        <w:jc w:val="left"/>
        <w:keepLines w:val="0"/>
        <w:keepNext w:val="0"/>
        <w:pageBreakBefore w:val="0"/>
        <w:spacing w:line="440" w:lineRule="exact"/>
        <w:widowControl w:val="off"/>
        <w:rPr>
          <w:rFonts w:hint="eastAsia" w:ascii="黑体" w:hAnsi="黑体" w:eastAsia="黑体" w:cs="黑体"/>
          <w:b w:val="0"/>
          <w:bCs w:val="0"/>
          <w:color w:val="auto"/>
          <w:highlight w:val="none"/>
        </w:rPr>
      </w:pPr>
      <w:r>
        <w:rPr>
          <w:rFonts w:hint="eastAsia" w:ascii="黑体" w:hAnsi="黑体" w:eastAsia="黑体" w:cs="黑体"/>
          <w:b w:val="0"/>
          <w:bCs w:val="0"/>
          <w:color w:val="auto"/>
          <w:sz w:val="24"/>
          <w:szCs w:val="24"/>
          <w:highlight w:val="none"/>
        </w:rPr>
        <w:t xml:space="preserve">全年季度考核均为 “基本合格”以上的或有1次“不合格”，但有1次“优秀”，其余2次为“基本合格”以上的续签下一年度合同；全年有1次“不合格”的，无“优秀”的或上级考核全市排名靠后、受到通报批评等情形的，不再续签下一年度合同。</w:t>
      </w:r>
      <w:r/>
    </w:p>
    <w:p>
      <w:pPr>
        <w:pStyle w:val="880"/>
        <w:ind w:right="116" w:firstLine="480"/>
        <w:jc w:val="left"/>
        <w:keepLines w:val="0"/>
        <w:keepNext w:val="0"/>
        <w:pageBreakBefore w:val="0"/>
        <w:spacing w:before="139" w:line="440" w:lineRule="exact"/>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t xml:space="preserve">④残疾人之家运营服务</w:t>
      </w:r>
      <w:r>
        <w:rPr>
          <w:rFonts w:hint="eastAsia" w:ascii="黑体" w:hAnsi="黑体" w:eastAsia="黑体" w:cs="黑体"/>
          <w:b w:val="0"/>
          <w:bCs w:val="0"/>
          <w:color w:val="auto"/>
          <w:sz w:val="24"/>
          <w:szCs w:val="24"/>
          <w:highlight w:val="none"/>
        </w:rPr>
        <w:t xml:space="preserve">费：</w:t>
      </w:r>
      <w:r>
        <w:rPr>
          <w:rFonts w:hint="eastAsia" w:ascii="黑体" w:hAnsi="黑体" w:eastAsia="黑体" w:cs="黑体"/>
          <w:b w:val="0"/>
          <w:bCs w:val="0"/>
          <w:color w:val="auto"/>
          <w:sz w:val="24"/>
          <w:szCs w:val="24"/>
          <w:highlight w:val="none"/>
          <w:lang w:eastAsia="zh-CN"/>
        </w:rPr>
        <w:t xml:space="preserve">验收合格后一次性拨付。由</w:t>
      </w:r>
      <w:r>
        <w:rPr>
          <w:rFonts w:hint="eastAsia" w:ascii="黑体" w:hAnsi="黑体" w:eastAsia="黑体" w:cs="黑体"/>
          <w:b w:val="0"/>
          <w:bCs w:val="0"/>
          <w:color w:val="auto"/>
          <w:sz w:val="24"/>
          <w:szCs w:val="24"/>
          <w:highlight w:val="none"/>
          <w:lang w:val="en-US" w:eastAsia="zh-CN"/>
        </w:rPr>
        <w:t xml:space="preserve">成交供应商</w:t>
      </w:r>
      <w:r>
        <w:rPr>
          <w:rFonts w:hint="eastAsia" w:ascii="黑体" w:hAnsi="黑体" w:eastAsia="黑体" w:cs="黑体"/>
          <w:b w:val="0"/>
          <w:bCs w:val="0"/>
          <w:color w:val="auto"/>
          <w:sz w:val="24"/>
          <w:szCs w:val="24"/>
          <w:highlight w:val="none"/>
          <w:lang w:eastAsia="zh-CN"/>
        </w:rPr>
        <w:t xml:space="preserve">根据区残联要求提供相关考核材料， 由街道残联初审，区残联会同区财政局及相关审计部门进行实地验收打分及材料审核，根据运转及资金实际使用情况，分档次按一定比例拨付相关经费 。每</w:t>
      </w:r>
      <w:r>
        <w:rPr>
          <w:rFonts w:hint="eastAsia" w:ascii="黑体" w:hAnsi="黑体" w:eastAsia="黑体" w:cs="黑体"/>
          <w:b w:val="0"/>
          <w:bCs w:val="0"/>
          <w:color w:val="auto"/>
          <w:sz w:val="24"/>
          <w:szCs w:val="24"/>
          <w:highlight w:val="none"/>
          <w:lang w:val="en-US" w:eastAsia="zh-CN"/>
        </w:rPr>
        <w:t xml:space="preserve">年付一次。</w:t>
      </w:r>
      <w:r/>
    </w:p>
    <w:p>
      <w:pPr>
        <w:pStyle w:val="949"/>
        <w:jc w:val="left"/>
        <w:keepLines w:val="0"/>
        <w:keepNext w:val="0"/>
        <w:pageBreakBefore w:val="0"/>
        <w:spacing w:line="440" w:lineRule="exact"/>
        <w:widowControl w:val="off"/>
        <w:rPr>
          <w:rFonts w:hint="eastAsia" w:ascii="黑体" w:hAnsi="黑体" w:eastAsia="黑体" w:cs="黑体"/>
          <w:b w:val="0"/>
          <w:bCs w:val="0"/>
          <w:color w:val="auto"/>
          <w:highlight w:val="none"/>
          <w:lang w:val="en-US" w:eastAsia="zh-CN"/>
        </w:rPr>
      </w:pPr>
      <w:r>
        <w:rPr>
          <w:rFonts w:hint="eastAsia" w:ascii="黑体" w:hAnsi="黑体" w:eastAsia="黑体" w:cs="黑体"/>
          <w:b w:val="0"/>
          <w:bCs w:val="0"/>
          <w:color w:val="auto"/>
          <w:sz w:val="24"/>
          <w:szCs w:val="24"/>
          <w:highlight w:val="none"/>
          <w:lang w:val="en-US" w:eastAsia="zh-CN"/>
        </w:rPr>
        <w:t xml:space="preserve">以上具体的考评要求详见本磋商文件后附材料。</w:t>
      </w:r>
      <w:r/>
    </w:p>
    <w:p>
      <w:pPr>
        <w:pStyle w:val="981"/>
        <w:ind w:firstLine="513"/>
        <w:jc w:val="left"/>
        <w:pageBreakBefore w:val="0"/>
        <w:spacing w:line="440" w:lineRule="exact"/>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8.4甲方自收到发票后30日内发起国库集中支付申请且将资金支付到合同约定的供应商账户。</w:t>
      </w:r>
      <w:r/>
    </w:p>
    <w:p>
      <w:pPr>
        <w:ind w:firstLine="482"/>
        <w:jc w:val="left"/>
        <w:pageBreakBefore w:val="0"/>
        <w:spacing w:line="440" w:lineRule="exact"/>
        <w:tabs>
          <w:tab w:val="left" w:pos="360" w:leader="none"/>
          <w:tab w:val="left" w:pos="540" w:leader="none"/>
        </w:tabs>
        <w:rPr>
          <w:rFonts w:hint="eastAsia" w:ascii="黑体" w:hAnsi="黑体" w:eastAsia="黑体" w:cs="黑体"/>
          <w:b/>
          <w:bCs/>
          <w:color w:val="auto"/>
          <w:sz w:val="24"/>
          <w:szCs w:val="24"/>
          <w:highlight w:val="none"/>
        </w:rPr>
      </w:pPr>
      <w:r/>
      <w:bookmarkStart w:id="28" w:name="_Toc81879418"/>
      <w:r>
        <w:rPr>
          <w:rFonts w:hint="eastAsia" w:ascii="黑体" w:hAnsi="黑体" w:eastAsia="黑体" w:cs="黑体"/>
          <w:b/>
          <w:bCs/>
          <w:color w:val="auto"/>
          <w:sz w:val="24"/>
          <w:szCs w:val="24"/>
          <w:highlight w:val="none"/>
        </w:rPr>
        <w:t xml:space="preserve">九.违约责任：</w:t>
      </w:r>
      <w:bookmarkEnd w:id="28"/>
      <w:r/>
      <w:r/>
    </w:p>
    <w:p>
      <w:pPr>
        <w:ind w:firstLine="480"/>
        <w:jc w:val="left"/>
        <w:pageBreakBefore w:val="0"/>
        <w:spacing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9.1</w:t>
      </w:r>
      <w:r>
        <w:rPr>
          <w:rFonts w:hint="eastAsia" w:ascii="黑体" w:hAnsi="黑体" w:eastAsia="黑体" w:cs="黑体"/>
          <w:color w:val="auto"/>
          <w:sz w:val="24"/>
          <w:szCs w:val="24"/>
          <w:highlight w:val="none"/>
        </w:rPr>
        <w:t xml:space="preserve">乙方未能准时提交</w:t>
      </w:r>
      <w:r>
        <w:rPr>
          <w:rFonts w:hint="eastAsia" w:ascii="黑体" w:hAnsi="黑体" w:eastAsia="黑体" w:cs="黑体"/>
          <w:color w:val="auto"/>
          <w:sz w:val="24"/>
          <w:szCs w:val="24"/>
          <w:highlight w:val="none"/>
          <w:lang w:val="en-US" w:eastAsia="zh-CN"/>
        </w:rPr>
        <w:t xml:space="preserve">设计图纸及方案等</w:t>
      </w:r>
      <w:r>
        <w:rPr>
          <w:rFonts w:hint="eastAsia" w:ascii="黑体" w:hAnsi="黑体" w:eastAsia="黑体" w:cs="黑体"/>
          <w:color w:val="auto"/>
          <w:sz w:val="24"/>
          <w:szCs w:val="24"/>
          <w:highlight w:val="none"/>
        </w:rPr>
        <w:t xml:space="preserve">，则向甲方支付</w:t>
      </w:r>
      <w:bookmarkStart w:id="29" w:name="_Hlk80341315"/>
      <w:r>
        <w:rPr>
          <w:rFonts w:hint="eastAsia" w:ascii="黑体" w:hAnsi="黑体" w:eastAsia="黑体" w:cs="黑体"/>
          <w:color w:val="auto"/>
          <w:sz w:val="24"/>
          <w:szCs w:val="24"/>
          <w:highlight w:val="none"/>
        </w:rPr>
        <w:t xml:space="preserve">该项服务费</w:t>
      </w:r>
      <w:bookmarkEnd w:id="29"/>
      <w:r>
        <w:rPr>
          <w:rFonts w:hint="eastAsia" w:ascii="黑体" w:hAnsi="黑体" w:eastAsia="黑体" w:cs="黑体"/>
          <w:color w:val="auto"/>
          <w:sz w:val="24"/>
          <w:szCs w:val="24"/>
          <w:highlight w:val="none"/>
        </w:rPr>
        <w:t xml:space="preserve">总额10%的违约金。</w:t>
      </w:r>
      <w:r/>
    </w:p>
    <w:p>
      <w:pPr>
        <w:ind w:firstLine="480"/>
        <w:jc w:val="left"/>
        <w:pageBreakBefore w:val="0"/>
        <w:spacing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9.2</w:t>
      </w:r>
      <w:r>
        <w:rPr>
          <w:rFonts w:hint="eastAsia" w:ascii="黑体" w:hAnsi="黑体" w:eastAsia="黑体" w:cs="黑体"/>
          <w:color w:val="auto"/>
          <w:sz w:val="24"/>
          <w:szCs w:val="24"/>
          <w:highlight w:val="none"/>
        </w:rPr>
        <w:t xml:space="preserve">乙方提交的</w:t>
      </w:r>
      <w:r>
        <w:rPr>
          <w:rFonts w:hint="eastAsia" w:ascii="黑体" w:hAnsi="黑体" w:eastAsia="黑体" w:cs="黑体"/>
          <w:color w:val="auto"/>
          <w:sz w:val="24"/>
          <w:szCs w:val="24"/>
          <w:highlight w:val="none"/>
          <w:lang w:val="en-US" w:eastAsia="zh-CN"/>
        </w:rPr>
        <w:t xml:space="preserve">设计图纸、方案等</w:t>
      </w:r>
      <w:r>
        <w:rPr>
          <w:rFonts w:hint="eastAsia" w:ascii="黑体" w:hAnsi="黑体" w:eastAsia="黑体" w:cs="黑体"/>
          <w:color w:val="auto"/>
          <w:sz w:val="24"/>
          <w:szCs w:val="24"/>
          <w:highlight w:val="none"/>
        </w:rPr>
        <w:t xml:space="preserve">不符合</w:t>
      </w:r>
      <w:r>
        <w:rPr>
          <w:rFonts w:hint="eastAsia" w:ascii="黑体" w:hAnsi="黑体" w:eastAsia="黑体" w:cs="黑体"/>
          <w:color w:val="auto"/>
          <w:sz w:val="24"/>
          <w:szCs w:val="24"/>
          <w:highlight w:val="none"/>
          <w:lang w:val="en-US" w:eastAsia="zh-CN"/>
        </w:rPr>
        <w:t xml:space="preserve">磋商文件要求及</w:t>
      </w:r>
      <w:r>
        <w:rPr>
          <w:rFonts w:hint="eastAsia" w:ascii="黑体" w:hAnsi="黑体" w:eastAsia="黑体" w:cs="黑体"/>
          <w:color w:val="auto"/>
          <w:sz w:val="24"/>
          <w:szCs w:val="24"/>
          <w:highlight w:val="none"/>
        </w:rPr>
        <w:t xml:space="preserve">合同规定的，甲方有权拒收，乙方应退还甲方支付的所有费用，并向甲方支付该项服务费总额10%的违约金。</w:t>
      </w:r>
      <w:r/>
    </w:p>
    <w:p>
      <w:pPr>
        <w:ind w:firstLine="241"/>
        <w:jc w:val="left"/>
        <w:pageBreakBefore w:val="0"/>
        <w:spacing w:line="440" w:lineRule="exact"/>
        <w:rPr>
          <w:rFonts w:hint="eastAsia" w:ascii="黑体" w:hAnsi="黑体" w:eastAsia="黑体" w:cs="黑体"/>
          <w:b/>
          <w:bCs/>
          <w:color w:val="auto"/>
          <w:sz w:val="24"/>
          <w:szCs w:val="24"/>
          <w:highlight w:val="none"/>
        </w:rPr>
      </w:pPr>
      <w:r/>
      <w:bookmarkStart w:id="30" w:name="_Toc81879419"/>
      <w:r>
        <w:rPr>
          <w:rFonts w:hint="eastAsia" w:ascii="黑体" w:hAnsi="黑体" w:eastAsia="黑体" w:cs="黑体"/>
          <w:b/>
          <w:bCs/>
          <w:color w:val="auto"/>
          <w:sz w:val="24"/>
          <w:szCs w:val="24"/>
          <w:highlight w:val="none"/>
        </w:rPr>
        <w:t xml:space="preserve">十.保密条款供参考：</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10.1</w:t>
      </w:r>
      <w:r>
        <w:rPr>
          <w:rFonts w:hint="eastAsia" w:ascii="黑体" w:hAnsi="黑体" w:eastAsia="黑体" w:cs="黑体"/>
          <w:color w:val="auto"/>
          <w:sz w:val="24"/>
          <w:szCs w:val="24"/>
          <w:highlight w:val="none"/>
        </w:rPr>
        <w:t xml:space="preserve">乙方对在工作过程中接触到的甲方的任何资料、文件、数据(无论是书面的还是电子的)，以及对为甲方服务形成的任何交付物，负有为甲方保密的责任。未经甲方书面同意，乙方不得以任何方式向任何第三方提供或透露。</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10.2</w:t>
      </w:r>
      <w:r>
        <w:rPr>
          <w:rFonts w:hint="eastAsia" w:ascii="黑体" w:hAnsi="黑体" w:eastAsia="黑体" w:cs="黑体"/>
          <w:color w:val="auto"/>
          <w:sz w:val="24"/>
          <w:szCs w:val="24"/>
          <w:highlight w:val="none"/>
        </w:rPr>
        <w:t xml:space="preserve"> 甲方向乙方提供的任何资料、文件和信息，在乙方服务结束后，乙方均应及时归还甲方，电子文档的应从自己的电脑等存储设备上予永久删除。</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10.</w:t>
      </w:r>
      <w:r>
        <w:rPr>
          <w:rFonts w:hint="eastAsia" w:ascii="黑体" w:hAnsi="黑体" w:eastAsia="黑体" w:cs="黑体"/>
          <w:color w:val="auto"/>
          <w:sz w:val="24"/>
          <w:szCs w:val="24"/>
          <w:highlight w:val="none"/>
        </w:rPr>
        <w:t xml:space="preserve"> 乙方人员违反上述保密规定时间，乙方应承担相应法律责任。 </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10.4</w:t>
      </w:r>
      <w:r>
        <w:rPr>
          <w:rFonts w:hint="eastAsia" w:ascii="黑体" w:hAnsi="黑体" w:eastAsia="黑体" w:cs="黑体"/>
          <w:color w:val="auto"/>
          <w:sz w:val="24"/>
          <w:szCs w:val="24"/>
          <w:highlight w:val="none"/>
        </w:rPr>
        <w:t xml:space="preserve"> 以上</w:t>
      </w:r>
      <w:r>
        <w:rPr>
          <w:rFonts w:hint="eastAsia" w:ascii="黑体" w:hAnsi="黑体" w:eastAsia="黑体" w:cs="黑体"/>
          <w:color w:val="auto"/>
          <w:sz w:val="24"/>
          <w:szCs w:val="24"/>
          <w:highlight w:val="none"/>
          <w:lang w:val="en-US" w:eastAsia="zh-CN"/>
        </w:rPr>
        <w:t xml:space="preserve">10.1-10.3</w:t>
      </w:r>
      <w:r>
        <w:rPr>
          <w:rFonts w:hint="eastAsia" w:ascii="黑体" w:hAnsi="黑体" w:eastAsia="黑体" w:cs="黑体"/>
          <w:color w:val="auto"/>
          <w:sz w:val="24"/>
          <w:szCs w:val="24"/>
          <w:highlight w:val="none"/>
        </w:rPr>
        <w:t xml:space="preserve">款在合同有效期结束后继续生效。</w:t>
      </w:r>
      <w:r/>
    </w:p>
    <w:p>
      <w:pPr>
        <w:numPr>
          <w:ilvl w:val="1"/>
          <w:numId w:val="0"/>
        </w:numPr>
        <w:jc w:val="left"/>
        <w:pageBreakBefore w:val="0"/>
        <w:spacing w:after="60" w:line="440" w:lineRule="exact"/>
        <w:tabs>
          <w:tab w:val="left" w:pos="360" w:leader="none"/>
          <w:tab w:val="left" w:pos="540" w:leader="none"/>
        </w:tabs>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十一.不可抗力：</w:t>
      </w:r>
      <w:bookmarkEnd w:id="30"/>
      <w:r/>
      <w:r/>
    </w:p>
    <w:p>
      <w:pPr>
        <w:ind w:firstLine="480"/>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11.1</w:t>
      </w:r>
      <w:r>
        <w:rPr>
          <w:rFonts w:hint="eastAsia" w:ascii="黑体" w:hAnsi="黑体" w:eastAsia="黑体" w:cs="黑体"/>
          <w:color w:val="auto"/>
          <w:sz w:val="24"/>
          <w:szCs w:val="24"/>
          <w:highlight w:val="none"/>
        </w:rPr>
        <w:t xml:space="preserve">由于不可抗力因素（指火灾、地震、洪水、战争等）使乙方不能在合同规定的期限内交货时，乙方必须立即以书面形式通知甲方，并以书面形式向甲方提供有关政府机关所出具的不可抗力因素证明。</w:t>
      </w:r>
      <w:r/>
    </w:p>
    <w:p>
      <w:pPr>
        <w:ind w:firstLine="480"/>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11.2</w:t>
      </w:r>
      <w:r>
        <w:rPr>
          <w:rFonts w:hint="eastAsia" w:ascii="黑体" w:hAnsi="黑体" w:eastAsia="黑体" w:cs="黑体"/>
          <w:color w:val="auto"/>
          <w:sz w:val="24"/>
          <w:szCs w:val="24"/>
          <w:highlight w:val="none"/>
        </w:rPr>
        <w:t xml:space="preserve">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bookmarkStart w:id="31" w:name="_Toc81879420"/>
      <w:r/>
      <w:r/>
    </w:p>
    <w:p>
      <w:pPr>
        <w:numPr>
          <w:ilvl w:val="1"/>
          <w:numId w:val="0"/>
        </w:numPr>
        <w:jc w:val="left"/>
        <w:pageBreakBefore w:val="0"/>
        <w:spacing w:after="60" w:line="440" w:lineRule="exact"/>
        <w:tabs>
          <w:tab w:val="left" w:pos="360" w:leader="none"/>
          <w:tab w:val="left" w:pos="540" w:leader="none"/>
        </w:tabs>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十二.其他约定条款：</w:t>
      </w:r>
      <w:bookmarkEnd w:id="31"/>
      <w:r/>
      <w:r/>
    </w:p>
    <w:p>
      <w:pPr>
        <w:ind w:firstLine="480"/>
        <w:jc w:val="left"/>
        <w:pageBreakBefore w:val="0"/>
        <w:spacing w:after="60" w:line="440" w:lineRule="exact"/>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lang w:eastAsia="zh-CN"/>
        </w:rPr>
        <w:t xml:space="preserve">根据《政府购买服务管理办法》第二十四条规定，本项目根据采购结果，采取一次招标三年沿用。一年合同期满后，</w:t>
      </w:r>
      <w:r>
        <w:rPr>
          <w:rFonts w:hint="eastAsia" w:ascii="黑体" w:hAnsi="黑体" w:eastAsia="黑体" w:cs="黑体"/>
          <w:color w:val="auto"/>
          <w:sz w:val="24"/>
          <w:szCs w:val="24"/>
          <w:highlight w:val="none"/>
          <w:lang w:val="en-US" w:eastAsia="zh-CN"/>
        </w:rPr>
        <w:t xml:space="preserve">甲方</w:t>
      </w:r>
      <w:r>
        <w:rPr>
          <w:rFonts w:hint="eastAsia" w:ascii="黑体" w:hAnsi="黑体" w:eastAsia="黑体" w:cs="黑体"/>
          <w:color w:val="auto"/>
          <w:sz w:val="24"/>
          <w:szCs w:val="24"/>
          <w:highlight w:val="none"/>
          <w:lang w:eastAsia="zh-CN"/>
        </w:rPr>
        <w:t xml:space="preserve">未获得预算批复或因政策变化采购需求取消，则经</w:t>
      </w:r>
      <w:r>
        <w:rPr>
          <w:rFonts w:hint="eastAsia" w:ascii="黑体" w:hAnsi="黑体" w:eastAsia="黑体" w:cs="黑体"/>
          <w:color w:val="auto"/>
          <w:sz w:val="24"/>
          <w:szCs w:val="24"/>
          <w:highlight w:val="none"/>
          <w:lang w:val="en-US" w:eastAsia="zh-CN"/>
        </w:rPr>
        <w:t xml:space="preserve">甲方</w:t>
      </w:r>
      <w:r>
        <w:rPr>
          <w:rFonts w:hint="eastAsia" w:ascii="黑体" w:hAnsi="黑体" w:eastAsia="黑体" w:cs="黑体"/>
          <w:color w:val="auto"/>
          <w:sz w:val="24"/>
          <w:szCs w:val="24"/>
          <w:highlight w:val="none"/>
          <w:lang w:eastAsia="zh-CN"/>
        </w:rPr>
        <w:t xml:space="preserve">书面通知供应商后，合同到期终止不再续签，或受疫情等不可抗力的影响，次年预算压减，</w:t>
      </w:r>
      <w:r>
        <w:rPr>
          <w:rFonts w:hint="eastAsia" w:ascii="黑体" w:hAnsi="黑体" w:eastAsia="黑体" w:cs="黑体"/>
          <w:color w:val="auto"/>
          <w:sz w:val="24"/>
          <w:szCs w:val="24"/>
          <w:highlight w:val="none"/>
          <w:lang w:val="en-US" w:eastAsia="zh-CN"/>
        </w:rPr>
        <w:t xml:space="preserve">甲方</w:t>
      </w:r>
      <w:r>
        <w:rPr>
          <w:rFonts w:hint="eastAsia" w:ascii="黑体" w:hAnsi="黑体" w:eastAsia="黑体" w:cs="黑体"/>
          <w:color w:val="auto"/>
          <w:sz w:val="24"/>
          <w:szCs w:val="24"/>
          <w:highlight w:val="none"/>
          <w:lang w:eastAsia="zh-CN"/>
        </w:rPr>
        <w:t xml:space="preserve">也将根据新的预算重新采购，</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lang w:eastAsia="zh-CN"/>
        </w:rPr>
        <w:t xml:space="preserve">自行承担相应风险。本项目实行一年一考核一续签合同的办法，</w:t>
      </w:r>
      <w:r>
        <w:rPr>
          <w:rFonts w:hint="eastAsia" w:ascii="黑体" w:hAnsi="黑体" w:eastAsia="黑体" w:cs="黑体"/>
          <w:color w:val="auto"/>
          <w:sz w:val="24"/>
          <w:szCs w:val="24"/>
          <w:highlight w:val="none"/>
          <w:lang w:val="en-US" w:eastAsia="zh-CN"/>
        </w:rPr>
        <w:t xml:space="preserve">甲方</w:t>
      </w:r>
      <w:r>
        <w:rPr>
          <w:rFonts w:hint="eastAsia" w:ascii="黑体" w:hAnsi="黑体" w:eastAsia="黑体" w:cs="黑体"/>
          <w:color w:val="auto"/>
          <w:sz w:val="24"/>
          <w:szCs w:val="24"/>
          <w:highlight w:val="none"/>
          <w:lang w:eastAsia="zh-CN"/>
        </w:rPr>
        <w:t xml:space="preserve">有权单方决定是否续签后一年度合同，合同金额不作改变。如果</w:t>
      </w:r>
      <w:r>
        <w:rPr>
          <w:rFonts w:hint="eastAsia" w:ascii="黑体" w:hAnsi="黑体" w:eastAsia="黑体" w:cs="黑体"/>
          <w:color w:val="auto"/>
          <w:sz w:val="24"/>
          <w:szCs w:val="24"/>
          <w:highlight w:val="none"/>
          <w:lang w:val="en-US" w:eastAsia="zh-CN"/>
        </w:rPr>
        <w:t xml:space="preserve">乙方</w:t>
      </w:r>
      <w:r>
        <w:rPr>
          <w:rFonts w:hint="eastAsia" w:ascii="黑体" w:hAnsi="黑体" w:eastAsia="黑体" w:cs="黑体"/>
          <w:color w:val="auto"/>
          <w:sz w:val="24"/>
          <w:szCs w:val="24"/>
          <w:highlight w:val="none"/>
          <w:lang w:eastAsia="zh-CN"/>
        </w:rPr>
        <w:t xml:space="preserve">没有达到合同所要求履行条件之一的，则</w:t>
      </w:r>
      <w:r>
        <w:rPr>
          <w:rFonts w:hint="eastAsia" w:ascii="黑体" w:hAnsi="黑体" w:eastAsia="黑体" w:cs="黑体"/>
          <w:color w:val="auto"/>
          <w:sz w:val="24"/>
          <w:szCs w:val="24"/>
          <w:highlight w:val="none"/>
          <w:lang w:val="en-US" w:eastAsia="zh-CN"/>
        </w:rPr>
        <w:t xml:space="preserve">甲方</w:t>
      </w:r>
      <w:r>
        <w:rPr>
          <w:rFonts w:hint="eastAsia" w:ascii="黑体" w:hAnsi="黑体" w:eastAsia="黑体" w:cs="黑体"/>
          <w:color w:val="auto"/>
          <w:sz w:val="24"/>
          <w:szCs w:val="24"/>
          <w:highlight w:val="none"/>
          <w:lang w:eastAsia="zh-CN"/>
        </w:rPr>
        <w:t xml:space="preserve">有权在委托期限内随时终止合同。</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color w:val="auto"/>
          <w:sz w:val="24"/>
          <w:szCs w:val="24"/>
          <w:highlight w:val="none"/>
          <w:u w:val="single"/>
          <w:lang w:val="en-US" w:eastAsia="zh-CN"/>
        </w:rPr>
        <w:t xml:space="preserve">本项目各分项的服务站点、涉及到的</w:t>
      </w:r>
      <w:r>
        <w:rPr>
          <w:rFonts w:hint="eastAsia" w:ascii="黑体" w:hAnsi="黑体" w:eastAsia="黑体" w:cs="黑体"/>
          <w:color w:val="auto"/>
          <w:sz w:val="24"/>
          <w:szCs w:val="24"/>
          <w:highlight w:val="none"/>
          <w:u w:val="single"/>
        </w:rPr>
        <w:t xml:space="preserve">运营方案、服务方案、收费标准和优惠政策</w:t>
      </w:r>
      <w:r>
        <w:rPr>
          <w:rFonts w:hint="eastAsia" w:ascii="黑体" w:hAnsi="黑体" w:eastAsia="黑体" w:cs="黑体"/>
          <w:color w:val="auto"/>
          <w:sz w:val="24"/>
          <w:szCs w:val="24"/>
          <w:highlight w:val="none"/>
          <w:u w:val="single"/>
          <w:lang w:eastAsia="zh-CN"/>
        </w:rPr>
        <w:t xml:space="preserve">、</w:t>
      </w:r>
      <w:r>
        <w:rPr>
          <w:rFonts w:hint="eastAsia" w:ascii="黑体" w:hAnsi="黑体" w:eastAsia="黑体" w:cs="黑体"/>
          <w:color w:val="auto"/>
          <w:sz w:val="24"/>
          <w:szCs w:val="24"/>
          <w:highlight w:val="none"/>
          <w:u w:val="single"/>
          <w:lang w:val="en-US" w:eastAsia="zh-CN"/>
        </w:rPr>
        <w:t xml:space="preserve">建设方案、设计要求及图纸等，均以乙方在甲方规定期限内提交给甲方核实并确认的为准，乙方单方面确定或实施造成的后果由乙方自行承担。</w:t>
      </w:r>
      <w:r/>
    </w:p>
    <w:p>
      <w:pPr>
        <w:pStyle w:val="892"/>
        <w:numPr>
          <w:ilvl w:val="0"/>
          <w:numId w:val="0"/>
        </w:numPr>
        <w:ind w:firstLine="480"/>
        <w:jc w:val="left"/>
        <w:keepLines w:val="0"/>
        <w:keepNext w:val="0"/>
        <w:pageBreakBefore w:val="0"/>
        <w:spacing w:before="0" w:beforeAutospacing="0" w:after="0" w:afterAutospacing="0" w:line="440" w:lineRule="exact"/>
        <w:shd w:val="clear" w:color="auto" w:fill="auto"/>
        <w:widowControl w:val="off"/>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u w:val="single"/>
          <w:lang w:val="en-US" w:eastAsia="zh-CN"/>
        </w:rPr>
        <w:t xml:space="preserve">3、本项目各分项具体服务点及服务内容及要求，成交后乙方以各种理由在磋商文件规定的时间内不予实施或未按照要求实施及服务的，甲方将上报有关监管部门后将其列入信用黑名单，视情节轻重该单位将1-3年之内不能参加南通市政府采购相关活动。</w:t>
      </w:r>
      <w:r/>
    </w:p>
    <w:p>
      <w:pPr>
        <w:ind w:firstLine="480"/>
        <w:jc w:val="left"/>
        <w:pageBreakBefore w:val="0"/>
        <w:spacing w:line="440" w:lineRule="exact"/>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u w:val="single"/>
          <w:lang w:val="en-US" w:eastAsia="zh-CN"/>
        </w:rPr>
        <w:t xml:space="preserve">4、乙方在合同期内出现重大失误，造成服务对象投诉或影响甲方正常工作的，甲方有权终止合同，并从服务费中扣除乙方造成的损失。重大失误由甲方进行认定，乙方无条件服从。</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u w:val="single"/>
          <w:lang w:val="en-US" w:eastAsia="zh-CN"/>
        </w:rPr>
        <w:t xml:space="preserve">5、转包或分包：</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u w:val="single"/>
          <w:lang w:val="en-US" w:eastAsia="zh-CN"/>
        </w:rPr>
        <w:t xml:space="preserve">（1）本合同范围的服务内容，应由乙方直接服务，不得转让他人服务。</w:t>
      </w:r>
      <w:r/>
    </w:p>
    <w:p>
      <w:pPr>
        <w:ind w:firstLine="480"/>
        <w:jc w:val="left"/>
        <w:keepLines w:val="0"/>
        <w:keepNext w:val="0"/>
        <w:pageBreakBefore w:val="0"/>
        <w:spacing w:line="440" w:lineRule="exact"/>
        <w:widowControl w:val="off"/>
        <w:rPr>
          <w:rFonts w:hint="eastAsia"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u w:val="single"/>
          <w:lang w:val="en-US" w:eastAsia="zh-CN"/>
        </w:rPr>
        <w:t xml:space="preserve">（2）除非得到甲方的书面同意，乙方不得部分分包给他人供应。</w:t>
      </w:r>
      <w:r/>
    </w:p>
    <w:p>
      <w:pPr>
        <w:ind w:firstLine="480"/>
        <w:jc w:val="left"/>
        <w:keepLines w:val="0"/>
        <w:keepNext w:val="0"/>
        <w:pageBreakBefore w:val="0"/>
        <w:spacing w:line="440" w:lineRule="exact"/>
        <w:widowControl w:val="off"/>
        <w:rPr>
          <w:rFonts w:hint="default" w:ascii="黑体" w:hAnsi="黑体" w:eastAsia="黑体" w:cs="黑体"/>
          <w:color w:val="auto"/>
          <w:sz w:val="24"/>
          <w:szCs w:val="24"/>
          <w:highlight w:val="none"/>
          <w:u w:val="single"/>
          <w:lang w:val="en-US" w:eastAsia="zh-CN"/>
        </w:rPr>
      </w:pPr>
      <w:r>
        <w:rPr>
          <w:rFonts w:hint="eastAsia" w:ascii="黑体" w:hAnsi="黑体" w:eastAsia="黑体" w:cs="黑体"/>
          <w:color w:val="auto"/>
          <w:sz w:val="24"/>
          <w:szCs w:val="24"/>
          <w:highlight w:val="none"/>
          <w:u w:val="single"/>
          <w:lang w:val="en-US" w:eastAsia="zh-CN"/>
        </w:rPr>
        <w:t xml:space="preserve">（3）如有转让和未经甲方同意的分包行为，甲方有权给予终止合同，由此产生的一切损失均由乙方承担。</w:t>
      </w:r>
      <w:r/>
    </w:p>
    <w:p>
      <w:pPr>
        <w:ind w:left="482" w:hanging="482"/>
        <w:jc w:val="left"/>
        <w:pageBreakBefore w:val="0"/>
        <w:spacing w:after="60" w:line="440" w:lineRule="exact"/>
        <w:rPr>
          <w:rFonts w:hint="eastAsia" w:ascii="黑体" w:hAnsi="黑体" w:eastAsia="黑体" w:cs="黑体"/>
          <w:b/>
          <w:bCs/>
          <w:color w:val="auto"/>
          <w:sz w:val="24"/>
          <w:szCs w:val="24"/>
          <w:highlight w:val="none"/>
        </w:rPr>
      </w:pPr>
      <w:r/>
      <w:bookmarkStart w:id="32" w:name="_Toc81879421"/>
      <w:r>
        <w:rPr>
          <w:rFonts w:hint="eastAsia" w:ascii="黑体" w:hAnsi="黑体" w:eastAsia="黑体" w:cs="黑体"/>
          <w:b/>
          <w:bCs/>
          <w:color w:val="auto"/>
          <w:sz w:val="24"/>
          <w:szCs w:val="24"/>
          <w:highlight w:val="none"/>
        </w:rPr>
        <w:t xml:space="preserve">十三.争议解决：</w:t>
      </w:r>
      <w:bookmarkEnd w:id="32"/>
      <w:r/>
      <w:r/>
    </w:p>
    <w:p>
      <w:pPr>
        <w:ind w:firstLine="480"/>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本合同发生争议，由双方协商或调解解决，协商或调解不成时可以向甲方所在地人民法院起诉。</w:t>
      </w:r>
      <w:bookmarkStart w:id="33" w:name="_Toc81879422"/>
      <w:r/>
      <w:r/>
    </w:p>
    <w:p>
      <w:pPr>
        <w:jc w:val="left"/>
        <w:pageBreakBefore w:val="0"/>
        <w:spacing w:after="60" w:line="44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十四.合同构成：</w:t>
      </w:r>
      <w:bookmarkEnd w:id="33"/>
      <w:r/>
      <w:r/>
    </w:p>
    <w:p>
      <w:pPr>
        <w:ind w:firstLine="480"/>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14.1</w:t>
      </w:r>
      <w:r>
        <w:rPr>
          <w:rFonts w:hint="eastAsia" w:ascii="黑体" w:hAnsi="黑体" w:eastAsia="黑体" w:cs="黑体"/>
          <w:color w:val="auto"/>
          <w:sz w:val="24"/>
          <w:szCs w:val="24"/>
          <w:highlight w:val="none"/>
        </w:rPr>
        <w:t xml:space="preserve">下述文件是构成合同不可分割的部分，具有同等的法律效力，应一并阅读和理解。</w:t>
      </w:r>
      <w:r/>
    </w:p>
    <w:p>
      <w:pPr>
        <w:numPr>
          <w:ilvl w:val="0"/>
          <w:numId w:val="9"/>
        </w:num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本合同协议书；</w:t>
      </w:r>
      <w:r/>
    </w:p>
    <w:p>
      <w:pPr>
        <w:numPr>
          <w:ilvl w:val="0"/>
          <w:numId w:val="9"/>
        </w:num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中标通知书；</w:t>
      </w:r>
      <w:r/>
    </w:p>
    <w:p>
      <w:pPr>
        <w:numPr>
          <w:ilvl w:val="0"/>
          <w:numId w:val="9"/>
        </w:num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采购文件及附件；</w:t>
      </w:r>
      <w:r/>
    </w:p>
    <w:p>
      <w:pPr>
        <w:numPr>
          <w:ilvl w:val="0"/>
          <w:numId w:val="9"/>
        </w:num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投标文件及附件；</w:t>
      </w:r>
      <w:r/>
    </w:p>
    <w:p>
      <w:pPr>
        <w:numPr>
          <w:ilvl w:val="0"/>
          <w:numId w:val="9"/>
        </w:num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经双方协商一致达成的补充协议。</w:t>
      </w:r>
      <w:r/>
    </w:p>
    <w:p>
      <w:pPr>
        <w:ind w:firstLine="480"/>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14.2</w:t>
      </w:r>
      <w:r>
        <w:rPr>
          <w:rFonts w:hint="eastAsia" w:ascii="黑体" w:hAnsi="黑体" w:eastAsia="黑体" w:cs="黑体"/>
          <w:color w:val="auto"/>
          <w:sz w:val="24"/>
          <w:szCs w:val="24"/>
          <w:highlight w:val="none"/>
        </w:rPr>
        <w:t xml:space="preserve">上述文件应认为是互为补充和解释的，若有不明确及不一致之处，以上面所列顺序在前及时间在后者为准。</w:t>
      </w:r>
      <w:bookmarkStart w:id="34" w:name="_Toc81879423"/>
      <w:r/>
      <w:r/>
    </w:p>
    <w:p>
      <w:pPr>
        <w:jc w:val="left"/>
        <w:pageBreakBefore w:val="0"/>
        <w:spacing w:after="60" w:line="440" w:lineRule="exact"/>
        <w:tabs>
          <w:tab w:val="left" w:pos="360" w:leader="none"/>
        </w:tabs>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十五.合同数量：</w:t>
      </w:r>
      <w:bookmarkEnd w:id="34"/>
      <w:r/>
      <w:r/>
    </w:p>
    <w:p>
      <w:pPr>
        <w:ind w:firstLine="480"/>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本合同一式五份，具有同等法律效力，甲方、乙方各执二份，采购代理机构一份。</w:t>
      </w:r>
      <w:bookmarkStart w:id="35" w:name="_Toc81879424"/>
      <w:r/>
      <w:r/>
    </w:p>
    <w:p>
      <w:pPr>
        <w:jc w:val="left"/>
        <w:pageBreakBefore w:val="0"/>
        <w:spacing w:after="60" w:line="440" w:lineRule="exact"/>
        <w:tabs>
          <w:tab w:val="left" w:pos="360" w:leader="none"/>
        </w:tabs>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十六.合同未尽事宜：</w:t>
      </w:r>
      <w:bookmarkEnd w:id="35"/>
      <w:r/>
      <w:r/>
    </w:p>
    <w:p>
      <w:pPr>
        <w:jc w:val="left"/>
        <w:pageBreakBefore w:val="0"/>
        <w:spacing w:after="60" w:line="440" w:lineRule="exact"/>
        <w:tabs>
          <w:tab w:val="left" w:pos="3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合同中未尽事宜，甲乙双方应友好协商，按国家有关法律、法规执行。</w:t>
      </w:r>
      <w:r/>
    </w:p>
    <w:p>
      <w:pPr>
        <w:jc w:val="left"/>
        <w:pageBreakBefore w:val="0"/>
        <w:spacing w:after="60" w:line="44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甲方（盖章）：                         乙方（盖章）：</w:t>
      </w:r>
      <w:r/>
    </w:p>
    <w:p>
      <w:pPr>
        <w:jc w:val="left"/>
        <w:pageBreakBefore w:val="0"/>
        <w:spacing w:after="60" w:line="440" w:lineRule="exact"/>
        <w:tabs>
          <w:tab w:val="left" w:pos="4938" w:leader="none"/>
          <w:tab w:val="left" w:pos="5208"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法定代表人（签字或盖章）：             法定代表人（签字或盖章）：                                 </w:t>
      </w:r>
      <w:r/>
    </w:p>
    <w:p>
      <w:p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委托代理人（签字或盖章）：             委托代理人（签字或盖章）：</w:t>
      </w:r>
      <w:r/>
    </w:p>
    <w:p>
      <w:pPr>
        <w:jc w:val="left"/>
        <w:pageBreakBefore w:val="0"/>
        <w:spacing w:after="6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签订日期：                             签订日期：</w:t>
      </w:r>
      <w:r/>
    </w:p>
    <w:p>
      <w:pPr>
        <w:pStyle w:val="874"/>
        <w:ind w:left="420" w:firstLine="198"/>
        <w:jc w:val="left"/>
        <w:keepLines w:val="0"/>
        <w:keepNext w:val="0"/>
        <w:pageBreakBefore w:val="0"/>
        <w:spacing w:line="440" w:lineRule="exact"/>
        <w:widowControl w:val="off"/>
        <w:rPr>
          <w:rFonts w:hint="eastAsia"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bidi="ar"/>
        </w:rPr>
        <w:t xml:space="preserve">注释：本合同样本中的条款仅作为双方签订合同的参考，为阐明各方的权利和义务，经协商可增加新的条款。但不得与磋商文件、成交供应商响应文件的实质性内容相背离。</w:t>
      </w:r>
      <w:r/>
    </w:p>
    <w:p>
      <w:pPr>
        <w:pStyle w:val="949"/>
        <w:ind w:left="0" w:firstLine="241"/>
        <w:jc w:val="left"/>
        <w:pageBreakBefore w:val="0"/>
        <w:spacing w:line="440" w:lineRule="exact"/>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附件：相关考评标准（本招标文件后附）</w:t>
      </w:r>
      <w:r/>
    </w:p>
    <w:p>
      <w:pPr>
        <w:numPr>
          <w:ilvl w:val="0"/>
          <w:numId w:val="0"/>
        </w:numPr>
        <w:jc w:val="left"/>
        <w:keepLines w:val="0"/>
        <w:keepNext w:val="0"/>
        <w:pageBreakBefore w:val="0"/>
        <w:spacing w:line="44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lang w:val="en-US" w:eastAsia="zh-CN"/>
        </w:rPr>
        <w:t xml:space="preserve">1、</w:t>
      </w:r>
      <w:r>
        <w:rPr>
          <w:rFonts w:hint="eastAsia" w:ascii="黑体" w:hAnsi="黑体" w:eastAsia="黑体" w:cs="黑体"/>
          <w:b w:val="0"/>
          <w:bCs/>
          <w:color w:val="auto"/>
          <w:sz w:val="24"/>
          <w:szCs w:val="24"/>
          <w:highlight w:val="none"/>
        </w:rPr>
        <w:t xml:space="preserve">（通开发残【2018】1号）南通开发区“残疾人之家”建设实施方案（试行）</w:t>
      </w:r>
      <w:r/>
    </w:p>
    <w:p>
      <w:pPr>
        <w:numPr>
          <w:ilvl w:val="0"/>
          <w:numId w:val="0"/>
        </w:numPr>
        <w:jc w:val="left"/>
        <w:keepLines w:val="0"/>
        <w:keepNext w:val="0"/>
        <w:pageBreakBefore w:val="0"/>
        <w:spacing w:line="440" w:lineRule="exact"/>
        <w:widowControl w:val="off"/>
        <w:rPr>
          <w:rFonts w:hint="eastAsia" w:ascii="黑体" w:hAnsi="黑体" w:eastAsia="黑体" w:cs="黑体"/>
          <w:b w:val="0"/>
          <w:bCs/>
          <w:color w:val="auto"/>
          <w:sz w:val="24"/>
          <w:szCs w:val="24"/>
          <w:highlight w:val="none"/>
          <w:lang w:val="en-US" w:eastAsia="zh-CN"/>
        </w:rPr>
      </w:pPr>
      <w:r>
        <w:rPr>
          <w:rFonts w:hint="eastAsia" w:ascii="黑体" w:hAnsi="黑体" w:eastAsia="黑体" w:cs="黑体"/>
          <w:b w:val="0"/>
          <w:bCs/>
          <w:color w:val="auto"/>
          <w:sz w:val="24"/>
          <w:szCs w:val="24"/>
          <w:highlight w:val="none"/>
          <w:lang w:val="en-US" w:eastAsia="zh-CN"/>
        </w:rPr>
        <w:t xml:space="preserve">2、</w:t>
      </w:r>
      <w:r>
        <w:rPr>
          <w:rFonts w:hint="eastAsia" w:ascii="黑体" w:hAnsi="黑体" w:eastAsia="黑体" w:cs="黑体"/>
          <w:b w:val="0"/>
          <w:bCs/>
          <w:color w:val="auto"/>
          <w:sz w:val="24"/>
          <w:szCs w:val="24"/>
          <w:highlight w:val="none"/>
        </w:rPr>
        <w:t xml:space="preserve">（通开发民政〔2023〕4号）关于印发《南通市经济技术开发区居家养老服务中心（站）工作考评办法》的通知</w:t>
      </w:r>
      <w:r/>
    </w:p>
    <w:p>
      <w:pPr>
        <w:pStyle w:val="949"/>
        <w:ind w:left="0" w:firstLine="0"/>
        <w:jc w:val="left"/>
        <w:keepLines w:val="0"/>
        <w:keepNext w:val="0"/>
        <w:pageBreakBefore w:val="0"/>
        <w:spacing w:line="44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lang w:val="en-US" w:eastAsia="zh-CN"/>
        </w:rPr>
        <w:t xml:space="preserve">3、</w:t>
      </w:r>
      <w:r>
        <w:rPr>
          <w:rFonts w:hint="eastAsia" w:ascii="黑体" w:hAnsi="黑体" w:eastAsia="黑体" w:cs="黑体"/>
          <w:b w:val="0"/>
          <w:bCs/>
          <w:color w:val="auto"/>
          <w:sz w:val="24"/>
          <w:szCs w:val="24"/>
          <w:highlight w:val="none"/>
        </w:rPr>
        <w:t xml:space="preserve">新开街道居家和社区养老政府购买服务考核办法（通新街办[2023]76号）</w:t>
      </w:r>
      <w:r/>
    </w:p>
    <w:p>
      <w:pPr>
        <w:numPr>
          <w:ilvl w:val="0"/>
          <w:numId w:val="0"/>
        </w:numPr>
        <w:jc w:val="left"/>
        <w:keepLines w:val="0"/>
        <w:keepNext w:val="0"/>
        <w:pageBreakBefore w:val="0"/>
        <w:spacing w:line="440" w:lineRule="exact"/>
        <w:widowControl w:val="off"/>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lang w:val="en-US" w:eastAsia="zh-CN"/>
        </w:rPr>
        <w:t xml:space="preserve">4、通民发〔2018〕94号关于印发《南通市居家和社区基本养老服务项目清单》的通知</w:t>
      </w:r>
      <w:r/>
    </w:p>
    <w:p>
      <w:pPr>
        <w:jc w:val="left"/>
        <w:keepLines w:val="0"/>
        <w:keepNext w:val="0"/>
        <w:pageBreakBefore w:val="0"/>
        <w:spacing w:line="440" w:lineRule="exact"/>
        <w:widowControl w:val="off"/>
        <w:rPr>
          <w:rFonts w:hint="eastAsia" w:ascii="黑体" w:hAnsi="黑体" w:eastAsia="黑体" w:cs="黑体"/>
          <w:b w:val="0"/>
          <w:bCs/>
          <w:color w:val="auto"/>
          <w:sz w:val="24"/>
          <w:szCs w:val="24"/>
          <w:highlight w:val="none"/>
          <w:lang w:val="en-US" w:eastAsia="zh-CN"/>
        </w:rPr>
      </w:pPr>
      <w:r>
        <w:rPr>
          <w:rFonts w:hint="eastAsia" w:ascii="黑体" w:hAnsi="黑体" w:eastAsia="黑体" w:cs="黑体"/>
          <w:b w:val="0"/>
          <w:bCs/>
          <w:color w:val="auto"/>
          <w:sz w:val="24"/>
          <w:szCs w:val="24"/>
          <w:highlight w:val="none"/>
          <w:lang w:val="en-US" w:eastAsia="zh-CN"/>
        </w:rPr>
        <w:t xml:space="preserve">5、考评细则详见如下：</w:t>
      </w:r>
      <w:r/>
    </w:p>
    <w:p>
      <w:pPr>
        <w:jc w:val="left"/>
        <w:pageBreakBefore w:val="0"/>
        <w:spacing w:line="44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br w:type="page" w:clear="all"/>
      </w:r>
      <w:r/>
    </w:p>
    <w:tbl>
      <w:tblPr>
        <w:tblStyle w:val="87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19"/>
        <w:gridCol w:w="542"/>
        <w:gridCol w:w="542"/>
        <w:gridCol w:w="3926"/>
        <w:gridCol w:w="546"/>
        <w:gridCol w:w="1722"/>
        <w:gridCol w:w="725"/>
      </w:tblGrid>
      <w:tr>
        <w:trPr>
          <w:trHeight w:val="51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36"/>
                <w:szCs w:val="36"/>
                <w:u w:val="none"/>
              </w:rPr>
              <w:suppressLineNumbers w:val="0"/>
            </w:pPr>
            <w:r>
              <w:rPr>
                <w:rFonts w:hint="eastAsia" w:ascii="黑体" w:hAnsi="黑体" w:eastAsia="黑体" w:cs="黑体"/>
                <w:i w:val="0"/>
                <w:iCs w:val="0"/>
                <w:color w:val="auto"/>
                <w:sz w:val="36"/>
                <w:szCs w:val="36"/>
                <w:u w:val="none"/>
                <w:lang w:val="en-US" w:eastAsia="zh-CN" w:bidi="ar"/>
              </w:rPr>
              <w:t xml:space="preserve">南通市经济技术开发区社区居家养老服务站工作考评细则</w:t>
            </w:r>
            <w:r/>
          </w:p>
        </w:tc>
      </w:tr>
      <w:tr>
        <w:trPr>
          <w:trHeight w:val="555"/>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8"/>
                <w:szCs w:val="28"/>
                <w:u w:val="none"/>
              </w:rPr>
              <w:suppressLineNumbers w:val="0"/>
            </w:pPr>
            <w:r>
              <w:rPr>
                <w:rFonts w:hint="eastAsia" w:ascii="黑体" w:hAnsi="黑体" w:eastAsia="黑体" w:cs="黑体"/>
                <w:i w:val="0"/>
                <w:iCs w:val="0"/>
                <w:color w:val="auto"/>
                <w:sz w:val="28"/>
                <w:szCs w:val="28"/>
                <w:u w:val="none"/>
                <w:lang w:val="en-US" w:eastAsia="zh-CN" w:bidi="ar"/>
              </w:rPr>
              <w:t xml:space="preserve">被考评单位：                              考评日期：     年    月    日</w:t>
            </w:r>
            <w:r/>
          </w:p>
        </w:tc>
      </w:tr>
      <w:tr>
        <w:trPr>
          <w:trHeight w:val="495"/>
        </w:trPr>
        <w:tc>
          <w:tcPr>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评分细则</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考核分</w:t>
            </w:r>
            <w:r/>
          </w:p>
        </w:tc>
      </w:tr>
      <w:tr>
        <w:trPr>
          <w:trHeight w:val="945"/>
        </w:trPr>
        <w:tc>
          <w:tcPr>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设</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施</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建</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设</w:t>
            </w:r>
            <w:r/>
          </w:p>
        </w:tc>
        <w:tc>
          <w:tcPr>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服务场所</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根据社区标准化要求建设，一般设置在社区公共服务中心内，面积不少于200平方米，可与社区文体娱乐、医疗卫生等功能设施共建共享。</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面积未达要求，扣5分；未与相关功能设施共建共享扣5分。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服务区域整洁卫生、管理规范有序</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达到要求得满分，部分达到酌情扣分。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72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设施配备</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服务接待：办公桌椅、电话、档案柜、文件柜、计算机等</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75"/>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助餐配餐：餐桌、餐椅、餐食的保鲜保温设施、洗涤池、消毒柜</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日间照料：托老休息设施（床或躺椅）不少于10张，老年人午休所需的基本生活用具，如毛毯、痰盂、废纸篓等</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文体活动：①图书阅览：桌椅、书架、书籍、报刊、杂志；②棋牌活动：棋牌桌椅；③健身活动：配置不同功能的康复健身器具</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未达基本要求，一项扣2分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健康管理：办公设备、常规医疗器具（如：血压计、体温表、血氧仪等）</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安全管理</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配备相应的消防器材，定期巡检；安全出口、疏散通道保持畅通；安全疏散指示标志完好。</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未达基本要求，一项扣2分。发生安全事故的不得分。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运</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营</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管</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理</w:t>
            </w:r>
            <w:r/>
          </w:p>
        </w:tc>
        <w:tc>
          <w:tcPr>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开展</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掌握服务范围内的老年人基本信息，政府购买服务对象档案完整</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未达基本要求，一项扣2分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宣传相关居家养老服务政策</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未开展宣传活动，不得分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9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为老年人提供助餐配餐、日间照料、健康管理、文体娱乐、应急服务以及居家上门服务等</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每天开放时间不少于8小时</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完成区民政局、街道办事处交办的工作任务。</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未完成交办任务，不得分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制度建立</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建有管理制度、岗位职责、服务流程、服务项目、收费标准、服务记录等台帐资料。运营补贴资金使用规范，实行专款专用。</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人员配备</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至少配备1名专职管理人员</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未达基本要求，不得分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45"/>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none" w:color="000000" w:sz="4" w:space="0"/>
            </w:tcBorders>
            <w:tcW w:w="32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成效</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日均享受服务老年人数占服务范围内老年人数的比例不小于0.5%。</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未达基本要求，每低1个百分点扣1分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non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老年人服务满意率达90%以上</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未达要求，每低1个百分点扣1分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none" w:color="000000" w:sz="4" w:space="0"/>
            </w:tcBorders>
            <w:tcW w:w="32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居家养老服务年度审计情况</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有一项整改的扣1分</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55"/>
        </w:trPr>
        <w:tc>
          <w:tcPr>
            <w:gridSpan w:val="4"/>
            <w:tcBorders>
              <w:top w:val="single" w:color="000000" w:sz="4" w:space="0"/>
              <w:left w:val="single" w:color="000000" w:sz="4" w:space="0"/>
              <w:bottom w:val="single" w:color="000000" w:sz="4" w:space="0"/>
              <w:right w:val="single" w:color="000000" w:sz="4" w:space="0"/>
            </w:tcBorders>
            <w:tcW w:w="325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55"/>
        </w:trPr>
        <w:tc>
          <w:tcPr>
            <w:gridSpan w:val="7"/>
            <w:tcBorders>
              <w:top w:val="singl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4"/>
                <w:szCs w:val="24"/>
                <w:u w:val="none"/>
              </w:rPr>
              <w:suppressLineNumbers w:val="0"/>
            </w:pPr>
            <w:r>
              <w:rPr>
                <w:rFonts w:hint="eastAsia" w:ascii="黑体" w:hAnsi="黑体" w:eastAsia="黑体" w:cs="黑体"/>
                <w:b/>
                <w:bCs/>
                <w:i w:val="0"/>
                <w:iCs w:val="0"/>
                <w:color w:val="auto"/>
                <w:sz w:val="24"/>
                <w:szCs w:val="24"/>
                <w:u w:val="none"/>
                <w:lang w:val="en-US" w:eastAsia="zh-CN" w:bidi="ar"/>
              </w:rPr>
              <w:t xml:space="preserve">考核人员签字：                               被考核单位人员签字： </w:t>
            </w:r>
            <w:r/>
          </w:p>
        </w:tc>
      </w:tr>
    </w:tbl>
    <w:p>
      <w:pPr>
        <w:jc w:val="left"/>
        <w:pageBreakBefore w:val="0"/>
        <w:spacing w:line="44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32"/>
          <w:szCs w:val="32"/>
          <w:highlight w:val="none"/>
        </w:rPr>
        <w:br w:type="page" w:clear="all"/>
      </w:r>
      <w:r/>
    </w:p>
    <w:tbl>
      <w:tblPr>
        <w:tblStyle w:val="87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41"/>
        <w:gridCol w:w="685"/>
        <w:gridCol w:w="437"/>
        <w:gridCol w:w="4554"/>
        <w:gridCol w:w="546"/>
        <w:gridCol w:w="1142"/>
        <w:gridCol w:w="617"/>
      </w:tblGrid>
      <w:tr>
        <w:trPr>
          <w:trHeight w:val="57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40"/>
                <w:szCs w:val="40"/>
                <w:u w:val="none"/>
              </w:rPr>
              <w:suppressLineNumbers w:val="0"/>
            </w:pPr>
            <w:r>
              <w:rPr>
                <w:rFonts w:hint="eastAsia" w:ascii="黑体" w:hAnsi="黑体" w:eastAsia="黑体" w:cs="黑体"/>
                <w:i w:val="0"/>
                <w:iCs w:val="0"/>
                <w:color w:val="auto"/>
                <w:sz w:val="40"/>
                <w:szCs w:val="40"/>
                <w:u w:val="none"/>
                <w:lang w:val="en-US" w:eastAsia="zh-CN" w:bidi="ar"/>
              </w:rPr>
              <w:t xml:space="preserve">南通市经济技术开发区街道居家养老服务中心工作考评细则</w:t>
            </w:r>
            <w:r/>
          </w:p>
        </w:tc>
      </w:tr>
      <w:tr>
        <w:trPr>
          <w:trHeight w:val="495"/>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8"/>
                <w:szCs w:val="28"/>
                <w:u w:val="none"/>
              </w:rPr>
              <w:suppressLineNumbers w:val="0"/>
            </w:pPr>
            <w:r>
              <w:rPr>
                <w:rFonts w:hint="eastAsia" w:ascii="黑体" w:hAnsi="黑体" w:eastAsia="黑体" w:cs="黑体"/>
                <w:i w:val="0"/>
                <w:iCs w:val="0"/>
                <w:color w:val="auto"/>
                <w:sz w:val="28"/>
                <w:szCs w:val="28"/>
                <w:u w:val="none"/>
                <w:lang w:val="en-US" w:eastAsia="zh-CN" w:bidi="ar"/>
              </w:rPr>
              <w:t xml:space="preserve">被考评单位：                                                         考评日期：     年    月    日</w:t>
            </w:r>
            <w:r/>
          </w:p>
        </w:tc>
      </w:tr>
      <w:tr>
        <w:trPr>
          <w:trHeight w:val="48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考核内容</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评分细则</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2"/>
                <w:szCs w:val="22"/>
                <w:u w:val="none"/>
              </w:rPr>
              <w:suppressLineNumbers w:val="0"/>
            </w:pPr>
            <w:r>
              <w:rPr>
                <w:rFonts w:hint="eastAsia" w:ascii="黑体" w:hAnsi="黑体" w:eastAsia="黑体" w:cs="黑体"/>
                <w:b/>
                <w:bCs/>
                <w:i w:val="0"/>
                <w:iCs w:val="0"/>
                <w:color w:val="auto"/>
                <w:sz w:val="22"/>
                <w:szCs w:val="22"/>
                <w:u w:val="none"/>
                <w:lang w:val="en-US" w:eastAsia="zh-CN" w:bidi="ar"/>
              </w:rPr>
              <w:t xml:space="preserve">考核分</w:t>
            </w:r>
            <w:r/>
          </w:p>
        </w:tc>
      </w:tr>
      <w:tr>
        <w:trPr>
          <w:trHeight w:val="1080"/>
        </w:trPr>
        <w:tc>
          <w:tcPr>
            <w:tcBorders>
              <w:top w:val="single" w:color="000000" w:sz="4" w:space="0"/>
              <w:left w:val="single" w:color="000000" w:sz="4" w:space="0"/>
              <w:bottom w:val="single" w:color="000000" w:sz="4" w:space="0"/>
              <w:right w:val="single" w:color="000000" w:sz="4" w:space="0"/>
            </w:tcBorders>
            <w:tcW w:w="33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设</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施</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建</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设</w:t>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服务场所</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使用面积要不少于500平方米，其中生活服务用房180平方米（含休息室、沭浴间、餐厅）、保健康复用房100平方米（含医疗保健室、康复训练室、心理疏导室）、娱乐用房80平方米（含阅览及书画室、网络室、多功能活动室）、辅助用房140平方米（含办公室、洗衣房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未达要求，一项扣2分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4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服务区域整洁卫生、管理规范有序</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达到要求得满分，部分达到酌情扣分。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设施配备</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服务接待：办公桌椅、电话、档案柜、文件柜、计算机等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助餐配餐：餐桌、餐椅、餐食的保鲜保温设施、洗涤池、消毒柜等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日间照料：托老休息设施（床或躺椅）不少于10张，老年人午休所需的基本生活用具，如毛毯、痰盂、废纸篓等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文体活动：①图书阅览：桌椅、书架、书籍、报刊、杂志；②棋牌活动：棋牌桌椅；③健身活动：配置不同功能的康复健身器具</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健康管理：办公设备、常规医疗器具（如：血压计、体温表、血氧仪等）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沐浴室：配置淋浴器、淋浴椅、防滑垫、呼叫按钮、排气扇</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保健康复室：配置理疗床、康复器材等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老年课堂：整合辖区教育资源，方便老年人就近学习</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未达要求，不得分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精神关爱：配置心理沙盘、心理宣泄工具</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中央厨房建设符合消防、食品卫生等相关要求，食品经营许可证、从业人员健康证等各项证照齐全、在有效期内且公示于醒目处。建立食品安全索证索要制度，卫生消毒制度，食品留样等制度，厨师持证上岗。</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未达基本要求，一项扣0.5分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安全管理</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中央厨房安装燃气泄露报警及自动关闭装置</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未达基本要求，一项扣0.5分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特种设备定期维保及检验</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未达要求，不得分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配备相应的消防器材，定期巡检；安全出口、疏散通道保持畅通；安全疏散指示标志完好。配有与服务功能相适应的无障碍设施和技防、照明、防滑、紧急呼叫、卫生消毒等安全防护措施。</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未达基本要求，一项扣1分。发生安全事故的不得分。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运</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营</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管</w:t>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br/>
            </w:r>
            <w:r>
              <w:rPr>
                <w:rFonts w:hint="eastAsia" w:ascii="黑体" w:hAnsi="黑体" w:eastAsia="黑体" w:cs="黑体"/>
                <w:i w:val="0"/>
                <w:iCs w:val="0"/>
                <w:color w:val="auto"/>
                <w:sz w:val="22"/>
                <w:szCs w:val="22"/>
                <w:u w:val="none"/>
                <w:lang w:val="en-US" w:eastAsia="zh-CN" w:bidi="ar"/>
              </w:rPr>
              <w:t xml:space="preserve">理</w:t>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服务开展</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掌握服务范围内的老年人基本信息，政府购买服务对象档案完整</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宣传相关居家养老服务政策</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未开展宣传活动，不得分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2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面向家庭成员普及照料失能、失智等老年人护理知识和技能的免费培训</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未开展免费培训，不得分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为老年人提供助餐配餐、日间照料、健康管理、文体娱乐、保健康复、教育培训、应急服务、应急救援、精神慰藉以及居家上门服务等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未达基本要求，一项扣0.5分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每天开放时间不少于8小时</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完成区民政局、街道办事处交办的工作任务。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未完成交办任务，不得分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制度建立</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建有管理制度、岗位职责、服务流程、服务项目、收费标准、服务记录等台帐资料。运营补贴资金使用规范，实行专款专用。</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未达基本要求，一项扣1分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人员配备</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至少配备2名专职管理人员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未达基本要求，每少1人扣2分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服务成效</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日均享受服务老年人数占服务范围内老年人数的比例不小于0.5%。</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未达基本要求，每低1个百分点扣1分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1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信访投诉（12345、啄木鸟等）</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有效投诉有一次扣1分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政府购买居家养老服务准确情况</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服务对象未及时停发导致多享受服务补贴的情况有一次扣1分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老年人服务满意率达90%以上</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未达基本要求，每低1个百分点扣1分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55"/>
        </w:trPr>
        <w:tc>
          <w:tcPr>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居家养老服务年度审计情况</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有一项整改的扣1分</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480"/>
        </w:trPr>
        <w:tc>
          <w:tcPr>
            <w:gridSpan w:val="4"/>
            <w:tcBorders>
              <w:top w:val="single" w:color="000000" w:sz="4" w:space="0"/>
              <w:left w:val="single" w:color="000000" w:sz="4" w:space="0"/>
              <w:bottom w:val="single" w:color="000000" w:sz="4" w:space="0"/>
              <w:right w:val="single" w:color="000000" w:sz="4" w:space="0"/>
            </w:tcBorders>
            <w:tcW w:w="3664"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i w:val="0"/>
                <w:iCs w:val="0"/>
                <w:color w:val="auto"/>
                <w:sz w:val="22"/>
                <w:szCs w:val="22"/>
                <w:u w:val="none"/>
              </w:rPr>
              <w:suppressLineNumbers w:val="0"/>
            </w:pPr>
            <w:r>
              <w:rPr>
                <w:rFonts w:hint="eastAsia" w:ascii="黑体" w:hAnsi="黑体" w:eastAsia="黑体" w:cs="黑体"/>
                <w:i w:val="0"/>
                <w:iCs w:val="0"/>
                <w:color w:val="auto"/>
                <w:sz w:val="22"/>
                <w:szCs w:val="22"/>
                <w:u w:val="none"/>
              </w:rPr>
            </w:r>
            <w:r/>
          </w:p>
        </w:tc>
      </w:tr>
      <w:tr>
        <w:trPr>
          <w:trHeight w:val="585"/>
        </w:trPr>
        <w:tc>
          <w:tcPr>
            <w:gridSpan w:val="7"/>
            <w:tcBorders>
              <w:top w:val="singl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440" w:lineRule="exact"/>
              <w:widowControl/>
              <w:rPr>
                <w:rFonts w:hint="eastAsia" w:ascii="黑体" w:hAnsi="黑体" w:eastAsia="黑体" w:cs="黑体"/>
                <w:b/>
                <w:bCs/>
                <w:i w:val="0"/>
                <w:iCs w:val="0"/>
                <w:color w:val="auto"/>
                <w:sz w:val="24"/>
                <w:szCs w:val="24"/>
                <w:u w:val="none"/>
              </w:rPr>
              <w:suppressLineNumbers w:val="0"/>
            </w:pPr>
            <w:r>
              <w:rPr>
                <w:rFonts w:hint="eastAsia" w:ascii="黑体" w:hAnsi="黑体" w:eastAsia="黑体" w:cs="黑体"/>
                <w:b/>
                <w:bCs/>
                <w:i w:val="0"/>
                <w:iCs w:val="0"/>
                <w:color w:val="auto"/>
                <w:sz w:val="24"/>
                <w:szCs w:val="24"/>
                <w:u w:val="none"/>
                <w:lang w:val="en-US" w:eastAsia="zh-CN" w:bidi="ar"/>
              </w:rPr>
              <w:t xml:space="preserve">考核人员签字：                                                             被考评单位人员签字： </w:t>
            </w:r>
            <w:r/>
          </w:p>
        </w:tc>
      </w:tr>
    </w:tbl>
    <w:p>
      <w:pPr>
        <w:jc w:val="left"/>
        <w:pageBreakBefore w:val="0"/>
        <w:spacing w:line="44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r>
      <w:r/>
    </w:p>
    <w:p>
      <w:pPr>
        <w:jc w:val="center"/>
        <w:spacing w:line="570" w:lineRule="exact"/>
        <w:rPr>
          <w:rFonts w:hint="eastAsia" w:ascii="黑体" w:hAnsi="黑体" w:eastAsia="黑体" w:cs="黑体"/>
          <w:color w:val="auto"/>
          <w:sz w:val="44"/>
          <w:szCs w:val="44"/>
        </w:rPr>
      </w:pPr>
      <w:r>
        <w:rPr>
          <w:rFonts w:hint="eastAsia" w:ascii="黑体" w:hAnsi="黑体" w:eastAsia="黑体" w:cs="黑体"/>
          <w:i w:val="0"/>
          <w:iCs w:val="0"/>
          <w:color w:val="auto"/>
          <w:sz w:val="36"/>
          <w:szCs w:val="36"/>
          <w:u w:val="none"/>
          <w:lang w:val="en-US" w:eastAsia="zh-CN" w:bidi="ar"/>
        </w:rPr>
        <w:br w:type="page" w:clear="all"/>
      </w:r>
      <w:r>
        <w:rPr>
          <w:rFonts w:hint="eastAsia" w:ascii="黑体" w:hAnsi="黑体" w:eastAsia="黑体" w:cs="黑体"/>
          <w:b/>
          <w:bCs w:val="0"/>
          <w:color w:val="auto"/>
          <w:sz w:val="36"/>
          <w:szCs w:val="36"/>
          <w:highlight w:val="none"/>
          <w:lang w:val="en-US" w:eastAsia="zh-CN" w:bidi="ar"/>
        </w:rPr>
        <w:t xml:space="preserve"> </w:t>
      </w:r>
      <w:r>
        <w:rPr>
          <w:rFonts w:hint="eastAsia" w:ascii="黑体" w:hAnsi="黑体" w:eastAsia="黑体" w:cs="黑体"/>
          <w:color w:val="auto"/>
          <w:sz w:val="44"/>
          <w:szCs w:val="44"/>
        </w:rPr>
        <w:t xml:space="preserve">新开街道居家养老第三方服务考核评分表</w:t>
      </w:r>
      <w:r/>
    </w:p>
    <w:p>
      <w:pPr>
        <w:ind w:right="720"/>
        <w:jc w:val="both"/>
        <w:spacing w:line="360" w:lineRule="exact"/>
        <w:rPr>
          <w:rFonts w:hint="eastAsia" w:ascii="黑体" w:hAnsi="黑体" w:eastAsia="黑体" w:cs="黑体"/>
          <w:b/>
          <w:bCs/>
          <w:color w:val="auto"/>
          <w:sz w:val="24"/>
          <w:szCs w:val="24"/>
        </w:rPr>
      </w:pPr>
      <w:r>
        <w:rPr>
          <w:rFonts w:hint="eastAsia" w:ascii="黑体" w:hAnsi="黑体" w:eastAsia="黑体" w:cs="黑体"/>
          <w:b/>
          <w:bCs/>
          <w:color w:val="auto"/>
          <w:sz w:val="24"/>
          <w:szCs w:val="24"/>
        </w:rPr>
        <w:t xml:space="preserve">考核季度：      </w:t>
      </w:r>
      <w:r>
        <w:rPr>
          <w:rFonts w:hint="eastAsia" w:ascii="黑体" w:hAnsi="黑体" w:eastAsia="黑体" w:cs="黑体"/>
          <w:b/>
          <w:bCs/>
          <w:color w:val="auto"/>
          <w:sz w:val="24"/>
          <w:szCs w:val="24"/>
          <w:lang w:val="en-US" w:eastAsia="zh-CN"/>
        </w:rPr>
        <w:t xml:space="preserve">                        </w:t>
      </w:r>
      <w:r>
        <w:rPr>
          <w:rFonts w:hint="eastAsia" w:ascii="黑体" w:hAnsi="黑体" w:eastAsia="黑体" w:cs="黑体"/>
          <w:b/>
          <w:bCs/>
          <w:color w:val="auto"/>
          <w:sz w:val="24"/>
          <w:szCs w:val="24"/>
        </w:rPr>
        <w:t xml:space="preserve">年第 </w:t>
      </w:r>
      <w:r>
        <w:rPr>
          <w:rFonts w:hint="eastAsia" w:ascii="黑体" w:hAnsi="黑体" w:eastAsia="黑体" w:cs="黑体"/>
          <w:b/>
          <w:bCs/>
          <w:color w:val="auto"/>
          <w:sz w:val="24"/>
          <w:szCs w:val="24"/>
          <w:lang w:val="en-US" w:eastAsia="zh-CN"/>
        </w:rPr>
        <w:t xml:space="preserve"> </w:t>
      </w:r>
      <w:r>
        <w:rPr>
          <w:rFonts w:hint="eastAsia" w:ascii="黑体" w:hAnsi="黑体" w:eastAsia="黑体" w:cs="黑体"/>
          <w:b/>
          <w:bCs/>
          <w:color w:val="auto"/>
          <w:sz w:val="24"/>
          <w:szCs w:val="24"/>
        </w:rPr>
        <w:t xml:space="preserve">  季度                                                            考核日期：   月   日</w:t>
      </w:r>
      <w:r/>
    </w:p>
    <w:tbl>
      <w:tblPr>
        <w:tblStyle w:val="872"/>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1"/>
        <w:gridCol w:w="1394"/>
        <w:gridCol w:w="4763"/>
        <w:gridCol w:w="752"/>
        <w:gridCol w:w="84"/>
        <w:gridCol w:w="667"/>
        <w:gridCol w:w="752"/>
        <w:gridCol w:w="9"/>
      </w:tblGrid>
      <w:tr>
        <w:trPr>
          <w:gridAfter w:val="1"/>
          <w:trHeight w:val="405"/>
        </w:trPr>
        <w:tc>
          <w:tcPr>
            <w:gridSpan w:val="2"/>
            <w:tcBorders>
              <w:top w:val="single" w:color="auto"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项    目</w:t>
            </w:r>
            <w:r/>
          </w:p>
        </w:tc>
        <w:tc>
          <w:tcPr>
            <w:tcBorders>
              <w:top w:val="single" w:color="auto" w:sz="4" w:space="0"/>
              <w:left w:val="none" w:color="000000" w:sz="4" w:space="0"/>
              <w:bottom w:val="single" w:color="auto" w:sz="4" w:space="0"/>
              <w:right w:val="single" w:color="auto" w:sz="4" w:space="0"/>
            </w:tcBorders>
            <w:tcW w:w="306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细    则</w:t>
            </w:r>
            <w:r/>
          </w:p>
        </w:tc>
        <w:tc>
          <w:tcPr>
            <w:tcBorders>
              <w:top w:val="single" w:color="auto"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分 值</w:t>
            </w:r>
            <w:r/>
          </w:p>
        </w:tc>
        <w:tc>
          <w:tcPr>
            <w:gridSpan w:val="2"/>
            <w:tcBorders>
              <w:top w:val="single" w:color="auto"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得 分</w:t>
            </w:r>
            <w:r/>
          </w:p>
        </w:tc>
        <w:tc>
          <w:tcPr>
            <w:tcBorders>
              <w:top w:val="single" w:color="auto" w:sz="4" w:space="0"/>
              <w:left w:val="none" w:color="000000" w:sz="4" w:space="0"/>
              <w:bottom w:val="single" w:color="auto" w:sz="4" w:space="0"/>
              <w:right w:val="single" w:color="auto" w:sz="4" w:space="0"/>
            </w:tcBorders>
            <w:tcW w:w="613"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备 注</w:t>
            </w:r>
            <w:r/>
          </w:p>
        </w:tc>
      </w:tr>
      <w:tr>
        <w:trPr>
          <w:gridAfter w:val="1"/>
          <w:trHeight w:val="553"/>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队伍保障</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按要求配备站点管理人员，人员相对稳定，向街道报备管理人员合同、向街道报告管理人员变动，提供人员月考勤表。工作人员礼貌、热情、富有爱心。</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52"/>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站点运营</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根据《居家养老服务站运营情况抽查记录表》计算平均分。</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17"/>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服务满意度</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根据《居家养老回访记录表》“总体评价”计算平均分。</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23"/>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助餐服务</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根据《居家养老助餐服务抽查记录表》计算平均分。</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服务工单</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服务记录真实，派工合理、领取人签字记录清晰，无遗漏。数据准确，及时剔除不合理的派工记录。</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lang w:val="en-US" w:eastAsia="zh-CN"/>
              </w:rPr>
              <w:suppressLineNumbers w:val="0"/>
            </w:pPr>
            <w:r>
              <w:rPr>
                <w:rFonts w:hint="eastAsia" w:ascii="黑体" w:hAnsi="黑体" w:eastAsia="黑体" w:cs="黑体"/>
                <w:color w:val="auto"/>
                <w:sz w:val="24"/>
                <w:szCs w:val="24"/>
              </w:rPr>
              <w:t xml:space="preserve">厨房</w:t>
            </w:r>
            <w:r>
              <w:rPr>
                <w:rFonts w:hint="eastAsia" w:ascii="黑体" w:hAnsi="黑体" w:eastAsia="黑体" w:cs="黑体"/>
                <w:color w:val="auto"/>
                <w:sz w:val="24"/>
                <w:szCs w:val="24"/>
                <w:lang w:val="en-US" w:eastAsia="zh-CN"/>
              </w:rPr>
              <w:t xml:space="preserve">或备餐间</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根据《厨房抽查记录表》计算平均分（占7分）。按月提供食品检验检疫材料、厨房消杀记录、进出库单等台账资料（占3分）。</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92"/>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活动开展</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按计划开展居家养老活动，活动内容丰富，达到相应场次。</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活动台账</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活动有完整的文字记录，包括活动申请表、活动方案、活动签到表、活动现场照片、实际费用明细、活动总结和活动验收单等资料齐全，并整理成档。</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11"/>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投诉处置</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根据投诉数量扣减分值，所有投诉能及时有效进行处置。</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402"/>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其    他</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及时完成其他交办事项，沟通顺畅。</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10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r>
        <w:trPr>
          <w:gridAfter w:val="1"/>
          <w:trHeight w:val="690"/>
        </w:trPr>
        <w:tc>
          <w:tcPr>
            <w:gridSpan w:val="2"/>
            <w:tcBorders>
              <w:top w:val="none" w:color="000000" w:sz="4" w:space="0"/>
              <w:left w:val="single" w:color="auto" w:sz="4" w:space="0"/>
              <w:bottom w:val="single" w:color="auto" w:sz="4" w:space="0"/>
              <w:right w:val="single" w:color="auto" w:sz="4" w:space="0"/>
            </w:tcBorders>
            <w:tcW w:w="562"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总   分</w:t>
            </w:r>
            <w:r/>
          </w:p>
        </w:tc>
        <w:tc>
          <w:tcPr>
            <w:tcBorders>
              <w:top w:val="none" w:color="000000" w:sz="4" w:space="0"/>
              <w:left w:val="none" w:color="000000" w:sz="4" w:space="0"/>
              <w:bottom w:val="single" w:color="auto" w:sz="4" w:space="0"/>
              <w:right w:val="single" w:color="auto" w:sz="4" w:space="0"/>
            </w:tcBorders>
            <w:tcW w:w="3068" w:type="pct"/>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考核总得分 95分（含）以上为“优秀”，总得分 90-95分（不含）为“合格”，总得分80-90分（不含）为“基本合格”，80分以下的为“不合格”。</w:t>
            </w:r>
            <w:r/>
          </w:p>
        </w:tc>
        <w:tc>
          <w:tcPr>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t xml:space="preserve">100</w:t>
            </w:r>
            <w:r/>
          </w:p>
        </w:tc>
        <w:tc>
          <w:tcPr>
            <w:gridSpan w:val="2"/>
            <w:tcBorders>
              <w:top w:val="none" w:color="000000" w:sz="4" w:space="0"/>
              <w:left w:val="none" w:color="000000" w:sz="4" w:space="0"/>
              <w:bottom w:val="single" w:color="auto" w:sz="4" w:space="0"/>
              <w:right w:val="single" w:color="auto" w:sz="4" w:space="0"/>
            </w:tcBorders>
            <w:tcW w:w="357" w:type="pct"/>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r>
            <w:r/>
          </w:p>
        </w:tc>
        <w:tc>
          <w:tcPr>
            <w:tcBorders>
              <w:top w:val="none" w:color="000000" w:sz="4" w:space="0"/>
              <w:left w:val="none" w:color="000000" w:sz="4" w:space="0"/>
              <w:bottom w:val="single" w:color="auto" w:sz="4" w:space="0"/>
              <w:right w:val="single" w:color="auto" w:sz="4" w:space="0"/>
            </w:tcBorders>
            <w:tcW w:w="613" w:type="pct"/>
            <w:vAlign w:val="center"/>
            <w:textDirection w:val="lrTb"/>
            <w:noWrap/>
          </w:tcPr>
          <w:p>
            <w:pPr>
              <w:ind w:left="0" w:right="0"/>
              <w:keepLines w:val="0"/>
              <w:keepNext w:val="0"/>
              <w:pageBreakBefore w:val="0"/>
              <w:spacing w:before="0" w:beforeAutospacing="0" w:after="0" w:afterAutospacing="0" w:line="360" w:lineRule="auto"/>
              <w:widowControl/>
              <w:rPr>
                <w:rFonts w:hint="eastAsia" w:ascii="黑体" w:hAnsi="黑体" w:eastAsia="黑体" w:cs="黑体"/>
                <w:b/>
                <w:bCs/>
                <w:color w:val="auto"/>
                <w:sz w:val="24"/>
                <w:szCs w:val="24"/>
              </w:rPr>
              <w:suppressLineNumbers w:val="0"/>
            </w:pPr>
            <w:r>
              <w:rPr>
                <w:rFonts w:hint="eastAsia" w:ascii="黑体" w:hAnsi="黑体" w:eastAsia="黑体" w:cs="黑体"/>
                <w:b/>
                <w:bCs/>
                <w:color w:val="auto"/>
                <w:sz w:val="24"/>
                <w:szCs w:val="24"/>
              </w:rPr>
            </w:r>
            <w:r/>
          </w:p>
        </w:tc>
      </w:tr>
      <w:tr>
        <w:trPr>
          <w:gridBefore w:val="1"/>
          <w:trHeight w:val="270"/>
        </w:trPr>
        <w:tc>
          <w:tcPr>
            <w:gridSpan w:val="4"/>
            <w:tcBorders>
              <w:top w:val="none" w:color="000000" w:sz="4" w:space="0"/>
              <w:left w:val="none" w:color="000000" w:sz="4" w:space="0"/>
              <w:bottom w:val="none" w:color="000000" w:sz="4" w:space="0"/>
              <w:right w:val="none" w:color="000000" w:sz="4" w:space="0"/>
            </w:tcBorders>
            <w:tcW w:w="3989" w:type="pct"/>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t xml:space="preserve">备注：街道可根据实际情况适时调整考核内容，不再另行发文。</w:t>
            </w:r>
            <w:r/>
          </w:p>
        </w:tc>
        <w:tc>
          <w:tcPr>
            <w:gridSpan w:val="3"/>
            <w:tcBorders>
              <w:top w:val="none" w:color="000000" w:sz="4" w:space="0"/>
              <w:left w:val="none" w:color="000000" w:sz="4" w:space="0"/>
              <w:bottom w:val="none" w:color="000000" w:sz="4" w:space="0"/>
              <w:right w:val="none" w:color="000000" w:sz="4" w:space="0"/>
            </w:tcBorders>
            <w:tcW w:w="971" w:type="pct"/>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黑体" w:hAnsi="黑体" w:eastAsia="黑体" w:cs="黑体"/>
                <w:color w:val="auto"/>
                <w:sz w:val="24"/>
                <w:szCs w:val="24"/>
              </w:rPr>
              <w:suppressLineNumbers w:val="0"/>
            </w:pPr>
            <w:r>
              <w:rPr>
                <w:rFonts w:hint="eastAsia" w:ascii="黑体" w:hAnsi="黑体" w:eastAsia="黑体" w:cs="黑体"/>
                <w:color w:val="auto"/>
                <w:sz w:val="24"/>
                <w:szCs w:val="24"/>
              </w:rPr>
            </w:r>
            <w:r/>
          </w:p>
        </w:tc>
      </w:tr>
    </w:tbl>
    <w:p>
      <w:pPr>
        <w:jc w:val="left"/>
        <w:pageBreakBefore w:val="0"/>
        <w:spacing w:line="440" w:lineRule="exact"/>
        <w:rPr>
          <w:rFonts w:hint="eastAsia" w:ascii="黑体" w:hAnsi="黑体" w:eastAsia="黑体" w:cs="黑体"/>
          <w:b/>
          <w:bCs/>
          <w:color w:val="auto"/>
          <w:sz w:val="28"/>
          <w:szCs w:val="28"/>
        </w:rPr>
      </w:pPr>
      <w:r>
        <w:rPr>
          <w:rFonts w:hint="eastAsia" w:ascii="黑体" w:hAnsi="黑体" w:eastAsia="黑体" w:cs="黑体"/>
          <w:b/>
          <w:bCs/>
          <w:color w:val="auto"/>
          <w:sz w:val="28"/>
          <w:szCs w:val="28"/>
        </w:rPr>
        <w:t xml:space="preserve">考核人：</w:t>
      </w:r>
      <w:r>
        <w:rPr>
          <w:rFonts w:hint="eastAsia" w:ascii="黑体" w:hAnsi="黑体" w:eastAsia="黑体" w:cs="黑体"/>
          <w:b/>
          <w:bCs/>
          <w:color w:val="auto"/>
          <w:sz w:val="28"/>
          <w:szCs w:val="28"/>
        </w:rPr>
        <w:tab/>
      </w:r>
      <w:r>
        <w:rPr>
          <w:rFonts w:hint="eastAsia" w:ascii="黑体" w:hAnsi="黑体" w:eastAsia="黑体" w:cs="黑体"/>
          <w:b/>
          <w:bCs/>
          <w:color w:val="auto"/>
          <w:sz w:val="28"/>
          <w:szCs w:val="28"/>
        </w:rPr>
        <w:t xml:space="preserve">                                               </w:t>
      </w:r>
      <w:r>
        <w:rPr>
          <w:rFonts w:hint="eastAsia" w:ascii="黑体" w:hAnsi="黑体" w:eastAsia="黑体" w:cs="黑体"/>
          <w:b/>
          <w:bCs/>
          <w:color w:val="auto"/>
          <w:sz w:val="28"/>
          <w:szCs w:val="28"/>
        </w:rPr>
        <w:tab/>
      </w:r>
      <w:r/>
    </w:p>
    <w:p>
      <w:pPr>
        <w:jc w:val="left"/>
        <w:pageBreakBefore w:val="0"/>
        <w:spacing w:line="440" w:lineRule="exact"/>
        <w:rPr>
          <w:rFonts w:hint="eastAsia" w:ascii="黑体" w:hAnsi="黑体" w:eastAsia="黑体" w:cs="黑体"/>
          <w:color w:val="auto"/>
          <w:lang w:eastAsia="zh-CN"/>
        </w:rPr>
      </w:pPr>
      <w:r>
        <w:rPr>
          <w:rFonts w:hint="eastAsia" w:ascii="黑体" w:hAnsi="黑体" w:eastAsia="黑体" w:cs="黑体"/>
          <w:b/>
          <w:bCs/>
          <w:color w:val="auto"/>
          <w:sz w:val="28"/>
          <w:szCs w:val="28"/>
        </w:rPr>
        <w:t xml:space="preserve">审核人：</w:t>
      </w:r>
      <w:r/>
    </w:p>
    <w:p>
      <w:pPr>
        <w:ind w:left="0" w:right="0" w:firstLine="723"/>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eastAsia="zh-CN" w:bidi="ar"/>
        </w:rPr>
        <w:suppressLineNumbers w:val="0"/>
      </w:pPr>
      <w:r>
        <w:rPr>
          <w:rFonts w:hint="eastAsia" w:ascii="黑体" w:hAnsi="黑体" w:eastAsia="黑体" w:cs="黑体"/>
          <w:b/>
          <w:bCs w:val="0"/>
          <w:color w:val="auto"/>
          <w:sz w:val="36"/>
          <w:szCs w:val="36"/>
          <w:highlight w:val="none"/>
          <w:lang w:val="en-US" w:eastAsia="zh-CN" w:bidi="ar"/>
        </w:rPr>
        <w:t xml:space="preserve">     </w:t>
      </w:r>
      <w:r/>
    </w:p>
    <w:p>
      <w:pPr>
        <w:ind w:left="0" w:right="0" w:firstLine="1807"/>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36"/>
          <w:szCs w:val="36"/>
          <w:highlight w:val="none"/>
          <w:lang w:val="en-US"/>
        </w:rPr>
        <w:outlineLvl w:val="0"/>
        <w:suppressLineNumbers w:val="0"/>
      </w:pPr>
      <w:r>
        <w:rPr>
          <w:rFonts w:hint="eastAsia" w:ascii="黑体" w:hAnsi="黑体" w:eastAsia="黑体" w:cs="黑体"/>
          <w:b/>
          <w:bCs w:val="0"/>
          <w:color w:val="auto"/>
          <w:sz w:val="36"/>
          <w:szCs w:val="36"/>
          <w:highlight w:val="none"/>
          <w:lang w:val="en-US" w:eastAsia="zh-CN" w:bidi="ar"/>
        </w:rPr>
        <w:br w:type="page" w:clear="all"/>
      </w:r>
      <w:r>
        <w:rPr>
          <w:rFonts w:hint="eastAsia" w:ascii="黑体" w:hAnsi="黑体" w:eastAsia="黑体" w:cs="黑体"/>
          <w:b/>
          <w:bCs w:val="0"/>
          <w:color w:val="auto"/>
          <w:sz w:val="36"/>
          <w:szCs w:val="36"/>
          <w:highlight w:val="none"/>
          <w:lang w:val="en-US" w:eastAsia="zh-CN" w:bidi="ar"/>
        </w:rPr>
        <w:t xml:space="preserve">第六部分  质疑提出和处理</w:t>
      </w:r>
      <w:r/>
    </w:p>
    <w:p>
      <w:pPr>
        <w:contextualSpacing/>
        <w:ind w:firstLine="3855"/>
        <w:jc w:val="left"/>
        <w:pageBreakBefore w:val="0"/>
        <w:spacing w:after="120" w:line="440" w:lineRule="exact"/>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u w:val="single"/>
        </w:rPr>
        <w:t xml:space="preserve">质疑函格式参见附件</w:t>
      </w:r>
      <w:r>
        <w:rPr>
          <w:rFonts w:hint="eastAsia" w:ascii="黑体" w:hAnsi="黑体" w:eastAsia="黑体" w:cs="黑体"/>
          <w:b/>
          <w:bCs/>
          <w:color w:val="auto"/>
          <w:sz w:val="24"/>
          <w:szCs w:val="24"/>
          <w:highlight w:val="none"/>
        </w:rPr>
        <w:t xml:space="preserve">。</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一、质疑的提出</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(一)质疑人的身份要求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1.提出质疑的供应商应当是参与所质疑项目采购活动的供应商。</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2.潜在供应商已依法获取其可质疑的采购文件的，可以对该文件提出质疑。对采购文件提出质疑的，应当在获取采购文件或者采购文件公告期限届满之日起7个工作日内提出。</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(二)质疑提出的格式要求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1.质疑必须按《政府采购法》、《政府采购法实施条例》的相关规定提交，质疑实行实名制，不得进行虚假、恶意质疑，未按上述要求提交的质疑函，采购人和采购代理机构有权不予受理。</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2.质疑函应包括：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（1）质疑</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的名称、地址、邮编、联系人及联系电话；</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（2）质疑项目的名称、编号；</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（3）具体、明确的质疑事项和与质疑事项相关的请求；</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（4）事实依据；</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（5）必要的法律依据；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（6）提出质疑的日期。</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采购代理机构将不予受理。质疑人委托代理质疑的，应当提交授权委托书，并载明委托代理的具体权限和事项。</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3.质疑函需遵循的原则：</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（三）质疑提出的时效要求</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认为采购文件、采购过程和采购结果使自己的权益受到损害的，可以在知道或应知其权益受到损害之日起七个工作日内，以书面形式向采购人、采购代理机构提出质疑。上述应知其权益受到损害之日，是指：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（1）对可以质疑的采购文件提出质疑的，为收到采购文件之日或者采购文件公告期限届满之日；</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（2）对采购过程提出质疑的，为各采购程序环节结束之日；</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（3）对中标或者成交结果提出质疑的，为中标或者成交结果公告期限届满之日。</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认为采购文件使自己的权益受到损害的，可以向采购人、采购代理机构提出质疑；</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认为采购过程和采购结果使自己的权益受到损害的，可以以书面形式向采购人、采购代理机构提出质疑。</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应在法定质疑期一次性提出针对同一采购程序环节的质疑。                         </w:t>
      </w:r>
      <w:r/>
    </w:p>
    <w:p>
      <w:pPr>
        <w:ind w:firstLine="960"/>
        <w:jc w:val="left"/>
        <w:keepLines w:val="0"/>
        <w:keepNext w:val="0"/>
        <w:pageBreakBefore w:val="0"/>
        <w:spacing w:line="440" w:lineRule="exact"/>
        <w:widowControl w:val="off"/>
        <w:rPr>
          <w:rFonts w:hint="eastAsia" w:ascii="黑体" w:hAnsi="黑体" w:eastAsia="黑体" w:cs="黑体"/>
          <w:b/>
          <w:bCs/>
          <w:color w:val="auto"/>
          <w:sz w:val="24"/>
          <w:szCs w:val="24"/>
          <w:highlight w:val="none"/>
        </w:rPr>
      </w:pPr>
      <w:r>
        <w:rPr>
          <w:rFonts w:hint="eastAsia" w:ascii="黑体" w:hAnsi="黑体" w:eastAsia="黑体" w:cs="黑体"/>
          <w:bCs/>
          <w:color w:val="auto"/>
          <w:sz w:val="24"/>
          <w:szCs w:val="24"/>
          <w:highlight w:val="none"/>
        </w:rPr>
        <w:t xml:space="preserve">3</w:t>
      </w:r>
      <w:r>
        <w:rPr>
          <w:rFonts w:hint="eastAsia" w:ascii="黑体" w:hAnsi="黑体" w:eastAsia="黑体" w:cs="黑体"/>
          <w:bCs/>
          <w:color w:val="auto"/>
          <w:sz w:val="24"/>
          <w:szCs w:val="24"/>
          <w:highlight w:val="none"/>
          <w:lang w:val="en-US" w:eastAsia="zh-CN"/>
        </w:rPr>
        <w:t xml:space="preserve">.</w:t>
      </w:r>
      <w:r>
        <w:rPr>
          <w:rFonts w:hint="eastAsia" w:ascii="黑体" w:hAnsi="黑体" w:eastAsia="黑体" w:cs="黑体"/>
          <w:b/>
          <w:bCs/>
          <w:color w:val="auto"/>
          <w:sz w:val="24"/>
          <w:szCs w:val="24"/>
          <w:highlight w:val="none"/>
        </w:rPr>
        <w:t xml:space="preserve">以下情形的质疑不予受理：</w:t>
      </w:r>
      <w:r/>
    </w:p>
    <w:p>
      <w:pPr>
        <w:ind w:firstLine="720"/>
        <w:jc w:val="left"/>
        <w:keepLines w:val="0"/>
        <w:keepNext w:val="0"/>
        <w:pageBreakBefore w:val="0"/>
        <w:spacing w:line="44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内容不符合</w:t>
      </w:r>
      <w:r>
        <w:rPr>
          <w:rFonts w:hint="eastAsia" w:ascii="黑体" w:hAnsi="黑体" w:eastAsia="黑体" w:cs="黑体"/>
          <w:color w:val="auto"/>
          <w:sz w:val="24"/>
          <w:szCs w:val="24"/>
          <w:highlight w:val="none"/>
        </w:rPr>
        <w:t xml:space="preserve">质疑提出的格式要求</w:t>
      </w:r>
      <w:r>
        <w:rPr>
          <w:rFonts w:hint="eastAsia" w:ascii="黑体" w:hAnsi="黑体" w:eastAsia="黑体" w:cs="黑体"/>
          <w:color w:val="auto"/>
          <w:sz w:val="24"/>
          <w:szCs w:val="24"/>
          <w:highlight w:val="none"/>
        </w:rPr>
        <w:t xml:space="preserve">的质疑。</w:t>
      </w:r>
      <w:r/>
    </w:p>
    <w:p>
      <w:pPr>
        <w:ind w:firstLine="720"/>
        <w:jc w:val="left"/>
        <w:keepLines w:val="0"/>
        <w:keepNext w:val="0"/>
        <w:pageBreakBefore w:val="0"/>
        <w:spacing w:line="44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超出</w:t>
      </w:r>
      <w:r>
        <w:rPr>
          <w:rFonts w:hint="eastAsia" w:ascii="黑体" w:hAnsi="黑体" w:eastAsia="黑体" w:cs="黑体"/>
          <w:color w:val="auto"/>
          <w:sz w:val="24"/>
          <w:szCs w:val="24"/>
          <w:highlight w:val="none"/>
          <w:lang w:val="en-US" w:eastAsia="zh-CN"/>
        </w:rPr>
        <w:t xml:space="preserve">本项目招标文件规定</w:t>
      </w:r>
      <w:r>
        <w:rPr>
          <w:rFonts w:hint="eastAsia" w:ascii="黑体" w:hAnsi="黑体" w:eastAsia="黑体" w:cs="黑体"/>
          <w:color w:val="auto"/>
          <w:sz w:val="24"/>
          <w:szCs w:val="24"/>
          <w:highlight w:val="none"/>
        </w:rPr>
        <w:t xml:space="preserve">的质疑</w:t>
      </w:r>
      <w:r>
        <w:rPr>
          <w:rFonts w:hint="eastAsia" w:ascii="黑体" w:hAnsi="黑体" w:eastAsia="黑体" w:cs="黑体"/>
          <w:color w:val="auto"/>
          <w:sz w:val="24"/>
          <w:szCs w:val="24"/>
          <w:highlight w:val="none"/>
          <w:lang w:val="en-US" w:eastAsia="zh-CN"/>
        </w:rPr>
        <w:t xml:space="preserve">期</w:t>
      </w:r>
      <w:r>
        <w:rPr>
          <w:rFonts w:hint="eastAsia" w:ascii="黑体" w:hAnsi="黑体" w:eastAsia="黑体" w:cs="黑体"/>
          <w:color w:val="auto"/>
          <w:sz w:val="24"/>
          <w:szCs w:val="24"/>
          <w:highlight w:val="none"/>
        </w:rPr>
        <w:t xml:space="preserve">。</w:t>
      </w:r>
      <w:r/>
    </w:p>
    <w:p>
      <w:pPr>
        <w:ind w:firstLine="720"/>
        <w:jc w:val="left"/>
        <w:keepLines w:val="0"/>
        <w:keepNext w:val="0"/>
        <w:pageBreakBefore w:val="0"/>
        <w:spacing w:line="44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未参加招标活动的供应商或在招标活动中自身权益未受到损害的供应商所提出的质疑。</w:t>
      </w:r>
      <w:r/>
    </w:p>
    <w:p>
      <w:pPr>
        <w:ind w:firstLine="720"/>
        <w:jc w:val="left"/>
        <w:keepLines w:val="0"/>
        <w:keepNext w:val="0"/>
        <w:pageBreakBefore w:val="0"/>
        <w:spacing w:line="44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4</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供应商组成联合体参加谈判，联合体中任何一方或多方未按要求签字、盖章、加盖公章的质疑。</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二、《质疑函》的受理和答复</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1.采购人、采购代理机构收到质疑函后，将对质疑的形式和内容进行审查，如质疑函内容、格式不符合规定，需告知质疑人进行补正。</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 质疑人应当在法定质疑期限内进行补正并重新提交质疑函，拒不补正或者在法定期限内未重新提交质疑函的，为无效质疑，不予受理。</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3.采购人、采购代理机构答复供应商质疑应当采用书面方式并依法送达，质疑供应商或其委托代理人拒绝签收的视为已经送达。</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4.采购人负责供应商质疑答复。采购人委托采购代理机构采购的，采购代理机构在委托授权范围内作出答复。</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三、质疑处理</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 质疑成立的处理</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（1）对于内容、格式符合规定的质疑函，采购人、采购代理机构在收到投标供应商的书面质疑后七个工作日内作出书面答复，但答复的内容不得涉及商业秘密。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（2）对采购文件提出的质疑，依法通过澄清或者修改可以继续开展采购活动的，澄清或者修改采购文件后继续开展采购活动；否则应当修改采购文件后重新开展采购活动。</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（3）对采购过程、中标或者成交结果提出的质疑，合格供应商符合法定数量时，可以从合格的候选人中另行确定中标、成交供应商的，应当依法另行确定中标供应商；否则应当重新开展采购活动。</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质疑答复导致中标、成交结果改变的，采购人或者采购代理机构应当将有关情况书面报告本级财政部门。</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2.质疑不成立的处理</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若质疑不成立，或者成立未对中标、成交结果构成影响的，继续开展采购活动。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3.虚假质疑的处理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提出书面质疑必须有理、有据，不得恶意质疑或提交虚假质疑。否则，一经查实，采购人有权依据政府采购的有关规定，报请政府采购监管部门对该</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进行相应的行政处罚。                          </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（2）在江苏省范围内一年累计三次以上质疑，均查无实据的供应商将按失信行为记入该注册供应商诚信档案中。</w:t>
      </w:r>
      <w:r/>
    </w:p>
    <w:p>
      <w:pPr>
        <w:pStyle w:val="875"/>
        <w:contextualSpacing/>
        <w:ind w:left="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（3）采购人、采购代理机构受理质疑和答复相关咨询，联系电话详见招标公告。</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zh-CN" w:eastAsia="zh-CN"/>
        </w:rPr>
        <w:suppressLineNumbers w:val="0"/>
      </w:pPr>
      <w:r>
        <w:rPr>
          <w:rFonts w:hint="eastAsia" w:ascii="黑体" w:hAnsi="黑体" w:eastAsia="黑体" w:cs="黑体"/>
          <w:b/>
          <w:color w:val="auto"/>
          <w:sz w:val="36"/>
          <w:szCs w:val="36"/>
          <w:highlight w:val="none"/>
        </w:rPr>
        <w:br w:type="page" w:clear="all"/>
      </w:r>
      <w:r>
        <w:rPr>
          <w:rFonts w:hint="eastAsia" w:ascii="黑体" w:hAnsi="黑体" w:eastAsia="黑体" w:cs="黑体"/>
          <w:b/>
          <w:color w:val="auto"/>
          <w:sz w:val="36"/>
          <w:szCs w:val="36"/>
          <w:highlight w:val="none"/>
          <w:lang w:val="en-US" w:eastAsia="zh-CN"/>
        </w:rPr>
        <w:t xml:space="preserve">     </w:t>
      </w:r>
      <w:r>
        <w:rPr>
          <w:rFonts w:hint="eastAsia" w:ascii="黑体" w:hAnsi="黑体" w:eastAsia="黑体" w:cs="黑体"/>
          <w:b/>
          <w:bCs w:val="0"/>
          <w:color w:val="auto"/>
          <w:sz w:val="36"/>
          <w:szCs w:val="36"/>
          <w:highlight w:val="none"/>
          <w:lang w:val="en-US" w:eastAsia="zh-CN" w:bidi="ar"/>
        </w:rPr>
        <w:t xml:space="preserve">第七部分  投标文件组成</w:t>
      </w:r>
      <w:r/>
    </w:p>
    <w:p>
      <w:pPr>
        <w:pStyle w:val="945"/>
        <w:ind w:left="0" w:firstLine="482"/>
        <w:jc w:val="left"/>
        <w:keepLines w:val="0"/>
        <w:keepNext w:val="0"/>
        <w:pageBreakBefore w:val="0"/>
        <w:spacing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投标文件由资格审查</w:t>
      </w:r>
      <w:r>
        <w:rPr>
          <w:rFonts w:hint="eastAsia" w:ascii="黑体" w:hAnsi="黑体" w:eastAsia="黑体" w:cs="黑体"/>
          <w:b/>
          <w:bCs/>
          <w:color w:val="auto"/>
          <w:sz w:val="24"/>
          <w:szCs w:val="24"/>
          <w:highlight w:val="none"/>
          <w:lang w:eastAsia="zh-CN"/>
        </w:rPr>
        <w:t xml:space="preserve">文件</w:t>
      </w:r>
      <w:r>
        <w:rPr>
          <w:rFonts w:hint="eastAsia" w:ascii="黑体" w:hAnsi="黑体" w:eastAsia="黑体" w:cs="黑体"/>
          <w:b/>
          <w:bCs/>
          <w:color w:val="auto"/>
          <w:sz w:val="24"/>
          <w:szCs w:val="24"/>
          <w:highlight w:val="none"/>
          <w:lang w:val="zh-CN" w:eastAsia="zh-CN"/>
        </w:rPr>
        <w:t xml:space="preserve">、商务技术标、价格标三部分组成。</w:t>
      </w:r>
      <w:r/>
    </w:p>
    <w:p>
      <w:pPr>
        <w:pStyle w:val="945"/>
        <w:ind w:firstLine="482"/>
        <w:jc w:val="left"/>
        <w:keepLines w:val="0"/>
        <w:keepNext w:val="0"/>
        <w:pageBreakBefore w:val="0"/>
        <w:spacing w:line="440" w:lineRule="exact"/>
        <w:widowControl/>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eastAsia="zh-CN"/>
        </w:rPr>
        <w:t xml:space="preserve">一、资格审查文件（一正四副，不得出现商务技术及报价，单独装订密封）</w:t>
      </w:r>
      <w:r/>
    </w:p>
    <w:p>
      <w:pPr>
        <w:pStyle w:val="945"/>
        <w:numPr>
          <w:ilvl w:val="0"/>
          <w:numId w:val="10"/>
        </w:numPr>
        <w:contextualSpacing/>
        <w:ind w:left="0" w:firstLine="480"/>
        <w:jc w:val="left"/>
        <w:keepLines w:val="0"/>
        <w:keepNext w:val="0"/>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eastAsia="zh-CN"/>
        </w:rPr>
        <w:t xml:space="preserve">法人或者其他组织的营业执照等证明文件，自然人的身份证明。</w:t>
      </w:r>
      <w:r/>
    </w:p>
    <w:p>
      <w:pPr>
        <w:pStyle w:val="945"/>
        <w:numPr>
          <w:ilvl w:val="0"/>
          <w:numId w:val="10"/>
        </w:numPr>
        <w:contextualSpacing/>
        <w:ind w:left="0" w:firstLine="480"/>
        <w:jc w:val="left"/>
        <w:keepLines w:val="0"/>
        <w:keepNext w:val="0"/>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eastAsia="zh-CN"/>
        </w:rPr>
        <w:t xml:space="preserve">供应商法定代表人参加的，必须提供法定代表人身份证明及法定代表人本人身份证原件扫描件（格式参见第七章）；非法定代表人参加的，必须提供法定代表人签字或盖章的授权委托书及法定代表人、被授权人的两人身份证的原件扫描件（按后附格式）。</w:t>
      </w:r>
      <w:r/>
    </w:p>
    <w:p>
      <w:pPr>
        <w:numPr>
          <w:ilvl w:val="0"/>
          <w:numId w:val="10"/>
        </w:numPr>
        <w:ind w:left="0" w:righ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满足《中华人民共和国政府采购法》第二十二条规定（按后附格式）。</w:t>
      </w:r>
      <w:r/>
    </w:p>
    <w:p>
      <w:pPr>
        <w:pStyle w:val="880"/>
        <w:numPr>
          <w:ilvl w:val="0"/>
          <w:numId w:val="10"/>
        </w:numPr>
        <w:ind w:left="0" w:firstLine="480"/>
        <w:jc w:val="left"/>
        <w:keepLines w:val="0"/>
        <w:keepNext w:val="0"/>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eastAsia="zh-CN"/>
        </w:rPr>
        <w:t xml:space="preserve">响应供应商未被“信用中国”网站、中国政府采购网、国家企业信用信息公示系统列入失信被执行人、重大税收违法案件当事人名单、政府采购严重违法失信行为记录名单、异常经营名录、严重违法失信企业名单；为确保政府采购守法供应商公平参加政府采购活动，采购代理机构将在开标开始后一个小时内，通过“信用中国”网站和中国政府采购网和国家企业信用信息公示系统对供应商信用信息进行查询查证，并将查询记录截屏打印保存在采购档案内。如核实未通过，经</w:t>
      </w:r>
      <w:r>
        <w:rPr>
          <w:rFonts w:hint="eastAsia" w:ascii="黑体" w:hAnsi="黑体" w:eastAsia="黑体" w:cs="黑体"/>
          <w:color w:val="auto"/>
          <w:sz w:val="24"/>
          <w:szCs w:val="24"/>
          <w:highlight w:val="none"/>
          <w:lang w:val="en-US" w:eastAsia="zh-CN"/>
        </w:rPr>
        <w:t xml:space="preserve">评标</w:t>
      </w:r>
      <w:r>
        <w:rPr>
          <w:rFonts w:hint="eastAsia" w:ascii="黑体" w:hAnsi="黑体" w:eastAsia="黑体" w:cs="黑体"/>
          <w:color w:val="auto"/>
          <w:sz w:val="24"/>
          <w:szCs w:val="24"/>
          <w:highlight w:val="none"/>
          <w:lang w:eastAsia="zh-CN"/>
        </w:rPr>
        <w:t xml:space="preserve">小组确认后资格审查不予通过</w:t>
      </w:r>
      <w:r>
        <w:rPr>
          <w:rFonts w:hint="eastAsia" w:ascii="黑体" w:hAnsi="黑体" w:eastAsia="黑体" w:cs="黑体"/>
          <w:color w:val="auto"/>
          <w:sz w:val="24"/>
          <w:szCs w:val="24"/>
          <w:highlight w:val="none"/>
          <w:lang w:eastAsia="zh-CN"/>
        </w:rPr>
        <w:t xml:space="preserve">。</w:t>
      </w:r>
      <w:r/>
    </w:p>
    <w:p>
      <w:pPr>
        <w:pStyle w:val="880"/>
        <w:numPr>
          <w:ilvl w:val="0"/>
          <w:numId w:val="10"/>
        </w:numPr>
        <w:ind w:left="0" w:firstLine="480"/>
        <w:jc w:val="left"/>
        <w:keepLines w:val="0"/>
        <w:keepNext w:val="0"/>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rPr>
        <w:t xml:space="preserve">本项目为专门面向中小微企业采购项目（须按照财库〔2020〕46号文要求提供中小企业声明函，格式见附件）。</w:t>
      </w:r>
      <w:r/>
    </w:p>
    <w:p>
      <w:pPr>
        <w:pStyle w:val="880"/>
        <w:numPr>
          <w:ilvl w:val="0"/>
          <w:numId w:val="0"/>
        </w:numPr>
        <w:ind w:right="0" w:firstLine="480"/>
        <w:jc w:val="left"/>
        <w:keepLines w:val="0"/>
        <w:keepNext w:val="0"/>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en-US" w:eastAsia="zh-CN"/>
        </w:rPr>
        <w:t xml:space="preserve">6.</w:t>
      </w:r>
      <w:r>
        <w:rPr>
          <w:rFonts w:hint="eastAsia" w:ascii="黑体" w:hAnsi="黑体" w:eastAsia="黑体" w:cs="黑体"/>
          <w:color w:val="auto"/>
          <w:sz w:val="24"/>
          <w:szCs w:val="24"/>
          <w:highlight w:val="none"/>
          <w:lang w:val="zh-CN" w:eastAsia="zh-CN"/>
        </w:rPr>
        <w:t xml:space="preserve">供应商信用承诺书（</w:t>
      </w:r>
      <w:r>
        <w:rPr>
          <w:rFonts w:hint="eastAsia" w:ascii="黑体" w:hAnsi="黑体" w:eastAsia="黑体" w:cs="黑体"/>
          <w:color w:val="auto"/>
          <w:sz w:val="24"/>
          <w:szCs w:val="24"/>
          <w:highlight w:val="none"/>
          <w:lang w:eastAsia="zh-CN"/>
        </w:rPr>
        <w:t xml:space="preserve">按后附格式</w:t>
      </w:r>
      <w:r>
        <w:rPr>
          <w:rFonts w:hint="eastAsia" w:ascii="黑体" w:hAnsi="黑体" w:eastAsia="黑体" w:cs="黑体"/>
          <w:color w:val="auto"/>
          <w:sz w:val="24"/>
          <w:szCs w:val="24"/>
          <w:highlight w:val="none"/>
          <w:lang w:val="zh-CN" w:eastAsia="zh-CN"/>
        </w:rPr>
        <w:t xml:space="preserve">）；</w:t>
      </w:r>
      <w:r/>
    </w:p>
    <w:p>
      <w:pPr>
        <w:pStyle w:val="880"/>
        <w:numPr>
          <w:ilvl w:val="0"/>
          <w:numId w:val="0"/>
        </w:numPr>
        <w:ind w:right="0"/>
        <w:jc w:val="left"/>
        <w:keepLines w:val="0"/>
        <w:keepNext w:val="0"/>
        <w:pageBreakBefore w:val="0"/>
        <w:spacing w:line="440" w:lineRule="exact"/>
        <w:widowControl/>
        <w:rPr>
          <w:rFonts w:hint="eastAsia" w:ascii="黑体" w:hAnsi="黑体" w:eastAsia="黑体" w:cs="黑体"/>
          <w:b/>
          <w:bCs/>
          <w:color w:val="auto"/>
          <w:sz w:val="24"/>
          <w:szCs w:val="24"/>
          <w:highlight w:val="none"/>
          <w:u w:val="single"/>
          <w:lang w:val="en-US" w:eastAsia="zh-CN"/>
        </w:rPr>
      </w:pPr>
      <w:r>
        <w:rPr>
          <w:rFonts w:hint="eastAsia" w:ascii="黑体" w:hAnsi="黑体" w:eastAsia="黑体" w:cs="黑体"/>
          <w:b/>
          <w:bCs/>
          <w:color w:val="auto"/>
          <w:sz w:val="24"/>
          <w:szCs w:val="24"/>
          <w:highlight w:val="none"/>
          <w:u w:val="none"/>
          <w:lang w:val="en-US" w:eastAsia="zh-CN"/>
        </w:rPr>
        <w:t xml:space="preserve">注：</w:t>
      </w:r>
      <w:r>
        <w:rPr>
          <w:rFonts w:hint="eastAsia" w:ascii="黑体" w:hAnsi="黑体" w:eastAsia="黑体" w:cs="黑体"/>
          <w:b/>
          <w:bCs/>
          <w:color w:val="auto"/>
          <w:sz w:val="24"/>
          <w:szCs w:val="24"/>
          <w:highlight w:val="none"/>
          <w:u w:val="single"/>
          <w:lang w:val="en-US" w:eastAsia="zh-CN"/>
        </w:rPr>
        <w:t xml:space="preserve">①以上材料如为原件扫描件均需加盖供应商公章。</w:t>
      </w:r>
      <w:r/>
    </w:p>
    <w:p>
      <w:pPr>
        <w:pStyle w:val="880"/>
        <w:numPr>
          <w:ilvl w:val="0"/>
          <w:numId w:val="0"/>
        </w:numPr>
        <w:ind w:right="0"/>
        <w:jc w:val="left"/>
        <w:keepLines w:val="0"/>
        <w:keepNext w:val="0"/>
        <w:pageBreakBefore w:val="0"/>
        <w:spacing w:line="440" w:lineRule="exact"/>
        <w:widowControl/>
        <w:rPr>
          <w:rFonts w:hint="eastAsia" w:ascii="黑体" w:hAnsi="黑体" w:eastAsia="黑体" w:cs="黑体"/>
          <w:b/>
          <w:bCs/>
          <w:color w:val="auto"/>
          <w:sz w:val="24"/>
          <w:szCs w:val="24"/>
          <w:highlight w:val="none"/>
          <w:u w:val="single"/>
          <w:lang w:val="en-US" w:eastAsia="zh-CN"/>
        </w:rPr>
      </w:pPr>
      <w:r>
        <w:rPr>
          <w:rFonts w:hint="eastAsia" w:ascii="黑体" w:hAnsi="黑体" w:eastAsia="黑体" w:cs="黑体"/>
          <w:b/>
          <w:bCs/>
          <w:color w:val="auto"/>
          <w:sz w:val="24"/>
          <w:szCs w:val="24"/>
          <w:highlight w:val="none"/>
          <w:u w:val="single"/>
          <w:lang w:val="en-US" w:eastAsia="zh-CN"/>
        </w:rPr>
        <w:t xml:space="preserve">②为方便评委评审，请投标供应商按评标办法中所涉及的事项顺序进行编制，可以补充相关材料。</w:t>
      </w:r>
      <w:r/>
    </w:p>
    <w:p>
      <w:pPr>
        <w:pStyle w:val="880"/>
        <w:numPr>
          <w:ilvl w:val="0"/>
          <w:numId w:val="0"/>
        </w:numPr>
        <w:ind w:right="0"/>
        <w:jc w:val="left"/>
        <w:keepLines w:val="0"/>
        <w:keepNext w:val="0"/>
        <w:pageBreakBefore w:val="0"/>
        <w:spacing w:line="440" w:lineRule="exact"/>
        <w:widowControl/>
        <w:rPr>
          <w:rFonts w:hint="eastAsia" w:ascii="黑体" w:hAnsi="黑体" w:eastAsia="黑体" w:cs="黑体"/>
          <w:b/>
          <w:bCs/>
          <w:color w:val="auto"/>
          <w:sz w:val="24"/>
          <w:szCs w:val="24"/>
          <w:highlight w:val="none"/>
          <w:u w:val="single"/>
          <w:lang w:val="en-US" w:eastAsia="zh-CN"/>
        </w:rPr>
      </w:pPr>
      <w:r>
        <w:rPr>
          <w:rFonts w:hint="eastAsia" w:ascii="黑体" w:hAnsi="黑体" w:eastAsia="黑体" w:cs="黑体"/>
          <w:b/>
          <w:bCs/>
          <w:color w:val="auto"/>
          <w:sz w:val="24"/>
          <w:szCs w:val="24"/>
          <w:highlight w:val="none"/>
          <w:u w:val="single"/>
          <w:lang w:val="en-US" w:eastAsia="zh-CN"/>
        </w:rPr>
        <w:t xml:space="preserve">③资格评审标准的纸质递交资料需提供清晰的原件扫描件并加盖单位公章；资格审查内容的佐证材料未能提供的或提交的资料不清晰或资料不全的，由此引起的后果由供应商自负。</w:t>
      </w:r>
      <w:r/>
    </w:p>
    <w:p>
      <w:pPr>
        <w:pStyle w:val="880"/>
        <w:numPr>
          <w:ilvl w:val="0"/>
          <w:numId w:val="0"/>
        </w:numPr>
        <w:ind w:right="0"/>
        <w:jc w:val="left"/>
        <w:keepLines w:val="0"/>
        <w:keepNext w:val="0"/>
        <w:pageBreakBefore w:val="0"/>
        <w:spacing w:line="440" w:lineRule="exact"/>
        <w:widowControl/>
        <w:rPr>
          <w:rFonts w:hint="eastAsia" w:ascii="黑体" w:hAnsi="黑体" w:eastAsia="黑体" w:cs="黑体"/>
          <w:b/>
          <w:bCs/>
          <w:color w:val="auto"/>
          <w:sz w:val="24"/>
          <w:szCs w:val="24"/>
          <w:highlight w:val="none"/>
          <w:u w:val="single"/>
          <w:lang w:val="en-US" w:eastAsia="zh-CN"/>
        </w:rPr>
      </w:pPr>
      <w:r>
        <w:rPr>
          <w:rFonts w:hint="eastAsia" w:ascii="黑体" w:hAnsi="黑体" w:eastAsia="黑体" w:cs="黑体"/>
          <w:b/>
          <w:bCs/>
          <w:color w:val="auto"/>
          <w:sz w:val="24"/>
          <w:szCs w:val="24"/>
          <w:highlight w:val="none"/>
          <w:u w:val="single"/>
          <w:lang w:val="en-US" w:eastAsia="zh-CN"/>
        </w:rPr>
        <w:t xml:space="preserve">④通过形式评审和资格审查的响应供应商可进入以下评审(资格审查不合格的响应供应商不得进入本项目技术标和报价标的综合评审阶段)。</w:t>
      </w:r>
      <w:r/>
    </w:p>
    <w:p>
      <w:pPr>
        <w:ind w:firstLine="240"/>
        <w:jc w:val="left"/>
        <w:pageBreakBefore w:val="0"/>
        <w:spacing w:line="440" w:lineRule="exact"/>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二、符合性审查</w:t>
      </w:r>
      <w:r/>
    </w:p>
    <w:p>
      <w:pPr>
        <w:ind w:firstLine="24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zh-CN"/>
        </w:rPr>
        <w:t xml:space="preserve">★</w:t>
      </w: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rPr>
        <w:t xml:space="preserve">商务部分正负偏离表；</w:t>
      </w:r>
      <w:r>
        <w:rPr>
          <w:rFonts w:hint="eastAsia" w:ascii="黑体" w:hAnsi="黑体" w:eastAsia="黑体" w:cs="黑体"/>
          <w:color w:val="auto"/>
          <w:sz w:val="24"/>
          <w:szCs w:val="24"/>
          <w:highlight w:val="none"/>
          <w:lang w:val="zh-CN"/>
        </w:rPr>
        <w:t xml:space="preserve">（格式见附件</w:t>
      </w:r>
      <w:r>
        <w:rPr>
          <w:rFonts w:hint="eastAsia" w:ascii="黑体" w:hAnsi="黑体" w:eastAsia="黑体" w:cs="黑体"/>
          <w:color w:val="auto"/>
          <w:sz w:val="24"/>
          <w:szCs w:val="24"/>
          <w:highlight w:val="none"/>
          <w:lang w:val="en-US" w:eastAsia="zh-CN"/>
        </w:rPr>
        <w:t xml:space="preserve">8</w:t>
      </w:r>
      <w:r>
        <w:rPr>
          <w:rFonts w:hint="eastAsia" w:ascii="黑体" w:hAnsi="黑体" w:eastAsia="黑体" w:cs="黑体"/>
          <w:color w:val="auto"/>
          <w:sz w:val="24"/>
          <w:szCs w:val="24"/>
          <w:highlight w:val="none"/>
          <w:lang w:val="zh-CN"/>
        </w:rPr>
        <w:t xml:space="preserve">）</w:t>
      </w:r>
      <w:r/>
    </w:p>
    <w:p>
      <w:pPr>
        <w:ind w:firstLine="240"/>
        <w:jc w:val="left"/>
        <w:pageBreakBefore w:val="0"/>
        <w:spacing w:line="440" w:lineRule="exact"/>
        <w:rPr>
          <w:rFonts w:hint="eastAsia" w:ascii="黑体" w:hAnsi="黑体" w:eastAsia="黑体" w:cs="黑体"/>
          <w:color w:val="auto"/>
          <w:sz w:val="24"/>
          <w:szCs w:val="24"/>
          <w:highlight w:val="none"/>
          <w:lang w:val="zh-CN"/>
        </w:rPr>
      </w:pPr>
      <w:r>
        <w:rPr>
          <w:rFonts w:hint="eastAsia" w:ascii="黑体" w:hAnsi="黑体" w:eastAsia="黑体" w:cs="黑体"/>
          <w:color w:val="auto"/>
          <w:sz w:val="24"/>
          <w:szCs w:val="24"/>
          <w:highlight w:val="none"/>
          <w:lang w:val="zh-CN"/>
        </w:rPr>
        <w:t xml:space="preserve">★</w:t>
      </w: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color w:val="auto"/>
          <w:sz w:val="24"/>
          <w:szCs w:val="24"/>
          <w:highlight w:val="none"/>
        </w:rPr>
        <w:t xml:space="preserve">技术部分正负偏离表；</w:t>
      </w:r>
      <w:r>
        <w:rPr>
          <w:rFonts w:hint="eastAsia" w:ascii="黑体" w:hAnsi="黑体" w:eastAsia="黑体" w:cs="黑体"/>
          <w:color w:val="auto"/>
          <w:sz w:val="24"/>
          <w:szCs w:val="24"/>
          <w:highlight w:val="none"/>
          <w:lang w:val="zh-CN"/>
        </w:rPr>
        <w:t xml:space="preserve">（格式见附件</w:t>
      </w:r>
      <w:r>
        <w:rPr>
          <w:rFonts w:hint="eastAsia" w:ascii="黑体" w:hAnsi="黑体" w:eastAsia="黑体" w:cs="黑体"/>
          <w:color w:val="auto"/>
          <w:sz w:val="24"/>
          <w:szCs w:val="24"/>
          <w:highlight w:val="none"/>
          <w:lang w:val="en-US" w:eastAsia="zh-CN"/>
        </w:rPr>
        <w:t xml:space="preserve">9</w:t>
      </w:r>
      <w:r>
        <w:rPr>
          <w:rFonts w:hint="eastAsia" w:ascii="黑体" w:hAnsi="黑体" w:eastAsia="黑体" w:cs="黑体"/>
          <w:color w:val="auto"/>
          <w:sz w:val="24"/>
          <w:szCs w:val="24"/>
          <w:highlight w:val="none"/>
          <w:lang w:val="zh-CN"/>
        </w:rPr>
        <w:t xml:space="preserve">）</w:t>
      </w:r>
      <w:r/>
    </w:p>
    <w:p>
      <w:pPr>
        <w:pStyle w:val="881"/>
        <w:ind w:left="0" w:firstLine="240"/>
        <w:jc w:val="left"/>
        <w:pageBreakBefore w:val="0"/>
        <w:spacing w:line="440" w:lineRule="exact"/>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zh-CN"/>
        </w:rPr>
        <w:t xml:space="preserve">★</w:t>
      </w:r>
      <w:r>
        <w:rPr>
          <w:rFonts w:hint="eastAsia" w:ascii="黑体" w:hAnsi="黑体" w:eastAsia="黑体" w:cs="黑体"/>
          <w:color w:val="auto"/>
          <w:sz w:val="24"/>
          <w:szCs w:val="24"/>
          <w:highlight w:val="none"/>
          <w:lang w:val="en-US" w:eastAsia="zh-CN"/>
        </w:rPr>
        <w:t xml:space="preserve">3.相关承诺书（格式自拟）；</w:t>
      </w:r>
      <w:r/>
    </w:p>
    <w:p>
      <w:pPr>
        <w:pStyle w:val="881"/>
        <w:ind w:left="0" w:firstLine="241"/>
        <w:jc w:val="left"/>
        <w:pageBreakBefore w:val="0"/>
        <w:spacing w:line="440" w:lineRule="exac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注明：（上述</w:t>
      </w:r>
      <w:r>
        <w:rPr>
          <w:rFonts w:hint="eastAsia" w:ascii="黑体" w:hAnsi="黑体" w:eastAsia="黑体" w:cs="黑体"/>
          <w:b/>
          <w:color w:val="auto"/>
          <w:sz w:val="24"/>
          <w:szCs w:val="24"/>
          <w:highlight w:val="none"/>
          <w:u w:val="single"/>
          <w:lang w:val="en-US" w:eastAsia="zh-CN"/>
        </w:rPr>
        <w:t xml:space="preserve">1-3</w:t>
      </w:r>
      <w:r>
        <w:rPr>
          <w:rFonts w:hint="eastAsia" w:ascii="黑体" w:hAnsi="黑体" w:eastAsia="黑体" w:cs="黑体"/>
          <w:b/>
          <w:color w:val="auto"/>
          <w:sz w:val="24"/>
          <w:szCs w:val="24"/>
          <w:highlight w:val="none"/>
          <w:u w:val="single"/>
        </w:rPr>
        <w:t xml:space="preserve">条款材料为符合性检查项，未提供或不符合要求均按无效处理）</w:t>
      </w:r>
      <w:r/>
    </w:p>
    <w:p>
      <w:pPr>
        <w:pStyle w:val="881"/>
        <w:ind w:left="0" w:firstLine="241"/>
        <w:jc w:val="left"/>
        <w:pageBreakBefore w:val="0"/>
        <w:spacing w:line="440" w:lineRule="exact"/>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val="en-US" w:eastAsia="zh-CN"/>
        </w:rPr>
        <w:t xml:space="preserve">三</w:t>
      </w:r>
      <w:r>
        <w:rPr>
          <w:rFonts w:hint="eastAsia" w:ascii="黑体" w:hAnsi="黑体" w:eastAsia="黑体" w:cs="黑体"/>
          <w:b/>
          <w:bCs/>
          <w:color w:val="auto"/>
          <w:sz w:val="24"/>
          <w:szCs w:val="24"/>
          <w:highlight w:val="none"/>
          <w:lang w:eastAsia="zh-CN"/>
        </w:rPr>
        <w:t xml:space="preserve">、商务技术标（一正四副，不得出现报价，单独装订密封）</w:t>
      </w:r>
      <w:r/>
    </w:p>
    <w:p>
      <w:pPr>
        <w:pStyle w:val="945"/>
        <w:numPr>
          <w:ilvl w:val="0"/>
          <w:numId w:val="0"/>
        </w:numPr>
        <w:contextualSpacing/>
        <w:ind w:right="0" w:firstLine="240"/>
        <w:jc w:val="left"/>
        <w:keepLines w:val="0"/>
        <w:keepNext w:val="0"/>
        <w:pageBreakBefore w:val="0"/>
        <w:spacing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en-US" w:eastAsia="zh-CN"/>
        </w:rPr>
        <w:t xml:space="preserve">1.</w:t>
      </w:r>
      <w:r>
        <w:rPr>
          <w:rFonts w:hint="eastAsia" w:ascii="黑体" w:hAnsi="黑体" w:eastAsia="黑体" w:cs="黑体"/>
          <w:color w:val="auto"/>
          <w:sz w:val="24"/>
          <w:szCs w:val="24"/>
          <w:highlight w:val="none"/>
          <w:lang w:val="zh-CN" w:eastAsia="zh-CN"/>
        </w:rPr>
        <w:t xml:space="preserve">供应商情况一览表；</w:t>
      </w:r>
      <w:r/>
    </w:p>
    <w:p>
      <w:pPr>
        <w:pStyle w:val="945"/>
        <w:numPr>
          <w:ilvl w:val="0"/>
          <w:numId w:val="0"/>
        </w:numPr>
        <w:contextualSpacing/>
        <w:ind w:right="0" w:firstLine="240"/>
        <w:jc w:val="left"/>
        <w:keepLines w:val="0"/>
        <w:keepNext w:val="0"/>
        <w:pageBreakBefore w:val="0"/>
        <w:spacing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en-US" w:eastAsia="zh-CN"/>
        </w:rPr>
        <w:t xml:space="preserve">2.</w:t>
      </w:r>
      <w:r>
        <w:rPr>
          <w:rFonts w:hint="eastAsia" w:ascii="黑体" w:hAnsi="黑体" w:eastAsia="黑体" w:cs="黑体"/>
          <w:color w:val="auto"/>
          <w:sz w:val="24"/>
          <w:szCs w:val="24"/>
          <w:highlight w:val="none"/>
          <w:lang w:val="zh-CN" w:eastAsia="zh-CN"/>
        </w:rPr>
        <w:t xml:space="preserve">商务技术评分标准中（</w:t>
      </w:r>
      <w:r>
        <w:rPr>
          <w:rFonts w:hint="eastAsia" w:ascii="黑体" w:hAnsi="黑体" w:eastAsia="黑体" w:cs="黑体"/>
          <w:color w:val="auto"/>
          <w:sz w:val="24"/>
          <w:szCs w:val="24"/>
          <w:highlight w:val="none"/>
          <w:lang w:val="en-US" w:eastAsia="zh-CN"/>
        </w:rPr>
        <w:t xml:space="preserve">本招标文件第三部分</w:t>
      </w:r>
      <w:r>
        <w:rPr>
          <w:rFonts w:hint="eastAsia" w:ascii="黑体" w:hAnsi="黑体" w:eastAsia="黑体" w:cs="黑体"/>
          <w:b/>
          <w:bCs w:val="0"/>
          <w:color w:val="auto"/>
          <w:sz w:val="24"/>
          <w:szCs w:val="24"/>
          <w:highlight w:val="none"/>
          <w:lang w:val="en-US" w:eastAsia="zh-CN" w:bidi="ar"/>
        </w:rPr>
        <w:t xml:space="preserve">（</w:t>
      </w:r>
      <w:r>
        <w:rPr>
          <w:rFonts w:hint="eastAsia" w:ascii="黑体" w:hAnsi="黑体" w:eastAsia="黑体" w:cs="黑体"/>
          <w:b/>
          <w:bCs w:val="0"/>
          <w:color w:val="auto"/>
          <w:sz w:val="24"/>
          <w:szCs w:val="24"/>
          <w:highlight w:val="none"/>
          <w:lang w:val="zh-CN" w:eastAsia="zh-CN" w:bidi="ar"/>
        </w:rPr>
        <w:t xml:space="preserve">三</w:t>
      </w:r>
      <w:r>
        <w:rPr>
          <w:rFonts w:hint="eastAsia" w:ascii="黑体" w:hAnsi="黑体" w:eastAsia="黑体" w:cs="黑体"/>
          <w:b/>
          <w:bCs w:val="0"/>
          <w:color w:val="auto"/>
          <w:sz w:val="24"/>
          <w:szCs w:val="24"/>
          <w:highlight w:val="none"/>
          <w:lang w:val="en-US" w:eastAsia="zh-CN" w:bidi="ar"/>
        </w:rPr>
        <w:t xml:space="preserve">）</w:t>
      </w:r>
      <w:r>
        <w:rPr>
          <w:rFonts w:hint="eastAsia" w:ascii="黑体" w:hAnsi="黑体" w:eastAsia="黑体" w:cs="黑体"/>
          <w:b/>
          <w:bCs w:val="0"/>
          <w:color w:val="auto"/>
          <w:sz w:val="24"/>
          <w:szCs w:val="24"/>
          <w:highlight w:val="none"/>
          <w:lang w:val="zh-CN" w:eastAsia="zh-CN" w:bidi="ar"/>
        </w:rPr>
        <w:t xml:space="preserve">商务技术分</w:t>
      </w:r>
      <w:r>
        <w:rPr>
          <w:rFonts w:hint="eastAsia" w:ascii="黑体" w:hAnsi="黑体" w:eastAsia="黑体" w:cs="黑体"/>
          <w:b/>
          <w:bCs w:val="0"/>
          <w:color w:val="auto"/>
          <w:sz w:val="24"/>
          <w:szCs w:val="24"/>
          <w:highlight w:val="none"/>
          <w:lang w:val="en-US" w:eastAsia="zh-CN" w:bidi="ar"/>
        </w:rPr>
        <w:t xml:space="preserve">评分标准中要求提供的</w:t>
      </w:r>
      <w:r>
        <w:rPr>
          <w:rFonts w:hint="eastAsia" w:ascii="黑体" w:hAnsi="黑体" w:eastAsia="黑体" w:cs="黑体"/>
          <w:color w:val="auto"/>
          <w:sz w:val="24"/>
          <w:szCs w:val="24"/>
          <w:highlight w:val="none"/>
          <w:lang w:val="en-US" w:eastAsia="zh-CN"/>
        </w:rPr>
        <w:t xml:space="preserve">所有</w:t>
      </w:r>
      <w:r>
        <w:rPr>
          <w:rFonts w:hint="eastAsia" w:ascii="黑体" w:hAnsi="黑体" w:eastAsia="黑体" w:cs="黑体"/>
          <w:color w:val="auto"/>
          <w:sz w:val="24"/>
          <w:szCs w:val="24"/>
          <w:highlight w:val="none"/>
          <w:lang w:val="zh-CN" w:eastAsia="zh-CN"/>
        </w:rPr>
        <w:t xml:space="preserve">得分材料；</w:t>
      </w:r>
      <w:r/>
    </w:p>
    <w:p>
      <w:pPr>
        <w:pStyle w:val="945"/>
        <w:numPr>
          <w:ilvl w:val="0"/>
          <w:numId w:val="0"/>
        </w:numPr>
        <w:contextualSpacing/>
        <w:ind w:right="0" w:firstLine="240"/>
        <w:jc w:val="left"/>
        <w:keepLines w:val="0"/>
        <w:keepNext w:val="0"/>
        <w:pageBreakBefore w:val="0"/>
        <w:spacing w:line="440" w:lineRule="exact"/>
        <w:widowControl/>
        <w:rPr>
          <w:rFonts w:hint="eastAsia" w:ascii="黑体" w:hAnsi="黑体" w:eastAsia="黑体" w:cs="黑体"/>
          <w:color w:val="auto"/>
          <w:sz w:val="24"/>
          <w:szCs w:val="24"/>
          <w:highlight w:val="none"/>
          <w:lang w:val="zh-CN" w:eastAsia="zh-CN"/>
        </w:rPr>
      </w:pP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color w:val="auto"/>
          <w:sz w:val="24"/>
          <w:szCs w:val="24"/>
          <w:highlight w:val="none"/>
          <w:lang w:val="zh-CN" w:eastAsia="zh-CN"/>
        </w:rPr>
        <w:t xml:space="preserve">供应商认为需要提交的其他商务技术材料。</w:t>
      </w:r>
      <w:r/>
    </w:p>
    <w:p>
      <w:pPr>
        <w:pStyle w:val="945"/>
        <w:ind w:firstLine="482"/>
        <w:jc w:val="left"/>
        <w:keepLines w:val="0"/>
        <w:keepNext w:val="0"/>
        <w:pageBreakBefore w:val="0"/>
        <w:spacing w:line="440" w:lineRule="exact"/>
        <w:widowControl/>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eastAsia="zh-CN"/>
        </w:rPr>
        <w:t xml:space="preserve">注：①以上材料如为原件扫描件均需加盖供应商公章。</w:t>
      </w:r>
      <w:r/>
    </w:p>
    <w:p>
      <w:pPr>
        <w:pStyle w:val="945"/>
        <w:ind w:left="0" w:firstLine="482"/>
        <w:jc w:val="left"/>
        <w:keepLines w:val="0"/>
        <w:keepNext w:val="0"/>
        <w:pageBreakBefore w:val="0"/>
        <w:spacing w:line="440" w:lineRule="exact"/>
        <w:widowControl/>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eastAsia="zh-CN"/>
        </w:rPr>
        <w:t xml:space="preserve">②为方便评委评审，请投标供应商按评标办法中所涉及的事项顺序进行编制，可以补充相关材料。</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特别提醒：“资格审查文件”、“商务技术标”所须提供材料的原件扫描件（须加盖投标供应商公章）按招标文件要求装订，密封，递交。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r/>
    </w:p>
    <w:p>
      <w:pPr>
        <w:pStyle w:val="945"/>
        <w:ind w:firstLine="482"/>
        <w:jc w:val="left"/>
        <w:keepLines w:val="0"/>
        <w:keepNext w:val="0"/>
        <w:pageBreakBefore w:val="0"/>
        <w:spacing w:line="440" w:lineRule="exact"/>
        <w:widowControl/>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val="en-US" w:eastAsia="zh-CN"/>
        </w:rPr>
        <w:t xml:space="preserve">四</w:t>
      </w:r>
      <w:r>
        <w:rPr>
          <w:rFonts w:hint="eastAsia" w:ascii="黑体" w:hAnsi="黑体" w:eastAsia="黑体" w:cs="黑体"/>
          <w:b/>
          <w:bCs/>
          <w:color w:val="auto"/>
          <w:sz w:val="24"/>
          <w:szCs w:val="24"/>
          <w:highlight w:val="none"/>
          <w:lang w:eastAsia="zh-CN"/>
        </w:rPr>
        <w:t xml:space="preserve">、价格标（一正四副，单独装订密封）</w:t>
      </w:r>
      <w:r/>
    </w:p>
    <w:p>
      <w:pPr>
        <w:pStyle w:val="945"/>
        <w:ind w:left="0" w:firstLine="482"/>
        <w:jc w:val="left"/>
        <w:keepLines w:val="0"/>
        <w:keepNext w:val="0"/>
        <w:pageBreakBefore w:val="0"/>
        <w:spacing w:line="440" w:lineRule="exact"/>
        <w:widowControl/>
        <w:rPr>
          <w:rFonts w:hint="eastAsia"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rPr>
        <w:t xml:space="preserve">1.</w:t>
      </w:r>
      <w:r>
        <w:rPr>
          <w:rFonts w:hint="eastAsia" w:ascii="黑体" w:hAnsi="黑体" w:eastAsia="黑体" w:cs="黑体"/>
          <w:b/>
          <w:bCs/>
          <w:color w:val="auto"/>
          <w:sz w:val="24"/>
          <w:szCs w:val="24"/>
          <w:highlight w:val="none"/>
          <w:lang w:val="en-US" w:eastAsia="zh-CN"/>
        </w:rPr>
        <w:t xml:space="preserve">开标一览表</w:t>
      </w:r>
      <w:r/>
    </w:p>
    <w:p>
      <w:pPr>
        <w:pStyle w:val="945"/>
        <w:ind w:left="0" w:firstLine="482"/>
        <w:jc w:val="left"/>
        <w:keepLines w:val="0"/>
        <w:keepNext w:val="0"/>
        <w:pageBreakBefore w:val="0"/>
        <w:spacing w:line="440" w:lineRule="exact"/>
        <w:widowControl/>
        <w:rPr>
          <w:rFonts w:hint="default" w:ascii="黑体" w:hAnsi="黑体" w:eastAsia="黑体" w:cs="黑体"/>
          <w:b/>
          <w:bCs/>
          <w:color w:val="auto"/>
          <w:sz w:val="24"/>
          <w:szCs w:val="24"/>
          <w:highlight w:val="none"/>
          <w:lang w:val="en-US" w:eastAsia="zh-CN"/>
        </w:rPr>
      </w:pPr>
      <w:r>
        <w:rPr>
          <w:rFonts w:hint="eastAsia" w:ascii="黑体" w:hAnsi="黑体" w:eastAsia="黑体" w:cs="黑体"/>
          <w:b/>
          <w:bCs/>
          <w:color w:val="auto"/>
          <w:sz w:val="24"/>
          <w:szCs w:val="24"/>
          <w:highlight w:val="none"/>
          <w:lang w:val="en-US" w:eastAsia="zh-CN"/>
        </w:rPr>
        <w:t xml:space="preserve">2.分项明细报价表</w:t>
      </w:r>
      <w:r/>
    </w:p>
    <w:p>
      <w:pPr>
        <w:numPr>
          <w:ilvl w:val="0"/>
          <w:numId w:val="0"/>
        </w:numPr>
        <w:ind w:left="426"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rPr>
        <w:br w:type="page" w:clear="all"/>
      </w:r>
      <w:r>
        <w:rPr>
          <w:rFonts w:hint="eastAsia" w:ascii="黑体" w:hAnsi="黑体" w:eastAsia="黑体" w:cs="黑体"/>
          <w:b/>
          <w:bCs/>
          <w:color w:val="auto"/>
          <w:sz w:val="24"/>
          <w:szCs w:val="24"/>
          <w:highlight w:val="none"/>
          <w:lang w:val="en-US" w:eastAsia="zh-CN" w:bidi="ar"/>
        </w:rPr>
        <w:t xml:space="preserve">附件：</w:t>
      </w:r>
      <w:r/>
    </w:p>
    <w:p>
      <w:pPr>
        <w:pStyle w:val="874"/>
        <w:ind w:left="0" w:right="0" w:firstLine="0"/>
        <w:jc w:val="left"/>
        <w:pageBreakBefore w:val="0"/>
        <w:spacing w:before="0" w:beforeAutospacing="0" w:after="120" w:afterAutospacing="0" w:line="440" w:lineRule="exact"/>
        <w:widowControl/>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eastAsia="zh-CN"/>
        </w:rPr>
        <w:t xml:space="preserve">封面格式</w:t>
      </w:r>
      <w:r>
        <w:rPr>
          <w:rFonts w:hint="eastAsia" w:ascii="黑体" w:hAnsi="黑体" w:eastAsia="黑体" w:cs="黑体"/>
          <w:b/>
          <w:bCs/>
          <w:color w:val="auto"/>
          <w:sz w:val="24"/>
          <w:szCs w:val="24"/>
          <w:highlight w:val="none"/>
          <w:lang w:val="en-US"/>
        </w:rPr>
        <w:t xml:space="preserve">                                                  </w:t>
      </w:r>
      <w:r/>
    </w:p>
    <w:p>
      <w:pPr>
        <w:pStyle w:val="874"/>
        <w:ind w:left="0" w:right="0" w:firstLine="0"/>
        <w:jc w:val="left"/>
        <w:pageBreakBefore w:val="0"/>
        <w:spacing w:before="0" w:beforeAutospacing="0" w:after="120" w:afterAutospacing="0" w:line="440" w:lineRule="exact"/>
        <w:widowControl/>
        <w:rPr>
          <w:rFonts w:hint="eastAsia" w:ascii="黑体" w:hAnsi="黑体" w:eastAsia="黑体" w:cs="黑体"/>
          <w:b/>
          <w:bCs/>
          <w:color w:val="auto"/>
          <w:sz w:val="24"/>
          <w:szCs w:val="24"/>
          <w:highlight w:val="none"/>
          <w:lang w:val="en-US"/>
        </w:rPr>
      </w:pPr>
      <w:r>
        <w:rPr>
          <w:rFonts w:hint="eastAsia" w:ascii="黑体" w:hAnsi="黑体" w:eastAsia="黑体" w:cs="黑体"/>
          <w:b/>
          <w:bCs/>
          <w:color w:val="auto"/>
          <w:sz w:val="24"/>
          <w:szCs w:val="24"/>
          <w:highlight w:val="none"/>
          <w:lang w:val="en-US"/>
        </w:rPr>
        <w:t xml:space="preserve">                                                          </w:t>
      </w:r>
      <w:r>
        <w:rPr>
          <w:rFonts w:hint="eastAsia" w:ascii="黑体" w:hAnsi="黑体" w:eastAsia="黑体" w:cs="黑体"/>
          <w:b/>
          <w:bCs/>
          <w:color w:val="auto"/>
          <w:sz w:val="24"/>
          <w:szCs w:val="24"/>
          <w:highlight w:val="none"/>
          <w:lang w:eastAsia="zh-CN"/>
        </w:rPr>
        <w:t xml:space="preserve">正本或副本</w:t>
      </w:r>
      <w:r/>
    </w:p>
    <w:p>
      <w:pPr>
        <w:pStyle w:val="874"/>
        <w:ind w:right="0"/>
        <w:jc w:val="left"/>
        <w:keepLines w:val="0"/>
        <w:keepNext w:val="0"/>
        <w:pageBreakBefore w:val="0"/>
        <w:spacing w:before="0" w:beforeAutospacing="0" w:after="120" w:afterAutospacing="0" w:line="860" w:lineRule="exact"/>
        <w:widowControl/>
        <w:rPr>
          <w:rFonts w:hint="eastAsia" w:ascii="黑体" w:hAnsi="黑体" w:eastAsia="黑体" w:cs="黑体"/>
          <w:color w:val="auto"/>
          <w:highlight w:val="none"/>
          <w:lang w:val="en-US"/>
        </w:rPr>
      </w:pPr>
      <w:r>
        <w:rPr>
          <w:rFonts w:hint="eastAsia" w:ascii="黑体" w:hAnsi="黑体" w:eastAsia="黑体" w:cs="黑体"/>
          <w:color w:val="auto"/>
          <w:highlight w:val="none"/>
          <w:lang w:val="en-US"/>
        </w:rPr>
      </w:r>
      <w:r/>
    </w:p>
    <w:p>
      <w:pPr>
        <w:ind w:left="0" w:right="0" w:firstLine="1687"/>
        <w:jc w:val="left"/>
        <w:keepLines w:val="0"/>
        <w:keepNext w:val="0"/>
        <w:pageBreakBefore w:val="0"/>
        <w:spacing w:before="0" w:beforeAutospacing="0" w:after="60" w:afterAutospacing="0" w:line="860" w:lineRule="exact"/>
        <w:widowControl w:val="off"/>
        <w:rPr>
          <w:rFonts w:hint="eastAsia" w:ascii="黑体" w:hAnsi="黑体" w:eastAsia="黑体" w:cs="黑体"/>
          <w:b/>
          <w:bCs/>
          <w:color w:val="auto"/>
          <w:sz w:val="84"/>
          <w:szCs w:val="84"/>
          <w:highlight w:val="none"/>
          <w:lang w:val="en-US"/>
        </w:rPr>
        <w:suppressLineNumbers w:val="0"/>
      </w:pPr>
      <w:r>
        <w:rPr>
          <w:rFonts w:hint="eastAsia" w:ascii="黑体" w:hAnsi="黑体" w:eastAsia="黑体" w:cs="黑体"/>
          <w:b/>
          <w:bCs/>
          <w:color w:val="auto"/>
          <w:sz w:val="84"/>
          <w:szCs w:val="84"/>
          <w:highlight w:val="none"/>
          <w:lang w:val="en-US" w:eastAsia="zh-CN" w:bidi="ar"/>
        </w:rPr>
        <w:t xml:space="preserve">投 标 文 件</w:t>
      </w:r>
      <w:r/>
    </w:p>
    <w:p>
      <w:pPr>
        <w:ind w:left="0" w:right="0"/>
        <w:jc w:val="left"/>
        <w:keepLines w:val="0"/>
        <w:keepNext w:val="0"/>
        <w:pageBreakBefore w:val="0"/>
        <w:spacing w:before="0" w:beforeAutospacing="0" w:after="60" w:afterAutospacing="0" w:line="860" w:lineRule="exact"/>
        <w:widowControl w:val="off"/>
        <w:rPr>
          <w:rFonts w:hint="eastAsia" w:ascii="黑体" w:hAnsi="黑体" w:eastAsia="黑体" w:cs="黑体"/>
          <w:b/>
          <w:bCs/>
          <w:color w:val="auto"/>
          <w:sz w:val="56"/>
          <w:szCs w:val="56"/>
          <w:highlight w:val="none"/>
          <w:lang w:val="en-US"/>
        </w:rPr>
        <w:suppressLineNumbers w:val="0"/>
      </w:pPr>
      <w:r>
        <w:rPr>
          <w:rFonts w:hint="eastAsia" w:ascii="黑体" w:hAnsi="黑体" w:eastAsia="黑体" w:cs="黑体"/>
          <w:b/>
          <w:bCs/>
          <w:color w:val="auto"/>
          <w:sz w:val="56"/>
          <w:szCs w:val="56"/>
          <w:highlight w:val="none"/>
          <w:lang w:val="en-US" w:eastAsia="zh-CN" w:bidi="ar"/>
        </w:rPr>
        <w:t xml:space="preserve">（资格审查文件/商务技术标/价格标）</w:t>
      </w:r>
      <w:r/>
    </w:p>
    <w:p>
      <w:pPr>
        <w:ind w:left="0" w:right="0"/>
        <w:jc w:val="left"/>
        <w:keepLines w:val="0"/>
        <w:keepNext w:val="0"/>
        <w:pageBreakBefore w:val="0"/>
        <w:spacing w:before="0" w:beforeAutospacing="0" w:after="60" w:afterAutospacing="0" w:line="440" w:lineRule="exact"/>
        <w:widowControl w:val="off"/>
        <w:rPr>
          <w:rFonts w:hint="eastAsia" w:ascii="黑体" w:hAnsi="黑体" w:eastAsia="黑体" w:cs="黑体"/>
          <w:b/>
          <w:bCs/>
          <w:color w:val="auto"/>
          <w:sz w:val="72"/>
          <w:szCs w:val="72"/>
          <w:highlight w:val="none"/>
          <w:lang w:val="en-US"/>
        </w:rPr>
        <w:suppressLineNumbers w:val="0"/>
      </w:pPr>
      <w:r>
        <w:rPr>
          <w:rFonts w:hint="eastAsia" w:ascii="黑体" w:hAnsi="黑体" w:eastAsia="黑体" w:cs="黑体"/>
          <w:b/>
          <w:bCs/>
          <w:color w:val="auto"/>
          <w:sz w:val="72"/>
          <w:szCs w:val="72"/>
          <w:highlight w:val="none"/>
          <w:lang w:val="en-US"/>
        </w:rPr>
      </w:r>
      <w:r/>
    </w:p>
    <w:p>
      <w:pPr>
        <w:ind w:left="0" w:right="0"/>
        <w:jc w:val="left"/>
        <w:keepLines w:val="0"/>
        <w:keepNext w:val="0"/>
        <w:pageBreakBefore w:val="0"/>
        <w:spacing w:before="0" w:beforeAutospacing="0" w:after="60" w:afterAutospacing="0" w:line="440" w:lineRule="exact"/>
        <w:widowControl w:val="off"/>
        <w:rPr>
          <w:rFonts w:hint="eastAsia" w:ascii="黑体" w:hAnsi="黑体" w:eastAsia="黑体" w:cs="黑体"/>
          <w:b/>
          <w:bCs/>
          <w:color w:val="auto"/>
          <w:sz w:val="72"/>
          <w:szCs w:val="72"/>
          <w:highlight w:val="none"/>
          <w:lang w:val="en-US"/>
        </w:rPr>
        <w:suppressLineNumbers w:val="0"/>
      </w:pPr>
      <w:r>
        <w:rPr>
          <w:rFonts w:hint="eastAsia" w:ascii="黑体" w:hAnsi="黑体" w:eastAsia="黑体" w:cs="黑体"/>
          <w:b/>
          <w:bCs/>
          <w:color w:val="auto"/>
          <w:sz w:val="72"/>
          <w:szCs w:val="72"/>
          <w:highlight w:val="none"/>
          <w:lang w:val="en-US"/>
        </w:rPr>
      </w:r>
      <w:r/>
    </w:p>
    <w:p>
      <w:pPr>
        <w:ind w:left="0" w:right="0" w:firstLine="843"/>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eastAsia="zh-CN" w:bidi="ar"/>
        </w:rPr>
        <w:suppressLineNumbers w:val="0"/>
      </w:pPr>
      <w:r>
        <w:rPr>
          <w:rFonts w:hint="eastAsia" w:ascii="黑体" w:hAnsi="黑体" w:eastAsia="黑体" w:cs="黑体"/>
          <w:b/>
          <w:bCs/>
          <w:color w:val="auto"/>
          <w:sz w:val="28"/>
          <w:szCs w:val="28"/>
          <w:highlight w:val="none"/>
          <w:lang w:val="en-US" w:eastAsia="zh-CN" w:bidi="ar"/>
        </w:rPr>
      </w:r>
      <w:r/>
    </w:p>
    <w:p>
      <w:pPr>
        <w:ind w:left="0" w:right="0" w:firstLine="843"/>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eastAsia="zh-CN" w:bidi="ar"/>
        </w:rPr>
        <w:suppressLineNumbers w:val="0"/>
      </w:pPr>
      <w:r>
        <w:rPr>
          <w:rFonts w:hint="eastAsia" w:ascii="黑体" w:hAnsi="黑体" w:eastAsia="黑体" w:cs="黑体"/>
          <w:b/>
          <w:bCs/>
          <w:color w:val="auto"/>
          <w:sz w:val="28"/>
          <w:szCs w:val="28"/>
          <w:highlight w:val="none"/>
          <w:lang w:val="en-US" w:eastAsia="zh-CN" w:bidi="ar"/>
        </w:rPr>
      </w:r>
      <w:r/>
    </w:p>
    <w:p>
      <w:pPr>
        <w:ind w:left="0" w:right="0" w:firstLine="843"/>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eastAsia="zh-CN" w:bidi="ar"/>
        </w:rPr>
        <w:suppressLineNumbers w:val="0"/>
      </w:pPr>
      <w:r>
        <w:rPr>
          <w:rFonts w:hint="eastAsia" w:ascii="黑体" w:hAnsi="黑体" w:eastAsia="黑体" w:cs="黑体"/>
          <w:b/>
          <w:bCs/>
          <w:color w:val="auto"/>
          <w:sz w:val="28"/>
          <w:szCs w:val="28"/>
          <w:highlight w:val="none"/>
          <w:lang w:val="en-US" w:eastAsia="zh-CN" w:bidi="ar"/>
        </w:rPr>
      </w:r>
      <w:r/>
    </w:p>
    <w:p>
      <w:pPr>
        <w:ind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eastAsia="zh-CN" w:bidi="ar"/>
        </w:rPr>
        <w:suppressLineNumbers w:val="0"/>
      </w:pPr>
      <w:r>
        <w:rPr>
          <w:rFonts w:hint="eastAsia" w:ascii="黑体" w:hAnsi="黑体" w:eastAsia="黑体" w:cs="黑体"/>
          <w:b/>
          <w:bCs/>
          <w:color w:val="auto"/>
          <w:sz w:val="28"/>
          <w:szCs w:val="28"/>
          <w:highlight w:val="none"/>
          <w:lang w:val="en-US" w:eastAsia="zh-CN" w:bidi="ar"/>
        </w:rPr>
      </w:r>
      <w:r/>
    </w:p>
    <w:p>
      <w:pPr>
        <w:ind w:left="0" w:right="0" w:firstLine="843"/>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rPr>
        <w:suppressLineNumbers w:val="0"/>
      </w:pPr>
      <w:r>
        <w:rPr>
          <w:rFonts w:hint="eastAsia" w:ascii="黑体" w:hAnsi="黑体" w:eastAsia="黑体" w:cs="黑体"/>
          <w:b/>
          <w:bCs/>
          <w:color w:val="auto"/>
          <w:sz w:val="28"/>
          <w:szCs w:val="28"/>
          <w:highlight w:val="none"/>
          <w:lang w:val="en-US" w:eastAsia="zh-CN" w:bidi="ar"/>
        </w:rPr>
        <w:t xml:space="preserve">项目名称：</w:t>
      </w:r>
      <w:r/>
    </w:p>
    <w:p>
      <w:pPr>
        <w:ind w:left="0" w:right="0" w:firstLine="843"/>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u w:val="single"/>
          <w:lang w:val="en-US"/>
        </w:rPr>
        <w:suppressLineNumbers w:val="0"/>
      </w:pPr>
      <w:r>
        <w:rPr>
          <w:rFonts w:hint="eastAsia" w:ascii="黑体" w:hAnsi="黑体" w:eastAsia="黑体" w:cs="黑体"/>
          <w:b/>
          <w:bCs/>
          <w:color w:val="auto"/>
          <w:sz w:val="28"/>
          <w:szCs w:val="28"/>
          <w:highlight w:val="none"/>
          <w:lang w:val="en-US" w:eastAsia="zh-CN" w:bidi="ar"/>
        </w:rPr>
        <w:t xml:space="preserve">项目编号：</w:t>
      </w:r>
      <w:r/>
    </w:p>
    <w:p>
      <w:pPr>
        <w:ind w:left="0" w:right="0" w:firstLine="843"/>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rPr>
        <w:suppressLineNumbers w:val="0"/>
      </w:pPr>
      <w:r>
        <w:rPr>
          <w:rFonts w:hint="eastAsia" w:ascii="黑体" w:hAnsi="黑体" w:eastAsia="黑体" w:cs="黑体"/>
          <w:b/>
          <w:bCs/>
          <w:color w:val="auto"/>
          <w:sz w:val="28"/>
          <w:szCs w:val="28"/>
          <w:highlight w:val="none"/>
          <w:lang w:val="en-US" w:eastAsia="zh-CN" w:bidi="ar"/>
        </w:rPr>
        <w:t xml:space="preserve">响应供应商名称：</w:t>
      </w:r>
      <w:r/>
    </w:p>
    <w:p>
      <w:pPr>
        <w:ind w:left="0" w:right="0" w:firstLine="843"/>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rPr>
        <w:suppressLineNumbers w:val="0"/>
      </w:pPr>
      <w:r>
        <w:rPr>
          <w:rFonts w:hint="eastAsia" w:ascii="黑体" w:hAnsi="黑体" w:eastAsia="黑体" w:cs="黑体"/>
          <w:b/>
          <w:bCs/>
          <w:color w:val="auto"/>
          <w:sz w:val="28"/>
          <w:szCs w:val="28"/>
          <w:highlight w:val="none"/>
          <w:lang w:val="en-US" w:eastAsia="zh-CN" w:bidi="ar"/>
        </w:rPr>
        <w:t xml:space="preserve">日 期：</w:t>
      </w:r>
      <w:r/>
    </w:p>
    <w:p>
      <w:pPr>
        <w:pStyle w:val="972"/>
        <w:ind w:left="0" w:firstLine="2164"/>
        <w:jc w:val="left"/>
        <w:pageBreakBefore w:val="0"/>
        <w:spacing w:line="440" w:lineRule="exact"/>
        <w:widowControl/>
        <w:rPr>
          <w:rFonts w:hint="eastAsia" w:ascii="黑体" w:hAnsi="黑体" w:eastAsia="黑体" w:cs="黑体"/>
          <w:b/>
          <w:bCs/>
          <w:color w:val="auto"/>
          <w:sz w:val="28"/>
          <w:szCs w:val="28"/>
          <w:highlight w:val="none"/>
          <w:u w:val="none"/>
          <w:lang w:val="en-US"/>
        </w:rPr>
      </w:pPr>
      <w:r>
        <w:rPr>
          <w:rFonts w:hint="eastAsia" w:ascii="黑体" w:hAnsi="黑体" w:eastAsia="黑体" w:cs="黑体"/>
          <w:b/>
          <w:bCs/>
          <w:color w:val="auto"/>
          <w:sz w:val="28"/>
          <w:szCs w:val="28"/>
          <w:highlight w:val="none"/>
          <w:u w:val="none"/>
          <w:lang w:val="en-US" w:eastAsia="zh-CN" w:bidi="ar"/>
        </w:rPr>
        <w:t xml:space="preserve">投标前不得启封</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1"/>
        <w:suppressLineNumbers w:val="0"/>
      </w:pPr>
      <w:r>
        <w:rPr>
          <w:rFonts w:hint="eastAsia" w:ascii="黑体" w:hAnsi="黑体" w:eastAsia="黑体" w:cs="黑体"/>
          <w:b/>
          <w:bCs w:val="0"/>
          <w:color w:val="auto"/>
          <w:spacing w:val="30"/>
          <w:sz w:val="25"/>
          <w:szCs w:val="25"/>
          <w:highlight w:val="none"/>
          <w:lang w:val="en-US"/>
        </w:rPr>
        <w:br w:type="page" w:clear="all"/>
      </w:r>
      <w:r>
        <w:rPr>
          <w:rFonts w:hint="eastAsia" w:ascii="黑体" w:hAnsi="黑体" w:eastAsia="黑体" w:cs="黑体"/>
          <w:b/>
          <w:bCs/>
          <w:color w:val="auto"/>
          <w:sz w:val="24"/>
          <w:szCs w:val="24"/>
          <w:highlight w:val="none"/>
          <w:lang w:val="en-US" w:eastAsia="zh-CN" w:bidi="ar"/>
        </w:rPr>
        <w:t xml:space="preserve">A.资格审查文件相关的格式文件及表格（单独密封）</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rPr>
      </w:r>
      <w:r/>
    </w:p>
    <w:p>
      <w:pPr>
        <w:ind w:left="0" w:right="0" w:firstLine="1968"/>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rPr>
        <w:outlineLvl w:val="4"/>
        <w:suppressLineNumbers w:val="0"/>
      </w:pPr>
      <w:r>
        <w:rPr>
          <w:rFonts w:hint="eastAsia" w:ascii="黑体" w:hAnsi="黑体" w:eastAsia="黑体" w:cs="黑体"/>
          <w:b/>
          <w:bCs/>
          <w:color w:val="auto"/>
          <w:sz w:val="28"/>
          <w:szCs w:val="28"/>
          <w:highlight w:val="none"/>
          <w:lang w:val="en-US" w:eastAsia="zh-CN" w:bidi="ar"/>
        </w:rPr>
        <w:t xml:space="preserve">1、法定代表人身份证明</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u w:val="single"/>
          <w:lang w:val="en-US" w:eastAsia="zh-CN" w:bidi="ar"/>
        </w:rPr>
        <w:t xml:space="preserve">（法定代表人参加投标时，须出示此证明）</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u w:val="single"/>
          <w:lang w:val="en-US" w:eastAsia="zh-CN" w:bidi="ar"/>
        </w:rPr>
        <w:t xml:space="preserve">南通市新开街道办事处</w:t>
      </w:r>
      <w:r>
        <w:rPr>
          <w:rFonts w:hint="eastAsia" w:ascii="黑体" w:hAnsi="黑体" w:eastAsia="黑体" w:cs="黑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我公司法定代表人</w:t>
      </w:r>
      <w:r>
        <w:rPr>
          <w:rFonts w:hint="eastAsia" w:ascii="黑体" w:hAnsi="黑体" w:eastAsia="黑体" w:cs="黑体"/>
          <w:color w:val="auto"/>
          <w:sz w:val="24"/>
          <w:szCs w:val="24"/>
          <w:highlight w:val="none"/>
          <w:u w:val="single"/>
          <w:lang w:val="en-US" w:eastAsia="zh-CN" w:bidi="ar"/>
        </w:rPr>
        <w:t xml:space="preserve">     　　　   </w:t>
      </w:r>
      <w:r>
        <w:rPr>
          <w:rFonts w:hint="eastAsia" w:ascii="黑体" w:hAnsi="黑体" w:eastAsia="黑体" w:cs="黑体"/>
          <w:color w:val="auto"/>
          <w:sz w:val="24"/>
          <w:szCs w:val="24"/>
          <w:highlight w:val="none"/>
          <w:lang w:val="en-US" w:eastAsia="zh-CN" w:bidi="ar"/>
        </w:rPr>
        <w:t xml:space="preserve">参加贵单位组织的（招标项目名称及项目编号)的项目投标活动，全权代表我公司处理投标的有关事宜。</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firstLine="484"/>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附：法定代表人情况：</w:t>
      </w:r>
      <w:r/>
    </w:p>
    <w:p>
      <w:pPr>
        <w:ind w:left="0" w:right="0" w:firstLine="484"/>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姓名：性别：年龄：职务：</w:t>
      </w:r>
      <w:r/>
    </w:p>
    <w:p>
      <w:pPr>
        <w:ind w:left="0" w:right="0" w:firstLine="484"/>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身份证号码：</w:t>
      </w:r>
      <w:r/>
    </w:p>
    <w:p>
      <w:pPr>
        <w:ind w:left="0" w:right="0" w:firstLine="484"/>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手机：传真：</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 </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单位名称（公章）                   法定代表人（签字或盖章）</w:t>
      </w:r>
      <w:r/>
    </w:p>
    <w:p>
      <w:pPr>
        <w:ind w:left="0" w:right="0" w:firstLine="120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年   月   日                      年   月    日  </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法定代表人身份证原件扫描件</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firstLine="22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（粘贴此处）</w:t>
      </w:r>
      <w:r/>
    </w:p>
    <w:p>
      <w:pPr>
        <w:ind w:left="0" w:right="0" w:firstLine="22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rPr>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注:</w:t>
      </w:r>
      <w:r>
        <w:rPr>
          <w:rFonts w:hint="eastAsia" w:ascii="黑体" w:hAnsi="黑体" w:eastAsia="黑体" w:cs="黑体"/>
          <w:color w:val="auto"/>
          <w:sz w:val="24"/>
          <w:szCs w:val="24"/>
          <w:highlight w:val="none"/>
          <w:lang w:val="en-US" w:eastAsia="zh-CN" w:bidi="ar"/>
        </w:rPr>
        <w:t xml:space="preserve">如为法定代表人参加投标时，需将身份证原件带至开标现场备查。</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8"/>
          <w:szCs w:val="28"/>
          <w:highlight w:val="none"/>
          <w:lang w:val="en-US"/>
        </w:rPr>
        <w:outlineLvl w:val="4"/>
        <w:suppressLineNumbers w:val="0"/>
      </w:pPr>
      <w:r>
        <w:rPr>
          <w:rFonts w:hint="eastAsia" w:ascii="黑体" w:hAnsi="黑体" w:eastAsia="黑体" w:cs="黑体"/>
          <w:b/>
          <w:bCs/>
          <w:color w:val="auto"/>
          <w:sz w:val="24"/>
          <w:szCs w:val="24"/>
          <w:highlight w:val="none"/>
          <w:lang w:val="en-US" w:eastAsia="zh-CN" w:bidi="ar"/>
        </w:rPr>
        <w:br w:type="page" w:clear="all"/>
      </w:r>
      <w:r>
        <w:rPr>
          <w:rFonts w:hint="eastAsia" w:ascii="黑体" w:hAnsi="黑体" w:eastAsia="黑体" w:cs="黑体"/>
          <w:b/>
          <w:bCs/>
          <w:color w:val="auto"/>
          <w:sz w:val="24"/>
          <w:szCs w:val="24"/>
          <w:highlight w:val="none"/>
          <w:lang w:val="en-US" w:eastAsia="zh-CN" w:bidi="ar"/>
        </w:rPr>
        <w:t xml:space="preserve">                 </w:t>
      </w:r>
      <w:r>
        <w:rPr>
          <w:rFonts w:hint="eastAsia" w:ascii="黑体" w:hAnsi="黑体" w:eastAsia="黑体" w:cs="黑体"/>
          <w:b/>
          <w:bCs/>
          <w:color w:val="auto"/>
          <w:sz w:val="28"/>
          <w:szCs w:val="28"/>
          <w:highlight w:val="none"/>
          <w:lang w:val="en-US" w:eastAsia="zh-CN" w:bidi="ar"/>
        </w:rPr>
        <w:t xml:space="preserve">  2、授权委托书</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u w:val="single"/>
          <w:lang w:val="en-US" w:eastAsia="zh-CN" w:bidi="ar"/>
        </w:rPr>
        <w:t xml:space="preserve">（被授权人参加投标时，须出示此证明）</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u w:val="single"/>
          <w:lang w:val="en-US" w:eastAsia="zh-CN" w:bidi="ar"/>
        </w:rPr>
        <w:t xml:space="preserve">南通市新开街道办事处</w:t>
      </w:r>
      <w:r>
        <w:rPr>
          <w:rFonts w:hint="eastAsia" w:ascii="黑体" w:hAnsi="黑体" w:eastAsia="黑体" w:cs="黑体"/>
          <w:color w:val="auto"/>
          <w:sz w:val="24"/>
          <w:szCs w:val="24"/>
          <w:highlight w:val="none"/>
          <w:lang w:val="en-US" w:eastAsia="zh-CN" w:bidi="ar"/>
        </w:rPr>
        <w:t xml:space="preserve">：</w:t>
      </w:r>
      <w:r/>
    </w:p>
    <w:p>
      <w:pPr>
        <w:ind w:left="1"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兹授权</w:t>
      </w:r>
      <w:r>
        <w:rPr>
          <w:rFonts w:hint="eastAsia" w:ascii="黑体" w:hAnsi="黑体" w:eastAsia="黑体" w:cs="黑体"/>
          <w:color w:val="auto"/>
          <w:sz w:val="24"/>
          <w:szCs w:val="24"/>
          <w:highlight w:val="none"/>
          <w:u w:val="single"/>
          <w:lang w:val="en-US" w:eastAsia="zh-CN" w:bidi="ar"/>
        </w:rPr>
        <w:t xml:space="preserve">               （</w:t>
      </w:r>
      <w:r>
        <w:rPr>
          <w:rFonts w:hint="eastAsia" w:ascii="黑体" w:hAnsi="黑体" w:eastAsia="黑体" w:cs="黑体"/>
          <w:color w:val="auto"/>
          <w:sz w:val="24"/>
          <w:szCs w:val="24"/>
          <w:highlight w:val="none"/>
          <w:lang w:val="en-US" w:eastAsia="zh-CN" w:bidi="ar"/>
        </w:rPr>
        <w:t xml:space="preserve">被授权人的姓名）代表我公司参加（招标项目名称及项目编号)项目的投标活动，全权处理一切与该项目投标有关的事务。其在办理上述事宜过程中所签署的所有文件我公司均予以承认。</w:t>
      </w:r>
      <w:r/>
    </w:p>
    <w:p>
      <w:pPr>
        <w:ind w:left="1"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被授权人无转委托权。特此委托。</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附：被授权人情况：</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姓名：性别：年龄：职务：</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身份证号码：</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手机：传真：</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 </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单位名称（公章）                      法定代表人（签字或盖章）</w:t>
      </w:r>
      <w:r/>
    </w:p>
    <w:p>
      <w:pPr>
        <w:ind w:left="0" w:right="0" w:firstLine="120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年   月   日                        年   月   日</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法定代表人身份证正反面原件扫描件</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（粘贴此处）</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被授权人身份证正反面原件扫描件</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（粘贴此处）</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rPr>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u w:val="single"/>
          <w:lang w:val="en-US"/>
        </w:rPr>
        <w:suppressLineNumbers w:val="0"/>
      </w:pPr>
      <w:r>
        <w:rPr>
          <w:rFonts w:hint="eastAsia" w:ascii="黑体" w:hAnsi="黑体" w:eastAsia="黑体" w:cs="黑体"/>
          <w:b/>
          <w:bCs/>
          <w:color w:val="auto"/>
          <w:sz w:val="24"/>
          <w:szCs w:val="24"/>
          <w:highlight w:val="none"/>
          <w:u w:val="single"/>
          <w:lang w:val="en-US" w:eastAsia="zh-CN" w:bidi="ar"/>
        </w:rPr>
        <w:t xml:space="preserve">注:如为被授权人参加投标时，需将身份证原件带至开标现场备查。</w:t>
      </w:r>
      <w:r/>
    </w:p>
    <w:p>
      <w:pPr>
        <w:pStyle w:val="874"/>
        <w:ind w:right="0" w:firstLine="480"/>
        <w:jc w:val="left"/>
        <w:pageBreakBefore w:val="0"/>
        <w:spacing w:before="0" w:beforeAutospacing="0" w:after="120" w:afterAutospacing="0" w:line="440" w:lineRule="exact"/>
        <w:widowControl/>
        <w:rPr>
          <w:rFonts w:hint="eastAsia" w:ascii="黑体" w:hAnsi="黑体" w:eastAsia="黑体" w:cs="黑体"/>
          <w:b/>
          <w:bCs/>
          <w:color w:val="auto"/>
          <w:sz w:val="28"/>
          <w:szCs w:val="28"/>
          <w:highlight w:val="none"/>
          <w:lang w:val="en-US"/>
        </w:rPr>
      </w:pPr>
      <w:r>
        <w:rPr>
          <w:rFonts w:hint="eastAsia" w:ascii="黑体" w:hAnsi="黑体" w:eastAsia="黑体" w:cs="黑体"/>
          <w:color w:val="auto"/>
          <w:sz w:val="24"/>
          <w:szCs w:val="24"/>
          <w:highlight w:val="none"/>
          <w:lang w:val="en-US" w:eastAsia="zh-CN" w:bidi="ar"/>
        </w:rPr>
        <w:br w:type="page" w:clear="all"/>
      </w:r>
      <w:r>
        <w:rPr>
          <w:rFonts w:hint="eastAsia" w:ascii="黑体" w:hAnsi="黑体" w:eastAsia="黑体" w:cs="黑体"/>
          <w:b/>
          <w:bCs/>
          <w:color w:val="auto"/>
          <w:sz w:val="28"/>
          <w:szCs w:val="28"/>
          <w:highlight w:val="none"/>
          <w:lang w:val="en-US"/>
        </w:rPr>
        <w:t xml:space="preserve">3</w:t>
      </w:r>
      <w:r>
        <w:rPr>
          <w:rFonts w:hint="eastAsia" w:ascii="黑体" w:hAnsi="黑体" w:eastAsia="黑体" w:cs="黑体"/>
          <w:b/>
          <w:bCs/>
          <w:color w:val="auto"/>
          <w:sz w:val="28"/>
          <w:szCs w:val="28"/>
          <w:highlight w:val="none"/>
          <w:lang w:eastAsia="zh-CN"/>
        </w:rPr>
        <w:t xml:space="preserve">、供应商符合《政府采购法》第二十二条规定条件的声明函</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44"/>
          <w:szCs w:val="44"/>
          <w:highlight w:val="none"/>
          <w:lang w:val="en-US"/>
        </w:rPr>
        <w:suppressLineNumbers w:val="0"/>
      </w:pPr>
      <w:r>
        <w:rPr>
          <w:rFonts w:hint="eastAsia" w:ascii="黑体" w:hAnsi="黑体" w:eastAsia="黑体" w:cs="黑体"/>
          <w:b/>
          <w:bCs/>
          <w:color w:val="auto"/>
          <w:sz w:val="44"/>
          <w:szCs w:val="44"/>
          <w:highlight w:val="none"/>
          <w:lang w:val="en-US"/>
        </w:rPr>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我单位参加</w:t>
      </w:r>
      <w:r>
        <w:rPr>
          <w:rFonts w:hint="eastAsia" w:ascii="黑体" w:hAnsi="黑体" w:eastAsia="黑体" w:cs="黑体"/>
          <w:bCs/>
          <w:color w:val="auto"/>
          <w:sz w:val="24"/>
          <w:szCs w:val="21"/>
          <w:highlight w:val="none"/>
          <w:lang w:val="en-US" w:eastAsia="zh-CN" w:bidi="ar"/>
        </w:rPr>
        <w:t xml:space="preserve">（项目名称），（项目编号）投标活动。针对《中华人民共和国政府采购法》第二十二条规定做出如下声明：</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bCs/>
          <w:color w:val="auto"/>
          <w:sz w:val="24"/>
          <w:szCs w:val="21"/>
          <w:highlight w:val="none"/>
          <w:lang w:val="en-US" w:eastAsia="zh-CN" w:bidi="ar"/>
        </w:rPr>
        <w:t xml:space="preserve">1.我单位具有独立承担民事责任的能力；</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2.我单位具有良好的商业信誉和健全的财务会计制度；</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3.我单位具有履行合同所必需的设备和专业技术能力；</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4.我单位有依法缴纳税收和社会保障资金的良好记录；</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6.我单位满足法律、行政法规规定的其他条件。</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1"/>
          <w:highlight w:val="none"/>
          <w:lang w:val="en-US"/>
        </w:rPr>
        <w:suppressLineNumbers w:val="0"/>
      </w:pPr>
      <w:r>
        <w:rPr>
          <w:rFonts w:hint="eastAsia" w:ascii="黑体" w:hAnsi="黑体" w:eastAsia="黑体" w:cs="黑体"/>
          <w:bCs/>
          <w:color w:val="auto"/>
          <w:sz w:val="24"/>
          <w:szCs w:val="21"/>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1"/>
          <w:highlight w:val="none"/>
          <w:lang w:val="en-US"/>
        </w:rPr>
        <w:suppressLineNumbers w:val="0"/>
      </w:pPr>
      <w:r>
        <w:rPr>
          <w:rFonts w:hint="eastAsia" w:ascii="黑体" w:hAnsi="黑体" w:eastAsia="黑体" w:cs="黑体"/>
          <w:bCs/>
          <w:color w:val="auto"/>
          <w:sz w:val="24"/>
          <w:szCs w:val="21"/>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1"/>
          <w:highlight w:val="none"/>
          <w:lang w:val="en-US"/>
        </w:rPr>
        <w:suppressLineNumbers w:val="0"/>
      </w:pPr>
      <w:r>
        <w:rPr>
          <w:rFonts w:hint="eastAsia" w:ascii="黑体" w:hAnsi="黑体" w:eastAsia="黑体" w:cs="黑体"/>
          <w:bCs/>
          <w:color w:val="auto"/>
          <w:sz w:val="24"/>
          <w:szCs w:val="21"/>
          <w:highlight w:val="none"/>
          <w:lang w:val="en-US" w:eastAsia="zh-CN" w:bidi="ar"/>
        </w:rPr>
        <w:t xml:space="preserve">                                             承诺人名称（公章）：</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1"/>
          <w:highlight w:val="none"/>
          <w:lang w:val="en-US"/>
        </w:rPr>
        <w:suppressLineNumbers w:val="0"/>
      </w:pPr>
      <w:r>
        <w:rPr>
          <w:rFonts w:hint="eastAsia" w:ascii="黑体" w:hAnsi="黑体" w:eastAsia="黑体" w:cs="黑体"/>
          <w:bCs/>
          <w:color w:val="auto"/>
          <w:sz w:val="24"/>
          <w:szCs w:val="21"/>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1"/>
          <w:highlight w:val="none"/>
          <w:lang w:val="en-US"/>
        </w:rPr>
        <w:suppressLineNumbers w:val="0"/>
      </w:pPr>
      <w:r>
        <w:rPr>
          <w:rFonts w:hint="eastAsia" w:ascii="黑体" w:hAnsi="黑体" w:eastAsia="黑体" w:cs="黑体"/>
          <w:bCs/>
          <w:color w:val="auto"/>
          <w:sz w:val="24"/>
          <w:szCs w:val="21"/>
          <w:highlight w:val="none"/>
          <w:lang w:val="en-US" w:eastAsia="zh-CN" w:bidi="ar"/>
        </w:rPr>
        <w:t xml:space="preserve">                                 日期：</w:t>
      </w:r>
      <w:r>
        <w:rPr>
          <w:rFonts w:hint="eastAsia" w:ascii="黑体" w:hAnsi="黑体" w:eastAsia="黑体" w:cs="黑体"/>
          <w:bCs/>
          <w:color w:val="auto"/>
          <w:sz w:val="24"/>
          <w:szCs w:val="21"/>
          <w:highlight w:val="none"/>
          <w:u w:val="single"/>
          <w:lang w:val="en-US" w:eastAsia="zh-CN" w:bidi="ar"/>
        </w:rPr>
        <w:t xml:space="preserve">______</w:t>
      </w:r>
      <w:r>
        <w:rPr>
          <w:rFonts w:hint="eastAsia" w:ascii="黑体" w:hAnsi="黑体" w:eastAsia="黑体" w:cs="黑体"/>
          <w:bCs/>
          <w:color w:val="auto"/>
          <w:sz w:val="24"/>
          <w:szCs w:val="21"/>
          <w:highlight w:val="none"/>
          <w:lang w:val="en-US" w:eastAsia="zh-CN" w:bidi="ar"/>
        </w:rPr>
        <w:t xml:space="preserve">年月日</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outlineLvl w:val="0"/>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bidi="zh-CN"/>
        </w:rPr>
        <w:suppressLineNumbers w:val="0"/>
      </w:pPr>
      <w:r>
        <w:rPr>
          <w:rFonts w:hint="eastAsia" w:ascii="黑体" w:hAnsi="黑体" w:eastAsia="黑体" w:cs="黑体"/>
          <w:b/>
          <w:bCs/>
          <w:color w:val="auto"/>
          <w:sz w:val="24"/>
          <w:szCs w:val="24"/>
          <w:highlight w:val="none"/>
          <w:lang w:val="en-US" w:eastAsia="zh-CN" w:bidi="zh-CN"/>
        </w:rPr>
        <w:br w:type="page" w:clear="all"/>
      </w:r>
      <w:r/>
    </w:p>
    <w:p>
      <w:pPr>
        <w:ind w:left="0" w:right="0" w:firstLine="2249"/>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8"/>
          <w:szCs w:val="28"/>
          <w:highlight w:val="none"/>
          <w:lang w:val="en-US" w:bidi="ar"/>
        </w:rPr>
        <w:suppressLineNumbers w:val="0"/>
      </w:pPr>
      <w:r>
        <w:rPr>
          <w:rFonts w:hint="eastAsia" w:ascii="黑体" w:hAnsi="黑体" w:eastAsia="黑体" w:cs="黑体"/>
          <w:b/>
          <w:bCs/>
          <w:color w:val="auto"/>
          <w:sz w:val="28"/>
          <w:szCs w:val="28"/>
          <w:highlight w:val="none"/>
          <w:lang w:val="en-US" w:eastAsia="zh-CN" w:bidi="zh-CN"/>
        </w:rPr>
        <w:t xml:space="preserve">4、</w:t>
      </w:r>
      <w:r>
        <w:rPr>
          <w:rFonts w:hint="eastAsia" w:ascii="黑体" w:hAnsi="黑体" w:eastAsia="黑体" w:cs="黑体"/>
          <w:b/>
          <w:bCs w:val="0"/>
          <w:color w:val="auto"/>
          <w:sz w:val="28"/>
          <w:szCs w:val="28"/>
          <w:highlight w:val="none"/>
          <w:lang w:val="en-US" w:eastAsia="zh-CN" w:bidi="ar"/>
        </w:rPr>
        <w:t xml:space="preserve">供应商信用承诺书</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为营造公开、公平、公正的公共资源交易环境，树立诚信守法的供应商形象，本人代表本单位作出以下承诺：</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二、严格依照国家和省、市、县关于政府采购等方面的法律、法规、规章、规范性文件，参加公共资源交易招标投标活动；积极履行社会责任，促进廉政建设；</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三、严格遵守即时信息公示规定，及时更新公共资源交易中心主体信息库中信息；</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四、自我约束、自我管理，守合同、重信用，不参与围标串标、弄虚作假、骗取中标、干扰评标、违约毁约、恶意投诉等行为，主动维护公共资源交易招标投标的良好秩序；</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六、自觉接受政府部门、行业组织、社会公众、新闻舆论等监督；</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七、上述承诺已向本单位员工作了宣传教育；</w:t>
      </w:r>
      <w:r/>
    </w:p>
    <w:p>
      <w:pPr>
        <w:ind w:left="0" w:right="0" w:firstLine="482"/>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zh-CN" w:eastAsia="zh-CN"/>
        </w:rPr>
        <w:suppressLineNumbers w:val="0"/>
      </w:pPr>
      <w:r>
        <w:rPr>
          <w:rFonts w:hint="eastAsia" w:ascii="黑体" w:hAnsi="黑体" w:eastAsia="黑体" w:cs="黑体"/>
          <w:b/>
          <w:bCs w:val="0"/>
          <w:color w:val="auto"/>
          <w:sz w:val="24"/>
          <w:szCs w:val="24"/>
          <w:highlight w:val="none"/>
          <w:lang w:val="zh-CN" w:eastAsia="zh-CN" w:bidi="ar"/>
        </w:rPr>
        <w:t xml:space="preserve">如有违反上述承诺的不良行为，本单位同意将其予以上网公示。</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rPr>
      </w:r>
      <w:r/>
    </w:p>
    <w:p>
      <w:pPr>
        <w:ind w:left="0" w:right="0" w:firstLine="456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rPr>
      </w:r>
      <w:r/>
    </w:p>
    <w:p>
      <w:pPr>
        <w:ind w:left="0" w:right="0" w:firstLine="26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zh-CN" w:eastAsia="zh-CN"/>
        </w:rPr>
        <w:suppressLineNumbers w:val="0"/>
      </w:pPr>
      <w:r>
        <w:rPr>
          <w:rFonts w:hint="eastAsia" w:ascii="黑体" w:hAnsi="黑体" w:eastAsia="黑体" w:cs="黑体"/>
          <w:color w:val="auto"/>
          <w:sz w:val="24"/>
          <w:szCs w:val="24"/>
          <w:highlight w:val="none"/>
          <w:lang w:val="zh-CN" w:eastAsia="zh-CN" w:bidi="ar"/>
        </w:rPr>
        <w:t xml:space="preserve">投标供应商全称(盖公章)：</w:t>
      </w:r>
      <w:r/>
    </w:p>
    <w:p>
      <w:pPr>
        <w:ind w:left="0" w:right="0" w:firstLine="26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zh-CN" w:eastAsia="zh-CN"/>
        </w:rPr>
        <w:suppressLineNumbers w:val="0"/>
      </w:pPr>
      <w:r>
        <w:rPr>
          <w:rFonts w:hint="eastAsia" w:ascii="黑体" w:hAnsi="黑体" w:eastAsia="黑体" w:cs="黑体"/>
          <w:color w:val="auto"/>
          <w:sz w:val="24"/>
          <w:szCs w:val="24"/>
          <w:highlight w:val="none"/>
          <w:lang w:val="zh-CN" w:eastAsia="zh-CN" w:bidi="ar"/>
        </w:rPr>
        <w:t xml:space="preserve">法定代表人（签字或盖章）：</w:t>
      </w:r>
      <w:r/>
    </w:p>
    <w:p>
      <w:pPr>
        <w:ind w:left="0" w:right="0" w:firstLine="264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zh-CN" w:eastAsia="zh-CN"/>
        </w:rPr>
        <w:suppressLineNumbers w:val="0"/>
      </w:pPr>
      <w:r>
        <w:rPr>
          <w:rFonts w:hint="eastAsia" w:ascii="黑体" w:hAnsi="黑体" w:eastAsia="黑体" w:cs="黑体"/>
          <w:color w:val="auto"/>
          <w:sz w:val="24"/>
          <w:szCs w:val="24"/>
          <w:highlight w:val="none"/>
          <w:lang w:val="zh-CN" w:eastAsia="zh-CN" w:bidi="ar"/>
        </w:rPr>
        <w:t xml:space="preserve">时间：  年  月   日</w:t>
      </w:r>
      <w:r/>
    </w:p>
    <w:p>
      <w:pPr>
        <w:contextualSpacing/>
        <w:jc w:val="left"/>
        <w:pageBreakBefore w:val="0"/>
        <w:spacing w:line="440" w:lineRule="exact"/>
        <w:rPr>
          <w:rFonts w:hint="eastAsia" w:ascii="黑体" w:hAnsi="黑体" w:eastAsia="黑体" w:cs="黑体"/>
          <w:color w:val="auto"/>
          <w:sz w:val="32"/>
          <w:szCs w:val="32"/>
          <w:highlight w:val="none"/>
          <w:lang w:val="zh-CN"/>
        </w:rPr>
      </w:pPr>
      <w:r>
        <w:rPr>
          <w:rFonts w:hint="eastAsia" w:ascii="黑体" w:hAnsi="黑体" w:eastAsia="黑体" w:cs="黑体"/>
          <w:color w:val="auto"/>
          <w:sz w:val="24"/>
          <w:szCs w:val="24"/>
          <w:highlight w:val="none"/>
          <w:lang w:val="en-US" w:eastAsia="zh-CN" w:bidi="ar"/>
        </w:rPr>
        <w:br w:type="page" w:clear="all"/>
      </w:r>
      <w:r/>
    </w:p>
    <w:p>
      <w:pPr>
        <w:ind w:firstLine="2891"/>
        <w:jc w:val="left"/>
        <w:pageBreakBefore w:val="0"/>
        <w:spacing w:after="312" w:line="440" w:lineRule="exact"/>
        <w:rPr>
          <w:rFonts w:hint="eastAsia" w:ascii="黑体" w:hAnsi="黑体" w:eastAsia="黑体" w:cs="黑体"/>
          <w:color w:val="auto"/>
          <w:sz w:val="32"/>
          <w:szCs w:val="32"/>
          <w:highlight w:val="none"/>
        </w:rPr>
      </w:pPr>
      <w:r>
        <w:rPr>
          <w:rFonts w:hint="eastAsia" w:ascii="黑体" w:hAnsi="黑体" w:eastAsia="黑体" w:cs="黑体"/>
          <w:b/>
          <w:color w:val="auto"/>
          <w:sz w:val="32"/>
          <w:szCs w:val="32"/>
          <w:highlight w:val="none"/>
          <w:lang w:val="en-US" w:eastAsia="zh-CN"/>
        </w:rPr>
        <w:t xml:space="preserve">5、</w:t>
      </w:r>
      <w:r>
        <w:rPr>
          <w:rFonts w:hint="eastAsia" w:ascii="黑体" w:hAnsi="黑体" w:eastAsia="黑体" w:cs="黑体"/>
          <w:b/>
          <w:color w:val="auto"/>
          <w:sz w:val="32"/>
          <w:szCs w:val="32"/>
          <w:highlight w:val="none"/>
        </w:rPr>
        <w:t xml:space="preserve">中小企业声明函</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本公司（联合体）郑重声明，根据《政府采购促进中小企业发展管理办法》（财库﹝2020﹞46 号）的规定，本公司（联合体）参加</w:t>
      </w:r>
      <w:r>
        <w:rPr>
          <w:rFonts w:hint="eastAsia" w:ascii="黑体" w:hAnsi="黑体" w:eastAsia="黑体" w:cs="黑体"/>
          <w:color w:val="auto"/>
          <w:sz w:val="24"/>
          <w:szCs w:val="24"/>
          <w:highlight w:val="none"/>
          <w:u w:val="single"/>
        </w:rPr>
        <w:t xml:space="preserve">（单位名称）</w:t>
      </w:r>
      <w:r>
        <w:rPr>
          <w:rFonts w:hint="eastAsia" w:ascii="黑体" w:hAnsi="黑体" w:eastAsia="黑体" w:cs="黑体"/>
          <w:color w:val="auto"/>
          <w:sz w:val="24"/>
          <w:szCs w:val="24"/>
          <w:highlight w:val="none"/>
        </w:rPr>
        <w:t xml:space="preserve">的</w:t>
      </w:r>
      <w:r>
        <w:rPr>
          <w:rFonts w:hint="eastAsia" w:ascii="黑体" w:hAnsi="黑体" w:eastAsia="黑体" w:cs="黑体"/>
          <w:color w:val="auto"/>
          <w:sz w:val="24"/>
          <w:szCs w:val="24"/>
          <w:highlight w:val="none"/>
          <w:u w:val="single"/>
        </w:rPr>
        <w:t xml:space="preserve">（项目名称）</w:t>
      </w:r>
      <w:r>
        <w:rPr>
          <w:rFonts w:hint="eastAsia" w:ascii="黑体" w:hAnsi="黑体" w:eastAsia="黑体" w:cs="黑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 </w:t>
      </w:r>
      <w:r>
        <w:rPr>
          <w:rFonts w:hint="eastAsia" w:ascii="黑体" w:hAnsi="黑体" w:eastAsia="黑体" w:cs="黑体"/>
          <w:color w:val="auto"/>
          <w:sz w:val="24"/>
          <w:szCs w:val="24"/>
          <w:highlight w:val="none"/>
          <w:u w:val="single"/>
        </w:rPr>
        <w:t xml:space="preserve">（标的名称）</w:t>
      </w:r>
      <w:r>
        <w:rPr>
          <w:rFonts w:hint="eastAsia" w:ascii="黑体" w:hAnsi="黑体" w:eastAsia="黑体" w:cs="黑体"/>
          <w:color w:val="auto"/>
          <w:sz w:val="24"/>
          <w:szCs w:val="24"/>
          <w:highlight w:val="none"/>
        </w:rPr>
        <w:t xml:space="preserve"> ，属于</w:t>
      </w:r>
      <w:r>
        <w:rPr>
          <w:rFonts w:hint="eastAsia" w:ascii="黑体" w:hAnsi="黑体" w:eastAsia="黑体" w:cs="黑体"/>
          <w:b/>
          <w:bCs/>
          <w:color w:val="auto"/>
          <w:sz w:val="24"/>
          <w:szCs w:val="24"/>
          <w:highlight w:val="none"/>
          <w:u w:val="single"/>
        </w:rPr>
        <w:t xml:space="preserve">其他未列明行业</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；承建（承接）企业为</w:t>
      </w:r>
      <w:r>
        <w:rPr>
          <w:rFonts w:hint="eastAsia" w:ascii="黑体" w:hAnsi="黑体" w:eastAsia="黑体" w:cs="黑体"/>
          <w:color w:val="auto"/>
          <w:sz w:val="24"/>
          <w:szCs w:val="24"/>
          <w:highlight w:val="none"/>
          <w:u w:val="single"/>
        </w:rPr>
        <w:t xml:space="preserve">（企业名称）</w:t>
      </w:r>
      <w:r>
        <w:rPr>
          <w:rFonts w:hint="eastAsia" w:ascii="黑体" w:hAnsi="黑体" w:eastAsia="黑体" w:cs="黑体"/>
          <w:color w:val="auto"/>
          <w:sz w:val="24"/>
          <w:szCs w:val="24"/>
          <w:highlight w:val="none"/>
        </w:rPr>
        <w:t xml:space="preserve">，从业人员</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人，营业收入为</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万元，资产总额为</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万元，属于</w:t>
      </w:r>
      <w:r>
        <w:rPr>
          <w:rFonts w:hint="eastAsia" w:ascii="黑体" w:hAnsi="黑体" w:eastAsia="黑体" w:cs="黑体"/>
          <w:color w:val="auto"/>
          <w:sz w:val="24"/>
          <w:szCs w:val="24"/>
          <w:highlight w:val="none"/>
          <w:u w:val="single"/>
        </w:rPr>
        <w:t xml:space="preserve">（中型企业、小型企业、微型企业）</w:t>
      </w:r>
      <w:r>
        <w:rPr>
          <w:rFonts w:hint="eastAsia" w:ascii="黑体" w:hAnsi="黑体" w:eastAsia="黑体" w:cs="黑体"/>
          <w:color w:val="auto"/>
          <w:sz w:val="24"/>
          <w:szCs w:val="24"/>
          <w:highlight w:val="none"/>
        </w:rPr>
        <w:t xml:space="preserve">；</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 </w:t>
      </w:r>
      <w:r>
        <w:rPr>
          <w:rFonts w:hint="eastAsia" w:ascii="黑体" w:hAnsi="黑体" w:eastAsia="黑体" w:cs="黑体"/>
          <w:color w:val="auto"/>
          <w:sz w:val="24"/>
          <w:szCs w:val="24"/>
          <w:highlight w:val="none"/>
          <w:u w:val="single"/>
        </w:rPr>
        <w:t xml:space="preserve">（标的名称）</w:t>
      </w:r>
      <w:r>
        <w:rPr>
          <w:rFonts w:hint="eastAsia" w:ascii="黑体" w:hAnsi="黑体" w:eastAsia="黑体" w:cs="黑体"/>
          <w:color w:val="auto"/>
          <w:sz w:val="24"/>
          <w:szCs w:val="24"/>
          <w:highlight w:val="none"/>
        </w:rPr>
        <w:t xml:space="preserve"> ，属于</w:t>
      </w:r>
      <w:r>
        <w:rPr>
          <w:rFonts w:hint="eastAsia" w:ascii="黑体" w:hAnsi="黑体" w:eastAsia="黑体" w:cs="黑体"/>
          <w:b/>
          <w:bCs/>
          <w:color w:val="auto"/>
          <w:sz w:val="24"/>
          <w:szCs w:val="24"/>
          <w:highlight w:val="none"/>
          <w:u w:val="single"/>
        </w:rPr>
        <w:t xml:space="preserve">其他未列明行业</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；承建（承接）企业为</w:t>
      </w:r>
      <w:r>
        <w:rPr>
          <w:rFonts w:hint="eastAsia" w:ascii="黑体" w:hAnsi="黑体" w:eastAsia="黑体" w:cs="黑体"/>
          <w:color w:val="auto"/>
          <w:sz w:val="24"/>
          <w:szCs w:val="24"/>
          <w:highlight w:val="none"/>
          <w:u w:val="single"/>
        </w:rPr>
        <w:t xml:space="preserve">（企业名称）</w:t>
      </w:r>
      <w:r>
        <w:rPr>
          <w:rFonts w:hint="eastAsia" w:ascii="黑体" w:hAnsi="黑体" w:eastAsia="黑体" w:cs="黑体"/>
          <w:color w:val="auto"/>
          <w:sz w:val="24"/>
          <w:szCs w:val="24"/>
          <w:highlight w:val="none"/>
        </w:rPr>
        <w:t xml:space="preserve">，从业人员</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人，营业收入为</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万元，资产总额为</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万元，属于</w:t>
      </w:r>
      <w:r>
        <w:rPr>
          <w:rFonts w:hint="eastAsia" w:ascii="黑体" w:hAnsi="黑体" w:eastAsia="黑体" w:cs="黑体"/>
          <w:color w:val="auto"/>
          <w:sz w:val="24"/>
          <w:szCs w:val="24"/>
          <w:highlight w:val="none"/>
          <w:u w:val="single"/>
        </w:rPr>
        <w:t xml:space="preserve">（中型企业、小型企业、微型企业）</w:t>
      </w:r>
      <w:r>
        <w:rPr>
          <w:rFonts w:hint="eastAsia" w:ascii="黑体" w:hAnsi="黑体" w:eastAsia="黑体" w:cs="黑体"/>
          <w:color w:val="auto"/>
          <w:sz w:val="24"/>
          <w:szCs w:val="24"/>
          <w:highlight w:val="none"/>
        </w:rPr>
        <w:t xml:space="preserve">；</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本企业对上述声明内容的真实性负责。如有虚假，将依法承担相应责任。</w:t>
      </w:r>
      <w:r/>
    </w:p>
    <w:p>
      <w:pPr>
        <w:ind w:right="120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right="120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right="120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企业名称（盖章）：                         </w:t>
      </w:r>
      <w:r/>
    </w:p>
    <w:p>
      <w:pPr>
        <w:ind w:right="960"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日 期：</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jc w:val="left"/>
        <w:pageBreakBefore w:val="0"/>
        <w:spacing w:line="44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jc w:val="left"/>
        <w:pageBreakBefore w:val="0"/>
        <w:spacing w:line="44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clear="all"/>
      </w:r>
      <w:r/>
    </w:p>
    <w:p>
      <w:pPr>
        <w:ind w:firstLine="2249"/>
        <w:jc w:val="left"/>
        <w:pageBreakBefore w:val="0"/>
        <w:spacing w:line="440" w:lineRule="exact"/>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残疾人福利性单位声明函</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color w:val="auto"/>
          <w:sz w:val="24"/>
          <w:szCs w:val="24"/>
          <w:highlight w:val="none"/>
          <w:u w:val="single"/>
        </w:rPr>
        <w:t xml:space="preserve">       </w:t>
      </w:r>
      <w:r>
        <w:rPr>
          <w:rFonts w:hint="eastAsia" w:ascii="黑体" w:hAnsi="黑体" w:eastAsia="黑体" w:cs="黑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本单位对上述声明的真实性负责。如有虚假，将依法承担相应责任。</w:t>
      </w:r>
      <w:r/>
    </w:p>
    <w:p>
      <w:pPr>
        <w:ind w:firstLine="48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（备注：1、供应商如不提供此声明函，价格将不做相应扣除。2、中标供应商为残疾人福利单位的，此声明函将随中标结果同时公告，接受社会监督）</w:t>
      </w:r>
      <w:r/>
    </w:p>
    <w:p>
      <w:pPr>
        <w:ind w:firstLine="504"/>
        <w:jc w:val="left"/>
        <w:pageBreakBefore w:val="0"/>
        <w:spacing w:line="440" w:lineRule="exact"/>
        <w:rPr>
          <w:rFonts w:hint="eastAsia" w:ascii="黑体" w:hAnsi="黑体" w:eastAsia="黑体" w:cs="黑体"/>
          <w:color w:val="auto"/>
          <w:spacing w:val="6"/>
          <w:sz w:val="24"/>
          <w:szCs w:val="24"/>
          <w:highlight w:val="none"/>
        </w:rPr>
      </w:pPr>
      <w:r>
        <w:rPr>
          <w:rFonts w:hint="eastAsia" w:ascii="黑体" w:hAnsi="黑体" w:eastAsia="黑体" w:cs="黑体"/>
          <w:color w:val="auto"/>
          <w:spacing w:val="6"/>
          <w:sz w:val="24"/>
          <w:szCs w:val="24"/>
          <w:highlight w:val="none"/>
        </w:rPr>
      </w:r>
      <w:r/>
    </w:p>
    <w:p>
      <w:pPr>
        <w:ind w:firstLine="504"/>
        <w:jc w:val="left"/>
        <w:pageBreakBefore w:val="0"/>
        <w:spacing w:line="440" w:lineRule="exact"/>
        <w:rPr>
          <w:rFonts w:hint="eastAsia" w:ascii="黑体" w:hAnsi="黑体" w:eastAsia="黑体" w:cs="黑体"/>
          <w:color w:val="auto"/>
          <w:spacing w:val="6"/>
          <w:sz w:val="24"/>
          <w:szCs w:val="24"/>
          <w:highlight w:val="none"/>
        </w:rPr>
      </w:pPr>
      <w:r>
        <w:rPr>
          <w:rFonts w:hint="eastAsia" w:ascii="黑体" w:hAnsi="黑体" w:eastAsia="黑体" w:cs="黑体"/>
          <w:color w:val="auto"/>
          <w:spacing w:val="6"/>
          <w:sz w:val="24"/>
          <w:szCs w:val="24"/>
          <w:highlight w:val="none"/>
        </w:rPr>
      </w:r>
      <w:r/>
    </w:p>
    <w:p>
      <w:pPr>
        <w:ind w:firstLine="504"/>
        <w:jc w:val="left"/>
        <w:pageBreakBefore w:val="0"/>
        <w:spacing w:line="440" w:lineRule="exact"/>
        <w:rPr>
          <w:rFonts w:hint="eastAsia" w:ascii="黑体" w:hAnsi="黑体" w:eastAsia="黑体" w:cs="黑体"/>
          <w:color w:val="auto"/>
          <w:spacing w:val="6"/>
          <w:sz w:val="24"/>
          <w:szCs w:val="24"/>
          <w:highlight w:val="none"/>
        </w:rPr>
      </w:pPr>
      <w:r>
        <w:rPr>
          <w:rFonts w:hint="eastAsia" w:ascii="黑体" w:hAnsi="黑体" w:eastAsia="黑体" w:cs="黑体"/>
          <w:color w:val="auto"/>
          <w:spacing w:val="6"/>
          <w:sz w:val="24"/>
          <w:szCs w:val="24"/>
          <w:highlight w:val="none"/>
        </w:rPr>
      </w:r>
      <w:r/>
    </w:p>
    <w:p>
      <w:pPr>
        <w:ind w:firstLine="504"/>
        <w:jc w:val="left"/>
        <w:pageBreakBefore w:val="0"/>
        <w:spacing w:line="440" w:lineRule="exact"/>
        <w:rPr>
          <w:rFonts w:hint="eastAsia" w:ascii="黑体" w:hAnsi="黑体" w:eastAsia="黑体" w:cs="黑体"/>
          <w:color w:val="auto"/>
          <w:spacing w:val="6"/>
          <w:sz w:val="24"/>
          <w:szCs w:val="24"/>
          <w:highlight w:val="none"/>
        </w:rPr>
      </w:pPr>
      <w:r>
        <w:rPr>
          <w:rFonts w:hint="eastAsia" w:ascii="黑体" w:hAnsi="黑体" w:eastAsia="黑体" w:cs="黑体"/>
          <w:color w:val="auto"/>
          <w:spacing w:val="6"/>
          <w:sz w:val="24"/>
          <w:szCs w:val="24"/>
          <w:highlight w:val="none"/>
        </w:rPr>
      </w:r>
      <w:r/>
    </w:p>
    <w:p>
      <w:pPr>
        <w:ind w:right="1560" w:firstLine="504"/>
        <w:jc w:val="left"/>
        <w:pageBreakBefore w:val="0"/>
        <w:spacing w:line="440" w:lineRule="exact"/>
        <w:tabs>
          <w:tab w:val="left" w:pos="4860" w:leader="none"/>
        </w:tabs>
        <w:rPr>
          <w:rFonts w:hint="eastAsia" w:ascii="黑体" w:hAnsi="黑体" w:eastAsia="黑体" w:cs="黑体"/>
          <w:color w:val="auto"/>
          <w:sz w:val="24"/>
          <w:szCs w:val="24"/>
          <w:highlight w:val="none"/>
        </w:rPr>
      </w:pPr>
      <w:r>
        <w:rPr>
          <w:rFonts w:hint="eastAsia" w:ascii="黑体" w:hAnsi="黑体" w:eastAsia="黑体" w:cs="黑体"/>
          <w:color w:val="auto"/>
          <w:spacing w:val="6"/>
          <w:sz w:val="24"/>
          <w:szCs w:val="24"/>
          <w:highlight w:val="none"/>
        </w:rPr>
        <w:t xml:space="preserve">             </w:t>
      </w:r>
      <w:r>
        <w:rPr>
          <w:rFonts w:hint="eastAsia" w:ascii="黑体" w:hAnsi="黑体" w:eastAsia="黑体" w:cs="黑体"/>
          <w:color w:val="auto"/>
          <w:sz w:val="24"/>
          <w:szCs w:val="24"/>
          <w:highlight w:val="none"/>
        </w:rPr>
        <w:t xml:space="preserve">           供应商全称（盖章）：</w:t>
      </w:r>
      <w:r/>
    </w:p>
    <w:p>
      <w:pPr>
        <w:ind w:right="1560" w:firstLine="480"/>
        <w:jc w:val="left"/>
        <w:pageBreakBefore w:val="0"/>
        <w:spacing w:line="440" w:lineRule="exact"/>
        <w:tabs>
          <w:tab w:val="left" w:pos="4860" w:leader="none"/>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日  期：</w:t>
      </w:r>
      <w:r/>
    </w:p>
    <w:p>
      <w:pPr>
        <w:ind w:firstLine="420"/>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jc w:val="left"/>
        <w:pageBreakBefore w:val="0"/>
        <w:spacing w:line="440" w:lineRule="exact"/>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jc w:val="left"/>
        <w:pageBreakBefore w:val="0"/>
        <w:spacing w:line="440" w:lineRule="exact"/>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jc w:val="left"/>
        <w:pageBreakBefore w:val="0"/>
        <w:spacing w:line="440" w:lineRule="exact"/>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jc w:val="left"/>
        <w:pageBreakBefore w:val="0"/>
        <w:spacing w:line="440" w:lineRule="exact"/>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jc w:val="left"/>
        <w:pageBreakBefore w:val="0"/>
        <w:spacing w:line="440" w:lineRule="exact"/>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jc w:val="left"/>
        <w:pageBreakBefore w:val="0"/>
        <w:spacing w:line="440" w:lineRule="exact"/>
        <w:rPr>
          <w:rFonts w:hint="eastAsia" w:ascii="黑体" w:hAnsi="黑体" w:eastAsia="黑体" w:cs="黑体"/>
          <w:color w:val="auto"/>
          <w:sz w:val="32"/>
          <w:szCs w:val="32"/>
          <w:highlight w:val="none"/>
          <w:lang w:val="zh-CN"/>
        </w:rPr>
      </w:pPr>
      <w:r>
        <w:rPr>
          <w:rFonts w:hint="eastAsia" w:ascii="黑体" w:hAnsi="黑体" w:eastAsia="黑体" w:cs="黑体"/>
          <w:color w:val="auto"/>
          <w:sz w:val="32"/>
          <w:szCs w:val="32"/>
          <w:highlight w:val="none"/>
          <w:lang w:val="zh-CN"/>
        </w:rPr>
        <w:br w:type="page" w:clear="all"/>
      </w:r>
      <w:r/>
    </w:p>
    <w:p>
      <w:pPr>
        <w:ind w:firstLine="1285"/>
        <w:jc w:val="left"/>
        <w:pageBreakBefore w:val="0"/>
        <w:spacing w:line="440" w:lineRule="exact"/>
        <w:rPr>
          <w:rFonts w:hint="eastAsia" w:ascii="黑体" w:hAnsi="黑体" w:eastAsia="黑体" w:cs="黑体"/>
          <w:b/>
          <w:bCs/>
          <w:color w:val="auto"/>
          <w:sz w:val="32"/>
          <w:szCs w:val="32"/>
          <w:highlight w:val="none"/>
        </w:rPr>
        <w:outlineLvl w:val="3"/>
      </w:pPr>
      <w:r>
        <w:rPr>
          <w:rFonts w:hint="eastAsia" w:ascii="黑体" w:hAnsi="黑体" w:eastAsia="黑体" w:cs="黑体"/>
          <w:b/>
          <w:bCs/>
          <w:color w:val="auto"/>
          <w:sz w:val="32"/>
          <w:szCs w:val="32"/>
          <w:highlight w:val="none"/>
        </w:rPr>
        <w:t xml:space="preserve">监狱和戒毒企业证明材料</w:t>
      </w:r>
      <w:r/>
    </w:p>
    <w:p>
      <w:pPr>
        <w:ind w:firstLine="495"/>
        <w:jc w:val="left"/>
        <w:pageBreakBefore w:val="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498"/>
        <w:jc w:val="left"/>
        <w:pageBreakBefore w:val="0"/>
        <w:spacing w:line="440" w:lineRule="exact"/>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（格式自拟）</w:t>
      </w:r>
      <w:r/>
    </w:p>
    <w:p>
      <w:pPr>
        <w:ind w:firstLine="495"/>
        <w:jc w:val="left"/>
        <w:pageBreakBefore w:val="0"/>
        <w:spacing w:line="440" w:lineRule="exact"/>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566"/>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eastAsia="zh-CN" w:bidi="ar"/>
        </w:rPr>
        <w:suppressLineNumbers w:val="0"/>
      </w:pPr>
      <w:r>
        <w:rPr>
          <w:rFonts w:hint="eastAsia" w:ascii="黑体" w:hAnsi="黑体" w:eastAsia="黑体" w:cs="黑体"/>
          <w:b/>
          <w:bCs/>
          <w:color w:val="auto"/>
          <w:sz w:val="24"/>
          <w:szCs w:val="24"/>
          <w:highlight w:val="none"/>
          <w:lang w:val="en-US" w:eastAsia="zh-CN" w:bidi="ar"/>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eastAsia="zh-CN" w:bidi="ar"/>
        </w:rPr>
        <w:suppressLineNumbers w:val="0"/>
      </w:pPr>
      <w:r>
        <w:rPr>
          <w:rFonts w:hint="eastAsia" w:ascii="黑体" w:hAnsi="黑体" w:eastAsia="黑体" w:cs="黑体"/>
          <w:b/>
          <w:bCs/>
          <w:color w:val="auto"/>
          <w:sz w:val="24"/>
          <w:szCs w:val="24"/>
          <w:highlight w:val="none"/>
          <w:lang w:val="en-US" w:eastAsia="zh-CN" w:bidi="ar"/>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eastAsia="zh-CN" w:bidi="ar"/>
        </w:rPr>
        <w:suppressLineNumbers w:val="0"/>
      </w:pPr>
      <w:r>
        <w:rPr>
          <w:rFonts w:hint="eastAsia" w:ascii="黑体" w:hAnsi="黑体" w:eastAsia="黑体" w:cs="黑体"/>
          <w:b/>
          <w:bCs/>
          <w:color w:val="auto"/>
          <w:sz w:val="24"/>
          <w:szCs w:val="24"/>
          <w:highlight w:val="none"/>
          <w:lang w:val="en-US" w:eastAsia="zh-CN" w:bidi="ar"/>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eastAsia="zh-CN" w:bidi="ar"/>
        </w:rPr>
        <w:suppressLineNumbers w:val="0"/>
      </w:pPr>
      <w:r>
        <w:rPr>
          <w:rFonts w:hint="eastAsia" w:ascii="黑体" w:hAnsi="黑体" w:eastAsia="黑体" w:cs="黑体"/>
          <w:b/>
          <w:bCs/>
          <w:color w:val="auto"/>
          <w:sz w:val="24"/>
          <w:szCs w:val="24"/>
          <w:highlight w:val="none"/>
          <w:lang w:val="en-US" w:eastAsia="zh-CN" w:bidi="ar"/>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eastAsia="zh-CN" w:bidi="ar"/>
        </w:rPr>
        <w:suppressLineNumbers w:val="0"/>
      </w:pPr>
      <w:r>
        <w:rPr>
          <w:rFonts w:hint="eastAsia" w:ascii="黑体" w:hAnsi="黑体" w:eastAsia="黑体" w:cs="黑体"/>
          <w:b/>
          <w:bCs/>
          <w:color w:val="auto"/>
          <w:sz w:val="24"/>
          <w:szCs w:val="24"/>
          <w:highlight w:val="none"/>
          <w:lang w:val="en-US" w:eastAsia="zh-CN" w:bidi="ar"/>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6、资格证明材料所含内容的所有原件扫描件（加盖公章）</w:t>
      </w:r>
      <w:r/>
    </w:p>
    <w:p>
      <w:pPr>
        <w:pStyle w:val="864"/>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en-US" w:eastAsia="zh-CN"/>
        </w:rPr>
        <w:t xml:space="preserve">7</w:t>
      </w:r>
      <w:r>
        <w:rPr>
          <w:rFonts w:hint="eastAsia" w:ascii="黑体" w:hAnsi="黑体" w:eastAsia="黑体" w:cs="黑体"/>
          <w:color w:val="auto"/>
          <w:sz w:val="24"/>
          <w:szCs w:val="24"/>
          <w:highlight w:val="none"/>
          <w:lang w:eastAsia="zh-CN"/>
        </w:rPr>
        <w:t xml:space="preserve">、响应供应商认为其他必要的材料</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2"/>
        <w:suppressLineNumbers w:val="0"/>
      </w:pPr>
      <w:r>
        <w:rPr>
          <w:rFonts w:hint="eastAsia" w:ascii="黑体" w:hAnsi="黑体" w:eastAsia="黑体" w:cs="黑体"/>
          <w:b/>
          <w:bCs/>
          <w:color w:val="auto"/>
          <w:sz w:val="24"/>
          <w:szCs w:val="24"/>
          <w:highlight w:val="none"/>
          <w:lang w:val="en-US"/>
        </w:rPr>
      </w:r>
      <w:r/>
    </w:p>
    <w:p>
      <w:pPr>
        <w:pStyle w:val="894"/>
        <w:ind w:left="0" w:firstLine="240"/>
        <w:jc w:val="left"/>
        <w:pageBreakBefore w:val="0"/>
        <w:spacing w:line="440" w:lineRule="exact"/>
        <w:widowControl/>
        <w:rPr>
          <w:rFonts w:hint="eastAsia" w:ascii="黑体" w:hAnsi="黑体" w:eastAsia="黑体" w:cs="黑体"/>
          <w:color w:val="auto"/>
          <w:highlight w:val="none"/>
          <w:lang w:val="en-US"/>
        </w:rPr>
      </w:pPr>
      <w:r>
        <w:rPr>
          <w:rFonts w:hint="eastAsia" w:ascii="黑体" w:hAnsi="黑体" w:eastAsia="黑体" w:cs="黑体"/>
          <w:color w:val="auto"/>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2"/>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2"/>
        <w:suppressLineNumbers w:val="0"/>
      </w:pPr>
      <w:r>
        <w:rPr>
          <w:rFonts w:hint="eastAsia" w:ascii="黑体" w:hAnsi="黑体" w:eastAsia="黑体" w:cs="黑体"/>
          <w:b/>
          <w:bCs/>
          <w:color w:val="auto"/>
          <w:sz w:val="24"/>
          <w:szCs w:val="24"/>
          <w:highlight w:val="none"/>
          <w:lang w:val="en-US" w:eastAsia="zh-CN" w:bidi="ar"/>
        </w:rPr>
        <w:br w:type="page" w:clear="all"/>
      </w:r>
      <w:r>
        <w:rPr>
          <w:rFonts w:hint="eastAsia" w:ascii="黑体" w:hAnsi="黑体" w:eastAsia="黑体" w:cs="黑体"/>
          <w:b/>
          <w:bCs/>
          <w:color w:val="auto"/>
          <w:sz w:val="24"/>
          <w:szCs w:val="24"/>
          <w:highlight w:val="none"/>
          <w:lang w:val="en-US" w:eastAsia="zh-CN" w:bidi="ar"/>
        </w:rPr>
        <w:t xml:space="preserve">B.商务技术标（单独密封）</w:t>
      </w:r>
      <w:r/>
    </w:p>
    <w:p>
      <w:pPr>
        <w:pStyle w:val="945"/>
        <w:jc w:val="center"/>
        <w:pageBreakBefore w:val="0"/>
        <w:spacing w:line="440" w:lineRule="exact"/>
        <w:widowControl/>
        <w:tabs>
          <w:tab w:val="left" w:pos="1260" w:leader="none"/>
        </w:tabs>
        <w:rPr>
          <w:rFonts w:hint="eastAsia" w:ascii="黑体" w:hAnsi="黑体" w:eastAsia="黑体" w:cs="黑体"/>
          <w:b/>
          <w:bCs w:val="0"/>
          <w:color w:val="auto"/>
          <w:sz w:val="28"/>
          <w:szCs w:val="28"/>
          <w:highlight w:val="none"/>
          <w:lang w:val="en-US"/>
        </w:rPr>
      </w:pPr>
      <w:r>
        <w:rPr>
          <w:rFonts w:hint="eastAsia" w:ascii="黑体" w:hAnsi="黑体" w:eastAsia="黑体" w:cs="黑体"/>
          <w:b/>
          <w:bCs/>
          <w:color w:val="auto"/>
          <w:sz w:val="28"/>
          <w:szCs w:val="28"/>
          <w:highlight w:val="none"/>
          <w:lang w:val="en-US"/>
        </w:rPr>
        <w:t xml:space="preserve">1</w:t>
      </w:r>
      <w:r>
        <w:rPr>
          <w:rFonts w:hint="eastAsia" w:ascii="黑体" w:hAnsi="黑体" w:eastAsia="黑体" w:cs="黑体"/>
          <w:b/>
          <w:bCs/>
          <w:color w:val="auto"/>
          <w:sz w:val="28"/>
          <w:szCs w:val="28"/>
          <w:highlight w:val="none"/>
          <w:lang w:eastAsia="zh-CN"/>
        </w:rPr>
        <w:t xml:space="preserve">、</w:t>
      </w:r>
      <w:r>
        <w:rPr>
          <w:rFonts w:hint="eastAsia" w:ascii="黑体" w:hAnsi="黑体" w:eastAsia="黑体" w:cs="黑体"/>
          <w:b/>
          <w:bCs w:val="0"/>
          <w:color w:val="auto"/>
          <w:sz w:val="28"/>
          <w:szCs w:val="28"/>
          <w:highlight w:val="none"/>
          <w:lang w:eastAsia="zh-CN"/>
        </w:rPr>
        <w:t xml:space="preserve">供应商情况一览表</w:t>
      </w:r>
      <w:r/>
    </w:p>
    <w:tbl>
      <w:tblPr>
        <w:tblStyle w:val="8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单位名称</w:t>
            </w:r>
            <w:r/>
          </w:p>
        </w:tc>
        <w:tc>
          <w:tcPr>
            <w:gridSpan w:val="10"/>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trHeight w:val="397"/>
        </w:trPr>
        <w:tc>
          <w:tcPr>
            <w:gridSpan w:val="3"/>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单位优势及特长</w:t>
            </w:r>
            <w:r/>
          </w:p>
        </w:tc>
        <w:tc>
          <w:tcPr>
            <w:gridSpan w:val="9"/>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right="0" w:hanging="266"/>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单位</w:t>
            </w:r>
            <w:r/>
          </w:p>
          <w:p>
            <w:pPr>
              <w:ind w:left="266" w:right="0" w:hanging="266"/>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概况</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职工总数</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上一年主要经济指标</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营业额</w:t>
            </w:r>
            <w:r/>
          </w:p>
        </w:tc>
        <w:tc>
          <w:tcPr>
            <w:gridSpan w:val="2"/>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实现利润</w:t>
            </w: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流动资金</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万元</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主要</w:t>
            </w:r>
            <w:r/>
          </w:p>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产品</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ind w:left="0" w:right="0"/>
              <w:jc w:val="left"/>
              <w:keepLines w:val="0"/>
              <w:keepNext w:val="0"/>
              <w:pageBreakBefore w:val="0"/>
              <w:spacing w:before="120" w:beforeAutospacing="0" w:after="12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w:t>
            </w:r>
            <w:r/>
          </w:p>
        </w:tc>
      </w:tr>
      <w:tr>
        <w:trPr>
          <w:cantSplit/>
          <w:trHeight w:val="111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固定资产</w:t>
            </w:r>
            <w:r/>
          </w:p>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（万元）</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133" w:hanging="48"/>
              <w:jc w:val="left"/>
              <w:keepLines w:val="0"/>
              <w:keepNext w:val="0"/>
              <w:pageBreakBefore w:val="0"/>
              <w:spacing w:before="0" w:beforeAutospacing="0" w:after="0" w:afterAutospacing="0" w:line="440" w:lineRule="exact"/>
              <w:widowControl w:val="off"/>
              <w:tabs>
                <w:tab w:val="left" w:pos="-48" w:leader="none"/>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原值：</w:t>
            </w:r>
            <w:r/>
          </w:p>
          <w:p>
            <w:pPr>
              <w:ind w:left="0" w:right="0" w:hanging="48"/>
              <w:jc w:val="left"/>
              <w:keepLines w:val="0"/>
              <w:keepNext w:val="0"/>
              <w:pageBreakBefore w:val="0"/>
              <w:spacing w:before="0" w:beforeAutospacing="0" w:after="0" w:afterAutospacing="0" w:line="440" w:lineRule="exact"/>
              <w:widowControl w:val="off"/>
              <w:tabs>
                <w:tab w:val="left" w:pos="-48" w:leader="none"/>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133" w:hanging="48"/>
              <w:jc w:val="left"/>
              <w:keepLines w:val="0"/>
              <w:keepNext w:val="0"/>
              <w:pageBreakBefore w:val="0"/>
              <w:spacing w:before="0" w:beforeAutospacing="0" w:after="0" w:afterAutospacing="0" w:line="440" w:lineRule="exact"/>
              <w:widowControl w:val="off"/>
              <w:tabs>
                <w:tab w:val="left" w:pos="-48" w:leader="none"/>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净值：</w:t>
            </w:r>
            <w:r/>
          </w:p>
          <w:p>
            <w:pPr>
              <w:ind w:left="0" w:right="0" w:hanging="48"/>
              <w:jc w:val="left"/>
              <w:keepLines w:val="0"/>
              <w:keepNext w:val="0"/>
              <w:pageBreakBefore w:val="0"/>
              <w:spacing w:before="0" w:beforeAutospacing="0" w:after="0" w:afterAutospacing="0" w:line="440" w:lineRule="exact"/>
              <w:widowControl w:val="off"/>
              <w:tabs>
                <w:tab w:val="left" w:pos="-48" w:leader="none"/>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占地面积</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M</w:t>
            </w:r>
            <w:r>
              <w:rPr>
                <w:rFonts w:hint="eastAsia" w:ascii="黑体" w:hAnsi="黑体" w:eastAsia="黑体" w:cs="黑体"/>
                <w:color w:val="auto"/>
                <w:sz w:val="24"/>
                <w:szCs w:val="24"/>
                <w:highlight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ind w:left="0" w:right="0"/>
              <w:jc w:val="left"/>
              <w:keepLines w:val="0"/>
              <w:keepNext w:val="0"/>
              <w:pageBreakBefore w:val="0"/>
              <w:spacing w:before="120" w:beforeAutospacing="0" w:after="12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3.</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right="0" w:hanging="266"/>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本次</w:t>
            </w:r>
            <w:r/>
          </w:p>
          <w:p>
            <w:pPr>
              <w:ind w:left="266" w:right="0" w:hanging="266"/>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投标</w:t>
            </w:r>
            <w:r/>
          </w:p>
          <w:p>
            <w:pPr>
              <w:ind w:left="266" w:right="0" w:hanging="266"/>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产品</w:t>
            </w:r>
            <w:r/>
          </w:p>
          <w:p>
            <w:pPr>
              <w:ind w:left="266" w:right="0" w:hanging="266"/>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情况</w:t>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本次投标</w:t>
            </w:r>
            <w:r>
              <w:rPr>
                <w:rFonts w:hint="eastAsia" w:ascii="黑体" w:hAnsi="黑体" w:eastAsia="黑体" w:cs="黑体"/>
                <w:color w:val="auto"/>
                <w:sz w:val="24"/>
                <w:szCs w:val="24"/>
                <w:highlight w:val="none"/>
                <w:lang w:val="en-US" w:eastAsia="zh-CN" w:bidi="ar"/>
              </w:rPr>
              <w:br/>
            </w:r>
            <w:r>
              <w:rPr>
                <w:rFonts w:hint="eastAsia" w:ascii="黑体" w:hAnsi="黑体" w:eastAsia="黑体" w:cs="黑体"/>
                <w:color w:val="auto"/>
                <w:sz w:val="24"/>
                <w:szCs w:val="24"/>
                <w:highlight w:val="none"/>
                <w:lang w:val="en-US" w:eastAsia="zh-CN" w:bidi="ar"/>
              </w:rPr>
              <w:t xml:space="preserve">产品名称</w:t>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型    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上年</w:t>
            </w:r>
            <w:r>
              <w:rPr>
                <w:rFonts w:hint="eastAsia" w:ascii="黑体" w:hAnsi="黑体" w:eastAsia="黑体" w:cs="黑体"/>
                <w:color w:val="auto"/>
                <w:sz w:val="24"/>
                <w:szCs w:val="24"/>
                <w:highlight w:val="none"/>
                <w:lang w:val="en-US" w:eastAsia="zh-CN" w:bidi="ar"/>
              </w:rPr>
              <w:br/>
            </w:r>
            <w:r>
              <w:rPr>
                <w:rFonts w:hint="eastAsia" w:ascii="黑体" w:hAnsi="黑体" w:eastAsia="黑体" w:cs="黑体"/>
                <w:color w:val="auto"/>
                <w:sz w:val="24"/>
                <w:szCs w:val="24"/>
                <w:highlight w:val="none"/>
                <w:lang w:val="en-US" w:eastAsia="zh-CN" w:bidi="ar"/>
              </w:rPr>
              <w:t xml:space="preserve">产销量</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产品技术</w:t>
            </w:r>
            <w:r/>
          </w:p>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先进水平</w:t>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曾获何级</w:t>
            </w:r>
            <w:r/>
          </w:p>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何种奖励</w:t>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主要用户</w:t>
            </w:r>
            <w:r>
              <w:rPr>
                <w:rFonts w:hint="eastAsia" w:ascii="黑体" w:hAnsi="黑体" w:eastAsia="黑体" w:cs="黑体"/>
                <w:color w:val="auto"/>
                <w:sz w:val="24"/>
                <w:szCs w:val="24"/>
                <w:highlight w:val="none"/>
                <w:lang w:val="en-US" w:eastAsia="zh-CN" w:bidi="ar"/>
              </w:rPr>
              <w:br/>
            </w:r>
            <w:r>
              <w:rPr>
                <w:rFonts w:hint="eastAsia" w:ascii="黑体" w:hAnsi="黑体" w:eastAsia="黑体" w:cs="黑体"/>
                <w:color w:val="auto"/>
                <w:sz w:val="24"/>
                <w:szCs w:val="24"/>
                <w:highlight w:val="none"/>
                <w:lang w:val="en-US" w:eastAsia="zh-CN" w:bidi="ar"/>
              </w:rPr>
              <w:t xml:space="preserve">名称</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其它</w:t>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ind w:left="0" w:right="0"/>
              <w:jc w:val="left"/>
              <w:keepLines w:val="0"/>
              <w:keepNext w:val="0"/>
              <w:pageBreakBefore w:val="0"/>
              <w:spacing w:before="60" w:beforeAutospacing="0" w:after="6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992"/>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ind w:left="0" w:right="0"/>
              <w:jc w:val="left"/>
              <w:keepLines w:val="0"/>
              <w:keepNext w:val="0"/>
              <w:pageBreakBefore w:val="0"/>
              <w:spacing w:before="0" w:beforeAutospacing="0" w:after="0" w:afterAutospacing="0" w:line="440" w:lineRule="exact"/>
              <w:rPr>
                <w:rFonts w:hint="eastAsia" w:ascii="黑体" w:hAnsi="黑体" w:eastAsia="黑体" w:cs="黑体"/>
                <w:color w:val="auto"/>
                <w:sz w:val="20"/>
                <w:szCs w:val="20"/>
                <w:highlight w:val="none"/>
              </w:rPr>
              <w:suppressLineNumbers w:val="0"/>
            </w:pPr>
            <w:r>
              <w:rPr>
                <w:rFonts w:hint="eastAsia" w:ascii="黑体" w:hAnsi="黑体" w:eastAsia="黑体" w:cs="黑体"/>
                <w:color w:val="auto"/>
                <w:sz w:val="20"/>
                <w:szCs w:val="20"/>
                <w:highlight w:val="none"/>
              </w:rPr>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ind w:left="0" w:right="0"/>
              <w:jc w:val="left"/>
              <w:keepLines w:val="0"/>
              <w:keepNext w:val="0"/>
              <w:pageBreakBefore w:val="0"/>
              <w:spacing w:before="0" w:beforeAutospacing="0" w:after="0" w:afterAutospacing="0" w:line="440" w:lineRule="exact"/>
              <w:widowControl w:val="off"/>
              <w:tabs>
                <w:tab w:val="left" w:pos="4320" w:leader="none"/>
              </w:tabs>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bl>
    <w:p>
      <w:pPr>
        <w:ind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8"/>
          <w:szCs w:val="28"/>
          <w:highlight w:val="none"/>
          <w:lang w:val="en-US"/>
        </w:rPr>
        <w:suppressLineNumbers w:val="0"/>
      </w:pPr>
      <w:r>
        <w:rPr>
          <w:rFonts w:hint="eastAsia" w:ascii="黑体" w:hAnsi="黑体" w:eastAsia="黑体" w:cs="黑体"/>
          <w:color w:val="auto"/>
          <w:sz w:val="32"/>
          <w:szCs w:val="32"/>
          <w:highlight w:val="none"/>
          <w:lang w:val="zh-CN"/>
        </w:rPr>
        <w:br w:type="page" w:clear="all"/>
      </w:r>
      <w:r>
        <w:rPr>
          <w:rFonts w:hint="eastAsia" w:ascii="黑体" w:hAnsi="黑体" w:eastAsia="黑体" w:cs="黑体"/>
          <w:color w:val="auto"/>
          <w:sz w:val="32"/>
          <w:szCs w:val="32"/>
          <w:highlight w:val="none"/>
          <w:lang w:val="en-US" w:eastAsia="zh-CN"/>
        </w:rPr>
        <w:t xml:space="preserve">           </w:t>
      </w:r>
      <w:r>
        <w:rPr>
          <w:rFonts w:hint="eastAsia" w:ascii="黑体" w:hAnsi="黑体" w:eastAsia="黑体" w:cs="黑体"/>
          <w:color w:val="auto"/>
          <w:sz w:val="28"/>
          <w:szCs w:val="28"/>
          <w:highlight w:val="none"/>
          <w:lang w:val="zh-CN"/>
        </w:rPr>
        <w:t xml:space="preserve">★</w:t>
      </w:r>
      <w:r>
        <w:rPr>
          <w:rFonts w:hint="eastAsia" w:ascii="黑体" w:hAnsi="黑体" w:eastAsia="黑体" w:cs="黑体"/>
          <w:b/>
          <w:bCs w:val="0"/>
          <w:color w:val="auto"/>
          <w:sz w:val="28"/>
          <w:szCs w:val="28"/>
          <w:highlight w:val="none"/>
          <w:lang w:val="en-US"/>
        </w:rPr>
        <w:t xml:space="preserve">2</w:t>
      </w:r>
      <w:r>
        <w:rPr>
          <w:rFonts w:hint="eastAsia" w:ascii="黑体" w:hAnsi="黑体" w:eastAsia="黑体" w:cs="黑体"/>
          <w:b/>
          <w:bCs/>
          <w:color w:val="auto"/>
          <w:sz w:val="28"/>
          <w:szCs w:val="28"/>
          <w:highlight w:val="none"/>
          <w:lang w:eastAsia="zh-CN"/>
        </w:rPr>
        <w:t xml:space="preserve">、</w:t>
      </w:r>
      <w:r>
        <w:rPr>
          <w:rFonts w:hint="eastAsia" w:ascii="黑体" w:hAnsi="黑体" w:eastAsia="黑体" w:cs="黑体"/>
          <w:b/>
          <w:bCs w:val="0"/>
          <w:color w:val="auto"/>
          <w:sz w:val="28"/>
          <w:szCs w:val="28"/>
          <w:highlight w:val="none"/>
          <w:lang w:eastAsia="zh-CN"/>
        </w:rPr>
        <w:t xml:space="preserve">商务部分正负偏离表</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（由供应商据实填写，表格不够自行添加）</w:t>
      </w:r>
      <w:r/>
    </w:p>
    <w:tbl>
      <w:tblPr>
        <w:tblStyle w:val="8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bl>
    <w:p>
      <w:pPr>
        <w:pStyle w:val="945"/>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eastAsia="zh-CN"/>
        </w:rPr>
        <w:t xml:space="preserve">注：</w:t>
      </w:r>
      <w:r/>
    </w:p>
    <w:p>
      <w:pPr>
        <w:pStyle w:val="945"/>
        <w:ind w:left="0" w:firstLine="480"/>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en-US"/>
        </w:rPr>
        <w:t xml:space="preserve">1.</w:t>
      </w:r>
      <w:r>
        <w:rPr>
          <w:rFonts w:hint="eastAsia" w:ascii="黑体" w:hAnsi="黑体" w:eastAsia="黑体" w:cs="黑体"/>
          <w:color w:val="auto"/>
          <w:sz w:val="24"/>
          <w:szCs w:val="24"/>
          <w:highlight w:val="none"/>
          <w:lang w:eastAsia="zh-CN"/>
        </w:rPr>
        <w:t xml:space="preserve">供应商提交的响应文件中与</w:t>
      </w:r>
      <w:r>
        <w:rPr>
          <w:rFonts w:hint="eastAsia" w:ascii="黑体" w:hAnsi="黑体" w:eastAsia="黑体" w:cs="黑体"/>
          <w:color w:val="auto"/>
          <w:sz w:val="24"/>
          <w:szCs w:val="24"/>
          <w:highlight w:val="none"/>
          <w:lang w:val="en-US" w:eastAsia="zh-CN"/>
        </w:rPr>
        <w:t xml:space="preserve">招标</w:t>
      </w:r>
      <w:r>
        <w:rPr>
          <w:rFonts w:hint="eastAsia" w:ascii="黑体" w:hAnsi="黑体" w:eastAsia="黑体" w:cs="黑体"/>
          <w:color w:val="auto"/>
          <w:sz w:val="24"/>
          <w:szCs w:val="24"/>
          <w:highlight w:val="none"/>
          <w:lang w:eastAsia="zh-CN"/>
        </w:rPr>
        <w:t xml:space="preserve">文件第四章“项目需求”中的商务部分的要求，应逐条填列在偏离表中。</w:t>
      </w:r>
      <w:r/>
    </w:p>
    <w:p>
      <w:pPr>
        <w:pStyle w:val="945"/>
        <w:ind w:left="0" w:firstLine="480"/>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en-US"/>
        </w:rPr>
        <w:t xml:space="preserve">2. </w:t>
      </w:r>
      <w:r>
        <w:rPr>
          <w:rFonts w:hint="eastAsia" w:ascii="黑体" w:hAnsi="黑体" w:eastAsia="黑体" w:cs="黑体"/>
          <w:color w:val="auto"/>
          <w:sz w:val="24"/>
          <w:szCs w:val="24"/>
          <w:highlight w:val="none"/>
          <w:lang w:eastAsia="zh-CN"/>
        </w:rPr>
        <w:t xml:space="preserve">“偏离说明”一栏选择“正偏离”、“无偏离”、“负偏离”进行填写。正偏离、无偏离的确认和负偏离的是否响应招标文件，由评委认定。</w:t>
      </w:r>
      <w:r/>
    </w:p>
    <w:p>
      <w:pPr>
        <w:pStyle w:val="945"/>
        <w:ind w:left="0" w:firstLine="480"/>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en-US"/>
        </w:rPr>
        <w:t xml:space="preserve">3.</w:t>
      </w:r>
      <w:r>
        <w:rPr>
          <w:rFonts w:hint="eastAsia" w:ascii="黑体" w:hAnsi="黑体" w:eastAsia="黑体" w:cs="黑体"/>
          <w:color w:val="auto"/>
          <w:sz w:val="24"/>
          <w:szCs w:val="24"/>
          <w:highlight w:val="none"/>
          <w:lang w:eastAsia="zh-CN"/>
        </w:rPr>
        <w:t xml:space="preserve">供应商如果虚假响应，将被暂停参加南通市经济技术开发区政府采购活动。</w:t>
      </w:r>
      <w:r/>
    </w:p>
    <w:p>
      <w:pPr>
        <w:pStyle w:val="945"/>
        <w:ind w:left="0" w:firstLine="480"/>
        <w:jc w:val="left"/>
        <w:pageBreakBefore w:val="0"/>
        <w:spacing w:line="440" w:lineRule="exact"/>
        <w:widowControl/>
        <w:rPr>
          <w:rFonts w:hint="eastAsia" w:ascii="黑体" w:hAnsi="黑体" w:eastAsia="黑体" w:cs="黑体"/>
          <w:bCs/>
          <w:color w:val="auto"/>
          <w:sz w:val="24"/>
          <w:szCs w:val="24"/>
          <w:highlight w:val="none"/>
          <w:lang w:val="en-US"/>
        </w:rPr>
      </w:pPr>
      <w:r>
        <w:rPr>
          <w:rFonts w:hint="eastAsia" w:ascii="黑体" w:hAnsi="黑体" w:eastAsia="黑体" w:cs="黑体"/>
          <w:bCs/>
          <w:color w:val="auto"/>
          <w:sz w:val="24"/>
          <w:szCs w:val="24"/>
          <w:highlight w:val="none"/>
          <w:lang w:val="en-US"/>
        </w:rPr>
        <w:t xml:space="preserve">4.</w:t>
      </w:r>
      <w:r>
        <w:rPr>
          <w:rFonts w:hint="eastAsia" w:ascii="黑体" w:hAnsi="黑体" w:eastAsia="黑体" w:cs="黑体"/>
          <w:bCs/>
          <w:color w:val="auto"/>
          <w:sz w:val="24"/>
          <w:szCs w:val="24"/>
          <w:highlight w:val="none"/>
          <w:lang w:eastAsia="zh-CN"/>
        </w:rPr>
        <w:t xml:space="preserve">供应商若提供其他增值服务，可以在表中自行据实填写。</w:t>
      </w:r>
      <w:r/>
    </w:p>
    <w:p>
      <w:pPr>
        <w:pStyle w:val="945"/>
        <w:ind w:left="0" w:firstLine="463"/>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val="en-US"/>
        </w:rPr>
      </w:r>
      <w:r/>
    </w:p>
    <w:p>
      <w:pPr>
        <w:pStyle w:val="945"/>
        <w:ind w:left="0" w:firstLine="463"/>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val="en-US"/>
        </w:rPr>
      </w:r>
      <w:r/>
    </w:p>
    <w:p>
      <w:pPr>
        <w:pStyle w:val="945"/>
        <w:ind w:left="0" w:firstLine="463"/>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val="en-US"/>
        </w:rPr>
      </w:r>
      <w:r/>
    </w:p>
    <w:p>
      <w:pPr>
        <w:pStyle w:val="945"/>
        <w:ind w:left="0" w:firstLine="463"/>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val="en-US"/>
        </w:rPr>
      </w:r>
      <w:r/>
    </w:p>
    <w:p>
      <w:pPr>
        <w:pStyle w:val="945"/>
        <w:ind w:left="0" w:firstLine="463"/>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val="en-US"/>
        </w:rPr>
      </w:r>
      <w:r/>
    </w:p>
    <w:p>
      <w:pPr>
        <w:pStyle w:val="945"/>
        <w:ind w:left="0" w:firstLine="463"/>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val="en-US"/>
        </w:rPr>
      </w:r>
      <w:r/>
    </w:p>
    <w:p>
      <w:pPr>
        <w:pStyle w:val="945"/>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val="en-US"/>
        </w:rPr>
      </w:r>
      <w:r/>
    </w:p>
    <w:p>
      <w:pPr>
        <w:ind w:left="0" w:right="0" w:firstLine="196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8"/>
          <w:szCs w:val="28"/>
          <w:highlight w:val="none"/>
          <w:lang w:val="en-US"/>
        </w:rPr>
        <w:suppressLineNumbers w:val="0"/>
      </w:pPr>
      <w:r>
        <w:rPr>
          <w:rFonts w:hint="eastAsia" w:ascii="黑体" w:hAnsi="黑体" w:eastAsia="黑体" w:cs="黑体"/>
          <w:color w:val="auto"/>
          <w:sz w:val="28"/>
          <w:szCs w:val="28"/>
          <w:highlight w:val="none"/>
          <w:lang w:val="zh-CN"/>
        </w:rPr>
        <w:t xml:space="preserve">★</w:t>
      </w:r>
      <w:r>
        <w:rPr>
          <w:rFonts w:hint="eastAsia" w:ascii="黑体" w:hAnsi="黑体" w:eastAsia="黑体" w:cs="黑体"/>
          <w:b/>
          <w:bCs w:val="0"/>
          <w:color w:val="auto"/>
          <w:sz w:val="28"/>
          <w:szCs w:val="28"/>
          <w:highlight w:val="none"/>
          <w:lang w:val="en-US"/>
        </w:rPr>
        <w:t xml:space="preserve">3</w:t>
      </w:r>
      <w:r>
        <w:rPr>
          <w:rFonts w:hint="eastAsia" w:ascii="黑体" w:hAnsi="黑体" w:eastAsia="黑体" w:cs="黑体"/>
          <w:b/>
          <w:bCs w:val="0"/>
          <w:color w:val="auto"/>
          <w:sz w:val="28"/>
          <w:szCs w:val="28"/>
          <w:highlight w:val="none"/>
          <w:lang w:eastAsia="zh-CN"/>
        </w:rPr>
        <w:t xml:space="preserve">、技术部分正负偏离表</w:t>
      </w:r>
      <w:r/>
    </w:p>
    <w:p>
      <w:pPr>
        <w:ind w:left="0" w:right="0" w:firstLine="48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（由供应商据实填写，表格不够自行添加）</w:t>
      </w:r>
      <w:r/>
    </w:p>
    <w:tbl>
      <w:tblPr>
        <w:tblStyle w:val="87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tc>
      </w:tr>
    </w:tbl>
    <w:p>
      <w:pPr>
        <w:pStyle w:val="945"/>
        <w:jc w:val="left"/>
        <w:pageBreakBefore w:val="0"/>
        <w:spacing w:line="440" w:lineRule="exact"/>
        <w:widowControl/>
        <w:rPr>
          <w:rFonts w:hint="eastAsia" w:ascii="黑体" w:hAnsi="黑体" w:eastAsia="黑体" w:cs="黑体"/>
          <w:b/>
          <w:bCs w:val="0"/>
          <w:color w:val="auto"/>
          <w:sz w:val="24"/>
          <w:szCs w:val="24"/>
          <w:highlight w:val="none"/>
          <w:lang w:val="en-US"/>
        </w:rPr>
      </w:pPr>
      <w:r>
        <w:rPr>
          <w:rFonts w:hint="eastAsia" w:ascii="黑体" w:hAnsi="黑体" w:eastAsia="黑体" w:cs="黑体"/>
          <w:b/>
          <w:bCs w:val="0"/>
          <w:color w:val="auto"/>
          <w:sz w:val="24"/>
          <w:szCs w:val="24"/>
          <w:highlight w:val="none"/>
          <w:lang w:eastAsia="zh-CN"/>
        </w:rPr>
        <w:t xml:space="preserve">注：</w:t>
      </w:r>
      <w:r/>
    </w:p>
    <w:p>
      <w:pPr>
        <w:pStyle w:val="945"/>
        <w:ind w:left="0" w:firstLine="480"/>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en-US"/>
        </w:rPr>
        <w:t xml:space="preserve">1.</w:t>
      </w:r>
      <w:r>
        <w:rPr>
          <w:rFonts w:hint="eastAsia" w:ascii="黑体" w:hAnsi="黑体" w:eastAsia="黑体" w:cs="黑体"/>
          <w:color w:val="auto"/>
          <w:sz w:val="24"/>
          <w:szCs w:val="24"/>
          <w:highlight w:val="none"/>
          <w:lang w:eastAsia="zh-CN"/>
        </w:rPr>
        <w:t xml:space="preserve">供应商提交的响应文件中与</w:t>
      </w:r>
      <w:r>
        <w:rPr>
          <w:rFonts w:hint="eastAsia" w:ascii="黑体" w:hAnsi="黑体" w:eastAsia="黑体" w:cs="黑体"/>
          <w:color w:val="auto"/>
          <w:sz w:val="24"/>
          <w:szCs w:val="24"/>
          <w:highlight w:val="none"/>
          <w:lang w:val="en-US" w:eastAsia="zh-CN"/>
        </w:rPr>
        <w:t xml:space="preserve">招标</w:t>
      </w:r>
      <w:r>
        <w:rPr>
          <w:rFonts w:hint="eastAsia" w:ascii="黑体" w:hAnsi="黑体" w:eastAsia="黑体" w:cs="黑体"/>
          <w:color w:val="auto"/>
          <w:sz w:val="24"/>
          <w:szCs w:val="24"/>
          <w:highlight w:val="none"/>
          <w:lang w:eastAsia="zh-CN"/>
        </w:rPr>
        <w:t xml:space="preserve">文件第四章“项目需求”中的技术部分的要求，应逐条填列在偏离表中。</w:t>
      </w:r>
      <w:r/>
    </w:p>
    <w:p>
      <w:pPr>
        <w:pStyle w:val="945"/>
        <w:ind w:left="0" w:firstLine="480"/>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en-US"/>
        </w:rPr>
        <w:t xml:space="preserve">2. </w:t>
      </w:r>
      <w:r>
        <w:rPr>
          <w:rFonts w:hint="eastAsia" w:ascii="黑体" w:hAnsi="黑体" w:eastAsia="黑体" w:cs="黑体"/>
          <w:color w:val="auto"/>
          <w:sz w:val="24"/>
          <w:szCs w:val="24"/>
          <w:highlight w:val="none"/>
          <w:lang w:eastAsia="zh-CN"/>
        </w:rPr>
        <w:t xml:space="preserve">“偏离说明”一栏选择“正偏离”、“无偏离”、“负偏离”进行填写。正偏离、无偏离的确认和负偏离的是否响应招标文件，由评委认定。</w:t>
      </w:r>
      <w:r/>
    </w:p>
    <w:p>
      <w:pPr>
        <w:pStyle w:val="945"/>
        <w:ind w:left="0" w:firstLine="480"/>
        <w:jc w:val="left"/>
        <w:pageBreakBefore w:val="0"/>
        <w:spacing w:line="440" w:lineRule="exact"/>
        <w:widowControl/>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lang w:val="en-US"/>
        </w:rPr>
        <w:t xml:space="preserve">3.</w:t>
      </w:r>
      <w:r>
        <w:rPr>
          <w:rFonts w:hint="eastAsia" w:ascii="黑体" w:hAnsi="黑体" w:eastAsia="黑体" w:cs="黑体"/>
          <w:color w:val="auto"/>
          <w:sz w:val="24"/>
          <w:szCs w:val="24"/>
          <w:highlight w:val="none"/>
          <w:lang w:eastAsia="zh-CN"/>
        </w:rPr>
        <w:t xml:space="preserve">供应商如果虚假响应，将被暂停参加南通市经济技术开发区政府采购活动。</w:t>
      </w:r>
      <w:r/>
    </w:p>
    <w:p>
      <w:pPr>
        <w:pStyle w:val="945"/>
        <w:ind w:left="0" w:firstLine="480"/>
        <w:jc w:val="left"/>
        <w:pageBreakBefore w:val="0"/>
        <w:spacing w:line="440" w:lineRule="exact"/>
        <w:widowControl/>
        <w:rPr>
          <w:rFonts w:hint="eastAsia" w:ascii="黑体" w:hAnsi="黑体" w:eastAsia="黑体" w:cs="黑体"/>
          <w:bCs/>
          <w:color w:val="auto"/>
          <w:sz w:val="24"/>
          <w:szCs w:val="24"/>
          <w:highlight w:val="none"/>
          <w:lang w:val="en-US"/>
        </w:rPr>
      </w:pPr>
      <w:r>
        <w:rPr>
          <w:rFonts w:hint="eastAsia" w:ascii="黑体" w:hAnsi="黑体" w:eastAsia="黑体" w:cs="黑体"/>
          <w:bCs/>
          <w:color w:val="auto"/>
          <w:sz w:val="24"/>
          <w:szCs w:val="24"/>
          <w:highlight w:val="none"/>
          <w:lang w:val="en-US"/>
        </w:rPr>
        <w:t xml:space="preserve">4.</w:t>
      </w:r>
      <w:r>
        <w:rPr>
          <w:rFonts w:hint="eastAsia" w:ascii="黑体" w:hAnsi="黑体" w:eastAsia="黑体" w:cs="黑体"/>
          <w:bCs/>
          <w:color w:val="auto"/>
          <w:sz w:val="24"/>
          <w:szCs w:val="24"/>
          <w:highlight w:val="none"/>
          <w:lang w:eastAsia="zh-CN"/>
        </w:rPr>
        <w:t xml:space="preserve">供应商若提供其他增值服务，可以在表中自行据实填写。</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outlineLvl w:val="3"/>
        <w:suppressLineNumbers w:val="0"/>
      </w:pPr>
      <w:r>
        <w:rPr>
          <w:rFonts w:hint="eastAsia" w:ascii="黑体" w:hAnsi="黑体" w:eastAsia="黑体" w:cs="黑体"/>
          <w:b/>
          <w:bCs/>
          <w:color w:val="auto"/>
          <w:sz w:val="24"/>
          <w:szCs w:val="24"/>
          <w:highlight w:val="none"/>
          <w:lang w:val="en-US"/>
        </w:rPr>
      </w:r>
      <w:r/>
    </w:p>
    <w:p>
      <w:pPr>
        <w:pStyle w:val="943"/>
        <w:jc w:val="left"/>
        <w:pageBreakBefore w:val="0"/>
        <w:spacing w:line="440" w:lineRule="exact"/>
        <w:widowControl/>
        <w:rPr>
          <w:rFonts w:hint="eastAsia" w:ascii="黑体" w:hAnsi="黑体" w:eastAsia="黑体" w:cs="黑体"/>
          <w:b/>
          <w:bCs/>
          <w:color w:val="auto"/>
          <w:sz w:val="28"/>
          <w:szCs w:val="28"/>
          <w:highlight w:val="none"/>
          <w:lang w:val="en-US"/>
        </w:rPr>
        <w:outlineLvl w:val="4"/>
      </w:pPr>
      <w:r>
        <w:rPr>
          <w:rFonts w:hint="eastAsia" w:ascii="黑体" w:hAnsi="黑体" w:eastAsia="黑体" w:cs="黑体"/>
          <w:b/>
          <w:bCs w:val="0"/>
          <w:color w:val="auto"/>
          <w:sz w:val="28"/>
          <w:szCs w:val="28"/>
          <w:highlight w:val="none"/>
          <w:lang w:val="en-US"/>
        </w:rPr>
        <w:t xml:space="preserve">4</w:t>
      </w:r>
      <w:r>
        <w:rPr>
          <w:rFonts w:hint="eastAsia" w:ascii="黑体" w:hAnsi="黑体" w:eastAsia="黑体" w:cs="黑体"/>
          <w:b/>
          <w:bCs w:val="0"/>
          <w:color w:val="auto"/>
          <w:sz w:val="28"/>
          <w:szCs w:val="28"/>
          <w:highlight w:val="none"/>
          <w:lang w:eastAsia="zh-CN"/>
        </w:rPr>
        <w:t xml:space="preserve">、技术标其他格式自拟</w:t>
      </w:r>
      <w:r/>
    </w:p>
    <w:p>
      <w:pPr>
        <w:pStyle w:val="873"/>
        <w:ind w:left="0" w:firstLine="0"/>
        <w:jc w:val="left"/>
        <w:pageBreakBefore w:val="0"/>
        <w:spacing w:line="440" w:lineRule="exact"/>
        <w:widowControl/>
        <w:rPr>
          <w:rFonts w:hint="eastAsia" w:ascii="黑体" w:hAnsi="黑体" w:eastAsia="黑体" w:cs="黑体"/>
          <w:color w:val="auto"/>
          <w:sz w:val="30"/>
          <w:szCs w:val="20"/>
          <w:highlight w:val="none"/>
          <w:lang w:val="en-US"/>
        </w:rPr>
      </w:pPr>
      <w:r>
        <w:rPr>
          <w:rFonts w:hint="eastAsia" w:ascii="黑体" w:hAnsi="黑体" w:eastAsia="黑体" w:cs="黑体"/>
          <w:color w:val="auto"/>
          <w:sz w:val="30"/>
          <w:szCs w:val="20"/>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br w:type="page" w:clear="all"/>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color w:val="auto"/>
          <w:sz w:val="24"/>
          <w:szCs w:val="24"/>
          <w:highlight w:val="none"/>
          <w:lang w:val="en-US"/>
        </w:rPr>
        <w:suppressLineNumbers w:val="0"/>
      </w:pPr>
      <w:r>
        <w:rPr>
          <w:rFonts w:hint="eastAsia" w:ascii="黑体" w:hAnsi="黑体" w:eastAsia="黑体" w:cs="黑体"/>
          <w:b/>
          <w:bCs/>
          <w:color w:val="auto"/>
          <w:sz w:val="24"/>
          <w:szCs w:val="24"/>
          <w:highlight w:val="none"/>
          <w:lang w:val="en-US" w:eastAsia="zh-CN" w:bidi="ar"/>
        </w:rPr>
        <w:t xml:space="preserve">C.报价标（单独密封）</w:t>
      </w:r>
      <w:r/>
    </w:p>
    <w:p>
      <w:pPr>
        <w:ind w:firstLine="3373"/>
        <w:jc w:val="left"/>
        <w:pageBreakBefore w:val="0"/>
        <w:spacing w:before="100" w:beforeAutospacing="1" w:after="100" w:afterAutospacing="1" w:line="440" w:lineRule="exact"/>
        <w:widowControl/>
        <w:rPr>
          <w:rFonts w:hint="eastAsia" w:ascii="黑体" w:hAnsi="黑体" w:eastAsia="黑体" w:cs="黑体"/>
          <w:color w:val="auto"/>
          <w:sz w:val="24"/>
          <w:szCs w:val="24"/>
          <w:highlight w:val="none"/>
        </w:rPr>
      </w:pPr>
      <w:r>
        <w:rPr>
          <w:rFonts w:hint="eastAsia" w:ascii="黑体" w:hAnsi="黑体" w:eastAsia="黑体" w:cs="黑体"/>
          <w:b/>
          <w:bCs/>
          <w:color w:val="auto"/>
          <w:sz w:val="28"/>
          <w:szCs w:val="28"/>
          <w:highlight w:val="none"/>
          <w:lang w:val="en-US" w:eastAsia="zh-CN"/>
        </w:rPr>
        <w:t xml:space="preserve">一、</w:t>
      </w:r>
      <w:r>
        <w:rPr>
          <w:rFonts w:hint="eastAsia" w:ascii="黑体" w:hAnsi="黑体" w:eastAsia="黑体" w:cs="黑体"/>
          <w:b/>
          <w:bCs/>
          <w:color w:val="auto"/>
          <w:sz w:val="28"/>
          <w:szCs w:val="28"/>
          <w:highlight w:val="none"/>
        </w:rPr>
        <w:t xml:space="preserve">开  标 一 览  表</w:t>
      </w:r>
      <w:r/>
    </w:p>
    <w:p>
      <w:pPr>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项目编号：</w:t>
      </w:r>
      <w:r/>
    </w:p>
    <w:tbl>
      <w:tblPr>
        <w:tblStyle w:val="87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ind w:left="0" w:right="0"/>
              <w:jc w:val="center"/>
              <w:keepLines w:val="0"/>
              <w:keepNext w:val="0"/>
              <w:spacing w:before="0" w:beforeAutospacing="0" w:after="0" w:afterAutospacing="0"/>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t xml:space="preserve">磋商货物、服务名称</w:t>
            </w:r>
            <w:r/>
          </w:p>
        </w:tc>
        <w:tc>
          <w:tcPr>
            <w:tcW w:w="4607" w:type="dxa"/>
            <w:vAlign w:val="top"/>
            <w:textDirection w:val="lrTb"/>
            <w:noWrap w:val="false"/>
          </w:tcPr>
          <w:p>
            <w:pPr>
              <w:ind w:left="0" w:right="0"/>
              <w:jc w:val="center"/>
              <w:keepLines w:val="0"/>
              <w:keepNext w:val="0"/>
              <w:spacing w:before="0" w:beforeAutospacing="0" w:after="0" w:afterAutospacing="0"/>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t xml:space="preserve">磋商</w:t>
            </w:r>
            <w:r>
              <w:rPr>
                <w:rFonts w:hint="eastAsia" w:ascii="黑体" w:hAnsi="黑体" w:eastAsia="黑体" w:cs="黑体"/>
                <w:color w:val="auto"/>
                <w:sz w:val="24"/>
                <w:szCs w:val="24"/>
                <w:highlight w:val="none"/>
                <w:lang w:val="en-US" w:eastAsia="zh-CN"/>
              </w:rPr>
              <w:t xml:space="preserve">合计报价（</w:t>
            </w:r>
            <w:r>
              <w:rPr>
                <w:rFonts w:hint="eastAsia" w:ascii="黑体" w:hAnsi="黑体" w:eastAsia="黑体" w:cs="黑体"/>
                <w:color w:val="auto"/>
                <w:sz w:val="24"/>
                <w:szCs w:val="24"/>
                <w:highlight w:val="none"/>
              </w:rPr>
              <w:t xml:space="preserve">元</w:t>
            </w:r>
            <w:r>
              <w:rPr>
                <w:rFonts w:hint="eastAsia" w:ascii="黑体" w:hAnsi="黑体" w:eastAsia="黑体" w:cs="黑体"/>
                <w:color w:val="auto"/>
                <w:sz w:val="24"/>
                <w:szCs w:val="24"/>
                <w:highlight w:val="none"/>
                <w:lang w:val="en-US" w:eastAsia="zh-CN"/>
              </w:rPr>
              <w:t xml:space="preserve">）</w:t>
            </w:r>
            <w:r/>
          </w:p>
        </w:tc>
      </w:tr>
      <w:tr>
        <w:trPr>
          <w:trHeight w:val="1091"/>
        </w:trPr>
        <w:tc>
          <w:tcPr>
            <w:tcW w:w="4148" w:type="dxa"/>
            <w:vAlign w:val="top"/>
            <w:textDirection w:val="lrTb"/>
            <w:noWrap w:val="false"/>
          </w:tcPr>
          <w:p>
            <w:pPr>
              <w:ind w:left="0" w:right="0"/>
              <w:keepLines w:val="0"/>
              <w:keepNext w:val="0"/>
              <w:spacing w:before="0" w:beforeAutospacing="0" w:after="0" w:afterAutospacing="0"/>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W w:w="4607" w:type="dxa"/>
            <w:vAlign w:val="top"/>
            <w:textDirection w:val="lrTb"/>
            <w:noWrap w:val="false"/>
          </w:tcPr>
          <w:p>
            <w:pPr>
              <w:ind w:left="0" w:right="0"/>
              <w:keepLines w:val="0"/>
              <w:keepNext w:val="0"/>
              <w:spacing w:before="0" w:beforeAutospacing="0" w:after="0" w:afterAutospacing="0"/>
              <w:rPr>
                <w:rFonts w:hint="eastAsia" w:ascii="黑体" w:hAnsi="黑体" w:eastAsia="黑体" w:cs="黑体"/>
                <w:color w:val="auto"/>
                <w:sz w:val="24"/>
                <w:szCs w:val="24"/>
                <w:highlight w:val="none"/>
                <w:lang w:eastAsia="zh-CN"/>
              </w:rPr>
              <w:suppressLineNumbers w:val="0"/>
            </w:pPr>
            <w:r>
              <w:rPr>
                <w:rFonts w:hint="eastAsia" w:ascii="黑体" w:hAnsi="黑体" w:eastAsia="黑体" w:cs="黑体"/>
                <w:color w:val="auto"/>
                <w:sz w:val="24"/>
                <w:szCs w:val="24"/>
                <w:highlight w:val="none"/>
              </w:rPr>
              <w:t xml:space="preserve">大写：</w:t>
            </w:r>
            <w:r/>
          </w:p>
          <w:p>
            <w:pPr>
              <w:ind w:left="0" w:right="0"/>
              <w:keepLines w:val="0"/>
              <w:keepNext w:val="0"/>
              <w:spacing w:before="0" w:beforeAutospacing="0" w:after="0" w:afterAutospacing="0"/>
              <w:rPr>
                <w:rFonts w:hint="eastAsia" w:ascii="黑体" w:hAnsi="黑体" w:eastAsia="黑体" w:cs="黑体"/>
                <w:color w:val="auto"/>
                <w:sz w:val="24"/>
                <w:szCs w:val="24"/>
                <w:highlight w:val="none"/>
                <w:u w:val="single"/>
              </w:rPr>
              <w:suppressLineNumbers w:val="0"/>
            </w:pPr>
            <w:r>
              <w:rPr>
                <w:rFonts w:hint="eastAsia" w:ascii="黑体" w:hAnsi="黑体" w:eastAsia="黑体" w:cs="黑体"/>
                <w:color w:val="auto"/>
                <w:sz w:val="24"/>
                <w:szCs w:val="24"/>
                <w:highlight w:val="none"/>
              </w:rPr>
              <w:t xml:space="preserve">小写：元（人民币）</w:t>
            </w:r>
            <w:r/>
          </w:p>
        </w:tc>
      </w:tr>
    </w:tbl>
    <w:p>
      <w:pPr>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法定代表人或者授权代表（签字或盖章）：                    </w:t>
      </w:r>
      <w:r/>
    </w:p>
    <w:p>
      <w:pPr>
        <w:spacing w:line="360" w:lineRule="auto"/>
        <w:rPr>
          <w:rFonts w:hint="eastAsia" w:ascii="黑体" w:hAnsi="黑体" w:eastAsia="黑体" w:cs="黑体"/>
          <w:color w:val="auto"/>
          <w:sz w:val="24"/>
          <w:szCs w:val="24"/>
          <w:highlight w:val="none"/>
          <w:u w:val="single"/>
        </w:rPr>
      </w:pPr>
      <w:r>
        <w:rPr>
          <w:rFonts w:hint="eastAsia" w:ascii="黑体" w:hAnsi="黑体" w:eastAsia="黑体" w:cs="黑体"/>
          <w:color w:val="auto"/>
          <w:sz w:val="24"/>
          <w:szCs w:val="24"/>
          <w:highlight w:val="none"/>
        </w:rPr>
        <w:t xml:space="preserve">磋商供应商全称（盖章）：</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lang w:val="en-US"/>
        </w:rPr>
        <w:suppressLineNumbers w:val="0"/>
      </w:pPr>
      <w:r>
        <w:rPr>
          <w:rFonts w:hint="eastAsia" w:ascii="黑体" w:hAnsi="黑体" w:eastAsia="黑体" w:cs="黑体"/>
          <w:color w:val="auto"/>
          <w:sz w:val="24"/>
          <w:szCs w:val="24"/>
          <w:highlight w:val="none"/>
        </w:rPr>
        <w:t xml:space="preserve">                                               日期：    年   月    </w:t>
      </w:r>
      <w:r/>
    </w:p>
    <w:p>
      <w:pPr>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填写说明：</w:t>
      </w:r>
      <w:r/>
    </w:p>
    <w:p>
      <w:pPr>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1、开标一览表必须加盖投标单位公章（</w:t>
      </w:r>
      <w:r>
        <w:rPr>
          <w:rFonts w:hint="eastAsia" w:ascii="黑体" w:hAnsi="黑体" w:eastAsia="黑体" w:cs="黑体"/>
          <w:color w:val="auto"/>
          <w:sz w:val="24"/>
          <w:szCs w:val="24"/>
          <w:highlight w:val="none"/>
          <w:lang w:eastAsia="zh-CN"/>
        </w:rPr>
        <w:t xml:space="preserve">原件扫描件</w:t>
      </w:r>
      <w:r>
        <w:rPr>
          <w:rFonts w:hint="eastAsia" w:ascii="黑体" w:hAnsi="黑体" w:eastAsia="黑体" w:cs="黑体"/>
          <w:color w:val="auto"/>
          <w:sz w:val="24"/>
          <w:szCs w:val="24"/>
          <w:highlight w:val="none"/>
        </w:rPr>
        <w:t xml:space="preserve">无效）。</w:t>
      </w:r>
      <w:r/>
    </w:p>
    <w:p>
      <w:pPr>
        <w:jc w:val="left"/>
        <w:pageBreakBefore w:val="0"/>
        <w:spacing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2、如有分包，</w:t>
      </w:r>
      <w:r>
        <w:rPr>
          <w:rFonts w:hint="eastAsia" w:ascii="黑体" w:hAnsi="黑体" w:eastAsia="黑体" w:cs="黑体"/>
          <w:color w:val="auto"/>
          <w:sz w:val="24"/>
          <w:szCs w:val="24"/>
          <w:highlight w:val="none"/>
          <w:lang w:eastAsia="zh-CN"/>
        </w:rPr>
        <w:t xml:space="preserve">供应商</w:t>
      </w:r>
      <w:r>
        <w:rPr>
          <w:rFonts w:hint="eastAsia" w:ascii="黑体" w:hAnsi="黑体" w:eastAsia="黑体" w:cs="黑体"/>
          <w:color w:val="auto"/>
          <w:sz w:val="24"/>
          <w:szCs w:val="24"/>
          <w:highlight w:val="none"/>
        </w:rPr>
        <w:t xml:space="preserve">投任何一个包的标的，都需单独填写开标一览表。</w:t>
      </w:r>
      <w:r/>
    </w:p>
    <w:p>
      <w:pPr>
        <w:jc w:val="left"/>
        <w:pageBreakBefore w:val="0"/>
        <w:spacing w:line="440" w:lineRule="exact"/>
        <w:rPr>
          <w:rFonts w:hint="eastAsia" w:ascii="黑体" w:hAnsi="黑体" w:eastAsia="黑体" w:cs="黑体"/>
          <w:b/>
          <w:bCs/>
          <w:color w:val="auto"/>
          <w:sz w:val="24"/>
          <w:szCs w:val="24"/>
          <w:u w:val="single"/>
        </w:rPr>
      </w:pPr>
      <w:r>
        <w:rPr>
          <w:rFonts w:hint="eastAsia" w:ascii="黑体" w:hAnsi="黑体" w:eastAsia="黑体" w:cs="黑体"/>
          <w:color w:val="auto"/>
          <w:sz w:val="24"/>
          <w:szCs w:val="24"/>
          <w:highlight w:val="none"/>
          <w:lang w:val="en-US" w:eastAsia="zh-CN"/>
        </w:rPr>
        <w:t xml:space="preserve">3、</w:t>
      </w:r>
      <w:r>
        <w:rPr>
          <w:rFonts w:hint="eastAsia" w:ascii="黑体" w:hAnsi="黑体" w:eastAsia="黑体" w:cs="黑体"/>
          <w:b/>
          <w:bCs/>
          <w:color w:val="auto"/>
          <w:sz w:val="24"/>
          <w:szCs w:val="24"/>
          <w:u w:val="single"/>
        </w:rPr>
        <w:t xml:space="preserve">响应供应商的报价（人民币）按</w:t>
      </w:r>
      <w:r>
        <w:rPr>
          <w:rFonts w:hint="eastAsia" w:ascii="黑体" w:hAnsi="黑体" w:eastAsia="黑体" w:cs="黑体"/>
          <w:b/>
          <w:bCs/>
          <w:color w:val="auto"/>
          <w:sz w:val="24"/>
          <w:szCs w:val="24"/>
          <w:u w:val="single"/>
          <w:lang w:eastAsia="zh-CN"/>
        </w:rPr>
        <w:t xml:space="preserve">单价</w:t>
      </w:r>
      <w:r>
        <w:rPr>
          <w:rFonts w:hint="eastAsia" w:ascii="黑体" w:hAnsi="黑体" w:eastAsia="黑体" w:cs="黑体"/>
          <w:b/>
          <w:bCs/>
          <w:color w:val="auto"/>
          <w:sz w:val="24"/>
          <w:szCs w:val="24"/>
          <w:u w:val="single"/>
          <w:lang w:val="en-US" w:eastAsia="zh-CN"/>
        </w:rPr>
        <w:t xml:space="preserve">合计</w:t>
      </w:r>
      <w:r>
        <w:rPr>
          <w:rFonts w:hint="eastAsia" w:ascii="黑体" w:hAnsi="黑体" w:eastAsia="黑体" w:cs="黑体"/>
          <w:b/>
          <w:bCs/>
          <w:color w:val="auto"/>
          <w:sz w:val="24"/>
          <w:szCs w:val="24"/>
          <w:u w:val="single"/>
        </w:rPr>
        <w:t xml:space="preserve">报价</w:t>
      </w:r>
      <w:r>
        <w:rPr>
          <w:rFonts w:hint="eastAsia" w:ascii="黑体" w:hAnsi="黑体" w:eastAsia="黑体" w:cs="黑体"/>
          <w:b/>
          <w:bCs/>
          <w:color w:val="auto"/>
          <w:sz w:val="24"/>
          <w:szCs w:val="24"/>
          <w:u w:val="single"/>
          <w:lang w:eastAsia="zh-CN"/>
        </w:rPr>
        <w:t xml:space="preserve">（</w:t>
      </w:r>
      <w:r>
        <w:rPr>
          <w:rFonts w:hint="eastAsia" w:ascii="黑体" w:hAnsi="黑体" w:eastAsia="黑体" w:cs="黑体"/>
          <w:b/>
          <w:bCs/>
          <w:color w:val="auto"/>
          <w:sz w:val="24"/>
          <w:szCs w:val="24"/>
          <w:u w:val="single"/>
          <w:lang w:val="en-US" w:eastAsia="zh-CN"/>
        </w:rPr>
        <w:t xml:space="preserve">按分项报价表中单价</w:t>
      </w:r>
      <w:r>
        <w:rPr>
          <w:rFonts w:hint="eastAsia" w:ascii="黑体" w:hAnsi="黑体" w:eastAsia="黑体" w:cs="黑体"/>
          <w:b/>
          <w:bCs/>
          <w:color w:val="auto"/>
          <w:sz w:val="24"/>
          <w:szCs w:val="24"/>
          <w:u w:val="single"/>
          <w:lang w:val="en-US" w:eastAsia="en-US"/>
        </w:rPr>
        <w:t xml:space="preserve">序号 1至 </w:t>
      </w:r>
      <w:r>
        <w:rPr>
          <w:rFonts w:hint="eastAsia" w:ascii="黑体" w:hAnsi="黑体" w:eastAsia="黑体" w:cs="黑体"/>
          <w:b/>
          <w:bCs/>
          <w:color w:val="auto"/>
          <w:sz w:val="24"/>
          <w:szCs w:val="24"/>
          <w:u w:val="single"/>
          <w:lang w:val="en-US" w:eastAsia="zh-CN"/>
        </w:rPr>
        <w:t xml:space="preserve">12</w:t>
      </w:r>
      <w:r>
        <w:rPr>
          <w:rFonts w:hint="eastAsia" w:ascii="黑体" w:hAnsi="黑体" w:eastAsia="黑体" w:cs="黑体"/>
          <w:b/>
          <w:bCs/>
          <w:color w:val="auto"/>
          <w:sz w:val="24"/>
          <w:szCs w:val="24"/>
          <w:u w:val="single"/>
          <w:lang w:val="en-US" w:eastAsia="en-US"/>
        </w:rPr>
        <w:t xml:space="preserve">的合计</w:t>
      </w:r>
      <w:r>
        <w:rPr>
          <w:rFonts w:hint="eastAsia" w:ascii="黑体" w:hAnsi="黑体" w:eastAsia="黑体" w:cs="黑体"/>
          <w:b/>
          <w:bCs/>
          <w:color w:val="auto"/>
          <w:sz w:val="24"/>
          <w:szCs w:val="24"/>
          <w:u w:val="single"/>
          <w:lang w:val="en-US" w:eastAsia="zh-CN"/>
        </w:rPr>
        <w:t xml:space="preserve">报价金额）</w:t>
      </w:r>
      <w:r>
        <w:rPr>
          <w:rFonts w:hint="eastAsia" w:ascii="黑体" w:hAnsi="黑体" w:eastAsia="黑体" w:cs="黑体"/>
          <w:b/>
          <w:bCs/>
          <w:color w:val="auto"/>
          <w:sz w:val="24"/>
          <w:szCs w:val="24"/>
          <w:u w:val="single"/>
        </w:rPr>
        <w:t xml:space="preserve">，报价（以人民币计价），应包括但不限于响应磋商文件所列工作内容所需的人工费用（包括国假加班费、劳保等），设备、工具、耗材、管理费、培训费、保险费、第三方对中标单位完成本项目进行检验的费用</w:t>
      </w:r>
      <w:r>
        <w:rPr>
          <w:rFonts w:hint="eastAsia" w:ascii="黑体" w:hAnsi="黑体" w:eastAsia="黑体" w:cs="黑体"/>
          <w:b/>
          <w:bCs/>
          <w:color w:val="auto"/>
          <w:sz w:val="24"/>
          <w:szCs w:val="24"/>
          <w:u w:val="single"/>
        </w:rPr>
        <w:t xml:space="preserve">、</w:t>
      </w:r>
      <w:r>
        <w:rPr>
          <w:rFonts w:hint="eastAsia" w:ascii="黑体" w:hAnsi="黑体" w:eastAsia="黑体" w:cs="黑体"/>
          <w:b/>
          <w:bCs/>
          <w:color w:val="auto"/>
          <w:sz w:val="24"/>
          <w:szCs w:val="24"/>
          <w:u w:val="single"/>
        </w:rPr>
        <w:t xml:space="preserve">税金、利润等政策性文件规定及合同包含的所有风险、责任等各项应有费用，即招标物服务周期结束前的所有费用且包含响应磋商文件采购要求的所有费用。</w:t>
      </w:r>
      <w:r>
        <w:rPr>
          <w:rFonts w:hint="eastAsia" w:ascii="黑体" w:hAnsi="黑体" w:eastAsia="黑体" w:cs="黑体"/>
          <w:b/>
          <w:bCs/>
          <w:color w:val="auto"/>
          <w:sz w:val="24"/>
          <w:szCs w:val="24"/>
          <w:u w:val="single"/>
          <w:lang w:eastAsia="zh-CN"/>
        </w:rPr>
        <w:t xml:space="preserve">供应商</w:t>
      </w:r>
      <w:r>
        <w:rPr>
          <w:rFonts w:hint="eastAsia" w:ascii="黑体" w:hAnsi="黑体" w:eastAsia="黑体" w:cs="黑体"/>
          <w:b/>
          <w:bCs/>
          <w:color w:val="auto"/>
          <w:sz w:val="24"/>
          <w:szCs w:val="24"/>
          <w:u w:val="single"/>
        </w:rPr>
        <w:t xml:space="preserve">报价如有漏项或少计，视为对采购人的优惠。采购人在支付成交方投标报价款项后，不再支付其他任何费用。</w:t>
      </w:r>
      <w:r/>
    </w:p>
    <w:p>
      <w:pPr>
        <w:jc w:val="left"/>
        <w:pageBreakBefore w:val="0"/>
        <w:spacing w:line="440" w:lineRule="exact"/>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highlight w:val="none"/>
          <w:lang w:val="en-US" w:eastAsia="zh-CN"/>
        </w:rPr>
        <w:t xml:space="preserve">4、投标报价保留小数点后两位。</w:t>
      </w:r>
      <w:r/>
    </w:p>
    <w:p>
      <w:pPr>
        <w:numPr>
          <w:ilvl w:val="0"/>
          <w:numId w:val="11"/>
        </w:numPr>
        <w:jc w:val="center"/>
        <w:spacing w:after="0"/>
        <w:rPr>
          <w:rFonts w:hint="eastAsia" w:ascii="黑体" w:hAnsi="黑体" w:eastAsia="黑体" w:cs="黑体"/>
          <w:b/>
          <w:color w:val="auto"/>
          <w:sz w:val="28"/>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lang w:eastAsia="zh-CN"/>
        </w:rPr>
        <w:br w:type="page" w:clear="all"/>
      </w:r>
      <w:r>
        <w:rPr>
          <w:rFonts w:hint="eastAsia" w:ascii="黑体" w:hAnsi="黑体" w:eastAsia="黑体" w:cs="黑体"/>
          <w:b/>
          <w:color w:val="auto"/>
          <w:sz w:val="28"/>
          <w:lang w:eastAsia="zh-CN"/>
        </w:rPr>
        <w:t xml:space="preserve">分项报价明细表（服务类）</w:t>
      </w:r>
      <w:r/>
    </w:p>
    <w:p>
      <w:pPr>
        <w:jc w:val="left"/>
        <w:keepLines w:val="0"/>
        <w:keepNext w:val="0"/>
        <w:pageBreakBefore w:val="0"/>
        <w:spacing w:line="38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项目编号：</w:t>
      </w:r>
      <w:r/>
    </w:p>
    <w:p>
      <w:pPr>
        <w:jc w:val="left"/>
        <w:keepLines w:val="0"/>
        <w:keepNext w:val="0"/>
        <w:pageBreakBefore w:val="0"/>
        <w:spacing w:line="380" w:lineRule="exact"/>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项目名称：</w:t>
      </w:r>
      <w:r/>
    </w:p>
    <w:tbl>
      <w:tblPr>
        <w:tblStyle w:val="872"/>
        <w:tblW w:w="9845"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1827"/>
        <w:gridCol w:w="1046"/>
        <w:gridCol w:w="4161"/>
        <w:gridCol w:w="1055"/>
        <w:gridCol w:w="1100"/>
      </w:tblGrid>
      <w:tr>
        <w:trPr>
          <w:trHeight w:val="7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服务项目</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服务内容</w:t>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收费标准最高限价</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报价</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备注</w:t>
            </w:r>
            <w:r/>
          </w:p>
        </w:tc>
      </w:tr>
      <w:tr>
        <w:trPr>
          <w:trHeight w:val="7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送餐助餐送餐配餐</w:t>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第一年 10 元/餐/人，正餐配一大荤一小荤一素一汤，主食一份。</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827" w:type="dxa"/>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生活照料</w:t>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助浴</w:t>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定点助浴 20元/次（使用淋浴设备，配套坐浴椅，全身清洗）</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上门助浴 40元/次（使用淋浴设备，配套坐浴椅，全身清洗）</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理发</w:t>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定点服务 10元/次</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non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上门理发 30元/次</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827" w:type="dxa"/>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生活照料</w:t>
            </w:r>
            <w:r/>
          </w:p>
        </w:tc>
        <w:tc>
          <w:tcPr>
            <w:tcBorders>
              <w:top w:val="single" w:color="000000" w:sz="4" w:space="0"/>
              <w:left w:val="single" w:color="000000" w:sz="4" w:space="0"/>
              <w:bottom w:val="single" w:color="000000" w:sz="4" w:space="0"/>
              <w:right w:val="single" w:color="000000" w:sz="4" w:space="0"/>
            </w:tcBorders>
            <w:tcW w:w="1046" w:type="dxa"/>
            <w:vAlign w:val="center"/>
            <w:vMerge w:val="restart"/>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修脚</w:t>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定点服务 30元/次（普通修脚，刮死皮、剪指甲等）</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val="false"/>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上门修脚 50元/次（普通修脚，刮死皮、剪指甲等）</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鸡眼 10元/次（不含用药</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治甲沟炎 10元/次（不含用药）</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修垫核 10元/次（不含用药）</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修灰指甲 10元/次（不含用药）</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827"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6" w:type="dxa"/>
            <w:vAlign w:val="center"/>
            <w:vMerge w:val="continue"/>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修脚垫 10元/次（不含用药）</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gridSpan w:val="3"/>
            <w:tcBorders>
              <w:top w:val="single" w:color="000000" w:sz="4" w:space="0"/>
              <w:left w:val="single" w:color="000000" w:sz="4" w:space="0"/>
              <w:bottom w:val="single" w:color="000000" w:sz="4" w:space="0"/>
              <w:right w:val="single" w:color="000000" w:sz="4" w:space="0"/>
            </w:tcBorders>
            <w:tcW w:w="3529"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rPr>
              <w:t xml:space="preserve">合计价</w:t>
            </w:r>
            <w:r/>
          </w:p>
        </w:tc>
        <w:tc>
          <w:tcPr>
            <w:tcBorders>
              <w:top w:val="single" w:color="000000" w:sz="4" w:space="0"/>
              <w:left w:val="single" w:color="000000" w:sz="4" w:space="0"/>
              <w:bottom w:val="single" w:color="000000" w:sz="4" w:space="0"/>
              <w:right w:val="none" w:color="000000" w:sz="4" w:space="0"/>
            </w:tcBorders>
            <w:tcW w:w="4161"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rPr>
            </w:r>
            <w:r/>
          </w:p>
        </w:tc>
      </w:tr>
      <w:tr>
        <w:trPr>
          <w:trHeight w:val="740"/>
        </w:trPr>
        <w:tc>
          <w:tcPr>
            <w:gridSpan w:val="6"/>
            <w:tcBorders>
              <w:top w:val="none" w:color="000000" w:sz="4" w:space="0"/>
              <w:left w:val="none" w:color="000000" w:sz="4" w:space="0"/>
              <w:bottom w:val="none" w:color="000000" w:sz="4" w:space="0"/>
              <w:right w:val="none" w:color="000000" w:sz="4" w:space="0"/>
            </w:tcBorders>
            <w:tcW w:w="9845" w:type="dxa"/>
            <w:vAlign w:val="center"/>
            <w:textDirection w:val="lrTb"/>
            <w:noWrap/>
          </w:tcPr>
          <w:p>
            <w:pPr>
              <w:ind w:left="0" w:right="0"/>
              <w:jc w:val="left"/>
              <w:keepLines w:val="0"/>
              <w:keepNext w:val="0"/>
              <w:pageBreakBefore w:val="0"/>
              <w:spacing w:before="0" w:beforeAutospacing="0" w:after="0" w:afterAutospacing="0" w:line="380" w:lineRule="exact"/>
              <w:widowControl w:val="off"/>
              <w:rPr>
                <w:rFonts w:hint="eastAsia" w:ascii="黑体" w:hAnsi="黑体" w:eastAsia="黑体" w:cs="黑体"/>
                <w:color w:val="auto"/>
                <w:sz w:val="24"/>
                <w:szCs w:val="24"/>
                <w:highlight w:val="none"/>
              </w:rPr>
              <w:suppressLineNumbers w:val="0"/>
            </w:pPr>
            <w:r>
              <w:rPr>
                <w:rFonts w:hint="eastAsia" w:ascii="黑体" w:hAnsi="黑体" w:eastAsia="黑体" w:cs="黑体"/>
                <w:color w:val="auto"/>
                <w:sz w:val="24"/>
                <w:szCs w:val="24"/>
                <w:highlight w:val="none"/>
                <w:lang w:val="en-US" w:eastAsia="zh-CN"/>
              </w:rPr>
              <w:t xml:space="preserve">注：（1）上述报价为南通市居家和社区基本养老服务项目清单中挑选的项目，本报价表中未体现的报价执行《南通市居家和社区基本养老服务项目清单》（通民发〔2018〕94号）文件。（2）合计价为单价</w:t>
            </w:r>
            <w:r>
              <w:rPr>
                <w:rFonts w:hint="eastAsia" w:ascii="黑体" w:hAnsi="黑体" w:eastAsia="黑体" w:cs="黑体"/>
                <w:color w:val="auto"/>
                <w:sz w:val="24"/>
                <w:szCs w:val="24"/>
                <w:highlight w:val="none"/>
                <w:lang w:val="en-US" w:eastAsia="en-US"/>
              </w:rPr>
              <w:t xml:space="preserve">序号 1至 </w:t>
            </w:r>
            <w:r>
              <w:rPr>
                <w:rFonts w:hint="eastAsia" w:ascii="黑体" w:hAnsi="黑体" w:eastAsia="黑体" w:cs="黑体"/>
                <w:color w:val="auto"/>
                <w:sz w:val="24"/>
                <w:szCs w:val="24"/>
                <w:highlight w:val="none"/>
                <w:lang w:val="en-US" w:eastAsia="zh-CN"/>
              </w:rPr>
              <w:t xml:space="preserve">12</w:t>
            </w:r>
            <w:r>
              <w:rPr>
                <w:rFonts w:hint="eastAsia" w:ascii="黑体" w:hAnsi="黑体" w:eastAsia="黑体" w:cs="黑体"/>
                <w:color w:val="auto"/>
                <w:sz w:val="24"/>
                <w:szCs w:val="24"/>
                <w:highlight w:val="none"/>
                <w:lang w:val="en-US" w:eastAsia="en-US"/>
              </w:rPr>
              <w:t xml:space="preserve">的合计。</w:t>
            </w:r>
            <w:r/>
          </w:p>
        </w:tc>
      </w:tr>
    </w:tbl>
    <w:p>
      <w:pPr>
        <w:jc w:val="left"/>
        <w:keepLines w:val="0"/>
        <w:keepNext w:val="0"/>
        <w:pageBreakBefore w:val="0"/>
        <w:spacing w:line="38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法定代表人或者授权代表（签字或盖章）：                    </w:t>
      </w:r>
      <w:r/>
    </w:p>
    <w:p>
      <w:pPr>
        <w:jc w:val="left"/>
        <w:keepLines w:val="0"/>
        <w:keepNext w:val="0"/>
        <w:pageBreakBefore w:val="0"/>
        <w:spacing w:line="380" w:lineRule="exact"/>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磋商供应商全称（盖章）：</w:t>
      </w:r>
      <w:r/>
    </w:p>
    <w:p>
      <w:pPr>
        <w:jc w:val="left"/>
        <w:keepLines w:val="0"/>
        <w:keepNext w:val="0"/>
        <w:pageBreakBefore w:val="0"/>
        <w:spacing w:line="380" w:lineRule="exact"/>
        <w:widowControl w:val="off"/>
        <w:rPr>
          <w:rFonts w:hint="eastAsia" w:ascii="黑体" w:hAnsi="黑体" w:eastAsia="黑体" w:cs="黑体"/>
          <w:color w:val="auto"/>
          <w:sz w:val="24"/>
          <w:szCs w:val="24"/>
          <w:highlight w:val="none"/>
          <w:lang w:val="en-US"/>
        </w:rPr>
      </w:pPr>
      <w:r>
        <w:rPr>
          <w:rFonts w:hint="eastAsia" w:ascii="黑体" w:hAnsi="黑体" w:eastAsia="黑体" w:cs="黑体"/>
          <w:color w:val="auto"/>
          <w:sz w:val="24"/>
          <w:szCs w:val="24"/>
          <w:highlight w:val="none"/>
        </w:rPr>
        <w:t xml:space="preserve">                                         日期：    年   月    </w:t>
      </w:r>
      <w:r/>
    </w:p>
    <w:p>
      <w:pPr>
        <w:jc w:val="left"/>
        <w:keepLines w:val="0"/>
        <w:keepNext w:val="0"/>
        <w:pageBreakBefore w:val="0"/>
        <w:spacing w:line="380" w:lineRule="exact"/>
        <w:widowControl w:val="off"/>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附件</w:t>
      </w:r>
      <w:r/>
    </w:p>
    <w:p>
      <w:pPr>
        <w:ind w:left="0" w:right="0"/>
        <w:jc w:val="center"/>
        <w:keepLines w:val="0"/>
        <w:keepNext w:val="0"/>
        <w:pageBreakBefore w:val="0"/>
        <w:spacing w:before="0" w:beforeAutospacing="0" w:after="0" w:afterAutospacing="0" w:line="440" w:lineRule="exact"/>
        <w:widowControl w:val="off"/>
        <w:rPr>
          <w:rFonts w:hint="eastAsia" w:ascii="黑体" w:hAnsi="黑体" w:eastAsia="黑体" w:cs="黑体"/>
          <w:bCs/>
          <w:color w:val="auto"/>
          <w:sz w:val="28"/>
          <w:szCs w:val="28"/>
          <w:highlight w:val="none"/>
          <w:lang w:val="en-US"/>
        </w:rPr>
        <w:suppressLineNumbers w:val="0"/>
      </w:pPr>
      <w:r>
        <w:rPr>
          <w:rFonts w:hint="eastAsia" w:ascii="黑体" w:hAnsi="黑体" w:eastAsia="黑体" w:cs="黑体"/>
          <w:bCs/>
          <w:color w:val="auto"/>
          <w:sz w:val="28"/>
          <w:szCs w:val="28"/>
          <w:highlight w:val="none"/>
          <w:lang w:val="en-US" w:eastAsia="zh-CN" w:bidi="ar"/>
        </w:rPr>
        <w:t xml:space="preserve">质疑函范本</w:t>
      </w:r>
      <w:r/>
    </w:p>
    <w:p>
      <w:pPr>
        <w:ind w:left="0" w:right="0"/>
        <w:jc w:val="left"/>
        <w:keepLines w:val="0"/>
        <w:keepNext w:val="0"/>
        <w:pageBreakBefore w:val="0"/>
        <w:spacing w:before="312"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一、质疑供应商基本信息</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质疑供应商：</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地址：邮编：</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联系人：联系电话：</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授权代表：</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联系电话：</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地址：邮编：</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二、质疑项目基本情况</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质疑项目的名称：</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质疑项目的编号：包号：</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采购人名称：</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采购文件获取日期：</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三、质疑事项具体内容</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质疑事项1：</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事实依据：</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法律依据：</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u w:val="singl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质疑事项2</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Cs/>
          <w:color w:val="auto"/>
          <w:sz w:val="24"/>
          <w:szCs w:val="24"/>
          <w:highlight w:val="none"/>
          <w:lang w:val="en-US"/>
        </w:rPr>
        <w:suppressLineNumbers w:val="0"/>
      </w:pPr>
      <w:r>
        <w:rPr>
          <w:rFonts w:hint="eastAsia" w:ascii="黑体" w:hAnsi="黑体" w:eastAsia="黑体" w:cs="黑体"/>
          <w:bCs/>
          <w:color w:val="auto"/>
          <w:sz w:val="24"/>
          <w:szCs w:val="24"/>
          <w:highlight w:val="none"/>
          <w:lang w:val="en-US" w:eastAsia="zh-CN" w:bidi="ar"/>
        </w:rPr>
        <w:t xml:space="preserve">四、与质疑事项相关的质疑请求</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u w:val="single"/>
          <w:lang w:val="en-US"/>
        </w:rPr>
        <w:suppressLineNumbers w:val="0"/>
      </w:pPr>
      <w:r>
        <w:rPr>
          <w:rFonts w:hint="eastAsia" w:ascii="黑体" w:hAnsi="黑体" w:eastAsia="黑体" w:cs="黑体"/>
          <w:color w:val="auto"/>
          <w:sz w:val="24"/>
          <w:szCs w:val="24"/>
          <w:highlight w:val="none"/>
          <w:lang w:val="en-US" w:eastAsia="zh-CN" w:bidi="ar"/>
        </w:rPr>
        <w:t xml:space="preserve">请求：</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签字(签章)：                   公章：                      </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日期：    </w:t>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rPr>
      </w:r>
      <w:r/>
    </w:p>
    <w:p>
      <w:pPr>
        <w:ind w:left="0" w:right="0"/>
        <w:jc w:val="left"/>
        <w:keepLines w:val="0"/>
        <w:keepNext w:val="0"/>
        <w:pageBreakBefore w:val="0"/>
        <w:spacing w:before="0" w:beforeAutospacing="0" w:after="0" w:afterAutospacing="0" w:line="440" w:lineRule="exact"/>
        <w:widowControl w:val="off"/>
        <w:rPr>
          <w:rFonts w:hint="eastAsia" w:ascii="黑体" w:hAnsi="黑体" w:eastAsia="黑体" w:cs="黑体"/>
          <w:b/>
          <w:bCs w:val="0"/>
          <w:color w:val="auto"/>
          <w:sz w:val="24"/>
          <w:szCs w:val="24"/>
          <w:highlight w:val="none"/>
          <w:lang w:val="en-US"/>
        </w:rPr>
        <w:suppressLineNumbers w:val="0"/>
      </w:pPr>
      <w:r>
        <w:rPr>
          <w:rFonts w:hint="eastAsia" w:ascii="黑体" w:hAnsi="黑体" w:eastAsia="黑体" w:cs="黑体"/>
          <w:b/>
          <w:bCs w:val="0"/>
          <w:color w:val="auto"/>
          <w:sz w:val="24"/>
          <w:szCs w:val="24"/>
          <w:highlight w:val="none"/>
          <w:lang w:val="en-US" w:eastAsia="zh-CN" w:bidi="ar"/>
        </w:rPr>
        <w:t xml:space="preserve">质疑函制作说明：</w:t>
      </w:r>
      <w:r/>
    </w:p>
    <w:p>
      <w:pPr>
        <w:ind w:left="0" w:righ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1.供应商提出质疑时，应提交质疑函和必要的证明材料。</w:t>
      </w:r>
      <w:r/>
    </w:p>
    <w:p>
      <w:pPr>
        <w:ind w:left="0" w:righ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2.质疑供应商若委托代理人进行质疑的，质疑函应按要求列明“授权代表”的有关内容，并在附件中提交由质疑</w:t>
      </w:r>
      <w:r>
        <w:rPr>
          <w:rFonts w:hint="eastAsia" w:ascii="黑体" w:hAnsi="黑体" w:eastAsia="黑体" w:cs="黑体"/>
          <w:color w:val="auto"/>
          <w:sz w:val="24"/>
          <w:szCs w:val="24"/>
          <w:highlight w:val="none"/>
          <w:lang w:val="en-US" w:eastAsia="zh-CN" w:bidi="ar"/>
        </w:rPr>
        <w:t xml:space="preserve">供应商签署的授权委托书。授权委托书应载明代理人的姓名或者名称、代理事项、具体权限、期限和相关事项。</w:t>
      </w:r>
      <w:r/>
    </w:p>
    <w:p>
      <w:pPr>
        <w:ind w:left="0" w:righ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3.质疑供应商若对项目的某一分包进行质疑，质疑函中应列明具体分包号。</w:t>
      </w:r>
      <w:r/>
    </w:p>
    <w:p>
      <w:pPr>
        <w:ind w:left="0" w:righ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4.质疑函的质疑事项应具体、明确，并有必要的事实依据和法律依据。</w:t>
      </w:r>
      <w:r/>
    </w:p>
    <w:p>
      <w:pPr>
        <w:ind w:left="0" w:right="0" w:firstLine="480"/>
        <w:jc w:val="left"/>
        <w:keepLines w:val="0"/>
        <w:keepNext w:val="0"/>
        <w:pageBreakBefore w:val="0"/>
        <w:spacing w:before="0" w:beforeAutospacing="0" w:after="0" w:afterAutospacing="0" w:line="440" w:lineRule="exact"/>
        <w:widowControl/>
        <w:rPr>
          <w:rFonts w:hint="eastAsia" w:ascii="黑体" w:hAnsi="黑体" w:eastAsia="黑体" w:cs="黑体"/>
          <w:color w:val="auto"/>
          <w:sz w:val="24"/>
          <w:szCs w:val="24"/>
          <w:highlight w:val="none"/>
          <w:lang w:val="en-US"/>
        </w:rPr>
        <w:suppressLineNumbers w:val="0"/>
      </w:pPr>
      <w:r>
        <w:rPr>
          <w:rFonts w:hint="eastAsia" w:ascii="黑体" w:hAnsi="黑体" w:eastAsia="黑体" w:cs="黑体"/>
          <w:color w:val="auto"/>
          <w:sz w:val="24"/>
          <w:szCs w:val="24"/>
          <w:highlight w:val="none"/>
          <w:lang w:val="en-US" w:eastAsia="zh-CN" w:bidi="ar"/>
        </w:rPr>
        <w:t xml:space="preserve">5.质疑函的质疑请求应与质疑事项相关。</w:t>
      </w:r>
      <w:r/>
    </w:p>
    <w:p>
      <w:pPr>
        <w:ind w:left="0" w:right="0" w:firstLine="480"/>
        <w:jc w:val="left"/>
        <w:keepLines w:val="0"/>
        <w:keepNext w:val="0"/>
        <w:pageBreakBefore w:val="0"/>
        <w:spacing w:before="0" w:beforeAutospacing="0" w:after="0" w:afterAutospacing="0" w:line="440" w:lineRule="exact"/>
        <w:widowControl/>
        <w:rPr>
          <w:rFonts w:hint="eastAsia" w:ascii="黑体" w:hAnsi="黑体" w:eastAsia="黑体" w:cs="黑体"/>
          <w:b/>
          <w:bCs/>
          <w:color w:val="auto"/>
          <w:sz w:val="24"/>
          <w:szCs w:val="24"/>
          <w:highlight w:val="none"/>
          <w:lang w:val="zh-CN" w:eastAsia="zh-CN" w:bidi="ar"/>
        </w:rP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eastAsia" w:ascii="黑体" w:hAnsi="黑体" w:eastAsia="黑体" w:cs="黑体"/>
          <w:color w:val="auto"/>
          <w:sz w:val="24"/>
          <w:szCs w:val="24"/>
          <w:highlight w:val="none"/>
          <w:lang w:val="en-US" w:eastAsia="zh-CN" w:bidi="ar"/>
        </w:rPr>
        <w:t xml:space="preserve">6.质疑供应商为自然人的，质疑函应由本人签字；质疑供应商为法人或者其他组织的，质疑函应由法定代表人、主要负责人，或者其授权代表签字或者盖章，并加盖公章。</w:t>
      </w:r>
      <w:r/>
    </w:p>
    <w:p>
      <w:pPr>
        <w:jc w:val="left"/>
        <w:pageBreakBefore w:val="0"/>
        <w:spacing w:line="440" w:lineRule="exact"/>
        <w:rPr>
          <w:rFonts w:hint="eastAsia" w:ascii="黑体" w:hAnsi="黑体" w:eastAsia="黑体" w:cs="黑体"/>
          <w:color w:val="auto"/>
          <w:highlight w:val="none"/>
        </w:rPr>
      </w:pPr>
      <w:r>
        <w:rPr>
          <w:rFonts w:hint="eastAsia" w:ascii="黑体" w:hAnsi="黑体" w:eastAsia="黑体" w:cs="黑体"/>
          <w:color w:val="auto"/>
          <w:highlight w:val="none"/>
        </w:rPr>
      </w:r>
      <w:r/>
    </w:p>
    <w:sectPr>
      <w:footnotePr/>
      <w:endnotePr/>
      <w:type w:val="nextPage"/>
      <w:pgSz w:w="11906" w:h="16838" w:orient="portrait"/>
      <w:pgMar w:top="1304" w:right="1702" w:bottom="1304" w:left="1702"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ambria">
    <w:panose1 w:val="02040503050406030204"/>
  </w:font>
  <w:font w:name="楷体_GB2312">
    <w:panose1 w:val="02010609060101010101"/>
  </w:font>
  <w:font w:name="ˎ̥">
    <w:panose1 w:val="020B0503020202020204"/>
  </w:font>
  <w:font w:name="Symbol">
    <w:panose1 w:val="05050102010706020507"/>
  </w:font>
  <w:font w:name="新宋体">
    <w:panose1 w:val="0201060903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49</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ind w:left="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360"/>
        <w:tabs>
          <w:tab w:val="left" w:pos="840" w:leader="none"/>
        </w:tabs>
      </w:pPr>
      <w:rPr>
        <w:rFonts w:hint="eastAsia"/>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4"/>
  </w:num>
  <w:num w:numId="2">
    <w:abstractNumId w:val="2"/>
  </w:num>
  <w:num w:numId="3">
    <w:abstractNumId w:val="7"/>
  </w:num>
  <w:num w:numId="4">
    <w:abstractNumId w:val="5"/>
  </w:num>
  <w:num w:numId="5">
    <w:abstractNumId w:val="1"/>
  </w:num>
  <w:num w:numId="6">
    <w:abstractNumId w:val="3"/>
  </w:num>
  <w:num w:numId="7">
    <w:abstractNumId w:val="8"/>
  </w:num>
  <w:num w:numId="8">
    <w:abstractNumId w:val="9"/>
  </w:num>
  <w:num w:numId="9">
    <w:abstractNumId w:val="6"/>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71"/>
    <w:link w:val="862"/>
    <w:uiPriority w:val="9"/>
    <w:rPr>
      <w:rFonts w:ascii="Arial" w:hAnsi="Arial" w:eastAsia="Arial" w:cs="Arial"/>
      <w:sz w:val="40"/>
      <w:szCs w:val="40"/>
    </w:rPr>
  </w:style>
  <w:style w:type="character" w:styleId="697">
    <w:name w:val="Heading 2 Char"/>
    <w:basedOn w:val="871"/>
    <w:link w:val="979"/>
    <w:uiPriority w:val="9"/>
    <w:rPr>
      <w:rFonts w:ascii="Arial" w:hAnsi="Arial" w:eastAsia="Arial" w:cs="Arial"/>
      <w:sz w:val="34"/>
    </w:rPr>
  </w:style>
  <w:style w:type="character" w:styleId="698">
    <w:name w:val="Heading 3 Char"/>
    <w:basedOn w:val="871"/>
    <w:link w:val="864"/>
    <w:uiPriority w:val="9"/>
    <w:rPr>
      <w:rFonts w:ascii="Arial" w:hAnsi="Arial" w:eastAsia="Arial" w:cs="Arial"/>
      <w:sz w:val="30"/>
      <w:szCs w:val="30"/>
    </w:rPr>
  </w:style>
  <w:style w:type="character" w:styleId="699">
    <w:name w:val="Heading 4 Char"/>
    <w:basedOn w:val="871"/>
    <w:link w:val="865"/>
    <w:uiPriority w:val="9"/>
    <w:rPr>
      <w:rFonts w:ascii="Arial" w:hAnsi="Arial" w:eastAsia="Arial" w:cs="Arial"/>
      <w:b/>
      <w:bCs/>
      <w:sz w:val="26"/>
      <w:szCs w:val="26"/>
    </w:rPr>
  </w:style>
  <w:style w:type="character" w:styleId="700">
    <w:name w:val="Heading 5 Char"/>
    <w:basedOn w:val="871"/>
    <w:link w:val="866"/>
    <w:uiPriority w:val="9"/>
    <w:rPr>
      <w:rFonts w:ascii="Arial" w:hAnsi="Arial" w:eastAsia="Arial" w:cs="Arial"/>
      <w:b/>
      <w:bCs/>
      <w:sz w:val="24"/>
      <w:szCs w:val="24"/>
    </w:rPr>
  </w:style>
  <w:style w:type="character" w:styleId="701">
    <w:name w:val="Heading 6 Char"/>
    <w:basedOn w:val="871"/>
    <w:link w:val="867"/>
    <w:uiPriority w:val="9"/>
    <w:rPr>
      <w:rFonts w:ascii="Arial" w:hAnsi="Arial" w:eastAsia="Arial" w:cs="Arial"/>
      <w:b/>
      <w:bCs/>
      <w:sz w:val="22"/>
      <w:szCs w:val="22"/>
    </w:rPr>
  </w:style>
  <w:style w:type="character" w:styleId="702">
    <w:name w:val="Heading 7 Char"/>
    <w:basedOn w:val="871"/>
    <w:link w:val="868"/>
    <w:uiPriority w:val="9"/>
    <w:rPr>
      <w:rFonts w:ascii="Arial" w:hAnsi="Arial" w:eastAsia="Arial" w:cs="Arial"/>
      <w:b/>
      <w:bCs/>
      <w:i/>
      <w:iCs/>
      <w:sz w:val="22"/>
      <w:szCs w:val="22"/>
    </w:rPr>
  </w:style>
  <w:style w:type="character" w:styleId="703">
    <w:name w:val="Heading 8 Char"/>
    <w:basedOn w:val="871"/>
    <w:link w:val="869"/>
    <w:uiPriority w:val="9"/>
    <w:rPr>
      <w:rFonts w:ascii="Arial" w:hAnsi="Arial" w:eastAsia="Arial" w:cs="Arial"/>
      <w:i/>
      <w:iCs/>
      <w:sz w:val="22"/>
      <w:szCs w:val="22"/>
    </w:rPr>
  </w:style>
  <w:style w:type="character" w:styleId="704">
    <w:name w:val="Heading 9 Char"/>
    <w:basedOn w:val="871"/>
    <w:link w:val="870"/>
    <w:uiPriority w:val="9"/>
    <w:rPr>
      <w:rFonts w:ascii="Arial" w:hAnsi="Arial" w:eastAsia="Arial" w:cs="Arial"/>
      <w:i/>
      <w:iCs/>
      <w:sz w:val="21"/>
      <w:szCs w:val="21"/>
    </w:rPr>
  </w:style>
  <w:style w:type="paragraph" w:styleId="705">
    <w:name w:val="List Paragraph"/>
    <w:basedOn w:val="861"/>
    <w:uiPriority w:val="34"/>
    <w:qFormat/>
    <w:pPr>
      <w:contextualSpacing/>
      <w:ind w:left="720"/>
    </w:pPr>
  </w:style>
  <w:style w:type="paragraph" w:styleId="706">
    <w:name w:val="No Spacing"/>
    <w:uiPriority w:val="1"/>
    <w:qFormat/>
    <w:pPr>
      <w:spacing w:before="0" w:after="0" w:line="240" w:lineRule="auto"/>
    </w:pPr>
  </w:style>
  <w:style w:type="paragraph" w:styleId="707">
    <w:name w:val="Title"/>
    <w:basedOn w:val="861"/>
    <w:next w:val="861"/>
    <w:link w:val="708"/>
    <w:uiPriority w:val="10"/>
    <w:qFormat/>
    <w:pPr>
      <w:contextualSpacing/>
      <w:spacing w:before="300" w:after="200"/>
    </w:pPr>
    <w:rPr>
      <w:sz w:val="48"/>
      <w:szCs w:val="48"/>
    </w:rPr>
  </w:style>
  <w:style w:type="character" w:styleId="708">
    <w:name w:val="Title Char"/>
    <w:basedOn w:val="871"/>
    <w:link w:val="707"/>
    <w:uiPriority w:val="10"/>
    <w:rPr>
      <w:sz w:val="48"/>
      <w:szCs w:val="48"/>
    </w:rPr>
  </w:style>
  <w:style w:type="paragraph" w:styleId="709">
    <w:name w:val="Subtitle"/>
    <w:basedOn w:val="861"/>
    <w:next w:val="861"/>
    <w:link w:val="710"/>
    <w:uiPriority w:val="11"/>
    <w:qFormat/>
    <w:pPr>
      <w:spacing w:before="200" w:after="200"/>
    </w:pPr>
    <w:rPr>
      <w:sz w:val="24"/>
      <w:szCs w:val="24"/>
    </w:rPr>
  </w:style>
  <w:style w:type="character" w:styleId="710">
    <w:name w:val="Subtitle Char"/>
    <w:basedOn w:val="871"/>
    <w:link w:val="709"/>
    <w:uiPriority w:val="11"/>
    <w:rPr>
      <w:sz w:val="24"/>
      <w:szCs w:val="24"/>
    </w:rPr>
  </w:style>
  <w:style w:type="paragraph" w:styleId="711">
    <w:name w:val="Quote"/>
    <w:basedOn w:val="861"/>
    <w:next w:val="861"/>
    <w:link w:val="712"/>
    <w:uiPriority w:val="29"/>
    <w:qFormat/>
    <w:pPr>
      <w:ind w:left="720" w:right="720"/>
    </w:pPr>
    <w:rPr>
      <w:i/>
    </w:rPr>
  </w:style>
  <w:style w:type="character" w:styleId="712">
    <w:name w:val="Quote Char"/>
    <w:link w:val="711"/>
    <w:uiPriority w:val="29"/>
    <w:rPr>
      <w:i/>
    </w:rPr>
  </w:style>
  <w:style w:type="paragraph" w:styleId="713">
    <w:name w:val="Intense Quote"/>
    <w:basedOn w:val="861"/>
    <w:next w:val="861"/>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71"/>
    <w:link w:val="888"/>
    <w:uiPriority w:val="99"/>
  </w:style>
  <w:style w:type="character" w:styleId="716">
    <w:name w:val="Footer Char"/>
    <w:basedOn w:val="871"/>
    <w:link w:val="886"/>
    <w:uiPriority w:val="99"/>
  </w:style>
  <w:style w:type="paragraph" w:styleId="717">
    <w:name w:val="Caption"/>
    <w:basedOn w:val="861"/>
    <w:next w:val="861"/>
    <w:uiPriority w:val="35"/>
    <w:semiHidden/>
    <w:unhideWhenUsed/>
    <w:qFormat/>
    <w:pPr>
      <w:spacing w:line="276" w:lineRule="auto"/>
    </w:pPr>
    <w:rPr>
      <w:b/>
      <w:bCs/>
      <w:color w:val="4f81bd" w:themeColor="accent1"/>
      <w:sz w:val="18"/>
      <w:szCs w:val="18"/>
    </w:rPr>
  </w:style>
  <w:style w:type="character" w:styleId="718">
    <w:name w:val="Caption Char"/>
    <w:basedOn w:val="717"/>
    <w:link w:val="886"/>
    <w:uiPriority w:val="99"/>
  </w:style>
  <w:style w:type="table" w:styleId="719">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71"/>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71"/>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2">
    <w:name w:val="Heading 1"/>
    <w:basedOn w:val="861"/>
    <w:next w:val="861"/>
    <w:link w:val="899"/>
    <w:uiPriority w:val="0"/>
    <w:qFormat/>
    <w:pPr>
      <w:keepLines/>
      <w:keepNext/>
      <w:spacing w:before="340" w:beforeAutospacing="0" w:after="330" w:afterAutospacing="0" w:line="576" w:lineRule="auto"/>
      <w:outlineLvl w:val="0"/>
    </w:pPr>
    <w:rPr>
      <w:b/>
      <w:sz w:val="44"/>
    </w:rPr>
  </w:style>
  <w:style w:type="paragraph" w:styleId="863">
    <w:name w:val="Heading 2"/>
    <w:basedOn w:val="861"/>
    <w:next w:val="861"/>
    <w:link w:val="900"/>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864">
    <w:name w:val="Heading 3"/>
    <w:basedOn w:val="861"/>
    <w:next w:val="861"/>
    <w:link w:val="901"/>
    <w:uiPriority w:val="0"/>
    <w:unhideWhenUsed/>
    <w:qFormat/>
    <w:pPr>
      <w:ind w:left="0" w:right="0"/>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bCs/>
      <w:color w:val="auto"/>
      <w:sz w:val="32"/>
      <w:szCs w:val="32"/>
      <w:lang w:val="en-US" w:eastAsia="zh-CN" w:bidi="ar"/>
    </w:rPr>
  </w:style>
  <w:style w:type="paragraph" w:styleId="865">
    <w:name w:val="Heading 4"/>
    <w:basedOn w:val="861"/>
    <w:next w:val="861"/>
    <w:link w:val="902"/>
    <w:uiPriority w:val="0"/>
    <w:unhideWhenUsed/>
    <w:qFormat/>
    <w:pPr>
      <w:keepLines/>
      <w:keepNext/>
      <w:spacing w:before="280" w:beforeAutospacing="0" w:after="290" w:afterAutospacing="0" w:line="372" w:lineRule="auto"/>
      <w:outlineLvl w:val="3"/>
    </w:pPr>
    <w:rPr>
      <w:rFonts w:ascii="Arial" w:hAnsi="Arial" w:eastAsia="黑体"/>
      <w:b/>
      <w:sz w:val="28"/>
    </w:rPr>
  </w:style>
  <w:style w:type="paragraph" w:styleId="866">
    <w:name w:val="Heading 5"/>
    <w:basedOn w:val="861"/>
    <w:next w:val="861"/>
    <w:link w:val="903"/>
    <w:uiPriority w:val="0"/>
    <w:unhideWhenUsed/>
    <w:qFormat/>
    <w:pPr>
      <w:keepLines/>
      <w:keepNext/>
      <w:spacing w:before="280" w:beforeAutospacing="0" w:after="290" w:afterAutospacing="0" w:line="372" w:lineRule="auto"/>
      <w:outlineLvl w:val="4"/>
    </w:pPr>
    <w:rPr>
      <w:b/>
      <w:sz w:val="28"/>
    </w:rPr>
  </w:style>
  <w:style w:type="paragraph" w:styleId="867">
    <w:name w:val="Heading 6"/>
    <w:basedOn w:val="861"/>
    <w:next w:val="861"/>
    <w:link w:val="904"/>
    <w:uiPriority w:val="0"/>
    <w:unhideWhenUsed/>
    <w:qFormat/>
    <w:pPr>
      <w:keepLines/>
      <w:keepNext/>
      <w:spacing w:before="240" w:beforeAutospacing="0" w:after="64" w:afterAutospacing="0" w:line="317" w:lineRule="auto"/>
      <w:outlineLvl w:val="5"/>
    </w:pPr>
    <w:rPr>
      <w:rFonts w:ascii="Arial" w:hAnsi="Arial" w:eastAsia="黑体"/>
      <w:b/>
      <w:sz w:val="24"/>
    </w:rPr>
  </w:style>
  <w:style w:type="paragraph" w:styleId="868">
    <w:name w:val="Heading 7"/>
    <w:basedOn w:val="861"/>
    <w:next w:val="861"/>
    <w:link w:val="905"/>
    <w:uiPriority w:val="0"/>
    <w:unhideWhenUsed/>
    <w:qFormat/>
    <w:pPr>
      <w:keepLines/>
      <w:keepNext/>
      <w:spacing w:before="240" w:beforeAutospacing="0" w:after="64" w:afterAutospacing="0" w:line="317" w:lineRule="auto"/>
      <w:outlineLvl w:val="6"/>
    </w:pPr>
    <w:rPr>
      <w:b/>
      <w:sz w:val="24"/>
    </w:rPr>
  </w:style>
  <w:style w:type="paragraph" w:styleId="869">
    <w:name w:val="Heading 8"/>
    <w:basedOn w:val="861"/>
    <w:next w:val="861"/>
    <w:link w:val="906"/>
    <w:uiPriority w:val="0"/>
    <w:unhideWhenUsed/>
    <w:qFormat/>
    <w:pPr>
      <w:keepLines/>
      <w:keepNext/>
      <w:spacing w:before="240" w:beforeAutospacing="0" w:after="64" w:afterAutospacing="0" w:line="317" w:lineRule="auto"/>
      <w:outlineLvl w:val="7"/>
    </w:pPr>
    <w:rPr>
      <w:rFonts w:ascii="Arial" w:hAnsi="Arial" w:eastAsia="黑体"/>
      <w:sz w:val="24"/>
    </w:rPr>
  </w:style>
  <w:style w:type="paragraph" w:styleId="870">
    <w:name w:val="Heading 9"/>
    <w:basedOn w:val="861"/>
    <w:next w:val="861"/>
    <w:link w:val="907"/>
    <w:uiPriority w:val="0"/>
    <w:unhideWhenUsed/>
    <w:qFormat/>
    <w:pPr>
      <w:keepLines/>
      <w:keepNext/>
      <w:spacing w:before="240" w:beforeAutospacing="0" w:after="64" w:afterAutospacing="0" w:line="317" w:lineRule="auto"/>
      <w:outlineLvl w:val="8"/>
    </w:pPr>
    <w:rPr>
      <w:rFonts w:ascii="Arial" w:hAnsi="Arial" w:eastAsia="黑体"/>
      <w:sz w:val="21"/>
    </w:rPr>
  </w:style>
  <w:style w:type="character" w:styleId="871" w:default="1">
    <w:name w:val="Default Paragraph Font"/>
    <w:uiPriority w:val="0"/>
    <w:semiHidden/>
    <w:qFormat/>
  </w:style>
  <w:style w:type="table" w:styleId="87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3">
    <w:name w:val="Normal Indent"/>
    <w:basedOn w:val="861"/>
    <w:next w:val="874"/>
    <w:link w:val="908"/>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color w:val="auto"/>
      <w:sz w:val="20"/>
      <w:szCs w:val="20"/>
      <w:lang w:val="en-US" w:eastAsia="zh-CN" w:bidi="ar"/>
    </w:rPr>
  </w:style>
  <w:style w:type="paragraph" w:styleId="874">
    <w:name w:val="Body Text First Indent 2"/>
    <w:basedOn w:val="875"/>
    <w:next w:val="861"/>
    <w:link w:val="910"/>
    <w:uiPriority w:val="0"/>
    <w:qFormat/>
    <w:pPr>
      <w:ind w:left="420" w:right="0" w:firstLine="420"/>
      <w:jc w:val="both"/>
      <w:keepLines w:val="0"/>
      <w:keepNext w:val="0"/>
      <w:spacing w:before="0" w:beforeAutospacing="0" w:after="120" w:afterAutospacing="0"/>
      <w:widowControl w:val="off"/>
      <w:suppressLineNumbers w:val="0"/>
    </w:pPr>
    <w:rPr>
      <w:rFonts w:hint="default" w:ascii="Times New Roman" w:hAnsi="Times New Roman" w:eastAsia="宋体" w:cs="Times New Roman"/>
      <w:color w:val="auto"/>
      <w:sz w:val="21"/>
      <w:szCs w:val="24"/>
      <w:lang w:val="en-US" w:eastAsia="zh-CN" w:bidi="ar"/>
    </w:rPr>
  </w:style>
  <w:style w:type="paragraph" w:styleId="875">
    <w:name w:val="Body Text Indent"/>
    <w:basedOn w:val="861"/>
    <w:link w:val="909"/>
    <w:uiPriority w:val="0"/>
    <w:qFormat/>
    <w:pPr>
      <w:ind w:left="420" w:right="0"/>
      <w:jc w:val="both"/>
      <w:keepLines w:val="0"/>
      <w:keepNext w:val="0"/>
      <w:spacing w:before="0" w:beforeAutospacing="0" w:after="120" w:afterAutospacing="0"/>
      <w:widowControl w:val="off"/>
      <w:suppressLineNumbers w:val="0"/>
    </w:pPr>
    <w:rPr>
      <w:rFonts w:hint="default" w:ascii="Times New Roman" w:hAnsi="Times New Roman" w:eastAsia="宋体" w:cs="Times New Roman"/>
      <w:color w:val="auto"/>
      <w:sz w:val="21"/>
      <w:szCs w:val="24"/>
      <w:lang w:val="en-US" w:eastAsia="zh-CN" w:bidi="ar"/>
    </w:rPr>
  </w:style>
  <w:style w:type="paragraph" w:styleId="876">
    <w:name w:val="index 5"/>
    <w:basedOn w:val="861"/>
    <w:next w:val="861"/>
    <w:uiPriority w:val="0"/>
    <w:qFormat/>
    <w:pPr>
      <w:ind w:left="800" w:right="0"/>
      <w:jc w:val="both"/>
      <w:keepLines w:val="0"/>
      <w:keepNext w:val="0"/>
      <w:spacing w:before="0" w:beforeAutospacing="0" w:after="0" w:afterAutospacing="0"/>
      <w:widowControl/>
      <w:suppressLineNumbers w:val="0"/>
    </w:pPr>
    <w:rPr>
      <w:rFonts w:hint="default" w:ascii="Calibri" w:hAnsi="Calibri" w:eastAsia="宋体" w:cs="Times New Roman"/>
      <w:sz w:val="21"/>
      <w:szCs w:val="20"/>
      <w:lang w:val="en-US" w:eastAsia="zh-CN" w:bidi="ar"/>
    </w:rPr>
  </w:style>
  <w:style w:type="paragraph" w:styleId="877">
    <w:name w:val="Document Map"/>
    <w:basedOn w:val="861"/>
    <w:link w:val="911"/>
    <w:uiPriority w:val="0"/>
    <w:qFormat/>
    <w:pPr>
      <w:shd w:val="clear" w:color="auto" w:fill="000080"/>
    </w:pPr>
  </w:style>
  <w:style w:type="paragraph" w:styleId="878">
    <w:name w:val="annotation text"/>
    <w:basedOn w:val="861"/>
    <w:link w:val="912"/>
    <w:uiPriority w:val="0"/>
    <w:qFormat/>
    <w:pPr>
      <w:jc w:val="left"/>
    </w:pPr>
  </w:style>
  <w:style w:type="paragraph" w:styleId="879">
    <w:name w:val="Body Text 3"/>
    <w:basedOn w:val="861"/>
    <w:link w:val="913"/>
    <w:uiPriority w:val="0"/>
    <w:qFormat/>
    <w:pPr>
      <w:spacing w:after="120" w:afterAutospacing="0"/>
    </w:pPr>
    <w:rPr>
      <w:sz w:val="16"/>
    </w:rPr>
  </w:style>
  <w:style w:type="paragraph" w:styleId="880">
    <w:name w:val="Body Text"/>
    <w:basedOn w:val="861"/>
    <w:link w:val="914"/>
    <w:uiPriority w:val="0"/>
    <w:qFormat/>
    <w:pPr>
      <w:ind w:left="0" w:right="0"/>
      <w:jc w:val="both"/>
      <w:keepLines w:val="0"/>
      <w:keepNext w:val="0"/>
      <w:spacing w:before="0" w:beforeAutospacing="0" w:after="0" w:afterAutospacing="0"/>
      <w:widowControl w:val="off"/>
      <w:suppressLineNumbers w:val="0"/>
    </w:pPr>
    <w:rPr>
      <w:rFonts w:hint="eastAsia" w:ascii="仿宋_GB2312" w:hAnsi="Times New Roman" w:eastAsia="仿宋_GB2312" w:cs="Times New Roman"/>
      <w:color w:val="auto"/>
      <w:sz w:val="24"/>
      <w:szCs w:val="20"/>
      <w:lang w:val="en-US" w:eastAsia="zh-CN" w:bidi="ar"/>
    </w:rPr>
  </w:style>
  <w:style w:type="paragraph" w:styleId="881">
    <w:name w:val="index 4"/>
    <w:basedOn w:val="861"/>
    <w:next w:val="861"/>
    <w:uiPriority w:val="99"/>
    <w:unhideWhenUsed/>
    <w:qFormat/>
    <w:pPr>
      <w:ind w:left="600"/>
    </w:pPr>
  </w:style>
  <w:style w:type="paragraph" w:styleId="882">
    <w:name w:val="Plain Text"/>
    <w:basedOn w:val="861"/>
    <w:link w:val="915"/>
    <w:uiPriority w:val="0"/>
    <w:qFormat/>
    <w:rPr>
      <w:rFonts w:ascii="宋体" w:hAnsi="Courier New"/>
    </w:rPr>
  </w:style>
  <w:style w:type="paragraph" w:styleId="883">
    <w:name w:val="Date"/>
    <w:basedOn w:val="861"/>
    <w:next w:val="861"/>
    <w:link w:val="916"/>
    <w:uiPriority w:val="0"/>
    <w:qFormat/>
    <w:pPr>
      <w:ind w:left="100"/>
    </w:pPr>
  </w:style>
  <w:style w:type="paragraph" w:styleId="884">
    <w:name w:val="Body Text Indent 2"/>
    <w:basedOn w:val="861"/>
    <w:link w:val="917"/>
    <w:uiPriority w:val="0"/>
    <w:qFormat/>
    <w:pPr>
      <w:ind w:left="420"/>
      <w:spacing w:after="120" w:afterAutospacing="0" w:line="480" w:lineRule="auto"/>
    </w:pPr>
  </w:style>
  <w:style w:type="paragraph" w:styleId="885">
    <w:name w:val="Balloon Text"/>
    <w:basedOn w:val="861"/>
    <w:link w:val="918"/>
    <w:uiPriority w:val="0"/>
    <w:qFormat/>
    <w:rPr>
      <w:sz w:val="18"/>
    </w:rPr>
  </w:style>
  <w:style w:type="paragraph" w:styleId="886">
    <w:name w:val="Footer"/>
    <w:basedOn w:val="861"/>
    <w:link w:val="919"/>
    <w:uiPriority w:val="0"/>
    <w:qFormat/>
    <w:pPr>
      <w:jc w:val="left"/>
      <w:tabs>
        <w:tab w:val="center" w:pos="4153" w:leader="none"/>
        <w:tab w:val="right" w:pos="8306" w:leader="none"/>
      </w:tabs>
    </w:pPr>
    <w:rPr>
      <w:sz w:val="18"/>
    </w:rPr>
  </w:style>
  <w:style w:type="paragraph" w:styleId="887">
    <w:name w:val="envelope return"/>
    <w:basedOn w:val="861"/>
    <w:uiPriority w:val="99"/>
    <w:unhideWhenUsed/>
    <w:qFormat/>
    <w:rPr>
      <w:rFonts w:ascii="Arial" w:hAnsi="Arial"/>
    </w:rPr>
  </w:style>
  <w:style w:type="paragraph" w:styleId="888">
    <w:name w:val="Header"/>
    <w:basedOn w:val="861"/>
    <w:link w:val="92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9">
    <w:name w:val="Body Text Indent 3"/>
    <w:basedOn w:val="861"/>
    <w:link w:val="921"/>
    <w:uiPriority w:val="0"/>
    <w:qFormat/>
    <w:pPr>
      <w:ind w:left="420"/>
      <w:spacing w:after="120" w:afterAutospacing="0"/>
    </w:pPr>
    <w:rPr>
      <w:sz w:val="16"/>
    </w:rPr>
  </w:style>
  <w:style w:type="paragraph" w:styleId="890">
    <w:name w:val="Body Text 2"/>
    <w:basedOn w:val="861"/>
    <w:link w:val="922"/>
    <w:uiPriority w:val="0"/>
    <w:qFormat/>
    <w:pPr>
      <w:spacing w:after="120" w:afterAutospacing="0" w:line="480" w:lineRule="auto"/>
    </w:pPr>
  </w:style>
  <w:style w:type="paragraph" w:styleId="891">
    <w:name w:val="HTML Preformatted"/>
    <w:basedOn w:val="861"/>
    <w:link w:val="923"/>
    <w:uiPriority w:val="0"/>
    <w:qFormat/>
    <w:rPr>
      <w:rFonts w:ascii="Courier New" w:hAnsi="Courier New"/>
      <w:sz w:val="20"/>
    </w:rPr>
  </w:style>
  <w:style w:type="paragraph" w:styleId="892">
    <w:name w:val="Normal (Web)"/>
    <w:basedOn w:val="861"/>
    <w:uiPriority w:val="0"/>
    <w:qFormat/>
    <w:rPr>
      <w:sz w:val="24"/>
    </w:rPr>
  </w:style>
  <w:style w:type="paragraph" w:styleId="893">
    <w:name w:val="annotation subject"/>
    <w:basedOn w:val="878"/>
    <w:next w:val="878"/>
    <w:link w:val="924"/>
    <w:uiPriority w:val="0"/>
    <w:qFormat/>
    <w:rPr>
      <w:b/>
    </w:rPr>
  </w:style>
  <w:style w:type="paragraph" w:styleId="894">
    <w:name w:val="Body Text First Indent"/>
    <w:basedOn w:val="880"/>
    <w:link w:val="925"/>
    <w:uiPriority w:val="0"/>
    <w:qFormat/>
    <w:pPr>
      <w:ind w:left="0" w:right="0" w:firstLine="420"/>
      <w:jc w:val="both"/>
      <w:keepLines w:val="0"/>
      <w:keepNext w:val="0"/>
      <w:spacing w:before="0" w:beforeAutospacing="0" w:after="120" w:afterAutospacing="0"/>
      <w:widowControl w:val="off"/>
      <w:suppressLineNumbers w:val="0"/>
    </w:pPr>
    <w:rPr>
      <w:rFonts w:hint="default" w:ascii="Times New Roman" w:hAnsi="Times New Roman" w:eastAsia="宋体" w:cs="Times New Roman"/>
      <w:color w:val="auto"/>
      <w:sz w:val="24"/>
      <w:szCs w:val="24"/>
      <w:lang w:val="en-US" w:eastAsia="zh-CN" w:bidi="ar"/>
    </w:rPr>
  </w:style>
  <w:style w:type="table" w:styleId="895">
    <w:name w:val="Table Grid"/>
    <w:basedOn w:val="872"/>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FollowedHyperlink"/>
    <w:basedOn w:val="871"/>
    <w:uiPriority w:val="0"/>
    <w:qFormat/>
    <w:rPr>
      <w:color w:val="800080"/>
      <w:u w:val="single"/>
    </w:rPr>
  </w:style>
  <w:style w:type="character" w:styleId="897">
    <w:name w:val="Hyperlink"/>
    <w:basedOn w:val="871"/>
    <w:uiPriority w:val="0"/>
    <w:qFormat/>
    <w:rPr>
      <w:color w:val="0000ff"/>
      <w:u w:val="single"/>
    </w:rPr>
  </w:style>
  <w:style w:type="character" w:styleId="898">
    <w:name w:val="annotation reference"/>
    <w:basedOn w:val="871"/>
    <w:uiPriority w:val="0"/>
    <w:qFormat/>
    <w:rPr>
      <w:sz w:val="21"/>
      <w:szCs w:val="21"/>
    </w:rPr>
  </w:style>
  <w:style w:type="character" w:styleId="899" w:customStyle="1">
    <w:name w:val="标题 1 Char"/>
    <w:basedOn w:val="871"/>
    <w:link w:val="862"/>
    <w:uiPriority w:val="0"/>
    <w:qFormat/>
    <w:rPr>
      <w:b/>
      <w:bCs/>
      <w:sz w:val="44"/>
      <w:szCs w:val="44"/>
    </w:rPr>
  </w:style>
  <w:style w:type="character" w:styleId="900" w:customStyle="1">
    <w:name w:val="标题 2 Char"/>
    <w:basedOn w:val="871"/>
    <w:link w:val="863"/>
    <w:uiPriority w:val="0"/>
    <w:qFormat/>
    <w:rPr>
      <w:rFonts w:hint="default" w:ascii="Arial" w:hAnsi="Arial" w:eastAsia="黑体" w:cs="Arial"/>
      <w:b/>
      <w:bCs/>
      <w:sz w:val="32"/>
      <w:szCs w:val="32"/>
    </w:rPr>
  </w:style>
  <w:style w:type="character" w:styleId="901" w:customStyle="1">
    <w:name w:val="标题 3 Char"/>
    <w:basedOn w:val="871"/>
    <w:link w:val="864"/>
    <w:uiPriority w:val="0"/>
    <w:qFormat/>
    <w:rPr>
      <w:b/>
      <w:bCs/>
      <w:sz w:val="32"/>
      <w:szCs w:val="32"/>
    </w:rPr>
  </w:style>
  <w:style w:type="character" w:styleId="902" w:customStyle="1">
    <w:name w:val="标题 4 Char"/>
    <w:basedOn w:val="871"/>
    <w:link w:val="865"/>
    <w:uiPriority w:val="0"/>
    <w:qFormat/>
    <w:rPr>
      <w:rFonts w:hint="eastAsia" w:ascii="新宋体" w:hAnsi="新宋体" w:eastAsia="新宋体" w:cs="新宋体"/>
      <w:sz w:val="30"/>
      <w:szCs w:val="21"/>
    </w:rPr>
  </w:style>
  <w:style w:type="character" w:styleId="903" w:customStyle="1">
    <w:name w:val="标题 5 Char"/>
    <w:basedOn w:val="871"/>
    <w:link w:val="866"/>
    <w:uiPriority w:val="0"/>
    <w:qFormat/>
    <w:rPr>
      <w:b/>
      <w:bCs/>
      <w:sz w:val="28"/>
      <w:szCs w:val="28"/>
    </w:rPr>
  </w:style>
  <w:style w:type="character" w:styleId="904" w:customStyle="1">
    <w:name w:val="标题 6 Char"/>
    <w:basedOn w:val="871"/>
    <w:link w:val="867"/>
    <w:uiPriority w:val="0"/>
    <w:qFormat/>
    <w:rPr>
      <w:b/>
      <w:sz w:val="44"/>
    </w:rPr>
  </w:style>
  <w:style w:type="character" w:styleId="905" w:customStyle="1">
    <w:name w:val="标题 7 Char"/>
    <w:basedOn w:val="871"/>
    <w:link w:val="868"/>
    <w:uiPriority w:val="0"/>
    <w:qFormat/>
    <w:rPr>
      <w:b/>
      <w:bCs/>
      <w:sz w:val="24"/>
      <w:szCs w:val="24"/>
    </w:rPr>
  </w:style>
  <w:style w:type="character" w:styleId="906" w:customStyle="1">
    <w:name w:val="标题 8 Char"/>
    <w:basedOn w:val="871"/>
    <w:link w:val="869"/>
    <w:uiPriority w:val="0"/>
    <w:qFormat/>
    <w:rPr>
      <w:rFonts w:hint="default" w:ascii="Arial" w:hAnsi="Arial" w:eastAsia="黑体" w:cs="Arial"/>
      <w:sz w:val="24"/>
      <w:szCs w:val="24"/>
    </w:rPr>
  </w:style>
  <w:style w:type="character" w:styleId="907" w:customStyle="1">
    <w:name w:val="标题 9 Char"/>
    <w:basedOn w:val="871"/>
    <w:link w:val="870"/>
    <w:uiPriority w:val="0"/>
    <w:qFormat/>
    <w:rPr>
      <w:rFonts w:hint="default" w:ascii="Arial" w:hAnsi="Arial" w:eastAsia="黑体" w:cs="Arial"/>
      <w:sz w:val="24"/>
      <w:szCs w:val="21"/>
    </w:rPr>
  </w:style>
  <w:style w:type="character" w:styleId="908" w:customStyle="1">
    <w:name w:val="正文缩进 Char"/>
    <w:basedOn w:val="871"/>
    <w:link w:val="873"/>
    <w:uiPriority w:val="0"/>
    <w:qFormat/>
  </w:style>
  <w:style w:type="character" w:styleId="909" w:customStyle="1">
    <w:name w:val="正文文本缩进 Char"/>
    <w:basedOn w:val="871"/>
    <w:link w:val="875"/>
    <w:uiPriority w:val="0"/>
    <w:qFormat/>
    <w:rPr>
      <w:sz w:val="21"/>
      <w:szCs w:val="24"/>
    </w:rPr>
  </w:style>
  <w:style w:type="character" w:styleId="910" w:customStyle="1">
    <w:name w:val="正文首行缩进 2 Char"/>
    <w:basedOn w:val="909"/>
    <w:link w:val="874"/>
    <w:uiPriority w:val="0"/>
    <w:qFormat/>
    <w:rPr>
      <w:sz w:val="21"/>
      <w:szCs w:val="24"/>
    </w:rPr>
  </w:style>
  <w:style w:type="character" w:styleId="911" w:customStyle="1">
    <w:name w:val="文档结构图 Char"/>
    <w:basedOn w:val="871"/>
    <w:link w:val="877"/>
    <w:uiPriority w:val="0"/>
    <w:qFormat/>
    <w:rPr>
      <w:szCs w:val="24"/>
      <w:shd w:val="clear" w:color="auto" w:fill="000080"/>
    </w:rPr>
  </w:style>
  <w:style w:type="character" w:styleId="912" w:customStyle="1">
    <w:name w:val="批注文字 Char"/>
    <w:basedOn w:val="871"/>
    <w:link w:val="878"/>
    <w:uiPriority w:val="0"/>
    <w:qFormat/>
    <w:rPr>
      <w:sz w:val="21"/>
      <w:szCs w:val="21"/>
    </w:rPr>
  </w:style>
  <w:style w:type="character" w:styleId="913" w:customStyle="1">
    <w:name w:val="正文文本 3 Char"/>
    <w:basedOn w:val="871"/>
    <w:link w:val="879"/>
    <w:uiPriority w:val="0"/>
    <w:qFormat/>
    <w:rPr>
      <w:sz w:val="16"/>
      <w:szCs w:val="16"/>
    </w:rPr>
  </w:style>
  <w:style w:type="character" w:styleId="914" w:customStyle="1">
    <w:name w:val="正文文本 Char"/>
    <w:basedOn w:val="871"/>
    <w:link w:val="880"/>
    <w:uiPriority w:val="0"/>
    <w:qFormat/>
    <w:rPr>
      <w:rFonts w:hint="eastAsia" w:ascii="仿宋_GB2312" w:eastAsia="仿宋_GB2312" w:cs="仿宋_GB2312"/>
      <w:sz w:val="24"/>
    </w:rPr>
  </w:style>
  <w:style w:type="character" w:styleId="915" w:customStyle="1">
    <w:name w:val="纯文本 Char"/>
    <w:basedOn w:val="871"/>
    <w:link w:val="882"/>
    <w:uiPriority w:val="0"/>
    <w:qFormat/>
    <w:rPr>
      <w:rFonts w:hint="eastAsia" w:ascii="宋体" w:hAnsi="Courier New" w:eastAsia="宋体" w:cs="宋体"/>
      <w:szCs w:val="21"/>
    </w:rPr>
  </w:style>
  <w:style w:type="character" w:styleId="916" w:customStyle="1">
    <w:name w:val="日期 Char"/>
    <w:basedOn w:val="871"/>
    <w:link w:val="883"/>
    <w:uiPriority w:val="0"/>
    <w:qFormat/>
    <w:rPr>
      <w:sz w:val="24"/>
    </w:rPr>
  </w:style>
  <w:style w:type="character" w:styleId="917" w:customStyle="1">
    <w:name w:val="正文文本缩进 2 Char"/>
    <w:basedOn w:val="871"/>
    <w:link w:val="884"/>
    <w:uiPriority w:val="0"/>
    <w:qFormat/>
    <w:rPr>
      <w:rFonts w:hint="eastAsia" w:ascii="仿宋_GB2312" w:eastAsia="仿宋_GB2312" w:cs="仿宋_GB2312"/>
      <w:sz w:val="28"/>
    </w:rPr>
  </w:style>
  <w:style w:type="character" w:styleId="918" w:customStyle="1">
    <w:name w:val="批注框文本 Char"/>
    <w:basedOn w:val="871"/>
    <w:link w:val="885"/>
    <w:uiPriority w:val="0"/>
    <w:qFormat/>
    <w:rPr>
      <w:sz w:val="18"/>
      <w:szCs w:val="18"/>
    </w:rPr>
  </w:style>
  <w:style w:type="character" w:styleId="919" w:customStyle="1">
    <w:name w:val="页脚 Char"/>
    <w:basedOn w:val="871"/>
    <w:link w:val="886"/>
    <w:uiPriority w:val="0"/>
    <w:qFormat/>
    <w:rPr>
      <w:sz w:val="18"/>
    </w:rPr>
  </w:style>
  <w:style w:type="character" w:styleId="920" w:customStyle="1">
    <w:name w:val="页眉 Char"/>
    <w:basedOn w:val="871"/>
    <w:link w:val="888"/>
    <w:uiPriority w:val="0"/>
    <w:qFormat/>
    <w:rPr>
      <w:sz w:val="18"/>
      <w:szCs w:val="18"/>
    </w:rPr>
  </w:style>
  <w:style w:type="character" w:styleId="921" w:customStyle="1">
    <w:name w:val="正文文本缩进 3 Char"/>
    <w:basedOn w:val="871"/>
    <w:link w:val="889"/>
    <w:uiPriority w:val="0"/>
    <w:qFormat/>
    <w:rPr>
      <w:sz w:val="16"/>
      <w:szCs w:val="16"/>
    </w:rPr>
  </w:style>
  <w:style w:type="character" w:styleId="922" w:customStyle="1">
    <w:name w:val="正文文本 2 Char"/>
    <w:basedOn w:val="871"/>
    <w:link w:val="890"/>
    <w:uiPriority w:val="0"/>
    <w:qFormat/>
    <w:rPr>
      <w:b/>
      <w:bCs/>
      <w:sz w:val="18"/>
      <w:szCs w:val="24"/>
    </w:rPr>
  </w:style>
  <w:style w:type="character" w:styleId="923" w:customStyle="1">
    <w:name w:val="HTML 预设格式 Char"/>
    <w:basedOn w:val="871"/>
    <w:link w:val="891"/>
    <w:uiPriority w:val="0"/>
    <w:qFormat/>
    <w:rPr>
      <w:rFonts w:hint="eastAsia" w:ascii="宋体" w:hAnsi="宋体" w:eastAsia="宋体" w:cs="宋体"/>
      <w:sz w:val="24"/>
      <w:szCs w:val="24"/>
    </w:rPr>
  </w:style>
  <w:style w:type="character" w:styleId="924" w:customStyle="1">
    <w:name w:val="批注主题 Char"/>
    <w:basedOn w:val="912"/>
    <w:link w:val="893"/>
    <w:uiPriority w:val="0"/>
    <w:qFormat/>
    <w:rPr>
      <w:b/>
      <w:bCs/>
      <w:sz w:val="21"/>
      <w:szCs w:val="24"/>
    </w:rPr>
  </w:style>
  <w:style w:type="character" w:styleId="925" w:customStyle="1">
    <w:name w:val="正文首行缩进 Char"/>
    <w:basedOn w:val="914"/>
    <w:link w:val="894"/>
    <w:uiPriority w:val="0"/>
    <w:qFormat/>
    <w:rPr>
      <w:rFonts w:hint="eastAsia" w:ascii="仿宋_GB2312" w:eastAsia="仿宋_GB2312" w:cs="仿宋_GB2312"/>
      <w:sz w:val="24"/>
      <w:szCs w:val="24"/>
    </w:rPr>
  </w:style>
  <w:style w:type="paragraph" w:styleId="926"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927" w:customStyle="1">
    <w:name w:val="FA正文 Char"/>
    <w:basedOn w:val="871"/>
    <w:uiPriority w:val="0"/>
    <w:qFormat/>
    <w:rPr>
      <w:rFonts w:hint="eastAsia" w:ascii="宋体" w:hAnsi="宋体" w:eastAsia="宋体" w:cs="宋体"/>
      <w:sz w:val="28"/>
      <w:szCs w:val="28"/>
    </w:rPr>
  </w:style>
  <w:style w:type="character" w:styleId="928" w:customStyle="1">
    <w:name w:val="普通正文 Char"/>
    <w:basedOn w:val="871"/>
    <w:uiPriority w:val="0"/>
    <w:qFormat/>
    <w:rPr>
      <w:rFonts w:ascii="Arial" w:hAnsi="Arial" w:cs="Arial"/>
      <w:sz w:val="24"/>
      <w:szCs w:val="24"/>
    </w:rPr>
  </w:style>
  <w:style w:type="paragraph" w:styleId="929" w:customStyle="1">
    <w:name w:val="段"/>
    <w:basedOn w:val="861"/>
    <w:next w:val="930"/>
    <w:uiPriority w:val="0"/>
    <w:qFormat/>
    <w:pPr>
      <w:ind w:left="0" w:right="0" w:firstLine="200"/>
      <w:jc w:val="both"/>
      <w:keepLines w:val="0"/>
      <w:keepNext w:val="0"/>
      <w:spacing w:before="0" w:beforeAutospacing="0" w:after="0" w:afterAutospacing="0"/>
      <w:widowControl w:val="off"/>
      <w:suppressLineNumbers w:val="0"/>
    </w:pPr>
    <w:rPr>
      <w:rFonts w:hint="eastAsia" w:ascii="宋体" w:hAnsi="宋体" w:eastAsia="宋体" w:cs="宋体"/>
      <w:color w:val="000000"/>
      <w:sz w:val="21"/>
      <w:szCs w:val="21"/>
      <w:lang w:val="en-US" w:eastAsia="zh-CN" w:bidi="ar"/>
    </w:rPr>
  </w:style>
  <w:style w:type="paragraph" w:styleId="930" w:customStyle="1">
    <w:name w:val="正文 A"/>
    <w:next w:val="929"/>
    <w:uiPriority w:val="99"/>
    <w:qFormat/>
    <w:pPr>
      <w:jc w:val="both"/>
      <w:widowControl w:val="off"/>
    </w:pPr>
    <w:rPr>
      <w:rFonts w:ascii="Times New Roman" w:hAnsi="Times New Roman" w:eastAsia="宋体" w:cs="Times New Roman"/>
      <w:color w:val="000000"/>
      <w:sz w:val="21"/>
      <w:szCs w:val="21"/>
      <w:lang w:val="en-US" w:eastAsia="zh-CN" w:bidi="ar-SA"/>
    </w:rPr>
  </w:style>
  <w:style w:type="character" w:styleId="931" w:customStyle="1">
    <w:name w:val="样式 ssss + 宋体 五号1 Char"/>
    <w:basedOn w:val="871"/>
    <w:uiPriority w:val="0"/>
    <w:qFormat/>
    <w:rPr>
      <w:rFonts w:hint="eastAsia" w:ascii="宋体" w:hAnsi="宋体" w:eastAsia="宋体" w:cs="宋体"/>
      <w:sz w:val="24"/>
      <w:szCs w:val="24"/>
    </w:rPr>
  </w:style>
  <w:style w:type="character" w:styleId="932" w:customStyle="1">
    <w:name w:val="cn_text1"/>
    <w:basedOn w:val="871"/>
    <w:uiPriority w:val="0"/>
    <w:qFormat/>
    <w:rPr>
      <w:rFonts w:hint="default" w:ascii="ˎ̥" w:hAnsi="ˎ̥" w:eastAsia="ˎ̥" w:cs="ˎ̥"/>
      <w:color w:val="003399"/>
      <w:spacing w:val="15"/>
      <w:sz w:val="18"/>
      <w:szCs w:val="18"/>
    </w:rPr>
  </w:style>
  <w:style w:type="character" w:styleId="933" w:customStyle="1">
    <w:name w:val="19"/>
    <w:basedOn w:val="871"/>
    <w:uiPriority w:val="0"/>
    <w:qFormat/>
    <w:rPr>
      <w:rFonts w:hint="default" w:ascii="Times New Roman" w:hAnsi="Times New Roman" w:cs="Times New Roman"/>
      <w:b/>
      <w:bCs/>
      <w:vanish/>
    </w:rPr>
  </w:style>
  <w:style w:type="character" w:styleId="934" w:customStyle="1">
    <w:name w:val="27"/>
    <w:basedOn w:val="871"/>
    <w:uiPriority w:val="0"/>
    <w:qFormat/>
    <w:rPr>
      <w:rFonts w:hint="default" w:ascii="Cambria" w:hAnsi="Cambria" w:eastAsia="宋体" w:cs="Times New Roman"/>
      <w:b/>
      <w:bCs/>
      <w:sz w:val="28"/>
      <w:szCs w:val="28"/>
    </w:rPr>
  </w:style>
  <w:style w:type="character" w:styleId="935" w:customStyle="1">
    <w:name w:val="26"/>
    <w:basedOn w:val="871"/>
    <w:uiPriority w:val="0"/>
    <w:qFormat/>
    <w:rPr>
      <w:rFonts w:hint="default" w:ascii="Times New Roman" w:hAnsi="Times New Roman" w:cs="Times New Roman"/>
      <w:color w:val="800080"/>
    </w:rPr>
  </w:style>
  <w:style w:type="character" w:styleId="936" w:customStyle="1">
    <w:name w:val="33"/>
    <w:basedOn w:val="871"/>
    <w:uiPriority w:val="0"/>
    <w:qFormat/>
    <w:rPr>
      <w:rFonts w:hint="default" w:ascii="Times New Roman" w:hAnsi="Times New Roman" w:cs="Times New Roman"/>
      <w:shd w:val="clear" w:color="auto" w:fill="ffffff"/>
    </w:rPr>
  </w:style>
  <w:style w:type="paragraph" w:styleId="937" w:customStyle="1">
    <w:name w:val="DAS正文"/>
    <w:basedOn w:val="861"/>
    <w:uiPriority w:val="0"/>
    <w:qFormat/>
    <w:pPr>
      <w:ind w:left="0" w:right="181" w:firstLine="480"/>
      <w:jc w:val="both"/>
      <w:keepLines w:val="0"/>
      <w:keepNext w:val="0"/>
      <w:spacing w:before="0" w:beforeAutospacing="0" w:after="0" w:afterAutospacing="0" w:line="360" w:lineRule="auto"/>
      <w:widowControl w:val="off"/>
      <w:suppressLineNumbers w:val="0"/>
    </w:pPr>
    <w:rPr>
      <w:rFonts w:hint="default" w:ascii="Verdana" w:hAnsi="Verdana" w:eastAsia="宋体" w:cs="Times New Roman"/>
      <w:color w:val="auto"/>
      <w:sz w:val="21"/>
      <w:szCs w:val="24"/>
      <w:lang w:val="en-US" w:eastAsia="zh-CN" w:bidi="ar"/>
    </w:rPr>
  </w:style>
  <w:style w:type="character" w:styleId="938" w:customStyle="1">
    <w:name w:val="24"/>
    <w:basedOn w:val="871"/>
    <w:uiPriority w:val="0"/>
    <w:qFormat/>
    <w:rPr>
      <w:rFonts w:hint="default" w:ascii="Courier New" w:hAnsi="Courier New" w:cs="Courier New"/>
    </w:rPr>
  </w:style>
  <w:style w:type="character" w:styleId="939" w:customStyle="1">
    <w:name w:val="列出段落 Char"/>
    <w:basedOn w:val="871"/>
    <w:uiPriority w:val="0"/>
    <w:qFormat/>
  </w:style>
  <w:style w:type="paragraph" w:styleId="940" w:customStyle="1">
    <w:name w:val="正文文本缩进1"/>
    <w:basedOn w:val="861"/>
    <w:uiPriority w:val="0"/>
    <w:qFormat/>
    <w:pPr>
      <w:ind w:left="765" w:right="0"/>
      <w:jc w:val="both"/>
      <w:keepLines w:val="0"/>
      <w:keepNext w:val="0"/>
      <w:spacing w:before="0" w:beforeAutospacing="0" w:after="0" w:afterAutospacing="0"/>
      <w:widowControl w:val="off"/>
      <w:suppressLineNumbers w:val="0"/>
    </w:pPr>
    <w:rPr>
      <w:rFonts w:hint="eastAsia" w:ascii="仿宋_GB2312" w:hAnsi="Times New Roman" w:eastAsia="仿宋_GB2312" w:cs="Times New Roman"/>
      <w:color w:val="auto"/>
      <w:sz w:val="28"/>
      <w:szCs w:val="24"/>
      <w:lang w:val="en-US" w:eastAsia="zh-CN" w:bidi="ar"/>
    </w:rPr>
  </w:style>
  <w:style w:type="character" w:styleId="941" w:customStyle="1">
    <w:name w:val="25"/>
    <w:basedOn w:val="871"/>
    <w:uiPriority w:val="0"/>
    <w:qFormat/>
    <w:rPr>
      <w:rFonts w:hint="default" w:ascii="Times New Roman" w:hAnsi="Times New Roman" w:cs="Times New Roman"/>
      <w:b/>
      <w:bCs/>
    </w:rPr>
  </w:style>
  <w:style w:type="character" w:styleId="942" w:customStyle="1">
    <w:name w:val="28"/>
    <w:basedOn w:val="871"/>
    <w:uiPriority w:val="0"/>
    <w:qFormat/>
    <w:rPr>
      <w:rFonts w:hint="default" w:ascii="Courier New" w:hAnsi="Courier New" w:cs="Courier New"/>
      <w:sz w:val="20"/>
      <w:szCs w:val="20"/>
    </w:rPr>
  </w:style>
  <w:style w:type="paragraph" w:styleId="943" w:customStyle="1">
    <w:name w:val="msonormalcxsplast"/>
    <w:basedOn w:val="861"/>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color w:val="auto"/>
      <w:sz w:val="24"/>
      <w:szCs w:val="24"/>
      <w:lang w:val="en-US" w:eastAsia="zh-CN" w:bidi="ar"/>
    </w:rPr>
  </w:style>
  <w:style w:type="character" w:styleId="944" w:customStyle="1">
    <w:name w:val="ssss Char"/>
    <w:basedOn w:val="871"/>
    <w:uiPriority w:val="0"/>
    <w:qFormat/>
    <w:rPr>
      <w:rFonts w:hint="eastAsia" w:ascii="宋体" w:hAnsi="宋体" w:eastAsia="宋体" w:cs="宋体"/>
      <w:sz w:val="24"/>
      <w:szCs w:val="24"/>
      <w:lang w:val="en-US" w:eastAsia="zh-CN" w:bidi="ar"/>
    </w:rPr>
  </w:style>
  <w:style w:type="paragraph" w:styleId="945" w:customStyle="1">
    <w:name w:val="msonormalcxspmiddle"/>
    <w:basedOn w:val="861"/>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color w:val="auto"/>
      <w:sz w:val="24"/>
      <w:szCs w:val="24"/>
      <w:lang w:val="en-US" w:eastAsia="zh-CN" w:bidi="ar"/>
    </w:rPr>
  </w:style>
  <w:style w:type="character" w:styleId="946" w:customStyle="1">
    <w:name w:val="point_normal1"/>
    <w:basedOn w:val="871"/>
    <w:uiPriority w:val="0"/>
    <w:qFormat/>
    <w:rPr>
      <w:rFonts w:hint="default" w:ascii="Arial" w:hAnsi="Arial" w:cs="Arial"/>
      <w:sz w:val="16"/>
      <w:szCs w:val="16"/>
    </w:rPr>
  </w:style>
  <w:style w:type="paragraph" w:styleId="947" w:customStyle="1">
    <w:name w:val="正文缩进2格"/>
    <w:basedOn w:val="861"/>
    <w:link w:val="948"/>
    <w:uiPriority w:val="0"/>
    <w:qFormat/>
    <w:pPr>
      <w:ind w:left="0" w:right="0" w:firstLine="639"/>
      <w:jc w:val="both"/>
      <w:keepLines w:val="0"/>
      <w:keepNext w:val="0"/>
      <w:spacing w:before="0" w:beforeAutospacing="0" w:after="0" w:afterAutospacing="0" w:line="600" w:lineRule="exact"/>
      <w:widowControl w:val="off"/>
      <w:suppressLineNumbers w:val="0"/>
    </w:pPr>
    <w:rPr>
      <w:rFonts w:hint="eastAsia" w:ascii="仿宋_GB2312" w:hAnsi="宋体" w:eastAsia="仿宋_GB2312" w:cs="Times New Roman"/>
      <w:color w:val="auto"/>
      <w:sz w:val="31"/>
      <w:szCs w:val="28"/>
      <w:lang w:val="en-US" w:eastAsia="zh-CN" w:bidi="ar"/>
    </w:rPr>
  </w:style>
  <w:style w:type="character" w:styleId="948" w:customStyle="1">
    <w:name w:val="正文缩进2格 Char"/>
    <w:basedOn w:val="871"/>
    <w:link w:val="947"/>
    <w:uiPriority w:val="0"/>
    <w:qFormat/>
    <w:rPr>
      <w:rFonts w:hint="eastAsia" w:ascii="仿宋_GB2312" w:hAnsi="宋体" w:eastAsia="仿宋_GB2312" w:cs="仿宋_GB2312"/>
      <w:sz w:val="31"/>
      <w:szCs w:val="28"/>
    </w:rPr>
  </w:style>
  <w:style w:type="paragraph" w:styleId="949" w:customStyle="1">
    <w:name w:val="正文1"/>
    <w:basedOn w:val="950"/>
    <w:next w:val="861"/>
    <w:uiPriority w:val="0"/>
    <w:qFormat/>
    <w:pPr>
      <w:ind w:left="0" w:right="0"/>
      <w:jc w:val="both"/>
      <w:keepLines w:val="0"/>
      <w:keepNext w:val="0"/>
      <w:spacing w:before="0" w:beforeAutospacing="0" w:after="0" w:afterAutospacing="0" w:line="315" w:lineRule="atLeast"/>
      <w:widowControl w:val="off"/>
      <w:tabs>
        <w:tab w:val="left" w:pos="1110" w:leader="none"/>
      </w:tabs>
      <w:suppressLineNumbers w:val="0"/>
    </w:pPr>
    <w:rPr>
      <w:rFonts w:hint="eastAsia" w:ascii="宋体" w:hAnsi="Times New Roman" w:eastAsia="宋体" w:cs="Times New Roman"/>
      <w:color w:val="auto"/>
      <w:sz w:val="24"/>
      <w:szCs w:val="20"/>
      <w:lang w:val="en-US" w:eastAsia="zh-CN" w:bidi="ar"/>
    </w:rPr>
  </w:style>
  <w:style w:type="paragraph" w:styleId="950" w:customStyle="1">
    <w:name w:val="样式1"/>
    <w:basedOn w:val="861"/>
    <w:uiPriority w:val="0"/>
    <w:qFormat/>
    <w:pPr>
      <w:ind w:left="432" w:firstLine="288"/>
      <w:tabs>
        <w:tab w:val="left" w:pos="1110" w:leader="none"/>
      </w:tabs>
    </w:pPr>
    <w:rPr>
      <w:rFonts w:ascii="宋体" w:hAnsi="宋体"/>
      <w:szCs w:val="21"/>
    </w:rPr>
  </w:style>
  <w:style w:type="character" w:styleId="951" w:customStyle="1">
    <w:name w:val="批注框文本 Char1"/>
    <w:basedOn w:val="871"/>
    <w:uiPriority w:val="0"/>
    <w:qFormat/>
    <w:rPr>
      <w:rFonts w:hint="default" w:ascii="Times New Roman" w:hAnsi="Times New Roman" w:eastAsia="宋体" w:cs="Times New Roman"/>
      <w:sz w:val="18"/>
      <w:szCs w:val="18"/>
    </w:rPr>
  </w:style>
  <w:style w:type="character" w:styleId="952" w:customStyle="1">
    <w:name w:val="10"/>
    <w:basedOn w:val="871"/>
    <w:uiPriority w:val="0"/>
    <w:qFormat/>
    <w:rPr>
      <w:rFonts w:hint="default" w:ascii="Times New Roman" w:hAnsi="Times New Roman" w:cs="Times New Roman"/>
    </w:rPr>
  </w:style>
  <w:style w:type="character" w:styleId="953" w:customStyle="1">
    <w:name w:val="30"/>
    <w:basedOn w:val="871"/>
    <w:uiPriority w:val="0"/>
    <w:qFormat/>
    <w:rPr>
      <w:rFonts w:hint="default" w:ascii="Times New Roman" w:hAnsi="Times New Roman" w:cs="Times New Roman"/>
    </w:rPr>
  </w:style>
  <w:style w:type="character" w:styleId="954" w:customStyle="1">
    <w:name w:val="15"/>
    <w:basedOn w:val="871"/>
    <w:uiPriority w:val="0"/>
    <w:qFormat/>
    <w:rPr>
      <w:rFonts w:hint="default" w:ascii="Times New Roman" w:hAnsi="Times New Roman" w:cs="Times New Roman"/>
      <w:color w:val="0000ff"/>
    </w:rPr>
  </w:style>
  <w:style w:type="character" w:styleId="955" w:customStyle="1">
    <w:name w:val="16"/>
    <w:basedOn w:val="871"/>
    <w:uiPriority w:val="0"/>
    <w:qFormat/>
    <w:rPr>
      <w:rFonts w:hint="default" w:ascii="Times New Roman" w:hAnsi="Times New Roman" w:cs="Times New Roman"/>
    </w:rPr>
  </w:style>
  <w:style w:type="character" w:styleId="956" w:customStyle="1">
    <w:name w:val="列表段落 字符"/>
    <w:basedOn w:val="871"/>
    <w:uiPriority w:val="0"/>
    <w:qFormat/>
    <w:rPr>
      <w:rFonts w:hint="default" w:ascii="Calibri" w:hAnsi="Calibri" w:cs="Calibri"/>
      <w:sz w:val="21"/>
      <w:szCs w:val="22"/>
    </w:rPr>
  </w:style>
  <w:style w:type="character" w:styleId="957" w:customStyle="1">
    <w:name w:val="22"/>
    <w:basedOn w:val="871"/>
    <w:uiPriority w:val="0"/>
    <w:qFormat/>
    <w:rPr>
      <w:rFonts w:hint="default" w:ascii="Times New Roman" w:hAnsi="Times New Roman" w:cs="Times New Roman"/>
    </w:rPr>
  </w:style>
  <w:style w:type="character" w:styleId="958" w:customStyle="1">
    <w:name w:val="文档结构图 Char1"/>
    <w:basedOn w:val="871"/>
    <w:uiPriority w:val="0"/>
    <w:qFormat/>
    <w:rPr>
      <w:rFonts w:hint="eastAsia" w:ascii="宋体" w:hAnsi="Times New Roman" w:eastAsia="宋体" w:cs="Times New Roman"/>
      <w:sz w:val="18"/>
      <w:szCs w:val="18"/>
    </w:rPr>
  </w:style>
  <w:style w:type="character" w:styleId="959" w:customStyle="1">
    <w:name w:val="18"/>
    <w:basedOn w:val="871"/>
    <w:uiPriority w:val="0"/>
    <w:qFormat/>
    <w:rPr>
      <w:rFonts w:hint="eastAsia" w:ascii="宋体" w:hAnsi="宋体" w:eastAsia="宋体" w:cs="宋体"/>
      <w:sz w:val="18"/>
      <w:szCs w:val="18"/>
    </w:rPr>
  </w:style>
  <w:style w:type="character" w:styleId="960" w:customStyle="1">
    <w:name w:val="20"/>
    <w:basedOn w:val="871"/>
    <w:uiPriority w:val="0"/>
    <w:qFormat/>
    <w:rPr>
      <w:rFonts w:hint="default" w:ascii="Times New Roman" w:hAnsi="Times New Roman" w:cs="Times New Roman"/>
    </w:rPr>
  </w:style>
  <w:style w:type="character" w:styleId="961" w:customStyle="1">
    <w:name w:val="31"/>
    <w:basedOn w:val="871"/>
    <w:uiPriority w:val="0"/>
    <w:qFormat/>
    <w:rPr>
      <w:rFonts w:hint="default" w:ascii="Courier New" w:hAnsi="Courier New" w:cs="Courier New"/>
      <w:sz w:val="20"/>
      <w:szCs w:val="20"/>
    </w:rPr>
  </w:style>
  <w:style w:type="character" w:styleId="962" w:customStyle="1">
    <w:name w:val="ssss Char1"/>
    <w:basedOn w:val="871"/>
    <w:uiPriority w:val="0"/>
    <w:qFormat/>
    <w:rPr>
      <w:sz w:val="24"/>
      <w:szCs w:val="24"/>
    </w:rPr>
  </w:style>
  <w:style w:type="character" w:styleId="963" w:customStyle="1">
    <w:name w:val="29"/>
    <w:basedOn w:val="871"/>
    <w:uiPriority w:val="0"/>
    <w:qFormat/>
    <w:rPr>
      <w:rFonts w:hint="default" w:ascii="Times New Roman" w:hAnsi="Times New Roman" w:cs="Times New Roman"/>
      <w:sz w:val="18"/>
      <w:szCs w:val="18"/>
    </w:rPr>
  </w:style>
  <w:style w:type="character" w:styleId="964" w:customStyle="1">
    <w:name w:val="32"/>
    <w:basedOn w:val="871"/>
    <w:uiPriority w:val="0"/>
    <w:qFormat/>
    <w:rPr>
      <w:rFonts w:hint="default" w:ascii="Times New Roman" w:hAnsi="Times New Roman" w:cs="Times New Roman"/>
    </w:rPr>
  </w:style>
  <w:style w:type="character" w:styleId="965" w:customStyle="1">
    <w:name w:val="23"/>
    <w:basedOn w:val="871"/>
    <w:uiPriority w:val="0"/>
    <w:qFormat/>
    <w:rPr>
      <w:rFonts w:hint="default" w:ascii="Courier New" w:hAnsi="Courier New" w:cs="Courier New"/>
      <w:sz w:val="20"/>
      <w:szCs w:val="20"/>
    </w:rPr>
  </w:style>
  <w:style w:type="character" w:styleId="966" w:customStyle="1">
    <w:name w:val="标题 4 Char1"/>
    <w:basedOn w:val="871"/>
    <w:uiPriority w:val="0"/>
    <w:qFormat/>
    <w:rPr>
      <w:rFonts w:hint="default" w:ascii="Arial" w:hAnsi="Arial" w:eastAsia="黑体" w:cs="Arial"/>
      <w:b/>
      <w:bCs/>
      <w:sz w:val="28"/>
      <w:szCs w:val="28"/>
      <w:lang w:val="en-US" w:eastAsia="zh-CN" w:bidi="ar"/>
    </w:rPr>
  </w:style>
  <w:style w:type="character" w:styleId="967" w:customStyle="1">
    <w:name w:val="17"/>
    <w:basedOn w:val="871"/>
    <w:uiPriority w:val="0"/>
    <w:rPr>
      <w:rFonts w:hint="default" w:ascii="Times New Roman" w:hAnsi="Times New Roman" w:cs="Times New Roman"/>
    </w:rPr>
  </w:style>
  <w:style w:type="character" w:styleId="968" w:customStyle="1">
    <w:name w:val="21"/>
    <w:basedOn w:val="871"/>
    <w:uiPriority w:val="0"/>
    <w:qFormat/>
    <w:rPr>
      <w:rFonts w:hint="default" w:ascii="Times New Roman" w:hAnsi="Times New Roman" w:cs="Times New Roman"/>
      <w:sz w:val="18"/>
      <w:szCs w:val="18"/>
    </w:rPr>
  </w:style>
  <w:style w:type="paragraph" w:styleId="969" w:customStyle="1">
    <w:name w:val="正文缩进1"/>
    <w:basedOn w:val="861"/>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color w:val="auto"/>
      <w:sz w:val="20"/>
      <w:szCs w:val="24"/>
      <w:lang w:val="en-US" w:eastAsia="zh-CN" w:bidi="ar"/>
    </w:rPr>
  </w:style>
  <w:style w:type="paragraph" w:styleId="970" w:customStyle="1">
    <w:name w:val="纯文本1"/>
    <w:basedOn w:val="861"/>
    <w:uiPriority w:val="0"/>
    <w:qFormat/>
    <w:pPr>
      <w:ind w:left="0" w:right="0"/>
      <w:jc w:val="both"/>
      <w:keepLines w:val="0"/>
      <w:keepNext w:val="0"/>
      <w:spacing w:before="0" w:beforeAutospacing="0" w:after="0" w:afterAutospacing="0"/>
      <w:widowControl w:val="off"/>
      <w:suppressLineNumbers w:val="0"/>
    </w:pPr>
    <w:rPr>
      <w:rFonts w:hint="default" w:ascii="Times New Roman" w:hAnsi="Courier New" w:eastAsia="宋体" w:cs="Times New Roman"/>
      <w:color w:val="auto"/>
      <w:sz w:val="20"/>
      <w:szCs w:val="21"/>
      <w:lang w:val="en-US" w:eastAsia="zh-CN" w:bidi="ar"/>
    </w:rPr>
  </w:style>
  <w:style w:type="character" w:styleId="971" w:customStyle="1">
    <w:name w:val="强调1"/>
    <w:basedOn w:val="871"/>
    <w:uiPriority w:val="0"/>
    <w:qFormat/>
    <w:rPr>
      <w:rFonts w:hint="default" w:ascii="Times New Roman" w:hAnsi="Times New Roman" w:eastAsia="宋体" w:cs="Times New Roman"/>
      <w:sz w:val="21"/>
      <w:szCs w:val="24"/>
      <w:lang w:val="en-US" w:eastAsia="zh-CN" w:bidi="ar"/>
    </w:rPr>
  </w:style>
  <w:style w:type="paragraph" w:styleId="972" w:customStyle="1">
    <w:name w:val="普通正文"/>
    <w:basedOn w:val="861"/>
    <w:uiPriority w:val="0"/>
    <w:qFormat/>
    <w:pPr>
      <w:ind w:left="0" w:right="0" w:firstLine="480"/>
      <w:jc w:val="left"/>
      <w:keepLines w:val="0"/>
      <w:keepNext w:val="0"/>
      <w:spacing w:before="120" w:beforeAutospacing="0" w:after="120" w:afterAutospacing="0" w:line="360" w:lineRule="auto"/>
      <w:widowControl w:val="off"/>
      <w:suppressLineNumbers w:val="0"/>
    </w:pPr>
    <w:rPr>
      <w:rFonts w:ascii="Arial" w:hAnsi="Arial" w:eastAsia="宋体" w:cs="Times New Roman"/>
      <w:sz w:val="24"/>
      <w:szCs w:val="24"/>
      <w:lang w:val="en-US" w:eastAsia="zh-CN" w:bidi="ar"/>
    </w:rPr>
  </w:style>
  <w:style w:type="paragraph" w:styleId="973" w:customStyle="1">
    <w:name w:val="标题 61"/>
    <w:basedOn w:val="861"/>
    <w:next w:val="969"/>
    <w:uiPriority w:val="0"/>
    <w:qFormat/>
    <w:pPr>
      <w:jc w:val="center"/>
      <w:keepNext/>
      <w:outlineLvl w:val="5"/>
    </w:pPr>
    <w:rPr>
      <w:b/>
      <w:sz w:val="44"/>
      <w:szCs w:val="20"/>
    </w:rPr>
  </w:style>
  <w:style w:type="paragraph" w:styleId="974" w:customStyle="1">
    <w:name w:val="标题 41"/>
    <w:basedOn w:val="861"/>
    <w:next w:val="861"/>
    <w:uiPriority w:val="0"/>
    <w:qFormat/>
    <w:pPr>
      <w:jc w:val="center"/>
      <w:keepNext/>
      <w:outlineLvl w:val="3"/>
    </w:pPr>
    <w:rPr>
      <w:rFonts w:eastAsia="新宋体"/>
      <w:sz w:val="30"/>
      <w:szCs w:val="21"/>
    </w:rPr>
  </w:style>
  <w:style w:type="paragraph" w:styleId="975" w:customStyle="1">
    <w:name w:val="正文文本1"/>
    <w:basedOn w:val="861"/>
    <w:uiPriority w:val="0"/>
    <w:qFormat/>
    <w:rPr>
      <w:rFonts w:ascii="仿宋_GB2312" w:eastAsia="仿宋_GB2312"/>
      <w:sz w:val="24"/>
      <w:szCs w:val="20"/>
    </w:rPr>
  </w:style>
  <w:style w:type="paragraph" w:styleId="976" w:customStyle="1">
    <w:name w:val="正文_1_1"/>
    <w:uiPriority w:val="0"/>
    <w:qFormat/>
    <w:pPr>
      <w:jc w:val="both"/>
      <w:widowControl w:val="off"/>
    </w:pPr>
    <w:rPr>
      <w:rFonts w:ascii="Calibri" w:hAnsi="Calibri" w:eastAsia="Times New Roman" w:cs="Times New Roman"/>
      <w:szCs w:val="24"/>
      <w:lang w:val="en-US" w:eastAsia="zh-CN" w:bidi="ar-SA"/>
    </w:rPr>
  </w:style>
  <w:style w:type="paragraph" w:styleId="977" w:customStyle="1">
    <w:name w:val="正文文本缩进 2_0"/>
    <w:basedOn w:val="978"/>
    <w:uiPriority w:val="0"/>
    <w:qFormat/>
    <w:pPr>
      <w:ind w:firstLine="225"/>
      <w:jc w:val="left"/>
      <w:spacing w:line="540" w:lineRule="exact"/>
    </w:pPr>
    <w:rPr>
      <w:rFonts w:ascii="仿宋_GB2312" w:hAnsi="Times New Roman" w:eastAsia="仿宋_GB2312"/>
      <w:sz w:val="32"/>
      <w:szCs w:val="24"/>
    </w:rPr>
  </w:style>
  <w:style w:type="paragraph" w:styleId="978" w:customStyle="1">
    <w:name w:val="Normal_0_1"/>
    <w:next w:val="979"/>
    <w:uiPriority w:val="0"/>
    <w:qFormat/>
    <w:pPr>
      <w:jc w:val="both"/>
      <w:widowControl w:val="off"/>
    </w:pPr>
    <w:rPr>
      <w:rFonts w:ascii="Calibri" w:hAnsi="Calibri" w:eastAsia="宋体" w:cs="Times New Roman"/>
      <w:lang w:val="en-US" w:eastAsia="zh-CN" w:bidi="ar-SA"/>
    </w:rPr>
  </w:style>
  <w:style w:type="paragraph" w:styleId="979" w:customStyle="1">
    <w:name w:val="Heading 2"/>
    <w:basedOn w:val="978"/>
    <w:next w:val="978"/>
    <w:uiPriority w:val="9"/>
    <w:unhideWhenUsed/>
    <w:qFormat/>
    <w:pPr>
      <w:keepLines/>
      <w:keepNext/>
      <w:spacing w:before="260" w:after="260" w:line="416" w:lineRule="auto"/>
      <w:outlineLvl w:val="1"/>
    </w:pPr>
    <w:rPr>
      <w:rFonts w:ascii="Cambria" w:hAnsi="Cambria" w:eastAsia="宋体"/>
      <w:b/>
      <w:bCs/>
      <w:sz w:val="32"/>
      <w:szCs w:val="32"/>
    </w:rPr>
  </w:style>
  <w:style w:type="paragraph" w:styleId="98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81" w:customStyle="1">
    <w:name w:val="正文首行缩进1"/>
    <w:basedOn w:val="982"/>
    <w:uiPriority w:val="0"/>
    <w:qFormat/>
    <w:pPr>
      <w:ind w:firstLine="420"/>
      <w:spacing w:after="120"/>
    </w:pPr>
    <w:rPr>
      <w:rFonts w:ascii="Times New Roman" w:eastAsia="宋体"/>
      <w:szCs w:val="24"/>
    </w:rPr>
  </w:style>
  <w:style w:type="paragraph" w:styleId="982" w:customStyle="1">
    <w:name w:val="正文文本11"/>
    <w:basedOn w:val="861"/>
    <w:uiPriority w:val="99"/>
    <w:qFormat/>
    <w:rPr>
      <w:rFonts w:ascii="楷体_GB2312" w:hAnsi="Arial" w:eastAsia="楷体_GB2312"/>
      <w:sz w:val="28"/>
      <w:szCs w:val="20"/>
    </w:rPr>
  </w:style>
  <w:style w:type="character" w:styleId="983" w:customStyle="1">
    <w:name w:val="无"/>
    <w:uiPriority w:val="0"/>
    <w:qFormat/>
    <w:rPr>
      <w:sz w:val="21"/>
      <w:szCs w:val="22"/>
      <w:lang w:val="en-US" w:eastAsia="zh-CN" w:bidi="ar-SA"/>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赵斌</cp:lastModifiedBy>
  <cp:revision>4</cp:revision>
  <dcterms:created xsi:type="dcterms:W3CDTF">2022-08-23T02:38:00Z</dcterms:created>
  <dcterms:modified xsi:type="dcterms:W3CDTF">2024-10-10T05:35:37Z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63E7A2C2073B43B385A08397BBF5C91D_13</vt:lpwstr>
  </property>
</Properties>
</file>