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hint="eastAsia" w:eastAsia="黑体"/>
          <w:b/>
          <w:bCs/>
          <w:sz w:val="84"/>
        </w:rPr>
      </w:pPr>
      <w:r>
        <w:rPr>
          <w:rFonts w:hint="eastAsia" w:eastAsia="黑体"/>
          <w:b/>
          <w:bCs/>
          <w:sz w:val="84"/>
        </w:rPr>
      </w:r>
      <w:r/>
    </w:p>
    <w:p>
      <w:pPr>
        <w:pStyle w:val="978"/>
        <w:ind w:firstLine="0"/>
        <w:jc w:val="center"/>
        <w:rPr>
          <w:rFonts w:hint="eastAsia" w:eastAsia="黑体"/>
          <w:b/>
          <w:bCs/>
          <w:sz w:val="84"/>
        </w:rPr>
      </w:pPr>
      <w:r>
        <w:rPr>
          <w:rFonts w:hint="eastAsia" w:eastAsia="黑体"/>
          <w:b/>
          <w:bCs/>
          <w:sz w:val="84"/>
        </w:rPr>
        <w:t xml:space="preserve">招　标　文　件</w:t>
      </w:r>
      <w:r/>
    </w:p>
    <w:p>
      <w:pPr>
        <w:pStyle w:val="978"/>
        <w:ind w:firstLine="0"/>
        <w:jc w:val="center"/>
        <w:rPr>
          <w:rFonts w:hint="eastAsia"/>
          <w:b/>
          <w:bCs/>
          <w:sz w:val="32"/>
        </w:rPr>
      </w:pPr>
      <w:r>
        <w:rPr>
          <w:rFonts w:hint="eastAsia"/>
          <w:b/>
          <w:bCs/>
          <w:sz w:val="32"/>
        </w:rPr>
        <w:t xml:space="preserve">          项目名称：</w:t>
      </w:r>
      <w:r>
        <w:rPr>
          <w:rFonts w:hint="eastAsia"/>
          <w:b/>
          <w:bCs/>
          <w:sz w:val="32"/>
        </w:rPr>
        <w:t xml:space="preserve">江苏省预算管理一体化平台国有资产智      慧监管系统建设</w:t>
      </w:r>
      <w:r/>
    </w:p>
    <w:p>
      <w:pPr>
        <w:pStyle w:val="978"/>
        <w:ind w:firstLine="2249"/>
        <w:rPr>
          <w:b/>
          <w:sz w:val="30"/>
          <w:szCs w:val="30"/>
        </w:rPr>
      </w:pPr>
      <w:r>
        <w:rPr>
          <w:rFonts w:hint="eastAsia"/>
          <w:b/>
          <w:bCs/>
          <w:sz w:val="32"/>
        </w:rPr>
        <w:t xml:space="preserve">项目</w:t>
      </w:r>
      <w:r>
        <w:rPr>
          <w:rFonts w:hint="eastAsia"/>
          <w:b/>
          <w:bCs/>
          <w:sz w:val="32"/>
        </w:rPr>
        <w:t xml:space="preserve">编号：JSZC-320000-</w:t>
      </w:r>
      <w:r>
        <w:rPr>
          <w:b/>
          <w:bCs/>
          <w:sz w:val="32"/>
        </w:rPr>
        <w:t xml:space="preserve">SCZX-G2025-0045</w:t>
      </w:r>
      <w:r>
        <w:rPr>
          <w:b/>
          <w:sz w:val="30"/>
          <w:szCs w:val="30"/>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jc w:val="center"/>
        <w:rPr>
          <w:rFonts w:hint="eastAsia"/>
          <w:b/>
          <w:bCs/>
          <w:sz w:val="32"/>
        </w:rPr>
      </w:pPr>
      <w:r>
        <w:rPr>
          <w:rFonts w:hint="eastAsia"/>
          <w:b/>
          <w:bCs/>
          <w:sz w:val="32"/>
        </w:rPr>
        <w:t xml:space="preserve">江苏省政府采购中心</w:t>
      </w:r>
      <w:r/>
    </w:p>
    <w:p>
      <w:pPr>
        <w:pStyle w:val="978"/>
        <w:ind w:firstLine="0"/>
        <w:jc w:val="center"/>
        <w:rPr>
          <w:rFonts w:hint="eastAsia"/>
          <w:b/>
          <w:bCs/>
          <w:sz w:val="32"/>
        </w:rPr>
      </w:pPr>
      <w:r>
        <w:rPr>
          <w:rFonts w:hint="eastAsia"/>
          <w:b/>
          <w:bCs/>
          <w:sz w:val="32"/>
        </w:rPr>
        <w:t xml:space="preserve">2025</w:t>
      </w:r>
      <w:r>
        <w:rPr>
          <w:rFonts w:hint="eastAsia"/>
          <w:b/>
          <w:bCs/>
          <w:sz w:val="32"/>
        </w:rPr>
        <w:t xml:space="preserve">年</w:t>
      </w:r>
      <w:r>
        <w:rPr>
          <w:rFonts w:hint="eastAsia"/>
          <w:b/>
          <w:bCs/>
          <w:sz w:val="32"/>
        </w:rPr>
        <w:t xml:space="preserve">2</w:t>
      </w:r>
      <w:r>
        <w:rPr>
          <w:rFonts w:hint="eastAsia"/>
          <w:b/>
          <w:bCs/>
          <w:sz w:val="32"/>
        </w:rPr>
        <w:t xml:space="preserve">月</w:t>
      </w:r>
      <w:r/>
    </w:p>
    <w:p>
      <w:pPr>
        <w:pStyle w:val="978"/>
        <w:ind w:firstLine="0"/>
        <w:rPr>
          <w:rFonts w:hint="eastAsia"/>
          <w:u w:val="single"/>
        </w:rPr>
      </w:pPr>
      <w:r>
        <w:rPr>
          <w:rFonts w:hint="eastAsia"/>
        </w:rPr>
        <w:t xml:space="preserve">                        </w:t>
      </w:r>
      <w:r>
        <w:rPr>
          <w:rFonts w:hint="eastAsia"/>
          <w:u w:val="single"/>
        </w:rPr>
      </w:r>
      <w:r/>
    </w:p>
    <w:p>
      <w:pPr>
        <w:pStyle w:val="978"/>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rPr>
        <w:t xml:space="preserve">3</w:t>
      </w:r>
      <w:r>
        <w:rPr>
          <w:rFonts w:hint="eastAsia" w:ascii="黑体" w:hAnsi="Showcard Gothic" w:eastAsia="黑体"/>
          <w:sz w:val="32"/>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t xml:space="preserve">6</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19</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68</w:t>
      </w:r>
      <w:r>
        <w:rPr>
          <w:rFonts w:hint="eastAsia" w:ascii="黑体" w:hAnsi="Showcard Gothic" w:eastAsia="黑体"/>
          <w:sz w:val="36"/>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73</w:t>
      </w:r>
      <w:r>
        <w:rPr>
          <w:rFonts w:hint="eastAsia" w:ascii="黑体" w:hAnsi="Showcard Gothic" w:eastAsia="黑体"/>
          <w:sz w:val="36"/>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978"/>
        <w:rPr>
          <w:rFonts w:ascii="宋体" w:hAnsi="宋体"/>
        </w:rPr>
      </w:pPr>
      <w:r>
        <w:rPr>
          <w:rFonts w:hint="eastAsia" w:ascii="宋体" w:hAnsi="宋体"/>
        </w:rPr>
        <w:t xml:space="preserve">受</w:t>
      </w:r>
      <w:r>
        <w:rPr>
          <w:rFonts w:hint="eastAsia" w:ascii="宋体" w:hAnsi="宋体"/>
        </w:rPr>
        <w:t xml:space="preserve">江苏省财政厅财政信息管理中心</w:t>
      </w:r>
      <w:r>
        <w:rPr>
          <w:rFonts w:hint="eastAsia" w:ascii="宋体" w:hAnsi="宋体"/>
        </w:rPr>
        <w:t xml:space="preserve">的委托，江苏省政府采购中心就</w:t>
      </w:r>
      <w:r>
        <w:rPr>
          <w:rFonts w:hint="eastAsia" w:ascii="宋体" w:hAnsi="宋体"/>
        </w:rPr>
        <w:t xml:space="preserve">江苏省预算管理一体化平台国有资产智慧监管系统建设 </w:t>
      </w:r>
      <w:r>
        <w:rPr>
          <w:rFonts w:hint="eastAsia" w:ascii="宋体" w:hAnsi="宋体"/>
        </w:rPr>
        <w:t xml:space="preserve">(</w:t>
      </w:r>
      <w:r>
        <w:rPr>
          <w:rFonts w:hint="eastAsia" w:ascii="宋体" w:hAnsi="宋体"/>
        </w:rPr>
        <w:t xml:space="preserve">JSZC-320000-</w:t>
      </w:r>
      <w:r>
        <w:rPr>
          <w:rFonts w:ascii="宋体" w:hAnsi="宋体"/>
        </w:rPr>
        <w:t xml:space="preserve">SCZX-G2025-0045</w:t>
      </w:r>
      <w:r>
        <w:rPr>
          <w:rFonts w:hint="eastAsia" w:ascii="宋体" w:hAnsi="宋体"/>
        </w:rPr>
        <w:t xml:space="preserve"> </w:t>
      </w:r>
      <w:r>
        <w:rPr>
          <w:rFonts w:hint="eastAsia" w:ascii="宋体" w:hAnsi="宋体"/>
        </w:rPr>
        <w:t xml:space="preserve">)项目进行公开招标采购，欢迎符合条件的供应商投标。</w:t>
      </w:r>
      <w:r>
        <w:rPr>
          <w:rFonts w:ascii="宋体" w:hAnsi="宋体"/>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江苏省预算管理一体化平台国有资产智慧监管系</w:t>
      </w:r>
      <w:r>
        <w:rPr>
          <w:rFonts w:hint="eastAsia" w:ascii="宋体" w:hAnsi="宋体"/>
          <w:sz w:val="24"/>
          <w:szCs w:val="24"/>
          <w:u w:val="single"/>
        </w:rPr>
        <w:t xml:space="preserve">统建设</w:t>
      </w:r>
      <w:r>
        <w:rPr>
          <w:rFonts w:hint="eastAsia" w:ascii="宋体" w:hAnsi="宋体"/>
          <w:sz w:val="24"/>
          <w:szCs w:val="24"/>
          <w:u w:val="single"/>
        </w:rPr>
        <w:t xml:space="preserve"> </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3</w:t>
      </w:r>
      <w:r>
        <w:rPr>
          <w:rFonts w:hint="eastAsia" w:ascii="宋体" w:hAnsi="宋体"/>
          <w:bCs/>
          <w:sz w:val="24"/>
          <w:szCs w:val="24"/>
          <w:u w:val="single"/>
        </w:rPr>
        <w:t xml:space="preserve">月</w:t>
      </w:r>
      <w:r>
        <w:rPr>
          <w:rFonts w:hint="eastAsia" w:ascii="宋体" w:hAnsi="宋体"/>
          <w:bCs/>
          <w:sz w:val="24"/>
          <w:szCs w:val="24"/>
          <w:u w:val="single"/>
        </w:rPr>
        <w:t xml:space="preserve">21</w:t>
      </w:r>
      <w:r>
        <w:rPr>
          <w:rFonts w:hint="eastAsia" w:ascii="宋体" w:hAnsi="宋体"/>
          <w:bCs/>
          <w:sz w:val="24"/>
          <w:szCs w:val="24"/>
          <w:u w:val="single"/>
        </w:rPr>
        <w:t xml:space="preserve">日9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4"/>
        <w:ind w:firstLine="498"/>
        <w:spacing w:before="145" w:after="145" w:line="40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78"/>
        <w:rPr>
          <w:rFonts w:hint="eastAsia" w:ascii="宋体" w:hAnsi="宋体"/>
        </w:rPr>
      </w:pPr>
      <w:r>
        <w:rPr>
          <w:rFonts w:hint="eastAsia" w:ascii="宋体" w:hAnsi="宋体"/>
        </w:rPr>
        <w:t xml:space="preserve">1.项目编号：</w:t>
      </w:r>
      <w:r>
        <w:rPr>
          <w:rFonts w:hint="eastAsia" w:ascii="宋体" w:hAnsi="宋体"/>
        </w:rPr>
        <w:t xml:space="preserve">JSZC-320000-</w:t>
      </w:r>
      <w:r>
        <w:rPr>
          <w:rFonts w:ascii="宋体" w:hAnsi="宋体"/>
        </w:rPr>
        <w:t xml:space="preserve">SCZX-G2025-0045</w:t>
      </w:r>
      <w:r>
        <w:rPr>
          <w:rFonts w:hint="eastAsia" w:ascii="宋体" w:hAnsi="宋体"/>
        </w:rPr>
      </w:r>
      <w:r/>
    </w:p>
    <w:p>
      <w:pPr>
        <w:pStyle w:val="978"/>
        <w:rPr>
          <w:rFonts w:ascii="宋体" w:hAnsi="宋体"/>
        </w:rPr>
      </w:pPr>
      <w:r>
        <w:rPr>
          <w:rFonts w:hint="eastAsia" w:ascii="宋体" w:hAnsi="宋体"/>
        </w:rPr>
        <w:t xml:space="preserve">2.项目名称：</w:t>
      </w:r>
      <w:r>
        <w:rPr>
          <w:rFonts w:hint="eastAsia" w:ascii="宋体" w:hAnsi="宋体"/>
        </w:rPr>
        <w:t xml:space="preserve">江苏省预算管理一体化平台国有资产智慧监管系统建设</w:t>
      </w:r>
      <w:r>
        <w:rPr>
          <w:rFonts w:ascii="宋体" w:hAnsi="宋体"/>
        </w:rPr>
      </w:r>
      <w:r/>
    </w:p>
    <w:p>
      <w:pPr>
        <w:pStyle w:val="891"/>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：2</w:t>
      </w:r>
      <w:r>
        <w:rPr>
          <w:rFonts w:ascii="宋体" w:hAnsi="宋体"/>
          <w:sz w:val="24"/>
          <w:szCs w:val="24"/>
        </w:rPr>
        <w:t xml:space="preserve">59.95</w:t>
      </w:r>
      <w:r>
        <w:rPr>
          <w:rFonts w:hint="eastAsia" w:ascii="宋体" w:hAnsi="宋体"/>
          <w:sz w:val="24"/>
          <w:szCs w:val="24"/>
        </w:rPr>
        <w:t xml:space="preserve">万元</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91"/>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9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1"/>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91"/>
              <w:ind w:firstLine="480"/>
              <w:spacing w:line="400" w:lineRule="exact"/>
              <w:rPr>
                <w:rFonts w:ascii="宋体" w:hAnsi="宋体"/>
              </w:rPr>
            </w:pPr>
            <w:r>
              <w:rPr>
                <w:rFonts w:hint="eastAsia" w:ascii="宋体" w:hAnsi="宋体"/>
                <w:sz w:val="24"/>
                <w:szCs w:val="24"/>
              </w:rPr>
              <w:t xml:space="preserve">2</w:t>
            </w:r>
            <w:r>
              <w:rPr>
                <w:rFonts w:ascii="宋体" w:hAnsi="宋体"/>
                <w:sz w:val="24"/>
                <w:szCs w:val="24"/>
              </w:rPr>
              <w:t xml:space="preserve">59.95</w:t>
            </w:r>
            <w:r>
              <w:rPr>
                <w:rFonts w:hint="eastAsia" w:ascii="宋体" w:hAnsi="宋体"/>
                <w:sz w:val="24"/>
                <w:szCs w:val="24"/>
              </w:rPr>
              <w:t xml:space="preserve">万元</w:t>
            </w:r>
            <w:r>
              <w:rPr>
                <w:rFonts w:ascii="宋体" w:hAnsi="宋体"/>
              </w:rPr>
            </w:r>
            <w:r/>
          </w:p>
        </w:tc>
      </w:tr>
      <w:tr>
        <w:trPr/>
        <w:tc>
          <w:tcPr>
            <w:tcW w:w="1148" w:type="dxa"/>
            <w:vAlign w:val="top"/>
            <w:textDirection w:val="lrTb"/>
            <w:noWrap w:val="false"/>
          </w:tcPr>
          <w:p>
            <w:pPr>
              <w:pStyle w:val="891"/>
              <w:jc w:val="center"/>
              <w:spacing w:line="400" w:lineRule="exact"/>
              <w:rPr>
                <w:rFonts w:hint="eastAsia" w:ascii="宋体" w:hAnsi="宋体"/>
              </w:rPr>
            </w:pPr>
            <w:r>
              <w:rPr>
                <w:rFonts w:ascii="宋体" w:hAnsi="宋体"/>
              </w:rPr>
              <w:t xml:space="preserve">……</w:t>
            </w:r>
            <w:r>
              <w:rPr>
                <w:rFonts w:hint="eastAsia" w:ascii="宋体" w:hAnsi="宋体"/>
              </w:rPr>
            </w:r>
            <w:r/>
          </w:p>
        </w:tc>
        <w:tc>
          <w:tcPr>
            <w:tcW w:w="2800" w:type="dxa"/>
            <w:vAlign w:val="top"/>
            <w:textDirection w:val="lrTb"/>
            <w:noWrap w:val="false"/>
          </w:tcPr>
          <w:p>
            <w:pPr>
              <w:pStyle w:val="891"/>
              <w:spacing w:line="400" w:lineRule="exact"/>
              <w:rPr>
                <w:rFonts w:ascii="宋体" w:hAnsi="宋体"/>
              </w:rPr>
            </w:pPr>
            <w:r>
              <w:rPr>
                <w:rFonts w:ascii="宋体" w:hAnsi="宋体"/>
              </w:rPr>
            </w:r>
            <w:r/>
          </w:p>
        </w:tc>
        <w:tc>
          <w:tcPr>
            <w:tcW w:w="3135" w:type="dxa"/>
            <w:vAlign w:val="top"/>
            <w:textDirection w:val="lrTb"/>
            <w:noWrap w:val="false"/>
          </w:tcPr>
          <w:p>
            <w:pPr>
              <w:pStyle w:val="891"/>
              <w:spacing w:line="400" w:lineRule="exact"/>
              <w:rPr>
                <w:rFonts w:ascii="宋体" w:hAnsi="宋体"/>
              </w:rPr>
            </w:pPr>
            <w:r>
              <w:rPr>
                <w:rFonts w:ascii="宋体" w:hAnsi="宋体"/>
              </w:rPr>
            </w:r>
            <w:r/>
          </w:p>
        </w:tc>
      </w:tr>
    </w:tbl>
    <w:p>
      <w:pPr>
        <w:pStyle w:val="891"/>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按照江苏省预算管理一体化平台总体技术架构，运用一体化技术中台公共服务能力，采用先进的云计算模式，拟开发一体化平台智慧监管系统，包括数据对接规范、资产清查管理、国有企业资产日常管理、盘活利用管理、监督预警管理、基础设置、资产驾驶舱等模块，支撑“5+9”监督体系下的全省国有资产监督管理工作。按照“共建、共享、共用”的原则，在保障数据安全的前提下，建立“标准统一、交换及时、信息完整、安全可控”的数据交换机制，实现财政部门与国资委、自然资源等部门的数据贯通。</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891"/>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合同签订之日起至</w:t>
      </w:r>
      <w:r>
        <w:rPr>
          <w:rFonts w:hint="eastAsia" w:ascii="宋体" w:hAnsi="宋体"/>
          <w:sz w:val="24"/>
          <w:szCs w:val="24"/>
        </w:rPr>
        <w:t xml:space="preserve">按合同要求履约完成</w:t>
      </w:r>
      <w:r>
        <w:rPr>
          <w:rFonts w:hint="eastAsia" w:ascii="宋体" w:hAnsi="宋体"/>
          <w:sz w:val="24"/>
          <w:szCs w:val="24"/>
        </w:rPr>
        <w:t xml:space="preserve">。</w:t>
      </w:r>
      <w:r>
        <w:rPr>
          <w:rFonts w:ascii="宋体" w:hAnsi="宋体"/>
          <w:sz w:val="24"/>
          <w:szCs w:val="24"/>
          <w:u w:val="single"/>
        </w:rPr>
      </w:r>
      <w:r/>
    </w:p>
    <w:p>
      <w:pPr>
        <w:pStyle w:val="894"/>
        <w:ind w:firstLine="498"/>
        <w:spacing w:before="145" w:after="145" w:line="400" w:lineRule="exact"/>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891"/>
        <w:ind w:firstLine="480"/>
        <w:spacing w:line="400" w:lineRule="exact"/>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 2023或2024年度的财务状况报告（成立不满一年无需提供）；</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w:t>
      </w:r>
      <w:r>
        <w:rPr>
          <w:rFonts w:hint="eastAsia" w:ascii="宋体" w:hAnsi="宋体"/>
          <w:sz w:val="24"/>
          <w:szCs w:val="24"/>
        </w:rPr>
        <w:t xml:space="preserve">不存在</w:t>
      </w:r>
      <w:r>
        <w:rPr>
          <w:rFonts w:hint="eastAsia" w:ascii="宋体" w:hAnsi="宋体"/>
          <w:sz w:val="24"/>
          <w:szCs w:val="24"/>
        </w:rPr>
        <w:t xml:space="preserve">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情形</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hint="eastAsia" w:ascii="华文新魏" w:hAnsi="宋体" w:eastAsia="华文新魏"/>
          <w:sz w:val="24"/>
          <w:szCs w:val="24"/>
        </w:rPr>
      </w:r>
      <w:r/>
    </w:p>
    <w:p>
      <w:pPr>
        <w:pStyle w:val="1031"/>
        <w:rPr>
          <w:rFonts w:cs="宋体"/>
        </w:rPr>
      </w:pPr>
      <w:r>
        <w:rPr>
          <w:rFonts w:hint="eastAsia"/>
        </w:rPr>
        <w:t xml:space="preserve">3.落实政府采购政策需满足的资格要求：无</w:t>
      </w:r>
      <w:r>
        <w:rPr>
          <w:rFonts w:cs="宋体"/>
        </w:rPr>
      </w:r>
      <w:r/>
    </w:p>
    <w:p>
      <w:pPr>
        <w:pStyle w:val="891"/>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：本项目不接受联合体投标。</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t xml:space="preserve">：无</w:t>
      </w:r>
      <w:r>
        <w:rPr>
          <w:rFonts w:ascii="宋体" w:hAnsi="宋体"/>
          <w:sz w:val="24"/>
          <w:szCs w:val="24"/>
        </w:rPr>
      </w:r>
      <w:r/>
    </w:p>
    <w:p>
      <w:pPr>
        <w:pStyle w:val="891"/>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891"/>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9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91"/>
        <w:ind w:firstLine="480"/>
        <w:spacing w:line="400" w:lineRule="exact"/>
        <w:rPr>
          <w:rFonts w:hint="eastAsia" w:ascii="宋体" w:hAnsi="宋体" w:cs="宋体"/>
          <w:sz w:val="24"/>
          <w:szCs w:val="24"/>
        </w:rPr>
      </w:pPr>
      <w:r>
        <w:rPr>
          <w:rFonts w:hint="eastAsia" w:ascii="宋体" w:hAnsi="宋体" w:cs="宋体"/>
          <w:sz w:val="24"/>
          <w:szCs w:val="24"/>
        </w:rPr>
      </w:r>
      <w:r/>
    </w:p>
    <w:p>
      <w:pPr>
        <w:pStyle w:val="894"/>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rPr>
        <w:t xml:space="preserve">四</w:t>
      </w:r>
      <w:r>
        <w:rPr>
          <w:rFonts w:hint="eastAsia"/>
        </w:rPr>
        <w:t xml:space="preserve">、提交投标文件</w:t>
      </w:r>
      <w:bookmarkEnd w:id="22"/>
      <w:r/>
      <w:bookmarkEnd w:id="23"/>
      <w:r>
        <w:rPr>
          <w:rFonts w:hint="eastAsia"/>
        </w:rPr>
        <w:t xml:space="preserve">截止时间、开标时间和地点</w:t>
      </w:r>
      <w:bookmarkEnd w:id="24"/>
      <w:r/>
      <w:bookmarkEnd w:id="25"/>
      <w:r/>
      <w:bookmarkEnd w:id="26"/>
      <w:r/>
      <w:r/>
    </w:p>
    <w:p>
      <w:pPr>
        <w:pStyle w:val="891"/>
        <w:ind w:firstLine="480"/>
        <w:spacing w:line="400" w:lineRule="exact"/>
        <w:rPr>
          <w:rFonts w:hint="eastAsia" w:ascii="宋体" w:hAnsi="宋体"/>
          <w:bCs/>
          <w:sz w:val="24"/>
          <w:szCs w:val="24"/>
        </w:rPr>
      </w:pPr>
      <w:r>
        <w:rPr>
          <w:rFonts w:hint="eastAsia" w:ascii="宋体" w:hAnsi="宋体"/>
          <w:bCs/>
          <w:sz w:val="24"/>
          <w:szCs w:val="24"/>
          <w:u w:val="single"/>
        </w:rPr>
        <w:t xml:space="preserve">1.</w:t>
      </w:r>
      <w:r>
        <w:rPr>
          <w:rFonts w:ascii="宋体" w:hAnsi="宋体"/>
          <w:sz w:val="24"/>
          <w:szCs w:val="24"/>
          <w:u w:val="single"/>
        </w:rPr>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3</w:t>
      </w:r>
      <w:r>
        <w:rPr>
          <w:rFonts w:hint="eastAsia" w:ascii="宋体" w:hAnsi="宋体"/>
          <w:bCs/>
          <w:sz w:val="24"/>
          <w:szCs w:val="24"/>
          <w:u w:val="single"/>
        </w:rPr>
        <w:t xml:space="preserve">月</w:t>
      </w:r>
      <w:r>
        <w:rPr>
          <w:rFonts w:hint="eastAsia" w:ascii="宋体" w:hAnsi="宋体"/>
          <w:bCs/>
          <w:sz w:val="24"/>
          <w:szCs w:val="24"/>
          <w:u w:val="single"/>
        </w:rPr>
        <w:t xml:space="preserve">21</w:t>
      </w:r>
      <w:r>
        <w:rPr>
          <w:rFonts w:hint="eastAsia" w:ascii="宋体" w:hAnsi="宋体"/>
          <w:bCs/>
          <w:sz w:val="24"/>
          <w:szCs w:val="24"/>
          <w:u w:val="single"/>
        </w:rPr>
        <w:t xml:space="preserve">日9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
        <w:rPr>
          <w:rFonts w:hint="eastAsia" w:ascii="宋体" w:hAnsi="宋体"/>
          <w:bCs/>
          <w:sz w:val="24"/>
          <w:szCs w:val="24"/>
          <w:u w:val="single"/>
        </w:rPr>
      </w:r>
      <w:r>
        <w:rPr>
          <w:rFonts w:hint="eastAsia" w:ascii="宋体" w:hAnsi="宋体"/>
          <w:bCs/>
          <w:sz w:val="24"/>
          <w:szCs w:val="24"/>
        </w:rPr>
        <w:t xml:space="preserve">（北京时间）</w:t>
      </w:r>
      <w:r>
        <w:rPr>
          <w:rFonts w:hint="eastAsia" w:ascii="宋体" w:hAnsi="宋体"/>
          <w:bCs/>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2.地点：</w:t>
      </w:r>
      <w:r>
        <w:rPr>
          <w:rFonts w:hint="eastAsia" w:ascii="宋体" w:hAnsi="宋体"/>
          <w:sz w:val="24"/>
          <w:szCs w:val="24"/>
        </w:rPr>
        <w:t xml:space="preserve">“苏采云”政府采购交易系统</w:t>
      </w:r>
      <w:r>
        <w:rPr>
          <w:rFonts w:hint="eastAsia" w:ascii="宋体" w:hAnsi="宋体"/>
          <w:sz w:val="24"/>
          <w:szCs w:val="24"/>
        </w:rPr>
        <w:t xml:space="preserve">。</w:t>
      </w:r>
      <w:r>
        <w:rPr>
          <w:rFonts w:ascii="宋体" w:hAnsi="宋体"/>
          <w:sz w:val="24"/>
          <w:szCs w:val="24"/>
        </w:rPr>
      </w:r>
      <w:r/>
    </w:p>
    <w:p>
      <w:pPr>
        <w:pStyle w:val="891"/>
        <w:ind w:firstLine="498"/>
        <w:keepLines/>
        <w:keepNext/>
        <w:spacing w:before="145" w:after="145" w:line="360" w:lineRule="auto"/>
        <w:rPr>
          <w:b/>
          <w:bCs/>
          <w:sz w:val="32"/>
          <w:szCs w:val="32"/>
        </w:rPr>
        <w:outlineLvl w:val="2"/>
      </w:pPr>
      <w:r/>
      <w:bookmarkStart w:id="27" w:name="_Toc35393625"/>
      <w:r/>
      <w:bookmarkStart w:id="28" w:name="_Toc28359084"/>
      <w:r/>
      <w:bookmarkStart w:id="29" w:name="_Toc28359007"/>
      <w:r/>
      <w:bookmarkStart w:id="30" w:name="_Toc35393794"/>
      <w:r/>
      <w:bookmarkStart w:id="31" w:name="_Toc38985267"/>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891"/>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894"/>
        <w:ind w:firstLine="498"/>
        <w:spacing w:before="145" w:after="145" w:line="400" w:lineRule="exact"/>
      </w:pPr>
      <w:r/>
      <w:bookmarkStart w:id="32" w:name="_Toc35393626"/>
      <w:r/>
      <w:bookmarkStart w:id="33" w:name="_Toc35393795"/>
      <w:r/>
      <w:bookmarkStart w:id="34" w:name="_Toc38985268"/>
      <w:r>
        <w:rPr>
          <w:rFonts w:hint="eastAsia"/>
        </w:rPr>
        <w:t xml:space="preserve">六</w:t>
      </w:r>
      <w:r>
        <w:rPr>
          <w:rFonts w:hint="eastAsia"/>
        </w:rPr>
        <w:t xml:space="preserve">、其他补充事宜</w:t>
      </w:r>
      <w:bookmarkEnd w:id="32"/>
      <w:r/>
      <w:bookmarkEnd w:id="33"/>
      <w:r/>
      <w:bookmarkEnd w:id="34"/>
      <w:r/>
      <w:r/>
    </w:p>
    <w:p>
      <w:pPr>
        <w:pStyle w:val="891"/>
        <w:ind w:firstLine="480"/>
        <w:spacing w:line="400" w:lineRule="exact"/>
        <w:rPr>
          <w:rFonts w:ascii="宋体" w:hAnsi="宋体" w:cs="宋体"/>
          <w:sz w:val="24"/>
          <w:szCs w:val="24"/>
        </w:rPr>
      </w:pPr>
      <w:r>
        <w:rPr>
          <w:rFonts w:hint="eastAsia" w:ascii="宋体" w:hAnsi="宋体" w:cs="宋体"/>
          <w:sz w:val="24"/>
          <w:szCs w:val="24"/>
        </w:rPr>
        <w:t xml:space="preserve">    无</w:t>
      </w:r>
      <w:r>
        <w:rPr>
          <w:rFonts w:ascii="宋体" w:hAnsi="宋体" w:cs="宋体"/>
          <w:sz w:val="24"/>
          <w:szCs w:val="24"/>
        </w:rPr>
      </w:r>
      <w:r/>
    </w:p>
    <w:p>
      <w:pPr>
        <w:pStyle w:val="894"/>
        <w:ind w:firstLine="498"/>
        <w:spacing w:before="145" w:after="145" w:line="400" w:lineRule="exact"/>
      </w:pPr>
      <w:r/>
      <w:bookmarkStart w:id="35" w:name="_Toc28359008"/>
      <w:r/>
      <w:bookmarkStart w:id="36" w:name="_Toc35393627"/>
      <w:r/>
      <w:bookmarkStart w:id="37" w:name="_Toc35393796"/>
      <w:r/>
      <w:bookmarkStart w:id="38" w:name="_Toc38985269"/>
      <w:r/>
      <w:bookmarkStart w:id="39" w:name="_Toc28359085"/>
      <w:r>
        <w:rPr>
          <w:rFonts w:hint="eastAsia"/>
        </w:rPr>
        <w:t xml:space="preserve">七</w:t>
      </w:r>
      <w:r>
        <w:rPr>
          <w:rFonts w:hint="eastAsia"/>
        </w:rPr>
        <w:t xml:space="preserve">、本次招标联系方式</w:t>
      </w:r>
      <w:bookmarkEnd w:id="35"/>
      <w:r/>
      <w:bookmarkEnd w:id="36"/>
      <w:r/>
      <w:bookmarkEnd w:id="37"/>
      <w:r/>
      <w:bookmarkEnd w:id="38"/>
      <w:r/>
      <w:bookmarkEnd w:id="39"/>
      <w:r/>
      <w:r/>
    </w:p>
    <w:p>
      <w:pPr>
        <w:pStyle w:val="89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江苏省财政厅财政信息管理中心</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南京市北京西路63号</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夏玮</w:t>
      </w:r>
      <w:r>
        <w:rPr>
          <w:rFonts w:hint="eastAsia" w:ascii="宋体" w:hAnsi="宋体"/>
          <w:sz w:val="24"/>
          <w:szCs w:val="24"/>
          <w:u w:val="single"/>
        </w:rPr>
        <w:t xml:space="preserve">                      </w:t>
      </w:r>
      <w:r>
        <w:rPr>
          <w:rFonts w:ascii="宋体" w:hAnsi="宋体"/>
          <w:sz w:val="24"/>
          <w:szCs w:val="24"/>
        </w:rPr>
      </w:r>
      <w:r/>
    </w:p>
    <w:p>
      <w:pPr>
        <w:pStyle w:val="891"/>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w:t>
      </w:r>
      <w:r>
        <w:rPr>
          <w:rFonts w:ascii="宋体" w:hAnsi="宋体"/>
          <w:sz w:val="24"/>
          <w:szCs w:val="24"/>
          <w:u w:val="single"/>
        </w:rPr>
        <w:t xml:space="preserve">25-83633360</w:t>
      </w:r>
      <w:bookmarkStart w:id="40" w:name="_Toc28359009"/>
      <w:r/>
      <w:bookmarkStart w:id="41" w:name="_Toc28359086"/>
      <w:r>
        <w:rPr>
          <w:rFonts w:hint="eastAsia" w:ascii="宋体" w:hAnsi="宋体"/>
          <w:sz w:val="24"/>
          <w:szCs w:val="24"/>
          <w:u w:val="single"/>
        </w:rPr>
      </w:r>
      <w:r/>
    </w:p>
    <w:p>
      <w:pPr>
        <w:pStyle w:val="89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91"/>
        <w:ind w:left="1079" w:hanging="300"/>
        <w:jc w:val="left"/>
        <w:spacing w:line="400" w:lineRule="exact"/>
        <w:rPr>
          <w:rFonts w:hint="eastAsia"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　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pStyle w:val="891"/>
        <w:ind w:left="1079" w:hanging="300"/>
        <w:jc w:val="left"/>
        <w:spacing w:line="400" w:lineRule="exact"/>
        <w:rPr>
          <w:rFonts w:hint="eastAsia" w:ascii="宋体" w:cs="宋体"/>
          <w:sz w:val="24"/>
          <w:szCs w:val="24"/>
          <w:u w:val="single"/>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u w:val="single"/>
          <w:lang w:val="zh-CN"/>
        </w:rPr>
        <w:t xml:space="preserve">乔秀善</w:t>
      </w:r>
      <w:r>
        <w:rPr>
          <w:rFonts w:ascii="宋体" w:cs="宋体"/>
          <w:sz w:val="24"/>
          <w:szCs w:val="24"/>
          <w:u w:val="single"/>
          <w:lang w:val="zh-CN"/>
        </w:rPr>
        <w:t xml:space="preserve">              </w:t>
      </w:r>
      <w:r>
        <w:rPr>
          <w:rFonts w:hint="eastAsia" w:ascii="宋体" w:cs="宋体"/>
          <w:sz w:val="24"/>
          <w:szCs w:val="24"/>
          <w:u w:val="single"/>
          <w:lang w:val="zh-CN"/>
        </w:rPr>
      </w:r>
      <w:r/>
    </w:p>
    <w:p>
      <w:pPr>
        <w:pStyle w:val="891"/>
        <w:ind w:left="1079" w:hanging="300"/>
        <w:jc w:val="left"/>
        <w:spacing w:line="400" w:lineRule="exact"/>
      </w:pPr>
      <w:r>
        <w:rPr>
          <w:rFonts w:hint="eastAsia" w:ascii="宋体" w:cs="宋体"/>
          <w:sz w:val="24"/>
          <w:szCs w:val="24"/>
          <w:lang w:val="zh-CN"/>
        </w:rPr>
        <w:t xml:space="preserve">联系方式：</w:t>
      </w:r>
      <w:r>
        <w:rPr>
          <w:rFonts w:hint="eastAsia" w:ascii="宋体" w:cs="宋体"/>
          <w:sz w:val="24"/>
          <w:szCs w:val="24"/>
          <w:u w:val="single"/>
          <w:lang w:val="zh-CN"/>
        </w:rPr>
        <w:t xml:space="preserve">　025-83668530　　　</w:t>
      </w:r>
      <w:r/>
    </w:p>
    <w:p>
      <w:pPr>
        <w:pStyle w:val="894"/>
        <w:ind w:firstLine="498"/>
        <w:spacing w:before="145" w:after="145" w:line="400" w:lineRule="exact"/>
      </w:pPr>
      <w:r>
        <w:rPr>
          <w:rFonts w:hint="eastAsia"/>
        </w:rPr>
        <w:t xml:space="preserve">八</w:t>
      </w:r>
      <w:r>
        <w:rPr>
          <w:rFonts w:hint="eastAsia"/>
        </w:rPr>
        <w:t xml:space="preserve">、其他</w:t>
      </w:r>
      <w:r/>
    </w:p>
    <w:p>
      <w:pPr>
        <w:pStyle w:val="891"/>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66"/>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891"/>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sz w:val="24"/>
          <w:szCs w:val="24"/>
        </w:rPr>
        <w:t xml:space="preserve">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9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89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9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9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3"/>
        <w:ind w:firstLine="2429"/>
        <w:jc w:val="both"/>
        <w:spacing w:line="400" w:lineRule="exact"/>
        <w:rPr>
          <w:rFonts w:hint="eastAsia" w:ascii="黑体" w:eastAsia="黑体"/>
          <w:b w:val="0"/>
          <w:bCs w:val="0"/>
        </w:rPr>
      </w:pPr>
      <w:r/>
      <w:bookmarkStart w:id="42" w:name="_Toc120614211"/>
      <w:r>
        <w:rPr>
          <w:rFonts w:hint="eastAsia" w:ascii="黑体" w:eastAsia="黑体"/>
        </w:rPr>
        <w:t xml:space="preserve">第二章  </w:t>
      </w:r>
      <w:bookmarkEnd w:id="0"/>
      <w:r/>
      <w:bookmarkEnd w:id="1"/>
      <w:r/>
      <w:bookmarkEnd w:id="2"/>
      <w:r/>
      <w:bookmarkEnd w:id="3"/>
      <w:r/>
      <w:bookmarkEnd w:id="4"/>
      <w:r/>
      <w:bookmarkEnd w:id="42"/>
      <w:r/>
      <w:bookmarkStart w:id="43" w:name="_Toc16938518"/>
      <w:r/>
      <w:bookmarkStart w:id="44" w:name="_Toc513029202"/>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894"/>
        <w:ind w:firstLine="498"/>
        <w:spacing w:before="145" w:after="145" w:line="400" w:lineRule="exact"/>
        <w:rPr>
          <w:rFonts w:hint="eastAsia"/>
        </w:rPr>
      </w:pPr>
      <w:r/>
      <w:bookmarkStart w:id="47" w:name="_Toc20823275"/>
      <w:r/>
      <w:bookmarkStart w:id="48" w:name="_Toc16938519"/>
      <w:r/>
      <w:bookmarkStart w:id="49" w:name="_Toc513029203"/>
      <w:r/>
      <w:bookmarkStart w:id="50" w:name="_Toc120614214"/>
      <w:r>
        <w:rPr>
          <w:rFonts w:hint="eastAsia"/>
        </w:rPr>
        <w:t xml:space="preserve">一、总则</w:t>
      </w:r>
      <w:bookmarkEnd w:id="47"/>
      <w:r/>
      <w:bookmarkEnd w:id="48"/>
      <w:r/>
      <w:bookmarkEnd w:id="49"/>
      <w:r/>
      <w:bookmarkEnd w:id="50"/>
      <w:r>
        <w:rPr>
          <w:rFonts w:hint="eastAsia"/>
        </w:rPr>
      </w:r>
      <w:r/>
    </w:p>
    <w:p>
      <w:pPr>
        <w:pStyle w:val="895"/>
        <w:ind w:firstLine="420"/>
        <w:spacing w:before="0" w:after="0" w:line="400" w:lineRule="exact"/>
        <w:rPr>
          <w:rFonts w:hint="eastAsia"/>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5"/>
        <w:ind w:firstLine="420"/>
        <w:spacing w:before="0" w:after="0" w:line="400" w:lineRule="exact"/>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5"/>
        <w:ind w:firstLine="420"/>
        <w:spacing w:before="0" w:after="0" w:line="400" w:lineRule="exact"/>
        <w:rPr>
          <w:rFonts w:hint="eastAsia"/>
          <w:b w:val="0"/>
          <w:bCs w:val="0"/>
        </w:rPr>
      </w:pPr>
      <w:r/>
      <w:bookmarkStart w:id="59" w:name="_Toc20823278"/>
      <w:r/>
      <w:bookmarkStart w:id="60" w:name="_Toc513029206"/>
      <w:r/>
      <w:bookmarkStart w:id="61" w:name="_Toc16938522"/>
      <w:r>
        <w:rPr>
          <w:rFonts w:hint="eastAsia"/>
          <w:b w:val="0"/>
          <w:bCs w:val="0"/>
        </w:rPr>
        <w:t xml:space="preserve">3、适用法律</w:t>
      </w:r>
      <w:bookmarkEnd w:id="59"/>
      <w:r/>
      <w:bookmarkEnd w:id="60"/>
      <w:r/>
      <w:bookmarkEnd w:id="61"/>
      <w:r>
        <w:rPr>
          <w:rFonts w:hint="eastAsia"/>
          <w:b w:val="0"/>
          <w:bCs w:val="0"/>
        </w:rPr>
      </w:r>
      <w:r/>
    </w:p>
    <w:p>
      <w:pPr>
        <w:pStyle w:val="89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Start w:id="62" w:name="_Toc513029207"/>
      <w:r/>
      <w:bookmarkStart w:id="63" w:name="_Toc462564067"/>
      <w:r/>
      <w:bookmarkStart w:id="64" w:name="_Toc20823279"/>
      <w:r/>
      <w:bookmarkStart w:id="65" w:name="_Toc16938523"/>
      <w:r>
        <w:rPr>
          <w:rFonts w:hint="eastAsia"/>
          <w:b w:val="0"/>
          <w:bCs w:val="0"/>
        </w:rPr>
        <w:t xml:space="preserve">4、投标费用</w:t>
      </w:r>
      <w:bookmarkEnd w:id="62"/>
      <w:r/>
      <w:bookmarkEnd w:id="63"/>
      <w:r/>
      <w:bookmarkEnd w:id="64"/>
      <w:r/>
      <w:bookmarkEnd w:id="65"/>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9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4"/>
        <w:ind w:firstLine="321"/>
        <w:spacing w:before="145" w:after="145" w:line="400" w:lineRule="exact"/>
        <w:rPr>
          <w:rFonts w:hint="eastAsia"/>
        </w:rPr>
      </w:pPr>
      <w:r/>
      <w:bookmarkStart w:id="66" w:name="_Toc513029209"/>
      <w:r/>
      <w:bookmarkStart w:id="67" w:name="_Toc16938525"/>
      <w:r/>
      <w:bookmarkStart w:id="68" w:name="_Toc120614215"/>
      <w:r/>
      <w:bookmarkStart w:id="69" w:name="_Toc20823281"/>
      <w:r>
        <w:rPr>
          <w:rFonts w:hint="eastAsia"/>
        </w:rPr>
        <w:t xml:space="preserve">二、招标文件</w:t>
      </w:r>
      <w:bookmarkEnd w:id="66"/>
      <w:r/>
      <w:bookmarkEnd w:id="67"/>
      <w:r/>
      <w:bookmarkEnd w:id="68"/>
      <w:r/>
      <w:bookmarkEnd w:id="69"/>
      <w:r>
        <w:rPr>
          <w:rFonts w:hint="eastAsia"/>
        </w:rPr>
      </w:r>
      <w:r/>
    </w:p>
    <w:p>
      <w:pPr>
        <w:pStyle w:val="895"/>
        <w:ind w:firstLine="420"/>
        <w:spacing w:before="0" w:after="0" w:line="400" w:lineRule="exact"/>
        <w:rPr>
          <w:rFonts w:hint="eastAsia"/>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9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9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9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9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560"/>
        <w:spacing w:before="0" w:after="0" w:line="400" w:lineRule="exact"/>
        <w:rPr>
          <w:rFonts w:hint="eastAsia"/>
          <w:b w:val="0"/>
          <w:bCs w:val="0"/>
        </w:rPr>
      </w:pPr>
      <w:r/>
      <w:bookmarkStart w:id="73" w:name="_Toc16938528"/>
      <w:r/>
      <w:bookmarkStart w:id="74" w:name="_Toc513029212"/>
      <w:r/>
      <w:bookmarkStart w:id="75" w:name="_Toc20823284"/>
      <w:r/>
      <w:bookmarkStart w:id="76" w:name="_Toc462564071"/>
      <w:r>
        <w:rPr>
          <w:b w:val="0"/>
          <w:bCs w:val="0"/>
        </w:rPr>
        <w:t xml:space="preserve">7</w:t>
      </w:r>
      <w:r>
        <w:rPr>
          <w:rFonts w:hint="eastAsia"/>
          <w:b w:val="0"/>
          <w:bCs w:val="0"/>
        </w:rPr>
        <w:t xml:space="preserve">、招标文件的修改</w:t>
      </w:r>
      <w:bookmarkEnd w:id="73"/>
      <w:r/>
      <w:bookmarkEnd w:id="74"/>
      <w:r/>
      <w:bookmarkEnd w:id="75"/>
      <w:r/>
      <w:bookmarkEnd w:id="76"/>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91"/>
        <w:ind w:firstLine="480"/>
        <w:spacing w:line="400" w:lineRule="exact"/>
        <w:rPr>
          <w:rFonts w:hint="eastAsia" w:ascii="宋体" w:hAnsi="Arial"/>
          <w:sz w:val="28"/>
        </w:rPr>
      </w:pPr>
      <w:r>
        <w:rPr>
          <w:rFonts w:hint="eastAsia"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1"/>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4"/>
        <w:ind w:firstLine="482"/>
        <w:spacing w:before="145" w:after="145" w:line="400" w:lineRule="exact"/>
        <w:rPr>
          <w:rFonts w:hint="eastAsia"/>
        </w:rPr>
      </w:pPr>
      <w:r/>
      <w:bookmarkStart w:id="77" w:name="_Toc20823285"/>
      <w:r/>
      <w:bookmarkStart w:id="78" w:name="_Toc120614216"/>
      <w:r/>
      <w:bookmarkStart w:id="79" w:name="_Toc16938529"/>
      <w:r/>
      <w:bookmarkStart w:id="80" w:name="_Toc513029213"/>
      <w:r/>
      <w:bookmarkStart w:id="81" w:name="_Toc462564072"/>
      <w:r>
        <w:rPr>
          <w:rFonts w:hint="eastAsia"/>
        </w:rPr>
        <w:t xml:space="preserve">三、投标文件的编制</w:t>
      </w:r>
      <w:bookmarkEnd w:id="77"/>
      <w:r/>
      <w:bookmarkEnd w:id="78"/>
      <w:r/>
      <w:bookmarkEnd w:id="79"/>
      <w:r/>
      <w:bookmarkEnd w:id="80"/>
      <w:r/>
      <w:bookmarkEnd w:id="81"/>
      <w:r>
        <w:rPr>
          <w:rFonts w:hint="eastAsia"/>
        </w:rPr>
      </w:r>
      <w:r/>
    </w:p>
    <w:p>
      <w:pPr>
        <w:pStyle w:val="895"/>
        <w:ind w:firstLine="560"/>
        <w:spacing w:before="0" w:after="0" w:line="400" w:lineRule="exact"/>
        <w:rPr>
          <w:rFonts w:hint="eastAsia"/>
          <w:bCs w:val="0"/>
        </w:rPr>
      </w:pPr>
      <w:r/>
      <w:bookmarkStart w:id="82" w:name="_Toc462564073"/>
      <w:r/>
      <w:bookmarkStart w:id="83" w:name="_Toc16938530"/>
      <w:r/>
      <w:bookmarkStart w:id="84" w:name="_Toc513029214"/>
      <w:r/>
      <w:bookmarkStart w:id="85" w:name="_Toc20823286"/>
      <w:r>
        <w:rPr>
          <w:b w:val="0"/>
          <w:bCs w:val="0"/>
        </w:rPr>
        <w:t xml:space="preserve">8</w:t>
      </w:r>
      <w:r>
        <w:rPr>
          <w:rFonts w:hint="eastAsia"/>
          <w:b w:val="0"/>
          <w:bCs w:val="0"/>
        </w:rPr>
        <w:t xml:space="preserve">、投标文件的语言及度量衡单位</w:t>
      </w:r>
      <w:bookmarkEnd w:id="82"/>
      <w:r/>
      <w:bookmarkEnd w:id="83"/>
      <w:r/>
      <w:bookmarkEnd w:id="84"/>
      <w:r/>
      <w:bookmarkEnd w:id="85"/>
      <w:r>
        <w:rPr>
          <w:rFonts w:hint="eastAsia"/>
          <w:bCs w:val="0"/>
        </w:rPr>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5"/>
        <w:ind w:firstLine="420"/>
        <w:spacing w:before="0" w:after="0" w:line="400" w:lineRule="exact"/>
        <w:rPr>
          <w:rFonts w:hint="eastAsia"/>
          <w:b w:val="0"/>
          <w:bCs w:val="0"/>
        </w:rPr>
      </w:pPr>
      <w:r/>
      <w:bookmarkStart w:id="86" w:name="_Toc462564074"/>
      <w:r/>
      <w:bookmarkStart w:id="87" w:name="_Toc513029215"/>
      <w:r/>
      <w:bookmarkStart w:id="88" w:name="_Toc16938531"/>
      <w:r/>
      <w:bookmarkStart w:id="89" w:name="_Toc20823287"/>
      <w:r>
        <w:rPr>
          <w:b w:val="0"/>
          <w:bCs w:val="0"/>
        </w:rPr>
        <w:t xml:space="preserve">9</w:t>
      </w:r>
      <w:r>
        <w:rPr>
          <w:rFonts w:hint="eastAsia"/>
          <w:b w:val="0"/>
          <w:bCs w:val="0"/>
        </w:rPr>
        <w:t xml:space="preserve">、投标文件构成</w:t>
      </w:r>
      <w:bookmarkEnd w:id="86"/>
      <w:r/>
      <w:bookmarkEnd w:id="87"/>
      <w:r/>
      <w:bookmarkEnd w:id="88"/>
      <w:r/>
      <w:bookmarkEnd w:id="89"/>
      <w:r>
        <w:rPr>
          <w:rFonts w:hint="eastAsia"/>
          <w:b w:val="0"/>
          <w:bCs w:val="0"/>
        </w:rPr>
      </w:r>
      <w:r/>
    </w:p>
    <w:p>
      <w:pPr>
        <w:pStyle w:val="89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投标分项报价表、技术要求响应及偏离表、商务要求响应及偏离表、其他证明文件、投标函、开标一览表等部分。</w:t>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5"/>
        <w:ind w:firstLine="420"/>
        <w:spacing w:before="0" w:after="0" w:line="400" w:lineRule="exact"/>
        <w:rPr>
          <w:rFonts w:hint="eastAsia"/>
          <w:b w:val="0"/>
          <w:bCs w:val="0"/>
        </w:rPr>
      </w:pPr>
      <w:r/>
      <w:bookmarkStart w:id="90" w:name="_Hlt26668975"/>
      <w:r/>
      <w:bookmarkEnd w:id="90"/>
      <w:r/>
      <w:bookmarkStart w:id="91" w:name="_Hlt26954838"/>
      <w:r/>
      <w:bookmarkEnd w:id="91"/>
      <w:r/>
      <w:bookmarkStart w:id="92" w:name="_Hlt26670360"/>
      <w:r/>
      <w:bookmarkEnd w:id="92"/>
      <w:r/>
      <w:bookmarkStart w:id="93" w:name="_Toc49090509"/>
      <w:r/>
      <w:bookmarkStart w:id="94" w:name="_Toc14577357"/>
      <w:r/>
      <w:bookmarkStart w:id="95" w:name="_Toc513029219"/>
      <w:r/>
      <w:bookmarkStart w:id="96" w:name="_Toc513029216"/>
      <w:r/>
      <w:bookmarkStart w:id="97" w:name="_Toc14577354"/>
      <w:r/>
      <w:bookmarkStart w:id="98"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rPr>
          <w:rFonts w:hint="eastAsia"/>
          <w:b w:val="0"/>
          <w:bCs w:val="0"/>
        </w:rPr>
      </w:r>
      <w:r/>
    </w:p>
    <w:p>
      <w:pPr>
        <w:pStyle w:val="891"/>
        <w:spacing w:line="400" w:lineRule="exact"/>
        <w:rPr>
          <w:rFonts w:hint="eastAsia" w:ascii="宋体" w:hAnsi="宋体"/>
          <w:sz w:val="24"/>
          <w:szCs w:val="24"/>
        </w:rPr>
      </w:pPr>
      <w:r/>
      <w:bookmarkEnd w:id="96"/>
      <w:r/>
      <w:bookmarkEnd w:id="97"/>
      <w:r/>
      <w:bookmarkEnd w:id="98"/>
      <w:r/>
      <w:bookmarkStart w:id="99" w:name="_Toc14577355"/>
      <w:r/>
      <w:bookmarkStart w:id="100"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1" w:name="_Hlt26670373"/>
      <w:r/>
      <w:bookmarkEnd w:id="101"/>
      <w:r>
        <w:rPr>
          <w:rFonts w:hint="eastAsia"/>
          <w:b w:val="0"/>
          <w:bCs w:val="0"/>
        </w:rPr>
        <w:t xml:space="preserve">表</w:t>
      </w:r>
      <w:bookmarkEnd w:id="100"/>
      <w:r>
        <w:rPr>
          <w:rFonts w:hint="eastAsia"/>
          <w:b w:val="0"/>
          <w:bCs w:val="0"/>
        </w:rPr>
      </w:r>
      <w:r/>
    </w:p>
    <w:p>
      <w:pPr>
        <w:pStyle w:val="89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0"/>
        <w:spacing w:before="0" w:after="0" w:line="400" w:lineRule="exact"/>
        <w:rPr>
          <w:rFonts w:hint="eastAsia"/>
          <w:b w:val="0"/>
          <w:bCs w:val="0"/>
        </w:rPr>
      </w:pPr>
      <w:r/>
      <w:bookmarkStart w:id="104" w:name="_Hlt26954731"/>
      <w:r/>
      <w:bookmarkEnd w:id="104"/>
      <w:r/>
      <w:bookmarkStart w:id="105" w:name="_Hlt26670403"/>
      <w:r/>
      <w:bookmarkEnd w:id="105"/>
      <w:r/>
      <w:bookmarkStart w:id="106" w:name="_Hlt26668983"/>
      <w:r/>
      <w:bookmarkEnd w:id="106"/>
      <w:r/>
      <w:bookmarkStart w:id="107" w:name="_Hlt26670425"/>
      <w:r/>
      <w:bookmarkEnd w:id="107"/>
      <w:r/>
      <w:bookmarkStart w:id="108" w:name="_Hlt26954842"/>
      <w:r/>
      <w:bookmarkEnd w:id="108"/>
      <w:r/>
      <w:bookmarkStart w:id="109" w:name="_Hlt26670482"/>
      <w:r/>
      <w:bookmarkEnd w:id="109"/>
      <w:r/>
      <w:bookmarkStart w:id="110" w:name="_Hlt26954846"/>
      <w:r/>
      <w:bookmarkEnd w:id="110"/>
      <w:r/>
      <w:bookmarkStart w:id="111" w:name="_Hlt26670486"/>
      <w:r/>
      <w:bookmarkEnd w:id="111"/>
      <w:r/>
      <w:bookmarkStart w:id="112" w:name="_Hlt26954848"/>
      <w:r/>
      <w:bookmarkEnd w:id="112"/>
      <w:r/>
      <w:bookmarkStart w:id="113" w:name="_Hlt26954844"/>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91"/>
        <w:ind w:firstLine="480"/>
        <w:spacing w:line="400" w:lineRule="exact"/>
        <w:rPr>
          <w:rFonts w:hint="eastAsia" w:ascii="宋体" w:hAnsi="Arial" w:cs="宋体"/>
          <w:sz w:val="24"/>
          <w:lang w:val="zh-CN"/>
        </w:rPr>
      </w:pPr>
      <w:r>
        <w:rPr>
          <w:rFonts w:ascii="宋体" w:hAnsi="Arial" w:cs="宋体"/>
          <w:bCs/>
          <w:sz w:val="24"/>
          <w:lang w:val="zh-CN"/>
        </w:rPr>
        <w:t xml:space="preserve">1</w:t>
      </w:r>
      <w:r>
        <w:rPr>
          <w:rFonts w:ascii="宋体" w:hAnsi="Arial" w:cs="宋体"/>
          <w:bCs/>
          <w:sz w:val="24"/>
          <w:lang w:val="zh-CN"/>
        </w:rPr>
        <w:t xml:space="preserve">2</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91"/>
        <w:ind w:firstLine="480"/>
        <w:spacing w:line="400" w:lineRule="exact"/>
        <w:rPr>
          <w:rFonts w:hint="eastAsia" w:ascii="宋体" w:hAnsi="Arial" w:cs="宋体"/>
          <w:sz w:val="24"/>
          <w:lang w:val="zh-CN"/>
        </w:rPr>
      </w:pPr>
      <w:r/>
      <w:bookmarkStart w:id="114" w:name="_Toc14577359"/>
      <w:r/>
      <w:bookmarkStart w:id="115"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End w:id="114"/>
      <w:r/>
      <w:bookmarkEnd w:id="115"/>
      <w:r/>
      <w:bookmarkStart w:id="116" w:name="_Hlt26670489"/>
      <w:r/>
      <w:bookmarkEnd w:id="116"/>
      <w:r/>
      <w:bookmarkStart w:id="117" w:name="_Hlt26954850"/>
      <w:r/>
      <w:bookmarkEnd w:id="117"/>
      <w:r/>
      <w:bookmarkStart w:id="118" w:name="_Hlt26954734"/>
      <w:r/>
      <w:bookmarkEnd w:id="118"/>
      <w:r/>
      <w:bookmarkStart w:id="119" w:name="_Toc49090511"/>
      <w:r/>
      <w:bookmarkStart w:id="120" w:name="_Toc14577360"/>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4"/>
        <w:ind w:firstLine="482"/>
        <w:spacing w:before="145" w:after="145" w:line="400" w:lineRule="exact"/>
        <w:rPr>
          <w:rFonts w:hint="eastAsia"/>
        </w:rPr>
      </w:pPr>
      <w:r/>
      <w:bookmarkStart w:id="121" w:name="_Hlt26954852"/>
      <w:r/>
      <w:bookmarkEnd w:id="121"/>
      <w:r/>
      <w:bookmarkStart w:id="122" w:name="_Hlt26954739"/>
      <w:r/>
      <w:bookmarkEnd w:id="122"/>
      <w:r/>
      <w:bookmarkStart w:id="123" w:name="_Toc513029224"/>
      <w:r/>
      <w:bookmarkStart w:id="124" w:name="_Toc20823296"/>
      <w:r/>
      <w:bookmarkStart w:id="125" w:name="_Toc120614217"/>
      <w:r/>
      <w:bookmarkStart w:id="126" w:name="_Toc16938540"/>
      <w:r>
        <w:rPr>
          <w:rFonts w:hint="eastAsia"/>
        </w:rPr>
        <w:t xml:space="preserve">四、投标文件的递交</w:t>
      </w:r>
      <w:bookmarkEnd w:id="123"/>
      <w:r/>
      <w:bookmarkEnd w:id="124"/>
      <w:r/>
      <w:bookmarkEnd w:id="125"/>
      <w:r/>
      <w:bookmarkEnd w:id="126"/>
      <w:r>
        <w:rPr>
          <w:rFonts w:hint="eastAsia"/>
        </w:rPr>
      </w:r>
      <w:r/>
    </w:p>
    <w:p>
      <w:pPr>
        <w:pStyle w:val="895"/>
        <w:ind w:firstLine="560"/>
        <w:spacing w:before="0" w:after="0" w:line="400" w:lineRule="exact"/>
        <w:rPr>
          <w:rFonts w:hint="eastAsia" w:ascii="黑体"/>
          <w:b w:val="0"/>
          <w:bCs w:val="0"/>
        </w:rPr>
      </w:pPr>
      <w:r/>
      <w:bookmarkStart w:id="127" w:name="_Toc20823297"/>
      <w:r/>
      <w:bookmarkStart w:id="128" w:name="_Toc16938541"/>
      <w:r/>
      <w:bookmarkStart w:id="129" w:name="_Toc462564084"/>
      <w:r/>
      <w:bookmarkStart w:id="130"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513029226"/>
      <w:r/>
      <w:bookmarkStart w:id="132" w:name="_Toc20823298"/>
      <w:r/>
      <w:bookmarkStart w:id="133" w:name="_Toc16938542"/>
      <w:r>
        <w:rPr>
          <w:rFonts w:hint="eastAsia" w:ascii="宋体" w:hAnsi="宋体"/>
          <w:bCs/>
          <w:sz w:val="24"/>
        </w:rPr>
      </w:r>
      <w:r/>
    </w:p>
    <w:p>
      <w:pPr>
        <w:pStyle w:val="89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pStyle w:val="89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w:t>
      </w:r>
      <w:r>
        <w:rPr>
          <w:rFonts w:hint="eastAsia" w:ascii="宋体" w:hAnsi="宋体"/>
          <w:bCs/>
          <w:sz w:val="24"/>
        </w:rPr>
        <w:t xml:space="preserve">1.2条规定做无效投标处理。</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5"/>
        <w:ind w:firstLine="420"/>
        <w:spacing w:before="0" w:after="0" w:line="400" w:lineRule="exact"/>
        <w:rPr>
          <w:rFonts w:hint="eastAsia"/>
          <w:b w:val="0"/>
          <w:bCs w:val="0"/>
        </w:rPr>
      </w:pPr>
      <w:r/>
      <w:bookmarkStart w:id="134" w:name="_Toc20823299"/>
      <w:r/>
      <w:bookmarkStart w:id="135" w:name="_Toc513029227"/>
      <w:r/>
      <w:bookmarkStart w:id="136" w:name="_Toc16938543"/>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5"/>
        <w:ind w:firstLine="420"/>
        <w:spacing w:before="0" w:after="0" w:line="400" w:lineRule="exact"/>
        <w:rPr>
          <w:rFonts w:hint="eastAsia"/>
          <w:b w:val="0"/>
          <w:bCs w:val="0"/>
        </w:rPr>
      </w:pPr>
      <w:r/>
      <w:bookmarkStart w:id="137" w:name="_Toc20823300"/>
      <w:r/>
      <w:bookmarkStart w:id="138" w:name="_Toc16938544"/>
      <w:r/>
      <w:bookmarkStart w:id="139" w:name="_Toc513029228"/>
      <w:r>
        <w:rPr>
          <w:b w:val="0"/>
          <w:bCs w:val="0"/>
        </w:rPr>
        <w:t xml:space="preserve">19</w:t>
      </w:r>
      <w:r>
        <w:rPr>
          <w:rFonts w:hint="eastAsia"/>
          <w:b w:val="0"/>
          <w:bCs w:val="0"/>
        </w:rPr>
        <w:t xml:space="preserve">、投标文件的撤回和修改</w:t>
      </w:r>
      <w:bookmarkEnd w:id="137"/>
      <w:r/>
      <w:bookmarkEnd w:id="138"/>
      <w:r/>
      <w:bookmarkEnd w:id="139"/>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89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9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9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 xml:space="preserve">2 投标文件的修改</w:t>
      </w:r>
      <w:r/>
    </w:p>
    <w:p>
      <w:pPr>
        <w:pStyle w:val="891"/>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891"/>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2.2</w:t>
      </w:r>
      <w:r>
        <w:rPr>
          <w:rFonts w:hint="eastAsia" w:ascii="宋体" w:hAnsi="宋体"/>
          <w:bCs/>
          <w:sz w:val="24"/>
        </w:rPr>
        <w:t xml:space="preserve"> 在投标截止时间之后，投标人不得对其电子投标文件作任何修改。</w:t>
      </w:r>
      <w:r/>
    </w:p>
    <w:p>
      <w:pPr>
        <w:pStyle w:val="891"/>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pStyle w:val="894"/>
        <w:ind w:firstLine="482"/>
        <w:spacing w:before="145" w:after="145" w:line="400" w:lineRule="exact"/>
        <w:rPr>
          <w:rFonts w:hint="eastAsia"/>
        </w:rPr>
      </w:pPr>
      <w:r/>
      <w:bookmarkStart w:id="140" w:name="_Toc513029229"/>
      <w:r/>
      <w:bookmarkStart w:id="141" w:name="_Toc16938545"/>
      <w:r/>
      <w:bookmarkStart w:id="142" w:name="_Toc120614218"/>
      <w:r/>
      <w:bookmarkStart w:id="143" w:name="_Toc20823301"/>
      <w:r>
        <w:rPr>
          <w:rFonts w:hint="eastAsia"/>
        </w:rPr>
        <w:t xml:space="preserve">五、开标与评标</w:t>
      </w:r>
      <w:bookmarkEnd w:id="140"/>
      <w:r/>
      <w:bookmarkEnd w:id="141"/>
      <w:r/>
      <w:bookmarkEnd w:id="142"/>
      <w:r/>
      <w:bookmarkEnd w:id="143"/>
      <w:r>
        <w:rPr>
          <w:rFonts w:hint="eastAsia"/>
        </w:rPr>
      </w:r>
      <w:r/>
    </w:p>
    <w:p>
      <w:pPr>
        <w:pStyle w:val="895"/>
        <w:ind w:firstLine="420"/>
        <w:spacing w:before="0" w:after="0" w:line="400" w:lineRule="exact"/>
        <w:rPr>
          <w:rFonts w:hint="eastAsia"/>
          <w:b w:val="0"/>
          <w:bCs w:val="0"/>
        </w:rPr>
      </w:pPr>
      <w:r/>
      <w:bookmarkStart w:id="144" w:name="_Toc16938546"/>
      <w:r/>
      <w:bookmarkStart w:id="145" w:name="_Toc20823302"/>
      <w:r/>
      <w:bookmarkStart w:id="146" w:name="_Toc513029230"/>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Pr>
          <w:rFonts w:hint="eastAsia"/>
          <w:b w:val="0"/>
          <w:bCs w:val="0"/>
        </w:rPr>
      </w:r>
      <w:r/>
    </w:p>
    <w:p>
      <w:pPr>
        <w:pStyle w:val="891"/>
        <w:ind w:firstLine="480"/>
        <w:spacing w:line="400" w:lineRule="exact"/>
        <w:rPr>
          <w:rFonts w:hint="eastAsia"/>
        </w:rPr>
      </w:pPr>
      <w:r>
        <w:rPr>
          <w:rFonts w:hint="eastAsia" w:ascii="宋体" w:hAnsi="宋体"/>
          <w:sz w:val="24"/>
        </w:rPr>
        <w:t xml:space="preserve">20.</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20.</w:t>
      </w:r>
      <w:r>
        <w:rPr>
          <w:rFonts w:hint="eastAsia" w:ascii="宋体" w:hAnsi="宋体"/>
          <w:bCs/>
          <w:sz w:val="24"/>
          <w:szCs w:val="24"/>
        </w:rPr>
        <w:t xml:space="preserve">2</w:t>
      </w:r>
      <w:r>
        <w:rPr>
          <w:rFonts w:hint="eastAsia" w:ascii="宋体" w:hAnsi="宋体"/>
          <w:sz w:val="24"/>
          <w:szCs w:val="24"/>
        </w:rPr>
        <w:t xml:space="preserve">开标仪式由采购中心组织。</w:t>
      </w:r>
      <w:r>
        <w:rPr>
          <w:rFonts w:hint="eastAsia" w:ascii="宋体" w:hAnsi="宋体"/>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91"/>
        <w:ind w:firstLine="480"/>
        <w:spacing w:line="400" w:lineRule="exact"/>
        <w:rPr>
          <w:rFonts w:hint="eastAsia" w:ascii="宋体" w:hAnsi="宋体"/>
          <w:sz w:val="24"/>
          <w:szCs w:val="24"/>
        </w:rPr>
      </w:pPr>
      <w:r>
        <w:rPr>
          <w:rFonts w:hint="eastAsia" w:ascii="宋体" w:hAnsi="宋体"/>
          <w:bCs/>
          <w:sz w:val="24"/>
        </w:rPr>
        <w:t xml:space="preserve">20.</w:t>
      </w:r>
      <w:r>
        <w:rPr>
          <w:rFonts w:hint="eastAsia" w:ascii="宋体" w:hAnsi="宋体"/>
          <w:bCs/>
          <w:sz w:val="24"/>
        </w:rPr>
        <w:t xml:space="preserve">3投标人在开标过程中涉及到的投标文件解密、开标结果确认等工作，应按照《操作手册》规定执行。</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rPr>
        <w:t xml:space="preserve">4投标人如果对开标过程和开标记录有疑义，应当根据《操作手册》规定提出，如 </w:t>
      </w:r>
      <w:r>
        <w:rPr>
          <w:rFonts w:hint="eastAsia" w:ascii="宋体" w:hAnsi="宋体"/>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895"/>
        <w:ind w:firstLine="420"/>
        <w:spacing w:before="0" w:after="0" w:line="400" w:lineRule="exact"/>
        <w:rPr>
          <w:rFonts w:hint="eastAsia"/>
          <w:b w:val="0"/>
          <w:bCs w:val="0"/>
        </w:rPr>
      </w:pPr>
      <w:r/>
      <w:bookmarkStart w:id="147" w:name="_Toc513029231"/>
      <w:r/>
      <w:bookmarkStart w:id="148" w:name="_Toc16938547"/>
      <w:r/>
      <w:bookmarkStart w:id="149" w:name="_Toc20823303"/>
      <w:r>
        <w:rPr>
          <w:rFonts w:hint="eastAsia"/>
          <w:b w:val="0"/>
          <w:bCs w:val="0"/>
        </w:rPr>
        <w:t xml:space="preserve">2</w:t>
      </w:r>
      <w:r>
        <w:rPr>
          <w:b w:val="0"/>
          <w:bCs w:val="0"/>
        </w:rPr>
        <w:t xml:space="preserve">1</w:t>
      </w:r>
      <w:r>
        <w:rPr>
          <w:rFonts w:hint="eastAsia"/>
          <w:b w:val="0"/>
          <w:bCs w:val="0"/>
        </w:rPr>
        <w:t xml:space="preserve">、评标委员会</w:t>
      </w:r>
      <w:r/>
    </w:p>
    <w:p>
      <w:pPr>
        <w:pStyle w:val="89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89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91"/>
        <w:ind w:firstLine="480"/>
        <w:spacing w:line="400" w:lineRule="exact"/>
        <w:rPr>
          <w:rFonts w:hint="eastAsia" w:ascii="宋体" w:hAnsi="宋体"/>
          <w:bCs/>
          <w:sz w:val="24"/>
        </w:rPr>
      </w:pPr>
      <w:r/>
      <w:bookmarkEnd w:id="147"/>
      <w:r/>
      <w:bookmarkEnd w:id="148"/>
      <w:r/>
      <w:bookmarkEnd w:id="149"/>
      <w:r>
        <w:rPr>
          <w:rFonts w:hint="eastAsia" w:ascii="宋体" w:hAnsi="宋体"/>
          <w:sz w:val="24"/>
        </w:rPr>
        <w:t xml:space="preserve">22.</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91"/>
        <w:ind w:firstLine="480"/>
        <w:spacing w:line="400" w:lineRule="exact"/>
        <w:rPr>
          <w:rFonts w:hint="eastAsia" w:ascii="宋体" w:hAnsi="宋体"/>
          <w:sz w:val="24"/>
          <w:szCs w:val="24"/>
        </w:rPr>
      </w:pPr>
      <w:r>
        <w:rPr>
          <w:rFonts w:hint="eastAsia" w:ascii="宋体" w:hAnsi="宋体"/>
          <w:sz w:val="24"/>
        </w:rPr>
        <w:t xml:space="preserve">22.</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91"/>
        <w:ind w:firstLine="480"/>
        <w:spacing w:line="40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4 采用综合评分法的项目，未中标的投标人可于中标结果公告期限届满之日起通过</w:t>
      </w:r>
      <w:r>
        <w:rPr>
          <w:rFonts w:hint="eastAsia" w:ascii="宋体" w:hAnsi="宋体"/>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895"/>
        <w:ind w:firstLine="420"/>
        <w:spacing w:before="0" w:after="0" w:line="400" w:lineRule="exact"/>
        <w:rPr>
          <w:rFonts w:hint="eastAsia"/>
          <w:b w:val="0"/>
          <w:bCs w:val="0"/>
        </w:rPr>
      </w:pPr>
      <w:r/>
      <w:bookmarkStart w:id="150" w:name="_Toc513029232"/>
      <w:r/>
      <w:bookmarkStart w:id="151" w:name="_Toc16938548"/>
      <w:r/>
      <w:bookmarkStart w:id="152" w:name="_Toc20823304"/>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Pr>
          <w:rFonts w:hint="eastAsia"/>
          <w:b w:val="0"/>
          <w:bCs w:val="0"/>
        </w:rPr>
      </w:r>
      <w:r/>
    </w:p>
    <w:p>
      <w:pPr>
        <w:pStyle w:val="891"/>
        <w:ind w:firstLine="480"/>
        <w:spacing w:line="400" w:lineRule="exact"/>
        <w:rPr>
          <w:rFonts w:ascii="宋体" w:hAnsi="宋体"/>
          <w:sz w:val="24"/>
          <w:szCs w:val="24"/>
        </w:rPr>
      </w:pPr>
      <w:r>
        <w:rPr>
          <w:rFonts w:ascii="宋体" w:hAnsi="宋体"/>
          <w:sz w:val="24"/>
          <w:szCs w:val="24"/>
        </w:rPr>
        <w:t xml:space="preserve">23.</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t xml:space="preserve">2需要供应商进行澄清、说明和补正的，评委会将通过</w:t>
      </w:r>
      <w:r>
        <w:rPr>
          <w:rFonts w:hint="eastAsia" w:ascii="宋体" w:hAnsi="宋体"/>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91"/>
        <w:spacing w:line="4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23.</w:t>
      </w:r>
      <w:r>
        <w:rPr>
          <w:rFonts w:hint="eastAsia" w:ascii="宋体" w:hAnsi="宋体"/>
          <w:sz w:val="24"/>
          <w:szCs w:val="24"/>
        </w:rPr>
        <w:t xml:space="preserve">3 接到评委会澄清、说明和补正要求的投标人如未按规定做出澄清、说明和补正，其风险由投标人自行承担。</w:t>
      </w:r>
      <w:r/>
    </w:p>
    <w:p>
      <w:pPr>
        <w:pStyle w:val="895"/>
        <w:ind w:firstLine="420"/>
        <w:spacing w:before="0" w:after="0" w:line="400" w:lineRule="exact"/>
        <w:rPr>
          <w:rFonts w:hint="eastAsia"/>
          <w:b w:val="0"/>
          <w:bCs w:val="0"/>
        </w:rPr>
      </w:pPr>
      <w:r/>
      <w:bookmarkStart w:id="153" w:name="_Toc16938549"/>
      <w:r/>
      <w:bookmarkStart w:id="154" w:name="_Toc20823305"/>
      <w:r/>
      <w:bookmarkStart w:id="155"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24.</w:t>
      </w:r>
      <w:r>
        <w:rPr>
          <w:rFonts w:hint="eastAsia" w:ascii="宋体" w:hAnsi="宋体"/>
          <w:sz w:val="24"/>
        </w:rPr>
        <w:t xml:space="preserve">1</w:t>
      </w:r>
      <w:r>
        <w:rPr>
          <w:rFonts w:hint="eastAsia" w:ascii="宋体" w:hAnsi="宋体"/>
          <w:bCs/>
          <w:sz w:val="24"/>
        </w:rPr>
        <w:t xml:space="preserve">投标文件初审分为资格审查和符合性审查。</w:t>
      </w:r>
      <w:r/>
    </w:p>
    <w:p>
      <w:pPr>
        <w:pStyle w:val="891"/>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pStyle w:val="89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9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1"/>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p>
    <w:p>
      <w:pPr>
        <w:pStyle w:val="89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400" w:lineRule="exact"/>
        <w:rPr>
          <w:rFonts w:hint="eastAsia" w:ascii="宋体" w:hAnsi="宋体"/>
          <w:sz w:val="24"/>
        </w:rPr>
      </w:pPr>
      <w:r>
        <w:rPr>
          <w:rFonts w:hint="eastAsia" w:ascii="宋体" w:hAnsi="宋体"/>
          <w:sz w:val="24"/>
        </w:rPr>
        <w:t xml:space="preserve">24.</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9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1"/>
        <w:ind w:firstLine="480"/>
        <w:spacing w:line="400" w:lineRule="exact"/>
        <w:rPr>
          <w:rFonts w:ascii="宋体" w:hAnsi="宋体"/>
          <w:sz w:val="24"/>
        </w:rPr>
      </w:pPr>
      <w:r>
        <w:rPr>
          <w:rFonts w:hint="eastAsia" w:ascii="宋体" w:hAnsi="宋体"/>
          <w:sz w:val="24"/>
        </w:rPr>
        <w:t xml:space="preserve">24.</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9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9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9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1"/>
        <w:ind w:firstLine="420"/>
        <w:spacing w:line="400" w:lineRule="exact"/>
        <w:rPr>
          <w:rFonts w:hint="eastAsia" w:ascii="宋体" w:hAnsi="宋体"/>
          <w:sz w:val="24"/>
        </w:rPr>
      </w:pPr>
      <w:r/>
      <w:bookmarkStart w:id="156" w:name="_Toc513029234"/>
      <w:r/>
      <w:bookmarkStart w:id="157" w:name="_Toc16938550"/>
      <w:r/>
      <w:bookmarkStart w:id="158" w:name="_Toc20823306"/>
      <w:r>
        <w:rPr>
          <w:rFonts w:hint="eastAsia" w:ascii="宋体" w:hAnsi="宋体"/>
          <w:sz w:val="24"/>
        </w:rPr>
        <w:t xml:space="preserve">24.</w:t>
      </w:r>
      <w:r>
        <w:rPr>
          <w:rFonts w:hint="eastAsia" w:ascii="宋体" w:hAnsi="宋体"/>
          <w:sz w:val="24"/>
        </w:rPr>
        <w:t xml:space="preserve">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9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p>
    <w:p>
      <w:pPr>
        <w:pStyle w:val="891"/>
        <w:ind w:left="479"/>
        <w:spacing w:line="400" w:lineRule="exact"/>
        <w:rPr>
          <w:rFonts w:hint="eastAsia" w:ascii="宋体" w:hAnsi="宋体"/>
          <w:bCs/>
          <w:sz w:val="24"/>
        </w:rPr>
      </w:pPr>
      <w:r/>
      <w:bookmarkStart w:id="159" w:name="_Toc16938551"/>
      <w:r/>
      <w:bookmarkStart w:id="160" w:name="_Toc20823307"/>
      <w:r/>
      <w:bookmarkStart w:id="161" w:name="_Toc513029235"/>
      <w:r>
        <w:rPr>
          <w:rFonts w:hint="eastAsia" w:ascii="宋体" w:hAnsi="宋体"/>
          <w:bCs/>
          <w:sz w:val="24"/>
        </w:rPr>
        <w:t xml:space="preserve">25.</w:t>
      </w:r>
      <w:r>
        <w:rPr>
          <w:rFonts w:hint="eastAsia" w:ascii="宋体" w:hAnsi="宋体"/>
          <w:bCs/>
          <w:sz w:val="24"/>
        </w:rPr>
        <w:t xml:space="preserve">1无效投标条款</w:t>
      </w:r>
      <w:r/>
    </w:p>
    <w:p>
      <w:pPr>
        <w:pStyle w:val="89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91"/>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1.2 投标人未按照招标文件要求上传电子投标文件的。</w:t>
      </w:r>
      <w:r/>
    </w:p>
    <w:p>
      <w:pPr>
        <w:pStyle w:val="891"/>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1.3</w:t>
      </w:r>
      <w:r>
        <w:rPr>
          <w:rFonts w:hint="eastAsia" w:ascii="宋体" w:hAnsi="宋体"/>
          <w:bCs/>
          <w:sz w:val="24"/>
        </w:rPr>
        <w:t xml:space="preserve"> </w:t>
      </w:r>
      <w:r>
        <w:rPr>
          <w:rFonts w:hint="eastAsia" w:ascii="宋体" w:hAnsi="宋体"/>
          <w:bCs/>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91"/>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1.4投标人不具备招标文件中规定资格要求的。</w:t>
      </w:r>
      <w:r/>
    </w:p>
    <w:p>
      <w:pPr>
        <w:pStyle w:val="891"/>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1.5投标人的报价超过了采购预算或最高限价的。</w:t>
      </w:r>
      <w:r/>
    </w:p>
    <w:p>
      <w:pPr>
        <w:pStyle w:val="891"/>
        <w:ind w:firstLine="480"/>
        <w:spacing w:line="400" w:lineRule="exact"/>
        <w:rPr>
          <w:rFonts w:hint="eastAsia" w:ascii="宋体" w:hAnsi="宋体"/>
          <w:bCs/>
          <w:i/>
          <w:sz w:val="24"/>
          <w:u w:val="single"/>
        </w:rPr>
      </w:pPr>
      <w:r>
        <w:rPr>
          <w:rFonts w:hint="eastAsia" w:ascii="宋体" w:hAnsi="宋体"/>
          <w:bCs/>
          <w:sz w:val="24"/>
        </w:rPr>
        <w:t xml:space="preserve">25.</w:t>
      </w:r>
      <w:r>
        <w:rPr>
          <w:rFonts w:hint="eastAsia" w:ascii="宋体" w:hAnsi="宋体"/>
          <w:bCs/>
          <w:sz w:val="24"/>
        </w:rPr>
        <w:t xml:space="preserve">1.6未通过符合性审查的。</w:t>
      </w:r>
      <w:r>
        <w:rPr>
          <w:rFonts w:hint="eastAsia" w:ascii="宋体" w:hAnsi="宋体"/>
          <w:bCs/>
          <w:i/>
          <w:sz w:val="24"/>
          <w:u w:val="single"/>
        </w:rPr>
      </w:r>
      <w:r/>
    </w:p>
    <w:p>
      <w:pPr>
        <w:pStyle w:val="891"/>
        <w:ind w:firstLine="360"/>
        <w:spacing w:line="400" w:lineRule="exact"/>
        <w:rPr>
          <w:rFonts w:hint="eastAsia" w:ascii="宋体" w:hAnsi="宋体"/>
          <w:bCs/>
          <w:i/>
          <w:sz w:val="24"/>
          <w:u w:val="single"/>
        </w:rPr>
      </w:pPr>
      <w:r>
        <w:rPr>
          <w:rFonts w:hint="eastAsia" w:ascii="宋体" w:hAnsi="宋体"/>
          <w:bCs/>
          <w:sz w:val="24"/>
        </w:rPr>
        <w:t xml:space="preserve"> </w:t>
      </w:r>
      <w:r>
        <w:rPr>
          <w:rFonts w:hint="eastAsia" w:ascii="宋体" w:hAnsi="宋体"/>
          <w:bCs/>
          <w:sz w:val="24"/>
        </w:rPr>
        <w:t xml:space="preserve">25.</w:t>
      </w:r>
      <w:r>
        <w:rPr>
          <w:rFonts w:hint="eastAsia" w:ascii="宋体" w:hAnsi="宋体"/>
          <w:bCs/>
          <w:sz w:val="24"/>
        </w:rPr>
        <w:t xml:space="preserve">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w:t>
      </w:r>
      <w:r>
        <w:rPr>
          <w:rFonts w:hint="eastAsia" w:ascii="宋体" w:hAnsi="宋体"/>
          <w:b/>
          <w:bCs/>
          <w:sz w:val="24"/>
        </w:rPr>
        <w:t xml:space="preserve">加*</w:t>
      </w:r>
      <w:r>
        <w:rPr>
          <w:rFonts w:hint="eastAsia" w:ascii="宋体" w:hAnsi="宋体"/>
          <w:b/>
          <w:bCs/>
          <w:sz w:val="24"/>
        </w:rPr>
        <w:t xml:space="preserve">号条款</w:t>
      </w:r>
      <w:r>
        <w:rPr>
          <w:rFonts w:hint="eastAsia" w:ascii="宋体" w:hAnsi="宋体"/>
          <w:b/>
          <w:bCs/>
          <w:sz w:val="24"/>
        </w:rPr>
        <w:t xml:space="preserve">为实质性要求）</w:t>
      </w:r>
      <w:r>
        <w:rPr>
          <w:rFonts w:hint="eastAsia" w:ascii="宋体" w:hAnsi="宋体"/>
          <w:bCs/>
          <w:i/>
          <w:sz w:val="24"/>
          <w:u w:val="single"/>
        </w:rPr>
      </w:r>
      <w:r/>
    </w:p>
    <w:p>
      <w:pPr>
        <w:pStyle w:val="891"/>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1"/>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1.9 投标文件含有采购人不能接受的附加条件的。</w:t>
      </w:r>
      <w:r/>
    </w:p>
    <w:p>
      <w:pPr>
        <w:pStyle w:val="891"/>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91"/>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1"/>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1.12其他法律、法规及本招标文件规定的属无效投标的情形。</w:t>
      </w:r>
      <w:r/>
    </w:p>
    <w:p>
      <w:pPr>
        <w:pStyle w:val="891"/>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2废标条款</w:t>
      </w:r>
      <w:r/>
    </w:p>
    <w:p>
      <w:pPr>
        <w:pStyle w:val="891"/>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2.1符合专业条件的供应商或者对招标文件作实质响应的供应商不足三家的。</w:t>
      </w:r>
      <w:r>
        <w:rPr>
          <w:rFonts w:hint="eastAsia" w:ascii="宋体" w:hAnsi="宋体"/>
          <w:bCs/>
          <w:sz w:val="24"/>
        </w:rPr>
        <w:t xml:space="preserve">25.</w:t>
      </w:r>
      <w:r>
        <w:rPr>
          <w:rFonts w:hint="eastAsia" w:ascii="宋体" w:hAnsi="宋体"/>
          <w:bCs/>
          <w:sz w:val="24"/>
        </w:rPr>
        <w:t xml:space="preserve">2.2出现影响采购公正的违法、违规行为的。</w:t>
      </w:r>
      <w:r/>
    </w:p>
    <w:p>
      <w:pPr>
        <w:pStyle w:val="891"/>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2.3因重大变故，采购任务取消的。</w:t>
      </w:r>
      <w:r/>
    </w:p>
    <w:p>
      <w:pPr>
        <w:pStyle w:val="891"/>
        <w:ind w:left="479"/>
        <w:spacing w:line="400" w:lineRule="exact"/>
        <w:rPr>
          <w:rFonts w:ascii="宋体" w:hAnsi="宋体"/>
          <w:bCs/>
          <w:sz w:val="24"/>
        </w:rPr>
      </w:pPr>
      <w:r>
        <w:rPr>
          <w:rFonts w:hint="eastAsia" w:ascii="宋体" w:hAnsi="宋体"/>
          <w:bCs/>
          <w:sz w:val="24"/>
        </w:rPr>
        <w:t xml:space="preserve">25.</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 投标截止时间结束后参加投标的供应商不足三家的处理：</w:t>
      </w:r>
      <w:r/>
    </w:p>
    <w:p>
      <w:pPr>
        <w:pStyle w:val="891"/>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pStyle w:val="894"/>
        <w:ind w:firstLine="482"/>
        <w:spacing w:before="145" w:after="145" w:line="400" w:lineRule="exact"/>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Pr>
          <w:rFonts w:hint="eastAsia"/>
        </w:rPr>
      </w:r>
      <w:r/>
    </w:p>
    <w:p>
      <w:pPr>
        <w:pStyle w:val="895"/>
        <w:ind w:firstLine="600"/>
        <w:spacing w:before="0" w:after="0" w:line="400" w:lineRule="exact"/>
        <w:rPr>
          <w:rFonts w:hint="eastAsia" w:ascii="黑体" w:hAnsi="宋体" w:cs="Times New Roman"/>
          <w:b w:val="0"/>
          <w:sz w:val="30"/>
          <w:szCs w:val="30"/>
        </w:rPr>
      </w:pPr>
      <w:r/>
      <w:bookmarkStart w:id="163" w:name="_Toc513029238"/>
      <w:r/>
      <w:bookmarkStart w:id="164" w:name="_Toc16938554"/>
      <w:r/>
      <w:bookmarkStart w:id="165"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p>
    <w:p>
      <w:pPr>
        <w:pStyle w:val="891"/>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1中标候选人的选取原则和数量见招标文件第五章规定。 </w:t>
      </w:r>
      <w:r/>
    </w:p>
    <w:p>
      <w:pPr>
        <w:pStyle w:val="891"/>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2 采购人应根据评委会推荐的中标候选人确定</w:t>
      </w:r>
      <w:r>
        <w:rPr>
          <w:rFonts w:hint="eastAsia" w:ascii="宋体" w:hAnsi="宋体"/>
          <w:bCs/>
          <w:sz w:val="24"/>
        </w:rPr>
        <w:t xml:space="preserve">中标供应商</w:t>
      </w:r>
      <w:r>
        <w:rPr>
          <w:rFonts w:hint="eastAsia" w:ascii="宋体" w:hAnsi="宋体"/>
          <w:bCs/>
          <w:sz w:val="24"/>
        </w:rPr>
        <w:t xml:space="preserve">。</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26.</w:t>
      </w:r>
      <w:r>
        <w:rPr>
          <w:rFonts w:hint="eastAsia" w:ascii="宋体" w:hAnsi="宋体"/>
          <w:bCs/>
          <w:sz w:val="24"/>
          <w:szCs w:val="24"/>
        </w:rPr>
        <w:t xml:space="preserve">3 </w:t>
      </w:r>
      <w:r>
        <w:rPr>
          <w:rFonts w:hint="eastAsia" w:ascii="宋体" w:hAnsi="宋体"/>
          <w:sz w:val="24"/>
          <w:szCs w:val="24"/>
        </w:rPr>
        <w:t xml:space="preserve">采购中心将在“江苏政府采购网”发布中标公告，公告期限为1个工作日。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  若有充分证据证明，</w:t>
      </w:r>
      <w:r>
        <w:rPr>
          <w:rFonts w:hint="eastAsia" w:ascii="宋体" w:hAnsi="宋体"/>
          <w:sz w:val="24"/>
          <w:szCs w:val="24"/>
        </w:rPr>
        <w:t xml:space="preserve">中标供应商</w:t>
      </w:r>
      <w:r>
        <w:rPr>
          <w:rFonts w:hint="eastAsia" w:ascii="宋体" w:hAnsi="宋体"/>
          <w:sz w:val="24"/>
          <w:szCs w:val="24"/>
        </w:rPr>
        <w:t xml:space="preserve">出现下列情况之一的，一经查实，将被取消中标资格：</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4.1提供虚假材料谋取中标的。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4.2向采购人、采购中心行贿或者提供其他不正当利益的。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4.3属于本文件规定的无效条件，但在评标过程中又未被评委会发现的。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4.4与采购人或者其他供应商恶意串通的。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4.5采取不正当手段诋毁、排挤其他供应商的。</w:t>
      </w:r>
      <w:r/>
    </w:p>
    <w:p>
      <w:pPr>
        <w:pStyle w:val="891"/>
        <w:ind w:firstLine="480"/>
        <w:spacing w:line="400" w:lineRule="exact"/>
        <w:rPr>
          <w:rFonts w:ascii="宋体" w:hAnsi="宋体"/>
          <w:sz w:val="24"/>
          <w:szCs w:val="24"/>
        </w:rPr>
      </w:pPr>
      <w:r/>
      <w:bookmarkStart w:id="166" w:name="_Toc200451960"/>
      <w:r>
        <w:rPr>
          <w:rFonts w:hint="eastAsia" w:ascii="宋体" w:hAnsi="宋体"/>
          <w:sz w:val="24"/>
          <w:szCs w:val="24"/>
        </w:rPr>
        <w:t xml:space="preserve">27.5</w:t>
      </w:r>
      <w:r>
        <w:rPr>
          <w:rFonts w:hint="eastAsia" w:ascii="宋体" w:hAnsi="宋体"/>
          <w:sz w:val="24"/>
          <w:szCs w:val="24"/>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.1不同投标人的投标文件由同一单位或者个人编制。</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.2不同投标人委托同一单位或者个人办理投标事宜。</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不同投标人的投标文件载明的项目管理成员或者联系人员为同一人。</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.4不同投标人的投标文件异常一致或者投标报价呈规律性差异。</w:t>
      </w:r>
      <w:r>
        <w:rPr>
          <w:rFonts w:ascii="宋体" w:hAnsi="宋体"/>
          <w:sz w:val="24"/>
          <w:szCs w:val="24"/>
        </w:rPr>
      </w:r>
      <w:r/>
    </w:p>
    <w:p>
      <w:pPr>
        <w:pStyle w:val="89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6"/>
      <w:r>
        <w:rPr>
          <w:rFonts w:hint="eastAsia" w:ascii="黑体" w:hAnsi="宋体" w:cs="Times New Roman"/>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26.</w:t>
      </w:r>
      <w:r>
        <w:rPr>
          <w:rFonts w:hint="eastAsia" w:ascii="宋体" w:hAnsi="宋体"/>
          <w:sz w:val="24"/>
          <w:szCs w:val="24"/>
        </w:rPr>
        <w:t xml:space="preserve">4条款的规定向采购中心或采购人提出质疑。上述应知其权益受到损害之日，是指：</w:t>
      </w:r>
      <w:r/>
    </w:p>
    <w:p>
      <w:pPr>
        <w:pStyle w:val="89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9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9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91"/>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91"/>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hint="eastAsia" w:ascii="宋体" w:hAnsi="宋体"/>
          <w:sz w:val="24"/>
          <w:szCs w:val="24"/>
        </w:rPr>
        <w:t xml:space="preserve">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sz w:val="24"/>
          <w:szCs w:val="24"/>
        </w:rPr>
        <w:t xml:space="preserve">（采购人和采购中心不接受</w:t>
      </w:r>
      <w:r>
        <w:rPr>
          <w:rFonts w:hint="eastAsia" w:ascii="宋体" w:hAnsi="宋体"/>
          <w:sz w:val="24"/>
          <w:szCs w:val="24"/>
        </w:rPr>
        <w:t xml:space="preserve">无快递运单号的快递</w:t>
      </w:r>
      <w:r>
        <w:rPr>
          <w:rFonts w:hint="eastAsia" w:ascii="宋体" w:hAnsi="宋体"/>
          <w:sz w:val="24"/>
          <w:szCs w:val="24"/>
        </w:rPr>
        <w:t xml:space="preserve">）。</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w:t>
      </w:r>
      <w:r>
        <w:rPr>
          <w:rFonts w:hint="eastAsia" w:ascii="宋体" w:hAnsi="宋体"/>
          <w:sz w:val="24"/>
          <w:szCs w:val="24"/>
        </w:rPr>
        <w:t xml:space="preserve">（快递运单上的收件人填写“质疑处理科”即可），</w:t>
      </w:r>
      <w:r>
        <w:rPr>
          <w:rFonts w:hint="eastAsia" w:ascii="宋体" w:hAnsi="宋体"/>
          <w:sz w:val="24"/>
          <w:szCs w:val="24"/>
        </w:rPr>
        <w:t xml:space="preserve">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5 以下情形的质疑不予受理</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.1 内容不符合《政府采购质疑和投诉办法》第十二条规定的质疑。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.2 超出政府采购法定期限的质疑。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以传真、电子邮件等方式递交的非原件形式的质疑。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.4 未参加投标活动的供应商或在投标活动中自身权益未受到损害的供应商所提出的质疑。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.5供应商组成联合体参加投标，联合体中任何一方或多方未按要求签字、盖章、加盖公章的质疑。</w:t>
      </w:r>
      <w:r/>
    </w:p>
    <w:p>
      <w:pPr>
        <w:pStyle w:val="891"/>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中标结果确定后，采购中心将向</w:t>
      </w:r>
      <w:r>
        <w:rPr>
          <w:rFonts w:hint="eastAsia" w:ascii="宋体" w:hAnsi="宋体"/>
          <w:sz w:val="24"/>
          <w:szCs w:val="24"/>
        </w:rPr>
        <w:t xml:space="preserve">中标供应商</w:t>
      </w:r>
      <w:r>
        <w:rPr>
          <w:rFonts w:hint="eastAsia" w:ascii="宋体" w:hAnsi="宋体"/>
          <w:sz w:val="24"/>
          <w:szCs w:val="24"/>
        </w:rPr>
        <w:t xml:space="preserve">发出中标通知书。请</w:t>
      </w:r>
      <w:r>
        <w:rPr>
          <w:rFonts w:hint="eastAsia" w:ascii="宋体" w:hAnsi="宋体"/>
          <w:sz w:val="24"/>
          <w:szCs w:val="24"/>
        </w:rPr>
        <w:t xml:space="preserve">中标供应商</w:t>
      </w:r>
      <w:r>
        <w:rPr>
          <w:rFonts w:hint="eastAsia" w:ascii="宋体" w:hAnsi="宋体"/>
          <w:sz w:val="24"/>
          <w:szCs w:val="24"/>
        </w:rPr>
        <w:t xml:space="preserve">在中标结果公告届满之日起30日内,使用CA数字证书登录</w:t>
      </w:r>
      <w:r>
        <w:rPr>
          <w:rFonts w:hint="eastAsia" w:ascii="宋体" w:hAnsi="宋体"/>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sz w:val="24"/>
          <w:szCs w:val="24"/>
        </w:rPr>
        <w:t xml:space="preserve">苏采云系统</w:t>
      </w:r>
      <w:r>
        <w:rPr>
          <w:rFonts w:hint="eastAsia" w:ascii="宋体" w:hAnsi="宋体"/>
          <w:sz w:val="24"/>
          <w:szCs w:val="24"/>
        </w:rPr>
        <w:t xml:space="preserve">不再保证提供下载中标通知书服务,因未及时下载而造成的不利后果由</w:t>
      </w:r>
      <w:r>
        <w:rPr>
          <w:rFonts w:hint="eastAsia" w:ascii="宋体" w:hAnsi="宋体"/>
          <w:sz w:val="24"/>
          <w:szCs w:val="24"/>
        </w:rPr>
        <w:t xml:space="preserve">中标供应商</w:t>
      </w:r>
      <w:r>
        <w:rPr>
          <w:rFonts w:hint="eastAsia" w:ascii="宋体" w:hAnsi="宋体"/>
          <w:sz w:val="24"/>
          <w:szCs w:val="24"/>
        </w:rPr>
        <w:t xml:space="preserve">自行承担。</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w:t>
      </w:r>
      <w:r>
        <w:rPr>
          <w:rFonts w:hint="eastAsia" w:ascii="宋体" w:hAnsi="宋体"/>
          <w:sz w:val="24"/>
          <w:szCs w:val="24"/>
        </w:rPr>
        <w:t xml:space="preserve">中标供应商</w:t>
      </w:r>
      <w:r>
        <w:rPr>
          <w:rFonts w:hint="eastAsia" w:ascii="宋体" w:hAnsi="宋体"/>
          <w:sz w:val="24"/>
          <w:szCs w:val="24"/>
        </w:rPr>
        <w:t xml:space="preserve">均具有法律效力。中标通知书发出后，采购人改变中标结果的，或者</w:t>
      </w:r>
      <w:r>
        <w:rPr>
          <w:rFonts w:hint="eastAsia" w:ascii="宋体" w:hAnsi="宋体"/>
          <w:sz w:val="24"/>
          <w:szCs w:val="24"/>
        </w:rPr>
        <w:t xml:space="preserve">中标供应商</w:t>
      </w:r>
      <w:r>
        <w:rPr>
          <w:rFonts w:hint="eastAsia" w:ascii="宋体" w:hAnsi="宋体"/>
          <w:sz w:val="24"/>
          <w:szCs w:val="24"/>
        </w:rPr>
        <w:t xml:space="preserve">放弃中标项目的，应当依法承担法律责任。</w:t>
      </w:r>
      <w:r/>
    </w:p>
    <w:p>
      <w:pPr>
        <w:pStyle w:val="894"/>
        <w:spacing w:before="145" w:after="145" w:line="400" w:lineRule="exact"/>
        <w:rPr>
          <w:rFonts w:hint="eastAsia"/>
        </w:rPr>
      </w:pPr>
      <w:r/>
      <w:bookmarkStart w:id="167" w:name="_Toc120614220"/>
      <w:r/>
      <w:bookmarkStart w:id="168" w:name="_Toc20823308"/>
      <w:r/>
      <w:bookmarkStart w:id="169" w:name="_Toc513029236"/>
      <w:r/>
      <w:bookmarkStart w:id="170" w:name="_Toc16938552"/>
      <w:r>
        <w:rPr>
          <w:rFonts w:hint="eastAsia"/>
        </w:rPr>
        <w:t xml:space="preserve">七、授予合同</w:t>
      </w:r>
      <w:bookmarkEnd w:id="167"/>
      <w:r>
        <w:rPr>
          <w:rFonts w:hint="eastAsia"/>
        </w:rPr>
      </w:r>
      <w:r/>
    </w:p>
    <w:p>
      <w:pPr>
        <w:pStyle w:val="895"/>
        <w:ind w:firstLine="600"/>
        <w:spacing w:before="0" w:after="0" w:line="400" w:lineRule="exact"/>
        <w:rPr>
          <w:rFonts w:hint="eastAsia" w:ascii="黑体" w:hAnsi="宋体" w:cs="Times New Roman"/>
          <w:b w:val="0"/>
          <w:sz w:val="30"/>
          <w:szCs w:val="30"/>
        </w:rPr>
      </w:pPr>
      <w:r/>
      <w:bookmarkEnd w:id="168"/>
      <w:r/>
      <w:bookmarkEnd w:id="169"/>
      <w:r/>
      <w:bookmarkEnd w:id="170"/>
      <w:r/>
      <w:bookmarkStart w:id="171" w:name="_Toc513029237"/>
      <w:r/>
      <w:bookmarkStart w:id="172" w:name="_Toc20823309"/>
      <w:r/>
      <w:bookmarkStart w:id="173" w:name="_Toc16938553"/>
      <w:r>
        <w:rPr>
          <w:rFonts w:ascii="黑体" w:hAnsi="宋体" w:cs="Times New Roman"/>
          <w:b w:val="0"/>
          <w:sz w:val="30"/>
          <w:szCs w:val="30"/>
        </w:rPr>
        <w:t xml:space="preserve">29</w:t>
      </w:r>
      <w:r>
        <w:rPr>
          <w:rFonts w:hint="eastAsia" w:ascii="黑体" w:hAnsi="宋体" w:cs="Times New Roman"/>
          <w:b w:val="0"/>
          <w:sz w:val="30"/>
          <w:szCs w:val="30"/>
        </w:rPr>
        <w:t xml:space="preserve">、</w:t>
      </w:r>
      <w:r>
        <w:rPr>
          <w:rFonts w:hint="eastAsia" w:ascii="黑体" w:hAnsi="宋体" w:cs="Times New Roman"/>
          <w:b w:val="0"/>
          <w:sz w:val="30"/>
          <w:szCs w:val="30"/>
        </w:rPr>
        <w:t xml:space="preserve">签订合同</w:t>
      </w:r>
      <w:r/>
    </w:p>
    <w:p>
      <w:pPr>
        <w:pStyle w:val="89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w:t>
      </w:r>
      <w:r>
        <w:rPr>
          <w:rFonts w:hint="eastAsia" w:ascii="宋体" w:hAnsi="宋体"/>
          <w:sz w:val="24"/>
          <w:szCs w:val="24"/>
        </w:rPr>
        <w:t xml:space="preserve">应当在中标通知书发出之日起三十日内，按照招标文件确定的事项与采购人签订政府采购合同。</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w:t>
      </w:r>
      <w:r>
        <w:rPr>
          <w:rFonts w:hint="eastAsia" w:ascii="宋体" w:hAnsi="宋体"/>
          <w:sz w:val="24"/>
          <w:szCs w:val="24"/>
        </w:rPr>
        <w:t xml:space="preserve">中标供应商</w:t>
      </w:r>
      <w:r>
        <w:rPr>
          <w:rFonts w:hint="eastAsia" w:ascii="宋体" w:hAnsi="宋体"/>
          <w:sz w:val="24"/>
          <w:szCs w:val="24"/>
        </w:rPr>
        <w:t xml:space="preserve">的投标文件及招标过程中有关澄清、承诺文件均应作为合同附件。</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3 签订合同后，</w:t>
      </w:r>
      <w:r>
        <w:rPr>
          <w:rFonts w:hint="eastAsia" w:ascii="宋体" w:hAnsi="宋体"/>
          <w:sz w:val="24"/>
          <w:szCs w:val="24"/>
        </w:rPr>
        <w:t xml:space="preserve">中标供应商</w:t>
      </w:r>
      <w:r>
        <w:rPr>
          <w:rFonts w:hint="eastAsia" w:ascii="宋体" w:hAnsi="宋体"/>
          <w:sz w:val="24"/>
          <w:szCs w:val="24"/>
        </w:rPr>
        <w:t xml:space="preserve">不得将合同标的进行转包。未经采购人同意，</w:t>
      </w:r>
      <w:r>
        <w:rPr>
          <w:rFonts w:hint="eastAsia" w:ascii="宋体" w:hAnsi="宋体"/>
          <w:sz w:val="24"/>
          <w:szCs w:val="24"/>
        </w:rPr>
        <w:t xml:space="preserve">中标供应商</w:t>
      </w:r>
      <w:r>
        <w:rPr>
          <w:rFonts w:hint="eastAsia" w:ascii="宋体" w:hAnsi="宋体"/>
          <w:sz w:val="24"/>
          <w:szCs w:val="24"/>
        </w:rPr>
        <w:t xml:space="preserve">也不得采用</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的形式履行合同，否则采购人有权终止合同。转包或</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造成采购人损失的，</w:t>
      </w:r>
      <w:r>
        <w:rPr>
          <w:rFonts w:hint="eastAsia" w:ascii="宋体" w:hAnsi="宋体"/>
          <w:sz w:val="24"/>
          <w:szCs w:val="24"/>
        </w:rPr>
        <w:t xml:space="preserve">中标供应商</w:t>
      </w:r>
      <w:r>
        <w:rPr>
          <w:rFonts w:hint="eastAsia" w:ascii="宋体" w:hAnsi="宋体"/>
          <w:sz w:val="24"/>
          <w:szCs w:val="24"/>
        </w:rPr>
        <w:t xml:space="preserve">应承担相应赔偿责任。</w:t>
      </w:r>
      <w:r/>
    </w:p>
    <w:p>
      <w:pPr>
        <w:pStyle w:val="89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w:t>
      </w:r>
      <w:r>
        <w:rPr>
          <w:rFonts w:hint="eastAsia" w:ascii="宋体" w:hAnsi="宋体"/>
          <w:sz w:val="24"/>
          <w:szCs w:val="24"/>
        </w:rPr>
        <w:t xml:space="preserve">中标供应商</w:t>
      </w:r>
      <w:r>
        <w:rPr>
          <w:rFonts w:hint="eastAsia" w:ascii="宋体" w:hAnsi="宋体"/>
          <w:sz w:val="24"/>
          <w:szCs w:val="24"/>
        </w:rPr>
        <w:t xml:space="preserve">协商签订补充合同，但所有补充合同的采购金额不超过原合同金额10%。</w:t>
      </w:r>
      <w:r/>
    </w:p>
    <w:p>
      <w:pPr>
        <w:pStyle w:val="895"/>
        <w:ind w:firstLine="600"/>
        <w:spacing w:before="0" w:after="0" w:line="400" w:lineRule="exact"/>
        <w:rPr>
          <w:rFonts w:ascii="黑体" w:hAnsi="宋体" w:cs="Times New Roman"/>
          <w:b w:val="0"/>
          <w:sz w:val="30"/>
          <w:szCs w:val="30"/>
        </w:rPr>
      </w:pPr>
      <w:r/>
      <w:bookmarkEnd w:id="171"/>
      <w:r/>
      <w:bookmarkEnd w:id="172"/>
      <w:r/>
      <w:bookmarkEnd w:id="173"/>
      <w:r/>
      <w:bookmarkStart w:id="174" w:name="_Toc479757207"/>
      <w:r/>
      <w:bookmarkStart w:id="175" w:name="_Toc120614221"/>
      <w:r/>
      <w:bookmarkStart w:id="176" w:name="_Toc16938558"/>
      <w:r/>
      <w:bookmarkStart w:id="177" w:name="_Toc513029242"/>
      <w:r/>
      <w:bookmarkStart w:id="178"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13"/>
        <w:spacing w:line="400" w:lineRule="exact"/>
        <w:rPr>
          <w:rFonts w:hint="eastAsia"/>
        </w:rPr>
      </w:pPr>
      <w:r>
        <w:rPr>
          <w:rFonts w:hint="eastAsia" w:ascii="宋体" w:hAnsi="宋体"/>
          <w:bCs/>
          <w:sz w:val="24"/>
        </w:rPr>
        <w:t xml:space="preserve">中标供应商</w:t>
      </w:r>
      <w:r>
        <w:rPr>
          <w:rFonts w:hint="eastAsia" w:ascii="宋体" w:hAnsi="宋体"/>
          <w:bCs/>
          <w:sz w:val="24"/>
        </w:rPr>
        <w:t xml:space="preserve">可凭政府采购合同办理融资贷款，详情请见江苏政府采购网“政采贷”专栏。</w:t>
      </w:r>
      <w:r>
        <w:rPr>
          <w:rFonts w:hint="eastAsia"/>
        </w:rPr>
      </w:r>
      <w:r/>
    </w:p>
    <w:p>
      <w:pPr>
        <w:pStyle w:val="913"/>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pPr>
      <w:r/>
      <w:r/>
    </w:p>
    <w:p>
      <w:pPr>
        <w:pStyle w:val="891"/>
      </w:pPr>
      <w:r/>
      <w:r/>
    </w:p>
    <w:p>
      <w:pPr>
        <w:pStyle w:val="891"/>
      </w:pPr>
      <w:r/>
      <w:r/>
    </w:p>
    <w:p>
      <w:pPr>
        <w:pStyle w:val="891"/>
      </w:pPr>
      <w:r/>
      <w:r/>
    </w:p>
    <w:p>
      <w:pPr>
        <w:pStyle w:val="891"/>
      </w:p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ascii="黑体" w:eastAsia="黑体"/>
          <w:bCs/>
          <w:sz w:val="44"/>
        </w:rPr>
      </w:pPr>
      <w:r>
        <w:rPr>
          <w:rFonts w:ascii="黑体" w:eastAsia="黑体"/>
          <w:bCs/>
          <w:sz w:val="44"/>
        </w:rPr>
      </w:r>
      <w:r/>
    </w:p>
    <w:p>
      <w:pPr>
        <w:pStyle w:val="892"/>
        <w:rPr>
          <w:rFonts w:ascii="黑体" w:eastAsia="黑体"/>
          <w:bCs/>
          <w:sz w:val="44"/>
        </w:rPr>
      </w:pPr>
      <w:r>
        <w:rPr>
          <w:rFonts w:ascii="黑体" w:eastAsia="黑体"/>
          <w:bCs/>
          <w:sz w:val="44"/>
        </w:rPr>
      </w:r>
      <w:r/>
    </w:p>
    <w:p>
      <w:pPr>
        <w:pStyle w:val="891"/>
        <w:rPr>
          <w:rFonts w:hint="eastAsia"/>
        </w:rPr>
      </w:pPr>
      <w:r>
        <w:rPr>
          <w:rFonts w:hint="eastAsia"/>
        </w:rPr>
      </w:r>
      <w:r/>
    </w:p>
    <w:p>
      <w:pPr>
        <w:pStyle w:val="892"/>
        <w:rPr>
          <w:rFonts w:ascii="黑体" w:eastAsia="黑体"/>
          <w:bCs/>
          <w:sz w:val="44"/>
        </w:rPr>
      </w:pPr>
      <w:r>
        <w:rPr>
          <w:rFonts w:ascii="黑体" w:eastAsia="黑体"/>
          <w:bCs/>
          <w:sz w:val="44"/>
        </w:rPr>
      </w:r>
      <w:r/>
    </w:p>
    <w:p>
      <w:pPr>
        <w:pStyle w:val="892"/>
        <w:rPr>
          <w:rFonts w:hint="eastAsia" w:ascii="黑体" w:eastAsia="黑体"/>
          <w:bCs/>
          <w:sz w:val="44"/>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p>
    <w:p>
      <w:pPr>
        <w:pStyle w:val="891"/>
        <w:jc w:val="center"/>
        <w:spacing w:before="145" w:after="145"/>
        <w:rPr>
          <w:rFonts w:ascii="宋体" w:hAnsi="宋体"/>
          <w:b/>
          <w:bCs/>
          <w:sz w:val="30"/>
          <w:szCs w:val="20"/>
        </w:rPr>
        <w:outlineLvl w:val="0"/>
      </w:pPr>
      <w:r/>
      <w:bookmarkStart w:id="179" w:name="_Toc20823315"/>
      <w:r/>
      <w:bookmarkStart w:id="180" w:name="_Toc16938559"/>
      <w:r/>
      <w:bookmarkStart w:id="181" w:name="_Toc513029243"/>
      <w:r>
        <w:rPr>
          <w:rFonts w:hint="eastAsia" w:ascii="宋体" w:hAnsi="宋体"/>
          <w:b/>
          <w:sz w:val="30"/>
        </w:rPr>
        <w:t xml:space="preserve">江苏省政府采购合同（服务）（合同编号）</w:t>
      </w:r>
      <w:r>
        <w:rPr>
          <w:rFonts w:ascii="宋体" w:hAnsi="宋体"/>
          <w:b/>
          <w:bCs/>
          <w:sz w:val="30"/>
          <w:szCs w:val="20"/>
        </w:rPr>
      </w:r>
      <w:r/>
    </w:p>
    <w:p>
      <w:pPr>
        <w:pStyle w:val="891"/>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pStyle w:val="891"/>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pStyle w:val="89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rPr>
          <w:rFonts w:ascii="宋体" w:hAnsi="宋体" w:cs="Courier New"/>
          <w:sz w:val="24"/>
          <w:szCs w:val="24"/>
        </w:rPr>
        <w:t xml:space="preserve">****</w:t>
      </w:r>
      <w:r>
        <w:rPr>
          <w:rFonts w:hint="eastAsia" w:ascii="宋体" w:hAnsi="宋体" w:cs="Courier New"/>
          <w:sz w:val="24"/>
          <w:szCs w:val="24"/>
        </w:rPr>
      </w:r>
      <w:r/>
    </w:p>
    <w:p>
      <w:pPr>
        <w:pStyle w:val="93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30"/>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3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江苏省预算管理一体化平台国有资产智慧监管系统建设</w:t>
      </w:r>
      <w:r>
        <w:rPr>
          <w:rFonts w:hAnsi="宋体"/>
          <w:sz w:val="24"/>
          <w:szCs w:val="24"/>
        </w:rPr>
      </w:r>
      <w:r/>
    </w:p>
    <w:p>
      <w:pPr>
        <w:pStyle w:val="93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0"/>
        <w:spacing w:before="120" w:after="120"/>
        <w:rPr>
          <w:rFonts w:hint="eastAsia" w:hAnsi="宋体"/>
          <w:sz w:val="24"/>
          <w:szCs w:val="24"/>
        </w:rPr>
      </w:pPr>
      <w:r>
        <w:rPr>
          <w:rFonts w:hint="eastAsia" w:hAnsi="宋体"/>
          <w:sz w:val="24"/>
          <w:szCs w:val="24"/>
        </w:rPr>
        <w:t xml:space="preserve">1.3 标的数量（规模）：</w:t>
      </w:r>
      <w:r/>
    </w:p>
    <w:p>
      <w:pPr>
        <w:pStyle w:val="930"/>
        <w:spacing w:before="120" w:after="120"/>
        <w:rPr>
          <w:rFonts w:hAnsi="宋体"/>
          <w:sz w:val="24"/>
          <w:szCs w:val="24"/>
        </w:rPr>
      </w:pPr>
      <w:r>
        <w:rPr>
          <w:rFonts w:hint="eastAsia" w:hAnsi="宋体"/>
          <w:sz w:val="24"/>
          <w:szCs w:val="24"/>
        </w:rPr>
        <w:t xml:space="preserve">1.4 履行时间（期限）：</w:t>
      </w:r>
      <w:r>
        <w:rPr>
          <w:rFonts w:hAnsi="宋体"/>
          <w:sz w:val="24"/>
          <w:szCs w:val="24"/>
        </w:rPr>
      </w:r>
      <w:r/>
    </w:p>
    <w:p>
      <w:pPr>
        <w:pStyle w:val="1031"/>
      </w:pPr>
      <w:r>
        <w:rPr>
          <w:rFonts w:hint="eastAsia"/>
        </w:rPr>
        <w:t xml:space="preserve">（1）自合同签订之日起2</w:t>
      </w:r>
      <w:r>
        <w:t xml:space="preserve">0</w:t>
      </w:r>
      <w:r>
        <w:rPr>
          <w:rFonts w:hint="eastAsia"/>
        </w:rPr>
        <w:t xml:space="preserve">天内，完成资产清查管理</w:t>
      </w:r>
      <w:r>
        <w:rPr>
          <w:rFonts w:hint="eastAsia"/>
        </w:rPr>
        <w:t xml:space="preserve">（第四章 </w:t>
      </w:r>
      <w:r>
        <w:t xml:space="preserve">2.1</w:t>
      </w:r>
      <w:r>
        <w:rPr>
          <w:rFonts w:hint="eastAsia"/>
        </w:rPr>
        <w:t xml:space="preserve">内容）</w:t>
      </w:r>
      <w:r>
        <w:rPr>
          <w:rFonts w:hint="eastAsia"/>
        </w:rPr>
        <w:t xml:space="preserve">建设与实施，具备试运行条件。</w:t>
      </w:r>
      <w:r/>
    </w:p>
    <w:p>
      <w:pPr>
        <w:pStyle w:val="1031"/>
      </w:pPr>
      <w:r>
        <w:rPr>
          <w:rFonts w:hint="eastAsia"/>
        </w:rPr>
        <w:t xml:space="preserve">（</w:t>
      </w:r>
      <w:r>
        <w:t xml:space="preserve">2</w:t>
      </w:r>
      <w:r>
        <w:rPr>
          <w:rFonts w:hint="eastAsia"/>
        </w:rPr>
        <w:t xml:space="preserve">）自合同签订之日起</w:t>
      </w:r>
      <w:r>
        <w:t xml:space="preserve">5</w:t>
      </w:r>
      <w:r>
        <w:rPr>
          <w:rFonts w:hint="eastAsia"/>
        </w:rPr>
        <w:t xml:space="preserve">个月内，完成国有企业资产日常管理、盘活利用管理、监督预警管理、基础信息管理、资产驾驶舱建设与实施，完成与预算管理一体化平台的融合，具备试运行条件。</w:t>
      </w:r>
      <w:r/>
    </w:p>
    <w:p>
      <w:pPr>
        <w:pStyle w:val="1031"/>
        <w:rPr>
          <w:rFonts w:hint="eastAsia"/>
        </w:rPr>
      </w:pPr>
      <w:r>
        <w:rPr>
          <w:rFonts w:hint="eastAsia"/>
        </w:rPr>
        <w:t xml:space="preserve">（3）自合同签订之日起一年内，按采购人要求完成全省范围行政事业性国有资产、国有企业资产、自然资源资产外接数据的汇聚与治理。</w:t>
      </w:r>
      <w:r/>
    </w:p>
    <w:p>
      <w:pPr>
        <w:pStyle w:val="930"/>
        <w:spacing w:before="120" w:after="120"/>
        <w:rPr>
          <w:rFonts w:hAnsi="宋体"/>
          <w:sz w:val="24"/>
          <w:szCs w:val="24"/>
        </w:rPr>
      </w:pPr>
      <w:r>
        <w:rPr>
          <w:rFonts w:hint="eastAsia" w:hAnsi="宋体"/>
          <w:sz w:val="24"/>
          <w:szCs w:val="24"/>
        </w:rPr>
        <w:t xml:space="preserve">1.5 履行地点：</w:t>
      </w:r>
      <w:r>
        <w:rPr>
          <w:rFonts w:hint="eastAsia" w:hAnsi="宋体"/>
          <w:sz w:val="24"/>
          <w:szCs w:val="24"/>
        </w:rPr>
        <w:t xml:space="preserve">按甲方要求。</w:t>
      </w:r>
      <w:r>
        <w:rPr>
          <w:rFonts w:hAnsi="宋体"/>
          <w:sz w:val="24"/>
          <w:szCs w:val="24"/>
        </w:rPr>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int="eastAsia" w:hAnsi="宋体"/>
          <w:sz w:val="24"/>
          <w:szCs w:val="24"/>
        </w:rPr>
        <w:t xml:space="preserve">按甲方要求</w:t>
      </w:r>
      <w:r>
        <w:rPr>
          <w:rFonts w:hAnsi="宋体"/>
          <w:sz w:val="24"/>
          <w:szCs w:val="24"/>
        </w:rPr>
      </w:r>
      <w:r/>
    </w:p>
    <w:p>
      <w:pPr>
        <w:pStyle w:val="930"/>
        <w:spacing w:before="120" w:after="120"/>
        <w:rPr>
          <w:rFonts w:hAnsi="宋体"/>
          <w:b/>
          <w:sz w:val="24"/>
          <w:szCs w:val="24"/>
        </w:rPr>
      </w:pPr>
      <w:r>
        <w:rPr>
          <w:rFonts w:hAnsi="宋体"/>
          <w:b/>
          <w:sz w:val="24"/>
          <w:szCs w:val="24"/>
        </w:rPr>
        <w:t xml:space="preserve">二、合同金额</w:t>
      </w:r>
      <w:r/>
    </w:p>
    <w:p>
      <w:pPr>
        <w:pStyle w:val="930"/>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0"/>
        <w:spacing w:before="120" w:after="120"/>
        <w:rPr>
          <w:rFonts w:hAnsi="宋体"/>
          <w:b/>
          <w:sz w:val="24"/>
          <w:szCs w:val="24"/>
        </w:rPr>
      </w:pPr>
      <w:r>
        <w:rPr>
          <w:rFonts w:hAnsi="宋体"/>
          <w:b/>
          <w:sz w:val="24"/>
          <w:szCs w:val="24"/>
        </w:rPr>
        <w:t xml:space="preserve">三、技术资料</w:t>
      </w:r>
      <w:r/>
    </w:p>
    <w:p>
      <w:pPr>
        <w:pStyle w:val="93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0"/>
        <w:ind w:left="412" w:hanging="412"/>
        <w:spacing w:before="120" w:after="120"/>
        <w:rPr>
          <w:rFonts w:hAnsi="宋体"/>
          <w:b/>
          <w:sz w:val="24"/>
          <w:szCs w:val="24"/>
        </w:rPr>
      </w:pPr>
      <w:r>
        <w:rPr>
          <w:rFonts w:hAnsi="宋体"/>
          <w:b/>
          <w:sz w:val="24"/>
          <w:szCs w:val="24"/>
        </w:rPr>
        <w:t xml:space="preserve">四、知识产权</w:t>
      </w:r>
      <w:r/>
    </w:p>
    <w:p>
      <w:pPr>
        <w:pStyle w:val="93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t xml:space="preserve">本项目</w:t>
      </w:r>
      <w:r>
        <w:rPr>
          <w:rFonts w:hint="eastAsia" w:hAnsi="宋体"/>
          <w:sz w:val="24"/>
          <w:szCs w:val="24"/>
        </w:rPr>
        <w:t xml:space="preserve">建设的江苏省预算管理一体化平台国有资产智慧监管系统知识产权归江苏省财政厅。</w:t>
      </w:r>
      <w:r>
        <w:rPr>
          <w:rFonts w:hint="eastAsia" w:hAnsi="宋体"/>
          <w:sz w:val="24"/>
          <w:szCs w:val="24"/>
        </w:rPr>
      </w:r>
      <w:r/>
    </w:p>
    <w:p>
      <w:pPr>
        <w:pStyle w:val="93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0"/>
        <w:ind w:left="410" w:hanging="410"/>
        <w:spacing w:before="120" w:after="120"/>
        <w:rPr>
          <w:rFonts w:hAnsi="宋体"/>
          <w:b/>
          <w:sz w:val="24"/>
          <w:szCs w:val="24"/>
        </w:rPr>
      </w:pPr>
      <w:r>
        <w:rPr>
          <w:rFonts w:hAnsi="宋体"/>
          <w:b/>
          <w:sz w:val="24"/>
          <w:szCs w:val="24"/>
        </w:rPr>
        <w:t xml:space="preserve">六、履约保证金</w:t>
      </w:r>
      <w:r/>
    </w:p>
    <w:p>
      <w:pPr>
        <w:pStyle w:val="930"/>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3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30"/>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t xml:space="preserve">*</w:t>
      </w:r>
      <w:r>
        <w:rPr>
          <w:rFonts w:hAnsi="宋体"/>
          <w:sz w:val="24"/>
          <w:szCs w:val="24"/>
        </w:rPr>
        <w:t xml:space="preserve">**</w:t>
      </w:r>
      <w:r>
        <w:rPr>
          <w:rFonts w:hint="eastAsia" w:hAnsi="宋体"/>
          <w:sz w:val="24"/>
          <w:szCs w:val="24"/>
        </w:rPr>
      </w:r>
      <w:r/>
    </w:p>
    <w:p>
      <w:pPr>
        <w:pStyle w:val="930"/>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Ansi="宋体"/>
          <w:sz w:val="24"/>
          <w:szCs w:val="24"/>
        </w:rPr>
        <w:t xml:space="preserve">**</w:t>
      </w:r>
      <w:r>
        <w:rPr>
          <w:rFonts w:hint="eastAsia" w:hAnsi="宋体"/>
          <w:sz w:val="24"/>
          <w:szCs w:val="24"/>
        </w:rPr>
      </w:r>
      <w:r/>
    </w:p>
    <w:p>
      <w:pPr>
        <w:pStyle w:val="930"/>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Ansi="宋体"/>
          <w:sz w:val="24"/>
          <w:szCs w:val="24"/>
        </w:rPr>
        <w:t xml:space="preserve">**</w:t>
      </w:r>
      <w:r>
        <w:rPr>
          <w:rFonts w:hint="eastAsia" w:hAnsi="宋体"/>
          <w:sz w:val="24"/>
          <w:szCs w:val="24"/>
        </w:rPr>
      </w:r>
      <w:r/>
    </w:p>
    <w:p>
      <w:pPr>
        <w:pStyle w:val="930"/>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Ansi="宋体"/>
          <w:sz w:val="24"/>
          <w:szCs w:val="24"/>
        </w:rPr>
        <w:t xml:space="preserve">**</w:t>
      </w:r>
      <w:r>
        <w:rPr>
          <w:rFonts w:hAnsi="宋体"/>
          <w:sz w:val="24"/>
          <w:szCs w:val="24"/>
        </w:rPr>
      </w:r>
      <w:r/>
    </w:p>
    <w:p>
      <w:pPr>
        <w:pStyle w:val="891"/>
        <w:spacing w:before="145" w:after="145"/>
        <w:rPr>
          <w:rFonts w:ascii="宋体" w:hAnsi="宋体" w:eastAsia="仿宋_GB2312"/>
          <w:b/>
          <w:sz w:val="24"/>
          <w:szCs w:val="24"/>
        </w:rPr>
      </w:pPr>
      <w:r>
        <w:rPr>
          <w:rFonts w:hint="eastAsia" w:ascii="宋体" w:hAnsi="宋体"/>
          <w:b/>
          <w:sz w:val="24"/>
          <w:szCs w:val="24"/>
        </w:rPr>
        <w:t xml:space="preserve">七、合同转包或</w:t>
      </w:r>
      <w:r>
        <w:rPr>
          <w:rFonts w:hint="eastAsia" w:ascii="宋体" w:hAnsi="宋体"/>
          <w:b/>
          <w:sz w:val="24"/>
          <w:szCs w:val="24"/>
        </w:rPr>
        <w:t xml:space="preserve">分</w:t>
      </w:r>
      <w:r>
        <w:rPr>
          <w:rFonts w:hint="eastAsia" w:ascii="宋体" w:hAnsi="宋体"/>
          <w:b/>
          <w:sz w:val="24"/>
          <w:szCs w:val="24"/>
        </w:rPr>
        <w:t xml:space="preserve">包</w:t>
      </w:r>
      <w:r>
        <w:rPr>
          <w:rFonts w:ascii="宋体" w:hAnsi="宋体" w:eastAsia="仿宋_GB2312"/>
          <w:b/>
          <w:sz w:val="24"/>
          <w:szCs w:val="24"/>
        </w:rPr>
      </w:r>
      <w:r/>
    </w:p>
    <w:p>
      <w:pPr>
        <w:pStyle w:val="89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91"/>
        <w:spacing w:before="145" w:after="145"/>
        <w:rPr>
          <w:rFonts w:hint="eastAsia" w:ascii="宋体" w:hAnsi="宋体"/>
          <w:sz w:val="24"/>
          <w:szCs w:val="24"/>
        </w:rPr>
      </w:pPr>
      <w:r>
        <w:rPr>
          <w:rFonts w:hint="eastAsia" w:ascii="宋体" w:hAnsi="宋体"/>
          <w:sz w:val="24"/>
          <w:szCs w:val="24"/>
        </w:rPr>
        <w:t xml:space="preserve">7.2乙方不得将合同标的</w:t>
      </w:r>
      <w:r>
        <w:rPr>
          <w:rFonts w:hint="eastAsia" w:ascii="宋体" w:hAnsi="宋体"/>
          <w:sz w:val="24"/>
          <w:szCs w:val="24"/>
        </w:rPr>
        <w:t xml:space="preserve">分包</w:t>
      </w:r>
      <w:r>
        <w:rPr>
          <w:rFonts w:hint="eastAsia" w:ascii="宋体" w:hAnsi="宋体"/>
          <w:sz w:val="24"/>
          <w:szCs w:val="24"/>
        </w:rPr>
        <w:t xml:space="preserve">给他人履行。</w:t>
      </w:r>
      <w:r/>
    </w:p>
    <w:p>
      <w:pPr>
        <w:pStyle w:val="89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w:t>
      </w:r>
      <w:r>
        <w:rPr>
          <w:rFonts w:hint="eastAsia" w:ascii="宋体" w:hAnsi="宋体"/>
          <w:sz w:val="24"/>
          <w:szCs w:val="24"/>
        </w:rPr>
        <w:t xml:space="preserve">分包</w:t>
      </w:r>
      <w:r>
        <w:rPr>
          <w:rFonts w:hint="eastAsia" w:ascii="宋体" w:hAnsi="宋体"/>
          <w:sz w:val="24"/>
          <w:szCs w:val="24"/>
        </w:rPr>
        <w:t xml:space="preserve">行为，甲方有权解除合同。</w:t>
      </w:r>
      <w:r>
        <w:rPr>
          <w:rFonts w:ascii="宋体" w:hAnsi="宋体" w:eastAsia="仿宋_GB2312"/>
          <w:sz w:val="24"/>
          <w:szCs w:val="24"/>
        </w:rPr>
      </w:r>
      <w:r/>
    </w:p>
    <w:p>
      <w:pPr>
        <w:pStyle w:val="93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下列款项以人民币方式按照以下进度由采购人办理支付。</w:t>
      </w:r>
      <w:r/>
    </w:p>
    <w:p>
      <w:pPr>
        <w:pStyle w:val="89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1.1 预付款支付时间：</w:t>
      </w:r>
      <w:r>
        <w:rPr>
          <w:rFonts w:hint="eastAsia" w:ascii="宋体" w:hAnsi="宋体"/>
          <w:sz w:val="24"/>
          <w:szCs w:val="24"/>
        </w:rPr>
        <w:t xml:space="preserve">合同签订且收到供应商提供的发票后，采购人支付合同总额的30%；</w:t>
      </w:r>
      <w:r/>
    </w:p>
    <w:p>
      <w:pPr>
        <w:pStyle w:val="891"/>
        <w:spacing w:before="145" w:after="145"/>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.1.2</w:t>
      </w:r>
      <w:r>
        <w:rPr>
          <w:rFonts w:hint="eastAsia" w:ascii="宋体" w:hAnsi="宋体"/>
          <w:sz w:val="24"/>
          <w:szCs w:val="24"/>
        </w:rPr>
        <w:t xml:space="preserve">系统主体功能上线试运行且采购人收到供应商提供的发票后，采购人支付合同总金额的30%。</w:t>
      </w:r>
      <w:r/>
    </w:p>
    <w:p>
      <w:pPr>
        <w:pStyle w:val="891"/>
        <w:spacing w:before="145" w:after="145"/>
        <w:rPr>
          <w:rFonts w:hint="eastAsia" w:ascii="宋体" w:hAnsi="宋体"/>
          <w:sz w:val="24"/>
          <w:szCs w:val="24"/>
        </w:rPr>
      </w:pPr>
      <w:r>
        <w:rPr>
          <w:rFonts w:ascii="宋体" w:hAnsi="宋体"/>
          <w:sz w:val="24"/>
          <w:szCs w:val="24"/>
        </w:rPr>
        <w:t xml:space="preserve">8.1.3</w:t>
      </w:r>
      <w:r>
        <w:rPr>
          <w:rFonts w:hint="eastAsia" w:ascii="宋体" w:hAnsi="宋体"/>
          <w:sz w:val="24"/>
          <w:szCs w:val="24"/>
        </w:rPr>
        <w:t xml:space="preserve">项目通过验收且采购人收到供应商提供的发票后，采购人支付合同总额的30%。</w:t>
      </w:r>
      <w:r/>
    </w:p>
    <w:p>
      <w:pPr>
        <w:pStyle w:val="891"/>
        <w:spacing w:before="145" w:after="145"/>
        <w:rPr>
          <w:rFonts w:ascii="宋体" w:hAnsi="宋体"/>
          <w:sz w:val="24"/>
          <w:szCs w:val="24"/>
        </w:rPr>
      </w:pPr>
      <w:r>
        <w:rPr>
          <w:rFonts w:hint="eastAsia" w:ascii="宋体" w:hAnsi="宋体"/>
          <w:sz w:val="24"/>
          <w:szCs w:val="24"/>
        </w:rPr>
        <w:t xml:space="preserve">8</w:t>
      </w:r>
      <w:r>
        <w:rPr>
          <w:rFonts w:ascii="宋体" w:hAnsi="宋体"/>
          <w:sz w:val="24"/>
          <w:szCs w:val="24"/>
        </w:rPr>
        <w:t xml:space="preserve">.1.4</w:t>
      </w:r>
      <w:r>
        <w:rPr>
          <w:rFonts w:hint="eastAsia" w:ascii="宋体" w:hAnsi="宋体"/>
          <w:sz w:val="24"/>
          <w:szCs w:val="24"/>
        </w:rPr>
        <w:t xml:space="preserve">项目免费运维期满且采购人收到供应商提供的发票后，采购人支付合同总额的10%。</w:t>
      </w:r>
      <w:r>
        <w:rPr>
          <w:rFonts w:ascii="宋体" w:hAnsi="宋体"/>
          <w:sz w:val="24"/>
          <w:szCs w:val="24"/>
        </w:rPr>
      </w:r>
      <w:r/>
    </w:p>
    <w:p>
      <w:pPr>
        <w:pStyle w:val="891"/>
        <w:spacing w:before="145" w:after="145"/>
        <w:rPr>
          <w:rFonts w:hint="eastAsia" w:ascii="宋体" w:hAnsi="宋体"/>
          <w:sz w:val="24"/>
          <w:szCs w:val="24"/>
        </w:rPr>
      </w:pPr>
      <w:r>
        <w:rPr>
          <w:rFonts w:hint="eastAsia" w:ascii="宋体" w:hAnsi="宋体"/>
          <w:sz w:val="24"/>
          <w:szCs w:val="24"/>
        </w:rPr>
        <w:t xml:space="preserve">供应商应于每次付款前7个工作日，向采购人开具与该次付款金额等额的增值税普通发票。</w:t>
      </w:r>
      <w:r>
        <w:rPr>
          <w:rFonts w:hint="eastAsia" w:ascii="宋体" w:hAnsi="宋体"/>
          <w:sz w:val="24"/>
          <w:szCs w:val="24"/>
        </w:rPr>
      </w:r>
      <w:r/>
    </w:p>
    <w:p>
      <w:pPr>
        <w:pStyle w:val="89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0"/>
        <w:ind w:left="480" w:hanging="480"/>
        <w:spacing w:before="120" w:after="120" w:line="0" w:lineRule="atLeast"/>
        <w:rPr>
          <w:rFonts w:hAnsi="宋体"/>
          <w:sz w:val="24"/>
          <w:szCs w:val="24"/>
        </w:rPr>
      </w:pPr>
      <w:r>
        <w:rPr>
          <w:rFonts w:hAnsi="宋体"/>
          <w:sz w:val="24"/>
          <w:szCs w:val="24"/>
        </w:rPr>
        <w:t xml:space="preserve">  甲方：                        乙方： </w:t>
      </w:r>
      <w:r/>
    </w:p>
    <w:p>
      <w:pPr>
        <w:pStyle w:val="93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0"/>
        <w:jc w:val="center"/>
        <w:spacing w:before="120" w:after="120" w:line="0" w:lineRule="atLeast"/>
      </w:pPr>
      <w:r>
        <w:rPr>
          <w:rFonts w:hint="eastAsia"/>
        </w:rPr>
        <w:t xml:space="preserve">                                         </w:t>
      </w:r>
      <w:r/>
    </w:p>
    <w:p>
      <w:pPr>
        <w:pStyle w:val="930"/>
        <w:jc w:val="right"/>
        <w:spacing w:before="120" w:after="120" w:line="0" w:lineRule="atLeast"/>
        <w:rPr>
          <w:sz w:val="24"/>
          <w:szCs w:val="24"/>
        </w:rPr>
      </w:pPr>
      <w:r>
        <w:rPr>
          <w:rFonts w:hint="eastAsia"/>
          <w:sz w:val="24"/>
          <w:szCs w:val="24"/>
        </w:rPr>
        <w:t xml:space="preserve"> </w:t>
      </w:r>
      <w:r>
        <w:rPr>
          <w:sz w:val="24"/>
          <w:szCs w:val="24"/>
        </w:rPr>
      </w:r>
      <w:r/>
    </w:p>
    <w:p>
      <w:pPr>
        <w:pStyle w:val="930"/>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62564139"/>
      <w:r/>
      <w:bookmarkStart w:id="188" w:name="_Toc479757211"/>
      <w:r>
        <w:rPr>
          <w:rFonts w:ascii="黑体" w:eastAsia="黑体"/>
          <w:bCs/>
          <w:sz w:val="44"/>
        </w:rPr>
        <w:br w:type="page" w:clear="all"/>
      </w:r>
      <w:r>
        <w:rPr>
          <w:rFonts w:hint="eastAsia" w:ascii="黑体" w:eastAsia="黑体"/>
          <w:bCs/>
          <w:sz w:val="44"/>
        </w:rPr>
        <w:t xml:space="preserve">第</w:t>
      </w:r>
      <w:bookmarkEnd w:id="183"/>
      <w:r>
        <w:rPr>
          <w:rFonts w:hint="eastAsia" w:ascii="黑体" w:eastAsia="黑体"/>
          <w:bCs/>
          <w:sz w:val="44"/>
        </w:rPr>
        <w:t xml:space="preserve">四章 采购需求</w:t>
      </w:r>
      <w:bookmarkEnd w:id="184"/>
      <w:r/>
      <w:bookmarkEnd w:id="185"/>
      <w:r/>
      <w:bookmarkEnd w:id="186"/>
      <w:r>
        <w:rPr>
          <w:rFonts w:hint="eastAsia" w:hAnsi="宋体"/>
          <w:sz w:val="24"/>
          <w:szCs w:val="24"/>
        </w:rPr>
      </w:r>
      <w:r/>
    </w:p>
    <w:p>
      <w:pPr>
        <w:pStyle w:val="891"/>
        <w:spacing w:line="0" w:lineRule="atLeast"/>
        <w:rPr>
          <w:rFonts w:ascii="宋体" w:hAnsi="宋体"/>
          <w:b/>
          <w:sz w:val="24"/>
          <w:szCs w:val="24"/>
        </w:rPr>
      </w:pPr>
      <w:r/>
      <w:bookmarkStart w:id="189" w:name="_Toc26554093"/>
      <w:r/>
      <w:bookmarkStart w:id="190" w:name="_Toc49090575"/>
      <w:r>
        <w:rPr>
          <w:rFonts w:ascii="宋体" w:hAnsi="宋体"/>
          <w:b/>
          <w:sz w:val="24"/>
          <w:szCs w:val="24"/>
        </w:rPr>
      </w:r>
      <w:r/>
    </w:p>
    <w:p>
      <w:pPr>
        <w:pStyle w:val="891"/>
        <w:spacing w:line="0" w:lineRule="atLeast"/>
        <w:rPr>
          <w:rFonts w:ascii="宋体" w:hAnsi="宋体"/>
          <w:b/>
          <w:sz w:val="24"/>
          <w:szCs w:val="24"/>
        </w:rPr>
      </w:pPr>
      <w:r>
        <w:rPr>
          <w:rFonts w:ascii="宋体" w:hAnsi="宋体"/>
          <w:b/>
          <w:sz w:val="24"/>
          <w:szCs w:val="24"/>
        </w:rPr>
      </w:r>
      <w:r/>
    </w:p>
    <w:p>
      <w:pPr>
        <w:pStyle w:val="891"/>
        <w:ind w:firstLine="643"/>
        <w:keepLines/>
        <w:keepNext/>
        <w:spacing w:line="360" w:lineRule="auto"/>
        <w:rPr>
          <w:rFonts w:ascii="仿宋" w:hAnsi="仿宋" w:eastAsia="仿宋" w:cs="仿宋"/>
          <w:b/>
          <w:sz w:val="32"/>
          <w:szCs w:val="32"/>
        </w:rPr>
        <w:outlineLvl w:val="0"/>
      </w:pPr>
      <w:r/>
      <w:bookmarkStart w:id="191" w:name="_Toc23764"/>
      <w:r/>
      <w:bookmarkStart w:id="192" w:name="_Toc13451"/>
      <w:r>
        <w:rPr>
          <w:rFonts w:hint="eastAsia" w:ascii="仿宋" w:hAnsi="仿宋" w:eastAsia="仿宋" w:cs="仿宋"/>
          <w:b/>
          <w:sz w:val="32"/>
          <w:szCs w:val="32"/>
        </w:rPr>
        <w:t xml:space="preserve">一、建设目标</w:t>
      </w:r>
      <w:bookmarkEnd w:id="191"/>
      <w:r/>
      <w:bookmarkEnd w:id="192"/>
      <w:r>
        <w:rPr>
          <w:rFonts w:ascii="仿宋" w:hAnsi="仿宋" w:eastAsia="仿宋" w:cs="仿宋"/>
          <w:b/>
          <w:sz w:val="32"/>
          <w:szCs w:val="32"/>
        </w:rPr>
      </w:r>
      <w:r/>
    </w:p>
    <w:p>
      <w:pPr>
        <w:pStyle w:val="891"/>
        <w:ind w:firstLine="480"/>
        <w:spacing w:line="400" w:lineRule="exact"/>
        <w:rPr>
          <w:rFonts w:ascii="宋体" w:hAnsi="宋体"/>
          <w:sz w:val="24"/>
          <w:szCs w:val="24"/>
        </w:rPr>
      </w:pPr>
      <w:r>
        <w:rPr>
          <w:rFonts w:hint="eastAsia" w:ascii="宋体" w:hAnsi="宋体"/>
          <w:sz w:val="24"/>
          <w:szCs w:val="24"/>
        </w:rPr>
        <w:t xml:space="preserve">结合江苏省行政事业单位、国有企业（含金融企业、文化企业、事业单位所办企业、其他国资国企等）、自然资源等国有资产管理的信息化现状，以整体规划、分步建设、利于推广为原则，纵向覆盖省、市、县（区）、乡镇（街道）四级政府，横向覆盖各行政事业单位、国有企业、财政、国资、纪委等部门，整合全省各级行政事业性资产、国有企业资产、自然资源资产等各类国有资产数据，建设一体化平台智慧监管系统，实现国有资产监督管理的整体覆盖、科学监管，并为后续进一步深化全省范围内的国有资产监督管理工作奠定基础。</w:t>
      </w:r>
      <w:r>
        <w:rPr>
          <w:rFonts w:ascii="宋体" w:hAnsi="宋体"/>
          <w:sz w:val="24"/>
          <w:szCs w:val="24"/>
        </w:rPr>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二、系统功能要求</w:t>
      </w:r>
      <w:r>
        <w:rPr>
          <w:rFonts w:ascii="仿宋" w:hAnsi="仿宋" w:eastAsia="仿宋" w:cs="仿宋"/>
          <w:b/>
          <w:sz w:val="32"/>
          <w:szCs w:val="32"/>
        </w:rPr>
      </w:r>
      <w:r/>
    </w:p>
    <w:p>
      <w:pPr>
        <w:pStyle w:val="891"/>
        <w:ind w:firstLine="482"/>
        <w:keepLines/>
        <w:keepNext/>
        <w:spacing w:before="78" w:after="78" w:line="360" w:lineRule="auto"/>
        <w:rPr>
          <w:rFonts w:ascii="仿宋" w:hAnsi="仿宋" w:eastAsia="仿宋" w:cs="仿宋"/>
          <w:b/>
          <w:sz w:val="32"/>
          <w:szCs w:val="32"/>
        </w:rPr>
        <w:outlineLvl w:val="1"/>
      </w:pPr>
      <w:r>
        <w:rPr>
          <w:rFonts w:ascii="仿宋" w:hAnsi="仿宋" w:eastAsia="仿宋" w:cs="仿宋"/>
          <w:b/>
          <w:sz w:val="32"/>
          <w:szCs w:val="32"/>
        </w:rPr>
        <w:t xml:space="preserve">2</w:t>
      </w:r>
      <w:r>
        <w:rPr>
          <w:rFonts w:hint="eastAsia" w:ascii="仿宋" w:hAnsi="仿宋" w:eastAsia="仿宋" w:cs="仿宋"/>
          <w:b/>
          <w:sz w:val="32"/>
          <w:szCs w:val="32"/>
        </w:rPr>
        <w:t xml:space="preserve">.1.资产清查管理</w:t>
      </w:r>
      <w:r>
        <w:rPr>
          <w:rFonts w:ascii="仿宋" w:hAnsi="仿宋" w:eastAsia="仿宋" w:cs="仿宋"/>
          <w:b/>
          <w:sz w:val="32"/>
          <w:szCs w:val="32"/>
        </w:rPr>
      </w:r>
      <w:r/>
    </w:p>
    <w:p>
      <w:pPr>
        <w:pStyle w:val="1031"/>
      </w:pPr>
      <w:r/>
      <w:bookmarkStart w:id="193" w:name="_Hlk186726625"/>
      <w:r>
        <w:rPr>
          <w:rFonts w:hint="eastAsia"/>
        </w:rPr>
        <w:t xml:space="preserve">根据资产清查方案要求，设置行政事业单位、国有企业、财政、国资委、自然资源、纪委等不同用户角色入口，满足资产清查过程中“单位全面自查、专班重点核查、纪委专项督查”系统操作要求。</w:t>
      </w:r>
      <w:bookmarkEnd w:id="193"/>
      <w:r/>
      <w:r/>
    </w:p>
    <w:p>
      <w:pPr>
        <w:pStyle w:val="891"/>
        <w:ind w:firstLine="480"/>
        <w:spacing w:line="400" w:lineRule="exact"/>
        <w:rPr>
          <w:rFonts w:ascii="宋体" w:hAnsi="宋体"/>
          <w:sz w:val="24"/>
          <w:szCs w:val="24"/>
        </w:rPr>
      </w:pPr>
      <w:r/>
      <w:bookmarkStart w:id="194" w:name="_Hlk186726634"/>
      <w:r>
        <w:rPr>
          <w:rFonts w:hint="eastAsia" w:ascii="宋体" w:hAnsi="宋体"/>
          <w:sz w:val="24"/>
          <w:szCs w:val="24"/>
        </w:rPr>
        <w:t xml:space="preserve">资产清查包括行政事业性资产清查、国有企业资产清查等。</w:t>
      </w:r>
      <w:bookmarkEnd w:id="194"/>
      <w:r>
        <w:rPr>
          <w:rFonts w:ascii="宋体" w:hAnsi="宋体"/>
          <w:sz w:val="24"/>
          <w:szCs w:val="24"/>
        </w:rPr>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（1）行政事业性国有资产清查汇总数据管理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行政事业性国有资产清查汇总数据管理实现对省、市、县（区）、乡镇（街道）在内的全省范围行政事业单位资产的清查汇总数据的接入及展示。支持</w:t>
      </w:r>
      <w:bookmarkStart w:id="195" w:name="_Hlk186726689"/>
      <w:r>
        <w:rPr>
          <w:rFonts w:hint="eastAsia"/>
        </w:rPr>
        <w:t xml:space="preserve">获取资产云的清查汇总数据，及查询展示的功能。</w:t>
      </w:r>
      <w:bookmarkEnd w:id="195"/>
      <w:r/>
      <w:r/>
    </w:p>
    <w:p>
      <w:pPr>
        <w:pStyle w:val="1031"/>
      </w:pPr>
      <w:r>
        <w:rPr>
          <w:rFonts w:hint="eastAsia"/>
        </w:rPr>
        <w:t xml:space="preserve">行政事业单位性国有资产清查汇总数据（表）包括土地产权类情况表、房屋建筑类情况表、车辆设备类情况表、基础设施类情况表、股权债权类情况表、无形资产类情况表、特许经营类情况表、其他类资产情况表、资产状态表、资产负债表。</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A.清查汇总表查询</w:t>
      </w:r>
      <w:r>
        <w:rPr>
          <w:rFonts w:ascii="仿宋" w:hAnsi="仿宋" w:eastAsia="仿宋" w:cs="仿宋"/>
          <w:b/>
          <w:sz w:val="32"/>
          <w:szCs w:val="32"/>
        </w:rPr>
      </w:r>
      <w:r/>
    </w:p>
    <w:p>
      <w:pPr>
        <w:pStyle w:val="1031"/>
      </w:pPr>
      <w:r>
        <w:rPr>
          <w:rFonts w:hint="eastAsia"/>
        </w:rPr>
        <w:t xml:space="preserve">按省、市、县（区）、乡镇（街道）逐级展示资产云各单位的清查汇总数据。</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（A）土地产权类清查表信息管理</w:t>
      </w:r>
      <w:r>
        <w:rPr>
          <w:rFonts w:ascii="仿宋" w:hAnsi="仿宋" w:eastAsia="仿宋" w:cs="仿宋"/>
          <w:b/>
          <w:bCs/>
          <w:sz w:val="32"/>
          <w:szCs w:val="32"/>
        </w:rPr>
      </w:r>
      <w:r/>
    </w:p>
    <w:p>
      <w:pPr>
        <w:pStyle w:val="1031"/>
      </w:pPr>
      <w:r>
        <w:rPr>
          <w:rFonts w:hint="eastAsia"/>
        </w:rPr>
        <w:t xml:space="preserve">主要信息包括资产名称、是否有产权证、持证人、发证日期、证书号码、载明面积、土地性质、土地来源、取得日期、坐落位置、是否为账外资产、登记入账情况、数量、原值、累计折旧、净值、增加数量、增加净值、减少数量、减少净值、使用状况、合计、单位自用、出租、出借、闲置、其他、存在问题、变动原因、备注等。</w:t>
      </w:r>
      <w:r/>
    </w:p>
    <w:p>
      <w:pPr>
        <w:pStyle w:val="1031"/>
        <w:rPr>
          <w:rFonts w:ascii="仿宋" w:hAnsi="仿宋" w:eastAsia="仿宋" w:cs="仿宋"/>
          <w:sz w:val="32"/>
          <w:szCs w:val="32"/>
        </w:rPr>
      </w:pPr>
      <w:r>
        <w:rPr>
          <w:rFonts w:hint="eastAsia"/>
        </w:rPr>
        <w:t xml:space="preserve">提供土地产权类清查表的查询等功能。</w:t>
      </w:r>
      <w:r>
        <w:rPr>
          <w:rFonts w:ascii="仿宋" w:hAnsi="仿宋" w:eastAsia="仿宋" w:cs="仿宋"/>
          <w:sz w:val="32"/>
          <w:szCs w:val="32"/>
        </w:rPr>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（B）房屋建筑类清查表信息管理</w:t>
      </w:r>
      <w:r>
        <w:rPr>
          <w:rFonts w:ascii="仿宋" w:hAnsi="仿宋" w:eastAsia="仿宋" w:cs="仿宋"/>
          <w:b/>
          <w:bCs/>
          <w:sz w:val="32"/>
          <w:szCs w:val="32"/>
        </w:rPr>
      </w:r>
      <w:r/>
    </w:p>
    <w:p>
      <w:pPr>
        <w:pStyle w:val="1031"/>
      </w:pPr>
      <w:r>
        <w:rPr>
          <w:rFonts w:hint="eastAsia"/>
        </w:rPr>
        <w:t xml:space="preserve">主要信息包括资产名称、资产类别、坐落位置、是否有产权证、持证人、发证日期、证书号码、房屋构筑物面积、宗地面积、资产来源、资产类型、是否为账外资产、面积、套数、累计投资额、原值、累计折旧、净值、增加数量、增加净值、减少数量、减少净值、清查面积、清查净值、清查变动原因、合计、出租、出借、闲置、被侵占、是否产生收益、年收益金额、其他、存在问题、备注等。</w:t>
      </w:r>
      <w:r/>
    </w:p>
    <w:p>
      <w:pPr>
        <w:pStyle w:val="1031"/>
      </w:pPr>
      <w:r>
        <w:rPr>
          <w:rFonts w:hint="eastAsia"/>
        </w:rPr>
        <w:t xml:space="preserve">提供房屋建筑类清查表查询等功能。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（C）设备车辆类清查表信息管理</w:t>
      </w:r>
      <w:r>
        <w:rPr>
          <w:rFonts w:ascii="仿宋" w:hAnsi="仿宋" w:eastAsia="仿宋" w:cs="仿宋"/>
          <w:b/>
          <w:bCs/>
          <w:sz w:val="32"/>
          <w:szCs w:val="32"/>
        </w:rPr>
      </w:r>
      <w:r/>
    </w:p>
    <w:p>
      <w:pPr>
        <w:pStyle w:val="1031"/>
      </w:pPr>
      <w:r>
        <w:rPr>
          <w:rFonts w:hint="eastAsia"/>
        </w:rPr>
        <w:t xml:space="preserve">信息主要包括资产名称、是否有产权证、持证人、发证日期、证书号码、规格型号、牌照号码、排气量、类别、取得日期、累计使用年限、已行驶里程、使用状况、是否为账外资产、账面数量、账面原值、账面累计折旧值、账面净值、增加数量、增加净值、减少数量、减少净值、清查数量、清查净值、变动原因、是否产生收益、年收益金额、存在问题、备注等。</w:t>
      </w:r>
      <w:r/>
    </w:p>
    <w:p>
      <w:pPr>
        <w:pStyle w:val="1031"/>
      </w:pPr>
      <w:r>
        <w:rPr>
          <w:rFonts w:hint="eastAsia"/>
        </w:rPr>
        <w:t xml:space="preserve">提供设备车辆类清查表查询等功能。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（D）基础设施类资产清查表信息管理</w:t>
      </w:r>
      <w:r>
        <w:rPr>
          <w:rFonts w:ascii="仿宋" w:hAnsi="仿宋" w:eastAsia="仿宋" w:cs="仿宋"/>
          <w:b/>
          <w:bCs/>
          <w:sz w:val="32"/>
          <w:szCs w:val="32"/>
        </w:rPr>
      </w:r>
      <w:r/>
    </w:p>
    <w:p>
      <w:pPr>
        <w:pStyle w:val="1031"/>
      </w:pPr>
      <w:r>
        <w:rPr>
          <w:rFonts w:hint="eastAsia"/>
        </w:rPr>
        <w:t xml:space="preserve">主要信息包括资产名称、坐落位置、资产一级分类、资产二级分类、资产三级分类、资产类别总</w:t>
      </w:r>
      <w:r>
        <w:rPr>
          <w:rFonts w:hint="eastAsia"/>
        </w:rPr>
        <w:t xml:space="preserve">数、资产人防工程、公路行政等级、公路技术等级、航道、负有管理维护职责数量、防洪（潮）工程、治涝工程、灌溉工程、引调水工程、农村供水工程、负有管理维护职责数量、是否为账外资产、账面数量、账面原值、账面累计折旧值、账面净值、增加数量、增加原值、增加累计折旧/摊销、增加净值、减少数量、减少原值、减少累计折旧/摊销、减少净值、清查数量、清查原值、清查累计折旧/摊销、清查净值、清查数变动原因、已投入使用未转公共基础设施数量、已投入使用未转公共基础设施价值、未转公共基础设施年限、未转公共基础设施原因、存在问题、备注等。</w:t>
      </w:r>
      <w:r/>
    </w:p>
    <w:p>
      <w:pPr>
        <w:pStyle w:val="1031"/>
      </w:pPr>
      <w:r>
        <w:rPr>
          <w:rFonts w:hint="eastAsia"/>
        </w:rPr>
        <w:t xml:space="preserve">提供基础设施类资产清查表查询等功能。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（E）股权债权类清查表信息管理</w:t>
      </w:r>
      <w:r>
        <w:rPr>
          <w:rFonts w:ascii="仿宋" w:hAnsi="仿宋" w:eastAsia="仿宋" w:cs="仿宋"/>
          <w:b/>
          <w:bCs/>
          <w:sz w:val="32"/>
          <w:szCs w:val="32"/>
        </w:rPr>
      </w:r>
      <w:r/>
    </w:p>
    <w:p>
      <w:pPr>
        <w:pStyle w:val="1031"/>
      </w:pPr>
      <w:r>
        <w:rPr>
          <w:rFonts w:hint="eastAsia"/>
        </w:rPr>
        <w:t xml:space="preserve">主要信息包括设立企业名称、初始投资额小计、初始投资额货币资金、初始</w:t>
      </w:r>
      <w:r>
        <w:rPr>
          <w:rFonts w:hint="eastAsia"/>
        </w:rPr>
        <w:t xml:space="preserve">投资额实物资产、累计实际投资额、投资形式、持股比例、投资单位（项目）、是否为账外资产、资产总额、负债总额、所有者权益、收入、利润、归属于母公司所有者权益总额、经营状况、投资类型、购买日期、投资金额、票面（期末）金额、债务方名称、款项性质、与本单位关系、科目名称、是否为账外资产、账面金额、坏账准备、账面数按账龄划分3年以内、账面数按账龄划分3年以外、借单位、借款人、借款单位性质、出借时间、出借金额、约定借款期限、借款利率、借款是否逾期、本金余额、应收利息金额、利息收回金额、利息余额、变动原因存在问题、备注等。</w:t>
      </w:r>
      <w:r/>
    </w:p>
    <w:p>
      <w:pPr>
        <w:pStyle w:val="1031"/>
      </w:pPr>
      <w:r>
        <w:rPr>
          <w:rFonts w:hint="eastAsia"/>
        </w:rPr>
        <w:t xml:space="preserve">提供股权债权类清查表查询等功能。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（F）无形资产清查表信息管理</w:t>
      </w:r>
      <w:r>
        <w:rPr>
          <w:rFonts w:ascii="仿宋" w:hAnsi="仿宋" w:eastAsia="仿宋" w:cs="仿宋"/>
          <w:b/>
          <w:bCs/>
          <w:sz w:val="32"/>
          <w:szCs w:val="32"/>
        </w:rPr>
      </w:r>
      <w:r/>
    </w:p>
    <w:p>
      <w:pPr>
        <w:pStyle w:val="1031"/>
      </w:pPr>
      <w:r>
        <w:rPr>
          <w:rFonts w:hint="eastAsia"/>
        </w:rPr>
        <w:t xml:space="preserve">无形资产清查表信息包括资产名称、资产类别、使用状况、是否为账外资产、账面数量、账面原值、账面累计折旧/摊销、账面净值、增加数量、增加原值、增加累计折旧/摊销、增加净值、减少数量、减少原值、减少累计折旧/摊销、减少净值、清查数量、清查原值、清查累计折旧/摊销、清查净值、清查数变动原因、存在问题、备注等。</w:t>
      </w:r>
      <w:r/>
    </w:p>
    <w:p>
      <w:pPr>
        <w:pStyle w:val="1031"/>
      </w:pPr>
      <w:r>
        <w:rPr>
          <w:rFonts w:hint="eastAsia"/>
        </w:rPr>
        <w:t xml:space="preserve">提供无形资产清查表查询等功能。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（G）特许经营类资产清查表信息管理</w:t>
      </w:r>
      <w:r>
        <w:rPr>
          <w:rFonts w:ascii="仿宋" w:hAnsi="仿宋" w:eastAsia="仿宋" w:cs="仿宋"/>
          <w:b/>
          <w:bCs/>
          <w:sz w:val="32"/>
          <w:szCs w:val="32"/>
        </w:rPr>
      </w:r>
      <w:r/>
    </w:p>
    <w:p>
      <w:pPr>
        <w:pStyle w:val="1031"/>
      </w:pPr>
      <w:r>
        <w:rPr>
          <w:rFonts w:hint="eastAsia"/>
        </w:rPr>
        <w:t xml:space="preserve">主要信息包括特许经营项目名称、特许经营类别、特许经营规模及范围、主管部门、经营主体、经营主体性质、特许经营期许可协议年限、特许经营权出让方式、授权单位、起始时间、到期时间、定价依据、金额标准、频次、应收未收使用费金额、政府补贴金额/年、可出让特许经营服务项目、是否具备特许经营权出让条件、不具备条件的原因、特许经营服务项目出让预计年收益、预计出让年收益合计、存在问题、备注等。</w:t>
      </w:r>
      <w:r/>
    </w:p>
    <w:p>
      <w:pPr>
        <w:pStyle w:val="1031"/>
      </w:pPr>
      <w:r>
        <w:rPr>
          <w:rFonts w:hint="eastAsia"/>
        </w:rPr>
        <w:t xml:space="preserve">提供特许经营类资产清查表查询等功能。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（H）其他类资产情况表信息管理</w:t>
      </w:r>
      <w:r>
        <w:rPr>
          <w:rFonts w:ascii="仿宋" w:hAnsi="仿宋" w:eastAsia="仿宋" w:cs="仿宋"/>
          <w:b/>
          <w:bCs/>
          <w:sz w:val="32"/>
          <w:szCs w:val="32"/>
        </w:rPr>
      </w:r>
      <w:r/>
    </w:p>
    <w:p>
      <w:pPr>
        <w:pStyle w:val="1031"/>
      </w:pPr>
      <w:r>
        <w:rPr>
          <w:rFonts w:hint="eastAsia"/>
        </w:rPr>
        <w:t xml:space="preserve">主要信息包括资产名称、是否为账外资产、账面数、账面数按账龄划分1年以内、账面数按账龄划分1年以外、清查增加数、清查减少数、清查数、变动原因、存在问题、备注等。</w:t>
      </w:r>
      <w:r/>
    </w:p>
    <w:p>
      <w:pPr>
        <w:pStyle w:val="1031"/>
      </w:pPr>
      <w:r>
        <w:rPr>
          <w:rFonts w:hint="eastAsia"/>
        </w:rPr>
        <w:t xml:space="preserve">提供其他类资产情况表查询等功能。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（I）资产状态表信息管理</w:t>
      </w:r>
      <w:r>
        <w:rPr>
          <w:rFonts w:ascii="仿宋" w:hAnsi="仿宋" w:eastAsia="仿宋" w:cs="仿宋"/>
          <w:b/>
          <w:bCs/>
          <w:sz w:val="32"/>
          <w:szCs w:val="32"/>
        </w:rPr>
      </w:r>
      <w:r/>
    </w:p>
    <w:p>
      <w:pPr>
        <w:pStyle w:val="1031"/>
      </w:pPr>
      <w:r>
        <w:rPr>
          <w:rFonts w:hint="eastAsia"/>
        </w:rPr>
        <w:t xml:space="preserve">主要信息包括资产名称、坐落位置、资产类别、使用方向、拟入账的成本、处置方式、账外资产形成原因、账外资产资金来源、账外资产处理的拟办意见、入账成本的依据、出租/出借、承租（借）方名称、承租（借）方性质、出租出借资产规格型号、出租出借资产数量、是否履行审批手续、批准机构、批准文号、是否公开招租、是否签定出租出借合同或协议、合同约定出租或出借期限、合同约定出租</w:t>
      </w:r>
      <w:r>
        <w:rPr>
          <w:rFonts w:hint="eastAsia"/>
        </w:rPr>
        <w:t xml:space="preserve">或出借起止时间、合同约定月租金、截止月底已出租期限、截止月底应收租金、是否有权属、产权所属单位、资产计量、资产备查账数、能够确权、资产价值、资产总数、资产闲置数、资产低效数、担保人、担保对象、担保对象性质、担保方式、担保开始时间、担保结束时间、担保是否逾期、担保金额、是否发生代偿、担保余额、代偿发生额、收回代偿金额、追偿权益、收益人性质、权证号码、抵押质押事项简述、他项权利人、抵押质押等生效日、到期日、抵押质押金额、是否发生代偿、抵押质押余额、抵押质押代偿金额、收回代偿金额、追偿权益、审批文件、存在问题等。</w:t>
      </w:r>
      <w:r/>
    </w:p>
    <w:p>
      <w:pPr>
        <w:pStyle w:val="1031"/>
      </w:pPr>
      <w:r>
        <w:rPr>
          <w:rFonts w:hint="eastAsia"/>
        </w:rPr>
        <w:t xml:space="preserve">提供资产状态表查询等功能。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（J）资产负债表信息管理</w:t>
      </w:r>
      <w:r>
        <w:rPr>
          <w:rFonts w:ascii="仿宋" w:hAnsi="仿宋" w:eastAsia="仿宋" w:cs="仿宋"/>
          <w:b/>
          <w:bCs/>
          <w:sz w:val="32"/>
          <w:szCs w:val="32"/>
        </w:rPr>
      </w:r>
      <w:r/>
    </w:p>
    <w:p>
      <w:pPr>
        <w:pStyle w:val="1031"/>
      </w:pPr>
      <w:r>
        <w:rPr>
          <w:rFonts w:hint="eastAsia"/>
        </w:rPr>
        <w:t xml:space="preserve">资产负债表信息包括总计、账面数、清查增加数、清查减少数、清查净值等。</w:t>
      </w:r>
      <w:r/>
    </w:p>
    <w:p>
      <w:pPr>
        <w:pStyle w:val="1031"/>
      </w:pPr>
      <w:r>
        <w:rPr>
          <w:rFonts w:hint="eastAsia"/>
        </w:rPr>
        <w:t xml:space="preserve">提供资产负债表查询等功能。</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3）数据接口</w:t>
      </w:r>
      <w:r>
        <w:rPr>
          <w:rFonts w:ascii="仿宋" w:hAnsi="仿宋" w:eastAsia="仿宋" w:cs="仿宋"/>
          <w:b/>
          <w:sz w:val="32"/>
          <w:szCs w:val="32"/>
        </w:rPr>
      </w:r>
      <w:r/>
    </w:p>
    <w:p>
      <w:pPr>
        <w:pStyle w:val="1031"/>
      </w:pPr>
      <w:r>
        <w:rPr>
          <w:rFonts w:hint="eastAsia"/>
        </w:rPr>
        <w:t xml:space="preserve">以库表对接等形式，从预算管理一体化平台“资产云”模块获取行政事业单位各类国有资产清查数据，包含土地产权类资产、房屋建筑类资产、设备车辆类资产、基础设施类资产、股权债权类资产、无形资产类资产、特许经营类资产、其他类资产、问题资产清单、盘活利用清单等。</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（2）国有企业资产清查</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国有企业资产清查实现对省、市、县（区）、乡镇（街道）在内的全省范围金融企业、文化企业、事业单位所办企业、其他国资国企资产的清查、汇总展示功能。</w:t>
      </w:r>
      <w:r/>
    </w:p>
    <w:p>
      <w:pPr>
        <w:pStyle w:val="1031"/>
      </w:pPr>
      <w:r>
        <w:rPr>
          <w:rFonts w:hint="eastAsia"/>
        </w:rPr>
        <w:t xml:space="preserve">本系统</w:t>
      </w:r>
      <w:bookmarkStart w:id="196" w:name="_Hlk186726967"/>
      <w:r>
        <w:rPr>
          <w:rFonts w:hint="eastAsia"/>
        </w:rPr>
        <w:t xml:space="preserve">支持全省金融企业、文化企业、事业单位所办企业、其他国资国企资产清查在线填报及离线导入，按行政层级逐级汇总审核等功能。</w:t>
      </w:r>
      <w:bookmarkEnd w:id="196"/>
      <w:r>
        <w:rPr>
          <w:rFonts w:hint="eastAsia"/>
        </w:rPr>
        <w:t xml:space="preserve">支持清查填报时选择企业类别，包括金融企业、文化企业、事业单位所办企业、国资国企等。</w:t>
      </w:r>
      <w:r/>
    </w:p>
    <w:p>
      <w:pPr>
        <w:pStyle w:val="1031"/>
      </w:pPr>
      <w:r>
        <w:rPr>
          <w:rFonts w:hint="eastAsia"/>
        </w:rPr>
        <w:t xml:space="preserve">国有企业资产清查套表包括封面、土地产权类情况表、房屋建筑类情况表、设备类情况表、股权债权类情况表、无形资产类情况表、特许经营权情况表、自然资源类资产情况表、货币资金情况表、存货情况表、基础设施情况表、其他类资产情况表、资产负债表。</w:t>
      </w:r>
      <w:r/>
    </w:p>
    <w:p>
      <w:pPr>
        <w:pStyle w:val="1031"/>
      </w:pPr>
      <w:r>
        <w:rPr>
          <w:rFonts w:hint="eastAsia"/>
        </w:rPr>
        <w:t xml:space="preserve">土地产权类情况表包括土地产权类资产清查明细表。</w:t>
      </w:r>
      <w:r/>
    </w:p>
    <w:p>
      <w:pPr>
        <w:pStyle w:val="1031"/>
      </w:pPr>
      <w:r>
        <w:rPr>
          <w:rFonts w:hint="eastAsia"/>
        </w:rPr>
        <w:t xml:space="preserve">房屋建筑类情况表包括房屋建筑类清查明细表。</w:t>
      </w:r>
      <w:r/>
    </w:p>
    <w:p>
      <w:pPr>
        <w:pStyle w:val="1031"/>
      </w:pPr>
      <w:r>
        <w:rPr>
          <w:rFonts w:hint="eastAsia"/>
        </w:rPr>
        <w:t xml:space="preserve">设备类情况表包括大型机器设备类清查明细表。</w:t>
      </w:r>
      <w:r/>
    </w:p>
    <w:p>
      <w:pPr>
        <w:pStyle w:val="1031"/>
      </w:pPr>
      <w:r>
        <w:rPr>
          <w:rFonts w:hint="eastAsia"/>
        </w:rPr>
        <w:t xml:space="preserve">股权债权类情况表包括股权债权类清查表（对外投资）、股权债权类清查表（对外应收账款、合同资产、预付账款及其他应收款等）、企业私募基金投资情况调查表。</w:t>
      </w:r>
      <w:r/>
    </w:p>
    <w:p>
      <w:pPr>
        <w:pStyle w:val="1031"/>
      </w:pPr>
      <w:r>
        <w:rPr>
          <w:rFonts w:hint="eastAsia"/>
        </w:rPr>
        <w:t xml:space="preserve">无形资产类情况表包括无形资产清查明细表。</w:t>
      </w:r>
      <w:r/>
    </w:p>
    <w:p>
      <w:pPr>
        <w:pStyle w:val="1031"/>
      </w:pPr>
      <w:r>
        <w:rPr>
          <w:rFonts w:hint="eastAsia"/>
        </w:rPr>
        <w:t xml:space="preserve">特许经营权情况表包括特许经营权清查明细表。</w:t>
      </w:r>
      <w:r/>
    </w:p>
    <w:p>
      <w:pPr>
        <w:pStyle w:val="1031"/>
      </w:pPr>
      <w:r>
        <w:rPr>
          <w:rFonts w:hint="eastAsia"/>
        </w:rPr>
        <w:t xml:space="preserve">自然资源类资产情况表包括自然资源类资产清查表（汇总表）。</w:t>
      </w:r>
      <w:r/>
    </w:p>
    <w:p>
      <w:pPr>
        <w:pStyle w:val="1031"/>
      </w:pPr>
      <w:r>
        <w:rPr>
          <w:rFonts w:hint="eastAsia"/>
        </w:rPr>
        <w:t xml:space="preserve">货币资金情况表包括货币资金清查明细表。</w:t>
      </w:r>
      <w:r/>
    </w:p>
    <w:p>
      <w:pPr>
        <w:pStyle w:val="1031"/>
      </w:pPr>
      <w:r>
        <w:rPr>
          <w:rFonts w:hint="eastAsia"/>
        </w:rPr>
        <w:t xml:space="preserve">存货情况表包括存货清查明细表。</w:t>
      </w:r>
      <w:r/>
    </w:p>
    <w:p>
      <w:pPr>
        <w:pStyle w:val="1031"/>
      </w:pPr>
      <w:r>
        <w:rPr>
          <w:rFonts w:hint="eastAsia"/>
        </w:rPr>
        <w:t xml:space="preserve">基础设施情况表包括基础设施资产清查表。</w:t>
      </w:r>
      <w:r/>
    </w:p>
    <w:p>
      <w:pPr>
        <w:pStyle w:val="1031"/>
      </w:pPr>
      <w:r>
        <w:rPr>
          <w:rFonts w:hint="eastAsia"/>
        </w:rPr>
        <w:t xml:space="preserve">其他类资产情况表包括其他固定资产明细表。</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A.清查套表填报</w:t>
      </w:r>
      <w:r>
        <w:rPr>
          <w:rFonts w:ascii="仿宋" w:hAnsi="仿宋" w:eastAsia="仿宋" w:cs="仿宋"/>
          <w:b/>
          <w:sz w:val="32"/>
          <w:szCs w:val="32"/>
        </w:rPr>
      </w:r>
      <w:r/>
    </w:p>
    <w:p>
      <w:pPr>
        <w:pStyle w:val="1031"/>
      </w:pPr>
      <w:r>
        <w:rPr>
          <w:rFonts w:hint="eastAsia"/>
        </w:rPr>
        <w:t xml:space="preserve">企业接收填报任务后，开展清查套表的填报工作。提供清查套表的数据在线填报、导入、导出、历史填报数据查看等功能，提供批量导入、批量导入结果查看、附件上传、附件查看、附件下载等功能。数据采集需根据数据的勾稽关系实现自动校验和结果提示的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（A）清查套表封面信息管理</w:t>
      </w:r>
      <w:r>
        <w:rPr>
          <w:rFonts w:ascii="仿宋" w:hAnsi="仿宋" w:eastAsia="仿宋" w:cs="仿宋"/>
          <w:b/>
          <w:bCs/>
          <w:sz w:val="32"/>
          <w:szCs w:val="32"/>
        </w:rPr>
      </w:r>
      <w:r/>
    </w:p>
    <w:p>
      <w:pPr>
        <w:pStyle w:val="1031"/>
      </w:pPr>
      <w:r>
        <w:rPr>
          <w:rFonts w:hint="eastAsia"/>
        </w:rPr>
        <w:t xml:space="preserve">清查套表封面信息包括单位名称、单位负责人、财务负责人、填表人、电话号码、单位地址、报送日期、主要负责人、纪委监察机构负责人等。</w:t>
      </w:r>
      <w:r/>
    </w:p>
    <w:p>
      <w:pPr>
        <w:pStyle w:val="1031"/>
      </w:pPr>
      <w:r>
        <w:rPr>
          <w:rFonts w:hint="eastAsia"/>
        </w:rPr>
        <w:t xml:space="preserve">提供数据新增、数据修改、数据删除、数据导入、数据导出。</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（B）土地产权类资产清查明细表信息管理</w:t>
      </w:r>
      <w:r>
        <w:rPr>
          <w:rFonts w:ascii="仿宋" w:hAnsi="仿宋" w:eastAsia="仿宋" w:cs="仿宋"/>
          <w:b/>
          <w:bCs/>
          <w:sz w:val="32"/>
          <w:szCs w:val="32"/>
        </w:rPr>
      </w:r>
      <w:r/>
    </w:p>
    <w:p>
      <w:pPr>
        <w:pStyle w:val="1031"/>
      </w:pPr>
      <w:r>
        <w:rPr>
          <w:rFonts w:hint="eastAsia"/>
        </w:rPr>
        <w:t xml:space="preserve">土地产权类资产清查明细表信息包括资产名称、所属单位、是否为房地产开发企业、资产坐落区域（省、市、县）、坐落位置、持证人、发证日期、证书号码、载明面积、土地性质、取得日期、资产入账科目、资产来源、单位数量、账面面积</w:t>
      </w:r>
      <w:r>
        <w:rPr>
          <w:rFonts w:hint="eastAsia"/>
        </w:rPr>
        <w:t xml:space="preserve">、账面原值、账面减值准备、账面值、增加面积、增加原值、增加减值准备、增加账面值、减少面积、减少原值、减少减值准备、减少账面值、清查面积、清查原值、清查减值准备、清查账面值、决策方式、合计面积、自用面积、已开发面积、收储面积、出租面积、闲置面积、其他面积、是否可盘活、盘活方向、盘活收益、是否账外资产、是否闲置或低效无效资产、问题部分所涉金额、是否存在风险资产、预计损失金额、是否被村集体或社区占用、存在问题、具体问题描述、问题部分所涉及面积、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（C）房屋建筑类清查明细表信息管理</w:t>
      </w:r>
      <w:r>
        <w:rPr>
          <w:rFonts w:ascii="仿宋" w:hAnsi="仿宋" w:eastAsia="仿宋" w:cs="仿宋"/>
          <w:b/>
          <w:bCs/>
          <w:sz w:val="32"/>
          <w:szCs w:val="32"/>
        </w:rPr>
      </w:r>
      <w:r/>
    </w:p>
    <w:p>
      <w:pPr>
        <w:pStyle w:val="1031"/>
      </w:pPr>
      <w:r>
        <w:rPr>
          <w:rFonts w:hint="eastAsia"/>
        </w:rPr>
        <w:t xml:space="preserve">房屋建筑类清查明细表信息包括资产名称、所属单位、是否为房地产开发企业、资产坐落区域（省、市、县）、坐落位置、单位数量、持证人、发证日期、证书号码、建筑面积、宗地面积、资产入账科目、资产来源、资产类型、账面面</w:t>
      </w:r>
      <w:r>
        <w:rPr>
          <w:rFonts w:hint="eastAsia"/>
        </w:rPr>
        <w:t xml:space="preserve">积、账面原值、账面减值准备、账面值、增加面积、增加原值、增加减值准备、增加账面值、减少面积、减少原值、减少减值准备、减少账面值、清查面积、清查原值、清查减值准备、清查账面值、决策方式、合计面积、自用面积、出售面积、收储面积、出租面积、闲置面积、其他面积、是否可盘活、盘活方向、盘活收益、是否账外资产、是否闲置或低效无效资产、问题部分所涉金额、是否存在风险资产、预计损失金额、是否被村集体或社区占用、存在问题、具体问题描述、问题部分所涉及面积、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（D）大型机器设备类清查明细表信息管理</w:t>
      </w:r>
      <w:r>
        <w:rPr>
          <w:rFonts w:ascii="仿宋" w:hAnsi="仿宋" w:eastAsia="仿宋" w:cs="仿宋"/>
          <w:b/>
          <w:bCs/>
          <w:sz w:val="32"/>
          <w:szCs w:val="32"/>
        </w:rPr>
      </w:r>
      <w:r/>
    </w:p>
    <w:p>
      <w:pPr>
        <w:pStyle w:val="1031"/>
      </w:pPr>
      <w:r>
        <w:rPr>
          <w:rFonts w:hint="eastAsia"/>
        </w:rPr>
        <w:t xml:space="preserve">大型机器设备类清查明细表信息包括资产名称、所属单位、资产入账科目、决策方式、使用状况、账面原值、账面减值准备、账面值、增加原值、增加减值准备、增加账面值、减少原值、减少减值准备、减少账面值、清查原值、清查减值准备、清查账面值、是否可盘活、盘活方向、盘活收益、是否账外资产、是否闲置或低效无效资产、问题部分所涉金额、是否存在风险资产、预计损失金额、是否被村集体或社区占用、存在问题、具体问题描述、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（E）股权债权类清查表（对外投资）信息管理</w:t>
      </w:r>
      <w:r>
        <w:rPr>
          <w:rFonts w:ascii="仿宋" w:hAnsi="仿宋" w:eastAsia="仿宋" w:cs="仿宋"/>
          <w:b/>
          <w:bCs/>
          <w:sz w:val="32"/>
          <w:szCs w:val="32"/>
        </w:rPr>
      </w:r>
      <w:r/>
    </w:p>
    <w:p>
      <w:pPr>
        <w:pStyle w:val="1031"/>
      </w:pPr>
      <w:r>
        <w:rPr>
          <w:rFonts w:hint="eastAsia"/>
        </w:rPr>
        <w:t xml:space="preserve">股权债权类清查表（对外投资）信息包括投资单位、被投资单位（项目）、决策方式、账面原值、账面减值准备、账面值、增加原值、增加减值准备、增加账面值、减少原值</w:t>
      </w:r>
      <w:r>
        <w:rPr>
          <w:rFonts w:hint="eastAsia"/>
        </w:rPr>
        <w:t xml:space="preserve">、减少减值准备、减少账面值、清查原值、清查减值准备、清查账面值、初始投资成本、权益法下确认的累计投资损益（应收、权益法下累计收到分红（实收）、截至清查日持股比例、债券投资金额、债券票面金额、股票投资金额、股票截至清查日金额、其他金融产品投资金额、其他金融产品截至清查日金额、是否可盘活、盘活方向、盘活收益、是否账外资产、是否闲置或低效无效资产、问题部分所涉金额、是否存在风险资产、预计损失金额、是否被村集体或社区占用、存在问题、具体问题描述、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（F）股权债权类清查表（对外应收账款、合同资产、预付账款及其他应收款等）信息管理</w:t>
      </w:r>
      <w:r>
        <w:rPr>
          <w:rFonts w:ascii="仿宋" w:hAnsi="仿宋" w:eastAsia="仿宋" w:cs="仿宋"/>
          <w:b/>
          <w:bCs/>
          <w:sz w:val="32"/>
          <w:szCs w:val="32"/>
        </w:rPr>
      </w:r>
      <w:r/>
    </w:p>
    <w:p>
      <w:pPr>
        <w:pStyle w:val="1031"/>
      </w:pPr>
      <w:r>
        <w:rPr>
          <w:rFonts w:hint="eastAsia"/>
        </w:rPr>
        <w:t xml:space="preserve">股权债权类清查表（对外应收账款、合同资产、预付账款及其他应收款等）信息包括债权方名称、债务方名称、与本单位关系、笔数、账面原值、账面坏账准备、账面值、增加原值、增加坏账准备、增加账面值、减少原值、减少坏账准备、减少账面值、清查原值、清查坏账准备、清查账面值、是否可盘活、盘活方向、盘活收益、是否账外资产、是否低效无效资产、问题部分所涉金额、是否存在风险资产、预计损失金额、存在问题、具体问题描述、超账期金额、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（G）企业私募基金投资情况调查表信息管理</w:t>
      </w:r>
      <w:r>
        <w:rPr>
          <w:rFonts w:ascii="仿宋" w:hAnsi="仿宋" w:eastAsia="仿宋" w:cs="仿宋"/>
          <w:b/>
          <w:bCs/>
          <w:sz w:val="32"/>
          <w:szCs w:val="32"/>
        </w:rPr>
      </w:r>
      <w:r/>
    </w:p>
    <w:p>
      <w:pPr>
        <w:pStyle w:val="1031"/>
      </w:pPr>
      <w:r>
        <w:rPr>
          <w:rFonts w:hint="eastAsia"/>
        </w:rPr>
        <w:t xml:space="preserve">企业私募基金投资情况调查表信息包括投资主体名称、投资主体层次、私募基金名称、基金控制关系、基金投资方向、基金设立时间、基金备案时间、基金认缴金额、基金截至清查日实缴金额、国企部分认缴金额、国企部分截至清查日实缴金额、国企部分审批时间、国企部分审批文件、账面数、清查增加数、清查减少数、清查数、基金期限、</w:t>
      </w:r>
      <w:r>
        <w:rPr>
          <w:rFonts w:hint="eastAsia"/>
        </w:rPr>
        <w:t xml:space="preserve">基金管理人名称、基金管理费比例、是否取得基金年度管理报告、是否投资设立子基金、子基金层级、股权投资项目数量、股权投资金额合计、债券投资项目数量、债权投资借出资金合计、债权投资最低利率、债权投资最高利率、债权投资收回利息、基金清算本金、基金清算收益、损失项目数量、损失金额、基金整体退出损失金额、基金状态、是否可盘活、盘活方向、盘活收益、是否账外资产、是否低效无效资产、问题部分所涉金额、是否存在风险资产、预计损失金额、存在问题、具体问题描述、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（H）无形资产清查明细表信息管理</w:t>
      </w:r>
      <w:r>
        <w:rPr>
          <w:rFonts w:ascii="仿宋" w:hAnsi="仿宋" w:eastAsia="仿宋" w:cs="仿宋"/>
          <w:b/>
          <w:bCs/>
          <w:sz w:val="32"/>
          <w:szCs w:val="32"/>
        </w:rPr>
      </w:r>
      <w:r/>
    </w:p>
    <w:p>
      <w:pPr>
        <w:pStyle w:val="1031"/>
      </w:pPr>
      <w:r>
        <w:rPr>
          <w:rFonts w:hint="eastAsia"/>
        </w:rPr>
        <w:t xml:space="preserve">无形资产清查明细表信息包括资产名称、资产类别（不含土地使用权）、是否入账、账面原值、账面减值准备、账面值、增加原值、增加减值准备、增加账面值、减少原值、减少减值准备、减少账面值、清查原值、清查减值准备、清查账面值、使用状况、是否可盘活、盘活方向、盘活收益、是否账外资产、是否低效无效资产、问题部分所涉金额、是否存在风险资产、预计损失金额、是否被村集体或社区占用、存在问题、具体问题描述、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（I）特许经营权清查明细表信息管理</w:t>
      </w:r>
      <w:r>
        <w:rPr>
          <w:rFonts w:ascii="仿宋" w:hAnsi="仿宋" w:eastAsia="仿宋" w:cs="仿宋"/>
          <w:b/>
          <w:bCs/>
          <w:sz w:val="32"/>
          <w:szCs w:val="32"/>
        </w:rPr>
      </w:r>
      <w:r/>
    </w:p>
    <w:p>
      <w:pPr>
        <w:pStyle w:val="1031"/>
      </w:pPr>
      <w:r>
        <w:rPr>
          <w:rFonts w:hint="eastAsia"/>
        </w:rPr>
        <w:t xml:space="preserve">特许经营权清查明细表信息包括特许经营项目名称、特许经营类别、特许经营规模及范围、主管部门、特许经营受让方式、账面数、清查增加数、清查减少数、清查数、特许经营期许可协议年限、授权单位、起始时间、到期时间、收费依据、特许经营权年收益、应收未收金额、政府补贴金额、是否可盘活、盘活方向、盘活收益、是否账外资产、是否闲置或低效无效资产、问题部分所涉金额、是否存在风险资产、预计损失金额、是否被村集体或社区占用、存在问题、具体问题描述、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（J）自然资源类资产清查表（汇总表）信息管理</w:t>
      </w:r>
      <w:r>
        <w:rPr>
          <w:rFonts w:ascii="仿宋" w:hAnsi="仿宋" w:eastAsia="仿宋" w:cs="仿宋"/>
          <w:b/>
          <w:bCs/>
          <w:sz w:val="32"/>
          <w:szCs w:val="32"/>
        </w:rPr>
      </w:r>
      <w:r/>
    </w:p>
    <w:p>
      <w:pPr>
        <w:pStyle w:val="1031"/>
      </w:pPr>
      <w:r>
        <w:rPr>
          <w:rFonts w:hint="eastAsia"/>
        </w:rPr>
        <w:t xml:space="preserve">自然资源类资产清查表（汇总表）信息包括资产名称、账面面积、账面原值、账面减值准备、账面值、增加面积、增加原值、增加减值准备、增加账面值、减少面积、减少原值、减少减值准备、减少账面值、清查面积、清查原值、清查减值准备、清查账面值、是否可盘活、盘活方向、盘活收益、是否账外资产、是否闲置或低效无效资产、问题部分所涉金额、是否存在风险资产、预计损失金额、是否被村集体或社区占用、存在问题、具体问题描述、问题部分所涉及面积、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（K）货币资金清查明细表信息管理</w:t>
      </w:r>
      <w:r>
        <w:rPr>
          <w:rFonts w:ascii="仿宋" w:hAnsi="仿宋" w:eastAsia="仿宋" w:cs="仿宋"/>
          <w:b/>
          <w:bCs/>
          <w:sz w:val="32"/>
          <w:szCs w:val="32"/>
        </w:rPr>
      </w:r>
      <w:r/>
    </w:p>
    <w:p>
      <w:pPr>
        <w:pStyle w:val="1031"/>
      </w:pPr>
      <w:r>
        <w:rPr>
          <w:rFonts w:hint="eastAsia"/>
        </w:rPr>
        <w:t xml:space="preserve">货币资金清查明细表信息包括集团名称、所属单位、账面数、清查增加数、清查减少数、清查数、是否账外资产、问题部分所涉金额、预计损失金额、是否被村集体或社区占用、存在问题、具体问题描述、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（L）存货清查明细表信息管理</w:t>
      </w:r>
      <w:r>
        <w:rPr>
          <w:rFonts w:ascii="仿宋" w:hAnsi="仿宋" w:eastAsia="仿宋" w:cs="仿宋"/>
          <w:b/>
          <w:bCs/>
          <w:sz w:val="32"/>
          <w:szCs w:val="32"/>
        </w:rPr>
      </w:r>
      <w:r/>
    </w:p>
    <w:p>
      <w:pPr>
        <w:pStyle w:val="1031"/>
      </w:pPr>
      <w:r>
        <w:rPr>
          <w:rFonts w:hint="eastAsia"/>
        </w:rPr>
        <w:t xml:space="preserve">存货清查明细表信息包括资产名称、所属单位、资产类别、账面原值、账面减值准备、账面值、增加原值、增加减值准备、增加账面值、减少原值、减少减值准备、减少账面值、清查原值、清查减值准备、清查账面值、使用状况、是否可盘活、盘活方向、盘活收益、是否账外资产、是否长期积压/滞销库存商品、长期积压/滞销金额、问题部分所涉金额、预计损失金额、是否被村集体或社区占用、存在问题、具体问题描述、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（M）基础设施资产清查表信息管理</w:t>
      </w:r>
      <w:r>
        <w:rPr>
          <w:rFonts w:ascii="仿宋" w:hAnsi="仿宋" w:eastAsia="仿宋" w:cs="仿宋"/>
          <w:b/>
          <w:bCs/>
          <w:sz w:val="32"/>
          <w:szCs w:val="32"/>
        </w:rPr>
      </w:r>
      <w:r/>
    </w:p>
    <w:p>
      <w:pPr>
        <w:pStyle w:val="1031"/>
      </w:pPr>
      <w:r>
        <w:rPr>
          <w:rFonts w:hint="eastAsia"/>
        </w:rPr>
        <w:t xml:space="preserve">基础设施资产清查表信息包括项目名称、所属单位、资产坐落位置、坐落位置、资产类别、决策方式、开工日期、工程建设情况、计划投资总额、累计完成投资、账面数、清查增加数、清查减少数、清查数、是否可盘活、是否账外资产、是否闲置或低效无效资产、问题部分所涉金额、是否存在风险资产、预计损失金额、是否被村集体或社区占用、存在问题、具体问题描述、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（N）其他固定资产明细表信息管理</w:t>
      </w:r>
      <w:r>
        <w:rPr>
          <w:rFonts w:ascii="仿宋" w:hAnsi="仿宋" w:eastAsia="仿宋" w:cs="仿宋"/>
          <w:b/>
          <w:bCs/>
          <w:sz w:val="32"/>
          <w:szCs w:val="32"/>
        </w:rPr>
      </w:r>
      <w:r/>
    </w:p>
    <w:p>
      <w:pPr>
        <w:pStyle w:val="1031"/>
      </w:pPr>
      <w:r>
        <w:rPr>
          <w:rFonts w:hint="eastAsia"/>
        </w:rPr>
        <w:t xml:space="preserve">其他固定资产明细表信息包括资产名称、所属单位、资产类别、账面原值、账面减值准备、账面值、增加原值、增加减值准备、增加账面值、减少原值、减少减值准备、减少账面值、清查原值、清查减值准备、清查账面值、使用状况、是否可盘活、盘活方向、盘活收益、是否账外资产、是否闲置或低效无效资产、问题部分所涉金额、是否存在风险资产、预计损失金额、是否被村集体或社区占用、存在问题、具体问题描述、整改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（O）资产负债表信息管理</w:t>
      </w:r>
      <w:r>
        <w:rPr>
          <w:rFonts w:ascii="仿宋" w:hAnsi="仿宋" w:eastAsia="仿宋" w:cs="仿宋"/>
          <w:b/>
          <w:bCs/>
          <w:sz w:val="32"/>
          <w:szCs w:val="32"/>
        </w:rPr>
      </w:r>
      <w:r/>
    </w:p>
    <w:p>
      <w:pPr>
        <w:pStyle w:val="1031"/>
      </w:pPr>
      <w:r>
        <w:rPr>
          <w:rFonts w:hint="eastAsia"/>
        </w:rPr>
        <w:t xml:space="preserve">资产负债表信息包括项目信息、账面数、清查增加数、清查减少数、清查数等。</w:t>
      </w:r>
      <w:r/>
    </w:p>
    <w:p>
      <w:pPr>
        <w:pStyle w:val="1031"/>
      </w:pPr>
      <w:r>
        <w:rPr>
          <w:rFonts w:hint="eastAsia"/>
        </w:rPr>
        <w:t xml:space="preserve">项目信息包括流动资产信息、非流动资产信息、流动负债信息、非流动负债信息、所有者权益（或股东权益）信息等。</w:t>
      </w:r>
      <w:r/>
    </w:p>
    <w:p>
      <w:pPr>
        <w:pStyle w:val="1031"/>
      </w:pPr>
      <w:r>
        <w:rPr>
          <w:rFonts w:hint="eastAsia"/>
        </w:rPr>
        <w:t xml:space="preserve">流动资产信息包括货币资金、结算备付金、拆出资金、交易性金融资产、以公允价值计量且其变动计入当期损益的金融资产、衍生金融资产、应收票据、应收账款、应收款项融资、预付款项、应收保费、应收分保账款、应收分保合同准备金、应收资金集中管理款、其他应收款、其中应收股利、买入返售金融资产、存货、其中原材料、库存商品（产成品）、合同资产、保险合同资产、分出再保险合同资产、持有待售资产、一年内到期的非流动资产、其他流动资产、流动资产合计等。</w:t>
      </w:r>
      <w:r/>
    </w:p>
    <w:p>
      <w:pPr>
        <w:pStyle w:val="1031"/>
      </w:pPr>
      <w:r>
        <w:rPr>
          <w:rFonts w:hint="eastAsia"/>
        </w:rPr>
        <w:t xml:space="preserve">非流动资产信息包括发放贷款和垫款、债权投资、可供出售金融资产、其他债权投资、持有至到期投资、长期应收款、长期股权投资、其他权益工具投资、其他非流动金融资产、投资性房地产、固定资产、其中固定资产原价、累计折旧、固定资产减值准备、在建工程、生产性生物资产、油气资产、使用权资产、无形资产、开发支出、商誉、长期待摊费用、递延所得税资产、其他非流动资产、其中特准储备物资、非流动资产合计等。</w:t>
      </w:r>
      <w:r/>
    </w:p>
    <w:p>
      <w:pPr>
        <w:pStyle w:val="1031"/>
      </w:pPr>
      <w:r>
        <w:rPr>
          <w:rFonts w:hint="eastAsia"/>
        </w:rPr>
        <w:t xml:space="preserve">流动负债信息包括短期借款、向中央银行借款、拆入资金、交易性金融负债、以公允价值计量且其变动计入当期损益的金融负债、衍生金融负债、应付票据、应付账款、预收款项、合同负债、卖出回购金融资产款、吸收存款及同业存放、代理买卖证券款、代理承销证券款、预收保费、应付职工薪酬、其中应付工资、应付福利费、其中职工奖励及福利基金、应交税费、其中应交税金、其他应付款、其中应付股利、应付手续费及佣金、应付分保账款、持有待售负债、一年内到期的非流动负债、其他流动负债、流动负债合计等。</w:t>
      </w:r>
      <w:r/>
    </w:p>
    <w:p>
      <w:pPr>
        <w:pStyle w:val="1031"/>
      </w:pPr>
      <w:r>
        <w:rPr>
          <w:rFonts w:hint="eastAsia"/>
        </w:rPr>
        <w:t xml:space="preserve">非流动资产负债信息包括保险合同准备金、长期借款、应付债券、其中优先股、永续债、保险合同负债、分出再保险合同负债、租赁负债、长期应付款、长期应付职工薪酬、预计负债、递延收益、递延所得税负债、其他非流动负债、其中特准储备基金、非流动负债合计、负债合计等。</w:t>
      </w:r>
      <w:r/>
    </w:p>
    <w:p>
      <w:pPr>
        <w:pStyle w:val="1031"/>
      </w:pPr>
      <w:r>
        <w:rPr>
          <w:rFonts w:hint="eastAsia"/>
        </w:rPr>
        <w:t xml:space="preserve">所有者权益（或股东权益）信息包括实收资本（或股本）、国家资本、国有法人资本、集体资本、民营资本、外商资本、减：已归还投资、实收资本（或股本）净额、其他权益工具、其中优先股、永续债、资本公积、减：库存股、其他综合收益、其中外币报表折算差额、专项储备、盈余公积、其中法定公积金、任意公积金、储备基金、企业发展基金、利润归还投资、一般风险准备、未分配利润、归属于母公司所有者权益（或股东权益）合计、少数股东权益、所有者权益（或股东权益）合计、负债和所有者权益（或股东权益）总计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（P）问题资产清单信息管理</w:t>
      </w:r>
      <w:r>
        <w:rPr>
          <w:rFonts w:ascii="仿宋" w:hAnsi="仿宋" w:eastAsia="仿宋" w:cs="仿宋"/>
          <w:b/>
          <w:bCs/>
          <w:sz w:val="32"/>
          <w:szCs w:val="32"/>
        </w:rPr>
      </w:r>
      <w:r/>
    </w:p>
    <w:p>
      <w:pPr>
        <w:pStyle w:val="1031"/>
      </w:pPr>
      <w:r>
        <w:rPr>
          <w:rFonts w:hint="eastAsia"/>
        </w:rPr>
        <w:t xml:space="preserve">问题资产清单信息包括清查企业名称、监管主体、资产名称、资产类别、资产清查值、资产总面积、问题部分所涉及面积、清查账外资产金额、问题部分所涉金额、预计损失金额、具体问题、问题类别、整改类型、盘活类型、整改措施、整改时限、责任人、整改状态整改情况说明、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（Q）盘活利用清单信息管理</w:t>
      </w:r>
      <w:r>
        <w:rPr>
          <w:rFonts w:ascii="仿宋" w:hAnsi="仿宋" w:eastAsia="仿宋" w:cs="仿宋"/>
          <w:b/>
          <w:bCs/>
          <w:sz w:val="32"/>
          <w:szCs w:val="32"/>
        </w:rPr>
      </w:r>
      <w:r/>
    </w:p>
    <w:p>
      <w:pPr>
        <w:pStyle w:val="1031"/>
      </w:pPr>
      <w:r>
        <w:rPr>
          <w:rFonts w:hint="eastAsia"/>
        </w:rPr>
        <w:t xml:space="preserve">盘后利用清单信息包括清查企业、监管主体、资产名称、资产类别、资产总面积、问题部分所涉及面积、清查账外资产金额、问题部分所涉金额、预计损失金额、情况简要说明、资产使用状况、盘活方向、盘活类型、盘活收益、盘活时限、责任人、是否已完成盘活、备注等。</w:t>
      </w:r>
      <w:r/>
    </w:p>
    <w:p>
      <w:pPr>
        <w:pStyle w:val="1031"/>
      </w:pPr>
      <w:r>
        <w:rPr>
          <w:rFonts w:hint="eastAsia"/>
        </w:rPr>
        <w:t xml:space="preserve">提供数据新增、数据修改、数据删除、数据导入、数据导出、历史填报数据查看等功能。支持数据勾稽关系的校验。</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（R）批量操作</w:t>
      </w:r>
      <w:r>
        <w:rPr>
          <w:rFonts w:ascii="仿宋" w:hAnsi="仿宋" w:eastAsia="仿宋" w:cs="仿宋"/>
          <w:b/>
          <w:bCs/>
          <w:sz w:val="32"/>
          <w:szCs w:val="32"/>
        </w:rPr>
      </w:r>
      <w:r/>
    </w:p>
    <w:p>
      <w:pPr>
        <w:pStyle w:val="1031"/>
      </w:pPr>
      <w:r>
        <w:rPr>
          <w:rFonts w:hint="eastAsia"/>
        </w:rPr>
        <w:t xml:space="preserve">对清查套表提供批量导入、批量导入结果查看、数据校验、校验结果查看、批量导出等功能。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B.清查套表审核</w:t>
      </w:r>
      <w:r>
        <w:rPr>
          <w:rFonts w:ascii="仿宋" w:hAnsi="仿宋" w:eastAsia="仿宋" w:cs="仿宋"/>
          <w:b/>
          <w:sz w:val="32"/>
          <w:szCs w:val="32"/>
        </w:rPr>
      </w:r>
      <w:r/>
    </w:p>
    <w:p>
      <w:pPr>
        <w:pStyle w:val="1031"/>
      </w:pPr>
      <w:r>
        <w:rPr>
          <w:rFonts w:hint="eastAsia"/>
        </w:rPr>
        <w:t xml:space="preserve">根据系统配置的国有企业清查填报审核流程进行清查套表审核。清查套表审核信息包括审核状态、审核意见、审核人、审核时间等。提供审核、审核意见填写、审核进度查看、审核意见查看等功能。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C.清查套表汇总</w:t>
      </w:r>
      <w:r>
        <w:rPr>
          <w:rFonts w:ascii="仿宋" w:hAnsi="仿宋" w:eastAsia="仿宋" w:cs="仿宋"/>
          <w:b/>
          <w:sz w:val="32"/>
          <w:szCs w:val="32"/>
        </w:rPr>
      </w:r>
      <w:r/>
    </w:p>
    <w:p>
      <w:pPr>
        <w:pStyle w:val="1031"/>
      </w:pPr>
      <w:r>
        <w:rPr>
          <w:rFonts w:hint="eastAsia"/>
        </w:rPr>
        <w:t xml:space="preserve">上级财政部门将下级单位提交的清查套表进行汇总。可按每张表单分别汇总、按资产类型汇总等。</w:t>
      </w:r>
      <w:r/>
    </w:p>
    <w:p>
      <w:pPr>
        <w:pStyle w:val="1031"/>
      </w:pPr>
      <w:r>
        <w:rPr>
          <w:rFonts w:hint="eastAsia"/>
        </w:rPr>
        <w:t xml:space="preserve">提供土地产权类资产清查明细表数据汇总、房屋建筑类清查明细表数据汇总、大型机器设备类清查明细表数据汇总、股权债权类清查表（对外投资）数据汇总、股权债权类清查表（</w:t>
      </w:r>
      <w:r>
        <w:rPr>
          <w:rFonts w:hint="eastAsia"/>
        </w:rPr>
        <w:t xml:space="preserve">对外应收账款、合同资产、预付账款其他应收款等）数据汇总、企业私募基金投资情况调查表数据汇总、无形资产清查明细表数据汇总、特许经营权清查明细表数据汇总、自然资源类资产清查表(汇总表)数据汇总、货币资金清查明细表数据汇总、存货清查明细表数据汇总、基础设施资产清查表数据汇总、其他固定资产明细表数据汇总、资产负债表数据汇总、土地产权类清查数据汇总、房屋建筑类清查数据汇总、车辆设备类清查数据汇总、基础设施类清查数据汇总、股权债权类清查数据汇总、无形资产类清查数据汇总、特许经营类清查数据汇总、其他类清查数据汇总等功能。</w:t>
      </w:r>
      <w:r/>
    </w:p>
    <w:p>
      <w:pPr>
        <w:pStyle w:val="1031"/>
      </w:pPr>
      <w:r>
        <w:rPr>
          <w:rFonts w:hint="eastAsia"/>
        </w:rPr>
        <w:t xml:space="preserve">上级财政部门可以查看下级单位填报情况。提供国有企业清查整体填报情况汇总查看等功能。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D.</w:t>
      </w:r>
      <w:bookmarkStart w:id="197" w:name="_Hlk186726873"/>
      <w:r>
        <w:rPr>
          <w:rFonts w:hint="eastAsia" w:ascii="仿宋" w:hAnsi="仿宋" w:eastAsia="仿宋" w:cs="仿宋"/>
          <w:b/>
          <w:sz w:val="32"/>
          <w:szCs w:val="32"/>
        </w:rPr>
        <w:t xml:space="preserve">资产负债表差额表管理</w:t>
      </w:r>
      <w:bookmarkEnd w:id="197"/>
      <w:r>
        <w:rPr>
          <w:rFonts w:ascii="仿宋" w:hAnsi="仿宋" w:eastAsia="仿宋" w:cs="仿宋"/>
          <w:b/>
          <w:sz w:val="32"/>
          <w:szCs w:val="32"/>
        </w:rPr>
      </w:r>
      <w:r/>
    </w:p>
    <w:p>
      <w:pPr>
        <w:pStyle w:val="1031"/>
      </w:pPr>
      <w:r>
        <w:rPr>
          <w:rFonts w:hint="eastAsia"/>
        </w:rPr>
        <w:t xml:space="preserve">针对国有企业资产负债表，提供差额表的管理功能。</w:t>
      </w:r>
      <w:r/>
    </w:p>
    <w:p>
      <w:pPr>
        <w:pStyle w:val="1031"/>
      </w:pPr>
      <w:r>
        <w:rPr>
          <w:rFonts w:hint="eastAsia"/>
        </w:rPr>
        <w:t xml:space="preserve">差额表信息包括负债和所有者权利、增加数、减少数等。</w:t>
      </w:r>
      <w:r/>
    </w:p>
    <w:p>
      <w:pPr>
        <w:pStyle w:val="1031"/>
      </w:pPr>
      <w:r>
        <w:rPr>
          <w:rFonts w:hint="eastAsia"/>
        </w:rPr>
        <w:t xml:space="preserve">提供差额表的新增、修改、删除、查询、确认等功能。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E.资产负债表合并</w:t>
      </w:r>
      <w:r>
        <w:rPr>
          <w:rFonts w:ascii="仿宋" w:hAnsi="仿宋" w:eastAsia="仿宋" w:cs="仿宋"/>
          <w:b/>
          <w:sz w:val="32"/>
          <w:szCs w:val="32"/>
        </w:rPr>
      </w:r>
      <w:r/>
    </w:p>
    <w:p>
      <w:pPr>
        <w:pStyle w:val="1031"/>
      </w:pPr>
      <w:r>
        <w:rPr>
          <w:rFonts w:hint="eastAsia"/>
        </w:rPr>
        <w:t xml:space="preserve">基于下级企业填报的资产负债表差额表，提供报资产负债表的合并生成、修改、删除、导出，下级差额表查询等功能。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F.自定义查询</w:t>
      </w:r>
      <w:r>
        <w:rPr>
          <w:rFonts w:ascii="仿宋" w:hAnsi="仿宋" w:eastAsia="仿宋" w:cs="仿宋"/>
          <w:b/>
          <w:sz w:val="32"/>
          <w:szCs w:val="32"/>
        </w:rPr>
      </w:r>
      <w:r/>
    </w:p>
    <w:p>
      <w:pPr>
        <w:pStyle w:val="1031"/>
      </w:pPr>
      <w:r>
        <w:rPr>
          <w:rFonts w:hint="eastAsia"/>
        </w:rPr>
        <w:t xml:space="preserve">根据行政层级、不同企业类型、指定清查表单等查询条件提供自定义查询汇总功能，支持逐级穿透式查询。</w:t>
      </w:r>
      <w:r/>
    </w:p>
    <w:p>
      <w:pPr>
        <w:pStyle w:val="891"/>
        <w:ind w:firstLine="482"/>
        <w:keepLines/>
        <w:keepNext/>
        <w:spacing w:before="78" w:after="78" w:line="360" w:lineRule="auto"/>
        <w:rPr>
          <w:rFonts w:ascii="仿宋" w:hAnsi="仿宋" w:eastAsia="仿宋" w:cs="仿宋"/>
          <w:b/>
          <w:sz w:val="32"/>
          <w:szCs w:val="32"/>
        </w:rPr>
        <w:outlineLvl w:val="1"/>
      </w:pPr>
      <w:r>
        <w:rPr>
          <w:rFonts w:ascii="仿宋" w:hAnsi="仿宋" w:eastAsia="仿宋" w:cs="仿宋"/>
          <w:b/>
          <w:sz w:val="32"/>
          <w:szCs w:val="32"/>
        </w:rPr>
        <w:t xml:space="preserve">2</w:t>
      </w:r>
      <w:r>
        <w:rPr>
          <w:rFonts w:hint="eastAsia" w:ascii="仿宋" w:hAnsi="仿宋" w:eastAsia="仿宋" w:cs="仿宋"/>
          <w:b/>
          <w:sz w:val="32"/>
          <w:szCs w:val="32"/>
        </w:rPr>
        <w:t xml:space="preserve">.2.国有企业资产日常管理</w:t>
      </w:r>
      <w:r>
        <w:rPr>
          <w:rFonts w:ascii="仿宋" w:hAnsi="仿宋" w:eastAsia="仿宋" w:cs="仿宋"/>
          <w:b/>
          <w:sz w:val="32"/>
          <w:szCs w:val="32"/>
        </w:rPr>
      </w:r>
      <w:r/>
    </w:p>
    <w:p>
      <w:pPr>
        <w:pStyle w:val="1031"/>
      </w:pPr>
      <w:r>
        <w:rPr>
          <w:rFonts w:hint="eastAsia"/>
        </w:rPr>
        <w:t xml:space="preserve">国有企业资产日常管理是确保国有资产安全、增值和国有企业可持续发展的关键环节。通过对全省国有企业关键资产、关键业务的在线登记，实现国有企业关键资产的常态化监管。</w:t>
      </w:r>
      <w:bookmarkStart w:id="198" w:name="_Hlk186727107"/>
      <w:r>
        <w:rPr>
          <w:rFonts w:hint="eastAsia"/>
        </w:rPr>
        <w:t xml:space="preserve">国有企业资产日常管理包括国资国企、金融企业、文化企业、事业单位所办企业的日常管理。</w:t>
      </w:r>
      <w:bookmarkEnd w:id="198"/>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（1）国资国企日常管理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对国资国企的关键资产、关键业务的变动进行动态跟踪。</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1031"/>
      </w:pPr>
      <w:r/>
      <w:bookmarkStart w:id="199" w:name="_Hlk186727171"/>
      <w:r>
        <w:rPr>
          <w:rFonts w:hint="eastAsia"/>
        </w:rPr>
        <w:t xml:space="preserve">针对国资国企资产变动等业务情况，提供资产变动情况填报功能，支持国资国企资产变动情况填报，支持接入省国资监管平台业务数据。</w:t>
      </w:r>
      <w:bookmarkEnd w:id="199"/>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A.企业资产信息管理</w:t>
      </w:r>
      <w:r>
        <w:rPr>
          <w:rFonts w:ascii="仿宋" w:hAnsi="仿宋" w:eastAsia="仿宋" w:cs="仿宋"/>
          <w:b/>
          <w:sz w:val="32"/>
          <w:szCs w:val="32"/>
        </w:rPr>
      </w:r>
      <w:r/>
    </w:p>
    <w:p>
      <w:pPr>
        <w:pStyle w:val="1031"/>
      </w:pPr>
      <w:r>
        <w:rPr>
          <w:rFonts w:hint="eastAsia"/>
        </w:rPr>
        <w:t xml:space="preserve">企业资产信息包括企业流动资产、非流动资产及负债总额、所有者权益（或股东权益）的期初余额、期末余额及本月变动额等。</w:t>
      </w:r>
      <w:r/>
    </w:p>
    <w:p>
      <w:pPr>
        <w:pStyle w:val="1031"/>
      </w:pPr>
      <w:r>
        <w:rPr>
          <w:rFonts w:hint="eastAsia"/>
        </w:rPr>
        <w:t xml:space="preserve">提供资产信息新增、资产信息变更登记、资产变更轨迹计算及查看、资产信息汇总、资产信息对比分析等功能。支持填写企业重大的股权变动、资产注入、资产处置等情况说明及上传附件材料。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B.土地资产信息管理</w:t>
      </w:r>
      <w:r>
        <w:rPr>
          <w:rFonts w:ascii="仿宋" w:hAnsi="仿宋" w:eastAsia="仿宋" w:cs="仿宋"/>
          <w:b/>
          <w:sz w:val="32"/>
          <w:szCs w:val="32"/>
        </w:rPr>
      </w:r>
      <w:r/>
    </w:p>
    <w:p>
      <w:pPr>
        <w:pStyle w:val="1031"/>
      </w:pPr>
      <w:r>
        <w:rPr>
          <w:rFonts w:hint="eastAsia"/>
        </w:rPr>
        <w:t xml:space="preserve">土地资产信息包括土地存量、新增数、减少数、使用状况、附件等。</w:t>
      </w:r>
      <w:r/>
    </w:p>
    <w:p>
      <w:pPr>
        <w:pStyle w:val="1031"/>
      </w:pPr>
      <w:r>
        <w:rPr>
          <w:rFonts w:hint="eastAsia"/>
        </w:rPr>
        <w:t xml:space="preserve">提供资产信息新增、资产信息变更登记、资产变更轨迹查看等功能。支持上传相关论证、评估、决策、挂（摘）牌、合同协议等附件材料。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C.房屋建筑物资产信息管理</w:t>
      </w:r>
      <w:r>
        <w:rPr>
          <w:rFonts w:ascii="仿宋" w:hAnsi="仿宋" w:eastAsia="仿宋" w:cs="仿宋"/>
          <w:b/>
          <w:sz w:val="32"/>
          <w:szCs w:val="32"/>
        </w:rPr>
      </w:r>
      <w:r/>
    </w:p>
    <w:p>
      <w:pPr>
        <w:pStyle w:val="1031"/>
      </w:pPr>
      <w:r>
        <w:rPr>
          <w:rFonts w:hint="eastAsia"/>
        </w:rPr>
        <w:t xml:space="preserve">房屋建筑物资产信息包括企业房屋建筑物存量、新增数、减少数、使用状况、附件等。</w:t>
      </w:r>
      <w:r/>
    </w:p>
    <w:p>
      <w:pPr>
        <w:pStyle w:val="1031"/>
      </w:pPr>
      <w:r>
        <w:rPr>
          <w:rFonts w:hint="eastAsia"/>
        </w:rPr>
        <w:t xml:space="preserve">提供资产信息新增、资产信息变更登记、资产变更轨迹查看等功能。支持上传相关论证、评估、决策、合同协议等附件材料。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D.逾期应收款项信息管理</w:t>
      </w:r>
      <w:r>
        <w:rPr>
          <w:rFonts w:ascii="仿宋" w:hAnsi="仿宋" w:eastAsia="仿宋" w:cs="仿宋"/>
          <w:b/>
          <w:sz w:val="32"/>
          <w:szCs w:val="32"/>
        </w:rPr>
      </w:r>
      <w:r/>
    </w:p>
    <w:p>
      <w:pPr>
        <w:pStyle w:val="1031"/>
      </w:pPr>
      <w:r>
        <w:rPr>
          <w:rFonts w:hint="eastAsia"/>
        </w:rPr>
        <w:t xml:space="preserve">逾期应收款项信息包括应收账款、其他应收款、预付账款等余额、增加数、减少数、附件等。</w:t>
      </w:r>
      <w:r/>
    </w:p>
    <w:p>
      <w:pPr>
        <w:pStyle w:val="1031"/>
      </w:pPr>
      <w:r>
        <w:rPr>
          <w:rFonts w:hint="eastAsia"/>
        </w:rPr>
        <w:t xml:space="preserve">提供信息新增、信息变更登记、变更轨迹查看等功能。支持上传合同协议等附件材料。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E.超期库存商品信息管理</w:t>
      </w:r>
      <w:r>
        <w:rPr>
          <w:rFonts w:ascii="仿宋" w:hAnsi="仿宋" w:eastAsia="仿宋" w:cs="仿宋"/>
          <w:b/>
          <w:sz w:val="32"/>
          <w:szCs w:val="32"/>
        </w:rPr>
      </w:r>
      <w:r/>
    </w:p>
    <w:p>
      <w:pPr>
        <w:pStyle w:val="1031"/>
      </w:pPr>
      <w:r>
        <w:rPr>
          <w:rFonts w:hint="eastAsia"/>
        </w:rPr>
        <w:t xml:space="preserve">超期库存商品信息包括企业库龄6个月以上的库存商品名称、余额、增加数、减少数、附件等。</w:t>
      </w:r>
      <w:r/>
    </w:p>
    <w:p>
      <w:pPr>
        <w:pStyle w:val="1031"/>
      </w:pPr>
      <w:r>
        <w:rPr>
          <w:rFonts w:hint="eastAsia"/>
        </w:rPr>
        <w:t xml:space="preserve">提供信息新增、信息变更登记、变更轨迹查看等功能。支持上传附件材料。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F.长期股权投资信息管理</w:t>
      </w:r>
      <w:r>
        <w:rPr>
          <w:rFonts w:ascii="仿宋" w:hAnsi="仿宋" w:eastAsia="仿宋" w:cs="仿宋"/>
          <w:b/>
          <w:sz w:val="32"/>
          <w:szCs w:val="32"/>
        </w:rPr>
      </w:r>
      <w:r/>
    </w:p>
    <w:p>
      <w:pPr>
        <w:pStyle w:val="1031"/>
      </w:pPr>
      <w:r>
        <w:rPr>
          <w:rFonts w:hint="eastAsia"/>
        </w:rPr>
        <w:t xml:space="preserve">长期股权投资信息包括长期股权投资余额、增加数、减少数、投资收益、分红、附件等。</w:t>
      </w:r>
      <w:r/>
    </w:p>
    <w:p>
      <w:pPr>
        <w:pStyle w:val="1031"/>
      </w:pPr>
      <w:r>
        <w:rPr>
          <w:rFonts w:hint="eastAsia"/>
        </w:rPr>
        <w:t xml:space="preserve">提供信息新增、信息变更登记、变更轨迹查看等功能。支持上传相关论证、评估、决策等附件材料。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G.设备类资产管理</w:t>
      </w:r>
      <w:r>
        <w:rPr>
          <w:rFonts w:ascii="仿宋" w:hAnsi="仿宋" w:eastAsia="仿宋" w:cs="仿宋"/>
          <w:b/>
          <w:sz w:val="32"/>
          <w:szCs w:val="32"/>
        </w:rPr>
      </w:r>
      <w:r/>
    </w:p>
    <w:p>
      <w:pPr>
        <w:pStyle w:val="1031"/>
      </w:pPr>
      <w:r>
        <w:rPr>
          <w:rFonts w:hint="eastAsia"/>
        </w:rPr>
        <w:t xml:space="preserve">设备类资产信息包括资产名称、资产入账科目、使用状况、资产数量、资产状态、附件等。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H.无形资产管理</w:t>
      </w:r>
      <w:r>
        <w:rPr>
          <w:rFonts w:ascii="仿宋" w:hAnsi="仿宋" w:eastAsia="仿宋" w:cs="仿宋"/>
          <w:b/>
          <w:sz w:val="32"/>
          <w:szCs w:val="32"/>
        </w:rPr>
      </w:r>
      <w:r/>
    </w:p>
    <w:p>
      <w:pPr>
        <w:pStyle w:val="1031"/>
      </w:pPr>
      <w:r>
        <w:rPr>
          <w:rFonts w:hint="eastAsia"/>
        </w:rPr>
        <w:t xml:space="preserve">无形资产信息包括资产名称、资产类别、是否入账、资产数量、使用状况、资产状态、附件等。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I.特许经营权类资产管理</w:t>
      </w:r>
      <w:r>
        <w:rPr>
          <w:rFonts w:ascii="仿宋" w:hAnsi="仿宋" w:eastAsia="仿宋" w:cs="仿宋"/>
          <w:b/>
          <w:sz w:val="32"/>
          <w:szCs w:val="32"/>
        </w:rPr>
      </w:r>
      <w:r/>
    </w:p>
    <w:p>
      <w:pPr>
        <w:pStyle w:val="1031"/>
      </w:pPr>
      <w:r>
        <w:rPr>
          <w:rFonts w:hint="eastAsia"/>
        </w:rPr>
        <w:t xml:space="preserve">特许经营权类资产信息包括特许经营项目名称、特许经营类别、特许经营规模及范围、特许经营受让方式、资产数量、特许经营许可协议年限、起止时间、特许经营权收益、资产状态、附件等。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J.自然资源类资产管理</w:t>
      </w:r>
      <w:r>
        <w:rPr>
          <w:rFonts w:ascii="仿宋" w:hAnsi="仿宋" w:eastAsia="仿宋" w:cs="仿宋"/>
          <w:b/>
          <w:sz w:val="32"/>
          <w:szCs w:val="32"/>
        </w:rPr>
      </w:r>
      <w:r/>
    </w:p>
    <w:p>
      <w:pPr>
        <w:pStyle w:val="1031"/>
      </w:pPr>
      <w:r>
        <w:rPr>
          <w:rFonts w:hint="eastAsia"/>
        </w:rPr>
        <w:t xml:space="preserve">自然资源类资产信息包括资产名称、资产面积、资产类别、使用状况、资产状态、附件等。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K.货币资金类资产管理</w:t>
      </w:r>
      <w:r>
        <w:rPr>
          <w:rFonts w:ascii="仿宋" w:hAnsi="仿宋" w:eastAsia="仿宋" w:cs="仿宋"/>
          <w:b/>
          <w:sz w:val="32"/>
          <w:szCs w:val="32"/>
        </w:rPr>
      </w:r>
      <w:r/>
    </w:p>
    <w:p>
      <w:pPr>
        <w:pStyle w:val="1031"/>
      </w:pPr>
      <w:r>
        <w:rPr>
          <w:rFonts w:hint="eastAsia"/>
        </w:rPr>
        <w:t xml:space="preserve">货币资金类资产信息包括集团名称、资产数量、资产状态、附件等。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L.存货资产管理</w:t>
      </w:r>
      <w:r>
        <w:rPr>
          <w:rFonts w:ascii="仿宋" w:hAnsi="仿宋" w:eastAsia="仿宋" w:cs="仿宋"/>
          <w:b/>
          <w:sz w:val="32"/>
          <w:szCs w:val="32"/>
        </w:rPr>
      </w:r>
      <w:r/>
    </w:p>
    <w:p>
      <w:pPr>
        <w:pStyle w:val="1031"/>
      </w:pPr>
      <w:r>
        <w:rPr>
          <w:rFonts w:hint="eastAsia"/>
        </w:rPr>
        <w:t xml:space="preserve">存货资产信息包括资产名称、资产类别、资产数量、使用状况、资产状态、附件等。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M.基础设施资产管理</w:t>
      </w:r>
      <w:r>
        <w:rPr>
          <w:rFonts w:ascii="仿宋" w:hAnsi="仿宋" w:eastAsia="仿宋" w:cs="仿宋"/>
          <w:b/>
          <w:sz w:val="32"/>
          <w:szCs w:val="32"/>
        </w:rPr>
      </w:r>
      <w:r/>
    </w:p>
    <w:p>
      <w:pPr>
        <w:pStyle w:val="1031"/>
      </w:pPr>
      <w:r>
        <w:rPr>
          <w:rFonts w:hint="eastAsia"/>
        </w:rPr>
        <w:t xml:space="preserve">基础设施资产信息包括资产名称、资产坐落位置、资产类别、决策方式、开工日期、工程建设情况、计划投资总额、资产状态、附件等。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N.其他类资产管理</w:t>
      </w:r>
      <w:r>
        <w:rPr>
          <w:rFonts w:ascii="仿宋" w:hAnsi="仿宋" w:eastAsia="仿宋" w:cs="仿宋"/>
          <w:b/>
          <w:sz w:val="32"/>
          <w:szCs w:val="32"/>
        </w:rPr>
      </w:r>
      <w:r/>
    </w:p>
    <w:p>
      <w:pPr>
        <w:pStyle w:val="1031"/>
      </w:pPr>
      <w:r>
        <w:rPr>
          <w:rFonts w:hint="eastAsia"/>
        </w:rPr>
        <w:t xml:space="preserve">其他类资产信息包括资产名称、资产类别、资产数量、使用状况、资产状态、附件等。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O.资产负债表管理</w:t>
      </w:r>
      <w:r>
        <w:rPr>
          <w:rFonts w:ascii="仿宋" w:hAnsi="仿宋" w:eastAsia="仿宋" w:cs="仿宋"/>
          <w:b/>
          <w:sz w:val="32"/>
          <w:szCs w:val="32"/>
        </w:rPr>
      </w:r>
      <w:r/>
    </w:p>
    <w:p>
      <w:pPr>
        <w:pStyle w:val="1031"/>
      </w:pPr>
      <w:r>
        <w:rPr>
          <w:rFonts w:hint="eastAsia"/>
        </w:rPr>
        <w:t xml:space="preserve">资产负债表信息包括负债及所有者权益、期初数、增加数、减少数、附件等。</w:t>
      </w:r>
      <w:r/>
    </w:p>
    <w:p>
      <w:pPr>
        <w:pStyle w:val="1031"/>
      </w:pPr>
      <w:r>
        <w:rPr>
          <w:rFonts w:hint="eastAsia"/>
        </w:rPr>
        <w:t xml:space="preserve">提供信息新增、信息变更登记、变更轨迹查看等功能。支持上传附件材料。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P.问题资产管理</w:t>
      </w:r>
      <w:r>
        <w:rPr>
          <w:rFonts w:ascii="仿宋" w:hAnsi="仿宋" w:eastAsia="仿宋" w:cs="仿宋"/>
          <w:b/>
          <w:sz w:val="32"/>
          <w:szCs w:val="32"/>
        </w:rPr>
      </w:r>
      <w:r/>
    </w:p>
    <w:p>
      <w:pPr>
        <w:pStyle w:val="1031"/>
      </w:pPr>
      <w:r>
        <w:rPr>
          <w:rFonts w:hint="eastAsia"/>
        </w:rPr>
        <w:t xml:space="preserve">问题资产信息包括资产名称、资产类别、资产总面积、问题部分涉及面积、问题描述、问题类别、整改类型、盘活类型、整改措施、整改时限、资产状态、附件等。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Q.盘活利用资产管理</w:t>
      </w:r>
      <w:r>
        <w:rPr>
          <w:rFonts w:ascii="仿宋" w:hAnsi="仿宋" w:eastAsia="仿宋" w:cs="仿宋"/>
          <w:b/>
          <w:sz w:val="32"/>
          <w:szCs w:val="32"/>
        </w:rPr>
      </w:r>
      <w:r/>
    </w:p>
    <w:p>
      <w:pPr>
        <w:pStyle w:val="1031"/>
      </w:pPr>
      <w:r>
        <w:rPr>
          <w:rFonts w:hint="eastAsia"/>
        </w:rPr>
        <w:t xml:space="preserve">盘活利用资产信息包括资产名称、资产类别、资产面积、问题部分涉及面积、情况说明、盘活方向、盘活类型、盘活收益、盘活时限、资产状态、附件等。</w:t>
      </w:r>
      <w:r/>
    </w:p>
    <w:p>
      <w:pPr>
        <w:pStyle w:val="1031"/>
      </w:pPr>
      <w:r>
        <w:rPr>
          <w:rFonts w:hint="eastAsia"/>
        </w:rPr>
        <w:t xml:space="preserve">提供资产信息新增、资产信息变更登记、资产变更轨迹查看等功能。支持上传附件材料。</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（2）金融企业日常管理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金融企业资产日常管理是确保金融企业资产安全、增值和可持续发展的关键环节。通过</w:t>
      </w:r>
      <w:bookmarkStart w:id="200" w:name="_Hlk186727308"/>
      <w:r>
        <w:rPr>
          <w:rFonts w:hint="eastAsia"/>
        </w:rPr>
        <w:t xml:space="preserve">对全省财政部门直接管理的国有金融企业房产出租、对外转让持有的股权、对外转让持有的非股权类资产管理，实现金融企业关键资产的日常监管。</w:t>
      </w:r>
      <w:bookmarkEnd w:id="200"/>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A.房产出租信息管理</w:t>
      </w:r>
      <w:r>
        <w:rPr>
          <w:rFonts w:ascii="仿宋" w:hAnsi="仿宋" w:eastAsia="仿宋" w:cs="仿宋"/>
          <w:b/>
          <w:sz w:val="32"/>
          <w:szCs w:val="32"/>
        </w:rPr>
      </w:r>
      <w:r/>
    </w:p>
    <w:p>
      <w:pPr>
        <w:pStyle w:val="1031"/>
      </w:pPr>
      <w:r>
        <w:rPr>
          <w:rFonts w:hint="eastAsia"/>
        </w:rPr>
        <w:t xml:space="preserve">房产出租信息管理实现金融企业在处理房产出租信息进行系统全面登记的管理需要，通过信息技术手段，为各监管机构及所辖企业对名下房产出租的快速查询、统计、分析提供重要业务管理工具。</w:t>
      </w:r>
      <w:r/>
    </w:p>
    <w:p>
      <w:pPr>
        <w:pStyle w:val="1031"/>
      </w:pPr>
      <w:r>
        <w:rPr>
          <w:rFonts w:hint="eastAsia"/>
        </w:rPr>
        <w:t xml:space="preserve">房租出租信息包括房产名称、住所地址、实物现状、拟出租期限、拟承租条件、租金评估值、招租底价、招租方式、租金增长机制、中标租赁方、中标租期、中标租金、保证金比例、产权交易机构或物业租赁专业机构名称、公开招租公告起止日期、合同信息、附件等。</w:t>
      </w:r>
      <w:r/>
    </w:p>
    <w:p>
      <w:pPr>
        <w:pStyle w:val="1031"/>
      </w:pPr>
      <w:r>
        <w:rPr>
          <w:rFonts w:hint="eastAsia"/>
        </w:rPr>
        <w:t xml:space="preserve">合同信息主要包括租赁起止日期、租赁用途、租金、支付方式等。</w:t>
      </w:r>
      <w:r/>
    </w:p>
    <w:p>
      <w:pPr>
        <w:pStyle w:val="1031"/>
      </w:pPr>
      <w:r>
        <w:rPr>
          <w:rFonts w:hint="eastAsia"/>
        </w:rPr>
        <w:t xml:space="preserve">附件包括房产出租议案、集团总部集体决策程序证明材料、招租公告、中标通知书、中标后签署的租赁合同等。</w:t>
      </w:r>
      <w:r/>
    </w:p>
    <w:p>
      <w:pPr>
        <w:pStyle w:val="1031"/>
      </w:pPr>
      <w:r>
        <w:rPr>
          <w:rFonts w:hint="eastAsia"/>
        </w:rPr>
        <w:t xml:space="preserve">提供房屋出租信息新增、修改、删除、查询、审核意见填写、审核进度查看、审核意见查看、附件下载等功能。支持上传附件材料。招租低价支持多次挂牌价格的填写。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B.对外转让持有的股权管理</w:t>
      </w:r>
      <w:r>
        <w:rPr>
          <w:rFonts w:ascii="仿宋" w:hAnsi="仿宋" w:eastAsia="仿宋" w:cs="仿宋"/>
          <w:b/>
          <w:sz w:val="32"/>
          <w:szCs w:val="32"/>
        </w:rPr>
      </w:r>
      <w:r/>
    </w:p>
    <w:p>
      <w:pPr>
        <w:pStyle w:val="1031"/>
      </w:pPr>
      <w:r>
        <w:rPr>
          <w:rFonts w:hint="eastAsia"/>
        </w:rPr>
        <w:t xml:space="preserve">对外转让持有的股权信息包括股权名称、转让比例、转让方式、出具股权资产评估报告的机构、资产评估报告文书名称及文号、股权资产评估结果、股权评估价值核准或备案的文件印发单位、名称及文号、同意股权转让的机构决策文件名称及文号、产权交易机构名称、是否省级及以上产权交易机构、股权转让底价、挂牌价格、首次挂牌价格、中标方（受让方）、股权转让竞标后确定的价格、转让价款收取额、是否分期付款、分期付款期限、首付款金额、首付款到账时间、价款支付保全手续说明、产权转让公告期、</w:t>
      </w:r>
      <w:bookmarkStart w:id="201" w:name="OLE_LINK11"/>
      <w:r>
        <w:rPr>
          <w:rFonts w:hint="eastAsia"/>
        </w:rPr>
        <w:t xml:space="preserve">是否经国务院或财政部门批准</w:t>
      </w:r>
      <w:bookmarkEnd w:id="201"/>
      <w:r>
        <w:rPr>
          <w:rFonts w:hint="eastAsia"/>
        </w:rPr>
        <w:t xml:space="preserve">、转让方或受让方是否为控股（集团）所属独资子公司、经审计确认的净资产值、股份转让公告日前30个交易日加权平均价、股份转让公告日前1个交易日加权平均价、附件等。</w:t>
      </w:r>
      <w:r/>
    </w:p>
    <w:p>
      <w:pPr>
        <w:pStyle w:val="1031"/>
      </w:pPr>
      <w:r>
        <w:rPr>
          <w:rFonts w:hint="eastAsia"/>
        </w:rPr>
        <w:t xml:space="preserve">附件包括股权资产评估报告、股权转让方案、股权转让议案及审议结果、上级有关部门（单位）同意股权转让的批复、资产股权评估价值核准或备案的文件、产权交易机构发布的股权转让公告、股权转让协议、产权交易机构出具的产权交易凭证等。</w:t>
      </w:r>
      <w:r/>
    </w:p>
    <w:p>
      <w:pPr>
        <w:pStyle w:val="1031"/>
      </w:pPr>
      <w:r>
        <w:rPr>
          <w:rFonts w:hint="eastAsia"/>
        </w:rPr>
        <w:t xml:space="preserve">提供对外转让持有的股权新增、修改、删除、查询、审核意见填写、审核进度查看、审核意见查看、附件下载等功能。支持上传附件材料。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C.对外转让持有的非股权类资产管理</w:t>
      </w:r>
      <w:r>
        <w:rPr>
          <w:rFonts w:ascii="仿宋" w:hAnsi="仿宋" w:eastAsia="仿宋" w:cs="仿宋"/>
          <w:b/>
          <w:sz w:val="32"/>
          <w:szCs w:val="32"/>
        </w:rPr>
      </w:r>
      <w:r/>
    </w:p>
    <w:p>
      <w:pPr>
        <w:pStyle w:val="1031"/>
      </w:pPr>
      <w:r>
        <w:rPr>
          <w:rFonts w:hint="eastAsia"/>
        </w:rPr>
        <w:t xml:space="preserve">对外转让持有的非股权类资产信息包括资产名称、资产性质、转让方式、公开交易方式、出具资产评估报告的机构、资产评估报告文书名称及文号、资产评估结果、评估价值核准或备案的文件印发单位、名称及文号、同意资产转让的机构决策文件名称及文号、产权交易机构名称、竞争性谈判竞价参与方名称、资产转让底价、公告期起止日期、挂牌价格、中标方（受让方）、资产转让竞标后确定的价格、资产交易退出价格、转让情形、转让方和受让方的关系、经论证后是否造成损失、附件等。</w:t>
      </w:r>
      <w:r/>
    </w:p>
    <w:p>
      <w:pPr>
        <w:pStyle w:val="1031"/>
      </w:pPr>
      <w:r>
        <w:rPr>
          <w:rFonts w:hint="eastAsia"/>
        </w:rPr>
        <w:t xml:space="preserve">转让情形包括集团内部资产转让、按照投资协议或合同约定条款履约退出、根据合同约定第三人行使优先购买权、将特定行业资产转让给国有及国有控股企业、经统计财政部门认可、其他。</w:t>
      </w:r>
      <w:r/>
    </w:p>
    <w:p>
      <w:pPr>
        <w:pStyle w:val="1031"/>
      </w:pPr>
      <w:r>
        <w:rPr>
          <w:rFonts w:hint="eastAsia"/>
        </w:rPr>
        <w:t xml:space="preserve">转让方和受让方的关系包括国有独资和全资金融企业之间、国有金融企业及其独资全资子企业之间、国有金融企业所属控股子企业之间、其他。</w:t>
      </w:r>
      <w:r/>
    </w:p>
    <w:p>
      <w:pPr>
        <w:pStyle w:val="1031"/>
      </w:pPr>
      <w:r>
        <w:rPr>
          <w:rFonts w:hint="eastAsia"/>
        </w:rPr>
        <w:t xml:space="preserve">附件包括资产评估报告、资产转让方案、资产转让议案及审议结果、同意资产转让批复、资产股权评估价值核准或备案的文件、资产转让公告/公开拍卖公告/竞争性谈判公告、资产转让协议、资产交易凭证、投资协议/合同、决策程序证明文件、论证结果等。</w:t>
      </w:r>
      <w:r/>
    </w:p>
    <w:p>
      <w:pPr>
        <w:pStyle w:val="1031"/>
      </w:pPr>
      <w:r>
        <w:rPr>
          <w:rFonts w:hint="eastAsia"/>
        </w:rPr>
        <w:t xml:space="preserve">提供事项新增、修改、删除、查询、审核意见填写、审核进度查看、审核意见查看、附件下载等功能。支持上传附件材料。</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（3）文化企业日常管理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文化企业资产日常管理是确保文化企业资产安全、增值和可持续发展的关键环节。通过对全省财政部门履行出资人职责的国有文化企业产权管理、三重一大事项报送管理、财务事项管理、财务季报管理、其他事项报送管理等，实现文化企业关键资产的日常监管。</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A.产权管理</w:t>
      </w:r>
      <w:r>
        <w:rPr>
          <w:rFonts w:ascii="仿宋" w:hAnsi="仿宋" w:eastAsia="仿宋" w:cs="仿宋"/>
          <w:b/>
          <w:sz w:val="32"/>
          <w:szCs w:val="32"/>
        </w:rPr>
      </w:r>
      <w:r/>
    </w:p>
    <w:p>
      <w:pPr>
        <w:pStyle w:val="1031"/>
      </w:pPr>
      <w:r>
        <w:rPr>
          <w:rFonts w:hint="eastAsia"/>
        </w:rPr>
        <w:t xml:space="preserve">产权管理实现文化企业的信息登记，为确认国有文化企业产权归属关系提供支撑。</w:t>
      </w:r>
      <w:r/>
    </w:p>
    <w:p>
      <w:pPr>
        <w:pStyle w:val="1031"/>
      </w:pPr>
      <w:r>
        <w:rPr>
          <w:rFonts w:hint="eastAsia"/>
        </w:rPr>
        <w:t xml:space="preserve">产权信息包括企业名称、组织机构代码、营业范围、营收、利润、资产负债表、上市企业总股本、产权变动类型、产权变动额、产权交易评估价格、产权交易机构名称、是否批准（备案）、批准（备案）时间、是否已进行审计披露等信息。</w:t>
      </w:r>
      <w:r/>
    </w:p>
    <w:p>
      <w:pPr>
        <w:pStyle w:val="1031"/>
      </w:pPr>
      <w:r>
        <w:rPr>
          <w:rFonts w:hint="eastAsia"/>
        </w:rPr>
        <w:t xml:space="preserve">产权变动类型包括控制权转移、对外转让、资产损失、资产处置、资产核销等。</w:t>
      </w:r>
      <w:r/>
    </w:p>
    <w:p>
      <w:pPr>
        <w:pStyle w:val="1031"/>
      </w:pPr>
      <w:r>
        <w:rPr>
          <w:rFonts w:hint="eastAsia"/>
        </w:rPr>
        <w:t xml:space="preserve">提供产权信息登记、变动、删除、查询、审核意见填写、审核进度查看、审核意见查看、附件下载、产权信息表导出等功能。支持上传附件材料（包括年度审计报告）。</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B.三重一大事项报送管理</w:t>
      </w:r>
      <w:r>
        <w:rPr>
          <w:rFonts w:ascii="仿宋" w:hAnsi="仿宋" w:eastAsia="仿宋" w:cs="仿宋"/>
          <w:b/>
          <w:sz w:val="32"/>
          <w:szCs w:val="32"/>
        </w:rPr>
      </w:r>
      <w:r/>
    </w:p>
    <w:p>
      <w:pPr>
        <w:pStyle w:val="1031"/>
      </w:pPr>
      <w:r>
        <w:rPr>
          <w:rFonts w:hint="eastAsia"/>
        </w:rPr>
        <w:t xml:space="preserve">三重一大事项报送管理通过对重大事项决策、重大事项投资决策、大额资金使用等事项的填报、审核、相关材料的管理，减少事项执行过程中的风险和失误，确保决策的有效实施和企业的稳定发展。</w:t>
      </w:r>
      <w:r/>
    </w:p>
    <w:p>
      <w:pPr>
        <w:pStyle w:val="1031"/>
      </w:pPr>
      <w:r>
        <w:rPr>
          <w:rFonts w:hint="eastAsia"/>
        </w:rPr>
        <w:t xml:space="preserve">三重一大事项信息包括企业名称、事项名称、事项类型、事项内容、大额资金、会议决议文件、决策文件、报告文件、境外企业专项报告、安排文件、其他文件、经办人、审核人、决议时间、报送时间、董事会审议是否通过、是否报请人民政府批准、全体董事人数、董事表决通过人数、批复时间、是否批准、是否备案、批准（备案）时间等。</w:t>
      </w:r>
      <w:r/>
    </w:p>
    <w:p>
      <w:pPr>
        <w:pStyle w:val="1031"/>
      </w:pPr>
      <w:r>
        <w:rPr>
          <w:rFonts w:hint="eastAsia"/>
        </w:rPr>
        <w:t xml:space="preserve">提供事项新增、修改、删除、查询、审核意见填写、审核进度查看、审核意见查看、附件下载等功能。支持上传附件材料。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C.财务事项管理</w:t>
      </w:r>
      <w:r>
        <w:rPr>
          <w:rFonts w:ascii="仿宋" w:hAnsi="仿宋" w:eastAsia="仿宋" w:cs="仿宋"/>
          <w:b/>
          <w:sz w:val="32"/>
          <w:szCs w:val="32"/>
        </w:rPr>
      </w:r>
      <w:r/>
    </w:p>
    <w:p>
      <w:pPr>
        <w:pStyle w:val="1031"/>
      </w:pPr>
      <w:r>
        <w:rPr>
          <w:rFonts w:hint="eastAsia"/>
        </w:rPr>
        <w:t xml:space="preserve">财务事项管理信息包括事项名称、事项类型、事项内容、大额资金、决议时间、报送时间、董事会审议是否通过、批复时间、是否批准、是否备案、批准（备案）时间等。</w:t>
      </w:r>
      <w:r/>
    </w:p>
    <w:p>
      <w:pPr>
        <w:pStyle w:val="1031"/>
      </w:pPr>
      <w:r>
        <w:rPr>
          <w:rFonts w:hint="eastAsia"/>
        </w:rPr>
        <w:t xml:space="preserve">提供事项新增、修改、删除、查询、附件下载等功能。支持上传附件材料。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D.财务季报管理</w:t>
      </w:r>
      <w:r>
        <w:rPr>
          <w:rFonts w:ascii="仿宋" w:hAnsi="仿宋" w:eastAsia="仿宋" w:cs="仿宋"/>
          <w:b/>
          <w:sz w:val="32"/>
          <w:szCs w:val="32"/>
        </w:rPr>
      </w:r>
      <w:r/>
    </w:p>
    <w:p>
      <w:pPr>
        <w:pStyle w:val="1031"/>
      </w:pPr>
      <w:r>
        <w:rPr>
          <w:rFonts w:hint="eastAsia"/>
        </w:rPr>
        <w:t xml:space="preserve">财务季报管理实现文化企业季度财务报表的上报。</w:t>
      </w:r>
      <w:r/>
    </w:p>
    <w:p>
      <w:pPr>
        <w:pStyle w:val="1031"/>
      </w:pPr>
      <w:r>
        <w:rPr>
          <w:rFonts w:hint="eastAsia"/>
        </w:rPr>
        <w:t xml:space="preserve">季度财务报表信息包括资产、负债、营业收入、利润总额等指标。</w:t>
      </w:r>
      <w:r/>
    </w:p>
    <w:p>
      <w:pPr>
        <w:pStyle w:val="1031"/>
      </w:pPr>
      <w:r>
        <w:rPr>
          <w:rFonts w:hint="eastAsia"/>
        </w:rPr>
        <w:t xml:space="preserve">提供季度财务报表信息的填报、修改、查询、附件下载等功能。支持上传附件材料。</w:t>
      </w:r>
      <w:r/>
    </w:p>
    <w:p>
      <w:pPr>
        <w:pStyle w:val="1031"/>
      </w:pPr>
      <w:r>
        <w:rPr>
          <w:rFonts w:hint="eastAsia"/>
        </w:rPr>
        <w:t xml:space="preserve">支持结合往期季度财务报表数据，进行同比、环比等信息的对比展示。</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E.其他事项报送管理</w:t>
      </w:r>
      <w:r>
        <w:rPr>
          <w:rFonts w:ascii="仿宋" w:hAnsi="仿宋" w:eastAsia="仿宋" w:cs="仿宋"/>
          <w:b/>
          <w:sz w:val="32"/>
          <w:szCs w:val="32"/>
        </w:rPr>
      </w:r>
      <w:r/>
    </w:p>
    <w:p>
      <w:pPr>
        <w:pStyle w:val="1031"/>
      </w:pPr>
      <w:r>
        <w:rPr>
          <w:rFonts w:hint="eastAsia"/>
        </w:rPr>
        <w:t xml:space="preserve">其他事项报送管理实现除重大事项外需与财政部门沟通事项内容的管理。通过对相关报告、其他必要材料等材料的报送、审核管理，加强对企业其他事项的监督和管理，确保决策的执行效果符合企业整体利益和长远发展目标。</w:t>
      </w:r>
      <w:r/>
    </w:p>
    <w:p>
      <w:pPr>
        <w:pStyle w:val="1031"/>
      </w:pPr>
      <w:r>
        <w:rPr>
          <w:rFonts w:hint="eastAsia"/>
        </w:rPr>
        <w:t xml:space="preserve">其他事项信息包括企业名称、事项名称、事项内容、报告文件、其他文件、经办人、审核人、报送时间等。</w:t>
      </w:r>
      <w:r/>
    </w:p>
    <w:p>
      <w:pPr>
        <w:pStyle w:val="1031"/>
      </w:pPr>
      <w:r>
        <w:rPr>
          <w:rFonts w:hint="eastAsia"/>
        </w:rPr>
        <w:t xml:space="preserve">提供事项新增、修改、删除、查询、审核意见填写、审核进度查看、审核意见查看、附件下载等功能。支持上传附件材料。</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（4）事业单位所办企业日常管理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事业单位所办企业日常管理是确保事业单位所办企业资产安全、增值和可持续发展的关键环节。通过对事业单位所办企业产权管理、其他事项报送管理等，实现事业单位所办企业关键事项的日常管理。</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A.产权管理</w:t>
      </w:r>
      <w:r>
        <w:rPr>
          <w:rFonts w:ascii="仿宋" w:hAnsi="仿宋" w:eastAsia="仿宋" w:cs="仿宋"/>
          <w:b/>
          <w:sz w:val="32"/>
          <w:szCs w:val="32"/>
        </w:rPr>
      </w:r>
      <w:r/>
    </w:p>
    <w:p>
      <w:pPr>
        <w:pStyle w:val="1031"/>
      </w:pPr>
      <w:r>
        <w:rPr>
          <w:rFonts w:hint="eastAsia"/>
        </w:rPr>
        <w:t xml:space="preserve">产权管理实现事业单位所办企业的信息登记，为确认事业单位所办企业产权归属关系提供支撑。</w:t>
      </w:r>
      <w:r/>
    </w:p>
    <w:p>
      <w:pPr>
        <w:pStyle w:val="1031"/>
      </w:pPr>
      <w:r>
        <w:rPr>
          <w:rFonts w:hint="eastAsia"/>
        </w:rPr>
        <w:t xml:space="preserve">产权信息包括主管部门名称、事业单位名称、企业名称、组织机构代码、营业范围等工商登记基础信息。</w:t>
      </w:r>
      <w:r/>
    </w:p>
    <w:p>
      <w:pPr>
        <w:pStyle w:val="1031"/>
      </w:pPr>
      <w:r>
        <w:rPr>
          <w:rFonts w:hint="eastAsia"/>
        </w:rPr>
        <w:t xml:space="preserve">提供产权信息登记、变动、删除、查询、附件下载、产权信息表导出等功能。支持上传附件材料。</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B.其他事项报送管理</w:t>
      </w:r>
      <w:r>
        <w:rPr>
          <w:rFonts w:ascii="仿宋" w:hAnsi="仿宋" w:eastAsia="仿宋" w:cs="仿宋"/>
          <w:b/>
          <w:sz w:val="32"/>
          <w:szCs w:val="32"/>
        </w:rPr>
      </w:r>
      <w:r/>
    </w:p>
    <w:p>
      <w:pPr>
        <w:pStyle w:val="1031"/>
      </w:pPr>
      <w:r>
        <w:rPr>
          <w:rFonts w:hint="eastAsia"/>
        </w:rPr>
        <w:t xml:space="preserve">其他事项报送管理实现事业单位所办企业相关事项的日常管理。通过对相关报告、其他必要材料等材料的报送、审核管理，加强对企业其他事项的监督和管理。</w:t>
      </w:r>
      <w:r/>
    </w:p>
    <w:p>
      <w:pPr>
        <w:pStyle w:val="1031"/>
      </w:pPr>
      <w:r>
        <w:rPr>
          <w:rFonts w:hint="eastAsia"/>
        </w:rPr>
        <w:t xml:space="preserve">其他事项信息包括主管部门名称、事业单位名称、企业名称、事项名称、事项内容、报送时间等。</w:t>
      </w:r>
      <w:r/>
    </w:p>
    <w:p>
      <w:pPr>
        <w:pStyle w:val="1031"/>
      </w:pPr>
      <w:r>
        <w:rPr>
          <w:rFonts w:hint="eastAsia"/>
        </w:rPr>
        <w:t xml:space="preserve">提供事项新增、修改、删除、查询、附件下载等功能。支持上传附件材料。</w:t>
      </w:r>
      <w:r/>
    </w:p>
    <w:p>
      <w:pPr>
        <w:pStyle w:val="891"/>
        <w:ind w:firstLine="482"/>
        <w:keepLines/>
        <w:keepNext/>
        <w:spacing w:before="78" w:after="78" w:line="360" w:lineRule="auto"/>
        <w:rPr>
          <w:rFonts w:ascii="仿宋" w:hAnsi="仿宋" w:eastAsia="仿宋" w:cs="仿宋"/>
          <w:b/>
          <w:sz w:val="32"/>
          <w:szCs w:val="32"/>
        </w:rPr>
        <w:outlineLvl w:val="1"/>
      </w:pPr>
      <w:r>
        <w:rPr>
          <w:rFonts w:ascii="仿宋" w:hAnsi="仿宋" w:eastAsia="仿宋" w:cs="仿宋"/>
          <w:b/>
          <w:sz w:val="32"/>
          <w:szCs w:val="32"/>
        </w:rPr>
        <w:t xml:space="preserve">2</w:t>
      </w:r>
      <w:r>
        <w:rPr>
          <w:rFonts w:hint="eastAsia" w:ascii="仿宋" w:hAnsi="仿宋" w:eastAsia="仿宋" w:cs="仿宋"/>
          <w:b/>
          <w:sz w:val="32"/>
          <w:szCs w:val="32"/>
        </w:rPr>
        <w:t xml:space="preserve">.3.盘活利用管理</w:t>
      </w:r>
      <w:r>
        <w:rPr>
          <w:rFonts w:ascii="仿宋" w:hAnsi="仿宋" w:eastAsia="仿宋" w:cs="仿宋"/>
          <w:b/>
          <w:sz w:val="32"/>
          <w:szCs w:val="32"/>
        </w:rPr>
      </w:r>
      <w:r/>
    </w:p>
    <w:p>
      <w:pPr>
        <w:pStyle w:val="1031"/>
      </w:pPr>
      <w:r>
        <w:rPr>
          <w:rFonts w:hint="eastAsia"/>
        </w:rPr>
        <w:t xml:space="preserve">根据资产清查结果，形成问题资产清单，由问题所属单位进行问题整改并反馈整改结果，按照“谁主管、谁排查”“谁所属、谁盘活”原则，推进单位问题整改销号、闭环管理。对低效闲置资产、账外资产、待核销资产等设置盘活资产清单，进行盘活跟踪，实现动态反馈盘活成效。</w:t>
      </w:r>
      <w:r/>
    </w:p>
    <w:p>
      <w:pPr>
        <w:pStyle w:val="1031"/>
      </w:pPr>
      <w:r>
        <w:rPr>
          <w:rFonts w:hint="eastAsia"/>
        </w:rPr>
        <w:t xml:space="preserve">盘活利用管理包括行政事业单位国有资产、国有企业（含国资国企、金融企业、文化企业、事业单位所办企业等）资产的盘活利用。</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（1）资产底数清单管理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建设清查底数清单管理模块，分别对行政事业性国有资产、国有企业资产清查结果底数清单进行管理。</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A.行政事业性资产底数清单管理</w:t>
      </w:r>
      <w:r>
        <w:rPr>
          <w:rFonts w:ascii="仿宋" w:hAnsi="仿宋" w:eastAsia="仿宋" w:cs="仿宋"/>
          <w:b/>
          <w:sz w:val="32"/>
          <w:szCs w:val="32"/>
        </w:rPr>
      </w:r>
      <w:r/>
    </w:p>
    <w:p>
      <w:pPr>
        <w:pStyle w:val="1031"/>
      </w:pPr>
      <w:r>
        <w:rPr>
          <w:rFonts w:hint="eastAsia"/>
        </w:rPr>
        <w:t xml:space="preserve">行政事业性资产清查底数清单信息包括主管单位名称、清查单位名称、资产清查核实后账面净值、资产清查核实后盘盈、资产清查核实后盘减、资产清查核实后清查净值、土地产权类清查数量、土地产权类账面净值、土地产权类盘盈、土地产权类盘减、土地产权类清查净值、房屋建筑类清查建筑面积、房屋建筑类账面净值、房屋建筑类盘盈、房屋建筑类盘减、房屋建筑类清</w:t>
      </w:r>
      <w:r>
        <w:rPr>
          <w:rFonts w:hint="eastAsia"/>
        </w:rPr>
        <w:t xml:space="preserve">查净值、车辆设备类账面净值、车辆设备类盘盈、车辆设备类盘减、车辆设备类清查净值、基础设施类账面净值、基础设施类盘盈、基础设施类盘减、基础设施类清查净值、股权债权类账面净值、股权债权类盘盈、股权债权类盘减、股权债权类清查净值、无形资产类账面净值、无形资产类盘盈、无形资产类盘减、无形资产类清查净值、特许经营类已出让清查净值、特许经营类已出让项目数、特许经营类已出让使用费标准、特许经营类已出让应收未收使用费金额、特许经营类已出让政府补贴金额/年、特许经营类未出让清查净值、特许经营类未出让可出让特许经营服务项目、特</w:t>
      </w:r>
      <w:r>
        <w:rPr>
          <w:rFonts w:hint="eastAsia"/>
        </w:rPr>
        <w:t xml:space="preserve">许经营类未出让预计年收益、特许经营类未出让已具备特许经营权出让条件项目、特许经营类未出让预计年收益、数据资源信息系统数量、数据资源库表数、数据资源字段数、数据资源数据条数、数据资源数据存储量、数据资源账面净值、数据资源盘盈、数据资源盘减、数据资源清查净值、其他资产账面净值、其他资产盘盈、其他资产盘减、其他资产清查净值、自然资源账面净值、自然资源盘盈、自然资源盘减、自然资源清查净值、碳资源账面净值、碳资源盘盈、碳资源盘减、碳资源清查净值、生物资源账面净值、生物资源盘盈、生物资源盘减、生物资源清查净值、备注等。</w:t>
      </w:r>
      <w:r/>
    </w:p>
    <w:p>
      <w:pPr>
        <w:pStyle w:val="1031"/>
      </w:pPr>
      <w:r>
        <w:rPr>
          <w:rFonts w:hint="eastAsia"/>
        </w:rPr>
        <w:t xml:space="preserve">根据资产云获取的行政事业性国有资产底数清单。提供清查底数清单的查询、导出等功能。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B.国有企业资产清查底数清单管理</w:t>
      </w:r>
      <w:r>
        <w:rPr>
          <w:rFonts w:ascii="仿宋" w:hAnsi="仿宋" w:eastAsia="仿宋" w:cs="仿宋"/>
          <w:b/>
          <w:sz w:val="32"/>
          <w:szCs w:val="32"/>
        </w:rPr>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（A）国有企业资产清查底数清单生成规则管理</w:t>
      </w:r>
      <w:r>
        <w:rPr>
          <w:rFonts w:ascii="仿宋" w:hAnsi="仿宋" w:eastAsia="仿宋" w:cs="仿宋"/>
          <w:b/>
          <w:bCs/>
          <w:sz w:val="32"/>
          <w:szCs w:val="32"/>
        </w:rPr>
      </w:r>
      <w:r/>
    </w:p>
    <w:p>
      <w:pPr>
        <w:pStyle w:val="1031"/>
      </w:pPr>
      <w:r>
        <w:rPr>
          <w:rFonts w:hint="eastAsia"/>
        </w:rPr>
        <w:t xml:space="preserve">国有企业资产清查底数清单生成规则信息包括规则名称、套表名称、套表变量、计算公式、规则状态、备注等。</w:t>
      </w:r>
      <w:r/>
    </w:p>
    <w:p>
      <w:pPr>
        <w:pStyle w:val="1031"/>
      </w:pPr>
      <w:r>
        <w:rPr>
          <w:rFonts w:hint="eastAsia"/>
        </w:rPr>
        <w:t xml:space="preserve">提供国有企业资产清查底数清单生成规则新增、修改、删除、查询、启用、停用等功能。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（B）国有企业资产清查底数清单管理</w:t>
      </w:r>
      <w:r>
        <w:rPr>
          <w:rFonts w:ascii="仿宋" w:hAnsi="仿宋" w:eastAsia="仿宋" w:cs="仿宋"/>
          <w:b/>
          <w:bCs/>
          <w:sz w:val="32"/>
          <w:szCs w:val="32"/>
        </w:rPr>
      </w:r>
      <w:r/>
    </w:p>
    <w:p>
      <w:pPr>
        <w:pStyle w:val="1031"/>
      </w:pPr>
      <w:r>
        <w:rPr>
          <w:rFonts w:hint="eastAsia"/>
        </w:rPr>
        <w:t xml:space="preserve">国有企业资产清查底数清单信息包括清查企业名称、监管主体、资产清查核实后账面净值、资产清查核实后盘增、资产清查核实后盘减、资产清查核实后清查值、土地产权类清查面积、土地产权类账面值、土地产权类盘增、土地产权类盘减、土地产权类清查值、房屋建筑类清查建筑面积、房屋建筑类账面值、房屋建筑类盘增、房屋建筑类盘减、房屋建筑类清查值、机器设备</w:t>
      </w:r>
      <w:r>
        <w:rPr>
          <w:rFonts w:hint="eastAsia"/>
        </w:rPr>
        <w:t xml:space="preserve">类账面值、机器设备类盘增、机器设备类盘减、机器设备类清查值、股权债权类账面值、股权债权类盘增、股权债权类盘减、股权债权类清查值、无形资产类账面值、无形资产类盘增、无形资产类盘减、无形资产类清查值、特许经营类账面值、特许经营类盘增、特许经营类盘减、特许经营类清查值、自然资源账面值、自然资源盘增、自然资源盘减、自然资源清查值、存货账面值、存货盘增、存货盘减、存货清查值、基础设施账面值、基础设施盘增、基础设施盘减、基础设施清查值、其他固定资产账面值、其他固定资产盘增、其他固定资产盘减、其他固定资产清查值、备注等。</w:t>
      </w:r>
      <w:r/>
    </w:p>
    <w:p>
      <w:pPr>
        <w:pStyle w:val="1031"/>
      </w:pPr>
      <w:r>
        <w:rPr>
          <w:rFonts w:hint="eastAsia"/>
        </w:rPr>
        <w:t xml:space="preserve">根据设置的清查底数清单生成规则，生成清查底数清单。提供清查底数清单的生成、修改、删除、查询、导出、审核、审核意见填写、审核进度查看、审核意见查看等功能。</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3）数据接口</w:t>
      </w:r>
      <w:r>
        <w:rPr>
          <w:rFonts w:ascii="仿宋" w:hAnsi="仿宋" w:eastAsia="仿宋" w:cs="仿宋"/>
          <w:b/>
          <w:sz w:val="32"/>
          <w:szCs w:val="32"/>
        </w:rPr>
      </w:r>
      <w:r/>
    </w:p>
    <w:p>
      <w:pPr>
        <w:pStyle w:val="1031"/>
      </w:pPr>
      <w:r>
        <w:rPr>
          <w:rFonts w:hint="eastAsia"/>
        </w:rPr>
        <w:t xml:space="preserve">以库表对接等形式，获取行政事业单位各类国有资产底数清单数据，包括土地产权类底数、房屋建筑类底数、车辆设备类底数、基础设施类底数、股权债权类底数、无形资产类底数、特许经营类底数、其他资产底数等。</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（2）问题资产清单管理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建设问题资产清单管理模块，分别对行政事业性单位国有资产、国有企业问题资产清单进行管理。</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A.行政事业单位问题资产清单管理</w:t>
      </w:r>
      <w:r>
        <w:rPr>
          <w:rFonts w:ascii="仿宋" w:hAnsi="仿宋" w:eastAsia="仿宋" w:cs="仿宋"/>
          <w:b/>
          <w:sz w:val="32"/>
          <w:szCs w:val="32"/>
        </w:rPr>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（A）行政事业单位问题资产清单管理</w:t>
      </w:r>
      <w:r>
        <w:rPr>
          <w:rFonts w:ascii="仿宋" w:hAnsi="仿宋" w:eastAsia="仿宋" w:cs="仿宋"/>
          <w:b/>
          <w:bCs/>
          <w:sz w:val="32"/>
          <w:szCs w:val="32"/>
        </w:rPr>
      </w:r>
      <w:r/>
    </w:p>
    <w:p>
      <w:pPr>
        <w:pStyle w:val="1031"/>
      </w:pPr>
      <w:r>
        <w:rPr>
          <w:rFonts w:hint="eastAsia"/>
        </w:rPr>
        <w:t xml:space="preserve">行政事业单位问题资产清单信息包括单位名称、资产类别、资产清查净值、资产总面积或数量、问题部分所涉及面积或数量、问题部分所涉及金额、问题类别、整改类型、盘活类型、整改措施、整改时限、责任人、整改状态、整改情况说明、备注等。</w:t>
      </w:r>
      <w:r/>
    </w:p>
    <w:p>
      <w:pPr>
        <w:pStyle w:val="1031"/>
      </w:pPr>
      <w:r>
        <w:rPr>
          <w:rFonts w:hint="eastAsia"/>
        </w:rPr>
        <w:t xml:space="preserve">根据资产云同步的问题清单数据，提供问题资产清单查询（含整改情况查询等）、导出等功能。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（B）行政事业单位问题资产清单汇总</w:t>
      </w:r>
      <w:r>
        <w:rPr>
          <w:rFonts w:ascii="仿宋" w:hAnsi="仿宋" w:eastAsia="仿宋" w:cs="仿宋"/>
          <w:b/>
          <w:bCs/>
          <w:sz w:val="32"/>
          <w:szCs w:val="32"/>
        </w:rPr>
      </w:r>
      <w:r/>
    </w:p>
    <w:p>
      <w:pPr>
        <w:pStyle w:val="1031"/>
      </w:pPr>
      <w:r>
        <w:rPr>
          <w:rFonts w:hint="eastAsia"/>
        </w:rPr>
        <w:t xml:space="preserve">提供全省行政事业单位问题资产清单多维度的汇总功能。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B.国有企业问题资产清单管理</w:t>
      </w:r>
      <w:r>
        <w:rPr>
          <w:rFonts w:ascii="仿宋" w:hAnsi="仿宋" w:eastAsia="仿宋" w:cs="仿宋"/>
          <w:b/>
          <w:sz w:val="32"/>
          <w:szCs w:val="32"/>
        </w:rPr>
      </w:r>
      <w:r/>
    </w:p>
    <w:p>
      <w:pPr>
        <w:pStyle w:val="891"/>
        <w:ind w:left="643"/>
        <w:keepLines/>
        <w:keepNext/>
        <w:spacing w:before="60" w:after="60" w:line="360" w:lineRule="auto"/>
        <w:outlineLvl w:val="5"/>
      </w:pPr>
      <w:r>
        <w:rPr>
          <w:rFonts w:hint="eastAsia" w:ascii="仿宋" w:hAnsi="仿宋" w:eastAsia="仿宋" w:cs="仿宋"/>
          <w:b/>
          <w:bCs/>
          <w:sz w:val="32"/>
          <w:szCs w:val="32"/>
        </w:rPr>
        <w:t xml:space="preserve">（A）国有企业问题资产清单管理</w:t>
      </w:r>
      <w:r>
        <w:rPr>
          <w:rFonts w:ascii="仿宋" w:hAnsi="仿宋" w:eastAsia="仿宋" w:cs="仿宋"/>
          <w:b/>
          <w:bCs/>
          <w:sz w:val="32"/>
          <w:szCs w:val="32"/>
        </w:rPr>
      </w:r>
      <w:r/>
    </w:p>
    <w:p>
      <w:pPr>
        <w:pStyle w:val="1031"/>
      </w:pPr>
      <w:r>
        <w:rPr>
          <w:rFonts w:hint="eastAsia"/>
        </w:rPr>
        <w:t xml:space="preserve">国有企业问题资产清单信息包括清查企业名称、监管主体、资产名称、资产类别、资产清查值、资产总面积、问题部分所涉及面积、清查账外资产金额、问题部分所涉金额、预计损失金额、具体问题、问题类别、整改类型、盘活类型、整改措施、整改时限、责任人、整改状态整改情况说明、备注等。</w:t>
      </w:r>
      <w:r/>
    </w:p>
    <w:p>
      <w:pPr>
        <w:pStyle w:val="1031"/>
      </w:pPr>
      <w:r>
        <w:rPr>
          <w:rFonts w:hint="eastAsia"/>
        </w:rPr>
        <w:t xml:space="preserve">根据国有企业资产清查填报的问题资产清单，提供问题资产清单查询（含整改情况查询等）、导出等功能。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（B）国有企业问题资产清单汇总</w:t>
      </w:r>
      <w:r>
        <w:rPr>
          <w:rFonts w:ascii="仿宋" w:hAnsi="仿宋" w:eastAsia="仿宋" w:cs="仿宋"/>
          <w:b/>
          <w:bCs/>
          <w:sz w:val="32"/>
          <w:szCs w:val="32"/>
        </w:rPr>
      </w:r>
      <w:r/>
    </w:p>
    <w:p>
      <w:pPr>
        <w:pStyle w:val="1031"/>
      </w:pPr>
      <w:r>
        <w:rPr>
          <w:rFonts w:hint="eastAsia"/>
        </w:rPr>
        <w:t xml:space="preserve">提供全省国有企业问题资产清单汇总功能。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（3）盘活利用清单管理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建设盘活利用清单管理模块，分别对行政事业性国有资产、国有企业资产盘活利用清单进行管理。根据问题资产清单数据生成盘活利用清单，单位、企业进行补充修改，由上级主管单位审核汇总。</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A.行政事业单位盘活利用清单管理</w:t>
      </w:r>
      <w:r>
        <w:rPr>
          <w:rFonts w:ascii="仿宋" w:hAnsi="仿宋" w:eastAsia="仿宋" w:cs="仿宋"/>
          <w:b/>
          <w:sz w:val="32"/>
          <w:szCs w:val="32"/>
        </w:rPr>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（A）行政事业单位盘活利用清单管理</w:t>
      </w:r>
      <w:r>
        <w:rPr>
          <w:rFonts w:ascii="仿宋" w:hAnsi="仿宋" w:eastAsia="仿宋" w:cs="仿宋"/>
          <w:b/>
          <w:bCs/>
          <w:sz w:val="32"/>
          <w:szCs w:val="32"/>
        </w:rPr>
      </w:r>
      <w:r/>
    </w:p>
    <w:p>
      <w:pPr>
        <w:pStyle w:val="1031"/>
      </w:pPr>
      <w:r>
        <w:rPr>
          <w:rFonts w:hint="eastAsia"/>
        </w:rPr>
        <w:t xml:space="preserve">盘活利用清单信息包括资产名称、资产类别、资产数量、清查净值、资产坐落位置、情况概要说明、资产使用状况、盘活方向、盘活类型、盘活收益、盘活时限、责任人、是否已完成盘活、备注等。</w:t>
      </w:r>
      <w:r/>
    </w:p>
    <w:p>
      <w:pPr>
        <w:pStyle w:val="1031"/>
      </w:pPr>
      <w:r>
        <w:rPr>
          <w:rFonts w:hint="eastAsia"/>
        </w:rPr>
        <w:t xml:space="preserve">根据资产云同步的盘活利用清单数据，提供盘活利用清单的查询、导出等功能。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（B）行政事业单位盘活清单汇总</w:t>
      </w:r>
      <w:r>
        <w:rPr>
          <w:rFonts w:ascii="仿宋" w:hAnsi="仿宋" w:eastAsia="仿宋" w:cs="仿宋"/>
          <w:b/>
          <w:bCs/>
          <w:sz w:val="32"/>
          <w:szCs w:val="32"/>
        </w:rPr>
      </w:r>
      <w:r/>
    </w:p>
    <w:p>
      <w:pPr>
        <w:pStyle w:val="1031"/>
      </w:pPr>
      <w:r>
        <w:rPr>
          <w:rFonts w:hint="eastAsia"/>
        </w:rPr>
        <w:t xml:space="preserve">提供全省行政事业单位盘活清单汇总功能。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B.国有企业盘活利用清单管理</w:t>
      </w:r>
      <w:r>
        <w:rPr>
          <w:rFonts w:ascii="仿宋" w:hAnsi="仿宋" w:eastAsia="仿宋" w:cs="仿宋"/>
          <w:b/>
          <w:sz w:val="32"/>
          <w:szCs w:val="32"/>
        </w:rPr>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（A）国有企业盘活利用清单管理</w:t>
      </w:r>
      <w:r>
        <w:rPr>
          <w:rFonts w:ascii="仿宋" w:hAnsi="仿宋" w:eastAsia="仿宋" w:cs="仿宋"/>
          <w:b/>
          <w:bCs/>
          <w:sz w:val="32"/>
          <w:szCs w:val="32"/>
        </w:rPr>
      </w:r>
      <w:r/>
    </w:p>
    <w:p>
      <w:pPr>
        <w:pStyle w:val="1031"/>
      </w:pPr>
      <w:r>
        <w:rPr>
          <w:rFonts w:hint="eastAsia"/>
        </w:rPr>
        <w:t xml:space="preserve">盘活利用清单信息包括清查企业、监管主体、资产名称、资产类别、资产总面积、问题部分所涉及面积、清查账外资产金额、问题部分所涉金额、预计损失金额、情况简要说明、资产使用状况、盘活方向、盘活类型、盘活收益、盘活时限、责任人、是否已完成盘活、备注等。</w:t>
      </w:r>
      <w:r/>
    </w:p>
    <w:p>
      <w:pPr>
        <w:pStyle w:val="1031"/>
      </w:pPr>
      <w:r>
        <w:rPr>
          <w:rFonts w:hint="eastAsia"/>
        </w:rPr>
        <w:t xml:space="preserve">根据国有企业资产清查填报的盘活利用清单，提供盘活利用清单的查询、导出等功能。</w:t>
      </w:r>
      <w:r/>
    </w:p>
    <w:p>
      <w:pPr>
        <w:pStyle w:val="891"/>
        <w:ind w:left="643"/>
        <w:keepLines/>
        <w:keepNext/>
        <w:spacing w:before="60" w:after="60" w:line="360" w:lineRule="auto"/>
        <w:rPr>
          <w:rFonts w:ascii="仿宋" w:hAnsi="仿宋" w:eastAsia="仿宋" w:cs="仿宋"/>
          <w:b/>
          <w:bCs/>
          <w:sz w:val="32"/>
          <w:szCs w:val="32"/>
        </w:rPr>
        <w:outlineLvl w:val="5"/>
      </w:pPr>
      <w:r>
        <w:rPr>
          <w:rFonts w:hint="eastAsia" w:ascii="仿宋" w:hAnsi="仿宋" w:eastAsia="仿宋" w:cs="仿宋"/>
          <w:b/>
          <w:bCs/>
          <w:sz w:val="32"/>
          <w:szCs w:val="32"/>
        </w:rPr>
        <w:t xml:space="preserve">（B）国有企业盘活利用清单汇总</w:t>
      </w:r>
      <w:r>
        <w:rPr>
          <w:rFonts w:ascii="仿宋" w:hAnsi="仿宋" w:eastAsia="仿宋" w:cs="仿宋"/>
          <w:b/>
          <w:bCs/>
          <w:sz w:val="32"/>
          <w:szCs w:val="32"/>
        </w:rPr>
      </w:r>
      <w:r/>
    </w:p>
    <w:p>
      <w:pPr>
        <w:pStyle w:val="1031"/>
      </w:pPr>
      <w:r>
        <w:rPr>
          <w:rFonts w:hint="eastAsia"/>
        </w:rPr>
        <w:t xml:space="preserve">提供全省国有企业盘活利用清单汇总功能。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（4）资产处置交易信息管理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建设资产处置交易信息管理模块，实现对资产交易信息的结果填报功能，以公开、透明、便捷的方式促进资产的盘活流转，加快资产处置速度。</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1031"/>
      </w:pPr>
      <w:r>
        <w:rPr>
          <w:rFonts w:hint="eastAsia"/>
        </w:rPr>
        <w:t xml:space="preserve">资产处置交易信息包括资产名称、资产类型、资产数量、处置原因、处置方式、资产售价、资产交易时间、资产付款方式、交易结果等。</w:t>
      </w:r>
      <w:r/>
    </w:p>
    <w:p>
      <w:pPr>
        <w:pStyle w:val="1031"/>
      </w:pPr>
      <w:r>
        <w:rPr>
          <w:rFonts w:hint="eastAsia"/>
        </w:rPr>
        <w:t xml:space="preserve">基于盘活利用清单的明细数据，提供资产处置交易信息的新增、修改、删除、查询等功能。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（5）资产共享共用信息管理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建设资产共享共用信息管理模块，实现对资产共享共用信息的维护和发布功能。</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1031"/>
      </w:pPr>
      <w:r>
        <w:rPr>
          <w:rFonts w:hint="eastAsia"/>
        </w:rPr>
        <w:t xml:space="preserve">闲置资产信息包括资产名称、资产类型、闲置原因、利用策略、共享共用状态等。</w:t>
      </w:r>
      <w:r/>
    </w:p>
    <w:p>
      <w:pPr>
        <w:pStyle w:val="1031"/>
      </w:pPr>
      <w:r>
        <w:rPr>
          <w:rFonts w:hint="eastAsia"/>
        </w:rPr>
        <w:t xml:space="preserve">提供闲置资产信息的发布、修改、删除、查询、共享共用状态修改等功能。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（6）盘活成效管理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建设盘活成效管理模块，基于盘活利用清单，围绕待盘活面积、已盘活面积、盘活方式、盘活资金等关键指标数据，统计分析资产盘活情况。</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A.行政事业性资产盘活成效统计</w:t>
      </w:r>
      <w:r>
        <w:rPr>
          <w:rFonts w:ascii="仿宋" w:hAnsi="仿宋" w:eastAsia="仿宋" w:cs="仿宋"/>
          <w:b/>
          <w:sz w:val="32"/>
          <w:szCs w:val="32"/>
        </w:rPr>
      </w:r>
      <w:r/>
    </w:p>
    <w:p>
      <w:pPr>
        <w:pStyle w:val="1031"/>
      </w:pPr>
      <w:r>
        <w:rPr>
          <w:rFonts w:hint="eastAsia"/>
        </w:rPr>
        <w:t xml:space="preserve">基于行政事业单位盘活利用清单，提供行政事业性资产盘活成效统计功能。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B.国有企业资产盘活成效统计</w:t>
      </w:r>
      <w:r>
        <w:rPr>
          <w:rFonts w:ascii="仿宋" w:hAnsi="仿宋" w:eastAsia="仿宋" w:cs="仿宋"/>
          <w:b/>
          <w:sz w:val="32"/>
          <w:szCs w:val="32"/>
        </w:rPr>
      </w:r>
      <w:r/>
    </w:p>
    <w:p>
      <w:pPr>
        <w:pStyle w:val="1031"/>
      </w:pPr>
      <w:r>
        <w:rPr>
          <w:rFonts w:hint="eastAsia"/>
        </w:rPr>
        <w:t xml:space="preserve">基于国有企业盘活利用清单，提供国有企业资产盘活成效统计功能。</w:t>
      </w:r>
      <w:r/>
    </w:p>
    <w:p>
      <w:pPr>
        <w:pStyle w:val="891"/>
        <w:ind w:firstLine="482"/>
        <w:keepLines/>
        <w:keepNext/>
        <w:spacing w:before="78" w:after="78" w:line="360" w:lineRule="auto"/>
        <w:rPr>
          <w:rFonts w:ascii="仿宋" w:hAnsi="仿宋" w:eastAsia="仿宋" w:cs="仿宋"/>
          <w:b/>
          <w:sz w:val="32"/>
          <w:szCs w:val="32"/>
        </w:rPr>
        <w:outlineLvl w:val="1"/>
      </w:pPr>
      <w:r>
        <w:rPr>
          <w:rFonts w:ascii="仿宋" w:hAnsi="仿宋" w:eastAsia="仿宋" w:cs="仿宋"/>
          <w:b/>
          <w:sz w:val="32"/>
          <w:szCs w:val="32"/>
        </w:rPr>
        <w:t xml:space="preserve">2</w:t>
      </w:r>
      <w:r>
        <w:rPr>
          <w:rFonts w:hint="eastAsia" w:ascii="仿宋" w:hAnsi="仿宋" w:eastAsia="仿宋" w:cs="仿宋"/>
          <w:b/>
          <w:sz w:val="32"/>
          <w:szCs w:val="32"/>
        </w:rPr>
        <w:t xml:space="preserve">.4.监督预警管理</w:t>
      </w:r>
      <w:r>
        <w:rPr>
          <w:rFonts w:ascii="仿宋" w:hAnsi="仿宋" w:eastAsia="仿宋" w:cs="仿宋"/>
          <w:b/>
          <w:sz w:val="32"/>
          <w:szCs w:val="32"/>
        </w:rPr>
      </w:r>
      <w:r/>
    </w:p>
    <w:p>
      <w:pPr>
        <w:pStyle w:val="1031"/>
      </w:pPr>
      <w:r>
        <w:rPr>
          <w:rFonts w:hint="eastAsia"/>
        </w:rPr>
        <w:t xml:space="preserve">构建监督履职类、资产资源类、租金收益类等监督预警模型，定期对资产数据进行监督，生成预警数据，通过任务的下达、接收、反馈等环节，将潜在风险信息及时在财政、国资、纪委等业务归口部门及监管部门与单位之间进行传递。单位根据任务对预警数据进行处理，记录处理结果，监督检查人员对预警核实结果进行跟踪、查看。以党内监督为主导，促进各类监督贯通协调，完善国有资产领域权力监督制约机制。</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（1）监督模型管理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系统对监督模型进行统一管理和维护，以适应需求及法律法规的变化。支持资产资源、租金收益以及履职监督等不同业务场景的监督模型配置，设置高、中、低三级模型风险等级。模型配置需关联政策法规文件、条目，设置扫描频次、黑白名单、启用状态等。</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A.行政事业性资产监督模型管理</w:t>
      </w:r>
      <w:r>
        <w:rPr>
          <w:rFonts w:ascii="仿宋" w:hAnsi="仿宋" w:eastAsia="仿宋" w:cs="仿宋"/>
          <w:b/>
          <w:sz w:val="32"/>
          <w:szCs w:val="32"/>
        </w:rPr>
      </w:r>
      <w:r/>
    </w:p>
    <w:p>
      <w:pPr>
        <w:pStyle w:val="1031"/>
      </w:pPr>
      <w:r>
        <w:rPr>
          <w:rFonts w:hint="eastAsia"/>
        </w:rPr>
        <w:t xml:space="preserve">建设行政事业性资产监督模型管理模块，实现对行政事业性资产监督模型的管理。系统提供默认的全省通用监督模型和市县特定监督模型，支持对模型的启用、停用操作。</w:t>
      </w:r>
      <w:r/>
    </w:p>
    <w:p>
      <w:pPr>
        <w:pStyle w:val="1031"/>
      </w:pPr>
      <w:r>
        <w:rPr>
          <w:rFonts w:hint="eastAsia"/>
        </w:rPr>
        <w:t xml:space="preserve">模型信息包括模型类别、模型名称、模型级别、模型简介、规则说明、政策法规依据、启用状态等。</w:t>
      </w:r>
      <w:r/>
    </w:p>
    <w:p>
      <w:pPr>
        <w:pStyle w:val="1031"/>
      </w:pPr>
      <w:r>
        <w:rPr>
          <w:rFonts w:hint="eastAsia"/>
        </w:rPr>
        <w:t xml:space="preserve">模型分为履职监督类、资产资源类、租金收益类。履职监督类模型包括组织信息完整性检</w:t>
      </w:r>
      <w:r>
        <w:rPr>
          <w:rFonts w:hint="eastAsia"/>
        </w:rPr>
        <w:t xml:space="preserve">查等；资产资源类模型包括转固时限检查、设备总价超标、资产类别检查、公物仓利用检查、资产使用年限检查、土地房产闲置检查、土地产权检查、房屋产权检查、自用资产使用人检查、资产使用年限检查、资产使用年限到期预警等；租金收益类模型包括租金交易凭证检查、抵押时限检查、实收资金检查、土地实际出租面积检查、房屋实际出租面积检查、合同登记时间检查、收款时长检查、合同租金检查、房屋单价检查、合同备案日期检查、合同起止日期检查、合同结束日期检查等。提供全省通用模型查看、启用、停用等功能。提供市县特定模型查看、启用、停用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B.国有企业资产监督模型管理</w:t>
      </w:r>
      <w:r>
        <w:rPr>
          <w:rFonts w:ascii="仿宋" w:hAnsi="仿宋" w:eastAsia="仿宋" w:cs="仿宋"/>
          <w:b/>
          <w:sz w:val="32"/>
          <w:szCs w:val="32"/>
        </w:rPr>
      </w:r>
      <w:r/>
    </w:p>
    <w:p>
      <w:pPr>
        <w:pStyle w:val="1031"/>
      </w:pPr>
      <w:r>
        <w:rPr>
          <w:rFonts w:hint="eastAsia"/>
        </w:rPr>
        <w:t xml:space="preserve">建设国资国企资产监督模型管理模块，实现对国资国企资产监督模型的管理。</w:t>
      </w:r>
      <w:r/>
    </w:p>
    <w:p>
      <w:pPr>
        <w:pStyle w:val="1031"/>
      </w:pPr>
      <w:r>
        <w:rPr>
          <w:rFonts w:hint="eastAsia"/>
        </w:rPr>
        <w:t xml:space="preserve">模型信息包括模型类别、模型名称、模型级别、模型简介、规则说明、政策法规依据、启用状态等。</w:t>
      </w:r>
      <w:r/>
    </w:p>
    <w:p>
      <w:pPr>
        <w:pStyle w:val="1031"/>
      </w:pPr>
      <w:r>
        <w:rPr>
          <w:rFonts w:hint="eastAsia"/>
        </w:rPr>
        <w:t xml:space="preserve">模型分为基础信息类、资产总量类、土地资产类、房屋建筑物资产类、应收款项类、库存商品类、股权投资类。基础信息类模型包括信息完整性检查等；资产总量类模型包括资产变动检查等；土地资产类模型包括闲置土地检查等；房屋建筑物资产类模型包括闲置房屋建筑物检查等；应收款项类模型包括逾期应收款项检查等；库存商品类模型包括超期库存商品检查等；股权投资类模型包括低效无效股权投资检查等。</w:t>
      </w:r>
      <w:r/>
    </w:p>
    <w:p>
      <w:pPr>
        <w:pStyle w:val="1031"/>
      </w:pPr>
      <w:r>
        <w:rPr>
          <w:rFonts w:hint="eastAsia"/>
        </w:rPr>
        <w:t xml:space="preserve">提供模型查看、启用、停用等功能。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C.金融企业资产监督模型管理</w:t>
      </w:r>
      <w:r>
        <w:rPr>
          <w:rFonts w:ascii="仿宋" w:hAnsi="仿宋" w:eastAsia="仿宋" w:cs="仿宋"/>
          <w:b/>
          <w:sz w:val="32"/>
          <w:szCs w:val="32"/>
        </w:rPr>
      </w:r>
      <w:r/>
    </w:p>
    <w:p>
      <w:pPr>
        <w:pStyle w:val="1031"/>
      </w:pPr>
      <w:r>
        <w:rPr>
          <w:rFonts w:hint="eastAsia"/>
        </w:rPr>
        <w:t xml:space="preserve">建设金融企业资产监督模型管理模块，实现对全省金融企业资产监督模型的管理。</w:t>
      </w:r>
      <w:r/>
    </w:p>
    <w:p>
      <w:pPr>
        <w:pStyle w:val="1031"/>
      </w:pPr>
      <w:r>
        <w:rPr>
          <w:rFonts w:hint="eastAsia"/>
        </w:rPr>
        <w:t xml:space="preserve">模型信息包括模型类别、模型名称、模型级别、模型简介、规则说明、政策法规依据、启用状态等。</w:t>
      </w:r>
      <w:r/>
    </w:p>
    <w:p>
      <w:pPr>
        <w:pStyle w:val="1031"/>
      </w:pPr>
      <w:r>
        <w:rPr>
          <w:rFonts w:hint="eastAsia"/>
        </w:rPr>
        <w:t xml:space="preserve">模型分为股权转让类、非股权转让类、房产出租类。股权转让类模型包括产权交易机构检查、产权转让公告期检查、首次挂牌价格检查、挂牌价格检查、转让价款收取情况检查、批准部门检查、转让价格检查、直接协议转让价格检查等；非股权转让类模型包括转让方式检查、直接协议转让检查、评估检查等；房产出租类模型包括公告时间检查、底价调整检查、租金增长机制检查、租赁期检查、保证金检查等。</w:t>
      </w:r>
      <w:r/>
    </w:p>
    <w:p>
      <w:pPr>
        <w:pStyle w:val="1031"/>
      </w:pPr>
      <w:r>
        <w:rPr>
          <w:rFonts w:hint="eastAsia"/>
        </w:rPr>
        <w:t xml:space="preserve">提供模型查看、启用、停用等功能。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D.文化企业资产监督模型管理</w:t>
      </w:r>
      <w:r>
        <w:rPr>
          <w:rFonts w:ascii="仿宋" w:hAnsi="仿宋" w:eastAsia="仿宋" w:cs="仿宋"/>
          <w:b/>
          <w:sz w:val="32"/>
          <w:szCs w:val="32"/>
        </w:rPr>
      </w:r>
      <w:r/>
    </w:p>
    <w:p>
      <w:pPr>
        <w:pStyle w:val="1031"/>
      </w:pPr>
      <w:r>
        <w:rPr>
          <w:rFonts w:hint="eastAsia"/>
        </w:rPr>
        <w:t xml:space="preserve">建设文化企业资产监督模型管理模块，实现对全省文化企业资产监督模型的管理。</w:t>
      </w:r>
      <w:r/>
    </w:p>
    <w:p>
      <w:pPr>
        <w:pStyle w:val="1031"/>
      </w:pPr>
      <w:r>
        <w:rPr>
          <w:rFonts w:hint="eastAsia"/>
        </w:rPr>
        <w:t xml:space="preserve">模型信息包括模型类别、模型名称、模型级别、模型简介、规则说明、政策法规依据、启用状态等。</w:t>
      </w:r>
      <w:r/>
    </w:p>
    <w:p>
      <w:pPr>
        <w:pStyle w:val="1031"/>
      </w:pPr>
      <w:r>
        <w:rPr>
          <w:rFonts w:hint="eastAsia"/>
        </w:rPr>
        <w:t xml:space="preserve">模型分为“三重一大”事项类、产权事项类、财务事项类。“三重一大”事项类模型包括决议结果文件报送时间检查、董事表决通过人数检查、董事会审议通过检查、境外企业专项报告检查等；产权事项类模型包括产权交易场所检查、产权变动批准检查、产权交易及备案检查、资产损失及核销检查、是否披露重大资产处置检查等；财务事项类模型包括重大投资决策项目报备时间检查、债券发行备案时间检查、其他债权融资批准备案检查、担保批准备案检查、股权类证券上报时间检查、对外捐赠批准检查等。</w:t>
      </w:r>
      <w:r/>
    </w:p>
    <w:p>
      <w:pPr>
        <w:pStyle w:val="1031"/>
      </w:pPr>
      <w:r>
        <w:rPr>
          <w:rFonts w:hint="eastAsia"/>
        </w:rPr>
        <w:t xml:space="preserve">提供模型查看、启用、停用等功能。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E.事业单位所办企业监督模型管理</w:t>
      </w:r>
      <w:r>
        <w:rPr>
          <w:rFonts w:ascii="仿宋" w:hAnsi="仿宋" w:eastAsia="仿宋" w:cs="仿宋"/>
          <w:b/>
          <w:sz w:val="32"/>
          <w:szCs w:val="32"/>
        </w:rPr>
      </w:r>
      <w:r/>
    </w:p>
    <w:p>
      <w:pPr>
        <w:pStyle w:val="1031"/>
      </w:pPr>
      <w:r>
        <w:rPr>
          <w:rFonts w:hint="eastAsia"/>
        </w:rPr>
        <w:t xml:space="preserve">建设事业单位所办企业监督模型管理模块，实现对事业单位所办企业资产监督模型的管理。</w:t>
      </w:r>
      <w:r/>
    </w:p>
    <w:p>
      <w:pPr>
        <w:pStyle w:val="1031"/>
      </w:pPr>
      <w:r>
        <w:rPr>
          <w:rFonts w:hint="eastAsia"/>
        </w:rPr>
        <w:t xml:space="preserve">模型信息包括模型类别、模型名称、模型级别、模型简介、规则说明、政策法规依据、启用状态等。</w:t>
      </w:r>
      <w:r/>
    </w:p>
    <w:p>
      <w:pPr>
        <w:pStyle w:val="1031"/>
      </w:pPr>
      <w:r>
        <w:rPr>
          <w:rFonts w:hint="eastAsia"/>
        </w:rPr>
        <w:t xml:space="preserve">模型主要为履职监督类，包括产权信息登记检查等。</w:t>
      </w:r>
      <w:r/>
    </w:p>
    <w:p>
      <w:pPr>
        <w:pStyle w:val="1031"/>
      </w:pPr>
      <w:r>
        <w:rPr>
          <w:rFonts w:hint="eastAsia"/>
        </w:rPr>
        <w:t xml:space="preserve">提供模型查看、启用、停用等功能。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F.黑白名单管理</w:t>
      </w:r>
      <w:r>
        <w:rPr>
          <w:rFonts w:ascii="仿宋" w:hAnsi="仿宋" w:eastAsia="仿宋" w:cs="仿宋"/>
          <w:b/>
          <w:sz w:val="32"/>
          <w:szCs w:val="32"/>
        </w:rPr>
      </w:r>
      <w:r/>
    </w:p>
    <w:p>
      <w:pPr>
        <w:pStyle w:val="1031"/>
      </w:pPr>
      <w:r>
        <w:rPr>
          <w:rFonts w:hint="eastAsia"/>
        </w:rPr>
        <w:t xml:space="preserve">建设黑白名单管理模块，满足对于白名单中的单位、企业不进行资产监督预警的特定业务管理要求。</w:t>
      </w:r>
      <w:r/>
    </w:p>
    <w:p>
      <w:pPr>
        <w:pStyle w:val="1031"/>
      </w:pPr>
      <w:r>
        <w:rPr>
          <w:rFonts w:hint="eastAsia"/>
        </w:rPr>
        <w:t xml:space="preserve">黑白名单信息包括单位名称、生效时间、名单状态等。</w:t>
      </w:r>
      <w:r/>
    </w:p>
    <w:p>
      <w:pPr>
        <w:pStyle w:val="1031"/>
      </w:pPr>
      <w:r>
        <w:rPr>
          <w:rFonts w:hint="eastAsia"/>
        </w:rPr>
        <w:t xml:space="preserve">提供黑白名单新增、修改、删除、查询、启用、停用等功能。</w:t>
      </w:r>
      <w:r/>
    </w:p>
    <w:p>
      <w:pPr>
        <w:pStyle w:val="1031"/>
      </w:pPr>
      <w:r>
        <w:rPr>
          <w:rFonts w:hint="eastAsia"/>
        </w:rPr>
        <w:t xml:space="preserve">（3）数据接口</w:t>
      </w:r>
      <w:r/>
    </w:p>
    <w:p>
      <w:pPr>
        <w:pStyle w:val="1031"/>
      </w:pPr>
      <w:r>
        <w:rPr>
          <w:rFonts w:hint="eastAsia"/>
        </w:rPr>
        <w:t xml:space="preserve">以库表形式对接资产云系统，获取行政事业单位日常管理数据，包括资产使用、资产处置、收益管理等数据，用以支撑行政事业性资产监督模型的智能预警分析。</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（2）智能预警</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对关键业务活动基于监督模型自主扫描生成预警信息，进行实时监测，并依据风险等级发出相应的预警信息。根据不同业务场景、风险等级、数据归属推送预警信息至相关部门及责任人，相关用户可通过预警信息查看预警详情、法规文件、资产详情等信息。</w:t>
      </w:r>
      <w:r/>
    </w:p>
    <w:p>
      <w:pPr>
        <w:pStyle w:val="1031"/>
      </w:pPr>
      <w:r>
        <w:rPr>
          <w:rFonts w:hint="eastAsia"/>
        </w:rPr>
        <w:t xml:space="preserve">对于风险的监控频率根据预警规则等级进行设置，高风险问题即时预警，中低风险预警可根据需要实现预警频率的配置。</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A.预警任务管理</w:t>
      </w:r>
      <w:r>
        <w:rPr>
          <w:rFonts w:ascii="仿宋" w:hAnsi="仿宋" w:eastAsia="仿宋" w:cs="仿宋"/>
          <w:b/>
          <w:sz w:val="32"/>
          <w:szCs w:val="32"/>
        </w:rPr>
      </w:r>
      <w:r/>
    </w:p>
    <w:p>
      <w:pPr>
        <w:pStyle w:val="1031"/>
      </w:pPr>
      <w:r>
        <w:rPr>
          <w:rFonts w:hint="eastAsia"/>
        </w:rPr>
        <w:t xml:space="preserve">预警任务信息包括任务名称、任务监控频率、监督模型名称、任务状态、创建时间、创建人等信息。</w:t>
      </w:r>
      <w:r/>
    </w:p>
    <w:p>
      <w:pPr>
        <w:pStyle w:val="1031"/>
      </w:pPr>
      <w:r>
        <w:rPr>
          <w:rFonts w:hint="eastAsia"/>
        </w:rPr>
        <w:t xml:space="preserve">提供预警任务新增、修改、删除、查询、启用、停用、任务监控频率设置等功能。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B.预警信息管理</w:t>
      </w:r>
      <w:r>
        <w:rPr>
          <w:rFonts w:ascii="仿宋" w:hAnsi="仿宋" w:eastAsia="仿宋" w:cs="仿宋"/>
          <w:b/>
          <w:sz w:val="32"/>
          <w:szCs w:val="32"/>
        </w:rPr>
      </w:r>
      <w:r/>
    </w:p>
    <w:p>
      <w:pPr>
        <w:pStyle w:val="1031"/>
      </w:pPr>
      <w:r>
        <w:rPr>
          <w:rFonts w:hint="eastAsia"/>
        </w:rPr>
        <w:t xml:space="preserve">根据预警任务生成预警信息，单位或企业责任人及主管部门负责人可查阅对应的预警信息，进行下一步预警处置管理。</w:t>
      </w:r>
      <w:r/>
    </w:p>
    <w:p>
      <w:pPr>
        <w:pStyle w:val="1031"/>
      </w:pPr>
      <w:r>
        <w:rPr>
          <w:rFonts w:hint="eastAsia"/>
        </w:rPr>
        <w:t xml:space="preserve">预警信息包括模型名称、模型说明、预警信息类别、预警信息等级、预警单位信息、主管单位信息、法规文件信息、资产信息等。</w:t>
      </w:r>
      <w:r/>
    </w:p>
    <w:p>
      <w:pPr>
        <w:pStyle w:val="1031"/>
      </w:pPr>
      <w:r>
        <w:rPr>
          <w:rFonts w:hint="eastAsia"/>
        </w:rPr>
        <w:t xml:space="preserve">提供预警信息自动生成、预警信息提醒、预警信息详情查看、历史预警信息查询等功能。预警信息详情支持查看法规文件、资产详情等。</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C.预警信息统计</w:t>
      </w:r>
      <w:r>
        <w:rPr>
          <w:rFonts w:ascii="仿宋" w:hAnsi="仿宋" w:eastAsia="仿宋" w:cs="仿宋"/>
          <w:b/>
          <w:sz w:val="32"/>
          <w:szCs w:val="32"/>
        </w:rPr>
      </w:r>
      <w:r/>
    </w:p>
    <w:p>
      <w:pPr>
        <w:pStyle w:val="1031"/>
      </w:pPr>
      <w:r>
        <w:rPr>
          <w:rFonts w:hint="eastAsia"/>
        </w:rPr>
        <w:t xml:space="preserve">按时间、预警类别、单位主体等信息对预警信息进行统计分析，提供预警信息汇总查询、预警信息对比分析等功能。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（3）预警处置管理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为提高管理效率，降低风险，防止问题进一步扩大，根据预警信息采取相应的处置措施。单位接收到预警信息后，进行处置整改并反馈整改结果。对于已整改的预警信息，系统支持按预警模型再次进行复核功能。</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A.预警处置</w:t>
      </w:r>
      <w:r>
        <w:rPr>
          <w:rFonts w:ascii="仿宋" w:hAnsi="仿宋" w:eastAsia="仿宋" w:cs="仿宋"/>
          <w:b/>
          <w:sz w:val="32"/>
          <w:szCs w:val="32"/>
        </w:rPr>
      </w:r>
      <w:r/>
    </w:p>
    <w:p>
      <w:pPr>
        <w:pStyle w:val="1031"/>
      </w:pPr>
      <w:r>
        <w:rPr>
          <w:rFonts w:hint="eastAsia"/>
        </w:rPr>
        <w:t xml:space="preserve">根据设置的预警处置流程，主管部门发起处置交办，单位接收到预警信息后进行处置。</w:t>
      </w:r>
      <w:r/>
    </w:p>
    <w:p>
      <w:pPr>
        <w:pStyle w:val="1031"/>
      </w:pPr>
      <w:r>
        <w:rPr>
          <w:rFonts w:hint="eastAsia"/>
        </w:rPr>
        <w:t xml:space="preserve">预警处置信息包括单位名称、预警信息、处置措施、处置反馈信息、处置状态、备注等。</w:t>
      </w:r>
      <w:r/>
    </w:p>
    <w:p>
      <w:pPr>
        <w:pStyle w:val="1031"/>
      </w:pPr>
      <w:r>
        <w:rPr>
          <w:rFonts w:hint="eastAsia"/>
        </w:rPr>
        <w:t xml:space="preserve">提供预警处置交办、预警处置结果反馈信息填写、预警处置结果反馈信息查看、预警处置进度查看等功能。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B.预警复核</w:t>
      </w:r>
      <w:r>
        <w:rPr>
          <w:rFonts w:ascii="仿宋" w:hAnsi="仿宋" w:eastAsia="仿宋" w:cs="仿宋"/>
          <w:b/>
          <w:sz w:val="32"/>
          <w:szCs w:val="32"/>
        </w:rPr>
      </w:r>
      <w:r/>
    </w:p>
    <w:p>
      <w:pPr>
        <w:pStyle w:val="1031"/>
      </w:pPr>
      <w:r>
        <w:rPr>
          <w:rFonts w:hint="eastAsia"/>
        </w:rPr>
        <w:t xml:space="preserve">经单位反馈后的预警处置信息，提供复核功能，复核无误则关闭预警信息，若复核后任存在问题，则再次发起预警处置。</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（4）交办单管理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针对各类监督主体发现的疑点、风险、不明情况可线上发起交办单，实现各类事项的线上反馈、互动，并全程线上留痕。</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1031"/>
      </w:pPr>
      <w:r>
        <w:rPr>
          <w:rFonts w:hint="eastAsia"/>
        </w:rPr>
        <w:t xml:space="preserve">交办单信息包括单位名称、涉及的金额或者面积、年度、交办单反馈信息、交办单流程信息等。</w:t>
      </w:r>
      <w:r/>
    </w:p>
    <w:p>
      <w:pPr>
        <w:pStyle w:val="1031"/>
      </w:pPr>
      <w:r>
        <w:rPr>
          <w:rFonts w:hint="eastAsia"/>
        </w:rPr>
        <w:t xml:space="preserve">提供交办单新增、修改、删除、查询、发起、审核、审核意见填写、审核意见查看、审核进度查看、反馈信息填写、反馈信息查看、流转流程查看等功能。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（5）线索移交管理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系统提供违规问题线索移交功能，实现线索线上编号备案机制，推进国有资产监督工作纵向发展。</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1031"/>
      </w:pPr>
      <w:r>
        <w:rPr>
          <w:rFonts w:hint="eastAsia"/>
        </w:rPr>
        <w:t xml:space="preserve">线索移交单信息包括单位名称、资产类型、资产名称、线索移交问题、反馈信息、线索移交单流转信息等。</w:t>
      </w:r>
      <w:r/>
    </w:p>
    <w:p>
      <w:pPr>
        <w:pStyle w:val="1031"/>
      </w:pPr>
      <w:r>
        <w:rPr>
          <w:rFonts w:hint="eastAsia"/>
        </w:rPr>
        <w:t xml:space="preserve">提供线索移交单新增、修改、删除、查询、发起、审核、审核意见填写、审核进度查看、审核意见查看、反馈信息填写、反馈信息查看、流转流程查看等功能。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（6）监督履职管理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系统提供监督主体履职报告管理功能，按周期全面反映各类监督主体的重点工作任务、阶段工作成果、下阶段工作计划等履职情况。</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A.履职报告模版配置</w:t>
      </w:r>
      <w:r>
        <w:rPr>
          <w:rFonts w:ascii="仿宋" w:hAnsi="仿宋" w:eastAsia="仿宋" w:cs="仿宋"/>
          <w:b/>
          <w:sz w:val="32"/>
          <w:szCs w:val="32"/>
        </w:rPr>
      </w:r>
      <w:r/>
    </w:p>
    <w:p>
      <w:pPr>
        <w:pStyle w:val="1031"/>
      </w:pPr>
      <w:r>
        <w:rPr>
          <w:rFonts w:hint="eastAsia"/>
        </w:rPr>
        <w:t xml:space="preserve">系统提供默认的监督主体履职报告模版。履职报告模版信息包括模版名称、模版类型、模版信息、模版状态、模版说明等。</w:t>
      </w:r>
      <w:r/>
    </w:p>
    <w:p>
      <w:pPr>
        <w:pStyle w:val="1031"/>
      </w:pPr>
      <w:r>
        <w:rPr>
          <w:rFonts w:hint="eastAsia"/>
        </w:rPr>
        <w:t xml:space="preserve">提供履职报告模版查看、启用、停用等功能。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B.履职报告管理</w:t>
      </w:r>
      <w:r>
        <w:rPr>
          <w:rFonts w:ascii="仿宋" w:hAnsi="仿宋" w:eastAsia="仿宋" w:cs="仿宋"/>
          <w:b/>
          <w:sz w:val="32"/>
          <w:szCs w:val="32"/>
        </w:rPr>
      </w:r>
      <w:r/>
    </w:p>
    <w:p>
      <w:pPr>
        <w:pStyle w:val="1031"/>
      </w:pPr>
      <w:r>
        <w:rPr>
          <w:rFonts w:hint="eastAsia"/>
        </w:rPr>
        <w:t xml:space="preserve">履职报告信息包括报告名称、报告内容、主管部门信息、报告生成日期、报告说明、报告状态等。</w:t>
      </w:r>
      <w:r/>
    </w:p>
    <w:p>
      <w:pPr>
        <w:pStyle w:val="1031"/>
      </w:pPr>
      <w:r>
        <w:rPr>
          <w:rFonts w:hint="eastAsia"/>
        </w:rPr>
        <w:t xml:space="preserve">提供履职报告生成、修改、删除、查看、导出、审核、审核意见填写、审核进度查看、审核意见查看等功能。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（7）再监督管理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系统提供纪委监委再监督功能，直观反映十四类监督主体监督成效。支持对十四类监督主体监督履职情况的监督评价反馈，根据监督维度调阅各监督主体线上工作详情。</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A.再监督问题单管理</w:t>
      </w:r>
      <w:r>
        <w:rPr>
          <w:rFonts w:ascii="仿宋" w:hAnsi="仿宋" w:eastAsia="仿宋" w:cs="仿宋"/>
          <w:b/>
          <w:sz w:val="32"/>
          <w:szCs w:val="32"/>
        </w:rPr>
      </w:r>
      <w:r/>
    </w:p>
    <w:p>
      <w:pPr>
        <w:pStyle w:val="1031"/>
      </w:pPr>
      <w:r>
        <w:rPr>
          <w:rFonts w:hint="eastAsia"/>
        </w:rPr>
        <w:t xml:space="preserve">再监督问题单信息包括模型名称、模型说明、单位名称、涉及的金额或者面积、年度、反馈信息、流程信息等。</w:t>
      </w:r>
      <w:r/>
    </w:p>
    <w:p>
      <w:pPr>
        <w:pStyle w:val="1031"/>
      </w:pPr>
      <w:r>
        <w:rPr>
          <w:rFonts w:hint="eastAsia"/>
        </w:rPr>
        <w:t xml:space="preserve">提供再监督问题单新增、修改、删除、查询、审核意见填写、审核进度查看、反馈、流程查看等功能。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B.监督评价管理</w:t>
      </w:r>
      <w:r>
        <w:rPr>
          <w:rFonts w:ascii="仿宋" w:hAnsi="仿宋" w:eastAsia="仿宋" w:cs="仿宋"/>
          <w:b/>
          <w:sz w:val="32"/>
          <w:szCs w:val="32"/>
        </w:rPr>
      </w:r>
      <w:r/>
    </w:p>
    <w:p>
      <w:pPr>
        <w:pStyle w:val="1031"/>
      </w:pPr>
      <w:r>
        <w:rPr>
          <w:rFonts w:hint="eastAsia"/>
        </w:rPr>
        <w:t xml:space="preserve">监督评价信息包括单位名称、评价内容、评价反馈信息、评价部门、评价时间、备注等。</w:t>
      </w:r>
      <w:r/>
    </w:p>
    <w:p>
      <w:pPr>
        <w:pStyle w:val="1031"/>
      </w:pPr>
      <w:r>
        <w:rPr>
          <w:rFonts w:hint="eastAsia"/>
        </w:rPr>
        <w:t xml:space="preserve">提供监督评价、监督评价反馈、监督工作详情查看等功能。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（8）监督绩效管理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系统提供监督绩效评价指标体系管理能力，并结合指标体系实现各监督主体的监督绩效评价报告编制审核。</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A.绩效指标管理</w:t>
      </w:r>
      <w:r>
        <w:rPr>
          <w:rFonts w:ascii="仿宋" w:hAnsi="仿宋" w:eastAsia="仿宋" w:cs="仿宋"/>
          <w:b/>
          <w:sz w:val="32"/>
          <w:szCs w:val="32"/>
        </w:rPr>
      </w:r>
      <w:r/>
    </w:p>
    <w:p>
      <w:pPr>
        <w:pStyle w:val="1031"/>
      </w:pPr>
      <w:r>
        <w:rPr>
          <w:rFonts w:hint="eastAsia"/>
        </w:rPr>
        <w:t xml:space="preserve">绩效指标信息包括指标名称、指标级别、评（扣）分标准、指标说明或解释、指标政策法规依据、启用状态等。</w:t>
      </w:r>
      <w:r/>
    </w:p>
    <w:p>
      <w:pPr>
        <w:pStyle w:val="1031"/>
      </w:pPr>
      <w:r>
        <w:rPr>
          <w:rFonts w:hint="eastAsia"/>
        </w:rPr>
        <w:t xml:space="preserve">提供绩效指标新增、修改、删除、查询、启用、停用等功能。标支持多级管理，系统预置一级指标和二级指标，可根据实际业务需要增加三级指标、四级指标。</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B.绩效评价报告管理</w:t>
      </w:r>
      <w:r>
        <w:rPr>
          <w:rFonts w:ascii="仿宋" w:hAnsi="仿宋" w:eastAsia="仿宋" w:cs="仿宋"/>
          <w:b/>
          <w:sz w:val="32"/>
          <w:szCs w:val="32"/>
        </w:rPr>
      </w:r>
      <w:r/>
    </w:p>
    <w:p>
      <w:pPr>
        <w:pStyle w:val="1031"/>
      </w:pPr>
      <w:r>
        <w:rPr>
          <w:rFonts w:hint="eastAsia"/>
        </w:rPr>
        <w:t xml:space="preserve">系统提供默认的监督主体绩效评价报告模版，提供模版查看功能。绩效评价报告模版信息包括模版名称、模版类型、模版使用指标信息、模版状态、模版说明等。</w:t>
      </w:r>
      <w:r/>
    </w:p>
    <w:p>
      <w:pPr>
        <w:pStyle w:val="1031"/>
      </w:pPr>
      <w:r>
        <w:rPr>
          <w:rFonts w:hint="eastAsia"/>
        </w:rPr>
        <w:t xml:space="preserve">绩效评价报告信息包括报告名称、评价主体、评价报告内容、报告生成日期、报告说明、报告状态等。</w:t>
      </w:r>
      <w:r/>
    </w:p>
    <w:p>
      <w:pPr>
        <w:pStyle w:val="1031"/>
      </w:pPr>
      <w:r>
        <w:rPr>
          <w:rFonts w:hint="eastAsia"/>
        </w:rPr>
        <w:t xml:space="preserve">系统支持按评价报告模版自动生成评价报告功能，并提供报告修改、报告删除、报告审核意见填写、审核进度查看、审核意见查看、报告查看、报告导出等功能。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w:t>
      </w:r>
      <w:r>
        <w:rPr>
          <w:rFonts w:ascii="仿宋" w:hAnsi="仿宋" w:eastAsia="仿宋" w:cs="仿宋"/>
          <w:b/>
          <w:sz w:val="32"/>
          <w:szCs w:val="32"/>
        </w:rPr>
        <w:t xml:space="preserve">9）国资国企资产监管</w:t>
      </w:r>
      <w:r>
        <w:rPr>
          <w:rFonts w:hint="eastAsia" w:ascii="仿宋" w:hAnsi="仿宋" w:eastAsia="仿宋" w:cs="仿宋"/>
          <w:b/>
          <w:sz w:val="32"/>
          <w:szCs w:val="32"/>
        </w:rPr>
        <w:t xml:space="preserve">（跳转方式）</w:t>
      </w:r>
      <w:r>
        <w:rPr>
          <w:rFonts w:ascii="仿宋" w:hAnsi="仿宋" w:eastAsia="仿宋" w:cs="仿宋"/>
          <w:b/>
          <w:sz w:val="32"/>
          <w:szCs w:val="32"/>
        </w:rPr>
      </w:r>
      <w:r/>
    </w:p>
    <w:p>
      <w:pPr>
        <w:pStyle w:val="1031"/>
      </w:pPr>
      <w:r>
        <w:rPr>
          <w:rFonts w:hint="eastAsia"/>
        </w:rPr>
        <w:t xml:space="preserve">国资国企资产监管除支持系统监督预警功能提供监管，还支持通过链接方式跳转至江苏省国资委国资国企在线监管平台进行展示。</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（10）自然资源资产监管</w:t>
      </w:r>
      <w:r>
        <w:rPr>
          <w:rFonts w:ascii="仿宋" w:hAnsi="仿宋" w:eastAsia="仿宋" w:cs="仿宋"/>
          <w:b/>
          <w:sz w:val="32"/>
          <w:szCs w:val="32"/>
        </w:rPr>
      </w:r>
      <w:r/>
    </w:p>
    <w:p>
      <w:pPr>
        <w:pStyle w:val="1031"/>
      </w:pPr>
      <w:r>
        <w:rPr>
          <w:rFonts w:hint="eastAsia"/>
        </w:rPr>
        <w:t xml:space="preserve">自然资源资产监管通过链接方式跳转至省自然资源厅“一张图”系统进行展示。</w:t>
      </w:r>
      <w:r/>
    </w:p>
    <w:p>
      <w:pPr>
        <w:pStyle w:val="891"/>
        <w:ind w:firstLine="482"/>
        <w:keepLines/>
        <w:keepNext/>
        <w:spacing w:before="78" w:after="78" w:line="360" w:lineRule="auto"/>
        <w:rPr>
          <w:rFonts w:ascii="仿宋" w:hAnsi="仿宋" w:eastAsia="仿宋" w:cs="仿宋"/>
          <w:b/>
          <w:sz w:val="32"/>
          <w:szCs w:val="32"/>
        </w:rPr>
        <w:outlineLvl w:val="1"/>
      </w:pPr>
      <w:r>
        <w:rPr>
          <w:rFonts w:ascii="仿宋" w:hAnsi="仿宋" w:eastAsia="仿宋" w:cs="仿宋"/>
          <w:b/>
          <w:sz w:val="32"/>
          <w:szCs w:val="32"/>
        </w:rPr>
        <w:t xml:space="preserve">2</w:t>
      </w:r>
      <w:r>
        <w:rPr>
          <w:rFonts w:hint="eastAsia" w:ascii="仿宋" w:hAnsi="仿宋" w:eastAsia="仿宋" w:cs="仿宋"/>
          <w:b/>
          <w:sz w:val="32"/>
          <w:szCs w:val="32"/>
        </w:rPr>
        <w:t xml:space="preserve">.5.基础信息管理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（1）单位基础信息管理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rPr>
          <w:rFonts w:ascii="仿宋" w:hAnsi="仿宋" w:eastAsia="仿宋" w:cs="仿宋"/>
          <w:sz w:val="32"/>
          <w:szCs w:val="32"/>
        </w:rPr>
      </w:pPr>
      <w:r>
        <w:rPr>
          <w:rFonts w:hint="eastAsia"/>
        </w:rPr>
        <w:t xml:space="preserve">建设单位基础信息管理模块，行政事业单位信息获取资产云全省行政事业单位信息，国有企业信息通过在系统中填写方式采集。</w:t>
      </w:r>
      <w:r>
        <w:rPr>
          <w:rFonts w:ascii="仿宋" w:hAnsi="仿宋" w:eastAsia="仿宋" w:cs="仿宋"/>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A.行政事业单位信息管理</w:t>
      </w:r>
      <w:r>
        <w:rPr>
          <w:rFonts w:ascii="仿宋" w:hAnsi="仿宋" w:eastAsia="仿宋" w:cs="仿宋"/>
          <w:b/>
          <w:sz w:val="32"/>
          <w:szCs w:val="32"/>
        </w:rPr>
      </w:r>
      <w:r/>
    </w:p>
    <w:p>
      <w:pPr>
        <w:pStyle w:val="1031"/>
      </w:pPr>
      <w:r>
        <w:rPr>
          <w:rFonts w:hint="eastAsia"/>
        </w:rPr>
        <w:t xml:space="preserve">单位信息包括单位名称、单位代码、财政区划代码、统一社会信用代码、单位行政级别代码、单位类型代码、单位负责人、单位地址、单位所在地区划代码、部门标识代码等。</w:t>
      </w:r>
      <w:r/>
    </w:p>
    <w:p>
      <w:pPr>
        <w:pStyle w:val="1031"/>
      </w:pPr>
      <w:r>
        <w:rPr>
          <w:rFonts w:hint="eastAsia"/>
        </w:rPr>
        <w:t xml:space="preserve">获取资产云行政事业单位信息，提供组织架构查看、基础信息查询等功能。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B.国有企业信息管理</w:t>
      </w:r>
      <w:r>
        <w:rPr>
          <w:rFonts w:ascii="仿宋" w:hAnsi="仿宋" w:eastAsia="仿宋" w:cs="仿宋"/>
          <w:b/>
          <w:sz w:val="32"/>
          <w:szCs w:val="32"/>
        </w:rPr>
      </w:r>
      <w:r/>
    </w:p>
    <w:p>
      <w:pPr>
        <w:pStyle w:val="1031"/>
      </w:pPr>
      <w:r>
        <w:rPr>
          <w:rFonts w:hint="eastAsia"/>
        </w:rPr>
        <w:t xml:space="preserve">国有企业信息包括企业名称、注册地址、营业执照信息、税务登记信息、企业类型、企业级别、控股情况、企业联系人、企业联系人所属部门、企业联系人角色信息等。</w:t>
      </w:r>
      <w:r/>
    </w:p>
    <w:p>
      <w:pPr>
        <w:pStyle w:val="1031"/>
      </w:pPr>
      <w:r>
        <w:rPr>
          <w:rFonts w:hint="eastAsia"/>
        </w:rPr>
        <w:t xml:space="preserve">提供国有企业信息新增、修改、删除、查询、组织架构查看等功能。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（2）填报任务管理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主管部门按需发起资产清查填报任务，单位、企业接受任务后开展资产清查填报工作。建设填报任务管理模块，实现开展行政事业性资产清查、国有企业资产清查、自然资源资产清查工作。</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1031"/>
      </w:pPr>
      <w:r>
        <w:rPr>
          <w:rFonts w:hint="eastAsia"/>
        </w:rPr>
        <w:t xml:space="preserve">任务信息包括任务名称、任务新建时间、任务发布时间、任务新建人、任务接收状态、任务完成状态、填报单位信息等。</w:t>
      </w:r>
      <w:r/>
    </w:p>
    <w:p>
      <w:pPr>
        <w:pStyle w:val="1031"/>
      </w:pPr>
      <w:r>
        <w:rPr>
          <w:rFonts w:hint="eastAsia"/>
        </w:rPr>
        <w:t xml:space="preserve">提供任务新建、修改、删除、查询、下达、取消下达、接收等功能。上级主管部门查阅单位、企业填报任务的完成情况。提供任务完成情况统计查看等功能。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（3）监督体系管理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建设监督体系管理模块，实现对党委、纪委、国资委、财政等监督主体的监督功能、数据权限的管理。</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1031"/>
      </w:pPr>
      <w:r>
        <w:rPr>
          <w:rFonts w:hint="eastAsia"/>
        </w:rPr>
        <w:t xml:space="preserve">监督主体信息包括监督主体名称、监督主体状态、监督主体负责人、监督主体功能列表、监督主体权限列表等信息。</w:t>
      </w:r>
      <w:r/>
    </w:p>
    <w:p>
      <w:pPr>
        <w:pStyle w:val="1031"/>
      </w:pPr>
      <w:r>
        <w:rPr>
          <w:rFonts w:hint="eastAsia"/>
        </w:rPr>
        <w:t xml:space="preserve">提供监督主体的新增、修改、删除、查询、启用、停用、权限新增、权限修改、权限删除、权限查看等功能。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（4）流程管理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建设流程管理模块，对资产清查审核流程、底数清单审核流程、问题资产清单审核流程、盘活利用清单审核流程、资产处置审核流程、闲置资产信息审核流程、预警问题处置流程、交办单流程、履职报告审核流程、再监督流程进行管理。</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1031"/>
      </w:pPr>
      <w:r>
        <w:rPr>
          <w:rFonts w:hint="eastAsia"/>
        </w:rPr>
        <w:t xml:space="preserve">根据国有资产监督管理的需要，开发资产清查审核、底数清单审核、问题资产清单审核、盘活利用清单审核、资产处置审核、闲置资产信息审核、预警问题处置、交办单、履职报告审核、再监督等流程。支持查看流程的流转环节。</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（5）短信提醒设置管理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针对文化企业的监督预警信息通过手机短信提醒的方式向文化企业用户等发送提醒信息。</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2）功能设置</w:t>
      </w:r>
      <w:r>
        <w:rPr>
          <w:rFonts w:ascii="仿宋" w:hAnsi="仿宋" w:eastAsia="仿宋" w:cs="仿宋"/>
          <w:b/>
          <w:sz w:val="32"/>
          <w:szCs w:val="32"/>
        </w:rPr>
      </w:r>
      <w:r/>
    </w:p>
    <w:p>
      <w:pPr>
        <w:pStyle w:val="1031"/>
      </w:pPr>
      <w:r>
        <w:rPr>
          <w:rFonts w:hint="eastAsia"/>
        </w:rPr>
        <w:t xml:space="preserve">短信提醒设置信息包括发送方名称、发送方号码、发送频率、短信提醒状态等信息。</w:t>
      </w:r>
      <w:r/>
    </w:p>
    <w:p>
      <w:pPr>
        <w:pStyle w:val="1031"/>
      </w:pPr>
      <w:r>
        <w:rPr>
          <w:rFonts w:hint="eastAsia"/>
        </w:rPr>
        <w:t xml:space="preserve">提供新增、修改、删除、查询等功能。</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（6）政策法规库管理</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提供国有资产管理相关政策法规管理能力，支持政策法规的分级、分类管理，可对政策法规文件进行检索。</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A.政策法规信息管理</w:t>
      </w:r>
      <w:r>
        <w:rPr>
          <w:rFonts w:ascii="仿宋" w:hAnsi="仿宋" w:eastAsia="仿宋" w:cs="仿宋"/>
          <w:b/>
          <w:sz w:val="32"/>
          <w:szCs w:val="32"/>
        </w:rPr>
      </w:r>
      <w:r/>
    </w:p>
    <w:p>
      <w:pPr>
        <w:pStyle w:val="1031"/>
      </w:pPr>
      <w:r>
        <w:rPr>
          <w:rFonts w:hint="eastAsia"/>
        </w:rPr>
        <w:t xml:space="preserve">按国家、省级、市级等级别，按资产类别等对政策法规分级、分类管理。</w:t>
      </w:r>
      <w:r/>
    </w:p>
    <w:p>
      <w:pPr>
        <w:pStyle w:val="1031"/>
      </w:pPr>
      <w:r>
        <w:rPr>
          <w:rFonts w:hint="eastAsia"/>
        </w:rPr>
        <w:t xml:space="preserve">政策法规信息包括文件名称、文件等级、文件类型、文件关键词、文件审核状态、文件发布状态、文件上传者、文件上传时间、文件发布时间、文件有效期、文件大小、备注等信息。</w:t>
      </w:r>
      <w:r/>
    </w:p>
    <w:p>
      <w:pPr>
        <w:pStyle w:val="1031"/>
      </w:pPr>
      <w:r>
        <w:rPr>
          <w:rFonts w:hint="eastAsia"/>
        </w:rPr>
        <w:t xml:space="preserve">提供新增、修改、删除、查询、上传、下载、文件检索、文件预览等功能。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B.政策法规审核</w:t>
      </w:r>
      <w:r>
        <w:rPr>
          <w:rFonts w:ascii="仿宋" w:hAnsi="仿宋" w:eastAsia="仿宋" w:cs="仿宋"/>
          <w:b/>
          <w:sz w:val="32"/>
          <w:szCs w:val="32"/>
        </w:rPr>
      </w:r>
      <w:r/>
    </w:p>
    <w:p>
      <w:pPr>
        <w:pStyle w:val="1031"/>
      </w:pPr>
      <w:r>
        <w:rPr>
          <w:rFonts w:hint="eastAsia"/>
        </w:rPr>
        <w:t xml:space="preserve">对政策法规进行审核，提供审核、审核意见填写、审核进度查看、审核意见查看等功能。</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C.政策法规发布</w:t>
      </w:r>
      <w:r>
        <w:rPr>
          <w:rFonts w:ascii="仿宋" w:hAnsi="仿宋" w:eastAsia="仿宋" w:cs="仿宋"/>
          <w:b/>
          <w:sz w:val="32"/>
          <w:szCs w:val="32"/>
        </w:rPr>
      </w:r>
      <w:r/>
    </w:p>
    <w:p>
      <w:pPr>
        <w:pStyle w:val="1031"/>
      </w:pPr>
      <w:r>
        <w:rPr>
          <w:rFonts w:hint="eastAsia"/>
        </w:rPr>
        <w:t xml:space="preserve">提供政策法规发布、取消发布等功能。</w:t>
      </w:r>
      <w:r/>
    </w:p>
    <w:p>
      <w:pPr>
        <w:pStyle w:val="891"/>
        <w:ind w:firstLine="482"/>
        <w:keepLines/>
        <w:keepNext/>
        <w:spacing w:before="78" w:after="78" w:line="360" w:lineRule="auto"/>
        <w:rPr>
          <w:rFonts w:ascii="仿宋" w:hAnsi="仿宋" w:eastAsia="仿宋" w:cs="仿宋"/>
          <w:b/>
          <w:sz w:val="32"/>
          <w:szCs w:val="32"/>
        </w:rPr>
        <w:outlineLvl w:val="1"/>
      </w:pPr>
      <w:r>
        <w:rPr>
          <w:rFonts w:ascii="仿宋" w:hAnsi="仿宋" w:eastAsia="仿宋" w:cs="仿宋"/>
          <w:b/>
          <w:sz w:val="32"/>
          <w:szCs w:val="32"/>
        </w:rPr>
        <w:t xml:space="preserve">2</w:t>
      </w:r>
      <w:r>
        <w:rPr>
          <w:rFonts w:hint="eastAsia" w:ascii="仿宋" w:hAnsi="仿宋" w:eastAsia="仿宋" w:cs="仿宋"/>
          <w:b/>
          <w:sz w:val="32"/>
          <w:szCs w:val="32"/>
        </w:rPr>
        <w:t xml:space="preserve">.6.资产驾驶舱</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（1）建设内容概述</w:t>
      </w:r>
      <w:r>
        <w:rPr>
          <w:rFonts w:ascii="仿宋" w:hAnsi="仿宋" w:eastAsia="仿宋" w:cs="仿宋"/>
          <w:b/>
          <w:sz w:val="32"/>
          <w:szCs w:val="32"/>
        </w:rPr>
      </w:r>
      <w:r/>
    </w:p>
    <w:p>
      <w:pPr>
        <w:pStyle w:val="1031"/>
      </w:pPr>
      <w:r>
        <w:rPr>
          <w:rFonts w:hint="eastAsia"/>
        </w:rPr>
        <w:t xml:space="preserve">围绕全省国有资产运营情况，建设资产驾驶舱，提供统一信息视窗，对全省国有资产的关键指标进行可视化展示，支持通过定制用户权限实现展示内容的配置。通过实时数据接入，能够动态更新资产变动、财务数据、合规状况等信息，支持基于地图按区划进行概况、明细数据展示。同时，支持按时序、地域、行业类别等维度对资产进行深入分析，并通过交互式图表进行展示。</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（2）功能设计</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1）资产概况展示</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A.全局概览</w:t>
      </w:r>
      <w:r>
        <w:rPr>
          <w:rFonts w:ascii="仿宋" w:hAnsi="仿宋" w:eastAsia="仿宋" w:cs="仿宋"/>
          <w:b/>
          <w:sz w:val="32"/>
          <w:szCs w:val="32"/>
        </w:rPr>
      </w:r>
      <w:r/>
    </w:p>
    <w:p>
      <w:pPr>
        <w:pStyle w:val="1031"/>
      </w:pPr>
      <w:r>
        <w:rPr>
          <w:rFonts w:hint="eastAsia"/>
        </w:rPr>
        <w:t xml:space="preserve">提供国有资产全局概览功能，按照行政区划、资产性质、资产类型等不同维度进行资产概况展示。支持按照省本级、地市级、县级等不同行政区划，展示资产总量、资产结构、资产增长率等关键指标。支持按照经营性国有资产、行政事业性国有资产、资源性国有资产等不同资产性质，展示资产总量、收益情况、利用效率等关键指标。支持按照土地产权类、房屋建筑类、车辆设备类、基础设施类、股权债权类、无形资产类、特许经营类、其他类资产等不同资产类型，展示资产总量、构成比例、增减变动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B.行政事业性资产专栏</w:t>
      </w:r>
      <w:r>
        <w:rPr>
          <w:rFonts w:ascii="仿宋" w:hAnsi="仿宋" w:eastAsia="仿宋" w:cs="仿宋"/>
          <w:b/>
          <w:sz w:val="32"/>
          <w:szCs w:val="32"/>
        </w:rPr>
      </w:r>
      <w:r/>
    </w:p>
    <w:p>
      <w:pPr>
        <w:pStyle w:val="1031"/>
      </w:pPr>
      <w:r>
        <w:rPr>
          <w:rFonts w:hint="eastAsia"/>
        </w:rPr>
        <w:t xml:space="preserve">提供行政事业性资产专栏展示功能，按照行政区划、资产类型等不同维度进行资产概况展示。支持按照省本级、地市级、县级等不同行政区划，展示资产总量、资产结构、资产增长率等关键指标。支持按照土地产权类、房屋建筑类、车辆设备类、基础设施类、股权债权类、无形资产类、特许经营类、其他类资产等不同资产类型，展示资产总量、账面价值及评估价值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C.国有企业资产专栏</w:t>
      </w:r>
      <w:r>
        <w:rPr>
          <w:rFonts w:ascii="仿宋" w:hAnsi="仿宋" w:eastAsia="仿宋" w:cs="仿宋"/>
          <w:b/>
          <w:sz w:val="32"/>
          <w:szCs w:val="32"/>
        </w:rPr>
      </w:r>
      <w:r/>
    </w:p>
    <w:p>
      <w:pPr>
        <w:pStyle w:val="1031"/>
      </w:pPr>
      <w:r>
        <w:rPr>
          <w:rFonts w:hint="eastAsia"/>
        </w:rPr>
        <w:t xml:space="preserve">提供国</w:t>
      </w:r>
      <w:r>
        <w:rPr>
          <w:rFonts w:hint="eastAsia"/>
        </w:rPr>
        <w:t xml:space="preserve">有企业专栏展示功能，按照行政区划、企业类型、资产类型等不同维度进行资产概况展示。支持按照省本级、地市级、县级等不同行政区划，展示资产总量、企业数量、行业分布、资产增长率等关键指标。支持按照国资国企、金融企业、文化企业、事业单位所办企业等不同企业类型，展示资产总量、企业数量、资产结构等关键指标。支持按照土地产权类、房屋建筑类、车辆设备类、基础设施类、股权债权类、无形资产类、特许经营类、公共数据类、碳资产、生物类、其他类资产等不同资产类型，展示资产总量、账面价值及评估价值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D.自然资源资产专栏</w:t>
      </w:r>
      <w:r>
        <w:rPr>
          <w:rFonts w:ascii="仿宋" w:hAnsi="仿宋" w:eastAsia="仿宋" w:cs="仿宋"/>
          <w:b/>
          <w:sz w:val="32"/>
          <w:szCs w:val="32"/>
        </w:rPr>
      </w:r>
      <w:r/>
    </w:p>
    <w:p>
      <w:pPr>
        <w:pStyle w:val="1031"/>
      </w:pPr>
      <w:r>
        <w:rPr>
          <w:rFonts w:hint="eastAsia"/>
        </w:rPr>
        <w:t xml:space="preserve">提供自然资源资产专栏展示功能，按照行政区划、资产类型等不同维度进行资产概况展示。支持按照省本级、地市级、县级等不同行政区划，展示自然资源总量、资源利用率等关键指标。支持按照土地、海洋等资产类型，展示自然资源数量、面积等关键指标。点击关键指标可查看数据明细。</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2）资产清查总览</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A.资产清查概览</w:t>
      </w:r>
      <w:r>
        <w:rPr>
          <w:rFonts w:ascii="仿宋" w:hAnsi="仿宋" w:eastAsia="仿宋" w:cs="仿宋"/>
          <w:b/>
          <w:sz w:val="32"/>
          <w:szCs w:val="32"/>
        </w:rPr>
      </w:r>
      <w:r/>
    </w:p>
    <w:p>
      <w:pPr>
        <w:pStyle w:val="1031"/>
      </w:pPr>
      <w:r>
        <w:rPr>
          <w:rFonts w:hint="eastAsia"/>
        </w:rPr>
        <w:t xml:space="preserve">提供国有资产清查全局概览功能，支持按照省本级、地市级、县级等不同行政区划，经营性国有资产、行政事业性国有资产、资源性国有资产等不同资产性质以及土地产权类、房屋建筑类、车辆设备类、基础设施类、股权债权类、无形资产类、特许经营类、其他类资产等不同资产类型进行资产清查数据展示，展示账面净值、盘盈、盘减、清查净值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B.行政事业性资产清查专栏</w:t>
      </w:r>
      <w:r>
        <w:rPr>
          <w:rFonts w:ascii="仿宋" w:hAnsi="仿宋" w:eastAsia="仿宋" w:cs="仿宋"/>
          <w:b/>
          <w:sz w:val="32"/>
          <w:szCs w:val="32"/>
        </w:rPr>
      </w:r>
      <w:r/>
    </w:p>
    <w:p>
      <w:pPr>
        <w:pStyle w:val="1031"/>
      </w:pPr>
      <w:r>
        <w:rPr>
          <w:rFonts w:hint="eastAsia"/>
        </w:rPr>
        <w:t xml:space="preserve">提供行政事业性资产清查专栏展示功能，按照行政区划、资产类型等不同维度进行资产清查数据展示。支持按照省本级、地市级、县级等不同行政区划，展示资产总量、资产构成、资产价值等关键指标。支持按照土地产权类、房屋建筑类、车辆设备类、基础设施类、股权债权类、无形资产类、特许经营类、其他类资产等不同资产类型，展示清查数量、账面净值、盘盈、盘减、清查净值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C.国有企业资产清查专栏</w:t>
      </w:r>
      <w:r>
        <w:rPr>
          <w:rFonts w:ascii="仿宋" w:hAnsi="仿宋" w:eastAsia="仿宋" w:cs="仿宋"/>
          <w:b/>
          <w:sz w:val="32"/>
          <w:szCs w:val="32"/>
        </w:rPr>
      </w:r>
      <w:r/>
    </w:p>
    <w:p>
      <w:pPr>
        <w:pStyle w:val="1031"/>
      </w:pPr>
      <w:r>
        <w:rPr>
          <w:rFonts w:hint="eastAsia"/>
        </w:rPr>
        <w:t xml:space="preserve">提供国有企业资产</w:t>
      </w:r>
      <w:r>
        <w:rPr>
          <w:rFonts w:hint="eastAsia"/>
        </w:rPr>
        <w:t xml:space="preserve">清查专栏展示功能，按照行政区划、企业类型、资产类型等不同维度进行资产清查数据展示。支持按照省本级、地市级、县级等不同行政区划，展示总资产、净资产、负债、不良资产率等关键指标。支持按照国资国企、金融企业、文化企业、事业单位所办企业等不同企业类型，展示总资产、净资产、负债、资产管理指标等关键指标。支持按照土地产权类、房屋建筑类、车辆设备类、基础设施类、股权债权类、无形资产类、特许经营类、公共数据类、碳资产、生物类、其他类资产等不同资产类型，展示资产总量、构成比例、利用效率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D.自然资源资产清查专栏</w:t>
      </w:r>
      <w:r>
        <w:rPr>
          <w:rFonts w:ascii="仿宋" w:hAnsi="仿宋" w:eastAsia="仿宋" w:cs="仿宋"/>
          <w:b/>
          <w:sz w:val="32"/>
          <w:szCs w:val="32"/>
        </w:rPr>
      </w:r>
      <w:r/>
    </w:p>
    <w:p>
      <w:pPr>
        <w:pStyle w:val="1031"/>
      </w:pPr>
      <w:r>
        <w:rPr>
          <w:rFonts w:hint="eastAsia"/>
        </w:rPr>
        <w:t xml:space="preserve">提供自然资源资产清查专栏展示功能，按照行政区划、资产类型等不同维度进行资产清查数据展示。支持按照省本级、地市级、县级等不同行政区划，展示自然资源资产总量、类型分布、评估价值等关键指标。支持按照土地、海洋等资产类型，展示自然资源资产数量、质量、利用效率等关键指标。点击关键指标可查看数据明细。</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3）盘活利用总览</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A.盘活利用概览</w:t>
      </w:r>
      <w:r>
        <w:rPr>
          <w:rFonts w:ascii="仿宋" w:hAnsi="仿宋" w:eastAsia="仿宋" w:cs="仿宋"/>
          <w:b/>
          <w:sz w:val="32"/>
          <w:szCs w:val="32"/>
        </w:rPr>
      </w:r>
      <w:r/>
    </w:p>
    <w:p>
      <w:pPr>
        <w:pStyle w:val="1031"/>
      </w:pPr>
      <w:r>
        <w:rPr>
          <w:rFonts w:hint="eastAsia"/>
        </w:rPr>
        <w:t xml:space="preserve">提供国有资产盘活利用概览功能，按照行政区划、资产性质、资产类型进行资产盘活利用展示。支持按照省本级、地市级、县级等不同行政区划，展示盘活总量、盘活资产占比、盘活资产收益率等关键指标。支持按照经营性国有资产、行政事业性国有资产、资源性国有资产等不同资产性质，展示盘活总量、盘活资产占比、盘活方式等关键指标。支持按照土地产权类、房屋建筑类、车辆设备类、基础设施类、股权债权类、无形资产类、特许经营类、其他类资产等不同资产类型，展示盘活总量、盘活资产占比、盘活收益情况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B.资产底数管理专栏</w:t>
      </w:r>
      <w:r>
        <w:rPr>
          <w:rFonts w:ascii="仿宋" w:hAnsi="仿宋" w:eastAsia="仿宋" w:cs="仿宋"/>
          <w:b/>
          <w:sz w:val="32"/>
          <w:szCs w:val="32"/>
        </w:rPr>
      </w:r>
      <w:r/>
    </w:p>
    <w:p>
      <w:pPr>
        <w:pStyle w:val="1031"/>
      </w:pPr>
      <w:r>
        <w:rPr>
          <w:rFonts w:hint="eastAsia"/>
        </w:rPr>
        <w:t xml:space="preserve">提供资产底数管理专栏展示功能，支持按照省本级、地市级、县级等不同行政区划，经营性国有资产、行政事业性国有资产、资源性国有资产等不同资产性质以及土地产权类、房屋建筑类、车辆设备类、基础设施类、股权债权类、无形资产类、特许经营类、其他类资产等不同资产类型进行资产底数展示，展示账面净值、盘盈、盘减、清查净值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C.问题资产管理专栏</w:t>
      </w:r>
      <w:r>
        <w:rPr>
          <w:rFonts w:ascii="仿宋" w:hAnsi="仿宋" w:eastAsia="仿宋" w:cs="仿宋"/>
          <w:b/>
          <w:sz w:val="32"/>
          <w:szCs w:val="32"/>
        </w:rPr>
      </w:r>
      <w:r/>
    </w:p>
    <w:p>
      <w:pPr>
        <w:pStyle w:val="1031"/>
      </w:pPr>
      <w:r>
        <w:rPr>
          <w:rFonts w:hint="eastAsia"/>
        </w:rPr>
        <w:t xml:space="preserve">提供问题资产管理专栏展示功能，按照行政区划、资产性质、资产类型进行问题资产展示。支持按照省本级、地市级、县级等不同行政区划，展示问题资产总量、类型、处理数量、处理方式等关键指标。支持按照经营性国有资产、行政事业性国有资产、资源性国有资产等不同资产性质，展示问题资产占比、资产问题类型等关键指标。支持按照土地产权类、房屋建筑类、车辆设备类、基础设施类、股权债权类、无形资产类、特许经营类、其他类资产等不同资产类型，展示问题资产占比、资产问题类型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D.盘活利用成效专栏</w:t>
      </w:r>
      <w:r>
        <w:rPr>
          <w:rFonts w:ascii="仿宋" w:hAnsi="仿宋" w:eastAsia="仿宋" w:cs="仿宋"/>
          <w:b/>
          <w:sz w:val="32"/>
          <w:szCs w:val="32"/>
        </w:rPr>
      </w:r>
      <w:r/>
    </w:p>
    <w:p>
      <w:pPr>
        <w:pStyle w:val="1031"/>
      </w:pPr>
      <w:r>
        <w:rPr>
          <w:rFonts w:hint="eastAsia"/>
        </w:rPr>
        <w:t xml:space="preserve">提供盘活利用成效专栏展示功能，支持按照省本级、地市级、县级等不同行政区划，经营性国有资产、行政事业性国有资产、资源性国有资产等不同资产性质以及土地产权类、房屋建筑类、车辆设备类、基础设施类、股权债权类、无形资产类、特许经营类、其他类资产等不同资产类型进行资产盘活利用成效展示，展示盘活资产数量、盘活金额、盘活方式等关键指标。点击关键指标可查看数据明细。</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4）监督预警总览</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A.预警概览</w:t>
      </w:r>
      <w:r>
        <w:rPr>
          <w:rFonts w:ascii="仿宋" w:hAnsi="仿宋" w:eastAsia="仿宋" w:cs="仿宋"/>
          <w:b/>
          <w:sz w:val="32"/>
          <w:szCs w:val="32"/>
        </w:rPr>
      </w:r>
      <w:r/>
    </w:p>
    <w:p>
      <w:pPr>
        <w:pStyle w:val="1031"/>
      </w:pPr>
      <w:r>
        <w:rPr>
          <w:rFonts w:hint="eastAsia"/>
        </w:rPr>
        <w:t xml:space="preserve">提供国有资产监督预警概览功能，按照行政区划、问题类型、预警类型等不同维度进行监督预警展示。支持按照省本级、地市级、县级等不同行政区划，展示预警数量、预警等级等关键指标。支持按照资产账务处理问题、政策制约历史问题、低效闲置资产问题、资产被侵占问题、资产日常管理不善问题等不同问题类型，展示监督预警数量、等级、处置数量、处置方式等关键指标。支持按照高、中、低等不同预警类型，展示监督预警数量、处置数量等关键指标。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B.问题整改专栏</w:t>
      </w:r>
      <w:r>
        <w:rPr>
          <w:rFonts w:ascii="仿宋" w:hAnsi="仿宋" w:eastAsia="仿宋" w:cs="仿宋"/>
          <w:b/>
          <w:sz w:val="32"/>
          <w:szCs w:val="32"/>
        </w:rPr>
      </w:r>
      <w:r/>
    </w:p>
    <w:p>
      <w:pPr>
        <w:pStyle w:val="1031"/>
      </w:pPr>
      <w:r>
        <w:rPr>
          <w:rFonts w:hint="eastAsia"/>
        </w:rPr>
        <w:t xml:space="preserve">提供国有资产问题整改专栏展示功能，按照行政区划、问题类型、风险等级等不同维度进行资产问题整改展示。支持按照省本级、地市级、县级等不同行政区划，展示问题数量、问题类型、整改完成情况等关键指标。支持按照资产账务处理问题、政策制约历史问题、低效闲置资产问题、资产被侵占问题、资产日常管理不善问题等不同问题类型，展示问题数量、问题资产类型、问题解决占比等关键指标。支持按照高、中、低等不同风险等级，展示问题数量、问题解决数量等关键指标。点击关键指标可查看数据明细。</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5）业务专题</w:t>
      </w:r>
      <w:r>
        <w:rPr>
          <w:rFonts w:ascii="仿宋" w:hAnsi="仿宋" w:eastAsia="仿宋" w:cs="仿宋"/>
          <w:b/>
          <w:sz w:val="32"/>
          <w:szCs w:val="32"/>
        </w:rPr>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A.土地资产专栏</w:t>
      </w:r>
      <w:r>
        <w:rPr>
          <w:rFonts w:ascii="仿宋" w:hAnsi="仿宋" w:eastAsia="仿宋" w:cs="仿宋"/>
          <w:b/>
          <w:sz w:val="32"/>
          <w:szCs w:val="32"/>
        </w:rPr>
      </w:r>
      <w:r/>
    </w:p>
    <w:p>
      <w:pPr>
        <w:pStyle w:val="1031"/>
      </w:pPr>
      <w:r>
        <w:rPr>
          <w:rFonts w:hint="eastAsia"/>
        </w:rPr>
        <w:t xml:space="preserve">提供土地产权类资产的综合展示，支持按照省本级、地市级、县级等不同行政区划的下钻展示。支持按照建设用地、农用地、未规划用地等土地性质进行分类展示。支持土地产权面积、变动数等关键指标的展示。支持行政事业单位、国资国企、金融企业、文化企业、事业单位所办企业的区分展示。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B.房屋建筑资产专栏</w:t>
      </w:r>
      <w:r>
        <w:rPr>
          <w:rFonts w:ascii="仿宋" w:hAnsi="仿宋" w:eastAsia="仿宋" w:cs="仿宋"/>
          <w:b/>
          <w:sz w:val="32"/>
          <w:szCs w:val="32"/>
        </w:rPr>
      </w:r>
      <w:r/>
    </w:p>
    <w:p>
      <w:pPr>
        <w:pStyle w:val="1031"/>
      </w:pPr>
      <w:r>
        <w:rPr>
          <w:rFonts w:hint="eastAsia"/>
        </w:rPr>
        <w:t xml:space="preserve">提供房屋建筑类资产的综合展示，支持按照省本级、地市级、县级等不同行政区划的下钻展示。支持按照公租房、经济适用房、保障性租赁住房等类别进行分类展示。支持账面数、清查变动数、清查数等关键指标的展示。支持行政事业单位、国资国企、金融企业、文化企业、事业单位所办企业的区分展示。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C.车辆设备资产专栏</w:t>
      </w:r>
      <w:r>
        <w:rPr>
          <w:rFonts w:ascii="仿宋" w:hAnsi="仿宋" w:eastAsia="仿宋" w:cs="仿宋"/>
          <w:b/>
          <w:sz w:val="32"/>
          <w:szCs w:val="32"/>
        </w:rPr>
      </w:r>
      <w:r/>
    </w:p>
    <w:p>
      <w:pPr>
        <w:pStyle w:val="1031"/>
      </w:pPr>
      <w:r>
        <w:rPr>
          <w:rFonts w:hint="eastAsia"/>
        </w:rPr>
        <w:t xml:space="preserve">提供车辆设备类资产的综合展示，支持按照省本级、地市级、县级等不同行政区划的下钻展示。支持按照车、船、飞行器等类别进行分类展示。支持账面数、清查变动数、清查数等关键指标的展示。支持行政事业单位、国资国企、金融企业、文化企业、事业单位所办企业的区分展示。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D.基础设施资产专栏</w:t>
      </w:r>
      <w:r>
        <w:rPr>
          <w:rFonts w:ascii="仿宋" w:hAnsi="仿宋" w:eastAsia="仿宋" w:cs="仿宋"/>
          <w:b/>
          <w:sz w:val="32"/>
          <w:szCs w:val="32"/>
        </w:rPr>
      </w:r>
      <w:r/>
    </w:p>
    <w:p>
      <w:pPr>
        <w:pStyle w:val="1031"/>
      </w:pPr>
      <w:r>
        <w:rPr>
          <w:rFonts w:hint="eastAsia"/>
        </w:rPr>
        <w:t xml:space="preserve">提供基础设施类资产的综合展示，支持按照省本级、地市级、县级等不同行政区划的下钻展示。支持按照公路、航道、防洪（潮）工程、治涝工程等类别进行分类展示。支持账面数、清查变动数、清查数等关键指标的展示。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E.股权债券资产专栏</w:t>
      </w:r>
      <w:r>
        <w:rPr>
          <w:rFonts w:ascii="仿宋" w:hAnsi="仿宋" w:eastAsia="仿宋" w:cs="仿宋"/>
          <w:b/>
          <w:sz w:val="32"/>
          <w:szCs w:val="32"/>
        </w:rPr>
      </w:r>
      <w:r/>
    </w:p>
    <w:p>
      <w:pPr>
        <w:pStyle w:val="1031"/>
      </w:pPr>
      <w:r>
        <w:rPr>
          <w:rFonts w:hint="eastAsia"/>
        </w:rPr>
        <w:t xml:space="preserve">提供股权债权类资产的综合展示，支持按照省本级、地市级、县级等不同行政区划的下钻展示。支持按照独资、控股、参股等投资形式进行分类展示。支持账面数、清查变动数、清查数等关键指标的展示。支持行政事业单位、国资国企、金融企业、文化企业、事业单位所办企业的区分展示。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F.无形资产专栏</w:t>
      </w:r>
      <w:r>
        <w:rPr>
          <w:rFonts w:ascii="仿宋" w:hAnsi="仿宋" w:eastAsia="仿宋" w:cs="仿宋"/>
          <w:b/>
          <w:sz w:val="32"/>
          <w:szCs w:val="32"/>
        </w:rPr>
      </w:r>
      <w:r/>
    </w:p>
    <w:p>
      <w:pPr>
        <w:pStyle w:val="1031"/>
      </w:pPr>
      <w:r>
        <w:rPr>
          <w:rFonts w:hint="eastAsia"/>
        </w:rPr>
        <w:t xml:space="preserve">提供无形资产的综合展示，支持按照省本级、地市级、县级等不同行政区划的下钻展示。支持按照专利、非专利技术、商标等类别进行分类展示。支持账面数、清查变动数、清查数等关键指标的展示。支持行政事业单位、国资国企、金融企业、文化企业、事业单位所办企业的区分展示。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G.特许经营资产专栏</w:t>
      </w:r>
      <w:r>
        <w:rPr>
          <w:rFonts w:ascii="仿宋" w:hAnsi="仿宋" w:eastAsia="仿宋" w:cs="仿宋"/>
          <w:b/>
          <w:sz w:val="32"/>
          <w:szCs w:val="32"/>
        </w:rPr>
      </w:r>
      <w:r/>
    </w:p>
    <w:p>
      <w:pPr>
        <w:pStyle w:val="1031"/>
      </w:pPr>
      <w:r>
        <w:rPr>
          <w:rFonts w:hint="eastAsia"/>
        </w:rPr>
        <w:t xml:space="preserve">提供特许经营类资产的综合展示，支持按照省本级、地市级、县级等不同行政区划的下钻展示。支持按照生活污水处理、管道燃气、城市自来水供应等类别进行分类展示。支持授权单位、起始时间、到期时间等关键指标的展示。支持行政事业单位、国资国企、金融企业、文化企业、事业单位所办企业的区分展示。点击关键指标可查看数据明细。</w:t>
      </w:r>
      <w:r/>
    </w:p>
    <w:p>
      <w:pPr>
        <w:pStyle w:val="891"/>
        <w:ind w:firstLine="482"/>
        <w:keepLines/>
        <w:keepNext/>
        <w:spacing w:before="280" w:after="290" w:line="360" w:lineRule="auto"/>
        <w:rPr>
          <w:rFonts w:ascii="仿宋" w:hAnsi="仿宋" w:eastAsia="仿宋" w:cs="仿宋"/>
          <w:b/>
          <w:sz w:val="32"/>
          <w:szCs w:val="32"/>
        </w:rPr>
        <w:outlineLvl w:val="4"/>
      </w:pPr>
      <w:r>
        <w:rPr>
          <w:rFonts w:hint="eastAsia" w:ascii="仿宋" w:hAnsi="仿宋" w:eastAsia="仿宋" w:cs="仿宋"/>
          <w:b/>
          <w:sz w:val="32"/>
          <w:szCs w:val="32"/>
        </w:rPr>
        <w:t xml:space="preserve">H.公共数据资产专栏</w:t>
      </w:r>
      <w:r>
        <w:rPr>
          <w:rFonts w:ascii="仿宋" w:hAnsi="仿宋" w:eastAsia="仿宋" w:cs="仿宋"/>
          <w:b/>
          <w:sz w:val="32"/>
          <w:szCs w:val="32"/>
        </w:rPr>
      </w:r>
      <w:r/>
    </w:p>
    <w:p>
      <w:pPr>
        <w:pStyle w:val="1031"/>
      </w:pPr>
      <w:r>
        <w:rPr>
          <w:rFonts w:hint="eastAsia"/>
        </w:rPr>
        <w:t xml:space="preserve">提供公共数据类资产的综合展示，支持按照省本级、地市级、县级等不同行政区划的下钻展示。支持按照信息系统、结构化数据资源、非结构化数据资源等类别进行分类展示。支持主管部门、建设部门等关键指标的展示。支持国资国企、金融企业、文化企业、事业单位所办企业的区分展示。点击关键指标可查看数据明细。</w:t>
      </w:r>
      <w:r/>
    </w:p>
    <w:p>
      <w:pPr>
        <w:pStyle w:val="891"/>
        <w:ind w:firstLine="482"/>
        <w:keepLines/>
        <w:keepNext/>
        <w:spacing w:before="78" w:after="78" w:line="360" w:lineRule="auto"/>
        <w:rPr>
          <w:rFonts w:ascii="仿宋" w:hAnsi="仿宋" w:eastAsia="仿宋" w:cs="仿宋"/>
          <w:b/>
          <w:sz w:val="32"/>
          <w:szCs w:val="32"/>
        </w:rPr>
        <w:outlineLvl w:val="1"/>
      </w:pPr>
      <w:r>
        <w:rPr>
          <w:rFonts w:ascii="仿宋" w:hAnsi="仿宋" w:eastAsia="仿宋" w:cs="仿宋"/>
          <w:b/>
          <w:sz w:val="32"/>
          <w:szCs w:val="32"/>
        </w:rPr>
        <w:t xml:space="preserve">2</w:t>
      </w:r>
      <w:r>
        <w:rPr>
          <w:rFonts w:hint="eastAsia" w:ascii="仿宋" w:hAnsi="仿宋" w:eastAsia="仿宋" w:cs="仿宋"/>
          <w:b/>
          <w:sz w:val="32"/>
          <w:szCs w:val="32"/>
        </w:rPr>
        <w:t xml:space="preserve">.7.与外部系统衔接</w:t>
      </w:r>
      <w:r>
        <w:rPr>
          <w:rFonts w:ascii="仿宋" w:hAnsi="仿宋" w:eastAsia="仿宋" w:cs="仿宋"/>
          <w:b/>
          <w:sz w:val="32"/>
          <w:szCs w:val="32"/>
        </w:rPr>
      </w:r>
      <w:r/>
    </w:p>
    <w:p>
      <w:pPr>
        <w:pStyle w:val="1031"/>
      </w:pPr>
      <w:r>
        <w:rPr>
          <w:rFonts w:hint="eastAsia"/>
        </w:rPr>
        <w:t xml:space="preserve">为了保障已自建相关系统的部门及地区的业务延续性、减轻相关地区单位工作量，系统根据资产监管业务管理实际需要，建立与外部系统衔接机制。制定标准接口、开发与部署数据汇聚服务、验证接入数据的规范性及安全性、对接入的第三方进行相关标准与规范的技术咨询与指导等包含在本项目建设内容中，本项目不包含第三方系统的改造及第三方系统承建商参与联调而产生的相关费用。</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（1）对接省自然资源厅“一张图”系统</w:t>
      </w:r>
      <w:r>
        <w:rPr>
          <w:rFonts w:ascii="仿宋" w:hAnsi="仿宋" w:eastAsia="仿宋" w:cs="仿宋"/>
          <w:b/>
          <w:sz w:val="32"/>
          <w:szCs w:val="32"/>
        </w:rPr>
      </w:r>
      <w:r/>
    </w:p>
    <w:p>
      <w:pPr>
        <w:pStyle w:val="1031"/>
      </w:pPr>
      <w:r>
        <w:rPr>
          <w:rFonts w:hint="eastAsia"/>
        </w:rPr>
        <w:t xml:space="preserve">对接省自然资源厅“一张图”系统，在一体化平台智慧监管系统登录后，支持以链接等形式访问自然资源资产的相关监督管理模块。</w:t>
      </w:r>
      <w:r/>
    </w:p>
    <w:p>
      <w:pPr>
        <w:pStyle w:val="1031"/>
      </w:pPr>
      <w:r>
        <w:rPr>
          <w:rFonts w:hint="eastAsia"/>
        </w:rPr>
        <w:t xml:space="preserve">支持接口、文件、数据库等形式对接省自然资源厅“一张图”系统的监督管理汇总数据，用于本项目资产驾驶舱的成果展示。支持分区划、资产类别等展示汇总数据。</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（2）对接省国资监管平台</w:t>
      </w:r>
      <w:r>
        <w:rPr>
          <w:rFonts w:ascii="仿宋" w:hAnsi="仿宋" w:eastAsia="仿宋" w:cs="仿宋"/>
          <w:b/>
          <w:sz w:val="32"/>
          <w:szCs w:val="32"/>
        </w:rPr>
      </w:r>
      <w:r/>
    </w:p>
    <w:p>
      <w:pPr>
        <w:pStyle w:val="1031"/>
      </w:pPr>
      <w:r>
        <w:rPr>
          <w:rFonts w:hint="eastAsia"/>
        </w:rPr>
        <w:t xml:space="preserve">对接省国资监管平台，在一体化平台智慧监管系统登录后，支持以链接、接口等形式访问省属国资国企资产的相关监督管理模块。</w:t>
      </w:r>
      <w:r/>
    </w:p>
    <w:p>
      <w:pPr>
        <w:pStyle w:val="1031"/>
      </w:pPr>
      <w:r>
        <w:rPr>
          <w:rFonts w:hint="eastAsia"/>
        </w:rPr>
        <w:t xml:space="preserve">支持接口、文件、数据库等形式对接省国资监管平台的监督管理汇总数据、日常管理数据。支持分区划、资产类别等分类展示汇总数据。</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（3）对接市县（区）国资监管平台</w:t>
      </w:r>
      <w:r>
        <w:rPr>
          <w:rFonts w:ascii="仿宋" w:hAnsi="仿宋" w:eastAsia="仿宋" w:cs="仿宋"/>
          <w:b/>
          <w:sz w:val="32"/>
          <w:szCs w:val="32"/>
        </w:rPr>
      </w:r>
      <w:r/>
    </w:p>
    <w:p>
      <w:pPr>
        <w:pStyle w:val="1031"/>
      </w:pPr>
      <w:r>
        <w:rPr>
          <w:rFonts w:hint="eastAsia"/>
        </w:rPr>
        <w:t xml:space="preserve">针对已建设国有资产监管平台（系统）的市县（区）地区，设计并开放标准接口，供市县（区）平台（系统）调用，完成数据汇聚。</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（4）对接江苏省财政厅短信平台</w:t>
      </w:r>
      <w:r>
        <w:rPr>
          <w:rFonts w:ascii="仿宋" w:hAnsi="仿宋" w:eastAsia="仿宋" w:cs="仿宋"/>
          <w:b/>
          <w:sz w:val="32"/>
          <w:szCs w:val="32"/>
        </w:rPr>
      </w:r>
      <w:r/>
    </w:p>
    <w:p>
      <w:pPr>
        <w:pStyle w:val="1031"/>
      </w:pPr>
      <w:r>
        <w:rPr>
          <w:rFonts w:hint="eastAsia"/>
        </w:rPr>
        <w:t xml:space="preserve">对接江苏省财政厅短信平台，针对文化企业监督预警信息向文化企业用户等发送短信提醒。</w:t>
      </w:r>
      <w:r/>
    </w:p>
    <w:p>
      <w:pPr>
        <w:pStyle w:val="891"/>
        <w:ind w:firstLine="482"/>
        <w:keepLines/>
        <w:keepNext/>
        <w:spacing w:before="78" w:after="78" w:line="360" w:lineRule="auto"/>
        <w:rPr>
          <w:rFonts w:ascii="仿宋" w:hAnsi="仿宋" w:eastAsia="仿宋" w:cs="仿宋"/>
          <w:b/>
          <w:sz w:val="32"/>
          <w:szCs w:val="32"/>
        </w:rPr>
        <w:outlineLvl w:val="1"/>
      </w:pPr>
      <w:r>
        <w:rPr>
          <w:rFonts w:ascii="仿宋" w:hAnsi="仿宋" w:eastAsia="仿宋" w:cs="仿宋"/>
          <w:b/>
          <w:sz w:val="32"/>
          <w:szCs w:val="32"/>
        </w:rPr>
        <w:t xml:space="preserve">2</w:t>
      </w:r>
      <w:r>
        <w:rPr>
          <w:rFonts w:hint="eastAsia" w:ascii="仿宋" w:hAnsi="仿宋" w:eastAsia="仿宋" w:cs="仿宋"/>
          <w:b/>
          <w:sz w:val="32"/>
          <w:szCs w:val="32"/>
        </w:rPr>
        <w:t xml:space="preserve">.8.与预算管理一体化平台融合</w:t>
      </w:r>
      <w:r>
        <w:rPr>
          <w:rFonts w:ascii="仿宋" w:hAnsi="仿宋" w:eastAsia="仿宋" w:cs="仿宋"/>
          <w:b/>
          <w:sz w:val="32"/>
          <w:szCs w:val="32"/>
        </w:rPr>
      </w:r>
      <w:r/>
    </w:p>
    <w:p>
      <w:pPr>
        <w:pStyle w:val="1031"/>
      </w:pPr>
      <w:r>
        <w:rPr>
          <w:rFonts w:hint="eastAsia"/>
        </w:rPr>
        <w:t xml:space="preserve">遵照预算管理一体化平台（以下简称一体化平台）技术中台接入规范，基于一体化平台统一门户和用户中心、认证中心、日志中心等公共技术服务，统一用户登录认证、用户账号体系，搭建底层技术框架，同时实现本系统与一体化平台主数据管理互联互通。</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（1）与一体化平台统一门户融合</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1）统一应用门户对接</w:t>
      </w:r>
      <w:r>
        <w:rPr>
          <w:rFonts w:ascii="仿宋" w:hAnsi="仿宋" w:eastAsia="仿宋" w:cs="仿宋"/>
          <w:b/>
          <w:sz w:val="32"/>
          <w:szCs w:val="32"/>
        </w:rPr>
      </w:r>
      <w:r/>
    </w:p>
    <w:p>
      <w:pPr>
        <w:pStyle w:val="1031"/>
      </w:pPr>
      <w:r>
        <w:rPr>
          <w:rFonts w:hint="eastAsia"/>
        </w:rPr>
        <w:t xml:space="preserve">基于一体化平台的统一门户，将一体化平台智慧监管系统集成至卡片市场，为一体化平台智慧监管系统用户建立门户入口。</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2）场景框架构建</w:t>
      </w:r>
      <w:r>
        <w:rPr>
          <w:rFonts w:ascii="仿宋" w:hAnsi="仿宋" w:eastAsia="仿宋" w:cs="仿宋"/>
          <w:b/>
          <w:sz w:val="32"/>
          <w:szCs w:val="32"/>
        </w:rPr>
      </w:r>
      <w:r/>
    </w:p>
    <w:p>
      <w:pPr>
        <w:pStyle w:val="1031"/>
      </w:pPr>
      <w:r>
        <w:rPr>
          <w:rFonts w:hint="eastAsia"/>
        </w:rPr>
        <w:t xml:space="preserve">本项目的主要工作端为PC端，基于一体化平台的场景框架，本项目采用自适应框架，使系统展示界面大小自动适应用户桌面窗口大小。同时，系统应兼容IE、谷歌、360等多类PC端浏览器。</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3）用户业务场景构建</w:t>
      </w:r>
      <w:r>
        <w:rPr>
          <w:rFonts w:ascii="仿宋" w:hAnsi="仿宋" w:eastAsia="仿宋" w:cs="仿宋"/>
          <w:b/>
          <w:sz w:val="32"/>
          <w:szCs w:val="32"/>
        </w:rPr>
      </w:r>
      <w:r/>
    </w:p>
    <w:p>
      <w:pPr>
        <w:pStyle w:val="1031"/>
      </w:pPr>
      <w:r>
        <w:rPr>
          <w:rFonts w:hint="eastAsia"/>
        </w:rPr>
        <w:t xml:space="preserve">基于一体化平台业务场景设计模式，本项目分析识别用户业务场景，结合一体化平台的卡片市场，为财政用户、行政事业单位用户、国资国企用户、金融企业用户、文化企业用户、自然资源用户、监督主体用户等构建业务场景操作入口。</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4）通用场景对接</w:t>
      </w:r>
      <w:r>
        <w:rPr>
          <w:rFonts w:ascii="仿宋" w:hAnsi="仿宋" w:eastAsia="仿宋" w:cs="仿宋"/>
          <w:b/>
          <w:sz w:val="32"/>
          <w:szCs w:val="32"/>
        </w:rPr>
      </w:r>
      <w:r/>
    </w:p>
    <w:p>
      <w:pPr>
        <w:pStyle w:val="1031"/>
      </w:pPr>
      <w:r>
        <w:rPr>
          <w:rFonts w:hint="eastAsia"/>
        </w:rPr>
        <w:t xml:space="preserve">通过统一待办管理服务，将一体化平台智慧监管系统中的待办信息，推送至一体化平台统一门户中的的“待办事项”进行展示。</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（2）与一体化平台技术中台融合</w:t>
      </w:r>
      <w:r>
        <w:rPr>
          <w:rFonts w:ascii="仿宋" w:hAnsi="仿宋" w:eastAsia="仿宋" w:cs="仿宋"/>
          <w:b/>
          <w:sz w:val="32"/>
          <w:szCs w:val="32"/>
        </w:rPr>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1）认证中心对接</w:t>
      </w:r>
      <w:r>
        <w:rPr>
          <w:rFonts w:ascii="仿宋" w:hAnsi="仿宋" w:eastAsia="仿宋" w:cs="仿宋"/>
          <w:b/>
          <w:sz w:val="32"/>
          <w:szCs w:val="32"/>
        </w:rPr>
      </w:r>
      <w:r/>
    </w:p>
    <w:p>
      <w:pPr>
        <w:pStyle w:val="1031"/>
      </w:pPr>
      <w:r>
        <w:rPr>
          <w:rFonts w:hint="eastAsia"/>
        </w:rPr>
        <w:t xml:space="preserve">根据一体化平台技术规范，由技术中台统一实现用户认证。一体化平台智慧监管系统从技术中台获取授权登录的用户账号信息。</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2）用户中心对接</w:t>
      </w:r>
      <w:r>
        <w:rPr>
          <w:rFonts w:ascii="仿宋" w:hAnsi="仿宋" w:eastAsia="仿宋" w:cs="仿宋"/>
          <w:b/>
          <w:sz w:val="32"/>
          <w:szCs w:val="32"/>
        </w:rPr>
      </w:r>
      <w:r/>
    </w:p>
    <w:p>
      <w:pPr>
        <w:pStyle w:val="1031"/>
      </w:pPr>
      <w:r>
        <w:rPr>
          <w:rFonts w:hint="eastAsia"/>
        </w:rPr>
        <w:t xml:space="preserve">支持从一体化平台用户中心获取用户账号和机构数据，同时支持一体化平台智慧监管系统自有用户的统一管理。</w:t>
      </w:r>
      <w:r/>
    </w:p>
    <w:p>
      <w:pPr>
        <w:pStyle w:val="891"/>
        <w:ind w:firstLine="482"/>
        <w:keepLines/>
        <w:keepNext/>
        <w:spacing w:line="360" w:lineRule="auto"/>
        <w:rPr>
          <w:rFonts w:ascii="仿宋" w:hAnsi="仿宋" w:eastAsia="仿宋" w:cs="仿宋"/>
          <w:b/>
          <w:sz w:val="32"/>
          <w:szCs w:val="32"/>
        </w:rPr>
        <w:outlineLvl w:val="2"/>
      </w:pPr>
      <w:r>
        <w:rPr>
          <w:rFonts w:hint="eastAsia" w:ascii="仿宋" w:hAnsi="仿宋" w:eastAsia="仿宋" w:cs="仿宋"/>
          <w:b/>
          <w:sz w:val="32"/>
          <w:szCs w:val="32"/>
        </w:rPr>
        <w:t xml:space="preserve">（3）构建资产监管数据逻辑后台</w:t>
      </w:r>
      <w:r>
        <w:rPr>
          <w:rFonts w:ascii="仿宋" w:hAnsi="仿宋" w:eastAsia="仿宋" w:cs="仿宋"/>
          <w:b/>
          <w:sz w:val="32"/>
          <w:szCs w:val="32"/>
        </w:rPr>
      </w:r>
      <w:r/>
    </w:p>
    <w:p>
      <w:pPr>
        <w:pStyle w:val="1031"/>
      </w:pPr>
      <w:r>
        <w:rPr>
          <w:rFonts w:hint="eastAsia"/>
        </w:rPr>
        <w:t xml:space="preserve">数据逻辑后台以数据规范为驱动，基于一体化平台数据逻辑后台建设框架，构建国资监管业务的逻辑后台，并与一体化平台主数据管理系统实现数据共享。</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1）国有资产监管业务数据库构建</w:t>
      </w:r>
      <w:r>
        <w:rPr>
          <w:rFonts w:ascii="仿宋" w:hAnsi="仿宋" w:eastAsia="仿宋" w:cs="仿宋"/>
          <w:b/>
          <w:sz w:val="32"/>
          <w:szCs w:val="32"/>
        </w:rPr>
      </w:r>
      <w:r/>
    </w:p>
    <w:p>
      <w:pPr>
        <w:pStyle w:val="1031"/>
      </w:pPr>
      <w:r>
        <w:rPr>
          <w:rFonts w:hint="eastAsia"/>
        </w:rPr>
        <w:t xml:space="preserve">建设匹配国资监管业务要求和技术标准的数据逻辑及数据库，包括国有资产、资产清查、盘活利用、智能预警数据库表等。</w:t>
      </w:r>
      <w:r/>
    </w:p>
    <w:p>
      <w:pPr>
        <w:pStyle w:val="891"/>
        <w:ind w:firstLine="482"/>
        <w:keepLines/>
        <w:keepNext/>
        <w:spacing w:line="360" w:lineRule="auto"/>
        <w:rPr>
          <w:rFonts w:ascii="仿宋" w:hAnsi="仿宋" w:eastAsia="仿宋" w:cs="仿宋"/>
          <w:b/>
          <w:sz w:val="32"/>
          <w:szCs w:val="32"/>
        </w:rPr>
        <w:outlineLvl w:val="3"/>
      </w:pPr>
      <w:r>
        <w:rPr>
          <w:rFonts w:hint="eastAsia" w:ascii="仿宋" w:hAnsi="仿宋" w:eastAsia="仿宋" w:cs="仿宋"/>
          <w:b/>
          <w:sz w:val="32"/>
          <w:szCs w:val="32"/>
        </w:rPr>
        <w:t xml:space="preserve">2）与主数据管理系统对接</w:t>
      </w:r>
      <w:r>
        <w:rPr>
          <w:rFonts w:ascii="仿宋" w:hAnsi="仿宋" w:eastAsia="仿宋" w:cs="仿宋"/>
          <w:b/>
          <w:sz w:val="32"/>
          <w:szCs w:val="32"/>
        </w:rPr>
      </w:r>
      <w:r/>
    </w:p>
    <w:p>
      <w:pPr>
        <w:pStyle w:val="1031"/>
      </w:pPr>
      <w:r>
        <w:rPr>
          <w:rFonts w:hint="eastAsia"/>
        </w:rPr>
        <w:t xml:space="preserve">一体化平台主数据管理系统对财政业务要素信息、基础数据等进行统一管理，本系统通过主数据管理系统调用共享相关数据，包括财政区划信息、单位信息、人员信息、资产基础信息等。</w:t>
      </w:r>
      <w:r/>
    </w:p>
    <w:p>
      <w:pPr>
        <w:pStyle w:val="891"/>
        <w:spacing w:line="360" w:lineRule="auto"/>
        <w:rPr>
          <w:rFonts w:ascii="仿宋" w:hAnsi="仿宋" w:eastAsia="仿宋" w:cs="仿宋"/>
          <w:sz w:val="32"/>
          <w:szCs w:val="32"/>
        </w:rPr>
      </w:pPr>
      <w:r>
        <w:rPr>
          <w:rFonts w:ascii="仿宋" w:hAnsi="仿宋" w:eastAsia="仿宋" w:cs="仿宋"/>
          <w:sz w:val="32"/>
          <w:szCs w:val="32"/>
        </w:rPr>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三、技术实现要求</w:t>
      </w:r>
      <w:r>
        <w:rPr>
          <w:rFonts w:ascii="仿宋" w:hAnsi="仿宋" w:eastAsia="仿宋" w:cs="仿宋"/>
          <w:b/>
          <w:sz w:val="32"/>
          <w:szCs w:val="32"/>
        </w:rPr>
      </w:r>
      <w:r/>
    </w:p>
    <w:p>
      <w:pPr>
        <w:pStyle w:val="891"/>
        <w:ind w:firstLine="643"/>
        <w:keepLines/>
        <w:keepNext/>
        <w:spacing w:line="360" w:lineRule="auto"/>
        <w:rPr>
          <w:rFonts w:ascii="仿宋" w:hAnsi="仿宋" w:eastAsia="仿宋" w:cs="仿宋"/>
          <w:b/>
          <w:sz w:val="32"/>
          <w:szCs w:val="32"/>
        </w:rPr>
        <w:outlineLvl w:val="1"/>
      </w:pPr>
      <w:r>
        <w:rPr>
          <w:rFonts w:ascii="仿宋" w:hAnsi="仿宋" w:eastAsia="仿宋" w:cs="仿宋"/>
          <w:b/>
          <w:sz w:val="32"/>
          <w:szCs w:val="32"/>
        </w:rPr>
        <w:t xml:space="preserve">3</w:t>
      </w:r>
      <w:r>
        <w:rPr>
          <w:rFonts w:hint="eastAsia" w:ascii="仿宋" w:hAnsi="仿宋" w:eastAsia="仿宋" w:cs="仿宋"/>
          <w:b/>
          <w:sz w:val="32"/>
          <w:szCs w:val="32"/>
        </w:rPr>
        <w:t xml:space="preserve">.1</w:t>
      </w:r>
      <w:bookmarkStart w:id="202" w:name="OLE_LINK1"/>
      <w:r>
        <w:rPr>
          <w:rFonts w:hint="eastAsia" w:ascii="仿宋" w:hAnsi="仿宋" w:eastAsia="仿宋" w:cs="仿宋"/>
          <w:b/>
          <w:sz w:val="32"/>
          <w:szCs w:val="32"/>
        </w:rPr>
        <w:t xml:space="preserve">安全要求</w:t>
      </w:r>
      <w:bookmarkEnd w:id="202"/>
      <w:r>
        <w:rPr>
          <w:rFonts w:ascii="仿宋" w:hAnsi="仿宋" w:eastAsia="仿宋" w:cs="仿宋"/>
          <w:b/>
          <w:sz w:val="32"/>
          <w:szCs w:val="32"/>
        </w:rPr>
      </w:r>
      <w:r/>
    </w:p>
    <w:p>
      <w:pPr>
        <w:pStyle w:val="1031"/>
      </w:pPr>
      <w:r>
        <w:rPr>
          <w:rFonts w:hint="eastAsia"/>
        </w:rPr>
        <w:t xml:space="preserve">（1）总体要求</w:t>
      </w:r>
      <w:r/>
    </w:p>
    <w:p>
      <w:pPr>
        <w:pStyle w:val="1031"/>
      </w:pPr>
      <w:r>
        <w:rPr>
          <w:rFonts w:hint="eastAsia"/>
        </w:rPr>
        <w:t xml:space="preserve">应用安全应严格遵循《财政网络安全总体策略》（财信办〔2017〕11 号）、《财政应用系统安全开发规范》（财网信办〔2018〕10号）以及财政部后续发布实施的相关安全管理文件等的规定。其中，非涉密应用系统建设还应遵循《GB/T22239-2019 信息安全技术 信息系统安全等级保护基本要求》和《GB/T 25070-2019信息安全技术 网络安全等级保护安全设计技术要求》的安全要求，涉密应用系统应遵循涉密信息系统分级保护建设和测评相关国家标准。</w:t>
      </w:r>
      <w:r/>
    </w:p>
    <w:p>
      <w:pPr>
        <w:pStyle w:val="1031"/>
      </w:pPr>
      <w:r>
        <w:rPr>
          <w:rFonts w:hint="eastAsia"/>
        </w:rPr>
        <w:t xml:space="preserve">（2）具体要求</w:t>
      </w:r>
      <w:r/>
    </w:p>
    <w:p>
      <w:pPr>
        <w:pStyle w:val="1031"/>
      </w:pPr>
      <w:r>
        <w:rPr>
          <w:rFonts w:hint="eastAsia"/>
        </w:rPr>
        <w:t xml:space="preserve">本项目安全要求涉及基础网络安全、系统和应用安全、密码应用安全、数据安全等方面，要求按照《信息安全技术网络安全等级保护基本要求》第三级安全要求进行建设并通过测评。</w:t>
      </w:r>
      <w:r/>
    </w:p>
    <w:p>
      <w:pPr>
        <w:pStyle w:val="1031"/>
      </w:pPr>
      <w:r>
        <w:rPr>
          <w:rFonts w:hint="eastAsia"/>
        </w:rPr>
        <w:t xml:space="preserve">运行环境由江苏省政务云提供，基础网络安全由政务云从身份鉴别、访问控制、入侵与恶意代码防范、安全审计等方面进行保障。</w:t>
      </w:r>
      <w:r/>
    </w:p>
    <w:p>
      <w:pPr>
        <w:pStyle w:val="1031"/>
      </w:pPr>
      <w:r>
        <w:rPr>
          <w:rFonts w:hint="eastAsia"/>
        </w:rPr>
        <w:t xml:space="preserve">系统和应用安全方面，要求系统设计时充分考虑权限分配的合理性；系统开发时，必须遵循应用开发安全技术规范，对应用系统安全功能实现和代码质量进行管控，防止系统存在后门、漏洞和安全缺陷等，防止SQL注入、跨站脚本、任意文件上传下载、远程命令执行等常见信息系统漏洞，降低安全风险，减少安全事件发生。</w:t>
      </w:r>
      <w:r/>
    </w:p>
    <w:p>
      <w:pPr>
        <w:pStyle w:val="1031"/>
      </w:pPr>
      <w:r>
        <w:rPr>
          <w:rFonts w:hint="eastAsia"/>
        </w:rPr>
        <w:t xml:space="preserve">密码应用安全方面，要求按照《信息安全技术信息系统密码应用基本要求》第三级密码应用基本要求进行建设并达到符合的评估结果。</w:t>
      </w:r>
      <w:r/>
    </w:p>
    <w:p>
      <w:pPr>
        <w:pStyle w:val="1031"/>
      </w:pPr>
      <w:r>
        <w:rPr>
          <w:rFonts w:hint="eastAsia"/>
        </w:rPr>
        <w:t xml:space="preserve">数据安全方面，要求按照国家数据安全相关规定以及江苏省财政厅数据安全保护要求，满足数据安全制度流程、数据处理管控措施、数据安全技术措施、数据安全运营管控的要求。</w:t>
      </w:r>
      <w:r/>
    </w:p>
    <w:p>
      <w:pPr>
        <w:pStyle w:val="891"/>
        <w:ind w:firstLine="640"/>
        <w:spacing w:line="360" w:lineRule="auto"/>
        <w:rPr>
          <w:rFonts w:ascii="仿宋" w:hAnsi="仿宋" w:eastAsia="仿宋" w:cs="仿宋"/>
          <w:sz w:val="32"/>
          <w:szCs w:val="32"/>
        </w:rPr>
      </w:pPr>
      <w:r>
        <w:rPr>
          <w:rFonts w:ascii="仿宋" w:hAnsi="仿宋" w:eastAsia="仿宋" w:cs="仿宋"/>
          <w:sz w:val="32"/>
          <w:szCs w:val="32"/>
        </w:rPr>
      </w:r>
      <w:r/>
    </w:p>
    <w:p>
      <w:pPr>
        <w:pStyle w:val="891"/>
        <w:ind w:firstLine="643"/>
        <w:keepLines/>
        <w:keepNext/>
        <w:spacing w:line="360" w:lineRule="auto"/>
        <w:rPr>
          <w:rFonts w:ascii="仿宋" w:hAnsi="仿宋" w:eastAsia="仿宋" w:cs="仿宋"/>
          <w:b/>
          <w:sz w:val="32"/>
          <w:szCs w:val="32"/>
        </w:rPr>
        <w:outlineLvl w:val="1"/>
      </w:pPr>
      <w:r>
        <w:rPr>
          <w:rFonts w:ascii="仿宋" w:hAnsi="仿宋" w:eastAsia="仿宋" w:cs="仿宋"/>
          <w:b/>
          <w:sz w:val="32"/>
          <w:szCs w:val="32"/>
        </w:rPr>
        <w:t xml:space="preserve">3</w:t>
      </w:r>
      <w:r>
        <w:rPr>
          <w:rFonts w:hint="eastAsia" w:ascii="仿宋" w:hAnsi="仿宋" w:eastAsia="仿宋" w:cs="仿宋"/>
          <w:b/>
          <w:sz w:val="32"/>
          <w:szCs w:val="32"/>
        </w:rPr>
        <w:t xml:space="preserve">.2国产化建设要求</w:t>
      </w:r>
      <w:r>
        <w:rPr>
          <w:rFonts w:ascii="仿宋" w:hAnsi="仿宋" w:eastAsia="仿宋" w:cs="仿宋"/>
          <w:b/>
          <w:sz w:val="32"/>
          <w:szCs w:val="32"/>
        </w:rPr>
      </w:r>
      <w:r/>
    </w:p>
    <w:p>
      <w:pPr>
        <w:pStyle w:val="1031"/>
      </w:pPr>
      <w:r>
        <w:rPr>
          <w:rFonts w:hint="eastAsia"/>
        </w:rPr>
        <w:t xml:space="preserve">基于江苏省政务云提供的国产化环境及相关产品，进行系统建设，适配政务云环境中的国产化云主机、操作系统、数据库、中间件等，客户端适配主流国产终端、国产操作系统、浏览器。</w:t>
      </w:r>
      <w:r/>
    </w:p>
    <w:p>
      <w:pPr>
        <w:pStyle w:val="891"/>
        <w:ind w:firstLine="643"/>
        <w:keepLines/>
        <w:keepNext/>
        <w:spacing w:line="360" w:lineRule="auto"/>
        <w:rPr>
          <w:rFonts w:ascii="仿宋" w:hAnsi="仿宋" w:eastAsia="仿宋" w:cs="仿宋"/>
          <w:b/>
          <w:sz w:val="32"/>
          <w:szCs w:val="32"/>
        </w:rPr>
        <w:outlineLvl w:val="1"/>
      </w:pPr>
      <w:r>
        <w:rPr>
          <w:rFonts w:ascii="仿宋" w:hAnsi="仿宋" w:eastAsia="仿宋" w:cs="仿宋"/>
          <w:b/>
          <w:sz w:val="32"/>
          <w:szCs w:val="32"/>
        </w:rPr>
        <w:t xml:space="preserve">3</w:t>
      </w:r>
      <w:r>
        <w:rPr>
          <w:rFonts w:hint="eastAsia" w:ascii="仿宋" w:hAnsi="仿宋" w:eastAsia="仿宋" w:cs="仿宋"/>
          <w:b/>
          <w:sz w:val="32"/>
          <w:szCs w:val="32"/>
        </w:rPr>
        <w:t xml:space="preserve">.3非功能性要求</w:t>
      </w:r>
      <w:r>
        <w:rPr>
          <w:rFonts w:ascii="仿宋" w:hAnsi="仿宋" w:eastAsia="仿宋" w:cs="仿宋"/>
          <w:b/>
          <w:sz w:val="32"/>
          <w:szCs w:val="32"/>
        </w:rPr>
      </w:r>
      <w:r/>
    </w:p>
    <w:p>
      <w:pPr>
        <w:pStyle w:val="891"/>
        <w:contextualSpacing/>
        <w:ind w:firstLine="640"/>
        <w:spacing w:line="360" w:lineRule="auto"/>
        <w:rPr>
          <w:rFonts w:ascii="仿宋" w:hAnsi="仿宋" w:eastAsia="仿宋" w:cs="仿宋"/>
          <w:sz w:val="32"/>
          <w:szCs w:val="32"/>
        </w:rPr>
      </w:pPr>
      <w:r>
        <w:rPr>
          <w:rFonts w:ascii="仿宋" w:hAnsi="仿宋" w:eastAsia="仿宋" w:cs="仿宋"/>
          <w:sz w:val="32"/>
          <w:szCs w:val="32"/>
        </w:rPr>
        <w:t xml:space="preserve">3</w:t>
      </w:r>
      <w:r>
        <w:rPr>
          <w:rFonts w:hint="eastAsia" w:ascii="仿宋" w:hAnsi="仿宋" w:eastAsia="仿宋" w:cs="仿宋"/>
          <w:sz w:val="32"/>
          <w:szCs w:val="32"/>
        </w:rPr>
        <w:t xml:space="preserve">.3.1可靠性需求</w:t>
      </w:r>
      <w:r>
        <w:rPr>
          <w:rFonts w:ascii="仿宋" w:hAnsi="仿宋" w:eastAsia="仿宋" w:cs="仿宋"/>
          <w:sz w:val="32"/>
          <w:szCs w:val="32"/>
        </w:rPr>
      </w:r>
      <w:r/>
    </w:p>
    <w:p>
      <w:pPr>
        <w:pStyle w:val="1031"/>
      </w:pPr>
      <w:r>
        <w:rPr>
          <w:rFonts w:hint="eastAsia"/>
        </w:rPr>
        <w:t xml:space="preserve">充分考虑软件的可靠性，尽可能保证软件在极端情况下的正常运行，避免由于模块故障或系统升级影响平台的正常运行。系统应满足以下性能要求。</w:t>
      </w:r>
      <w:r/>
    </w:p>
    <w:p>
      <w:pPr>
        <w:pStyle w:val="1031"/>
      </w:pPr>
      <w:r>
        <w:rPr>
          <w:rFonts w:hint="eastAsia"/>
        </w:rPr>
        <w:t xml:space="preserve">（1）提供7*24小时的连续运行，平均年故障时间&lt;1天，平均故障修复时间&lt;30分钟。</w:t>
      </w:r>
      <w:r/>
    </w:p>
    <w:p>
      <w:pPr>
        <w:pStyle w:val="1031"/>
      </w:pPr>
      <w:r>
        <w:rPr>
          <w:rFonts w:hint="eastAsia"/>
        </w:rPr>
        <w:t xml:space="preserve">（2）按各用户的实际需求设定安全等级来保证系统的可靠性。</w:t>
      </w:r>
      <w:r/>
    </w:p>
    <w:p>
      <w:pPr>
        <w:pStyle w:val="1031"/>
      </w:pPr>
      <w:r>
        <w:rPr>
          <w:rFonts w:hint="eastAsia"/>
        </w:rPr>
        <w:t xml:space="preserve">（3）具备较强的信息安全性和灾难恢复能力。</w:t>
      </w:r>
      <w:r/>
    </w:p>
    <w:p>
      <w:pPr>
        <w:pStyle w:val="891"/>
        <w:contextualSpacing/>
        <w:ind w:firstLine="640"/>
        <w:spacing w:line="360" w:lineRule="auto"/>
        <w:rPr>
          <w:rFonts w:ascii="仿宋" w:hAnsi="仿宋" w:eastAsia="仿宋" w:cs="仿宋"/>
          <w:sz w:val="32"/>
          <w:szCs w:val="32"/>
        </w:rPr>
      </w:pPr>
      <w:r>
        <w:rPr>
          <w:rFonts w:ascii="仿宋" w:hAnsi="仿宋" w:eastAsia="仿宋" w:cs="仿宋"/>
          <w:sz w:val="32"/>
          <w:szCs w:val="32"/>
        </w:rPr>
        <w:t xml:space="preserve">3</w:t>
      </w:r>
      <w:r>
        <w:rPr>
          <w:rFonts w:hint="eastAsia" w:ascii="仿宋" w:hAnsi="仿宋" w:eastAsia="仿宋" w:cs="仿宋"/>
          <w:sz w:val="32"/>
          <w:szCs w:val="32"/>
        </w:rPr>
        <w:t xml:space="preserve">.3.2性能需求</w:t>
      </w:r>
      <w:r>
        <w:rPr>
          <w:rFonts w:ascii="仿宋" w:hAnsi="仿宋" w:eastAsia="仿宋" w:cs="仿宋"/>
          <w:sz w:val="32"/>
          <w:szCs w:val="32"/>
        </w:rPr>
      </w:r>
      <w:r/>
    </w:p>
    <w:p>
      <w:pPr>
        <w:pStyle w:val="1031"/>
      </w:pPr>
      <w:r>
        <w:rPr>
          <w:rFonts w:hint="eastAsia"/>
        </w:rPr>
        <w:t xml:space="preserve">系统性能应满足用户的要求，稳定、可靠、实用。人机界面友好，输出、输入方便，图表生成美观，检索、查询简单快捷，能够发挥基础数据的辅助决策作用。</w:t>
      </w:r>
      <w:r/>
    </w:p>
    <w:p>
      <w:pPr>
        <w:pStyle w:val="1031"/>
      </w:pPr>
      <w:r>
        <w:rPr>
          <w:rFonts w:hint="eastAsia"/>
        </w:rPr>
        <w:t xml:space="preserve">（1）系统总体可用率大于99.8%，数据库应用可用率不小于99.8%，WEB应用可用率不小于99.8%。</w:t>
      </w:r>
      <w:r/>
    </w:p>
    <w:p>
      <w:pPr>
        <w:pStyle w:val="1031"/>
      </w:pPr>
      <w:r>
        <w:rPr>
          <w:rFonts w:hint="eastAsia"/>
        </w:rPr>
        <w:t xml:space="preserve">（2）在网络稳定的环境下，系统登录时间在1秒以内；系统查看页面平均响应时间在1秒以内；进行增、删、改业务（不含大对象数据类型）响应时间在1秒以内；复杂查询页面响应时间小于3秒。</w:t>
      </w:r>
      <w:r/>
    </w:p>
    <w:p>
      <w:pPr>
        <w:pStyle w:val="1031"/>
      </w:pPr>
      <w:r>
        <w:rPr>
          <w:rFonts w:hint="eastAsia"/>
        </w:rPr>
        <w:t xml:space="preserve">（3）满足业务高峰时段的并发需求。系统支持150000用户同时在线使用，满足2000并发用户数。在业务高峰期的时候，业务处理避免出现高延迟。</w:t>
      </w:r>
      <w:r/>
    </w:p>
    <w:p>
      <w:pPr>
        <w:pStyle w:val="891"/>
        <w:contextualSpacing/>
        <w:ind w:firstLine="640"/>
        <w:spacing w:line="360" w:lineRule="auto"/>
        <w:rPr>
          <w:rFonts w:ascii="仿宋" w:hAnsi="仿宋" w:eastAsia="仿宋" w:cs="仿宋"/>
          <w:sz w:val="32"/>
          <w:szCs w:val="32"/>
        </w:rPr>
      </w:pPr>
      <w:r>
        <w:rPr>
          <w:rFonts w:ascii="仿宋" w:hAnsi="仿宋" w:eastAsia="仿宋" w:cs="仿宋"/>
          <w:sz w:val="32"/>
          <w:szCs w:val="32"/>
        </w:rPr>
        <w:t xml:space="preserve">3</w:t>
      </w:r>
      <w:r>
        <w:rPr>
          <w:rFonts w:hint="eastAsia" w:ascii="仿宋" w:hAnsi="仿宋" w:eastAsia="仿宋" w:cs="仿宋"/>
          <w:sz w:val="32"/>
          <w:szCs w:val="32"/>
        </w:rPr>
        <w:t xml:space="preserve">.3.3易用性需求</w:t>
      </w:r>
      <w:r>
        <w:rPr>
          <w:rFonts w:ascii="仿宋" w:hAnsi="仿宋" w:eastAsia="仿宋" w:cs="仿宋"/>
          <w:sz w:val="32"/>
          <w:szCs w:val="32"/>
        </w:rPr>
      </w:r>
      <w:r/>
    </w:p>
    <w:p>
      <w:pPr>
        <w:pStyle w:val="1031"/>
      </w:pPr>
      <w:r>
        <w:rPr>
          <w:rFonts w:hint="eastAsia"/>
        </w:rPr>
        <w:t xml:space="preserve">系统需具有快速适应业务变化的能力，应采用灵活的架构和技术手段，支持功能模块及系统处理能力的灵活整合和运用。针对本平台可以通过以下方式，提高系统应用的灵活性。</w:t>
      </w:r>
      <w:r/>
    </w:p>
    <w:p>
      <w:pPr>
        <w:pStyle w:val="1031"/>
      </w:pPr>
      <w:r>
        <w:rPr>
          <w:rFonts w:hint="eastAsia"/>
        </w:rPr>
        <w:t xml:space="preserve">（1）基于微服务架构建设，采用组件化、面向对象的设计方式，保证系统功能的灵活扩充。</w:t>
      </w:r>
      <w:r/>
    </w:p>
    <w:p>
      <w:pPr>
        <w:pStyle w:val="1031"/>
      </w:pPr>
      <w:r>
        <w:rPr>
          <w:rFonts w:hint="eastAsia"/>
        </w:rPr>
        <w:t xml:space="preserve">（2）采用新型架构体系，充分考虑系统的纵向、横向的平滑扩张能力建设需求。</w:t>
      </w:r>
      <w:r/>
    </w:p>
    <w:p>
      <w:pPr>
        <w:pStyle w:val="1031"/>
      </w:pPr>
      <w:r>
        <w:rPr>
          <w:rFonts w:hint="eastAsia"/>
        </w:rPr>
        <w:t xml:space="preserve">（3）统一规范系统的开发技术和数据标准，为后期系统的二次开发提供标准化接口。</w:t>
      </w:r>
      <w:r/>
    </w:p>
    <w:p>
      <w:pPr>
        <w:pStyle w:val="891"/>
        <w:ind w:firstLine="640"/>
        <w:spacing w:line="360" w:lineRule="auto"/>
        <w:rPr>
          <w:rFonts w:ascii="仿宋" w:hAnsi="仿宋" w:eastAsia="仿宋" w:cs="仿宋"/>
          <w:sz w:val="32"/>
          <w:szCs w:val="32"/>
        </w:rPr>
      </w:pPr>
      <w:r>
        <w:rPr>
          <w:rFonts w:ascii="仿宋" w:hAnsi="仿宋" w:eastAsia="仿宋" w:cs="仿宋"/>
          <w:sz w:val="32"/>
          <w:szCs w:val="32"/>
        </w:rPr>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四、项目建设与实施要求</w:t>
      </w:r>
      <w:r>
        <w:rPr>
          <w:rFonts w:ascii="仿宋" w:hAnsi="仿宋" w:eastAsia="仿宋" w:cs="仿宋"/>
          <w:b/>
          <w:sz w:val="32"/>
          <w:szCs w:val="32"/>
        </w:rPr>
      </w:r>
      <w:r/>
    </w:p>
    <w:p>
      <w:pPr>
        <w:pStyle w:val="891"/>
        <w:ind w:firstLine="643"/>
        <w:keepLines/>
        <w:keepNext/>
        <w:spacing w:line="360" w:lineRule="auto"/>
        <w:rPr>
          <w:rFonts w:ascii="仿宋" w:hAnsi="仿宋" w:eastAsia="仿宋" w:cs="仿宋"/>
          <w:b/>
          <w:sz w:val="32"/>
          <w:szCs w:val="32"/>
        </w:rPr>
        <w:outlineLvl w:val="1"/>
      </w:pPr>
      <w:r/>
      <w:bookmarkStart w:id="203" w:name="_Toc14676"/>
      <w:r/>
      <w:bookmarkStart w:id="204" w:name="_Toc303081326"/>
      <w:r>
        <w:rPr>
          <w:rFonts w:ascii="仿宋" w:hAnsi="仿宋" w:eastAsia="仿宋" w:cs="仿宋"/>
          <w:b/>
          <w:sz w:val="32"/>
          <w:szCs w:val="32"/>
        </w:rPr>
        <w:t xml:space="preserve">4</w:t>
      </w:r>
      <w:r>
        <w:rPr>
          <w:rFonts w:hint="eastAsia" w:ascii="仿宋" w:hAnsi="仿宋" w:eastAsia="仿宋" w:cs="仿宋"/>
          <w:b/>
          <w:sz w:val="32"/>
          <w:szCs w:val="32"/>
        </w:rPr>
        <w:t xml:space="preserve">.1工期</w:t>
      </w:r>
      <w:bookmarkEnd w:id="203"/>
      <w:r/>
      <w:bookmarkEnd w:id="204"/>
      <w:r>
        <w:rPr>
          <w:rFonts w:hint="eastAsia" w:ascii="仿宋" w:hAnsi="仿宋" w:eastAsia="仿宋" w:cs="仿宋"/>
          <w:b/>
          <w:sz w:val="32"/>
          <w:szCs w:val="32"/>
        </w:rPr>
        <w:t xml:space="preserve">要求</w:t>
      </w:r>
      <w:r>
        <w:rPr>
          <w:rFonts w:ascii="仿宋" w:hAnsi="仿宋" w:eastAsia="仿宋" w:cs="仿宋"/>
          <w:b/>
          <w:sz w:val="32"/>
          <w:szCs w:val="32"/>
        </w:rPr>
      </w:r>
      <w:r/>
    </w:p>
    <w:p>
      <w:pPr>
        <w:pStyle w:val="1031"/>
      </w:pPr>
      <w:r>
        <w:rPr>
          <w:rFonts w:hint="eastAsia"/>
        </w:rPr>
        <w:t xml:space="preserve">（1）自合同签订之日起2</w:t>
      </w:r>
      <w:r>
        <w:t xml:space="preserve">0</w:t>
      </w:r>
      <w:r>
        <w:rPr>
          <w:rFonts w:hint="eastAsia"/>
        </w:rPr>
        <w:t xml:space="preserve">天内，完成资产清查管理（第四章 </w:t>
      </w:r>
      <w:r>
        <w:t xml:space="preserve">2.1</w:t>
      </w:r>
      <w:r>
        <w:rPr>
          <w:rFonts w:hint="eastAsia"/>
        </w:rPr>
        <w:t xml:space="preserve">内容）</w:t>
      </w:r>
      <w:r>
        <w:rPr>
          <w:rFonts w:hint="eastAsia"/>
        </w:rPr>
        <w:t xml:space="preserve">建设与实施，具备试运行条件。</w:t>
      </w:r>
      <w:r/>
    </w:p>
    <w:p>
      <w:pPr>
        <w:pStyle w:val="1031"/>
      </w:pPr>
      <w:r>
        <w:rPr>
          <w:rFonts w:hint="eastAsia"/>
        </w:rPr>
        <w:t xml:space="preserve">（</w:t>
      </w:r>
      <w:r>
        <w:t xml:space="preserve">2</w:t>
      </w:r>
      <w:r>
        <w:rPr>
          <w:rFonts w:hint="eastAsia"/>
        </w:rPr>
        <w:t xml:space="preserve">）自合同签订之日起</w:t>
      </w:r>
      <w:r>
        <w:t xml:space="preserve">5</w:t>
      </w:r>
      <w:r>
        <w:rPr>
          <w:rFonts w:hint="eastAsia"/>
        </w:rPr>
        <w:t xml:space="preserve">个月内，完成国有企业资产日常管理、盘活利用管理、监督预警管理、基础信息管理、资产驾驶舱建设与实施，完成与预算管理一体化平台的融合，具备试运行条件。</w:t>
      </w:r>
      <w:r/>
    </w:p>
    <w:p>
      <w:pPr>
        <w:pStyle w:val="1031"/>
      </w:pPr>
      <w:r>
        <w:rPr>
          <w:rFonts w:hint="eastAsia"/>
        </w:rPr>
        <w:t xml:space="preserve">（3）自合同签订之日起一年内，按采购人要求完成全省范围行政事业性国有资产、国有企业资产、自然资源资产外接数据的汇聚与治理。</w:t>
      </w:r>
      <w:r/>
    </w:p>
    <w:p>
      <w:pPr>
        <w:pStyle w:val="891"/>
        <w:ind w:firstLine="643"/>
        <w:keepLines/>
        <w:keepNext/>
        <w:spacing w:line="360" w:lineRule="auto"/>
        <w:rPr>
          <w:rFonts w:ascii="仿宋" w:hAnsi="仿宋" w:eastAsia="仿宋" w:cs="仿宋"/>
          <w:b/>
          <w:sz w:val="32"/>
          <w:szCs w:val="32"/>
        </w:rPr>
        <w:outlineLvl w:val="1"/>
      </w:pPr>
      <w:r/>
      <w:bookmarkStart w:id="205" w:name="_Toc27852"/>
      <w:r/>
      <w:bookmarkStart w:id="206" w:name="_Toc1863330826"/>
      <w:r>
        <w:rPr>
          <w:rFonts w:ascii="仿宋" w:hAnsi="仿宋" w:eastAsia="仿宋" w:cs="仿宋"/>
          <w:b/>
          <w:sz w:val="32"/>
          <w:szCs w:val="32"/>
        </w:rPr>
        <w:t xml:space="preserve">4</w:t>
      </w:r>
      <w:r>
        <w:rPr>
          <w:rFonts w:hint="eastAsia" w:ascii="仿宋" w:hAnsi="仿宋" w:eastAsia="仿宋" w:cs="仿宋"/>
          <w:b/>
          <w:sz w:val="32"/>
          <w:szCs w:val="32"/>
        </w:rPr>
        <w:t xml:space="preserve">.2 实施地点</w:t>
      </w:r>
      <w:bookmarkEnd w:id="205"/>
      <w:r/>
      <w:bookmarkEnd w:id="206"/>
      <w:r>
        <w:rPr>
          <w:rFonts w:ascii="仿宋" w:hAnsi="仿宋" w:eastAsia="仿宋" w:cs="仿宋"/>
          <w:b/>
          <w:sz w:val="32"/>
          <w:szCs w:val="32"/>
        </w:rPr>
      </w:r>
      <w:r/>
    </w:p>
    <w:p>
      <w:pPr>
        <w:pStyle w:val="1031"/>
      </w:pPr>
      <w:r>
        <w:rPr>
          <w:rFonts w:hint="eastAsia"/>
        </w:rPr>
        <w:t xml:space="preserve">采购人指定地点。</w:t>
      </w:r>
      <w:r/>
    </w:p>
    <w:p>
      <w:pPr>
        <w:pStyle w:val="891"/>
        <w:ind w:firstLine="643"/>
        <w:keepLines/>
        <w:keepNext/>
        <w:spacing w:line="360" w:lineRule="auto"/>
        <w:rPr>
          <w:rFonts w:ascii="仿宋" w:hAnsi="仿宋" w:eastAsia="仿宋" w:cs="仿宋"/>
          <w:b/>
          <w:sz w:val="32"/>
          <w:szCs w:val="32"/>
        </w:rPr>
        <w:outlineLvl w:val="1"/>
      </w:pPr>
      <w:r/>
      <w:bookmarkStart w:id="207" w:name="_Toc548509417"/>
      <w:r/>
      <w:bookmarkStart w:id="208" w:name="_Toc4346"/>
      <w:r>
        <w:rPr>
          <w:rFonts w:ascii="仿宋" w:hAnsi="仿宋" w:eastAsia="仿宋" w:cs="仿宋"/>
          <w:b/>
          <w:sz w:val="32"/>
          <w:szCs w:val="32"/>
        </w:rPr>
        <w:t xml:space="preserve">4</w:t>
      </w:r>
      <w:r>
        <w:rPr>
          <w:rFonts w:hint="eastAsia" w:ascii="仿宋" w:hAnsi="仿宋" w:eastAsia="仿宋" w:cs="仿宋"/>
          <w:b/>
          <w:sz w:val="32"/>
          <w:szCs w:val="32"/>
        </w:rPr>
        <w:t xml:space="preserve">.3项目团队要求</w:t>
      </w:r>
      <w:bookmarkEnd w:id="207"/>
      <w:r/>
      <w:bookmarkEnd w:id="208"/>
      <w:r>
        <w:rPr>
          <w:rFonts w:ascii="仿宋" w:hAnsi="仿宋" w:eastAsia="仿宋" w:cs="仿宋"/>
          <w:b/>
          <w:sz w:val="32"/>
          <w:szCs w:val="32"/>
        </w:rPr>
      </w:r>
      <w:r/>
    </w:p>
    <w:p>
      <w:pPr>
        <w:pStyle w:val="1031"/>
      </w:pPr>
      <w:r>
        <w:rPr>
          <w:rFonts w:hint="eastAsia"/>
        </w:rPr>
        <w:t xml:space="preserve">在配置项目人员时，应充分考虑项目人员的稳定性因素，在保证项目人员的技术能力、业务水平、项目工作经验满足项目要求的前提下，通过选派连续工作多年的技术骨干参与项目实施服务工作。同时需保证项目团队人员稳定，未经采购人同意，不得随意变更项目人员。</w:t>
      </w:r>
      <w:r/>
    </w:p>
    <w:p>
      <w:pPr>
        <w:pStyle w:val="1031"/>
      </w:pPr>
      <w:r>
        <w:rPr>
          <w:rFonts w:hint="eastAsia"/>
        </w:rPr>
        <w:t xml:space="preserve">（1）供应商应根据本项目需求提供相应的服务力量，需要为本项目配置项目经理，负责整体协调、联络和进度把控，确保服务对象能实时联系到服务人员并解决问题。</w:t>
      </w:r>
      <w:r/>
    </w:p>
    <w:p>
      <w:pPr>
        <w:pStyle w:val="1031"/>
      </w:pPr>
      <w:r>
        <w:rPr>
          <w:rFonts w:hint="eastAsia"/>
        </w:rPr>
        <w:t xml:space="preserve">（2）供应商提供不少于</w:t>
      </w:r>
      <w:r>
        <w:t xml:space="preserve">20</w:t>
      </w:r>
      <w:r>
        <w:rPr>
          <w:rFonts w:hint="eastAsia"/>
        </w:rPr>
        <w:t xml:space="preserve">人的项目团队负责项目建设与实施。</w:t>
      </w:r>
      <w:r/>
    </w:p>
    <w:p>
      <w:pPr>
        <w:pStyle w:val="1031"/>
      </w:pPr>
      <w:r>
        <w:rPr>
          <w:rFonts w:hint="eastAsia"/>
        </w:rPr>
        <w:t xml:space="preserve">（3）免费运维期内，供应商需提供不少于</w:t>
      </w:r>
      <w:r>
        <w:t xml:space="preserve">6</w:t>
      </w:r>
      <w:r>
        <w:rPr>
          <w:rFonts w:hint="eastAsia"/>
        </w:rPr>
        <w:t xml:space="preserve">人的运维服务人员，驻采购人指定地点，提供全省运维服务。供应商需提供相关承诺。</w:t>
      </w:r>
      <w:r/>
    </w:p>
    <w:p>
      <w:pPr>
        <w:pStyle w:val="1031"/>
      </w:pPr>
      <w:r>
        <w:rPr>
          <w:rFonts w:hint="eastAsia"/>
        </w:rPr>
        <w:t xml:space="preserve">（</w:t>
      </w:r>
      <w:r>
        <w:t xml:space="preserve">4</w:t>
      </w:r>
      <w:r>
        <w:rPr>
          <w:rFonts w:hint="eastAsia"/>
        </w:rPr>
        <w:t xml:space="preserve">）供应商提供的项目团队人员，应具备较强的系统建设、实施、运维等能力，能够及时高效地完成相关建设与服务内容。</w:t>
      </w:r>
      <w:r/>
    </w:p>
    <w:p>
      <w:pPr>
        <w:pStyle w:val="1031"/>
      </w:pPr>
      <w:r>
        <w:rPr>
          <w:rFonts w:hint="eastAsia"/>
        </w:rPr>
        <w:t xml:space="preserve">（</w:t>
      </w:r>
      <w:r>
        <w:t xml:space="preserve">5</w:t>
      </w:r>
      <w:r>
        <w:rPr>
          <w:rFonts w:hint="eastAsia"/>
        </w:rPr>
        <w:t xml:space="preserve">）供应商确保7*24小时电话快速响应，及时处理相关问题；需提供应急服务支持人员电话，在非工作日或非上班时间对紧急事宜响应和处理。</w:t>
      </w:r>
      <w:r/>
    </w:p>
    <w:p>
      <w:pPr>
        <w:pStyle w:val="1031"/>
      </w:pPr>
      <w:r>
        <w:rPr>
          <w:rFonts w:hint="eastAsia"/>
        </w:rPr>
        <w:t xml:space="preserve">（</w:t>
      </w:r>
      <w:r>
        <w:t xml:space="preserve">6</w:t>
      </w:r>
      <w:r>
        <w:rPr>
          <w:rFonts w:hint="eastAsia"/>
        </w:rPr>
        <w:t xml:space="preserve">）供应商更换项目经理、需求负责人、研发负责人、实施负责人时，需至少提前一个月书面通知采购人，征得采购人书面同意后方可更换，更换前必须做好相关工作交接，及时更新项目团队组织架构。</w:t>
      </w:r>
      <w:r/>
    </w:p>
    <w:p>
      <w:pPr>
        <w:pStyle w:val="1031"/>
      </w:pPr>
      <w:r>
        <w:rPr>
          <w:rFonts w:hint="eastAsia"/>
        </w:rPr>
        <w:t xml:space="preserve">（7）更换项目团队其他人员（除项目经理、需求负责人、研发负责人、实施负责人）时，项目经理必须至少提前2</w:t>
      </w:r>
      <w:r>
        <w:t xml:space="preserve">0</w:t>
      </w:r>
      <w:r>
        <w:rPr>
          <w:rFonts w:hint="eastAsia"/>
        </w:rPr>
        <w:t xml:space="preserve">天通知采购人，征得采购人同意后方可更换，更换前必须做好相关工作交接，及时更新项目团队组织架构。</w:t>
      </w:r>
      <w:r/>
    </w:p>
    <w:p>
      <w:pPr>
        <w:pStyle w:val="1031"/>
      </w:pPr>
      <w:r>
        <w:rPr>
          <w:rFonts w:hint="eastAsia"/>
        </w:rPr>
        <w:t xml:space="preserve">（</w:t>
      </w:r>
      <w:r>
        <w:t xml:space="preserve">8</w:t>
      </w:r>
      <w:r>
        <w:rPr>
          <w:rFonts w:hint="eastAsia"/>
        </w:rPr>
        <w:t xml:space="preserve">）如采购人对项目团队人员不满意，供应商必须在收到采购人要求的10个工作日内完成更换，直至采购人满意，更换前必须做好相关工作交接，及时更新项目团队组织架构。</w:t>
      </w:r>
      <w:r/>
    </w:p>
    <w:p>
      <w:pPr>
        <w:pStyle w:val="891"/>
        <w:ind w:firstLine="643"/>
        <w:keepLines/>
        <w:keepNext/>
        <w:spacing w:line="360" w:lineRule="auto"/>
        <w:rPr>
          <w:rFonts w:ascii="仿宋" w:hAnsi="仿宋" w:eastAsia="仿宋" w:cs="仿宋"/>
          <w:b/>
          <w:sz w:val="32"/>
          <w:szCs w:val="32"/>
        </w:rPr>
        <w:outlineLvl w:val="1"/>
      </w:pPr>
      <w:r>
        <w:rPr>
          <w:rFonts w:ascii="仿宋" w:hAnsi="仿宋" w:eastAsia="仿宋" w:cs="仿宋"/>
          <w:b/>
          <w:sz w:val="32"/>
          <w:szCs w:val="32"/>
        </w:rPr>
        <w:t xml:space="preserve">4.4</w:t>
      </w:r>
      <w:r>
        <w:rPr>
          <w:rFonts w:hint="eastAsia" w:ascii="仿宋" w:hAnsi="仿宋" w:eastAsia="仿宋" w:cs="仿宋"/>
          <w:b/>
          <w:sz w:val="32"/>
          <w:szCs w:val="32"/>
        </w:rPr>
        <w:t xml:space="preserve">项目管理要求</w:t>
      </w:r>
      <w:r>
        <w:rPr>
          <w:rFonts w:ascii="仿宋" w:hAnsi="仿宋" w:eastAsia="仿宋" w:cs="仿宋"/>
          <w:b/>
          <w:sz w:val="32"/>
          <w:szCs w:val="32"/>
        </w:rPr>
      </w:r>
      <w:r/>
    </w:p>
    <w:p>
      <w:pPr>
        <w:pStyle w:val="1031"/>
      </w:pPr>
      <w:r>
        <w:rPr>
          <w:rFonts w:hint="eastAsia"/>
        </w:rPr>
        <w:t xml:space="preserve">（1）供应商应建立规范、完整的项目管理体系，规范开展项目实施工作，完整记录项目实施过程和结果。定期与采购人组织会议，沟通阶段实施成果、工作中存在的问题和后续的改进计划。</w:t>
      </w:r>
      <w:r/>
    </w:p>
    <w:p>
      <w:pPr>
        <w:pStyle w:val="1031"/>
      </w:pPr>
      <w:r>
        <w:rPr>
          <w:rFonts w:hint="eastAsia"/>
        </w:rPr>
        <w:t xml:space="preserve">（2）供应商在项目实施期间必须遵守采购人的规章制度。</w:t>
      </w:r>
      <w:r/>
    </w:p>
    <w:p>
      <w:pPr>
        <w:pStyle w:val="1031"/>
      </w:pPr>
      <w:r>
        <w:rPr>
          <w:rFonts w:hint="eastAsia"/>
        </w:rPr>
        <w:t xml:space="preserve">（3）供应商应接受工程监理及项目管理要求。</w:t>
      </w:r>
      <w:r/>
    </w:p>
    <w:p>
      <w:pPr>
        <w:pStyle w:val="1031"/>
      </w:pPr>
      <w:r>
        <w:rPr>
          <w:rFonts w:hint="eastAsia"/>
        </w:rPr>
        <w:t xml:space="preserve">（4）本项目合同不得转让，不得分包。</w:t>
      </w:r>
      <w:r/>
    </w:p>
    <w:p>
      <w:pPr>
        <w:pStyle w:val="891"/>
        <w:ind w:firstLine="643"/>
        <w:keepLines/>
        <w:keepNext/>
        <w:spacing w:line="360" w:lineRule="auto"/>
        <w:rPr>
          <w:rFonts w:ascii="仿宋" w:hAnsi="仿宋" w:eastAsia="仿宋" w:cs="仿宋"/>
          <w:b/>
          <w:sz w:val="32"/>
          <w:szCs w:val="32"/>
        </w:rPr>
        <w:outlineLvl w:val="1"/>
      </w:pPr>
      <w:r>
        <w:rPr>
          <w:rFonts w:ascii="仿宋" w:hAnsi="仿宋" w:eastAsia="仿宋" w:cs="仿宋"/>
          <w:b/>
          <w:sz w:val="32"/>
          <w:szCs w:val="32"/>
        </w:rPr>
        <w:t xml:space="preserve">4.5</w:t>
      </w:r>
      <w:r>
        <w:rPr>
          <w:rFonts w:hint="eastAsia" w:ascii="仿宋" w:hAnsi="仿宋" w:eastAsia="仿宋" w:cs="仿宋"/>
          <w:b/>
          <w:sz w:val="32"/>
          <w:szCs w:val="32"/>
        </w:rPr>
        <w:t xml:space="preserve">质量要求</w:t>
      </w:r>
      <w:r>
        <w:rPr>
          <w:rFonts w:ascii="仿宋" w:hAnsi="仿宋" w:eastAsia="仿宋" w:cs="仿宋"/>
          <w:b/>
          <w:sz w:val="32"/>
          <w:szCs w:val="32"/>
        </w:rPr>
      </w:r>
      <w:r/>
    </w:p>
    <w:p>
      <w:pPr>
        <w:pStyle w:val="1031"/>
      </w:pPr>
      <w:r>
        <w:rPr>
          <w:rFonts w:hint="eastAsia"/>
        </w:rPr>
        <w:t xml:space="preserve">（1）供应商应根据项目的工作计划，对阶段性实施成果进行审核。通过保证各阶段性成果的质量，最终保证整体服务的质量。如因供应商原因造成项目质量不合格、处理问题不及时等问题，采购人有权依据合同对供应商进行经济处罚。</w:t>
      </w:r>
      <w:r/>
    </w:p>
    <w:p>
      <w:pPr>
        <w:pStyle w:val="1031"/>
      </w:pPr>
      <w:r>
        <w:rPr>
          <w:rFonts w:hint="eastAsia"/>
        </w:rPr>
        <w:t xml:space="preserve">（2）供应商应建立质量保证体系，制定项目实施的质量控制方案和实施措施，并督促完成各环节质量控制内容和目标；保证项目实施满足采购人对质量的要求。</w:t>
      </w:r>
      <w:r/>
    </w:p>
    <w:p>
      <w:pPr>
        <w:pStyle w:val="1031"/>
      </w:pPr>
      <w:r>
        <w:rPr>
          <w:rFonts w:hint="eastAsia"/>
        </w:rPr>
        <w:t xml:space="preserve">（3）供应商需制定明确的质量管理办法，确保团队全体人员了解和遵守，同时设定可测量的质量目标，以便评估和改进绩效，同时需要确保产出文档的准确性和可访问性。</w:t>
      </w:r>
      <w:r/>
    </w:p>
    <w:p>
      <w:pPr>
        <w:pStyle w:val="1031"/>
      </w:pPr>
      <w:r>
        <w:rPr>
          <w:rFonts w:hint="eastAsia"/>
        </w:rPr>
        <w:t xml:space="preserve">（4）供应商应遵循《江苏省财政厅信息化建设管理办法（试行）》的项目建设质量要求，以及采购人有关服务厂商、信息化项目的服务质量管理要求，并接受采购人定期对服务进行绩效考核。</w:t>
      </w:r>
      <w:r/>
    </w:p>
    <w:p>
      <w:pPr>
        <w:pStyle w:val="891"/>
        <w:ind w:firstLine="641"/>
        <w:rPr>
          <w:rFonts w:ascii="仿宋" w:hAnsi="仿宋" w:eastAsia="仿宋" w:cs="仿宋"/>
          <w:sz w:val="32"/>
          <w:szCs w:val="32"/>
        </w:rPr>
      </w:pPr>
      <w:r>
        <w:rPr>
          <w:rFonts w:ascii="仿宋" w:hAnsi="仿宋" w:eastAsia="仿宋" w:cs="仿宋"/>
          <w:sz w:val="32"/>
          <w:szCs w:val="32"/>
        </w:rPr>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五、培训要求</w:t>
      </w:r>
      <w:r>
        <w:rPr>
          <w:rFonts w:ascii="仿宋" w:hAnsi="仿宋" w:eastAsia="仿宋" w:cs="仿宋"/>
          <w:b/>
          <w:sz w:val="32"/>
          <w:szCs w:val="32"/>
        </w:rPr>
      </w:r>
      <w:r/>
    </w:p>
    <w:p>
      <w:pPr>
        <w:pStyle w:val="1031"/>
      </w:pPr>
      <w:r>
        <w:rPr>
          <w:rFonts w:hint="eastAsia"/>
        </w:rPr>
        <w:t xml:space="preserve">为保障相关业务顺利开展，配合采购人做好相关的系统操作培训，培训要求如下：</w:t>
      </w:r>
      <w:r/>
    </w:p>
    <w:p>
      <w:pPr>
        <w:pStyle w:val="1031"/>
      </w:pPr>
      <w:r>
        <w:rPr>
          <w:rFonts w:hint="eastAsia"/>
        </w:rPr>
        <w:t xml:space="preserve">（1）本项目的培训对象：与本项目相关的业务操作人员及技术人员。</w:t>
      </w:r>
      <w:r/>
    </w:p>
    <w:p>
      <w:pPr>
        <w:pStyle w:val="1031"/>
      </w:pPr>
      <w:r>
        <w:rPr>
          <w:rFonts w:hint="eastAsia"/>
        </w:rPr>
        <w:t xml:space="preserve">（2）供应商根据采购人要求组织师资及教材编写，配合采购人实施培训工作。</w:t>
      </w:r>
      <w:r/>
    </w:p>
    <w:p>
      <w:pPr>
        <w:pStyle w:val="1031"/>
      </w:pPr>
      <w:r>
        <w:rPr>
          <w:rFonts w:hint="eastAsia"/>
        </w:rPr>
        <w:t xml:space="preserve">（3）供应商应详细制定培训方案，包括培训目的、培训时间安排、人数、次数、教材编写、培训课程、培训师资情况、培训组织方式等。</w:t>
      </w:r>
      <w:r/>
    </w:p>
    <w:p>
      <w:pPr>
        <w:pStyle w:val="1031"/>
      </w:pPr>
      <w:r>
        <w:rPr>
          <w:rFonts w:hint="eastAsia"/>
        </w:rPr>
        <w:t xml:space="preserve">（4）供应商按采购人要求，进行现场或远程等方式培训，差旅费用由供应商承担。</w:t>
      </w:r>
      <w:r/>
    </w:p>
    <w:p>
      <w:pPr>
        <w:pStyle w:val="891"/>
        <w:ind w:firstLine="640"/>
        <w:spacing w:line="500" w:lineRule="exact"/>
        <w:rPr>
          <w:rFonts w:ascii="仿宋" w:hAnsi="仿宋" w:eastAsia="仿宋" w:cs="仿宋"/>
          <w:sz w:val="32"/>
          <w:szCs w:val="32"/>
        </w:rPr>
      </w:pPr>
      <w:r>
        <w:rPr>
          <w:rFonts w:ascii="仿宋" w:hAnsi="仿宋" w:eastAsia="仿宋" w:cs="仿宋"/>
          <w:sz w:val="32"/>
          <w:szCs w:val="32"/>
        </w:rPr>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六、运行维护要求</w:t>
      </w:r>
      <w:r>
        <w:rPr>
          <w:rFonts w:ascii="仿宋" w:hAnsi="仿宋" w:eastAsia="仿宋" w:cs="仿宋"/>
          <w:b/>
          <w:sz w:val="32"/>
          <w:szCs w:val="32"/>
        </w:rPr>
      </w:r>
      <w:r/>
    </w:p>
    <w:p>
      <w:pPr>
        <w:pStyle w:val="1031"/>
      </w:pPr>
      <w:r>
        <w:rPr>
          <w:rFonts w:hint="eastAsia"/>
        </w:rPr>
        <w:t xml:space="preserve">系统验收合格后进入免费运维阶段（免费运维期1年），须按要求提供不少于</w:t>
      </w:r>
      <w:r>
        <w:t xml:space="preserve">6人的</w:t>
      </w:r>
      <w:r>
        <w:rPr>
          <w:rFonts w:hint="eastAsia"/>
        </w:rPr>
        <w:t xml:space="preserve">专业技术人员提供全省运维服务（驻采购人指定地点）。法定节假日及如遇紧急或特殊情况，维护人员应服从财政信息管理中心的统一调配和安排。技术支持服务形式包括现场服务、热线电话、网站、电子邮件等。服务内容主要包括：对本项目全省服务对象提供技术指导、程序B</w:t>
      </w:r>
      <w:r>
        <w:t xml:space="preserve">UG</w:t>
      </w:r>
      <w:r>
        <w:rPr>
          <w:rFonts w:hint="eastAsia"/>
        </w:rPr>
        <w:t xml:space="preserve">修复、故障恢复、易用性提升、对不满足业务需求的功能进一步完善等。</w:t>
      </w:r>
      <w:r/>
    </w:p>
    <w:p>
      <w:pPr>
        <w:pStyle w:val="1031"/>
      </w:pPr>
      <w:r>
        <w:rPr>
          <w:rFonts w:hint="eastAsia"/>
        </w:rPr>
        <w:t xml:space="preserve">（1）供应商必须提供现场、电话、传真、E-mail等各种方式的7×24 小时技术支持，对采购人提出的服务要求做出实质性响应，提供各种突发事件的应急预案文档。</w:t>
      </w:r>
      <w:r/>
    </w:p>
    <w:p>
      <w:pPr>
        <w:pStyle w:val="1031"/>
      </w:pPr>
      <w:r>
        <w:rPr>
          <w:rFonts w:hint="eastAsia"/>
        </w:rPr>
        <w:t xml:space="preserve">（2）项目验收合格后，供应商须免费提供1年运维服务，服务内容主要包括：对本项目全省服务对象提供技术指导、程序B</w:t>
      </w:r>
      <w:r>
        <w:t xml:space="preserve">UG</w:t>
      </w:r>
      <w:r>
        <w:rPr>
          <w:rFonts w:hint="eastAsia"/>
        </w:rPr>
        <w:t xml:space="preserve">修复、故障恢复、易用性提升、对不满足业务需求的功能进一步完善等。</w:t>
      </w:r>
      <w:r/>
    </w:p>
    <w:p>
      <w:pPr>
        <w:pStyle w:val="1031"/>
      </w:pPr>
      <w:r>
        <w:rPr>
          <w:rFonts w:hint="eastAsia"/>
        </w:rPr>
        <w:t xml:space="preserve">（3）免费维护期内，在工作时间对系统问题即时响应。在非工作时间发生故障，供应商须1小时内对故障做出明确响应和安排，并根据需要指派具有解决故障能力的技术工程师在1小时内到达，及时排查、4小时内解决问题，确保业务顺利进行，并提交诊断报告。</w:t>
      </w:r>
      <w:r/>
    </w:p>
    <w:p>
      <w:pPr>
        <w:pStyle w:val="891"/>
        <w:ind w:firstLine="643"/>
        <w:keepLines/>
        <w:keepNext/>
        <w:spacing w:line="360" w:lineRule="auto"/>
        <w:rPr>
          <w:rFonts w:ascii="仿宋" w:hAnsi="仿宋" w:eastAsia="仿宋" w:cs="仿宋"/>
          <w:sz w:val="32"/>
          <w:szCs w:val="32"/>
        </w:rPr>
        <w:outlineLvl w:val="0"/>
      </w:pPr>
      <w:r>
        <w:rPr>
          <w:rFonts w:hint="eastAsia" w:ascii="仿宋" w:hAnsi="仿宋" w:eastAsia="仿宋" w:cs="仿宋"/>
          <w:b/>
          <w:sz w:val="32"/>
          <w:szCs w:val="32"/>
        </w:rPr>
        <w:t xml:space="preserve">七、质保要求</w:t>
      </w:r>
      <w:r>
        <w:rPr>
          <w:rFonts w:ascii="仿宋" w:hAnsi="仿宋" w:eastAsia="仿宋" w:cs="仿宋"/>
          <w:sz w:val="32"/>
          <w:szCs w:val="32"/>
        </w:rPr>
      </w:r>
      <w:r/>
    </w:p>
    <w:p>
      <w:pPr>
        <w:pStyle w:val="1031"/>
      </w:pPr>
      <w:r>
        <w:rPr>
          <w:rFonts w:hint="eastAsia"/>
        </w:rPr>
        <w:t xml:space="preserve">系统验收合格后，质保期为2年。</w:t>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八、知识产权要求</w:t>
      </w:r>
      <w:r>
        <w:rPr>
          <w:rFonts w:ascii="仿宋" w:hAnsi="仿宋" w:eastAsia="仿宋" w:cs="仿宋"/>
          <w:b/>
          <w:sz w:val="32"/>
          <w:szCs w:val="32"/>
        </w:rPr>
      </w:r>
      <w:r/>
    </w:p>
    <w:p>
      <w:pPr>
        <w:pStyle w:val="1031"/>
        <w:rPr>
          <w:rFonts w:ascii="仿宋" w:hAnsi="仿宋" w:eastAsia="仿宋" w:cs="仿宋"/>
          <w:sz w:val="32"/>
          <w:szCs w:val="32"/>
        </w:rPr>
      </w:pPr>
      <w:r>
        <w:rPr>
          <w:rFonts w:hint="eastAsia"/>
        </w:rPr>
        <w:t xml:space="preserve">本项目建设的“江苏省预算管理一体化平台国有资产智慧监管系统”相关知识产权均归江苏省财政厅所有。</w:t>
      </w:r>
      <w:r>
        <w:rPr>
          <w:rFonts w:ascii="仿宋" w:hAnsi="仿宋" w:eastAsia="仿宋" w:cs="仿宋"/>
          <w:sz w:val="32"/>
          <w:szCs w:val="32"/>
        </w:rPr>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九、验收要求</w:t>
      </w:r>
      <w:r>
        <w:rPr>
          <w:rFonts w:ascii="仿宋" w:hAnsi="仿宋" w:eastAsia="仿宋" w:cs="仿宋"/>
          <w:b/>
          <w:sz w:val="32"/>
          <w:szCs w:val="32"/>
        </w:rPr>
      </w:r>
      <w:r/>
    </w:p>
    <w:p>
      <w:pPr>
        <w:pStyle w:val="1031"/>
      </w:pPr>
      <w:r>
        <w:rPr>
          <w:rFonts w:hint="eastAsia"/>
        </w:rPr>
        <w:t xml:space="preserve">根据政府采购项目履约验收相关规定及采购人项目管理要求，项目建设完成，开展试运行并通过等级保护测评、密码应用安全评估后，由采购人组织对项目进行验收。供应商配合提供项目建设及相关工作报告等文档，验收文档包括但不限于：</w:t>
      </w:r>
      <w:r/>
    </w:p>
    <w:p>
      <w:pPr>
        <w:pStyle w:val="1031"/>
      </w:pPr>
      <w:r>
        <w:rPr>
          <w:rFonts w:hint="eastAsia"/>
        </w:rPr>
        <w:t xml:space="preserve">（1）需求规格说明书、概要设计说明书、详细设计说明书、数据库设计说明书、数据对接规范、项目开发源代码等；</w:t>
      </w:r>
      <w:r/>
    </w:p>
    <w:p>
      <w:pPr>
        <w:pStyle w:val="1031"/>
      </w:pPr>
      <w:r>
        <w:rPr>
          <w:rFonts w:hint="eastAsia"/>
        </w:rPr>
        <w:t xml:space="preserve">（2）系统开发计划、项目团队组织架构、系统建设阶段性报告等；</w:t>
      </w:r>
      <w:r/>
    </w:p>
    <w:p>
      <w:pPr>
        <w:pStyle w:val="1031"/>
      </w:pPr>
      <w:r>
        <w:rPr>
          <w:rFonts w:hint="eastAsia"/>
        </w:rPr>
        <w:t xml:space="preserve">（3）需求、问题及跟踪汇总表；</w:t>
      </w:r>
      <w:r/>
    </w:p>
    <w:p>
      <w:pPr>
        <w:pStyle w:val="1031"/>
      </w:pPr>
      <w:r>
        <w:rPr>
          <w:rFonts w:hint="eastAsia"/>
        </w:rPr>
        <w:t xml:space="preserve">（</w:t>
      </w:r>
      <w:r>
        <w:t xml:space="preserve">4</w:t>
      </w:r>
      <w:r>
        <w:rPr>
          <w:rFonts w:hint="eastAsia"/>
        </w:rPr>
        <w:t xml:space="preserve">）会议纪要；</w:t>
      </w:r>
      <w:r/>
    </w:p>
    <w:p>
      <w:pPr>
        <w:pStyle w:val="1031"/>
      </w:pPr>
      <w:r>
        <w:rPr>
          <w:rFonts w:hint="eastAsia"/>
        </w:rPr>
        <w:t xml:space="preserve">（</w:t>
      </w:r>
      <w:r>
        <w:t xml:space="preserve">5</w:t>
      </w:r>
      <w:r>
        <w:rPr>
          <w:rFonts w:hint="eastAsia"/>
        </w:rPr>
        <w:t xml:space="preserve">）培训方案、培训签到表、系统操作手册、部署手册；</w:t>
      </w:r>
      <w:r/>
    </w:p>
    <w:p>
      <w:pPr>
        <w:pStyle w:val="1031"/>
      </w:pPr>
      <w:r>
        <w:rPr>
          <w:rFonts w:hint="eastAsia"/>
        </w:rPr>
        <w:t xml:space="preserve">（6）月度工作报告；</w:t>
      </w:r>
      <w:r/>
    </w:p>
    <w:p>
      <w:pPr>
        <w:pStyle w:val="1031"/>
      </w:pPr>
      <w:r>
        <w:rPr>
          <w:rFonts w:hint="eastAsia"/>
        </w:rPr>
        <w:t xml:space="preserve">（7）第三方测试报告；</w:t>
      </w:r>
      <w:r/>
    </w:p>
    <w:p>
      <w:pPr>
        <w:pStyle w:val="1031"/>
      </w:pPr>
      <w:r>
        <w:rPr>
          <w:rFonts w:hint="eastAsia"/>
        </w:rPr>
        <w:t xml:space="preserve">（8）等保三级测试报告、密码应用安全评估报告；</w:t>
      </w:r>
      <w:r/>
    </w:p>
    <w:p>
      <w:pPr>
        <w:pStyle w:val="1031"/>
      </w:pPr>
      <w:r>
        <w:rPr>
          <w:rFonts w:hint="eastAsia"/>
        </w:rPr>
        <w:t xml:space="preserve">（9）监理报告。</w:t>
      </w:r>
      <w:r/>
    </w:p>
    <w:p>
      <w:pPr>
        <w:pStyle w:val="891"/>
        <w:ind w:firstLine="643"/>
        <w:keepLines/>
        <w:keepNext/>
        <w:spacing w:line="360" w:lineRule="auto"/>
        <w:rPr>
          <w:rFonts w:ascii="仿宋" w:hAnsi="仿宋" w:eastAsia="仿宋" w:cs="仿宋"/>
          <w:b/>
          <w:sz w:val="32"/>
          <w:szCs w:val="32"/>
        </w:rPr>
        <w:outlineLvl w:val="0"/>
      </w:pPr>
      <w:r/>
      <w:bookmarkStart w:id="209" w:name="_Toc14139"/>
      <w:r/>
      <w:bookmarkStart w:id="210" w:name="_Toc186413240"/>
      <w:r>
        <w:rPr>
          <w:rFonts w:hint="eastAsia" w:ascii="仿宋" w:hAnsi="仿宋" w:eastAsia="仿宋" w:cs="仿宋"/>
          <w:b/>
          <w:sz w:val="32"/>
          <w:szCs w:val="32"/>
        </w:rPr>
        <w:t xml:space="preserve">十、保密要求</w:t>
      </w:r>
      <w:bookmarkEnd w:id="209"/>
      <w:r/>
      <w:bookmarkEnd w:id="210"/>
      <w:r>
        <w:rPr>
          <w:rFonts w:ascii="仿宋" w:hAnsi="仿宋" w:eastAsia="仿宋" w:cs="仿宋"/>
          <w:b/>
          <w:sz w:val="32"/>
          <w:szCs w:val="32"/>
        </w:rPr>
      </w:r>
      <w:r/>
    </w:p>
    <w:p>
      <w:pPr>
        <w:pStyle w:val="1031"/>
      </w:pPr>
      <w:r>
        <w:rPr>
          <w:rFonts w:hint="eastAsia"/>
        </w:rPr>
        <w:t xml:space="preserve">中标供应商及其提供的所有服务人员对本项目中涉及的财政信息及所有文档、数据有保密义务、未经采购人书面认可，不得向任何第三方透露，不得擅自留存、不得用于本项目之外的任何其他用途。</w:t>
      </w:r>
      <w:r/>
    </w:p>
    <w:p>
      <w:pPr>
        <w:pStyle w:val="1031"/>
      </w:pPr>
      <w:r>
        <w:rPr>
          <w:rFonts w:hint="eastAsia"/>
        </w:rPr>
        <w:t xml:space="preserve">中标供应商必须与采购人签署保密承诺书，其所属工作人员需签署保密协议后方可上岗工作，必须遵守保密义务,不得泄露、篡改或删除相关信息。因中标供应商（或其员工）原因引起信息泄露，中标供应商必须承担由此造成的法律责任，其承担责任后可向具体责任人员追偿。</w:t>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十一、服务方案要求</w:t>
      </w:r>
      <w:r>
        <w:rPr>
          <w:rFonts w:ascii="仿宋" w:hAnsi="仿宋" w:eastAsia="仿宋" w:cs="仿宋"/>
          <w:b/>
          <w:sz w:val="32"/>
          <w:szCs w:val="32"/>
        </w:rPr>
      </w:r>
      <w:r/>
    </w:p>
    <w:p>
      <w:pPr>
        <w:pStyle w:val="1031"/>
      </w:pPr>
      <w:r>
        <w:rPr>
          <w:rFonts w:hint="eastAsia"/>
        </w:rPr>
        <w:t xml:space="preserve">供应商应具有较高的IT服务能力水平，具有与本项目软件相关的经验，提供技术方案支撑。</w:t>
      </w:r>
      <w:r/>
    </w:p>
    <w:p>
      <w:pPr>
        <w:pStyle w:val="1031"/>
      </w:pPr>
      <w:r>
        <w:rPr>
          <w:rFonts w:hint="eastAsia"/>
        </w:rPr>
        <w:t xml:space="preserve">（1）需求分析方案。供应商对本项目建设需求进行分析，提供需求分析方案，方案内容包括但不限于建设背景、建设目标、建设意义、建设内容、建设可行性等。</w:t>
      </w:r>
      <w:r/>
    </w:p>
    <w:p>
      <w:pPr>
        <w:pStyle w:val="1031"/>
      </w:pPr>
      <w:r>
        <w:rPr>
          <w:rFonts w:hint="eastAsia"/>
        </w:rPr>
        <w:t xml:space="preserve">（2）架构设计方案。针对本项目技术要求，提供架构设计方案，方案内容应包括系统总体框架、技术架构、数据架构等，要求基于分布式架构设计，采用容器化部署模式，应用微服务设计方案，满足本项目系统功能及技术实现要求，同时满足国产化建设要求。</w:t>
      </w:r>
      <w:r/>
    </w:p>
    <w:p>
      <w:pPr>
        <w:pStyle w:val="1031"/>
      </w:pPr>
      <w:r>
        <w:rPr>
          <w:rFonts w:hint="eastAsia"/>
        </w:rPr>
        <w:t xml:space="preserve">（3）主要功能设计。根据项目建设需求，提供主要功能设计方案，方案内容包括但不限于资产清查管理、国有资产日常管理、盘活利用管理、监督预警管理、基础信息管理、资产驾驶舱等。</w:t>
      </w:r>
      <w:r/>
    </w:p>
    <w:p>
      <w:pPr>
        <w:pStyle w:val="1031"/>
      </w:pPr>
      <w:r>
        <w:rPr>
          <w:rFonts w:hint="eastAsia"/>
        </w:rPr>
        <w:t xml:space="preserve">（</w:t>
      </w:r>
      <w:r>
        <w:t xml:space="preserve">4</w:t>
      </w:r>
      <w:r>
        <w:rPr>
          <w:rFonts w:hint="eastAsia"/>
        </w:rPr>
        <w:t xml:space="preserve">）对接方案。针对本项目对接需求，提供与第三方系统对接方案，方案内容包括但不限于对接内容、对接流程、数据安全保障措施、数据共享规范等。</w:t>
      </w:r>
      <w:r/>
    </w:p>
    <w:p>
      <w:pPr>
        <w:pStyle w:val="1031"/>
      </w:pPr>
      <w:r>
        <w:rPr>
          <w:rFonts w:hint="eastAsia"/>
        </w:rPr>
        <w:t xml:space="preserve">（5）安全方案。针对本项目安全需求，提供对应安全方案，方案内容包括但不限于开发安全、数据安全、运维安全等。</w:t>
      </w:r>
      <w:r/>
    </w:p>
    <w:p>
      <w:pPr>
        <w:pStyle w:val="1031"/>
      </w:pPr>
      <w:r>
        <w:rPr>
          <w:rFonts w:hint="eastAsia"/>
        </w:rPr>
        <w:t xml:space="preserve">（6）实施方案。针对本项目实施需求，提供对应项目实施方案，方案内容包括但不限于实施计划安排、团队组织架构设置、文档管理、代码管理、沟通管理等。</w:t>
      </w:r>
      <w:r/>
    </w:p>
    <w:p>
      <w:pPr>
        <w:pStyle w:val="1031"/>
      </w:pPr>
      <w:r>
        <w:rPr>
          <w:rFonts w:hint="eastAsia"/>
        </w:rPr>
        <w:t xml:space="preserve">（7）培训方案。针对本项目培训需求，提供对应培训方案，方案内容包括但不限于培训目标、培训形式、培训规模、培训批次、培训讲师管理、培训资料编制等。</w:t>
      </w:r>
      <w:r/>
    </w:p>
    <w:p>
      <w:pPr>
        <w:pStyle w:val="1031"/>
      </w:pPr>
      <w:r>
        <w:rPr>
          <w:rFonts w:hint="eastAsia"/>
        </w:rPr>
        <w:t xml:space="preserve">（8）运行维护方案。针对本项目运维需求，提供对应运行维护方案，方案内容包括但不限于运维服务人员管理、服务方式、服务内容、服务标准等。</w:t>
      </w:r>
      <w:r/>
    </w:p>
    <w:p>
      <w:pPr>
        <w:pStyle w:val="1031"/>
      </w:pPr>
      <w:r>
        <w:rPr>
          <w:rFonts w:hint="eastAsia"/>
        </w:rPr>
        <w:t xml:space="preserve">（9）应急响应方案。针对本项目需求，提供应急响应方案，方案内容应包括应急事件分类、应急响应目标、应急事件处理过程等。</w:t>
      </w:r>
      <w:r/>
    </w:p>
    <w:p>
      <w:pPr>
        <w:pStyle w:val="1031"/>
      </w:pPr>
      <w:r>
        <w:rPr>
          <w:rFonts w:hint="eastAsia"/>
        </w:rPr>
        <w:t xml:space="preserve">（10）验收方案。针对本项目验收需求，提供对应验收方案，方案内容应包含验收计划、验收方法、验收标准、验收文档等。</w:t>
      </w:r>
      <w:r/>
    </w:p>
    <w:p>
      <w:pPr>
        <w:pStyle w:val="891"/>
        <w:ind w:firstLine="640"/>
        <w:spacing w:line="500" w:lineRule="exact"/>
        <w:widowControl/>
        <w:rPr>
          <w:rFonts w:ascii="仿宋" w:hAnsi="仿宋" w:eastAsia="仿宋" w:cs="仿宋"/>
          <w:sz w:val="32"/>
          <w:szCs w:val="32"/>
          <w:lang w:bidi="ar"/>
        </w:rPr>
      </w:pPr>
      <w:r>
        <w:rPr>
          <w:rFonts w:ascii="仿宋" w:hAnsi="仿宋" w:eastAsia="仿宋" w:cs="仿宋"/>
          <w:sz w:val="32"/>
          <w:szCs w:val="32"/>
          <w:lang w:bidi="ar"/>
        </w:rPr>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十二、商务要求</w:t>
      </w:r>
      <w:r>
        <w:rPr>
          <w:rFonts w:ascii="仿宋" w:hAnsi="仿宋" w:eastAsia="仿宋" w:cs="仿宋"/>
          <w:b/>
          <w:sz w:val="32"/>
          <w:szCs w:val="32"/>
        </w:rPr>
      </w:r>
      <w:r/>
    </w:p>
    <w:p>
      <w:pPr>
        <w:pStyle w:val="891"/>
        <w:ind w:firstLine="643"/>
        <w:keepLines/>
        <w:keepNext/>
        <w:spacing w:line="360" w:lineRule="auto"/>
        <w:rPr>
          <w:rFonts w:ascii="仿宋" w:hAnsi="仿宋" w:eastAsia="仿宋" w:cs="仿宋"/>
          <w:b/>
          <w:sz w:val="32"/>
          <w:szCs w:val="32"/>
        </w:rPr>
        <w:outlineLvl w:val="1"/>
      </w:pPr>
      <w:r>
        <w:rPr>
          <w:rFonts w:hint="eastAsia" w:ascii="仿宋" w:hAnsi="仿宋" w:eastAsia="仿宋" w:cs="仿宋"/>
          <w:b/>
          <w:sz w:val="32"/>
          <w:szCs w:val="32"/>
        </w:rPr>
        <w:t xml:space="preserve">1</w:t>
      </w:r>
      <w:r>
        <w:rPr>
          <w:rFonts w:ascii="仿宋" w:hAnsi="仿宋" w:eastAsia="仿宋" w:cs="仿宋"/>
          <w:b/>
          <w:sz w:val="32"/>
          <w:szCs w:val="32"/>
        </w:rPr>
        <w:t xml:space="preserve">2</w:t>
      </w:r>
      <w:r>
        <w:rPr>
          <w:rFonts w:hint="eastAsia" w:ascii="仿宋" w:hAnsi="仿宋" w:eastAsia="仿宋" w:cs="仿宋"/>
          <w:b/>
          <w:sz w:val="32"/>
          <w:szCs w:val="32"/>
        </w:rPr>
        <w:t xml:space="preserve">.1 付款要求</w:t>
      </w:r>
      <w:r>
        <w:rPr>
          <w:rFonts w:ascii="仿宋" w:hAnsi="仿宋" w:eastAsia="仿宋" w:cs="仿宋"/>
          <w:b/>
          <w:sz w:val="32"/>
          <w:szCs w:val="32"/>
        </w:rPr>
      </w:r>
      <w:r/>
    </w:p>
    <w:p>
      <w:pPr>
        <w:pStyle w:val="1031"/>
      </w:pPr>
      <w:r>
        <w:rPr>
          <w:rFonts w:hint="eastAsia"/>
        </w:rPr>
        <w:t xml:space="preserve">下列款项以人民币方式按照以下进度由采购人办理支付。</w:t>
      </w:r>
      <w:r/>
    </w:p>
    <w:p>
      <w:pPr>
        <w:pStyle w:val="1031"/>
      </w:pPr>
      <w:r>
        <w:rPr>
          <w:rFonts w:hint="eastAsia"/>
        </w:rPr>
        <w:t xml:space="preserve">合同签订且收到供应商提供的发票后，采购人支付合同总额的</w:t>
      </w:r>
      <w:r>
        <w:t xml:space="preserve">3</w:t>
      </w:r>
      <w:r>
        <w:rPr>
          <w:rFonts w:hint="eastAsia"/>
        </w:rPr>
        <w:t xml:space="preserve">0%；</w:t>
      </w:r>
      <w:r/>
    </w:p>
    <w:p>
      <w:pPr>
        <w:pStyle w:val="1031"/>
      </w:pPr>
      <w:r>
        <w:rPr>
          <w:rFonts w:hint="eastAsia"/>
        </w:rPr>
        <w:t xml:space="preserve">系统主体功能上线试运行且采购人收到供应商提供的发票后，采购人支付合同总金额的</w:t>
      </w:r>
      <w:r>
        <w:t xml:space="preserve">30%</w:t>
      </w:r>
      <w:r/>
    </w:p>
    <w:p>
      <w:pPr>
        <w:pStyle w:val="1031"/>
      </w:pPr>
      <w:r>
        <w:rPr>
          <w:rFonts w:hint="eastAsia"/>
        </w:rPr>
        <w:t xml:space="preserve">项目通过验收且采购人收到供应商提供的发票后，采购人支付合同总额的</w:t>
      </w:r>
      <w:r>
        <w:t xml:space="preserve">3</w:t>
      </w:r>
      <w:r>
        <w:rPr>
          <w:rFonts w:hint="eastAsia"/>
        </w:rPr>
        <w:t xml:space="preserve">0%；</w:t>
      </w:r>
      <w:r/>
    </w:p>
    <w:p>
      <w:pPr>
        <w:pStyle w:val="1031"/>
      </w:pPr>
      <w:r>
        <w:rPr>
          <w:rFonts w:hint="eastAsia"/>
        </w:rPr>
        <w:t xml:space="preserve">项目免费运维期满且采购人收到供应商提供的发票后，采购人支付合同总额的</w:t>
      </w:r>
      <w:r>
        <w:t xml:space="preserve">1</w:t>
      </w:r>
      <w:r>
        <w:rPr>
          <w:rFonts w:hint="eastAsia"/>
        </w:rPr>
        <w:t xml:space="preserve">0%。</w:t>
      </w:r>
      <w:r/>
    </w:p>
    <w:p>
      <w:pPr>
        <w:pStyle w:val="891"/>
        <w:ind w:firstLine="643"/>
        <w:keepLines/>
        <w:keepNext/>
        <w:spacing w:line="360" w:lineRule="auto"/>
        <w:rPr>
          <w:rFonts w:ascii="仿宋" w:hAnsi="仿宋" w:eastAsia="仿宋" w:cs="仿宋"/>
          <w:b/>
          <w:sz w:val="32"/>
          <w:szCs w:val="32"/>
        </w:rPr>
        <w:outlineLvl w:val="1"/>
      </w:pPr>
      <w:r/>
      <w:bookmarkStart w:id="211" w:name="_Toc1813483618"/>
      <w:r>
        <w:rPr>
          <w:rFonts w:hint="eastAsia" w:ascii="仿宋" w:hAnsi="仿宋" w:eastAsia="仿宋" w:cs="仿宋"/>
          <w:b/>
          <w:sz w:val="32"/>
          <w:szCs w:val="32"/>
        </w:rPr>
        <w:t xml:space="preserve">1</w:t>
      </w:r>
      <w:r>
        <w:rPr>
          <w:rFonts w:ascii="仿宋" w:hAnsi="仿宋" w:eastAsia="仿宋" w:cs="仿宋"/>
          <w:b/>
          <w:sz w:val="32"/>
          <w:szCs w:val="32"/>
        </w:rPr>
        <w:t xml:space="preserve">2</w:t>
      </w:r>
      <w:r>
        <w:rPr>
          <w:rFonts w:hint="eastAsia" w:ascii="仿宋" w:hAnsi="仿宋" w:eastAsia="仿宋" w:cs="仿宋"/>
          <w:b/>
          <w:sz w:val="32"/>
          <w:szCs w:val="32"/>
        </w:rPr>
        <w:t xml:space="preserve">.2资质要求</w:t>
      </w:r>
      <w:bookmarkEnd w:id="211"/>
      <w:r>
        <w:rPr>
          <w:rFonts w:ascii="仿宋" w:hAnsi="仿宋" w:eastAsia="仿宋" w:cs="仿宋"/>
          <w:b/>
          <w:sz w:val="32"/>
          <w:szCs w:val="32"/>
        </w:rPr>
      </w:r>
      <w:r/>
    </w:p>
    <w:p>
      <w:pPr>
        <w:pStyle w:val="1031"/>
      </w:pPr>
      <w:r>
        <w:rPr>
          <w:rFonts w:hint="eastAsia"/>
        </w:rPr>
        <w:t xml:space="preserve">（1）供应商具有ISO9001质量管理体系认证证书；</w:t>
      </w:r>
      <w:r/>
    </w:p>
    <w:p>
      <w:pPr>
        <w:pStyle w:val="1031"/>
      </w:pPr>
      <w:r>
        <w:rPr>
          <w:rFonts w:hint="eastAsia"/>
        </w:rPr>
        <w:t xml:space="preserve">（2）供应商具有ISO20000信息技术服务管理体系认证证书；</w:t>
      </w:r>
      <w:r/>
    </w:p>
    <w:p>
      <w:pPr>
        <w:pStyle w:val="1031"/>
      </w:pPr>
      <w:r>
        <w:rPr>
          <w:rFonts w:hint="eastAsia"/>
        </w:rPr>
        <w:t xml:space="preserve">（3）供应商具有ISO27001信息安全管理体系认证；</w:t>
      </w:r>
      <w:r/>
    </w:p>
    <w:p>
      <w:pPr>
        <w:pStyle w:val="1031"/>
      </w:pPr>
      <w:r>
        <w:rPr>
          <w:rFonts w:hint="eastAsia"/>
        </w:rPr>
        <w:t xml:space="preserve">（4）供应商具有ISO22301业务连续性管理体系认证。</w:t>
      </w:r>
      <w:r/>
    </w:p>
    <w:p>
      <w:pPr>
        <w:pStyle w:val="891"/>
        <w:ind w:firstLine="643"/>
        <w:keepLines/>
        <w:keepNext/>
        <w:spacing w:line="360" w:lineRule="auto"/>
        <w:rPr>
          <w:rFonts w:ascii="仿宋" w:hAnsi="仿宋" w:eastAsia="仿宋" w:cs="仿宋"/>
          <w:b/>
          <w:sz w:val="32"/>
          <w:szCs w:val="32"/>
        </w:rPr>
        <w:outlineLvl w:val="1"/>
      </w:pPr>
      <w:r>
        <w:rPr>
          <w:rFonts w:hint="eastAsia" w:ascii="仿宋" w:hAnsi="仿宋" w:eastAsia="仿宋" w:cs="仿宋"/>
          <w:b/>
          <w:sz w:val="32"/>
          <w:szCs w:val="32"/>
        </w:rPr>
        <w:t xml:space="preserve">1</w:t>
      </w:r>
      <w:r>
        <w:rPr>
          <w:rFonts w:ascii="仿宋" w:hAnsi="仿宋" w:eastAsia="仿宋" w:cs="仿宋"/>
          <w:b/>
          <w:sz w:val="32"/>
          <w:szCs w:val="32"/>
        </w:rPr>
        <w:t xml:space="preserve">2</w:t>
      </w:r>
      <w:r>
        <w:rPr>
          <w:rFonts w:hint="eastAsia" w:ascii="仿宋" w:hAnsi="仿宋" w:eastAsia="仿宋" w:cs="仿宋"/>
          <w:b/>
          <w:sz w:val="32"/>
          <w:szCs w:val="32"/>
        </w:rPr>
        <w:t xml:space="preserve">.3软件著作权要求</w:t>
      </w:r>
      <w:r>
        <w:rPr>
          <w:rFonts w:ascii="仿宋" w:hAnsi="仿宋" w:eastAsia="仿宋" w:cs="仿宋"/>
          <w:b/>
          <w:sz w:val="32"/>
          <w:szCs w:val="32"/>
        </w:rPr>
      </w:r>
      <w:r/>
    </w:p>
    <w:p>
      <w:pPr>
        <w:pStyle w:val="1031"/>
      </w:pPr>
      <w:r>
        <w:rPr>
          <w:rFonts w:hint="eastAsia"/>
        </w:rPr>
        <w:t xml:space="preserve">（1）供应商具有国家版权局颁发的“资产管理”、“资产监管”、“可视化监测或分析”、“数据采集”相关的软件著作权登记证书。</w:t>
      </w:r>
      <w:r/>
    </w:p>
    <w:p>
      <w:pPr>
        <w:pStyle w:val="891"/>
        <w:ind w:firstLine="643"/>
        <w:keepLines/>
        <w:keepNext/>
        <w:spacing w:line="360" w:lineRule="auto"/>
        <w:rPr>
          <w:rFonts w:ascii="仿宋" w:hAnsi="仿宋" w:eastAsia="仿宋" w:cs="仿宋"/>
          <w:b/>
          <w:sz w:val="32"/>
          <w:szCs w:val="32"/>
        </w:rPr>
        <w:outlineLvl w:val="1"/>
      </w:pPr>
      <w:r>
        <w:rPr>
          <w:rFonts w:hint="eastAsia" w:ascii="仿宋" w:hAnsi="仿宋" w:eastAsia="仿宋" w:cs="仿宋"/>
          <w:b/>
          <w:sz w:val="32"/>
          <w:szCs w:val="32"/>
        </w:rPr>
        <w:t xml:space="preserve">1</w:t>
      </w:r>
      <w:r>
        <w:rPr>
          <w:rFonts w:ascii="仿宋" w:hAnsi="仿宋" w:eastAsia="仿宋" w:cs="仿宋"/>
          <w:b/>
          <w:sz w:val="32"/>
          <w:szCs w:val="32"/>
        </w:rPr>
        <w:t xml:space="preserve">2</w:t>
      </w:r>
      <w:r>
        <w:rPr>
          <w:rFonts w:hint="eastAsia" w:ascii="仿宋" w:hAnsi="仿宋" w:eastAsia="仿宋" w:cs="仿宋"/>
          <w:b/>
          <w:sz w:val="32"/>
          <w:szCs w:val="32"/>
        </w:rPr>
        <w:t xml:space="preserve">.4类似业绩要求</w:t>
      </w:r>
      <w:r>
        <w:rPr>
          <w:rFonts w:ascii="仿宋" w:hAnsi="仿宋" w:eastAsia="仿宋" w:cs="仿宋"/>
          <w:b/>
          <w:sz w:val="32"/>
          <w:szCs w:val="32"/>
        </w:rPr>
      </w:r>
      <w:r/>
    </w:p>
    <w:p>
      <w:pPr>
        <w:pStyle w:val="1031"/>
      </w:pPr>
      <w:r>
        <w:rPr>
          <w:rFonts w:hint="eastAsia"/>
        </w:rPr>
        <w:t xml:space="preserve">供应商具有</w:t>
      </w:r>
      <w:r>
        <w:t xml:space="preserve">2020</w:t>
      </w:r>
      <w:r>
        <w:rPr>
          <w:rFonts w:hint="eastAsia"/>
        </w:rPr>
        <w:t xml:space="preserve">年以来，资产管理系统或资产监管系统建设业绩（建设内容包含国有资产管理、资产清查、资产盘活利用、资产监管等）或类似建设业绩。</w:t>
      </w:r>
      <w:r/>
    </w:p>
    <w:p>
      <w:pPr>
        <w:pStyle w:val="1031"/>
      </w:pPr>
      <w:r>
        <w:rPr>
          <w:rFonts w:hint="eastAsia"/>
        </w:rPr>
        <w:t xml:space="preserve">供应商具有</w:t>
      </w:r>
      <w:r>
        <w:t xml:space="preserve">2020</w:t>
      </w:r>
      <w:r>
        <w:rPr>
          <w:rFonts w:hint="eastAsia"/>
        </w:rPr>
        <w:t xml:space="preserve">年以来，监测分析类系统建设业绩。</w:t>
      </w:r>
      <w:r/>
    </w:p>
    <w:p>
      <w:pPr>
        <w:pStyle w:val="1031"/>
      </w:pPr>
      <w:r>
        <w:rPr>
          <w:rFonts w:hint="eastAsia"/>
        </w:rPr>
        <w:t xml:space="preserve">须提供合同复印件加盖供应商公章，同一单位的合同作为</w:t>
      </w:r>
      <w:r>
        <w:t xml:space="preserve">1个</w:t>
      </w:r>
      <w:r>
        <w:rPr>
          <w:rFonts w:hint="eastAsia"/>
        </w:rPr>
        <w:t xml:space="preserve">业绩案例。</w:t>
      </w:r>
      <w:r/>
    </w:p>
    <w:p>
      <w:pPr>
        <w:pStyle w:val="891"/>
        <w:ind w:firstLine="643"/>
        <w:keepLines/>
        <w:keepNext/>
        <w:spacing w:line="360" w:lineRule="auto"/>
        <w:rPr>
          <w:rFonts w:ascii="仿宋" w:hAnsi="仿宋" w:eastAsia="仿宋" w:cs="仿宋"/>
          <w:b/>
          <w:sz w:val="32"/>
          <w:szCs w:val="32"/>
        </w:rPr>
        <w:outlineLvl w:val="1"/>
      </w:pPr>
      <w:r>
        <w:rPr>
          <w:rFonts w:ascii="仿宋" w:hAnsi="仿宋" w:eastAsia="仿宋" w:cs="仿宋"/>
          <w:b/>
          <w:sz w:val="32"/>
          <w:szCs w:val="32"/>
        </w:rPr>
        <w:t xml:space="preserve">12.5项目团队人员资质要求</w:t>
      </w:r>
      <w:r/>
    </w:p>
    <w:p>
      <w:pPr>
        <w:pStyle w:val="1031"/>
      </w:pPr>
      <w:r>
        <w:rPr>
          <w:rFonts w:hint="eastAsia"/>
        </w:rPr>
        <w:t xml:space="preserve">（1）项目经理（1人）资质要求：</w:t>
      </w:r>
      <w:r/>
    </w:p>
    <w:p>
      <w:pPr>
        <w:pStyle w:val="1031"/>
      </w:pPr>
      <w:r>
        <w:rPr>
          <w:rFonts w:hint="eastAsia"/>
        </w:rPr>
        <w:t xml:space="preserve">项目经理需具有人力资源和社会保障部和工业和信息化部联合颁发的信息系统项目管理师（高级）证书。</w:t>
      </w:r>
      <w:r/>
    </w:p>
    <w:p>
      <w:pPr>
        <w:pStyle w:val="1031"/>
      </w:pPr>
      <w:r>
        <w:rPr>
          <w:rFonts w:hint="eastAsia"/>
        </w:rPr>
        <w:t xml:space="preserve">（2）项目技术负责人（1人）资质要求：</w:t>
      </w:r>
      <w:r/>
    </w:p>
    <w:p>
      <w:pPr>
        <w:pStyle w:val="1031"/>
      </w:pPr>
      <w:r>
        <w:rPr>
          <w:rFonts w:hint="eastAsia"/>
        </w:rPr>
        <w:t xml:space="preserve">项目技术负责人需具有工业和信息化部颁发的大数据分析师（高级）证书。</w:t>
      </w:r>
      <w:r/>
    </w:p>
    <w:p>
      <w:pPr>
        <w:pStyle w:val="1031"/>
      </w:pPr>
      <w:r>
        <w:rPr>
          <w:rFonts w:hint="eastAsia"/>
        </w:rPr>
        <w:t xml:space="preserve">（3）团队人员资质要求：</w:t>
      </w:r>
      <w:r/>
    </w:p>
    <w:p>
      <w:pPr>
        <w:pStyle w:val="1031"/>
      </w:pPr>
      <w:r>
        <w:rPr>
          <w:rFonts w:hint="eastAsia"/>
        </w:rPr>
        <w:t xml:space="preserve">项目团队成员应具有中国电子技术标准化研究院颁发的ITSS服务工程师证书；</w:t>
      </w:r>
      <w:r/>
    </w:p>
    <w:p>
      <w:pPr>
        <w:pStyle w:val="1031"/>
      </w:pPr>
      <w:r>
        <w:rPr>
          <w:rFonts w:hint="eastAsia"/>
        </w:rPr>
        <w:t xml:space="preserve">项目团队成员至少一人具有国家信息安全测评中心颁发的国家信息安全水平证书 (一级及以上)（NISP）或中国信息安全测评中心颁发的注册信息安全专业人员CISP证书；</w:t>
      </w:r>
      <w:r/>
    </w:p>
    <w:p>
      <w:pPr>
        <w:pStyle w:val="1031"/>
      </w:pPr>
      <w:r>
        <w:rPr>
          <w:rFonts w:hint="eastAsia"/>
        </w:rPr>
        <w:t xml:space="preserve">项目团队成员至少一人具有国家人力资源和社会保障部、工业和信息化部联合颁发的计算机技术与软件专业技术资格考试中级及以上资格的任意一种证书。</w:t>
      </w:r>
      <w:r/>
    </w:p>
    <w:p>
      <w:pPr>
        <w:pStyle w:val="1031"/>
      </w:pPr>
      <w:r>
        <w:rPr>
          <w:rFonts w:hint="eastAsia"/>
        </w:rPr>
        <w:t xml:space="preserve">供应商需提供团队成员在投标前</w:t>
      </w:r>
      <w:r>
        <w:t xml:space="preserve">3</w:t>
      </w:r>
      <w:r>
        <w:rPr>
          <w:rFonts w:hint="eastAsia"/>
        </w:rPr>
        <w:t xml:space="preserve">个月内其中任意一个月的供应商缴纳社保的证明。</w:t>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十三、投标现场演示要求</w:t>
      </w:r>
      <w:r>
        <w:rPr>
          <w:rFonts w:ascii="仿宋" w:hAnsi="仿宋" w:eastAsia="仿宋" w:cs="仿宋"/>
          <w:b/>
          <w:sz w:val="32"/>
          <w:szCs w:val="32"/>
        </w:rPr>
      </w:r>
      <w:r/>
    </w:p>
    <w:p>
      <w:pPr>
        <w:pStyle w:val="891"/>
        <w:ind w:firstLine="420"/>
        <w:spacing w:line="0" w:lineRule="atLeast"/>
        <w:rPr>
          <w:rFonts w:hint="eastAsia" w:ascii="宋体" w:hAnsi="宋体"/>
          <w:sz w:val="24"/>
        </w:rPr>
      </w:pPr>
      <w:r>
        <w:rPr>
          <w:rFonts w:hint="eastAsia"/>
        </w:rPr>
        <w:t xml:space="preserve">1、</w:t>
      </w:r>
      <w:r>
        <w:rPr>
          <w:rFonts w:hint="eastAsia"/>
        </w:rPr>
        <w:t xml:space="preserve">投标人演示人员和设备需在评标前到达江苏省公共资源交易中心二期四楼等候区。按照苏采云系统安排的顺序进行现场演示，演示需按照招标文件的规定和评标委员会的要求进行，时间不超过</w:t>
      </w:r>
      <w:r>
        <w:t xml:space="preserve">15</w:t>
      </w:r>
      <w:r>
        <w:rPr>
          <w:rFonts w:hint="eastAsia"/>
        </w:rPr>
        <w:t xml:space="preserve">分钟。</w:t>
      </w:r>
      <w:r>
        <w:rPr>
          <w:rFonts w:hint="eastAsia" w:ascii="宋体" w:hAnsi="宋体"/>
          <w:sz w:val="24"/>
        </w:rPr>
        <w:t xml:space="preserve">采购中心提供投影机及幕布，其他所需设备由投标人自备。</w:t>
      </w:r>
      <w:r/>
    </w:p>
    <w:p>
      <w:pPr>
        <w:pStyle w:val="1031"/>
      </w:pPr>
      <w:r>
        <w:rPr>
          <w:rFonts w:hint="eastAsia"/>
        </w:rPr>
        <w:t xml:space="preserve">演示内容如下：</w:t>
      </w:r>
      <w:r/>
    </w:p>
    <w:p>
      <w:pPr>
        <w:pStyle w:val="1031"/>
      </w:pPr>
      <w:r>
        <w:rPr>
          <w:rFonts w:hint="eastAsia"/>
        </w:rPr>
        <w:t xml:space="preserve">（1）国有企业资产清查功能演示。</w:t>
      </w:r>
      <w:r/>
    </w:p>
    <w:p>
      <w:pPr>
        <w:pStyle w:val="1031"/>
      </w:pPr>
      <w:r>
        <w:rPr>
          <w:rFonts w:hint="eastAsia"/>
        </w:rPr>
        <w:t xml:space="preserve">演示功能：</w:t>
      </w:r>
      <w:r>
        <w:fldChar w:fldCharType="begin"/>
      </w:r>
      <w:r>
        <w:instrText xml:space="preserve"> = 1 \* GB3 </w:instrText>
      </w:r>
      <w:r>
        <w:fldChar w:fldCharType="separate"/>
      </w:r>
      <w:r>
        <w:rPr>
          <w:rFonts w:hint="eastAsia"/>
        </w:rPr>
        <w:t xml:space="preserve">①</w:t>
      </w:r>
      <w:r>
        <w:fldChar w:fldCharType="end"/>
      </w:r>
      <w:r>
        <w:rPr>
          <w:rFonts w:hint="eastAsia"/>
        </w:rPr>
        <w:t xml:space="preserve">清查套表填报（供应商可根据对需求的理解，设计至少两张表进行填报演示，演示不少于两个校验功能，演示不少于一处公式配置及计算功能）、</w:t>
      </w:r>
      <w:r>
        <w:fldChar w:fldCharType="begin"/>
      </w:r>
      <w:r>
        <w:instrText xml:space="preserve"> = 2 \* GB3 </w:instrText>
      </w:r>
      <w:r>
        <w:fldChar w:fldCharType="separate"/>
      </w:r>
      <w:r>
        <w:rPr>
          <w:rFonts w:hint="eastAsia"/>
        </w:rPr>
        <w:t xml:space="preserve">②</w:t>
      </w:r>
      <w:r>
        <w:fldChar w:fldCharType="end"/>
      </w:r>
      <w:r>
        <w:rPr>
          <w:rFonts w:hint="eastAsia"/>
        </w:rPr>
        <w:t xml:space="preserve">审核（至少一个审核环节）、</w:t>
      </w:r>
      <w:r>
        <w:fldChar w:fldCharType="begin"/>
      </w:r>
      <w:r>
        <w:instrText xml:space="preserve"> = 3 \* GB3 </w:instrText>
      </w:r>
      <w:r>
        <w:fldChar w:fldCharType="separate"/>
      </w:r>
      <w:r>
        <w:rPr>
          <w:rFonts w:hint="eastAsia"/>
        </w:rPr>
        <w:t xml:space="preserve">③</w:t>
      </w:r>
      <w:r>
        <w:fldChar w:fldCharType="end"/>
      </w:r>
      <w:r>
        <w:rPr>
          <w:rFonts w:hint="eastAsia"/>
        </w:rPr>
        <w:t xml:space="preserve">汇总功能。</w:t>
      </w:r>
      <w:r/>
    </w:p>
    <w:p>
      <w:pPr>
        <w:pStyle w:val="1031"/>
      </w:pPr>
      <w:r>
        <w:rPr>
          <w:rFonts w:hint="eastAsia"/>
        </w:rPr>
        <w:t xml:space="preserve">（</w:t>
      </w:r>
      <w:r>
        <w:t xml:space="preserve">2）</w:t>
      </w:r>
      <w:r>
        <w:rPr>
          <w:rFonts w:hint="eastAsia"/>
        </w:rPr>
        <w:t xml:space="preserve">监督预警模型管理功能演示。</w:t>
      </w:r>
      <w:r/>
    </w:p>
    <w:p>
      <w:pPr>
        <w:pStyle w:val="1031"/>
      </w:pPr>
      <w:r>
        <w:rPr>
          <w:rFonts w:hint="eastAsia"/>
        </w:rPr>
        <w:t xml:space="preserve">演示功能：</w:t>
      </w:r>
      <w:r>
        <w:fldChar w:fldCharType="begin"/>
      </w:r>
      <w:r>
        <w:instrText xml:space="preserve"> = 1 \* GB3 </w:instrText>
      </w:r>
      <w:r>
        <w:fldChar w:fldCharType="separate"/>
      </w:r>
      <w:r>
        <w:rPr>
          <w:rFonts w:hint="eastAsia"/>
        </w:rPr>
        <w:t xml:space="preserve">①</w:t>
      </w:r>
      <w:r>
        <w:fldChar w:fldCharType="end"/>
      </w:r>
      <w:r>
        <w:rPr>
          <w:rFonts w:hint="eastAsia"/>
        </w:rPr>
        <w:t xml:space="preserve">模型设置、</w:t>
      </w:r>
      <w:r>
        <w:fldChar w:fldCharType="begin"/>
      </w:r>
      <w:r>
        <w:instrText xml:space="preserve"> = 2 \* GB3 </w:instrText>
      </w:r>
      <w:r>
        <w:fldChar w:fldCharType="separate"/>
      </w:r>
      <w:r>
        <w:rPr>
          <w:rFonts w:hint="eastAsia"/>
        </w:rPr>
        <w:t xml:space="preserve">②</w:t>
      </w:r>
      <w:r>
        <w:fldChar w:fldCharType="end"/>
      </w:r>
      <w:r>
        <w:rPr>
          <w:rFonts w:hint="eastAsia"/>
        </w:rPr>
        <w:t xml:space="preserve">模型启用（需验证是否生效）、</w:t>
      </w:r>
      <w:r>
        <w:fldChar w:fldCharType="begin"/>
      </w:r>
      <w:r>
        <w:instrText xml:space="preserve"> = 3 \* GB3 </w:instrText>
      </w:r>
      <w:r>
        <w:fldChar w:fldCharType="separate"/>
      </w:r>
      <w:r>
        <w:rPr>
          <w:rFonts w:hint="eastAsia"/>
        </w:rPr>
        <w:t xml:space="preserve">③</w:t>
      </w:r>
      <w:r>
        <w:fldChar w:fldCharType="end"/>
      </w:r>
      <w:r>
        <w:rPr>
          <w:rFonts w:hint="eastAsia"/>
        </w:rPr>
        <w:t xml:space="preserve">模型停止。</w:t>
      </w:r>
      <w:r/>
    </w:p>
    <w:p>
      <w:pPr>
        <w:pStyle w:val="1031"/>
      </w:pPr>
      <w:r>
        <w:rPr>
          <w:rFonts w:hint="eastAsia"/>
        </w:rPr>
        <w:t xml:space="preserve">（</w:t>
      </w:r>
      <w:r>
        <w:t xml:space="preserve">3）</w:t>
      </w:r>
      <w:r>
        <w:rPr>
          <w:rFonts w:hint="eastAsia"/>
        </w:rPr>
        <w:t xml:space="preserve">智能预警管理功能演示。</w:t>
      </w:r>
      <w:r/>
    </w:p>
    <w:p>
      <w:pPr>
        <w:pStyle w:val="1031"/>
      </w:pPr>
      <w:r>
        <w:rPr>
          <w:rFonts w:hint="eastAsia"/>
        </w:rPr>
        <w:t xml:space="preserve">演示功能：</w:t>
      </w:r>
      <w:r>
        <w:fldChar w:fldCharType="begin"/>
      </w:r>
      <w:r>
        <w:instrText xml:space="preserve"> = 1 \* GB3 </w:instrText>
      </w:r>
      <w:r>
        <w:fldChar w:fldCharType="separate"/>
      </w:r>
      <w:r>
        <w:rPr>
          <w:rFonts w:hint="eastAsia"/>
        </w:rPr>
        <w:t xml:space="preserve">①</w:t>
      </w:r>
      <w:r>
        <w:fldChar w:fldCharType="end"/>
      </w:r>
      <w:r>
        <w:rPr>
          <w:rFonts w:hint="eastAsia"/>
        </w:rPr>
        <w:t xml:space="preserve">预警信息生成、</w:t>
      </w:r>
      <w:r>
        <w:fldChar w:fldCharType="begin"/>
      </w:r>
      <w:r>
        <w:instrText xml:space="preserve"> = 2 \* GB3 </w:instrText>
      </w:r>
      <w:r>
        <w:fldChar w:fldCharType="separate"/>
      </w:r>
      <w:r>
        <w:rPr>
          <w:rFonts w:hint="eastAsia"/>
        </w:rPr>
        <w:t xml:space="preserve">②</w:t>
      </w:r>
      <w:r>
        <w:fldChar w:fldCharType="end"/>
      </w:r>
      <w:r>
        <w:rPr>
          <w:rFonts w:hint="eastAsia"/>
        </w:rPr>
        <w:t xml:space="preserve">预警信息提醒、</w:t>
      </w:r>
      <w:r>
        <w:fldChar w:fldCharType="begin"/>
      </w:r>
      <w:r>
        <w:instrText xml:space="preserve"> = 3 \* GB3 </w:instrText>
      </w:r>
      <w:r>
        <w:fldChar w:fldCharType="separate"/>
      </w:r>
      <w:r>
        <w:rPr>
          <w:rFonts w:hint="eastAsia"/>
        </w:rPr>
        <w:t xml:space="preserve">③</w:t>
      </w:r>
      <w:r>
        <w:fldChar w:fldCharType="end"/>
      </w:r>
      <w:r>
        <w:rPr>
          <w:rFonts w:hint="eastAsia"/>
        </w:rPr>
        <w:t xml:space="preserve">预警信息详情查看。</w:t>
      </w:r>
      <w:r/>
    </w:p>
    <w:p>
      <w:pPr>
        <w:pStyle w:val="1031"/>
      </w:pPr>
      <w:r>
        <w:rPr>
          <w:rFonts w:hint="eastAsia"/>
        </w:rPr>
        <w:t xml:space="preserve">（</w:t>
      </w:r>
      <w:r>
        <w:t xml:space="preserve">4）</w:t>
      </w:r>
      <w:r>
        <w:rPr>
          <w:rFonts w:hint="eastAsia"/>
        </w:rPr>
        <w:t xml:space="preserve">资产驾驶舱功能演示。</w:t>
      </w:r>
      <w:r/>
    </w:p>
    <w:p>
      <w:pPr>
        <w:pStyle w:val="1031"/>
        <w:rPr>
          <w:rFonts w:hint="eastAsia"/>
        </w:rPr>
      </w:pPr>
      <w:r>
        <w:rPr>
          <w:rFonts w:hint="eastAsia"/>
        </w:rPr>
        <w:t xml:space="preserve">演示功能：</w:t>
      </w:r>
      <w:r>
        <w:fldChar w:fldCharType="begin"/>
      </w:r>
      <w:r>
        <w:instrText xml:space="preserve"> = 1 \* GB3 </w:instrText>
      </w:r>
      <w:r>
        <w:fldChar w:fldCharType="separate"/>
      </w:r>
      <w:r>
        <w:rPr>
          <w:rFonts w:hint="eastAsia"/>
        </w:rPr>
        <w:t xml:space="preserve">①</w:t>
      </w:r>
      <w:r>
        <w:fldChar w:fldCharType="end"/>
      </w:r>
      <w:r>
        <w:rPr>
          <w:rFonts w:hint="eastAsia"/>
        </w:rPr>
        <w:t xml:space="preserve">行政事业性国有资产概况、资产清查总览、盘活利用总览、监督预警总览、业务专题功能；</w:t>
      </w:r>
      <w:r>
        <w:fldChar w:fldCharType="begin"/>
      </w:r>
      <w:r>
        <w:instrText xml:space="preserve"> = 2 \* GB3 </w:instrText>
      </w:r>
      <w:r>
        <w:fldChar w:fldCharType="separate"/>
      </w:r>
      <w:r>
        <w:rPr>
          <w:rFonts w:hint="eastAsia"/>
        </w:rPr>
        <w:t xml:space="preserve">②</w:t>
      </w:r>
      <w:r>
        <w:fldChar w:fldCharType="end"/>
      </w:r>
      <w:r>
        <w:rPr>
          <w:rFonts w:hint="eastAsia"/>
        </w:rPr>
        <w:t xml:space="preserve">国资国有企业资产概况、资产清查总览、盘活利用总览、监督预警总览、业务专题功能。（可用模拟数据完成驾驶舱交互功能演示）</w:t>
      </w:r>
      <w:r/>
    </w:p>
    <w:p>
      <w:pPr>
        <w:pStyle w:val="891"/>
        <w:ind w:firstLine="480"/>
        <w:spacing w:line="0" w:lineRule="atLeast"/>
        <w:rPr>
          <w:rFonts w:hint="eastAsia" w:ascii="宋体" w:hAnsi="宋体"/>
          <w:sz w:val="24"/>
        </w:rPr>
      </w:pPr>
      <w:r>
        <w:rPr>
          <w:rFonts w:hint="eastAsia" w:ascii="宋体" w:hAnsi="宋体"/>
          <w:sz w:val="24"/>
        </w:rPr>
      </w:r>
      <w:r/>
    </w:p>
    <w:p>
      <w:pPr>
        <w:pStyle w:val="891"/>
        <w:ind w:firstLine="480"/>
        <w:spacing w:line="0" w:lineRule="atLeast"/>
        <w:rPr>
          <w:rFonts w:hint="eastAsia" w:ascii="宋体" w:hAnsi="宋体"/>
          <w:sz w:val="24"/>
        </w:rPr>
      </w:pPr>
      <w:r>
        <w:rPr>
          <w:rFonts w:hint="eastAsia" w:ascii="宋体" w:hAnsi="宋体"/>
          <w:sz w:val="24"/>
        </w:rPr>
        <w:t xml:space="preserve">2、投标人需在“法人授权书”中注明进行现场演示的人员姓名及身份证号，不接受非注明的人员进入评审现场进行演示。投标人进入评审现场的人员应出示有效身份证件。</w:t>
      </w:r>
      <w:r/>
    </w:p>
    <w:p>
      <w:pPr>
        <w:pStyle w:val="891"/>
        <w:ind w:firstLine="643"/>
        <w:keepLines/>
        <w:keepNext/>
        <w:spacing w:line="360" w:lineRule="auto"/>
        <w:rPr>
          <w:rFonts w:ascii="仿宋" w:hAnsi="仿宋" w:eastAsia="仿宋" w:cs="仿宋"/>
          <w:b/>
          <w:sz w:val="32"/>
          <w:szCs w:val="32"/>
        </w:rPr>
        <w:outlineLvl w:val="0"/>
      </w:pPr>
      <w:r>
        <w:rPr>
          <w:rFonts w:hint="eastAsia" w:ascii="仿宋" w:hAnsi="仿宋" w:eastAsia="仿宋" w:cs="仿宋"/>
          <w:b/>
          <w:sz w:val="32"/>
          <w:szCs w:val="32"/>
        </w:rPr>
        <w:t xml:space="preserve">十四</w:t>
      </w:r>
      <w:r>
        <w:rPr>
          <w:rFonts w:ascii="仿宋" w:hAnsi="仿宋" w:eastAsia="仿宋" w:cs="仿宋"/>
          <w:b/>
          <w:sz w:val="32"/>
          <w:szCs w:val="32"/>
        </w:rPr>
        <w:t xml:space="preserve">、</w:t>
      </w:r>
      <w:r>
        <w:rPr>
          <w:rFonts w:hint="eastAsia" w:ascii="仿宋" w:hAnsi="仿宋" w:eastAsia="仿宋" w:cs="仿宋"/>
          <w:b/>
          <w:sz w:val="32"/>
          <w:szCs w:val="32"/>
        </w:rPr>
        <w:t xml:space="preserve">采购</w:t>
      </w:r>
      <w:r>
        <w:rPr>
          <w:rFonts w:ascii="仿宋" w:hAnsi="仿宋" w:eastAsia="仿宋" w:cs="仿宋"/>
          <w:b/>
          <w:sz w:val="32"/>
          <w:szCs w:val="32"/>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89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91"/>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91"/>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891"/>
              <w:jc w:val="center"/>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r>
            <w:r/>
          </w:p>
        </w:tc>
        <w:tc>
          <w:tcPr>
            <w:tcW w:w="545" w:type="dxa"/>
            <w:vAlign w:val="top"/>
            <w:textDirection w:val="lrTb"/>
            <w:noWrap w:val="false"/>
          </w:tcPr>
          <w:p>
            <w:pPr>
              <w:pStyle w:val="89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91"/>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江苏省预算管理一体化平台国有资产智慧监管系统建设</w:t>
            </w:r>
            <w:r>
              <w:rPr>
                <w:rFonts w:ascii="宋体" w:hAnsi="宋体"/>
                <w:sz w:val="24"/>
                <w:szCs w:val="24"/>
              </w:rPr>
            </w:r>
            <w:r/>
          </w:p>
        </w:tc>
        <w:tc>
          <w:tcPr>
            <w:tcW w:w="2852" w:type="dxa"/>
            <w:vAlign w:val="top"/>
            <w:textDirection w:val="lrTb"/>
            <w:noWrap w:val="false"/>
          </w:tcPr>
          <w:p>
            <w:pPr>
              <w:pStyle w:val="891"/>
              <w:jc w:val="center"/>
              <w:spacing w:line="0" w:lineRule="atLeast"/>
              <w:rPr>
                <w:rFonts w:ascii="宋体" w:hAnsi="宋体"/>
                <w:sz w:val="24"/>
                <w:szCs w:val="24"/>
              </w:rPr>
            </w:pPr>
            <w:r>
              <w:rPr>
                <w:rFonts w:hint="eastAsia"/>
                <w:sz w:val="24"/>
                <w:szCs w:val="24"/>
              </w:rPr>
              <w:t xml:space="preserve">软件和信息技术服务业</w:t>
            </w:r>
            <w:r>
              <w:rPr>
                <w:rFonts w:ascii="宋体" w:hAnsi="宋体"/>
                <w:sz w:val="24"/>
                <w:szCs w:val="24"/>
              </w:rPr>
            </w:r>
            <w:r/>
          </w:p>
        </w:tc>
      </w:tr>
    </w:tbl>
    <w:p>
      <w:pPr>
        <w:pStyle w:val="891"/>
        <w:spacing w:line="0" w:lineRule="atLeast"/>
        <w:rPr>
          <w:rFonts w:ascii="宋体" w:hAnsi="宋体"/>
          <w:b/>
          <w:sz w:val="24"/>
          <w:szCs w:val="24"/>
        </w:rPr>
      </w:pPr>
      <w:r>
        <w:rPr>
          <w:rFonts w:ascii="宋体" w:hAnsi="宋体"/>
          <w:b/>
          <w:sz w:val="24"/>
          <w:szCs w:val="24"/>
        </w:rPr>
      </w:r>
      <w:r/>
    </w:p>
    <w:p>
      <w:pPr>
        <w:pStyle w:val="1031"/>
        <w:rPr>
          <w:rFonts w:hint="eastAsia"/>
        </w:rPr>
      </w:pPr>
      <w:r>
        <w:rPr>
          <w:rFonts w:hint="eastAsia"/>
        </w:rPr>
        <w:t xml:space="preserve">项目属性：服务类项目。</w:t>
      </w:r>
      <w:r/>
    </w:p>
    <w:p>
      <w:pPr>
        <w:pStyle w:val="1031"/>
        <w:rPr>
          <w:rFonts w:hint="eastAsia"/>
        </w:rPr>
      </w:pPr>
      <w:r>
        <w:rPr>
          <w:rFonts w:hint="eastAsia"/>
        </w:rPr>
        <w:t xml:space="preserve">本项目不接受进口产品参与投标。</w:t>
      </w:r>
      <w:r>
        <w:rPr>
          <w:rFonts w:hint="eastAsia"/>
        </w:rPr>
      </w:r>
      <w:r/>
    </w:p>
    <w:p>
      <w:pPr>
        <w:pStyle w:val="891"/>
      </w:pPr>
      <w:r/>
      <w:bookmarkStart w:id="212" w:name="_Toc120614281"/>
      <w:r/>
      <w:r/>
    </w:p>
    <w:p>
      <w:pPr>
        <w:pStyle w:val="891"/>
        <w:rPr>
          <w:rFonts w:hint="eastAsia"/>
        </w:rPr>
      </w:pPr>
      <w:r>
        <w:rPr>
          <w:rFonts w:hint="eastAsia"/>
        </w:rPr>
      </w:r>
      <w:r/>
    </w:p>
    <w:p>
      <w:pPr>
        <w:pStyle w:val="89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1"/>
        <w:rPr>
          <w:rFonts w:hint="eastAsia"/>
        </w:rPr>
      </w:pPr>
      <w:r>
        <w:rPr>
          <w:rFonts w:hint="eastAsia"/>
        </w:rPr>
      </w:r>
      <w:r/>
    </w:p>
    <w:p>
      <w:pPr>
        <w:pStyle w:val="978"/>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8"/>
        <w:ind w:firstLine="441"/>
        <w:spacing w:line="0" w:lineRule="atLeast"/>
        <w:rPr>
          <w:rFonts w:hint="eastAsia" w:ascii="宋体" w:hAnsi="宋体"/>
          <w:b/>
        </w:rPr>
      </w:pPr>
      <w:r>
        <w:rPr>
          <w:rFonts w:hint="eastAsia" w:ascii="宋体" w:hAnsi="宋体"/>
          <w:b/>
        </w:rPr>
        <w:t xml:space="preserve">政府采购政策功能落实</w:t>
      </w:r>
      <w:r>
        <w:rPr>
          <w:rFonts w:hint="eastAsia" w:ascii="宋体" w:hAnsi="宋体"/>
        </w:rPr>
        <w:t xml:space="preserve">（备注：如果该项目专门面向中小微型企业采购，则供应商不再享受任何价格扣除。招标文件定稿后该备注删除。）</w:t>
      </w:r>
      <w:r>
        <w:rPr>
          <w:rFonts w:hint="eastAsia" w:ascii="宋体" w:hAnsi="宋体"/>
          <w:b/>
        </w:rPr>
      </w:r>
      <w:r/>
    </w:p>
    <w:p>
      <w:pPr>
        <w:pStyle w:val="978"/>
        <w:spacing w:line="0" w:lineRule="atLeast"/>
        <w:rPr>
          <w:rFonts w:hint="eastAsia" w:ascii="宋体" w:hAnsi="宋体"/>
        </w:rPr>
      </w:pPr>
      <w:r>
        <w:rPr>
          <w:rFonts w:hint="eastAsia" w:ascii="宋体" w:hAnsi="宋体"/>
        </w:rPr>
        <w:t xml:space="preserve">1、小微型企业价格扣除</w:t>
      </w:r>
      <w:r/>
    </w:p>
    <w:p>
      <w:pPr>
        <w:pStyle w:val="97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78"/>
        <w:ind w:firstLine="360"/>
        <w:spacing w:line="0" w:lineRule="atLeast"/>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w:t>
      </w:r>
      <w:r>
        <w:rPr>
          <w:rFonts w:hint="eastAsia" w:ascii="宋体" w:hAnsi="宋体"/>
        </w:rPr>
        <w:t xml:space="preserve">小微企业声明函》。</w:t>
      </w:r>
      <w:r/>
    </w:p>
    <w:p>
      <w:pPr>
        <w:pStyle w:val="978"/>
        <w:spacing w:line="0" w:lineRule="atLeast"/>
        <w:rPr>
          <w:rFonts w:hint="eastAsia" w:ascii="宋体" w:hAnsi="宋体"/>
        </w:rPr>
      </w:pPr>
      <w:r>
        <w:rPr>
          <w:rFonts w:hint="eastAsia" w:ascii="宋体" w:hAnsi="宋体"/>
        </w:rPr>
        <w:t xml:space="preserve">2、残疾人福利单位价格扣除</w:t>
      </w:r>
      <w:r/>
    </w:p>
    <w:p>
      <w:pPr>
        <w:pStyle w:val="97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8"/>
        <w:spacing w:line="0" w:lineRule="atLeast"/>
        <w:rPr>
          <w:rFonts w:hint="eastAsia" w:ascii="宋体" w:hAnsi="宋体"/>
        </w:rPr>
      </w:pPr>
      <w:r>
        <w:rPr>
          <w:rFonts w:hint="eastAsia" w:ascii="宋体" w:hAnsi="宋体"/>
        </w:rPr>
        <w:t xml:space="preserve">3、监狱和戒毒企业价格扣除</w:t>
      </w:r>
      <w:r/>
    </w:p>
    <w:p>
      <w:pPr>
        <w:pStyle w:val="97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8"/>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rPr>
        <w:t xml:space="preserve">分包</w:t>
      </w:r>
      <w:r>
        <w:rPr>
          <w:rFonts w:hint="eastAsia" w:ascii="宋体" w:hAnsi="宋体"/>
        </w:rPr>
        <w:t xml:space="preserve">履行合同的,大中型企业与小微型企业（残疾人福利单位、监狱企业）组成联合体或者大中型企业向一家或多家小微型企业</w:t>
      </w:r>
      <w:r>
        <w:rPr>
          <w:rFonts w:hint="eastAsia" w:ascii="宋体" w:hAnsi="宋体"/>
        </w:rPr>
        <w:t xml:space="preserve">分包</w:t>
      </w:r>
      <w:r>
        <w:rPr>
          <w:rFonts w:hint="eastAsia" w:ascii="宋体" w:hAnsi="宋体"/>
        </w:rPr>
        <w:t xml:space="preserve">，联合协议或者</w:t>
      </w:r>
      <w:r>
        <w:rPr>
          <w:rFonts w:hint="eastAsia" w:ascii="宋体" w:hAnsi="宋体"/>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8"/>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78"/>
        <w:ind w:firstLine="482"/>
        <w:spacing w:line="0" w:lineRule="atLeast"/>
        <w:rPr>
          <w:rFonts w:hint="eastAsia" w:ascii="宋体" w:hAnsi="宋体"/>
          <w:b/>
        </w:rPr>
      </w:pPr>
      <w:r>
        <w:rPr>
          <w:rFonts w:hint="eastAsia" w:ascii="宋体" w:hAnsi="宋体"/>
          <w:b/>
        </w:rPr>
        <w:t xml:space="preserve">评标方法与</w:t>
      </w:r>
      <w:r>
        <w:rPr>
          <w:rFonts w:hint="eastAsia" w:ascii="宋体" w:hAnsi="宋体"/>
          <w:b/>
        </w:rPr>
        <w:t xml:space="preserve">评标标准</w:t>
      </w:r>
      <w:r/>
    </w:p>
    <w:p>
      <w:pPr>
        <w:pStyle w:val="891"/>
        <w:rPr>
          <w:rFonts w:hint="eastAsia"/>
        </w:rPr>
      </w:pPr>
      <w:r>
        <w:rPr>
          <w:rFonts w:hint="eastAsia"/>
        </w:rPr>
      </w:r>
      <w:r/>
    </w:p>
    <w:tbl>
      <w:tblPr>
        <w:tblW w:w="499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6894"/>
        <w:gridCol w:w="867"/>
      </w:tblGrid>
      <w:tr>
        <w:trPr>
          <w:trHeight w:val="300"/>
        </w:trPr>
        <w:tc>
          <w:tcPr>
            <w:tcBorders>
              <w:bottom w:val="single" w:color="000000" w:sz="4" w:space="0"/>
            </w:tcBorders>
            <w:tcW w:w="766" w:type="pct"/>
            <w:vAlign w:val="center"/>
            <w:textDirection w:val="lrTb"/>
            <w:noWrap w:val="false"/>
          </w:tcPr>
          <w:p>
            <w:pPr>
              <w:pStyle w:val="891"/>
              <w:widowControl/>
              <w:rPr>
                <w:rFonts w:ascii="宋体" w:hAnsi="宋体" w:cs="仿宋"/>
                <w:b/>
                <w:bCs/>
              </w:rPr>
            </w:pPr>
            <w:r>
              <w:rPr>
                <w:rFonts w:hint="eastAsia" w:ascii="宋体" w:hAnsi="宋体" w:cs="仿宋"/>
                <w:b/>
                <w:bCs/>
                <w:lang w:bidi="ar"/>
              </w:rPr>
              <w:t xml:space="preserve">评审因素</w:t>
            </w:r>
            <w:r>
              <w:rPr>
                <w:rFonts w:ascii="宋体" w:hAnsi="宋体" w:cs="仿宋"/>
                <w:b/>
                <w:bCs/>
              </w:rPr>
            </w:r>
            <w:r/>
          </w:p>
        </w:tc>
        <w:tc>
          <w:tcPr>
            <w:tcBorders>
              <w:bottom w:val="single" w:color="000000" w:sz="4" w:space="0"/>
            </w:tcBorders>
            <w:tcW w:w="3761" w:type="pct"/>
            <w:vAlign w:val="center"/>
            <w:textDirection w:val="lrTb"/>
            <w:noWrap w:val="false"/>
          </w:tcPr>
          <w:p>
            <w:pPr>
              <w:pStyle w:val="891"/>
              <w:ind w:firstLine="643"/>
              <w:jc w:val="center"/>
              <w:widowControl/>
              <w:rPr>
                <w:rFonts w:ascii="宋体" w:hAnsi="宋体" w:cs="仿宋"/>
                <w:b/>
                <w:bCs/>
              </w:rPr>
            </w:pPr>
            <w:r>
              <w:rPr>
                <w:rFonts w:hint="eastAsia" w:ascii="宋体" w:hAnsi="宋体" w:cs="仿宋"/>
                <w:b/>
                <w:bCs/>
                <w:lang w:bidi="ar"/>
              </w:rPr>
              <w:t xml:space="preserve">评审标准</w:t>
            </w:r>
            <w:r>
              <w:rPr>
                <w:rFonts w:ascii="宋体" w:hAnsi="宋体" w:cs="仿宋"/>
                <w:b/>
                <w:bCs/>
              </w:rPr>
            </w:r>
            <w:r/>
          </w:p>
        </w:tc>
        <w:tc>
          <w:tcPr>
            <w:tcBorders>
              <w:bottom w:val="single" w:color="000000" w:sz="4" w:space="0"/>
            </w:tcBorders>
            <w:tcW w:w="473" w:type="pct"/>
            <w:vAlign w:val="center"/>
            <w:textDirection w:val="lrTb"/>
            <w:noWrap w:val="false"/>
          </w:tcPr>
          <w:p>
            <w:pPr>
              <w:pStyle w:val="891"/>
              <w:widowControl/>
              <w:rPr>
                <w:rFonts w:ascii="宋体" w:hAnsi="宋体" w:cs="仿宋"/>
                <w:b/>
                <w:bCs/>
              </w:rPr>
            </w:pPr>
            <w:r>
              <w:rPr>
                <w:rFonts w:hint="eastAsia" w:ascii="宋体" w:hAnsi="宋体" w:cs="仿宋"/>
                <w:b/>
                <w:bCs/>
                <w:lang w:bidi="ar"/>
              </w:rPr>
              <w:t xml:space="preserve">分值</w:t>
            </w:r>
            <w:r>
              <w:rPr>
                <w:rFonts w:ascii="宋体" w:hAnsi="宋体" w:cs="仿宋"/>
                <w:b/>
                <w:bCs/>
              </w:rPr>
            </w:r>
            <w:r/>
          </w:p>
        </w:tc>
      </w:tr>
      <w:tr>
        <w:trPr>
          <w:trHeight w:val="493"/>
        </w:trPr>
        <w:tc>
          <w:tcPr>
            <w:gridSpan w:val="2"/>
            <w:shd w:val="pct10" w:color="auto" w:fill="auto"/>
            <w:tcW w:w="4527" w:type="pct"/>
            <w:vAlign w:val="center"/>
            <w:textDirection w:val="lrTb"/>
            <w:noWrap w:val="false"/>
          </w:tcPr>
          <w:p>
            <w:pPr>
              <w:pStyle w:val="891"/>
              <w:jc w:val="center"/>
              <w:widowControl/>
              <w:rPr>
                <w:rFonts w:ascii="宋体" w:hAnsi="宋体" w:cs="仿宋"/>
              </w:rPr>
            </w:pPr>
            <w:r>
              <w:rPr>
                <w:rFonts w:hint="eastAsia" w:ascii="宋体" w:hAnsi="宋体" w:cs="仿宋"/>
                <w:lang w:bidi="ar"/>
              </w:rPr>
              <w:t xml:space="preserve">报价部分</w:t>
            </w:r>
            <w:r>
              <w:rPr>
                <w:rFonts w:ascii="宋体" w:hAnsi="宋体" w:cs="仿宋"/>
              </w:rPr>
            </w:r>
            <w:r/>
          </w:p>
        </w:tc>
        <w:tc>
          <w:tcPr>
            <w:shd w:val="pct10" w:color="auto" w:fill="auto"/>
            <w:tcW w:w="473" w:type="pct"/>
            <w:vAlign w:val="center"/>
            <w:textDirection w:val="lrTb"/>
            <w:noWrap w:val="false"/>
          </w:tcPr>
          <w:p>
            <w:pPr>
              <w:pStyle w:val="891"/>
              <w:jc w:val="center"/>
              <w:widowControl/>
              <w:rPr>
                <w:rFonts w:ascii="宋体" w:hAnsi="宋体" w:cs="仿宋"/>
              </w:rPr>
            </w:pPr>
            <w:r>
              <w:rPr>
                <w:rFonts w:hint="eastAsia" w:ascii="宋体" w:hAnsi="宋体" w:cs="仿宋"/>
                <w:lang w:bidi="ar"/>
              </w:rPr>
              <w:t xml:space="preserve">10</w:t>
            </w:r>
            <w:r>
              <w:rPr>
                <w:rFonts w:ascii="宋体" w:hAnsi="宋体" w:cs="仿宋"/>
              </w:rPr>
            </w:r>
            <w:r/>
          </w:p>
        </w:tc>
      </w:tr>
      <w:tr>
        <w:trPr>
          <w:cantSplit/>
          <w:trHeight w:val="585"/>
        </w:trPr>
        <w:tc>
          <w:tcPr>
            <w:tcW w:w="766" w:type="pct"/>
            <w:vAlign w:val="center"/>
            <w:vMerge w:val="restart"/>
            <w:textDirection w:val="lrTb"/>
            <w:noWrap w:val="false"/>
          </w:tcPr>
          <w:p>
            <w:pPr>
              <w:pStyle w:val="891"/>
              <w:jc w:val="center"/>
              <w:widowControl/>
              <w:rPr>
                <w:rFonts w:ascii="宋体" w:hAnsi="宋体" w:cs="仿宋"/>
              </w:rPr>
            </w:pPr>
            <w:r>
              <w:rPr>
                <w:rFonts w:hint="eastAsia" w:ascii="宋体" w:hAnsi="宋体" w:cs="仿宋"/>
                <w:lang w:bidi="ar"/>
              </w:rPr>
              <w:t xml:space="preserve">一、价格</w:t>
            </w: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1.1采用低价优先法计算，即满足招标文件要求且投标价格最低的投标报价为评标基准价，其价格分为满分。其他满足招标文件要求的供应商的价格分统一按照下列公式计算：投标报价得分=(评标基准价／投标报价)×10。</w:t>
            </w:r>
            <w:r>
              <w:rPr>
                <w:rFonts w:ascii="宋体" w:hAnsi="宋体" w:cs="仿宋"/>
              </w:rPr>
            </w:r>
            <w:r/>
          </w:p>
        </w:tc>
        <w:tc>
          <w:tcPr>
            <w:tcW w:w="473" w:type="pct"/>
            <w:vAlign w:val="center"/>
            <w:vMerge w:val="restart"/>
            <w:textDirection w:val="lrTb"/>
            <w:noWrap w:val="false"/>
          </w:tcPr>
          <w:p>
            <w:pPr>
              <w:pStyle w:val="891"/>
              <w:jc w:val="center"/>
              <w:widowControl/>
              <w:rPr>
                <w:rFonts w:ascii="宋体" w:hAnsi="宋体" w:cs="仿宋"/>
              </w:rPr>
            </w:pPr>
            <w:r>
              <w:rPr>
                <w:rFonts w:hint="eastAsia" w:ascii="宋体" w:hAnsi="宋体" w:cs="仿宋"/>
                <w:lang w:bidi="ar"/>
              </w:rPr>
              <w:t xml:space="preserve">10</w:t>
            </w:r>
            <w:r>
              <w:rPr>
                <w:rFonts w:ascii="宋体" w:hAnsi="宋体" w:cs="仿宋"/>
              </w:rPr>
            </w:r>
            <w:r/>
          </w:p>
        </w:tc>
      </w:tr>
      <w:tr>
        <w:trPr>
          <w:cantSplit/>
          <w:trHeight w:val="300"/>
        </w:trPr>
        <w:tc>
          <w:tcPr>
            <w:tcBorders>
              <w:bottom w:val="single" w:color="000000" w:sz="4" w:space="0"/>
            </w:tcBorders>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Borders>
              <w:bottom w:val="single" w:color="000000" w:sz="4" w:space="0"/>
            </w:tcBorders>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注：报价得分保留两位小数。</w:t>
            </w:r>
            <w:r>
              <w:rPr>
                <w:rFonts w:ascii="宋体" w:hAnsi="宋体" w:cs="仿宋"/>
              </w:rPr>
            </w:r>
            <w:r/>
          </w:p>
        </w:tc>
        <w:tc>
          <w:tcPr>
            <w:tcBorders>
              <w:bottom w:val="single" w:color="000000" w:sz="4" w:space="0"/>
            </w:tcBorders>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trHeight w:val="467"/>
        </w:trPr>
        <w:tc>
          <w:tcPr>
            <w:gridSpan w:val="2"/>
            <w:shd w:val="pct10" w:color="auto" w:fill="auto"/>
            <w:tcW w:w="4527" w:type="pct"/>
            <w:vAlign w:val="center"/>
            <w:textDirection w:val="lrTb"/>
            <w:noWrap w:val="false"/>
          </w:tcPr>
          <w:p>
            <w:pPr>
              <w:pStyle w:val="891"/>
              <w:jc w:val="center"/>
              <w:widowControl/>
              <w:rPr>
                <w:rFonts w:ascii="宋体" w:hAnsi="宋体" w:cs="仿宋"/>
              </w:rPr>
            </w:pPr>
            <w:r>
              <w:rPr>
                <w:rFonts w:hint="eastAsia" w:ascii="宋体" w:hAnsi="宋体" w:cs="仿宋"/>
                <w:lang w:bidi="ar"/>
              </w:rPr>
              <w:t xml:space="preserve">商务部分</w:t>
            </w:r>
            <w:r>
              <w:rPr>
                <w:rFonts w:ascii="宋体" w:hAnsi="宋体" w:cs="仿宋"/>
              </w:rPr>
            </w:r>
            <w:r/>
          </w:p>
        </w:tc>
        <w:tc>
          <w:tcPr>
            <w:shd w:val="pct10" w:color="auto" w:fill="auto"/>
            <w:tcW w:w="473" w:type="pct"/>
            <w:vAlign w:val="center"/>
            <w:textDirection w:val="lrTb"/>
            <w:noWrap w:val="false"/>
          </w:tcPr>
          <w:p>
            <w:pPr>
              <w:pStyle w:val="891"/>
              <w:jc w:val="center"/>
              <w:widowControl/>
              <w:rPr>
                <w:rFonts w:ascii="宋体" w:hAnsi="宋体" w:cs="仿宋"/>
              </w:rPr>
            </w:pPr>
            <w:r>
              <w:rPr>
                <w:rFonts w:ascii="宋体" w:hAnsi="宋体" w:cs="仿宋"/>
                <w:lang w:bidi="ar"/>
              </w:rPr>
              <w:t xml:space="preserve">37</w:t>
            </w:r>
            <w:r>
              <w:rPr>
                <w:rFonts w:ascii="宋体" w:hAnsi="宋体" w:cs="仿宋"/>
              </w:rPr>
            </w:r>
            <w:r/>
          </w:p>
        </w:tc>
      </w:tr>
      <w:tr>
        <w:trPr>
          <w:cantSplit/>
          <w:trHeight w:val="300"/>
        </w:trPr>
        <w:tc>
          <w:tcPr>
            <w:tcW w:w="766" w:type="pct"/>
            <w:vAlign w:val="center"/>
            <w:vMerge w:val="restart"/>
            <w:textDirection w:val="lrTb"/>
            <w:noWrap w:val="false"/>
          </w:tcPr>
          <w:p>
            <w:pPr>
              <w:pStyle w:val="891"/>
              <w:jc w:val="center"/>
              <w:widowControl/>
              <w:rPr>
                <w:rFonts w:ascii="宋体" w:hAnsi="宋体" w:cs="仿宋"/>
              </w:rPr>
            </w:pPr>
            <w:r>
              <w:rPr>
                <w:rFonts w:hint="eastAsia" w:ascii="宋体" w:hAnsi="宋体" w:cs="仿宋"/>
                <w:lang w:bidi="ar"/>
              </w:rPr>
              <w:t xml:space="preserve">二、企业相关资质</w:t>
            </w: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2.1供应商获得ISO9001质量管理体系认证证书，且在认证有效期限内的，满足得2分，不满足得0分。</w:t>
            </w:r>
            <w:r>
              <w:rPr>
                <w:rFonts w:ascii="宋体" w:hAnsi="宋体" w:cs="仿宋"/>
              </w:rPr>
            </w:r>
            <w:r/>
          </w:p>
        </w:tc>
        <w:tc>
          <w:tcPr>
            <w:tcW w:w="473" w:type="pct"/>
            <w:vAlign w:val="center"/>
            <w:vMerge w:val="restart"/>
            <w:textDirection w:val="lrTb"/>
            <w:noWrap w:val="false"/>
          </w:tcPr>
          <w:p>
            <w:pPr>
              <w:pStyle w:val="891"/>
              <w:jc w:val="center"/>
              <w:widowControl/>
              <w:rPr>
                <w:rFonts w:ascii="宋体" w:hAnsi="宋体" w:cs="仿宋"/>
              </w:rPr>
            </w:pPr>
            <w:r>
              <w:rPr>
                <w:rFonts w:hint="eastAsia" w:ascii="宋体" w:hAnsi="宋体" w:cs="仿宋"/>
                <w:lang w:bidi="ar"/>
              </w:rPr>
              <w:t xml:space="preserve">8</w:t>
            </w: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2.2供应商获得ISO20000信息技术服务管理体系认证证书，且在认证有效期限内的，满足得2分，不满足得0分。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2.3供应商获得ISO27001信息安全管理体系认证，且在认证有效期限内的，满足得2分，不满足得0分。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585"/>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2.</w:t>
            </w:r>
            <w:r>
              <w:rPr>
                <w:rFonts w:ascii="宋体" w:hAnsi="宋体" w:cs="仿宋"/>
                <w:lang w:bidi="ar"/>
              </w:rPr>
              <w:t xml:space="preserve">4</w:t>
            </w:r>
            <w:r>
              <w:rPr>
                <w:rFonts w:hint="eastAsia" w:ascii="宋体" w:hAnsi="宋体" w:cs="仿宋"/>
                <w:lang w:bidi="ar"/>
              </w:rPr>
              <w:t xml:space="preserve">供应商获得ISO2</w:t>
            </w:r>
            <w:r>
              <w:rPr>
                <w:rFonts w:ascii="宋体" w:hAnsi="宋体" w:cs="仿宋"/>
                <w:lang w:bidi="ar"/>
              </w:rPr>
              <w:t xml:space="preserve">2301</w:t>
            </w:r>
            <w:r>
              <w:rPr>
                <w:rFonts w:hint="eastAsia" w:ascii="宋体" w:hAnsi="宋体" w:cs="仿宋"/>
                <w:lang w:bidi="ar"/>
              </w:rPr>
              <w:t xml:space="preserve">业务连续性管理体系认证，且在认证有效期限内的，满足得2分，不满足得0分。</w:t>
            </w:r>
            <w:r>
              <w:rPr>
                <w:rFonts w:ascii="宋体" w:hAnsi="宋体" w:cs="仿宋"/>
                <w:lang w:bidi="ar"/>
              </w:rPr>
            </w:r>
            <w:r/>
          </w:p>
        </w:tc>
        <w:tc>
          <w:tcPr>
            <w:tcW w:w="473" w:type="pct"/>
            <w:vAlign w:val="center"/>
            <w:vMerge w:val="continue"/>
            <w:textDirection w:val="lrTb"/>
            <w:noWrap w:val="false"/>
          </w:tcPr>
          <w:p>
            <w:pPr>
              <w:pStyle w:val="891"/>
              <w:jc w:val="center"/>
              <w:rPr>
                <w:rFonts w:ascii="宋体" w:hAnsi="宋体" w:cs="仿宋"/>
                <w:lang w:bidi="ar"/>
              </w:rPr>
            </w:pPr>
            <w:r>
              <w:rPr>
                <w:rFonts w:ascii="宋体" w:hAnsi="宋体" w:cs="仿宋"/>
                <w:lang w:bidi="ar"/>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注：供应商需提供有效期内的证书扫描件并加盖供应商公章。</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restart"/>
            <w:textDirection w:val="lrTb"/>
            <w:noWrap w:val="false"/>
          </w:tcPr>
          <w:p>
            <w:pPr>
              <w:pStyle w:val="891"/>
              <w:jc w:val="center"/>
              <w:widowControl/>
              <w:rPr>
                <w:rFonts w:ascii="宋体" w:hAnsi="宋体" w:cs="仿宋"/>
              </w:rPr>
            </w:pPr>
            <w:r>
              <w:rPr>
                <w:rFonts w:hint="eastAsia" w:ascii="宋体" w:hAnsi="宋体" w:cs="仿宋"/>
                <w:lang w:bidi="ar"/>
              </w:rPr>
              <w:t xml:space="preserve">三、软件著作权</w:t>
            </w: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3.1供应商具有“资产管理”或“资产监管”相关的计算机软件著作权登记证书，满足得2分，不满足得0分。</w:t>
            </w:r>
            <w:r>
              <w:rPr>
                <w:rFonts w:ascii="宋体" w:hAnsi="宋体" w:cs="仿宋"/>
              </w:rPr>
            </w:r>
            <w:r/>
          </w:p>
        </w:tc>
        <w:tc>
          <w:tcPr>
            <w:tcW w:w="473" w:type="pct"/>
            <w:vAlign w:val="center"/>
            <w:vMerge w:val="restart"/>
            <w:textDirection w:val="lrTb"/>
            <w:noWrap w:val="false"/>
          </w:tcPr>
          <w:p>
            <w:pPr>
              <w:pStyle w:val="891"/>
              <w:jc w:val="center"/>
              <w:widowControl/>
              <w:rPr>
                <w:rFonts w:ascii="宋体" w:hAnsi="宋体" w:cs="仿宋"/>
              </w:rPr>
            </w:pPr>
            <w:r>
              <w:rPr>
                <w:rFonts w:ascii="宋体" w:hAnsi="宋体" w:cs="仿宋"/>
                <w:lang w:bidi="ar"/>
              </w:rPr>
              <w:t xml:space="preserve">5</w:t>
            </w: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3.2供应商具有“可视化监测或分析”相关的计算机软件著作权登记证书，满足得2分，不满足得0分。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3.3供应商具有“数据采集”相关的计算机软件著作权登记证书，满足得1分，不满足得0分。</w:t>
            </w:r>
            <w:r>
              <w:rPr>
                <w:rFonts w:ascii="宋体" w:hAnsi="宋体" w:cs="仿宋"/>
              </w:rPr>
            </w:r>
            <w:r/>
          </w:p>
        </w:tc>
        <w:tc>
          <w:tcPr>
            <w:tcW w:w="473" w:type="pct"/>
            <w:vAlign w:val="center"/>
            <w:vMerge w:val="continue"/>
            <w:textDirection w:val="lrTb"/>
            <w:noWrap w:val="false"/>
          </w:tcPr>
          <w:p>
            <w:pPr>
              <w:pStyle w:val="891"/>
              <w:jc w:val="center"/>
              <w:widowControl/>
              <w:rPr>
                <w:rFonts w:ascii="宋体" w:hAnsi="宋体" w:cs="仿宋"/>
              </w:rPr>
            </w:pPr>
            <w:r>
              <w:rPr>
                <w:rFonts w:ascii="宋体" w:hAnsi="宋体" w:cs="仿宋"/>
              </w:rPr>
            </w:r>
            <w:r/>
          </w:p>
        </w:tc>
      </w:tr>
      <w:tr>
        <w:trPr>
          <w:cantSplit/>
          <w:trHeight w:val="771"/>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注：供应商需提供国家版权局颁发的计算机软件著作权登记证书扫描件并加盖供应商公章。（如投标文件中提供的著作权名称表述与招标文件描述的关键字样不一致，而该投标文件中能提供相关材料证明供应商拥有著作权的软件具有相同或相似功能和效果，且评标委员会认可的，视同符合要求。）</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restart"/>
            <w:textDirection w:val="lrTb"/>
            <w:noWrap w:val="false"/>
          </w:tcPr>
          <w:p>
            <w:pPr>
              <w:pStyle w:val="891"/>
              <w:jc w:val="center"/>
              <w:widowControl/>
              <w:rPr>
                <w:rFonts w:ascii="宋体" w:hAnsi="宋体" w:cs="仿宋"/>
              </w:rPr>
            </w:pPr>
            <w:r>
              <w:rPr>
                <w:rFonts w:hint="eastAsia" w:ascii="宋体" w:hAnsi="宋体" w:cs="仿宋"/>
                <w:lang w:bidi="ar"/>
              </w:rPr>
              <w:t xml:space="preserve">四、类似业绩</w:t>
            </w: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4.1供应商提供2</w:t>
            </w:r>
            <w:r>
              <w:rPr>
                <w:rFonts w:ascii="宋体" w:hAnsi="宋体" w:cs="仿宋"/>
                <w:lang w:bidi="ar"/>
              </w:rPr>
              <w:t xml:space="preserve">020</w:t>
            </w:r>
            <w:r>
              <w:rPr>
                <w:rFonts w:hint="eastAsia" w:ascii="宋体" w:hAnsi="宋体" w:cs="仿宋"/>
                <w:lang w:bidi="ar"/>
              </w:rPr>
              <w:t xml:space="preserve">年以来，资产管理系统或资产监管系统建设合同（建设内容包含国有资产管理、资产清查、资产盘活利用、资产监管等）或类似建设业绩。每个案例得2分，最多6分，不提供得0分。</w:t>
            </w:r>
            <w:r>
              <w:rPr>
                <w:rFonts w:ascii="宋体" w:hAnsi="宋体" w:cs="仿宋"/>
                <w:lang w:bidi="ar"/>
              </w:rPr>
            </w:r>
            <w:r/>
          </w:p>
        </w:tc>
        <w:tc>
          <w:tcPr>
            <w:tcW w:w="473" w:type="pct"/>
            <w:vAlign w:val="center"/>
            <w:vMerge w:val="restart"/>
            <w:textDirection w:val="lrTb"/>
            <w:noWrap w:val="false"/>
          </w:tcPr>
          <w:p>
            <w:pPr>
              <w:pStyle w:val="891"/>
              <w:jc w:val="center"/>
              <w:widowControl/>
              <w:rPr>
                <w:rFonts w:ascii="宋体" w:hAnsi="宋体" w:cs="仿宋"/>
              </w:rPr>
            </w:pPr>
            <w:r>
              <w:rPr>
                <w:rFonts w:ascii="宋体" w:hAnsi="宋体" w:cs="仿宋"/>
                <w:lang w:bidi="ar"/>
              </w:rPr>
              <w:t xml:space="preserve">10</w:t>
            </w:r>
            <w:r>
              <w:rPr>
                <w:rFonts w:ascii="宋体" w:hAnsi="宋体" w:cs="仿宋"/>
              </w:rPr>
            </w:r>
            <w:r/>
          </w:p>
        </w:tc>
      </w:tr>
      <w:tr>
        <w:trPr>
          <w:cantSplit/>
          <w:trHeight w:val="585"/>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4.2供应商提供2</w:t>
            </w:r>
            <w:r>
              <w:rPr>
                <w:rFonts w:ascii="宋体" w:hAnsi="宋体" w:cs="仿宋"/>
                <w:lang w:bidi="ar"/>
              </w:rPr>
              <w:t xml:space="preserve">020</w:t>
            </w:r>
            <w:r>
              <w:rPr>
                <w:rFonts w:hint="eastAsia" w:ascii="宋体" w:hAnsi="宋体" w:cs="仿宋"/>
                <w:lang w:bidi="ar"/>
              </w:rPr>
              <w:t xml:space="preserve">年以来，监测分析类系统建设合同。每个案例得2分，最多</w:t>
            </w:r>
            <w:r>
              <w:rPr>
                <w:rFonts w:ascii="宋体" w:hAnsi="宋体" w:cs="仿宋"/>
                <w:lang w:bidi="ar"/>
              </w:rPr>
              <w:t xml:space="preserve">4</w:t>
            </w:r>
            <w:r>
              <w:rPr>
                <w:rFonts w:hint="eastAsia" w:ascii="宋体" w:hAnsi="宋体" w:cs="仿宋"/>
                <w:lang w:bidi="ar"/>
              </w:rPr>
              <w:t xml:space="preserve">分，不提供得0分。</w:t>
            </w:r>
            <w:r>
              <w:rPr>
                <w:rFonts w:ascii="宋体" w:hAnsi="宋体" w:cs="仿宋"/>
                <w:lang w:bidi="ar"/>
              </w:rPr>
            </w:r>
            <w:r/>
          </w:p>
        </w:tc>
        <w:tc>
          <w:tcPr>
            <w:tcW w:w="473" w:type="pct"/>
            <w:vAlign w:val="center"/>
            <w:vMerge w:val="continue"/>
            <w:textDirection w:val="lrTb"/>
            <w:noWrap w:val="false"/>
          </w:tcPr>
          <w:p>
            <w:pPr>
              <w:pStyle w:val="891"/>
              <w:jc w:val="center"/>
              <w:widowControl/>
              <w:rPr>
                <w:rFonts w:ascii="宋体" w:hAnsi="宋体" w:cs="仿宋"/>
              </w:rPr>
            </w:pPr>
            <w:r>
              <w:rPr>
                <w:rFonts w:ascii="宋体" w:hAnsi="宋体" w:cs="仿宋"/>
              </w:rPr>
            </w:r>
            <w:r/>
          </w:p>
        </w:tc>
      </w:tr>
      <w:tr>
        <w:trPr>
          <w:cantSplit/>
          <w:trHeight w:val="462"/>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rPr>
            </w:pPr>
            <w:r>
              <w:rPr>
                <w:rFonts w:hint="eastAsia" w:ascii="宋体" w:hAnsi="宋体" w:cs="仿宋"/>
                <w:lang w:bidi="ar"/>
              </w:rPr>
              <w:t xml:space="preserve">注：供应商需提供合同扫描件并加盖供应商公章。（同一单位的合同作为1个案例）</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restart"/>
            <w:textDirection w:val="lrTb"/>
            <w:noWrap w:val="false"/>
          </w:tcPr>
          <w:p>
            <w:pPr>
              <w:pStyle w:val="891"/>
              <w:jc w:val="center"/>
              <w:widowControl/>
              <w:rPr>
                <w:rFonts w:ascii="宋体" w:hAnsi="宋体" w:cs="仿宋"/>
              </w:rPr>
            </w:pPr>
            <w:r>
              <w:rPr>
                <w:rFonts w:hint="eastAsia" w:ascii="宋体" w:hAnsi="宋体" w:cs="仿宋"/>
                <w:lang w:bidi="ar"/>
              </w:rPr>
              <w:t xml:space="preserve">五、项目团队人员</w:t>
            </w: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为保障项目顺利实施，供应商组建的项目团队成员应具备相关专业能力：</w:t>
            </w:r>
            <w:r>
              <w:rPr>
                <w:rFonts w:ascii="宋体" w:hAnsi="宋体" w:cs="仿宋"/>
                <w:lang w:bidi="ar"/>
              </w:rPr>
            </w:r>
            <w:r/>
          </w:p>
        </w:tc>
        <w:tc>
          <w:tcPr>
            <w:tcW w:w="473" w:type="pct"/>
            <w:vAlign w:val="center"/>
            <w:vMerge w:val="restart"/>
            <w:textDirection w:val="lrTb"/>
            <w:noWrap w:val="false"/>
          </w:tcPr>
          <w:p>
            <w:pPr>
              <w:pStyle w:val="891"/>
              <w:jc w:val="center"/>
              <w:widowControl/>
              <w:rPr>
                <w:rFonts w:ascii="宋体" w:hAnsi="宋体" w:cs="仿宋"/>
              </w:rPr>
            </w:pPr>
            <w:r>
              <w:rPr>
                <w:rFonts w:ascii="宋体" w:hAnsi="宋体" w:cs="仿宋"/>
                <w:lang w:bidi="ar"/>
              </w:rPr>
              <w:t xml:space="preserve">14</w:t>
            </w: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5.1项目团队项目经理（1人）需具备以下能力</w:t>
            </w:r>
            <w:r>
              <w:rPr>
                <w:rFonts w:ascii="宋体" w:hAnsi="宋体" w:cs="仿宋"/>
                <w:lang w:bidi="ar"/>
              </w:rPr>
            </w:r>
            <w:r/>
          </w:p>
          <w:p>
            <w:pPr>
              <w:pStyle w:val="891"/>
              <w:widowControl/>
              <w:rPr>
                <w:rFonts w:ascii="宋体" w:hAnsi="宋体" w:cs="仿宋"/>
                <w:lang w:bidi="ar"/>
              </w:rPr>
            </w:pPr>
            <w:r>
              <w:rPr>
                <w:rFonts w:hint="eastAsia" w:ascii="宋体" w:hAnsi="宋体" w:cs="仿宋"/>
                <w:lang w:bidi="ar"/>
              </w:rPr>
              <w:t xml:space="preserve">具有人力资源和社会保障部和工业和信息化部联合颁发的信息系统项目管理师（高级）证书，满足得3分，其他得0分。</w:t>
            </w:r>
            <w:r>
              <w:rPr>
                <w:rFonts w:ascii="宋体" w:hAnsi="宋体" w:cs="仿宋"/>
                <w:lang w:bidi="ar"/>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jc w:val="left"/>
              <w:widowControl/>
              <w:rPr>
                <w:rFonts w:ascii="宋体" w:hAnsi="宋体" w:cs="仿宋"/>
                <w:lang w:bidi="ar"/>
              </w:rPr>
            </w:pPr>
            <w:r>
              <w:rPr>
                <w:rFonts w:hint="eastAsia" w:ascii="宋体" w:hAnsi="宋体" w:cs="仿宋"/>
                <w:lang w:bidi="ar"/>
              </w:rPr>
              <w:t xml:space="preserve">5.2项目团队技术负责人（1人，与项目经理不是同一人）需具备以下能力</w:t>
            </w:r>
            <w:r>
              <w:rPr>
                <w:rFonts w:ascii="宋体" w:hAnsi="宋体" w:cs="仿宋"/>
                <w:lang w:bidi="ar"/>
              </w:rPr>
            </w:r>
            <w:r/>
          </w:p>
          <w:p>
            <w:pPr>
              <w:pStyle w:val="891"/>
              <w:jc w:val="left"/>
              <w:widowControl/>
              <w:rPr>
                <w:rFonts w:ascii="宋体" w:hAnsi="宋体" w:cs="仿宋"/>
              </w:rPr>
            </w:pPr>
            <w:r>
              <w:rPr>
                <w:rFonts w:hint="eastAsia" w:ascii="宋体" w:hAnsi="宋体" w:cs="仿宋"/>
                <w:lang w:bidi="ar"/>
              </w:rPr>
              <w:t xml:space="preserve">具有工业和信息化部颁发的大数据分析师（高级）证书，满足得3分，不满足得0分。</w:t>
            </w:r>
            <w:r>
              <w:rPr>
                <w:rFonts w:ascii="宋体" w:hAnsi="宋体" w:cs="仿宋"/>
              </w:rPr>
            </w:r>
            <w:r/>
          </w:p>
        </w:tc>
        <w:tc>
          <w:tcPr>
            <w:tcW w:w="473" w:type="pct"/>
            <w:vAlign w:val="center"/>
            <w:vMerge w:val="continue"/>
            <w:textDirection w:val="lrTb"/>
            <w:noWrap w:val="false"/>
          </w:tcPr>
          <w:p>
            <w:pPr>
              <w:pStyle w:val="891"/>
              <w:jc w:val="center"/>
              <w:widowControl/>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5.3项目团队人员要求（共</w:t>
            </w:r>
            <w:r>
              <w:rPr>
                <w:rFonts w:ascii="宋体" w:hAnsi="宋体" w:cs="仿宋"/>
                <w:lang w:bidi="ar"/>
              </w:rPr>
              <w:t xml:space="preserve">8</w:t>
            </w:r>
            <w:r>
              <w:rPr>
                <w:rFonts w:hint="eastAsia" w:ascii="宋体" w:hAnsi="宋体" w:cs="仿宋"/>
                <w:lang w:bidi="ar"/>
              </w:rPr>
              <w:t xml:space="preserve">分）：</w:t>
            </w:r>
            <w:r>
              <w:rPr>
                <w:rFonts w:ascii="宋体" w:hAnsi="宋体" w:cs="仿宋"/>
                <w:lang w:bidi="ar"/>
              </w:rPr>
            </w:r>
            <w:r/>
          </w:p>
          <w:p>
            <w:pPr>
              <w:pStyle w:val="891"/>
              <w:widowControl/>
              <w:rPr>
                <w:rFonts w:ascii="宋体" w:hAnsi="宋体" w:cs="仿宋"/>
                <w:lang w:bidi="ar"/>
              </w:rPr>
            </w:pPr>
            <w:r>
              <w:rPr>
                <w:rFonts w:hint="eastAsia" w:ascii="宋体" w:hAnsi="宋体" w:cs="仿宋"/>
                <w:lang w:bidi="ar"/>
              </w:rPr>
              <w:t xml:space="preserve">（1）具有中国电子技术标准化研究院颁发的IT服务工程师(ITSS)证书，每提供一个得1分，最高得</w:t>
            </w:r>
            <w:r>
              <w:rPr>
                <w:rFonts w:ascii="宋体" w:hAnsi="宋体" w:cs="仿宋"/>
                <w:lang w:bidi="ar"/>
              </w:rPr>
              <w:t xml:space="preserve">3</w:t>
            </w:r>
            <w:r>
              <w:rPr>
                <w:rFonts w:hint="eastAsia" w:ascii="宋体" w:hAnsi="宋体" w:cs="仿宋"/>
                <w:lang w:bidi="ar"/>
              </w:rPr>
              <w:t xml:space="preserve">分，不提供得0分。</w:t>
            </w:r>
            <w:r>
              <w:rPr>
                <w:rFonts w:ascii="宋体" w:hAnsi="宋体" w:cs="仿宋"/>
                <w:lang w:bidi="ar"/>
              </w:rPr>
            </w:r>
            <w:r/>
          </w:p>
          <w:p>
            <w:pPr>
              <w:pStyle w:val="891"/>
              <w:widowControl/>
              <w:rPr>
                <w:rFonts w:ascii="宋体" w:hAnsi="宋体" w:cs="仿宋"/>
                <w:lang w:bidi="ar"/>
              </w:rPr>
            </w:pPr>
            <w:r>
              <w:rPr>
                <w:rFonts w:hint="eastAsia" w:ascii="宋体" w:hAnsi="宋体" w:cs="仿宋"/>
                <w:lang w:bidi="ar"/>
              </w:rPr>
              <w:t xml:space="preserve">（2）具有国家信息安全测评中心颁发的国家信息安全水平证书(</w:t>
            </w:r>
            <w:r>
              <w:rPr>
                <w:rFonts w:ascii="宋体" w:hAnsi="宋体" w:cs="仿宋"/>
                <w:lang w:bidi="ar"/>
              </w:rPr>
              <w:t xml:space="preserve">NISP,</w:t>
            </w:r>
            <w:r>
              <w:rPr>
                <w:rFonts w:hint="eastAsia" w:ascii="宋体" w:hAnsi="宋体" w:cs="仿宋"/>
                <w:lang w:bidi="ar"/>
              </w:rPr>
              <w:t xml:space="preserve">一级及以上)或中国信息安全测评中心颁发的注册信息安全专业人员C</w:t>
            </w:r>
            <w:r>
              <w:rPr>
                <w:rFonts w:ascii="宋体" w:hAnsi="宋体" w:cs="仿宋"/>
                <w:lang w:bidi="ar"/>
              </w:rPr>
              <w:t xml:space="preserve">ISP</w:t>
            </w:r>
            <w:r>
              <w:rPr>
                <w:rFonts w:hint="eastAsia" w:ascii="宋体" w:hAnsi="宋体" w:cs="仿宋"/>
                <w:lang w:bidi="ar"/>
              </w:rPr>
              <w:t xml:space="preserve">证书，每提供一个得1分，最高得2分，不提供得0分。</w:t>
            </w:r>
            <w:r>
              <w:rPr>
                <w:rFonts w:ascii="宋体" w:hAnsi="宋体" w:cs="仿宋"/>
                <w:lang w:bidi="ar"/>
              </w:rPr>
            </w:r>
            <w:r/>
          </w:p>
          <w:p>
            <w:pPr>
              <w:pStyle w:val="891"/>
              <w:jc w:val="left"/>
              <w:widowControl/>
              <w:rPr>
                <w:rFonts w:ascii="宋体" w:hAnsi="宋体" w:cs="仿宋"/>
                <w:lang w:bidi="ar"/>
              </w:rPr>
            </w:pPr>
            <w:r>
              <w:rPr>
                <w:rFonts w:hint="eastAsia" w:ascii="宋体" w:hAnsi="宋体" w:cs="仿宋"/>
                <w:lang w:bidi="ar"/>
              </w:rPr>
              <w:t xml:space="preserve">（3）具有人力资源和社会保障部门颁发的计算机技术与软件专业技术资格中级及以上资格的证书，每提供一个得1分，该项最高得</w:t>
            </w:r>
            <w:r>
              <w:rPr>
                <w:rFonts w:ascii="宋体" w:hAnsi="宋体" w:cs="仿宋"/>
                <w:lang w:bidi="ar"/>
              </w:rPr>
              <w:t xml:space="preserve">3</w:t>
            </w:r>
            <w:r>
              <w:rPr>
                <w:rFonts w:hint="eastAsia" w:ascii="宋体" w:hAnsi="宋体" w:cs="仿宋"/>
                <w:lang w:bidi="ar"/>
              </w:rPr>
              <w:t xml:space="preserve">分，不提供得0分。</w:t>
            </w:r>
            <w:r>
              <w:rPr>
                <w:rFonts w:ascii="宋体" w:hAnsi="宋体" w:cs="仿宋"/>
                <w:lang w:bidi="ar"/>
              </w:rPr>
            </w:r>
            <w:r/>
          </w:p>
        </w:tc>
        <w:tc>
          <w:tcPr>
            <w:tcW w:w="473" w:type="pct"/>
            <w:vAlign w:val="center"/>
            <w:vMerge w:val="continue"/>
            <w:textDirection w:val="lrTb"/>
            <w:noWrap w:val="false"/>
          </w:tcPr>
          <w:p>
            <w:pPr>
              <w:pStyle w:val="891"/>
              <w:jc w:val="center"/>
              <w:widowControl/>
              <w:rPr>
                <w:rFonts w:ascii="宋体" w:hAnsi="宋体" w:cs="仿宋"/>
                <w:lang w:bidi="ar"/>
              </w:rPr>
            </w:pPr>
            <w:r>
              <w:rPr>
                <w:rFonts w:ascii="宋体" w:hAnsi="宋体" w:cs="仿宋"/>
                <w:lang w:bidi="ar"/>
              </w:rPr>
            </w:r>
            <w:r/>
          </w:p>
        </w:tc>
      </w:tr>
      <w:tr>
        <w:trPr>
          <w:cantSplit/>
          <w:trHeight w:val="300"/>
        </w:trPr>
        <w:tc>
          <w:tcPr>
            <w:tcBorders>
              <w:bottom w:val="single" w:color="000000" w:sz="4" w:space="0"/>
            </w:tcBorders>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Borders>
              <w:bottom w:val="single" w:color="000000" w:sz="4" w:space="0"/>
            </w:tcBorders>
            <w:tcW w:w="3761" w:type="pct"/>
            <w:vAlign w:val="center"/>
            <w:textDirection w:val="lrTb"/>
            <w:noWrap w:val="false"/>
          </w:tcPr>
          <w:p>
            <w:pPr>
              <w:pStyle w:val="891"/>
              <w:widowControl/>
              <w:rPr>
                <w:rFonts w:ascii="宋体" w:hAnsi="宋体" w:cs="仿宋"/>
                <w:sz w:val="32"/>
                <w:szCs w:val="32"/>
              </w:rPr>
            </w:pPr>
            <w:r>
              <w:rPr>
                <w:rFonts w:hint="eastAsia" w:ascii="宋体" w:hAnsi="宋体" w:cs="仿宋"/>
                <w:lang w:bidi="ar"/>
              </w:rPr>
              <w:t xml:space="preserve">注：①供应商需提供加盖供应商公章的有效期内证书扫描件或官方查询证明；②</w:t>
            </w:r>
            <w:r>
              <w:rPr>
                <w:rFonts w:hint="eastAsia" w:ascii="宋体" w:hAnsi="宋体" w:cs="仿宋"/>
                <w:sz w:val="24"/>
                <w:szCs w:val="24"/>
                <w:lang w:bidi="ar"/>
              </w:rPr>
              <w:t xml:space="preserve">供应商需提供团队成员在投标前</w:t>
            </w:r>
            <w:r>
              <w:rPr>
                <w:rFonts w:ascii="宋体" w:hAnsi="宋体" w:cs="仿宋"/>
                <w:sz w:val="24"/>
                <w:szCs w:val="24"/>
                <w:lang w:bidi="ar"/>
              </w:rPr>
              <w:t xml:space="preserve">3</w:t>
            </w:r>
            <w:r>
              <w:rPr>
                <w:rFonts w:hint="eastAsia" w:ascii="宋体" w:hAnsi="宋体" w:cs="仿宋"/>
                <w:sz w:val="24"/>
                <w:szCs w:val="24"/>
                <w:lang w:bidi="ar"/>
              </w:rPr>
              <w:t xml:space="preserve">个月内其中任意一个月的供应商缴纳社保的证明</w:t>
            </w:r>
            <w:r>
              <w:rPr>
                <w:rFonts w:hint="eastAsia" w:ascii="宋体" w:hAnsi="宋体" w:cs="仿宋"/>
                <w:lang w:bidi="ar"/>
              </w:rPr>
              <w:t xml:space="preserve">；③同一人员有多项证书不重复使用，不重复得分。</w:t>
            </w:r>
            <w:r>
              <w:rPr>
                <w:rFonts w:ascii="宋体" w:hAnsi="宋体" w:cs="仿宋"/>
                <w:sz w:val="32"/>
                <w:szCs w:val="32"/>
              </w:rPr>
            </w:r>
            <w:r/>
          </w:p>
        </w:tc>
        <w:tc>
          <w:tcPr>
            <w:tcBorders>
              <w:bottom w:val="single" w:color="000000" w:sz="4" w:space="0"/>
            </w:tcBorders>
            <w:tcW w:w="473" w:type="pct"/>
            <w:vAlign w:val="center"/>
            <w:vMerge w:val="continue"/>
            <w:textDirection w:val="lrTb"/>
            <w:noWrap w:val="false"/>
          </w:tcPr>
          <w:p>
            <w:pPr>
              <w:pStyle w:val="891"/>
              <w:jc w:val="center"/>
              <w:widowControl/>
              <w:rPr>
                <w:rFonts w:ascii="宋体" w:hAnsi="宋体" w:cs="仿宋"/>
                <w:lang w:bidi="ar"/>
              </w:rPr>
            </w:pPr>
            <w:r>
              <w:rPr>
                <w:rFonts w:ascii="宋体" w:hAnsi="宋体" w:cs="仿宋"/>
                <w:lang w:bidi="ar"/>
              </w:rPr>
            </w:r>
            <w:r/>
          </w:p>
        </w:tc>
      </w:tr>
      <w:tr>
        <w:trPr>
          <w:trHeight w:val="564"/>
        </w:trPr>
        <w:tc>
          <w:tcPr>
            <w:gridSpan w:val="2"/>
            <w:shd w:val="pct10" w:color="auto" w:fill="auto"/>
            <w:tcW w:w="4527" w:type="pct"/>
            <w:vAlign w:val="center"/>
            <w:textDirection w:val="lrTb"/>
            <w:noWrap w:val="false"/>
          </w:tcPr>
          <w:p>
            <w:pPr>
              <w:pStyle w:val="891"/>
              <w:jc w:val="center"/>
              <w:widowControl/>
              <w:rPr>
                <w:rFonts w:ascii="宋体" w:hAnsi="宋体" w:cs="仿宋"/>
              </w:rPr>
            </w:pPr>
            <w:r>
              <w:rPr>
                <w:rFonts w:hint="eastAsia" w:ascii="宋体" w:hAnsi="宋体" w:cs="仿宋"/>
                <w:lang w:bidi="ar"/>
              </w:rPr>
              <w:t xml:space="preserve">技术部分</w:t>
            </w:r>
            <w:r>
              <w:rPr>
                <w:rFonts w:ascii="宋体" w:hAnsi="宋体" w:cs="仿宋"/>
              </w:rPr>
            </w:r>
            <w:r/>
          </w:p>
        </w:tc>
        <w:tc>
          <w:tcPr>
            <w:shd w:val="pct10" w:color="auto" w:fill="auto"/>
            <w:tcW w:w="473" w:type="pct"/>
            <w:vAlign w:val="center"/>
            <w:textDirection w:val="lrTb"/>
            <w:noWrap w:val="false"/>
          </w:tcPr>
          <w:p>
            <w:pPr>
              <w:pStyle w:val="891"/>
              <w:jc w:val="center"/>
              <w:widowControl/>
              <w:rPr>
                <w:rFonts w:ascii="宋体" w:hAnsi="宋体" w:cs="仿宋"/>
              </w:rPr>
            </w:pPr>
            <w:r>
              <w:rPr>
                <w:rFonts w:ascii="宋体" w:hAnsi="宋体" w:cs="仿宋"/>
                <w:lang w:bidi="ar"/>
              </w:rPr>
              <w:t xml:space="preserve">53</w:t>
            </w:r>
            <w:r>
              <w:rPr>
                <w:rFonts w:ascii="宋体" w:hAnsi="宋体" w:cs="仿宋"/>
              </w:rPr>
            </w:r>
            <w:r/>
          </w:p>
        </w:tc>
      </w:tr>
      <w:tr>
        <w:trPr>
          <w:cantSplit/>
          <w:trHeight w:val="585"/>
        </w:trPr>
        <w:tc>
          <w:tcPr>
            <w:tcW w:w="766" w:type="pct"/>
            <w:vAlign w:val="center"/>
            <w:vMerge w:val="restart"/>
            <w:textDirection w:val="lrTb"/>
            <w:noWrap w:val="false"/>
          </w:tcPr>
          <w:p>
            <w:pPr>
              <w:pStyle w:val="891"/>
              <w:jc w:val="center"/>
              <w:widowControl/>
              <w:rPr>
                <w:rFonts w:ascii="宋体" w:hAnsi="宋体" w:cs="仿宋"/>
              </w:rPr>
            </w:pPr>
            <w:r>
              <w:rPr>
                <w:rFonts w:hint="eastAsia" w:ascii="宋体" w:hAnsi="宋体" w:cs="仿宋"/>
                <w:lang w:bidi="ar"/>
              </w:rPr>
              <w:t xml:space="preserve">六、方案设计</w:t>
            </w: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6.1需求分析方案。根据对项目整体建设需求的理解，提供需求分析方案，包括但不限于：建设背景、建设目标、建设意义、建设内容、建设可行性等。</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rPr>
            </w:r>
            <w:r/>
          </w:p>
        </w:tc>
        <w:tc>
          <w:tcPr>
            <w:tcW w:w="473" w:type="pct"/>
            <w:vAlign w:val="center"/>
            <w:vMerge w:val="restart"/>
            <w:textDirection w:val="lrTb"/>
            <w:noWrap w:val="false"/>
          </w:tcPr>
          <w:p>
            <w:pPr>
              <w:pStyle w:val="891"/>
              <w:jc w:val="center"/>
              <w:widowControl/>
              <w:rPr>
                <w:rFonts w:ascii="宋体" w:hAnsi="宋体" w:cs="仿宋"/>
              </w:rPr>
            </w:pPr>
            <w:r>
              <w:rPr>
                <w:rFonts w:ascii="宋体" w:hAnsi="宋体" w:cs="仿宋"/>
                <w:lang w:bidi="ar"/>
              </w:rPr>
              <w:t xml:space="preserve">40</w:t>
            </w:r>
            <w:r>
              <w:rPr>
                <w:rFonts w:ascii="宋体" w:hAnsi="宋体" w:cs="仿宋"/>
              </w:rPr>
            </w:r>
            <w:r/>
          </w:p>
        </w:tc>
      </w:tr>
      <w:tr>
        <w:trPr>
          <w:cantSplit/>
          <w:trHeight w:val="585"/>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6.2架构设计方案。根据项目建设内容，提供架构设计方案，方案内容应包括总体架构、技术架构、数据架构等，满足本项目系统功能及技术实现要求，同时满足国产化建设要求。</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rPr>
            </w:r>
            <w:r/>
          </w:p>
        </w:tc>
        <w:tc>
          <w:tcPr>
            <w:tcW w:w="473" w:type="pct"/>
            <w:vAlign w:val="center"/>
            <w:vMerge w:val="continue"/>
            <w:textDirection w:val="lrTb"/>
            <w:noWrap w:val="false"/>
          </w:tcPr>
          <w:p>
            <w:pPr>
              <w:pStyle w:val="891"/>
              <w:jc w:val="center"/>
              <w:widowControl/>
              <w:rPr>
                <w:rFonts w:ascii="宋体" w:hAnsi="宋体" w:cs="仿宋"/>
                <w:lang w:bidi="ar"/>
              </w:rPr>
            </w:pPr>
            <w:r>
              <w:rPr>
                <w:rFonts w:ascii="宋体" w:hAnsi="宋体" w:cs="仿宋"/>
                <w:lang w:bidi="ar"/>
              </w:rPr>
            </w:r>
            <w:r/>
          </w:p>
        </w:tc>
      </w:tr>
      <w:tr>
        <w:trPr>
          <w:cantSplit/>
          <w:trHeight w:val="585"/>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jc w:val="left"/>
              <w:widowControl/>
              <w:rPr>
                <w:rFonts w:ascii="宋体" w:hAnsi="宋体" w:cs="仿宋"/>
                <w:lang w:bidi="ar"/>
              </w:rPr>
            </w:pPr>
            <w:r>
              <w:rPr>
                <w:rFonts w:hint="eastAsia" w:ascii="宋体" w:hAnsi="宋体" w:cs="仿宋"/>
                <w:lang w:bidi="ar"/>
              </w:rPr>
              <w:t xml:space="preserve">6.3主要功能设计方案。根据项目建设需求，提供主要功能设计方案，包括但不限于国有资产日常管理、盘活利用管理、监督管理、基础信息管理等。</w:t>
            </w:r>
            <w:r>
              <w:rPr>
                <w:rFonts w:ascii="宋体" w:hAnsi="宋体" w:cs="仿宋"/>
                <w:lang w:bidi="ar"/>
              </w:rPr>
            </w:r>
            <w:r/>
          </w:p>
          <w:p>
            <w:pPr>
              <w:pStyle w:val="891"/>
              <w:jc w:val="left"/>
              <w:widowControl/>
              <w:rPr>
                <w:rFonts w:ascii="宋体" w:hAnsi="宋体" w:cs="仿宋"/>
                <w:lang w:bidi="ar"/>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lang w:bidi="ar"/>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jc w:val="left"/>
              <w:widowControl/>
              <w:rPr>
                <w:rFonts w:ascii="宋体" w:hAnsi="宋体" w:cs="仿宋"/>
                <w:lang w:bidi="ar"/>
              </w:rPr>
            </w:pPr>
            <w:r>
              <w:rPr>
                <w:rFonts w:hint="eastAsia" w:ascii="宋体" w:hAnsi="宋体" w:cs="仿宋"/>
                <w:lang w:bidi="ar"/>
              </w:rPr>
              <w:t xml:space="preserve">6.4与第三方系统对接方案。根据项目需求，提供与第三方系统对接方案，包括但不限于对接内容、对接流程、数据安全保障措施、数据共享规范等。</w:t>
            </w:r>
            <w:r>
              <w:rPr>
                <w:rFonts w:ascii="宋体" w:hAnsi="宋体" w:cs="仿宋"/>
                <w:lang w:bidi="ar"/>
              </w:rPr>
            </w:r>
            <w:r/>
          </w:p>
          <w:p>
            <w:pPr>
              <w:pStyle w:val="891"/>
              <w:jc w:val="left"/>
              <w:widowControl/>
              <w:rPr>
                <w:rFonts w:ascii="宋体" w:hAnsi="宋体" w:cs="仿宋"/>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6.5安全方案。根据项目需求，提供安全方案，方案内容包括但不限于开发安全、数据安全、运维安全等。</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585"/>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jc w:val="left"/>
              <w:widowControl/>
              <w:rPr>
                <w:rFonts w:ascii="宋体" w:hAnsi="宋体" w:cs="仿宋"/>
                <w:lang w:bidi="ar"/>
              </w:rPr>
            </w:pPr>
            <w:r>
              <w:rPr>
                <w:rFonts w:hint="eastAsia" w:ascii="宋体" w:hAnsi="宋体" w:cs="仿宋"/>
                <w:lang w:bidi="ar"/>
              </w:rPr>
              <w:t xml:space="preserve">6.6实施方案。根据项目需求，提供实施方案，方案内容包括但不限于实施计划安排、团队组织架构设置、文档管理、代码管理、沟通管理等。</w:t>
            </w:r>
            <w:r>
              <w:rPr>
                <w:rFonts w:ascii="宋体" w:hAnsi="宋体" w:cs="仿宋"/>
                <w:lang w:bidi="ar"/>
              </w:rPr>
            </w:r>
            <w:r/>
          </w:p>
          <w:p>
            <w:pPr>
              <w:pStyle w:val="891"/>
              <w:jc w:val="left"/>
              <w:widowControl/>
              <w:rPr>
                <w:rFonts w:ascii="宋体" w:hAnsi="宋体" w:cs="仿宋"/>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6.7培训方案。根据项目需求，提供培训方案，方案内容包括但不限于培训目标、培训形式、培训规模、培训批次、培训讲师管理、培训资料编制等。</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6.8运行维护方案。根据项目需求，提供运行维护方案，方案内容包括但不限于运维服务人员管理、服务方式、服务内容、服务标准等。</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6.9应急响应方案。根据项目需求，提供应急响应方案，方案内容应包括应急事件分类、应急响应目标、应急事件处理过程等。</w:t>
            </w:r>
            <w:r>
              <w:rPr>
                <w:rFonts w:ascii="宋体" w:hAnsi="宋体" w:cs="仿宋"/>
                <w:lang w:bidi="ar"/>
              </w:rPr>
            </w:r>
            <w:r/>
          </w:p>
          <w:p>
            <w:pPr>
              <w:pStyle w:val="891"/>
              <w:widowControl/>
              <w:rPr>
                <w:rFonts w:ascii="宋体" w:hAnsi="宋体" w:cs="仿宋"/>
                <w:lang w:bidi="ar"/>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lang w:bidi="ar"/>
              </w:rPr>
            </w:r>
            <w:r/>
          </w:p>
        </w:tc>
        <w:tc>
          <w:tcPr>
            <w:tcW w:w="473" w:type="pct"/>
            <w:vAlign w:val="center"/>
            <w:vMerge w:val="continue"/>
            <w:textDirection w:val="lrTb"/>
            <w:noWrap w:val="false"/>
          </w:tcPr>
          <w:p>
            <w:pPr>
              <w:pStyle w:val="891"/>
              <w:jc w:val="center"/>
              <w:rPr>
                <w:rFonts w:ascii="宋体" w:hAnsi="宋体" w:cs="仿宋"/>
                <w:lang w:bidi="ar"/>
              </w:rPr>
            </w:pPr>
            <w:r>
              <w:rPr>
                <w:rFonts w:ascii="宋体" w:hAnsi="宋体" w:cs="仿宋"/>
                <w:lang w:bidi="ar"/>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ascii="宋体" w:hAnsi="宋体" w:cs="仿宋"/>
                <w:lang w:bidi="ar"/>
              </w:rPr>
              <w:t xml:space="preserve">6</w:t>
            </w:r>
            <w:r>
              <w:rPr>
                <w:rFonts w:hint="eastAsia" w:ascii="宋体" w:hAnsi="宋体" w:cs="仿宋"/>
                <w:lang w:bidi="ar"/>
              </w:rPr>
              <w:t xml:space="preserve">.1</w:t>
            </w:r>
            <w:r>
              <w:rPr>
                <w:rFonts w:ascii="宋体" w:hAnsi="宋体" w:cs="仿宋"/>
                <w:lang w:bidi="ar"/>
              </w:rPr>
              <w:t xml:space="preserve">0</w:t>
            </w:r>
            <w:r>
              <w:rPr>
                <w:rFonts w:hint="eastAsia" w:ascii="宋体" w:hAnsi="宋体" w:cs="仿宋"/>
                <w:lang w:bidi="ar"/>
              </w:rPr>
              <w:t xml:space="preserve">验收方案。根据项目需求，提供验收方案，方案内容包括但不限于验收计划、验收方法、验收标准、验收文档等。</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根据提供的方案进行打分，优于项目需求得</w:t>
            </w:r>
            <w:r>
              <w:rPr>
                <w:rFonts w:ascii="宋体" w:hAnsi="宋体" w:cs="仿宋"/>
                <w:lang w:bidi="ar"/>
              </w:rPr>
              <w:t xml:space="preserve">4</w:t>
            </w:r>
            <w:r>
              <w:rPr>
                <w:rFonts w:hint="eastAsia" w:ascii="宋体" w:hAnsi="宋体" w:cs="仿宋"/>
                <w:lang w:bidi="ar"/>
              </w:rPr>
              <w:t xml:space="preserve">分，符合项目需求得</w:t>
            </w:r>
            <w:r>
              <w:rPr>
                <w:rFonts w:ascii="宋体" w:hAnsi="宋体" w:cs="仿宋"/>
                <w:lang w:bidi="ar"/>
              </w:rPr>
              <w:t xml:space="preserve">2</w:t>
            </w:r>
            <w:r>
              <w:rPr>
                <w:rFonts w:hint="eastAsia" w:ascii="宋体" w:hAnsi="宋体" w:cs="仿宋"/>
                <w:lang w:bidi="ar"/>
              </w:rPr>
              <w:t xml:space="preserve">分，不符合或未提供得0分。</w:t>
            </w:r>
            <w:r>
              <w:rPr>
                <w:rFonts w:ascii="宋体" w:hAnsi="宋体" w:cs="仿宋"/>
              </w:rPr>
            </w:r>
            <w:r/>
          </w:p>
        </w:tc>
        <w:tc>
          <w:tcPr>
            <w:tcW w:w="473" w:type="pct"/>
            <w:vAlign w:val="center"/>
            <w:vMerge w:val="continue"/>
            <w:textDirection w:val="lrTb"/>
            <w:noWrap w:val="false"/>
          </w:tcPr>
          <w:p>
            <w:pPr>
              <w:pStyle w:val="891"/>
              <w:jc w:val="center"/>
              <w:widowControl/>
              <w:rPr>
                <w:rFonts w:ascii="宋体" w:hAnsi="宋体" w:cs="仿宋"/>
              </w:rPr>
            </w:pPr>
            <w:r>
              <w:rPr>
                <w:rFonts w:ascii="宋体" w:hAnsi="宋体" w:cs="仿宋"/>
              </w:rPr>
            </w:r>
            <w:r/>
          </w:p>
        </w:tc>
      </w:tr>
      <w:tr>
        <w:trPr>
          <w:trHeight w:val="300"/>
        </w:trPr>
        <w:tc>
          <w:tcPr>
            <w:tcW w:w="766" w:type="pct"/>
            <w:vAlign w:val="center"/>
            <w:textDirection w:val="lrTb"/>
            <w:noWrap w:val="false"/>
          </w:tcPr>
          <w:p>
            <w:pPr>
              <w:pStyle w:val="891"/>
              <w:jc w:val="center"/>
              <w:widowControl/>
              <w:rPr>
                <w:rFonts w:ascii="宋体" w:hAnsi="宋体" w:cs="仿宋"/>
                <w:lang w:bidi="ar"/>
              </w:rPr>
            </w:pPr>
            <w:r>
              <w:rPr>
                <w:rFonts w:hint="eastAsia" w:ascii="宋体" w:hAnsi="宋体" w:cs="仿宋"/>
                <w:lang w:bidi="ar"/>
              </w:rPr>
              <w:t xml:space="preserve">七、运维保障</w:t>
            </w:r>
            <w:r>
              <w:rPr>
                <w:rFonts w:ascii="宋体" w:hAnsi="宋体" w:cs="仿宋"/>
                <w:lang w:bidi="ar"/>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7</w:t>
            </w:r>
            <w:r>
              <w:rPr>
                <w:rFonts w:ascii="宋体" w:hAnsi="宋体" w:cs="仿宋"/>
                <w:lang w:bidi="ar"/>
              </w:rPr>
              <w:t xml:space="preserve">.1</w:t>
            </w:r>
            <w:r>
              <w:rPr>
                <w:rFonts w:hint="eastAsia" w:ascii="宋体" w:hAnsi="宋体" w:cs="仿宋"/>
                <w:lang w:bidi="ar"/>
              </w:rPr>
              <w:t xml:space="preserve">供应商承诺免费运维期提供6名运维人员在采购人指定地点提供全省运维服务。提供承诺得2分，不提供得0分。</w:t>
            </w:r>
            <w:r>
              <w:rPr>
                <w:rFonts w:ascii="宋体" w:hAnsi="宋体" w:cs="仿宋"/>
                <w:lang w:bidi="ar"/>
              </w:rPr>
            </w:r>
            <w:r/>
          </w:p>
        </w:tc>
        <w:tc>
          <w:tcPr>
            <w:tcW w:w="473" w:type="pct"/>
            <w:vAlign w:val="center"/>
            <w:textDirection w:val="lrTb"/>
            <w:noWrap w:val="false"/>
          </w:tcPr>
          <w:p>
            <w:pPr>
              <w:pStyle w:val="891"/>
              <w:jc w:val="center"/>
              <w:widowControl/>
              <w:rPr>
                <w:rFonts w:ascii="宋体" w:hAnsi="宋体" w:cs="仿宋"/>
                <w:lang w:bidi="ar"/>
              </w:rPr>
            </w:pPr>
            <w:r>
              <w:rPr>
                <w:rFonts w:hint="eastAsia" w:ascii="宋体" w:hAnsi="宋体" w:cs="仿宋"/>
                <w:lang w:bidi="ar"/>
              </w:rPr>
              <w:t xml:space="preserve">2</w:t>
            </w:r>
            <w:r>
              <w:rPr>
                <w:rFonts w:ascii="宋体" w:hAnsi="宋体" w:cs="仿宋"/>
                <w:lang w:bidi="ar"/>
              </w:rPr>
            </w:r>
            <w:r/>
          </w:p>
        </w:tc>
      </w:tr>
      <w:tr>
        <w:trPr>
          <w:cantSplit/>
          <w:trHeight w:val="300"/>
        </w:trPr>
        <w:tc>
          <w:tcPr>
            <w:tcW w:w="766" w:type="pct"/>
            <w:vAlign w:val="center"/>
            <w:vMerge w:val="restart"/>
            <w:textDirection w:val="lrTb"/>
            <w:noWrap w:val="false"/>
          </w:tcPr>
          <w:p>
            <w:pPr>
              <w:pStyle w:val="891"/>
              <w:jc w:val="center"/>
              <w:widowControl/>
              <w:rPr>
                <w:rFonts w:ascii="宋体" w:hAnsi="宋体" w:cs="仿宋"/>
                <w:lang w:bidi="ar"/>
              </w:rPr>
            </w:pPr>
            <w:r>
              <w:rPr>
                <w:rFonts w:hint="eastAsia" w:ascii="宋体" w:hAnsi="宋体" w:cs="仿宋"/>
                <w:lang w:bidi="ar"/>
              </w:rPr>
              <w:t xml:space="preserve">八、系统演示</w:t>
            </w:r>
            <w:r>
              <w:rPr>
                <w:rFonts w:ascii="宋体" w:hAnsi="宋体" w:cs="仿宋"/>
                <w:lang w:bidi="ar"/>
              </w:rPr>
            </w:r>
            <w:r/>
          </w:p>
        </w:tc>
        <w:tc>
          <w:tcPr>
            <w:tcW w:w="3761" w:type="pct"/>
            <w:vAlign w:val="center"/>
            <w:textDirection w:val="lrTb"/>
            <w:noWrap w:val="false"/>
          </w:tcPr>
          <w:p>
            <w:pPr>
              <w:pStyle w:val="891"/>
              <w:widowControl/>
              <w:rPr>
                <w:rFonts w:ascii="宋体" w:hAnsi="宋体" w:cs="仿宋"/>
                <w:lang w:bidi="ar"/>
              </w:rPr>
            </w:pPr>
            <w:r>
              <w:rPr>
                <w:rFonts w:hint="eastAsia" w:ascii="宋体" w:hAnsi="宋体" w:cs="仿宋"/>
                <w:lang w:bidi="ar"/>
              </w:rPr>
              <w:t xml:space="preserve">投标人演示人员和设备需在评标前到达江苏省公共资源交易中心二期四楼等候区。按照苏采云系统安排的顺序进行现场演示，演示需按照招标文件的规定和评标委员会的要求进行，时间不超过</w:t>
            </w:r>
            <w:r>
              <w:rPr>
                <w:rFonts w:ascii="宋体" w:hAnsi="宋体" w:cs="仿宋"/>
                <w:lang w:bidi="ar"/>
              </w:rPr>
              <w:t xml:space="preserve">15</w:t>
            </w:r>
            <w:r>
              <w:rPr>
                <w:rFonts w:hint="eastAsia" w:ascii="宋体" w:hAnsi="宋体" w:cs="仿宋"/>
                <w:lang w:bidi="ar"/>
              </w:rPr>
              <w:t xml:space="preserve">分钟。</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供应商应在投标前根据演示场景准备演示环境，演示环境应为可交互系统，如采用静态页面、</w:t>
            </w:r>
            <w:r>
              <w:rPr>
                <w:rFonts w:ascii="宋体" w:hAnsi="宋体" w:cs="仿宋"/>
                <w:lang w:bidi="ar"/>
              </w:rPr>
              <w:t xml:space="preserve">PPT</w:t>
            </w:r>
            <w:r>
              <w:rPr>
                <w:rFonts w:hint="eastAsia" w:ascii="宋体" w:hAnsi="宋体" w:cs="仿宋"/>
                <w:lang w:bidi="ar"/>
              </w:rPr>
              <w:t xml:space="preserve">、原型</w:t>
            </w:r>
            <w:r>
              <w:rPr>
                <w:rFonts w:ascii="宋体" w:hAnsi="宋体" w:cs="仿宋"/>
                <w:lang w:bidi="ar"/>
              </w:rPr>
              <w:t xml:space="preserve">demo</w:t>
            </w:r>
            <w:r>
              <w:rPr>
                <w:rFonts w:hint="eastAsia" w:ascii="宋体" w:hAnsi="宋体" w:cs="仿宋"/>
                <w:lang w:bidi="ar"/>
              </w:rPr>
              <w:t xml:space="preserve">、或录屏等其它方式演示，每项得分</w:t>
            </w:r>
            <w:r>
              <w:rPr>
                <w:rFonts w:ascii="宋体" w:hAnsi="宋体" w:cs="仿宋"/>
                <w:lang w:bidi="ar"/>
              </w:rPr>
              <w:t xml:space="preserve">*0.5</w:t>
            </w:r>
            <w:r>
              <w:rPr>
                <w:rFonts w:hint="eastAsia" w:ascii="宋体" w:hAnsi="宋体" w:cs="仿宋"/>
                <w:lang w:bidi="ar"/>
              </w:rPr>
              <w:t xml:space="preserve">，不演示不得分。</w:t>
            </w:r>
            <w:r>
              <w:rPr>
                <w:rFonts w:ascii="宋体" w:hAnsi="宋体" w:cs="仿宋"/>
              </w:rPr>
            </w:r>
            <w:r/>
          </w:p>
        </w:tc>
        <w:tc>
          <w:tcPr>
            <w:tcW w:w="473" w:type="pct"/>
            <w:vAlign w:val="center"/>
            <w:vMerge w:val="restart"/>
            <w:textDirection w:val="lrTb"/>
            <w:noWrap w:val="false"/>
          </w:tcPr>
          <w:p>
            <w:pPr>
              <w:pStyle w:val="891"/>
              <w:jc w:val="center"/>
              <w:widowControl/>
              <w:rPr>
                <w:rFonts w:ascii="宋体" w:hAnsi="宋体" w:cs="仿宋"/>
              </w:rPr>
            </w:pPr>
            <w:r>
              <w:rPr>
                <w:rFonts w:hint="eastAsia" w:ascii="宋体" w:hAnsi="宋体" w:cs="仿宋"/>
                <w:lang w:bidi="ar"/>
              </w:rPr>
              <w:t xml:space="preserve">1</w:t>
            </w:r>
            <w:r>
              <w:rPr>
                <w:rFonts w:ascii="宋体" w:hAnsi="宋体" w:cs="仿宋"/>
                <w:lang w:bidi="ar"/>
              </w:rPr>
              <w:t xml:space="preserve">1</w:t>
            </w: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ascii="宋体" w:hAnsi="宋体" w:cs="仿宋"/>
                <w:lang w:bidi="ar"/>
              </w:rPr>
              <w:t xml:space="preserve">8</w:t>
            </w:r>
            <w:r>
              <w:rPr>
                <w:rFonts w:hint="eastAsia" w:ascii="宋体" w:hAnsi="宋体" w:cs="仿宋"/>
                <w:lang w:bidi="ar"/>
              </w:rPr>
              <w:t xml:space="preserve">.1国有企业资产清查功能演示（3分）</w:t>
            </w:r>
            <w:r>
              <w:rPr>
                <w:rFonts w:ascii="宋体" w:hAnsi="宋体" w:cs="仿宋"/>
                <w:lang w:bidi="ar"/>
              </w:rPr>
            </w:r>
            <w:r/>
          </w:p>
          <w:p>
            <w:pPr>
              <w:pStyle w:val="891"/>
              <w:widowControl/>
              <w:rPr>
                <w:rFonts w:ascii="宋体" w:hAnsi="宋体" w:cs="仿宋"/>
                <w:lang w:bidi="ar"/>
              </w:rPr>
            </w:pPr>
            <w:r>
              <w:rPr>
                <w:rFonts w:hint="eastAsia" w:ascii="宋体" w:hAnsi="宋体" w:cs="仿宋"/>
                <w:lang w:bidi="ar"/>
              </w:rPr>
              <w:t xml:space="preserve">演示功能：</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1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①</w:t>
            </w:r>
            <w:r>
              <w:rPr>
                <w:rFonts w:ascii="宋体" w:hAnsi="宋体" w:cs="仿宋"/>
                <w:lang w:bidi="ar"/>
              </w:rPr>
              <w:fldChar w:fldCharType="end"/>
            </w:r>
            <w:r>
              <w:rPr>
                <w:rFonts w:hint="eastAsia" w:ascii="宋体" w:hAnsi="宋体" w:cs="仿宋"/>
                <w:lang w:bidi="ar"/>
              </w:rPr>
              <w:t xml:space="preserve">清查套表填报（供应商可根据对需求的理解，设计至少两张表进行填报演示，演示不少于两个校验功能，演示不少于一处公式配置及计算功能）、</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2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②</w:t>
            </w:r>
            <w:r>
              <w:rPr>
                <w:rFonts w:ascii="宋体" w:hAnsi="宋体" w:cs="仿宋"/>
                <w:lang w:bidi="ar"/>
              </w:rPr>
              <w:fldChar w:fldCharType="end"/>
            </w:r>
            <w:r>
              <w:rPr>
                <w:rFonts w:hint="eastAsia" w:ascii="宋体" w:hAnsi="宋体" w:cs="仿宋"/>
                <w:lang w:bidi="ar"/>
              </w:rPr>
              <w:t xml:space="preserve">审核（至少一个审核环节）、</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3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③</w:t>
            </w:r>
            <w:r>
              <w:rPr>
                <w:rFonts w:ascii="宋体" w:hAnsi="宋体" w:cs="仿宋"/>
                <w:lang w:bidi="ar"/>
              </w:rPr>
              <w:fldChar w:fldCharType="end"/>
            </w:r>
            <w:r>
              <w:rPr>
                <w:rFonts w:hint="eastAsia" w:ascii="宋体" w:hAnsi="宋体" w:cs="仿宋"/>
                <w:lang w:bidi="ar"/>
              </w:rPr>
              <w:t xml:space="preserve">汇总功能。</w:t>
            </w:r>
            <w:r>
              <w:rPr>
                <w:rFonts w:ascii="宋体" w:hAnsi="宋体" w:cs="仿宋"/>
                <w:lang w:bidi="ar"/>
              </w:rPr>
            </w:r>
            <w:r/>
          </w:p>
          <w:p>
            <w:pPr>
              <w:pStyle w:val="891"/>
              <w:widowControl/>
              <w:rPr>
                <w:rFonts w:ascii="宋体" w:hAnsi="宋体" w:cs="仿宋"/>
                <w:lang w:bidi="ar"/>
              </w:rPr>
            </w:pPr>
            <w:r>
              <w:rPr>
                <w:rFonts w:hint="eastAsia" w:ascii="宋体" w:hAnsi="宋体" w:cs="仿宋"/>
                <w:lang w:bidi="ar"/>
              </w:rPr>
              <w:t xml:space="preserve">每个功能点</w:t>
            </w:r>
            <w:r>
              <w:rPr>
                <w:rFonts w:hint="eastAsia" w:ascii="宋体" w:hAnsi="宋体" w:cs="仿宋"/>
                <w:sz w:val="24"/>
                <w:szCs w:val="24"/>
                <w:lang w:bidi="ar"/>
              </w:rPr>
              <w:t xml:space="preserve">演示完整准确得</w:t>
            </w:r>
            <w:r>
              <w:rPr>
                <w:rFonts w:ascii="宋体" w:hAnsi="宋体" w:cs="仿宋"/>
                <w:sz w:val="24"/>
                <w:szCs w:val="24"/>
                <w:lang w:bidi="ar"/>
              </w:rPr>
              <w:t xml:space="preserve">1</w:t>
            </w:r>
            <w:r>
              <w:rPr>
                <w:rFonts w:hint="eastAsia" w:ascii="宋体" w:hAnsi="宋体" w:cs="仿宋"/>
                <w:sz w:val="24"/>
                <w:szCs w:val="24"/>
                <w:lang w:bidi="ar"/>
              </w:rPr>
              <w:t xml:space="preserve">分，最高</w:t>
            </w:r>
            <w:r>
              <w:rPr>
                <w:rFonts w:hint="eastAsia" w:ascii="宋体" w:hAnsi="宋体" w:cs="仿宋"/>
                <w:lang w:bidi="ar"/>
              </w:rPr>
              <w:t xml:space="preserve">得</w:t>
            </w:r>
            <w:r>
              <w:rPr>
                <w:rFonts w:ascii="宋体" w:hAnsi="宋体" w:cs="仿宋"/>
                <w:sz w:val="24"/>
                <w:szCs w:val="24"/>
                <w:lang w:bidi="ar"/>
              </w:rPr>
              <w:t xml:space="preserve">3</w:t>
            </w:r>
            <w:r>
              <w:rPr>
                <w:rFonts w:hint="eastAsia" w:ascii="宋体" w:hAnsi="宋体" w:cs="仿宋"/>
                <w:sz w:val="24"/>
                <w:szCs w:val="24"/>
                <w:lang w:bidi="ar"/>
              </w:rPr>
              <w:t xml:space="preserve">分</w:t>
            </w:r>
            <w:r>
              <w:rPr>
                <w:rFonts w:hint="eastAsia" w:ascii="宋体" w:hAnsi="宋体" w:cs="仿宋"/>
                <w:lang w:bidi="ar"/>
              </w:rPr>
              <w:t xml:space="preserve">，不演示不得分。</w:t>
            </w:r>
            <w:r>
              <w:rPr>
                <w:rFonts w:ascii="宋体" w:hAnsi="宋体" w:cs="仿宋"/>
                <w:lang w:bidi="ar"/>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ascii="宋体" w:hAnsi="宋体" w:cs="仿宋"/>
                <w:lang w:bidi="ar"/>
              </w:rPr>
              <w:t xml:space="preserve">8</w:t>
            </w:r>
            <w:r>
              <w:rPr>
                <w:rFonts w:hint="eastAsia" w:ascii="宋体" w:hAnsi="宋体" w:cs="仿宋"/>
                <w:lang w:bidi="ar"/>
              </w:rPr>
              <w:t xml:space="preserve">.</w:t>
            </w:r>
            <w:r>
              <w:rPr>
                <w:rFonts w:ascii="宋体" w:hAnsi="宋体" w:cs="仿宋"/>
                <w:lang w:bidi="ar"/>
              </w:rPr>
              <w:t xml:space="preserve">2</w:t>
            </w:r>
            <w:r>
              <w:rPr>
                <w:rFonts w:hint="eastAsia" w:ascii="宋体" w:hAnsi="宋体" w:cs="仿宋"/>
                <w:lang w:bidi="ar"/>
              </w:rPr>
              <w:t xml:space="preserve">监督预警模型管理功能演示（3分）</w:t>
            </w:r>
            <w:r>
              <w:rPr>
                <w:rFonts w:ascii="宋体" w:hAnsi="宋体" w:cs="仿宋"/>
                <w:lang w:bidi="ar"/>
              </w:rPr>
            </w:r>
            <w:r/>
          </w:p>
          <w:p>
            <w:pPr>
              <w:pStyle w:val="891"/>
              <w:widowControl/>
              <w:rPr>
                <w:rFonts w:ascii="宋体" w:hAnsi="宋体" w:cs="仿宋"/>
                <w:lang w:bidi="ar"/>
              </w:rPr>
            </w:pPr>
            <w:r>
              <w:rPr>
                <w:rFonts w:hint="eastAsia" w:ascii="宋体" w:hAnsi="宋体" w:cs="仿宋"/>
                <w:lang w:bidi="ar"/>
              </w:rPr>
              <w:t xml:space="preserve">演示功能：</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1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①</w:t>
            </w:r>
            <w:r>
              <w:rPr>
                <w:rFonts w:ascii="宋体" w:hAnsi="宋体" w:cs="仿宋"/>
                <w:lang w:bidi="ar"/>
              </w:rPr>
              <w:fldChar w:fldCharType="end"/>
            </w:r>
            <w:r>
              <w:rPr>
                <w:rFonts w:hint="eastAsia" w:ascii="宋体" w:hAnsi="宋体" w:cs="仿宋"/>
                <w:lang w:bidi="ar"/>
              </w:rPr>
              <w:t xml:space="preserve">模型设置、</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2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②</w:t>
            </w:r>
            <w:r>
              <w:rPr>
                <w:rFonts w:ascii="宋体" w:hAnsi="宋体" w:cs="仿宋"/>
                <w:lang w:bidi="ar"/>
              </w:rPr>
              <w:fldChar w:fldCharType="end"/>
            </w:r>
            <w:r>
              <w:rPr>
                <w:rFonts w:hint="eastAsia" w:ascii="宋体" w:hAnsi="宋体" w:cs="仿宋"/>
                <w:lang w:bidi="ar"/>
              </w:rPr>
              <w:t xml:space="preserve">模型启用（需验证是否生效）、</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3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③</w:t>
            </w:r>
            <w:r>
              <w:rPr>
                <w:rFonts w:ascii="宋体" w:hAnsi="宋体" w:cs="仿宋"/>
                <w:lang w:bidi="ar"/>
              </w:rPr>
              <w:fldChar w:fldCharType="end"/>
            </w:r>
            <w:r>
              <w:rPr>
                <w:rFonts w:hint="eastAsia" w:ascii="宋体" w:hAnsi="宋体" w:cs="仿宋"/>
                <w:lang w:bidi="ar"/>
              </w:rPr>
              <w:t xml:space="preserve">模型停止。</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每个功能点</w:t>
            </w:r>
            <w:r>
              <w:rPr>
                <w:rFonts w:ascii="宋体" w:hAnsi="宋体" w:cs="仿宋"/>
                <w:lang w:bidi="ar"/>
              </w:rPr>
              <w:t xml:space="preserve">演示完整准确得1</w:t>
            </w:r>
            <w:r>
              <w:rPr>
                <w:rFonts w:hint="eastAsia" w:ascii="宋体" w:hAnsi="宋体" w:cs="仿宋"/>
                <w:lang w:bidi="ar"/>
              </w:rPr>
              <w:t xml:space="preserve">分，最高得</w:t>
            </w:r>
            <w:r>
              <w:rPr>
                <w:rFonts w:ascii="宋体" w:hAnsi="宋体" w:cs="仿宋"/>
                <w:lang w:bidi="ar"/>
              </w:rPr>
              <w:t xml:space="preserve">3</w:t>
            </w:r>
            <w:r>
              <w:rPr>
                <w:rFonts w:hint="eastAsia" w:ascii="宋体" w:hAnsi="宋体" w:cs="仿宋"/>
                <w:lang w:bidi="ar"/>
              </w:rPr>
              <w:t xml:space="preserve">分，不演示不得分。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ascii="宋体" w:hAnsi="宋体" w:cs="仿宋"/>
                <w:lang w:bidi="ar"/>
              </w:rPr>
              <w:t xml:space="preserve">8</w:t>
            </w:r>
            <w:r>
              <w:rPr>
                <w:rFonts w:hint="eastAsia" w:ascii="宋体" w:hAnsi="宋体" w:cs="仿宋"/>
                <w:lang w:bidi="ar"/>
              </w:rPr>
              <w:t xml:space="preserve">.</w:t>
            </w:r>
            <w:r>
              <w:rPr>
                <w:rFonts w:ascii="宋体" w:hAnsi="宋体" w:cs="仿宋"/>
                <w:lang w:bidi="ar"/>
              </w:rPr>
              <w:t xml:space="preserve">3</w:t>
            </w:r>
            <w:r>
              <w:rPr>
                <w:rFonts w:hint="eastAsia" w:ascii="宋体" w:hAnsi="宋体" w:cs="仿宋"/>
                <w:lang w:bidi="ar"/>
              </w:rPr>
              <w:t xml:space="preserve">智能预警管理功能演示（3分）</w:t>
            </w:r>
            <w:r>
              <w:rPr>
                <w:rFonts w:ascii="宋体" w:hAnsi="宋体" w:cs="仿宋"/>
                <w:lang w:bidi="ar"/>
              </w:rPr>
            </w:r>
            <w:r/>
          </w:p>
          <w:p>
            <w:pPr>
              <w:pStyle w:val="891"/>
              <w:widowControl/>
              <w:rPr>
                <w:rFonts w:ascii="宋体" w:hAnsi="宋体" w:cs="仿宋"/>
                <w:lang w:bidi="ar"/>
              </w:rPr>
            </w:pPr>
            <w:r>
              <w:rPr>
                <w:rFonts w:hint="eastAsia" w:ascii="宋体" w:hAnsi="宋体" w:cs="仿宋"/>
                <w:lang w:bidi="ar"/>
              </w:rPr>
              <w:t xml:space="preserve">演示功能：</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1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①</w:t>
            </w:r>
            <w:r>
              <w:rPr>
                <w:rFonts w:ascii="宋体" w:hAnsi="宋体" w:cs="仿宋"/>
                <w:lang w:bidi="ar"/>
              </w:rPr>
              <w:fldChar w:fldCharType="end"/>
            </w:r>
            <w:r>
              <w:rPr>
                <w:rFonts w:hint="eastAsia" w:ascii="宋体" w:hAnsi="宋体" w:cs="仿宋"/>
                <w:lang w:bidi="ar"/>
              </w:rPr>
              <w:t xml:space="preserve">预警信息生成、</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2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②</w:t>
            </w:r>
            <w:r>
              <w:rPr>
                <w:rFonts w:ascii="宋体" w:hAnsi="宋体" w:cs="仿宋"/>
                <w:lang w:bidi="ar"/>
              </w:rPr>
              <w:fldChar w:fldCharType="end"/>
            </w:r>
            <w:r>
              <w:rPr>
                <w:rFonts w:hint="eastAsia" w:ascii="宋体" w:hAnsi="宋体" w:cs="仿宋"/>
                <w:lang w:bidi="ar"/>
              </w:rPr>
              <w:t xml:space="preserve">预警信息提醒、</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3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③</w:t>
            </w:r>
            <w:r>
              <w:rPr>
                <w:rFonts w:ascii="宋体" w:hAnsi="宋体" w:cs="仿宋"/>
                <w:lang w:bidi="ar"/>
              </w:rPr>
              <w:fldChar w:fldCharType="end"/>
            </w:r>
            <w:r>
              <w:rPr>
                <w:rFonts w:hint="eastAsia" w:ascii="宋体" w:hAnsi="宋体" w:cs="仿宋"/>
                <w:lang w:bidi="ar"/>
              </w:rPr>
              <w:t xml:space="preserve">预警信息详情查看。</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每个功能点</w:t>
            </w:r>
            <w:r>
              <w:rPr>
                <w:rFonts w:ascii="宋体" w:hAnsi="宋体" w:cs="仿宋"/>
                <w:lang w:bidi="ar"/>
              </w:rPr>
              <w:t xml:space="preserve">演示完整准确得</w:t>
            </w:r>
            <w:r>
              <w:rPr>
                <w:rFonts w:hint="eastAsia" w:ascii="宋体" w:hAnsi="宋体" w:cs="仿宋"/>
                <w:lang w:bidi="ar"/>
              </w:rPr>
              <w:t xml:space="preserve">1分，最高得3分，不演示不得分。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cantSplit/>
          <w:trHeight w:val="300"/>
        </w:trPr>
        <w:tc>
          <w:tcPr>
            <w:tcW w:w="766" w:type="pct"/>
            <w:vAlign w:val="center"/>
            <w:vMerge w:val="continue"/>
            <w:textDirection w:val="lrTb"/>
            <w:noWrap w:val="false"/>
          </w:tcPr>
          <w:p>
            <w:pPr>
              <w:pStyle w:val="891"/>
              <w:jc w:val="center"/>
              <w:rPr>
                <w:rFonts w:ascii="宋体" w:hAnsi="宋体" w:cs="仿宋"/>
              </w:rPr>
            </w:pPr>
            <w:r>
              <w:rPr>
                <w:rFonts w:ascii="宋体" w:hAnsi="宋体" w:cs="仿宋"/>
              </w:rPr>
            </w:r>
            <w:r/>
          </w:p>
        </w:tc>
        <w:tc>
          <w:tcPr>
            <w:tcW w:w="3761" w:type="pct"/>
            <w:vAlign w:val="center"/>
            <w:textDirection w:val="lrTb"/>
            <w:noWrap w:val="false"/>
          </w:tcPr>
          <w:p>
            <w:pPr>
              <w:pStyle w:val="891"/>
              <w:widowControl/>
              <w:rPr>
                <w:rFonts w:ascii="宋体" w:hAnsi="宋体" w:cs="仿宋"/>
                <w:lang w:bidi="ar"/>
              </w:rPr>
            </w:pPr>
            <w:r>
              <w:rPr>
                <w:rFonts w:ascii="宋体" w:hAnsi="宋体" w:cs="仿宋"/>
                <w:lang w:bidi="ar"/>
              </w:rPr>
              <w:t xml:space="preserve">8</w:t>
            </w:r>
            <w:r>
              <w:rPr>
                <w:rFonts w:hint="eastAsia" w:ascii="宋体" w:hAnsi="宋体" w:cs="仿宋"/>
                <w:lang w:bidi="ar"/>
              </w:rPr>
              <w:t xml:space="preserve">.</w:t>
            </w:r>
            <w:r>
              <w:rPr>
                <w:rFonts w:ascii="宋体" w:hAnsi="宋体" w:cs="仿宋"/>
                <w:lang w:bidi="ar"/>
              </w:rPr>
              <w:t xml:space="preserve">4 </w:t>
            </w:r>
            <w:r>
              <w:rPr>
                <w:rFonts w:hint="eastAsia" w:ascii="宋体" w:hAnsi="宋体" w:cs="仿宋"/>
                <w:lang w:bidi="ar"/>
              </w:rPr>
              <w:t xml:space="preserve">资产驾驶舱功能演示（2分）</w:t>
            </w:r>
            <w:r>
              <w:rPr>
                <w:rFonts w:ascii="宋体" w:hAnsi="宋体" w:cs="仿宋"/>
                <w:lang w:bidi="ar"/>
              </w:rPr>
            </w:r>
            <w:r/>
          </w:p>
          <w:p>
            <w:pPr>
              <w:pStyle w:val="891"/>
              <w:widowControl/>
              <w:rPr>
                <w:rFonts w:ascii="宋体" w:hAnsi="宋体" w:cs="仿宋"/>
                <w:lang w:bidi="ar"/>
              </w:rPr>
            </w:pPr>
            <w:r>
              <w:rPr>
                <w:rFonts w:hint="eastAsia" w:ascii="宋体" w:hAnsi="宋体" w:cs="仿宋"/>
                <w:lang w:bidi="ar"/>
              </w:rPr>
              <w:t xml:space="preserve">演示功能：</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1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①</w:t>
            </w:r>
            <w:r>
              <w:rPr>
                <w:rFonts w:ascii="宋体" w:hAnsi="宋体" w:cs="仿宋"/>
                <w:lang w:bidi="ar"/>
              </w:rPr>
              <w:fldChar w:fldCharType="end"/>
            </w:r>
            <w:r>
              <w:rPr>
                <w:rFonts w:hint="eastAsia" w:ascii="宋体" w:hAnsi="宋体" w:cs="仿宋"/>
                <w:lang w:bidi="ar"/>
              </w:rPr>
              <w:t xml:space="preserve">行政事业性国有资产概况、资产清查总览、盘活利用总览、监督预警总览、业务专题功能；</w:t>
            </w:r>
            <w:r>
              <w:rPr>
                <w:rFonts w:ascii="宋体" w:hAnsi="宋体" w:cs="仿宋"/>
                <w:lang w:bidi="ar"/>
              </w:rPr>
              <w:fldChar w:fldCharType="begin"/>
            </w:r>
            <w:r>
              <w:rPr>
                <w:rFonts w:ascii="宋体" w:hAnsi="宋体" w:cs="仿宋"/>
                <w:lang w:bidi="ar"/>
              </w:rPr>
              <w:instrText xml:space="preserve"> </w:instrText>
            </w:r>
            <w:r>
              <w:rPr>
                <w:rFonts w:hint="eastAsia" w:ascii="宋体" w:hAnsi="宋体" w:cs="仿宋"/>
                <w:lang w:bidi="ar"/>
              </w:rPr>
              <w:instrText xml:space="preserve">= 2 \* GB3</w:instrText>
            </w:r>
            <w:r>
              <w:rPr>
                <w:rFonts w:ascii="宋体" w:hAnsi="宋体" w:cs="仿宋"/>
                <w:lang w:bidi="ar"/>
              </w:rPr>
              <w:instrText xml:space="preserve"> </w:instrText>
            </w:r>
            <w:r>
              <w:rPr>
                <w:rFonts w:ascii="宋体" w:hAnsi="宋体" w:cs="仿宋"/>
                <w:lang w:bidi="ar"/>
              </w:rPr>
              <w:fldChar w:fldCharType="separate"/>
            </w:r>
            <w:r>
              <w:rPr>
                <w:rFonts w:hint="eastAsia" w:ascii="宋体" w:hAnsi="宋体" w:cs="仿宋"/>
                <w:lang w:bidi="ar"/>
              </w:rPr>
              <w:t xml:space="preserve">②</w:t>
            </w:r>
            <w:r>
              <w:rPr>
                <w:rFonts w:ascii="宋体" w:hAnsi="宋体" w:cs="仿宋"/>
                <w:lang w:bidi="ar"/>
              </w:rPr>
              <w:fldChar w:fldCharType="end"/>
            </w:r>
            <w:r>
              <w:rPr>
                <w:rFonts w:hint="eastAsia" w:ascii="宋体" w:hAnsi="宋体" w:cs="仿宋"/>
                <w:lang w:bidi="ar"/>
              </w:rPr>
              <w:t xml:space="preserve">国资国有企业资产概况、资产清查总览、盘活利用总览、监督预警总览、业务专题功能。（可用模拟数据完成驾驶舱交互功能演示）</w:t>
            </w:r>
            <w:r>
              <w:rPr>
                <w:rFonts w:ascii="宋体" w:hAnsi="宋体" w:cs="仿宋"/>
                <w:lang w:bidi="ar"/>
              </w:rPr>
            </w:r>
            <w:r/>
          </w:p>
          <w:p>
            <w:pPr>
              <w:pStyle w:val="891"/>
              <w:widowControl/>
              <w:rPr>
                <w:rFonts w:ascii="宋体" w:hAnsi="宋体" w:cs="仿宋"/>
              </w:rPr>
            </w:pPr>
            <w:r>
              <w:rPr>
                <w:rFonts w:hint="eastAsia" w:ascii="宋体" w:hAnsi="宋体" w:cs="仿宋"/>
                <w:lang w:bidi="ar"/>
              </w:rPr>
              <w:t xml:space="preserve">每个功能点</w:t>
            </w:r>
            <w:r>
              <w:rPr>
                <w:rFonts w:ascii="宋体" w:hAnsi="宋体" w:cs="仿宋"/>
                <w:lang w:bidi="ar"/>
              </w:rPr>
              <w:t xml:space="preserve">演示完整准确得</w:t>
            </w:r>
            <w:r>
              <w:rPr>
                <w:rFonts w:hint="eastAsia" w:ascii="宋体" w:hAnsi="宋体" w:cs="仿宋"/>
                <w:lang w:bidi="ar"/>
              </w:rPr>
              <w:t xml:space="preserve">1分，最高得</w:t>
            </w:r>
            <w:r>
              <w:rPr>
                <w:rFonts w:ascii="宋体" w:hAnsi="宋体" w:cs="仿宋"/>
                <w:lang w:bidi="ar"/>
              </w:rPr>
              <w:t xml:space="preserve">2</w:t>
            </w:r>
            <w:r>
              <w:rPr>
                <w:rFonts w:hint="eastAsia" w:ascii="宋体" w:hAnsi="宋体" w:cs="仿宋"/>
                <w:lang w:bidi="ar"/>
              </w:rPr>
              <w:t xml:space="preserve">分，不演示不得分。</w:t>
            </w:r>
            <w:r>
              <w:rPr>
                <w:rFonts w:ascii="宋体" w:hAnsi="宋体" w:cs="仿宋"/>
              </w:rPr>
            </w:r>
            <w:r/>
          </w:p>
        </w:tc>
        <w:tc>
          <w:tcPr>
            <w:tcW w:w="473" w:type="pct"/>
            <w:vAlign w:val="center"/>
            <w:vMerge w:val="continue"/>
            <w:textDirection w:val="lrTb"/>
            <w:noWrap w:val="false"/>
          </w:tcPr>
          <w:p>
            <w:pPr>
              <w:pStyle w:val="891"/>
              <w:jc w:val="center"/>
              <w:rPr>
                <w:rFonts w:ascii="宋体" w:hAnsi="宋体" w:cs="仿宋"/>
              </w:rPr>
            </w:pPr>
            <w:r>
              <w:rPr>
                <w:rFonts w:ascii="宋体" w:hAnsi="宋体" w:cs="仿宋"/>
              </w:rPr>
            </w:r>
            <w:r/>
          </w:p>
        </w:tc>
      </w:tr>
      <w:tr>
        <w:trPr>
          <w:trHeight w:val="864"/>
        </w:trPr>
        <w:tc>
          <w:tcPr>
            <w:gridSpan w:val="3"/>
            <w:shd w:val="pct10" w:color="auto" w:fill="auto"/>
            <w:tcW w:w="5000" w:type="pct"/>
            <w:vAlign w:val="center"/>
            <w:textDirection w:val="lrTb"/>
            <w:noWrap w:val="false"/>
          </w:tcPr>
          <w:p>
            <w:pPr>
              <w:pStyle w:val="891"/>
              <w:ind w:firstLine="643"/>
              <w:jc w:val="center"/>
              <w:widowControl/>
              <w:rPr>
                <w:rFonts w:ascii="宋体" w:hAnsi="宋体" w:cs="仿宋"/>
                <w:b/>
                <w:bCs/>
              </w:rPr>
            </w:pPr>
            <w:r>
              <w:rPr>
                <w:rFonts w:hint="eastAsia" w:ascii="宋体" w:hAnsi="宋体" w:cs="仿宋"/>
                <w:b/>
                <w:bCs/>
                <w:lang w:bidi="ar"/>
              </w:rPr>
              <w:t xml:space="preserve">合计100分</w:t>
            </w:r>
            <w:r>
              <w:rPr>
                <w:rFonts w:ascii="宋体" w:hAnsi="宋体" w:cs="仿宋"/>
                <w:b/>
                <w:bCs/>
              </w:rPr>
            </w:r>
            <w:r/>
          </w:p>
        </w:tc>
      </w:tr>
    </w:tbl>
    <w:p>
      <w:pPr>
        <w:pStyle w:val="891"/>
        <w:rPr>
          <w:rFonts w:hint="eastAsia"/>
        </w:rPr>
      </w:pPr>
      <w:r>
        <w:rPr>
          <w:rFonts w:hint="eastAsia"/>
        </w:rPr>
      </w:r>
      <w:r/>
    </w:p>
    <w:p>
      <w:pPr>
        <w:pStyle w:val="891"/>
        <w:rPr>
          <w:rFonts w:hint="eastAsia"/>
        </w:rPr>
      </w:pPr>
      <w:r>
        <w:rPr>
          <w:rFonts w:hint="eastAsia"/>
        </w:rPr>
      </w:r>
      <w:r/>
    </w:p>
    <w:p>
      <w:pPr>
        <w:pStyle w:val="891"/>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pPr>
      <w:r/>
      <w:r/>
    </w:p>
    <w:p>
      <w:pPr>
        <w:pStyle w:val="892"/>
        <w:rPr>
          <w:rFonts w:hint="eastAsia" w:ascii="黑体" w:eastAsia="黑体"/>
          <w:bCs/>
          <w:sz w:val="44"/>
        </w:rPr>
      </w:pPr>
      <w:r>
        <w:rPr>
          <w:rFonts w:hint="eastAsia" w:ascii="黑体" w:eastAsia="黑体"/>
          <w:bCs/>
          <w:sz w:val="44"/>
        </w:rPr>
        <w:t xml:space="preserve">第六章  投标</w:t>
      </w:r>
      <w:bookmarkEnd w:id="189"/>
      <w:r/>
      <w:bookmarkEnd w:id="190"/>
      <w:r/>
      <w:bookmarkEnd w:id="212"/>
      <w:r>
        <w:rPr>
          <w:rFonts w:hint="eastAsia" w:ascii="黑体" w:eastAsia="黑体"/>
          <w:bCs/>
          <w:sz w:val="44"/>
        </w:rPr>
        <w:t xml:space="preserve">文件格式 </w:t>
      </w:r>
      <w:r/>
    </w:p>
    <w:p>
      <w:pPr>
        <w:pStyle w:val="891"/>
        <w:jc w:val="center"/>
        <w:rPr>
          <w:rFonts w:hint="eastAsia" w:ascii="宋体" w:hAnsi="宋体"/>
          <w:b/>
          <w:sz w:val="72"/>
        </w:rPr>
      </w:pPr>
      <w:r/>
      <w:bookmarkStart w:id="213" w:name="_Toc120614282"/>
      <w:r/>
      <w:bookmarkStart w:id="214" w:name="_Toc49090576"/>
      <w:r/>
      <w:bookmarkStart w:id="215" w:name="_Toc26554094"/>
      <w:r/>
      <w:bookmarkStart w:id="216" w:name="_Hlt26671244"/>
      <w:r/>
      <w:bookmarkEnd w:id="216"/>
      <w:r/>
      <w:bookmarkStart w:id="217" w:name="_Hlt26955039"/>
      <w:r/>
      <w:bookmarkEnd w:id="217"/>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ascii="宋体" w:hAnsi="宋体"/>
        </w:rPr>
      </w:pPr>
      <w:r>
        <w:rPr>
          <w:rFonts w:ascii="宋体" w:hAnsi="宋体"/>
        </w:rPr>
      </w:r>
      <w:r/>
    </w:p>
    <w:p>
      <w:pPr>
        <w:pStyle w:val="89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文件的</w:t>
      </w:r>
      <w:r>
        <w:rPr>
          <w:rFonts w:ascii="宋体" w:hAnsi="宋体"/>
          <w:b/>
          <w:bCs/>
          <w:sz w:val="32"/>
          <w:szCs w:val="32"/>
        </w:rPr>
        <w:t xml:space="preserve">组成</w:t>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9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1"/>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89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9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szCs w:val="24"/>
        </w:rPr>
        <w:t xml:space="preserve">2023或2024年度的财务状况报告</w:t>
      </w:r>
      <w:r>
        <w:rPr>
          <w:rFonts w:hint="eastAsia" w:ascii="宋体" w:hAnsi="宋体"/>
          <w:sz w:val="24"/>
        </w:rPr>
        <w:t xml:space="preserve">（投标人成立不满一年无需提供）</w:t>
      </w:r>
      <w:r/>
    </w:p>
    <w:p>
      <w:pPr>
        <w:pStyle w:val="89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9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9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9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9</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10</w:t>
      </w:r>
      <w:r>
        <w:rPr>
          <w:rFonts w:ascii="宋体" w:hAnsi="宋体"/>
          <w:sz w:val="24"/>
        </w:rPr>
        <w:t xml:space="preserve">.</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rPr>
          <w:rFonts w:hint="eastAsia" w:ascii="宋体" w:hAnsi="宋体"/>
          <w:sz w:val="24"/>
        </w:rPr>
      </w:r>
      <w:r/>
    </w:p>
    <w:p>
      <w:pPr>
        <w:pStyle w:val="891"/>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ascii="宋体" w:hAnsi="宋体"/>
          <w:sz w:val="24"/>
        </w:rPr>
        <w:t xml:space="preserve">.</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pStyle w:val="891"/>
        <w:ind w:left="480"/>
        <w:spacing w:line="400" w:lineRule="exact"/>
        <w:rPr>
          <w:rFonts w:ascii="宋体" w:hAnsi="宋体"/>
          <w:sz w:val="24"/>
          <w:szCs w:val="24"/>
        </w:rPr>
      </w:pPr>
      <w:r>
        <w:rPr>
          <w:rFonts w:hint="eastAsia" w:ascii="宋体" w:hAnsi="宋体"/>
          <w:sz w:val="24"/>
          <w:szCs w:val="24"/>
        </w:rPr>
        <w:t xml:space="preserve">总备注：上述“资格审查内容”中1-5条、8</w:t>
      </w:r>
      <w:r>
        <w:rPr>
          <w:rFonts w:hint="eastAsia" w:ascii="宋体" w:hAnsi="宋体"/>
          <w:sz w:val="24"/>
          <w:szCs w:val="24"/>
        </w:rPr>
        <w:t xml:space="preserve">、9</w:t>
      </w:r>
      <w:r>
        <w:rPr>
          <w:rFonts w:hint="eastAsia" w:ascii="宋体" w:hAnsi="宋体"/>
          <w:sz w:val="24"/>
          <w:szCs w:val="24"/>
        </w:rPr>
        <w:t xml:space="preserve">条投标人必须在投标文件中提</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9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pStyle w:val="89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9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91"/>
        <w:ind w:firstLine="480"/>
        <w:spacing w:line="440" w:lineRule="exact"/>
        <w:rPr>
          <w:rFonts w:ascii="宋体" w:hAnsi="宋体"/>
          <w:sz w:val="24"/>
        </w:rPr>
      </w:pPr>
      <w:r>
        <w:rPr>
          <w:rFonts w:ascii="宋体" w:hAnsi="宋体"/>
          <w:sz w:val="24"/>
        </w:rPr>
      </w:r>
      <w:r/>
    </w:p>
    <w:p>
      <w:pPr>
        <w:pStyle w:val="891"/>
        <w:rPr>
          <w:rFonts w:ascii="宋体" w:hAnsi="宋体"/>
          <w:b/>
          <w:sz w:val="24"/>
          <w:szCs w:val="24"/>
        </w:rPr>
      </w:pPr>
      <w:r>
        <w:rPr>
          <w:rFonts w:ascii="宋体" w:hAnsi="宋体"/>
          <w:b/>
          <w:sz w:val="24"/>
          <w:szCs w:val="24"/>
        </w:rPr>
      </w:r>
      <w:r/>
    </w:p>
    <w:p>
      <w:pPr>
        <w:pStyle w:val="891"/>
        <w:rPr>
          <w:rFonts w:hint="eastAsia" w:eastAsia="仿宋_GB2312"/>
          <w:sz w:val="24"/>
          <w:szCs w:val="20"/>
        </w:rPr>
      </w:pPr>
      <w:r>
        <w:rPr>
          <w:rFonts w:hint="eastAsia" w:ascii="宋体" w:hAnsi="宋体"/>
          <w:b/>
          <w:sz w:val="24"/>
          <w:szCs w:val="24"/>
        </w:rPr>
        <w:t xml:space="preserve">附件1 </w:t>
      </w:r>
      <w:r>
        <w:rPr>
          <w:rFonts w:hint="eastAsia" w:ascii="宋体" w:hAnsi="宋体"/>
          <w:b/>
          <w:sz w:val="24"/>
          <w:szCs w:val="24"/>
        </w:rPr>
        <w:t xml:space="preserve">开标一览表</w:t>
      </w:r>
      <w:r>
        <w:rPr>
          <w:rFonts w:hint="eastAsia" w:eastAsia="仿宋_GB2312"/>
          <w:sz w:val="24"/>
          <w:szCs w:val="20"/>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9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编号：                                   </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1"/>
        <w:jc w:val="center"/>
        <w:rPr>
          <w:rFonts w:ascii="宋体" w:hAnsi="宋体"/>
          <w:b/>
          <w:sz w:val="24"/>
          <w:szCs w:val="24"/>
        </w:rPr>
      </w:pPr>
      <w:r>
        <w:rPr>
          <w:rFonts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附件2 投标分项报价表</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分项</w:t>
            </w:r>
            <w:r/>
          </w:p>
          <w:p>
            <w:pPr>
              <w:pStyle w:val="891"/>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分项</w:t>
            </w:r>
            <w:r/>
          </w:p>
          <w:p>
            <w:pPr>
              <w:pStyle w:val="891"/>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9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891"/>
              <w:spacing w:line="0" w:lineRule="atLeast"/>
              <w:rPr>
                <w:rFonts w:hint="eastAsia" w:ascii="宋体" w:hAnsi="宋体"/>
                <w:sz w:val="24"/>
                <w:szCs w:val="24"/>
              </w:rPr>
            </w:pPr>
            <w:r>
              <w:rPr>
                <w:rFonts w:hint="eastAsia" w:ascii="宋体" w:hAnsi="宋体"/>
                <w:sz w:val="24"/>
                <w:szCs w:val="24"/>
              </w:rPr>
            </w:r>
            <w:r/>
          </w:p>
        </w:tc>
      </w:tr>
    </w:tbl>
    <w:p>
      <w:pPr>
        <w:pStyle w:val="891"/>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1"/>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91"/>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rPr>
          <w:rFonts w:ascii="宋体" w:hAnsi="宋体"/>
          <w:sz w:val="24"/>
          <w:szCs w:val="24"/>
        </w:rPr>
      </w:r>
      <w:r/>
    </w:p>
    <w:p>
      <w:pPr>
        <w:pStyle w:val="891"/>
        <w:spacing w:line="0" w:lineRule="atLeast"/>
        <w:rPr>
          <w:rFonts w:hint="eastAsia" w:ascii="宋体" w:hAnsi="宋体"/>
          <w:sz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rPr>
      </w:r>
      <w:r/>
    </w:p>
    <w:p>
      <w:pPr>
        <w:pStyle w:val="891"/>
        <w:spacing w:line="0" w:lineRule="atLeast"/>
        <w:rPr>
          <w:rFonts w:hint="eastAsia" w:ascii="宋体" w:hAnsi="宋体"/>
          <w:sz w:val="24"/>
        </w:rPr>
      </w:pPr>
      <w:r>
        <w:rPr>
          <w:rFonts w:hint="eastAsia" w:ascii="宋体" w:hAnsi="宋体"/>
          <w:sz w:val="24"/>
        </w:rPr>
      </w:r>
      <w:r/>
    </w:p>
    <w:p>
      <w:pPr>
        <w:pStyle w:val="891"/>
        <w:spacing w:line="0" w:lineRule="atLeast"/>
        <w:rPr>
          <w:rFonts w:hint="eastAsia" w:ascii="宋体" w:hAnsi="宋体"/>
          <w:sz w:val="24"/>
        </w:rPr>
      </w:pPr>
      <w:r>
        <w:rPr>
          <w:rFonts w:hint="eastAsia" w:ascii="宋体" w:hAnsi="宋体"/>
          <w:sz w:val="24"/>
        </w:rPr>
      </w:r>
      <w:r/>
    </w:p>
    <w:p>
      <w:pPr>
        <w:pStyle w:val="891"/>
        <w:spacing w:line="0" w:lineRule="atLeas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对技术</w:t>
      </w:r>
      <w:r>
        <w:rPr>
          <w:rFonts w:hint="eastAsia" w:ascii="宋体" w:hAnsi="宋体"/>
          <w:sz w:val="24"/>
          <w:szCs w:val="24"/>
        </w:rPr>
        <w:t xml:space="preserve">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rPr>
                <w:rFonts w:hint="eastAsia" w:ascii="宋体" w:hAnsi="宋体"/>
                <w:sz w:val="24"/>
                <w:szCs w:val="24"/>
              </w:rPr>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w:t>
      </w:r>
      <w:r>
        <w:rPr>
          <w:rFonts w:hint="eastAsia" w:ascii="宋体" w:hAnsi="宋体"/>
          <w:sz w:val="24"/>
          <w:szCs w:val="24"/>
        </w:rPr>
        <w:t xml:space="preserve">商务要求（未加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1"/>
        <w:rPr>
          <w:rFonts w:hint="eastAsia" w:ascii="宋体" w:hAnsi="宋体"/>
          <w:b/>
          <w:sz w:val="24"/>
        </w:rPr>
      </w:pPr>
      <w:r>
        <w:rPr>
          <w:rFonts w:hint="eastAsia" w:ascii="宋体" w:hAnsi="宋体"/>
          <w:b/>
          <w:sz w:val="24"/>
        </w:rPr>
      </w:r>
      <w:r/>
    </w:p>
    <w:p>
      <w:pPr>
        <w:pStyle w:val="891"/>
        <w:ind w:firstLine="480"/>
        <w:spacing w:line="440" w:lineRule="exact"/>
        <w:rPr>
          <w:rFonts w:ascii="宋体" w:hAnsi="宋体"/>
          <w:sz w:val="24"/>
        </w:rPr>
      </w:pPr>
      <w:r>
        <w:rPr>
          <w:rFonts w:ascii="宋体" w:hAnsi="宋体"/>
          <w:sz w:val="24"/>
        </w:rPr>
      </w:r>
      <w:r/>
    </w:p>
    <w:p>
      <w:pPr>
        <w:pStyle w:val="891"/>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891"/>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91"/>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91"/>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91"/>
        <w:spacing w:line="460" w:lineRule="exact"/>
        <w:rPr>
          <w:rFonts w:hint="eastAsia" w:ascii="宋体" w:hAnsi="宋体"/>
          <w:bCs/>
          <w:sz w:val="24"/>
        </w:rPr>
      </w:pPr>
      <w:r>
        <w:rPr>
          <w:rFonts w:hint="eastAsia" w:ascii="宋体" w:hAnsi="宋体"/>
          <w:bCs/>
          <w:sz w:val="24"/>
        </w:rPr>
        <w:t xml:space="preserve">                                     </w:t>
      </w:r>
      <w:r/>
    </w:p>
    <w:p>
      <w:pPr>
        <w:pStyle w:val="891"/>
        <w:ind w:left="480"/>
        <w:rPr>
          <w:rFonts w:ascii="宋体" w:hAnsi="宋体"/>
          <w:b/>
          <w:sz w:val="24"/>
        </w:rPr>
      </w:pPr>
      <w:r>
        <w:rPr>
          <w:rFonts w:ascii="宋体" w:hAnsi="宋体"/>
          <w:b/>
          <w:sz w:val="24"/>
        </w:rPr>
      </w:r>
      <w:r/>
    </w:p>
    <w:p>
      <w:pPr>
        <w:pStyle w:val="891"/>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891"/>
        <w:jc w:val="center"/>
        <w:spacing w:line="460" w:lineRule="exact"/>
        <w:rPr>
          <w:rFonts w:ascii="宋体" w:hAnsi="宋体"/>
          <w:b/>
          <w:bCs/>
          <w:sz w:val="24"/>
        </w:rPr>
      </w:pPr>
      <w:r>
        <w:rPr>
          <w:rFonts w:ascii="宋体" w:hAnsi="宋体"/>
          <w:b/>
          <w:bCs/>
          <w:sz w:val="24"/>
        </w:rPr>
      </w:r>
      <w:r/>
    </w:p>
    <w:p>
      <w:pPr>
        <w:pStyle w:val="891"/>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91"/>
        <w:ind w:left="480"/>
        <w:rPr>
          <w:rFonts w:ascii="宋体" w:hAnsi="宋体"/>
          <w:b/>
          <w:sz w:val="24"/>
        </w:rPr>
      </w:pPr>
      <w:r>
        <w:rPr>
          <w:rFonts w:ascii="宋体" w:hAnsi="宋体"/>
          <w:b/>
          <w:sz w:val="24"/>
        </w:rPr>
      </w:r>
      <w:r/>
    </w:p>
    <w:p>
      <w:pPr>
        <w:pStyle w:val="891"/>
        <w:ind w:firstLine="480"/>
        <w:spacing w:line="460" w:lineRule="exact"/>
        <w:rPr>
          <w:rFonts w:ascii="宋体" w:hAnsi="宋体"/>
          <w:b/>
          <w:sz w:val="24"/>
        </w:rPr>
      </w:pPr>
      <w:r>
        <w:rPr>
          <w:rFonts w:ascii="宋体" w:hAnsi="宋体"/>
          <w:b/>
          <w:sz w:val="24"/>
        </w:rPr>
      </w:r>
      <w:r/>
    </w:p>
    <w:p>
      <w:pPr>
        <w:pStyle w:val="891"/>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891"/>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891"/>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891"/>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91"/>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9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1"/>
        <w:ind w:firstLine="360"/>
        <w:spacing w:line="400" w:lineRule="exact"/>
        <w:rPr>
          <w:rFonts w:ascii="楷体" w:hAnsi="楷体" w:eastAsia="楷体"/>
          <w:sz w:val="24"/>
          <w:szCs w:val="24"/>
        </w:rPr>
      </w:pPr>
      <w:r>
        <w:rPr>
          <w:rFonts w:ascii="楷体" w:hAnsi="楷体" w:eastAsia="楷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备注 我公司（单位）委托进行现场演示的人员为（本项目如果无现场演示要求，请项目经办人自行删除备注）</w:t>
      </w:r>
      <w:r/>
    </w:p>
    <w:p>
      <w:pPr>
        <w:pStyle w:val="891"/>
        <w:spacing w:line="400" w:lineRule="exact"/>
        <w:rPr>
          <w:rFonts w:ascii="黑体" w:hAnsi="黑体" w:eastAsia="黑体"/>
          <w:b/>
          <w:i/>
          <w:sz w:val="32"/>
          <w:szCs w:val="32"/>
          <w:u w:val="single"/>
        </w:rPr>
      </w:pPr>
      <w:r>
        <w:rPr>
          <w:rFonts w:hint="eastAsia" w:ascii="宋体" w:hAnsi="宋体"/>
          <w:sz w:val="24"/>
          <w:szCs w:val="24"/>
          <w:u w:val="single"/>
        </w:rPr>
        <w:t xml:space="preserve">        </w:t>
      </w:r>
      <w:r>
        <w:rPr>
          <w:rFonts w:hint="eastAsia" w:ascii="宋体" w:hAnsi="宋体"/>
          <w:sz w:val="24"/>
          <w:szCs w:val="24"/>
        </w:rPr>
        <w:t xml:space="preserve">（人员姓名），身份证号</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891"/>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7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7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8"/>
        <w:ind w:left="420"/>
        <w:spacing w:before="0" w:after="0" w:line="420" w:lineRule="exact"/>
        <w:rPr>
          <w:rFonts w:hint="eastAsia" w:ascii="宋体" w:hAnsi="宋体"/>
          <w:szCs w:val="21"/>
        </w:rPr>
      </w:pPr>
      <w:r>
        <w:rPr>
          <w:rFonts w:hint="eastAsia" w:ascii="宋体" w:hAnsi="宋体"/>
          <w:szCs w:val="21"/>
        </w:rPr>
        <w:t xml:space="preserve">地          址：</w:t>
      </w:r>
      <w:r/>
    </w:p>
    <w:p>
      <w:pPr>
        <w:pStyle w:val="978"/>
        <w:ind w:left="420"/>
        <w:spacing w:before="0" w:after="0" w:line="420" w:lineRule="exact"/>
        <w:rPr>
          <w:rFonts w:hint="eastAsia" w:ascii="宋体" w:hAnsi="宋体"/>
          <w:szCs w:val="21"/>
        </w:rPr>
      </w:pPr>
      <w:r>
        <w:rPr>
          <w:rFonts w:hint="eastAsia" w:ascii="宋体" w:hAnsi="宋体"/>
          <w:szCs w:val="21"/>
        </w:rPr>
        <w:t xml:space="preserve">邮          编：</w:t>
      </w:r>
      <w:r/>
    </w:p>
    <w:p>
      <w:pPr>
        <w:pStyle w:val="978"/>
        <w:ind w:left="420"/>
        <w:spacing w:before="0" w:after="0" w:line="420" w:lineRule="exact"/>
        <w:rPr>
          <w:rFonts w:hint="eastAsia" w:ascii="宋体" w:hAnsi="宋体"/>
          <w:szCs w:val="21"/>
        </w:rPr>
      </w:pPr>
      <w:r>
        <w:rPr>
          <w:rFonts w:hint="eastAsia" w:ascii="宋体" w:hAnsi="宋体"/>
          <w:szCs w:val="21"/>
        </w:rPr>
        <w:t xml:space="preserve">电          话：</w:t>
      </w:r>
      <w:r/>
    </w:p>
    <w:p>
      <w:pPr>
        <w:pStyle w:val="978"/>
        <w:ind w:left="420"/>
        <w:spacing w:before="0" w:after="0" w:line="420" w:lineRule="exact"/>
        <w:rPr>
          <w:rFonts w:hint="eastAsia" w:ascii="宋体" w:hAnsi="宋体"/>
          <w:szCs w:val="21"/>
        </w:rPr>
      </w:pPr>
      <w:r>
        <w:rPr>
          <w:rFonts w:hint="eastAsia" w:ascii="宋体" w:hAnsi="宋体"/>
          <w:szCs w:val="21"/>
        </w:rPr>
        <w:t xml:space="preserve">传          真：</w:t>
      </w:r>
      <w:r/>
    </w:p>
    <w:p>
      <w:pPr>
        <w:pStyle w:val="97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8"/>
        <w:ind w:left="420"/>
        <w:spacing w:before="0" w:after="0" w:line="420" w:lineRule="exact"/>
        <w:rPr>
          <w:rFonts w:hint="eastAsia" w:ascii="宋体" w:hAnsi="宋体"/>
          <w:szCs w:val="21"/>
        </w:rPr>
      </w:pPr>
      <w:r>
        <w:rPr>
          <w:rFonts w:hint="eastAsia" w:ascii="宋体" w:hAnsi="宋体"/>
          <w:szCs w:val="21"/>
        </w:rPr>
        <w:t xml:space="preserve">账          号： </w:t>
      </w:r>
      <w:r/>
    </w:p>
    <w:p>
      <w:pPr>
        <w:pStyle w:val="97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91"/>
        <w:ind w:firstLine="240"/>
        <w:jc w:val="center"/>
        <w:spacing w:line="560" w:lineRule="exact"/>
        <w:rPr>
          <w:rFonts w:hint="eastAsia" w:ascii="宋体" w:hAnsi="宋体"/>
          <w:bCs/>
          <w:sz w:val="24"/>
        </w:rPr>
      </w:pPr>
      <w:r>
        <w:rPr>
          <w:rFonts w:hint="eastAsia" w:ascii="宋体" w:hAnsi="宋体"/>
          <w:bCs/>
          <w:sz w:val="24"/>
        </w:rPr>
      </w:r>
      <w:r/>
    </w:p>
    <w:p>
      <w:pPr>
        <w:pStyle w:val="891"/>
        <w:ind w:firstLine="480"/>
        <w:spacing w:line="440" w:lineRule="exact"/>
        <w:rPr>
          <w:rFonts w:ascii="宋体" w:hAnsi="宋体"/>
          <w:sz w:val="24"/>
        </w:rPr>
      </w:pPr>
      <w:r>
        <w:rPr>
          <w:rFonts w:ascii="宋体" w:hAnsi="宋体"/>
          <w:sz w:val="24"/>
        </w:rPr>
      </w:r>
      <w:r/>
    </w:p>
    <w:p>
      <w:pPr>
        <w:pStyle w:val="891"/>
        <w:ind w:firstLine="480"/>
        <w:spacing w:line="440" w:lineRule="exact"/>
        <w:rPr>
          <w:rFonts w:ascii="宋体" w:hAnsi="宋体"/>
          <w:sz w:val="24"/>
        </w:rPr>
      </w:pPr>
      <w:r>
        <w:rPr>
          <w:rFonts w:ascii="宋体" w:hAnsi="宋体"/>
          <w:sz w:val="24"/>
        </w:rPr>
      </w:r>
      <w:r/>
    </w:p>
    <w:p>
      <w:pPr>
        <w:pStyle w:val="891"/>
        <w:ind w:firstLine="480"/>
        <w:spacing w:line="440" w:lineRule="exact"/>
        <w:rPr>
          <w:rFonts w:ascii="宋体" w:hAnsi="宋体"/>
          <w:sz w:val="24"/>
        </w:rPr>
      </w:pPr>
      <w:r>
        <w:rPr>
          <w:rFonts w:ascii="宋体" w:hAnsi="宋体"/>
          <w:sz w:val="24"/>
        </w:rPr>
      </w:r>
      <w:r/>
    </w:p>
    <w:p>
      <w:pPr>
        <w:pStyle w:val="891"/>
        <w:ind w:firstLine="480"/>
        <w:spacing w:line="440" w:lineRule="exact"/>
        <w:rPr>
          <w:rFonts w:ascii="宋体" w:hAnsi="宋体"/>
          <w:sz w:val="24"/>
        </w:rPr>
      </w:pPr>
      <w:r>
        <w:rPr>
          <w:rFonts w:ascii="宋体" w:hAnsi="宋体"/>
          <w:sz w:val="24"/>
        </w:rPr>
      </w:r>
      <w:r/>
    </w:p>
    <w:p>
      <w:pPr>
        <w:pStyle w:val="891"/>
        <w:ind w:firstLine="480"/>
        <w:spacing w:line="440" w:lineRule="exact"/>
        <w:rPr>
          <w:rFonts w:ascii="宋体" w:hAnsi="宋体"/>
          <w:sz w:val="24"/>
        </w:rPr>
      </w:pPr>
      <w:r>
        <w:rPr>
          <w:rFonts w:ascii="宋体" w:hAnsi="宋体"/>
          <w:sz w:val="24"/>
        </w:rPr>
      </w:r>
      <w:r/>
    </w:p>
    <w:p>
      <w:pPr>
        <w:pStyle w:val="891"/>
        <w:spacing w:line="460" w:lineRule="exact"/>
        <w:rPr>
          <w:rFonts w:hint="eastAsia" w:ascii="黑体" w:hAnsi="黑体" w:eastAsia="黑体"/>
          <w:b/>
          <w:sz w:val="32"/>
          <w:szCs w:val="32"/>
        </w:rPr>
      </w:pPr>
      <w:r/>
      <w:bookmarkEnd w:id="213"/>
      <w:r/>
      <w:bookmarkEnd w:id="214"/>
      <w:r/>
      <w:bookmarkEnd w:id="215"/>
      <w:r/>
      <w:bookmarkStart w:id="218" w:name="_Toc120614284"/>
      <w:r>
        <w:rPr>
          <w:rFonts w:hint="eastAsia" w:ascii="黑体" w:hAnsi="黑体" w:eastAsia="黑体"/>
          <w:b/>
          <w:sz w:val="32"/>
          <w:szCs w:val="32"/>
        </w:rPr>
      </w:r>
      <w:r/>
    </w:p>
    <w:p>
      <w:pPr>
        <w:pStyle w:val="89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w:t>
      </w:r>
      <w:r>
        <w:rPr>
          <w:rFonts w:hint="eastAsia" w:ascii="宋体" w:hAnsi="宋体"/>
          <w:b/>
          <w:sz w:val="24"/>
          <w:szCs w:val="24"/>
        </w:rPr>
        <w:t xml:space="preserve">小微企业声明函（服务</w:t>
      </w:r>
      <w:r>
        <w:rPr>
          <w:rFonts w:hint="eastAsia" w:ascii="宋体" w:hAnsi="宋体"/>
          <w:b/>
          <w:sz w:val="24"/>
          <w:szCs w:val="24"/>
        </w:rPr>
        <w:t xml:space="preserve">类项目</w:t>
      </w:r>
      <w:r>
        <w:rPr>
          <w:rFonts w:hint="eastAsia" w:ascii="宋体" w:hAnsi="宋体"/>
          <w:b/>
          <w:sz w:val="24"/>
          <w:szCs w:val="24"/>
        </w:rPr>
        <w:t xml:space="preserve">）</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u w:val="single"/>
        </w:rPr>
        <w:t xml:space="preserve">采购包号</w:t>
      </w:r>
      <w:r>
        <w:rPr>
          <w:rFonts w:hint="eastAsia" w:ascii="宋体" w:hAnsi="宋体"/>
          <w:sz w:val="24"/>
          <w:szCs w:val="24"/>
          <w:u w:val="single"/>
        </w:rPr>
        <w:t xml:space="preserve">：**）</w:t>
      </w:r>
      <w:r>
        <w:rPr>
          <w:rFonts w:hint="eastAsia" w:ascii="宋体" w:hAnsi="宋体"/>
          <w:sz w:val="24"/>
          <w:szCs w:val="24"/>
        </w:rPr>
        <w:t xml:space="preserve">的采购活动，服务全部由符合政策的</w:t>
      </w:r>
      <w:r>
        <w:rPr>
          <w:rFonts w:hint="eastAsia" w:ascii="宋体" w:hAnsi="宋体"/>
          <w:sz w:val="24"/>
          <w:szCs w:val="24"/>
        </w:rPr>
        <w:t xml:space="preserve">中</w:t>
      </w:r>
      <w:r>
        <w:rPr>
          <w:rFonts w:hint="eastAsia" w:ascii="宋体" w:hAnsi="宋体"/>
          <w:sz w:val="24"/>
          <w:szCs w:val="24"/>
        </w:rPr>
        <w:t xml:space="preserve">小微企业承接。相关企业（含联合体中的</w:t>
      </w:r>
      <w:r>
        <w:rPr>
          <w:rFonts w:hint="eastAsia" w:ascii="宋体" w:hAnsi="宋体"/>
          <w:sz w:val="24"/>
          <w:szCs w:val="24"/>
        </w:rPr>
        <w:t xml:space="preserve">中</w:t>
      </w:r>
      <w:r>
        <w:rPr>
          <w:rFonts w:hint="eastAsia" w:ascii="宋体" w:hAnsi="宋体"/>
          <w:sz w:val="24"/>
          <w:szCs w:val="24"/>
        </w:rPr>
        <w:t xml:space="preserve">小微企业、签订</w:t>
      </w:r>
      <w:r>
        <w:rPr>
          <w:rFonts w:hint="eastAsia" w:ascii="宋体" w:hAnsi="宋体"/>
          <w:sz w:val="24"/>
          <w:szCs w:val="24"/>
        </w:rPr>
        <w:t xml:space="preserve">采购包</w:t>
      </w:r>
      <w:r>
        <w:rPr>
          <w:rFonts w:hint="eastAsia" w:ascii="宋体" w:hAnsi="宋体"/>
          <w:sz w:val="24"/>
          <w:szCs w:val="24"/>
        </w:rPr>
        <w:t xml:space="preserve">意向协议的</w:t>
      </w:r>
      <w:r>
        <w:rPr>
          <w:rFonts w:hint="eastAsia" w:ascii="宋体" w:hAnsi="宋体"/>
          <w:sz w:val="24"/>
          <w:szCs w:val="24"/>
        </w:rPr>
        <w:t xml:space="preserve">中</w:t>
      </w:r>
      <w:r>
        <w:rPr>
          <w:rFonts w:hint="eastAsia" w:ascii="宋体" w:hAnsi="宋体"/>
          <w:sz w:val="24"/>
          <w:szCs w:val="24"/>
        </w:rPr>
        <w:t xml:space="preserve">小微企业）的具体情况如下：</w:t>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w:t>
      </w:r>
      <w:r/>
    </w:p>
    <w:p>
      <w:pPr>
        <w:pStyle w:val="89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1"/>
        <w:ind w:right="720"/>
        <w:spacing w:line="400" w:lineRule="exact"/>
        <w:rPr>
          <w:rFonts w:hint="eastAsia" w:ascii="宋体" w:hAnsi="宋体"/>
          <w:sz w:val="24"/>
          <w:szCs w:val="24"/>
        </w:rPr>
      </w:pPr>
      <w:r>
        <w:rPr>
          <w:rFonts w:hint="eastAsia" w:ascii="宋体" w:hAnsi="宋体"/>
          <w:sz w:val="24"/>
          <w:szCs w:val="24"/>
        </w:rPr>
      </w:r>
      <w:r/>
    </w:p>
    <w:p>
      <w:pPr>
        <w:pStyle w:val="89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91"/>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891"/>
        <w:ind w:firstLine="240"/>
        <w:spacing w:line="400" w:lineRule="exact"/>
        <w:rPr>
          <w:rFonts w:hint="eastAsia" w:ascii="宋体" w:hAnsi="宋体"/>
          <w:sz w:val="24"/>
          <w:szCs w:val="24"/>
        </w:rPr>
      </w:pP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从业人员、营业收入、资产总额填报上一年度数据，无上一年度数据的新成立企业可不填报。</w:t>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w:t>
      </w:r>
      <w:r>
        <w:rPr>
          <w:rFonts w:hint="eastAsia" w:ascii="宋体" w:hAnsi="宋体"/>
          <w:b/>
          <w:sz w:val="24"/>
          <w:szCs w:val="24"/>
        </w:rPr>
        <w:t xml:space="preserve">（服务</w:t>
      </w:r>
      <w:r>
        <w:rPr>
          <w:rFonts w:hint="eastAsia" w:ascii="宋体" w:hAnsi="宋体"/>
          <w:b/>
          <w:sz w:val="24"/>
          <w:szCs w:val="24"/>
        </w:rPr>
        <w:t xml:space="preserve">类项目</w:t>
      </w:r>
      <w:r>
        <w:rPr>
          <w:rFonts w:hint="eastAsia" w:ascii="宋体" w:hAnsi="宋体"/>
          <w:b/>
          <w:sz w:val="24"/>
          <w:szCs w:val="24"/>
        </w:rPr>
        <w:t xml:space="preserve">）</w:t>
      </w:r>
      <w:r>
        <w:rPr>
          <w:rFonts w:hint="eastAsia" w:ascii="宋体" w:hAnsi="宋体"/>
          <w:sz w:val="24"/>
          <w:szCs w:val="24"/>
        </w:rPr>
      </w:r>
      <w:r/>
    </w:p>
    <w:p>
      <w:pPr>
        <w:pStyle w:val="89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 xml:space="preserve">采购包号</w:t>
      </w:r>
      <w:r>
        <w:rPr>
          <w:rFonts w:hint="eastAsia" w:ascii="宋体" w:hAnsi="宋体"/>
          <w:sz w:val="24"/>
        </w:rPr>
        <w:t xml:space="preserve">：**）采购活动由本单位提供服务。</w:t>
      </w:r>
      <w:r/>
    </w:p>
    <w:p>
      <w:pPr>
        <w:pStyle w:val="89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1"/>
        <w:ind w:firstLine="480"/>
        <w:spacing w:line="0" w:lineRule="atLeast"/>
        <w:rPr>
          <w:rFonts w:hint="eastAsia" w:ascii="宋体" w:hAnsi="宋体"/>
          <w:sz w:val="24"/>
        </w:rPr>
      </w:pPr>
      <w:r>
        <w:rPr>
          <w:rFonts w:hint="eastAsia" w:ascii="宋体" w:hAnsi="宋体"/>
          <w:sz w:val="24"/>
        </w:rPr>
      </w:r>
      <w:r/>
    </w:p>
    <w:p>
      <w:pPr>
        <w:pStyle w:val="89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w:t>
      </w:r>
      <w:r>
        <w:rPr>
          <w:rFonts w:hint="eastAsia" w:ascii="宋体" w:hAnsi="宋体"/>
          <w:sz w:val="24"/>
        </w:rPr>
        <w:t xml:space="preserve">/成交</w:t>
      </w:r>
      <w:r>
        <w:rPr>
          <w:rFonts w:hint="eastAsia" w:ascii="宋体" w:hAnsi="宋体"/>
          <w:sz w:val="24"/>
        </w:rPr>
        <w:t xml:space="preserve">供应商为残疾人福利性单位的，此声明函将随中标</w:t>
      </w:r>
      <w:r>
        <w:rPr>
          <w:rFonts w:hint="eastAsia" w:ascii="宋体" w:hAnsi="宋体"/>
          <w:sz w:val="24"/>
        </w:rPr>
        <w:t xml:space="preserve">/成交</w:t>
      </w:r>
      <w:r>
        <w:rPr>
          <w:rFonts w:hint="eastAsia" w:ascii="宋体" w:hAnsi="宋体"/>
          <w:sz w:val="24"/>
        </w:rPr>
        <w:t xml:space="preserve">结果同时公告，接受社会监督</w:t>
      </w:r>
      <w:r>
        <w:rPr>
          <w:rFonts w:ascii="宋体" w:hAnsi="宋体"/>
          <w:sz w:val="24"/>
        </w:rPr>
      </w:r>
      <w:r/>
    </w:p>
    <w:p>
      <w:pPr>
        <w:pStyle w:val="89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1"/>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91"/>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w:t>
            </w:r>
            <w:r>
              <w:rPr>
                <w:rFonts w:hint="eastAsia" w:ascii="宋体" w:hAnsi="宋体"/>
                <w:b/>
                <w:bCs/>
                <w:sz w:val="24"/>
              </w:rPr>
              <w:t xml:space="preserve">加*</w:t>
            </w:r>
            <w:r>
              <w:rPr>
                <w:rFonts w:hint="eastAsia" w:ascii="宋体" w:hAnsi="宋体"/>
                <w:b/>
                <w:bCs/>
                <w:sz w:val="24"/>
              </w:rPr>
              <w:t xml:space="preserve">号条款</w:t>
            </w:r>
            <w:r>
              <w:rPr>
                <w:rFonts w:hint="eastAsia" w:ascii="宋体" w:hAnsi="宋体"/>
                <w:b/>
                <w:bCs/>
                <w:sz w:val="24"/>
              </w:rPr>
              <w:t xml:space="preserve">）</w:t>
            </w:r>
            <w:r>
              <w:rPr>
                <w:rFonts w:hint="eastAsia" w:ascii="宋体" w:hAnsi="宋体"/>
                <w:sz w:val="24"/>
                <w:szCs w:val="24"/>
              </w:rPr>
            </w:r>
            <w:r/>
          </w:p>
        </w:tc>
        <w:tc>
          <w:tcPr>
            <w:tcW w:w="3317"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w:t>
      </w:r>
      <w:r>
        <w:rPr>
          <w:rFonts w:hint="eastAsia" w:ascii="宋体" w:hAnsi="宋体"/>
          <w:b/>
          <w:bCs/>
          <w:sz w:val="24"/>
        </w:rPr>
        <w:t xml:space="preserve">加*</w:t>
      </w:r>
      <w:r>
        <w:rPr>
          <w:rFonts w:hint="eastAsia" w:ascii="宋体" w:hAnsi="宋体"/>
          <w:b/>
          <w:bCs/>
          <w:sz w:val="24"/>
        </w:rPr>
        <w:t xml:space="preserve">号条款</w:t>
      </w:r>
      <w:r>
        <w:rPr>
          <w:rFonts w:hint="eastAsia" w:ascii="宋体" w:hAnsi="宋体"/>
          <w:b/>
          <w:bCs/>
          <w:sz w:val="24"/>
        </w:rPr>
        <w:t xml:space="preserve">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w:t>
      </w:r>
      <w:r>
        <w:rPr>
          <w:rFonts w:hint="eastAsia" w:ascii="宋体" w:hAnsi="宋体"/>
          <w:sz w:val="24"/>
          <w:szCs w:val="24"/>
        </w:rPr>
        <w:t xml:space="preserve">采购包</w:t>
      </w:r>
      <w:r>
        <w:rPr>
          <w:rFonts w:hint="eastAsia" w:ascii="宋体" w:hAnsi="宋体"/>
          <w:sz w:val="24"/>
          <w:szCs w:val="24"/>
        </w:rPr>
        <w:t xml:space="preserve">作无效投标处理。</w:t>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ascii="宋体" w:hAnsi="宋体" w:cs="仿宋"/>
          <w:b/>
          <w:bCs/>
          <w:sz w:val="32"/>
          <w:szCs w:val="32"/>
        </w:rPr>
      </w:pPr>
      <w:r/>
      <w:bookmarkEnd w:id="187"/>
      <w:r/>
      <w:bookmarkEnd w:id="188"/>
      <w:r/>
      <w:bookmarkEnd w:id="218"/>
      <w:r>
        <w:rPr>
          <w:rFonts w:hint="eastAsia" w:ascii="宋体" w:hAnsi="宋体" w:cs="仿宋"/>
          <w:b/>
          <w:bCs/>
          <w:sz w:val="32"/>
          <w:szCs w:val="32"/>
        </w:rPr>
        <w:t xml:space="preserve">质疑函范本</w:t>
      </w:r>
      <w:r>
        <w:rPr>
          <w:rFonts w:ascii="宋体" w:hAnsi="宋体" w:cs="仿宋"/>
          <w:b/>
          <w:bCs/>
          <w:sz w:val="32"/>
          <w:szCs w:val="32"/>
        </w:rPr>
      </w:r>
      <w:r/>
    </w:p>
    <w:p>
      <w:pPr>
        <w:pStyle w:val="89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w:t>
      </w:r>
      <w:r>
        <w:rPr>
          <w:rFonts w:hint="eastAsia" w:ascii="宋体" w:hAnsi="宋体"/>
          <w:sz w:val="24"/>
          <w:szCs w:val="24"/>
        </w:rPr>
        <w:t xml:space="preserve">采购包</w:t>
      </w:r>
      <w:r>
        <w:rPr>
          <w:rFonts w:hint="eastAsia" w:ascii="宋体" w:hAnsi="宋体"/>
          <w:sz w:val="24"/>
          <w:szCs w:val="24"/>
        </w:rPr>
        <w:t xml:space="preserve">进行质疑，质疑函中应列明具体</w:t>
      </w:r>
      <w:r>
        <w:rPr>
          <w:rFonts w:hint="eastAsia" w:ascii="宋体" w:hAnsi="宋体"/>
          <w:sz w:val="24"/>
          <w:szCs w:val="24"/>
        </w:rPr>
        <w:t xml:space="preserve">采购包号</w:t>
      </w:r>
      <w:r>
        <w:rPr>
          <w:rFonts w:hint="eastAsia" w:ascii="宋体" w:hAnsi="宋体"/>
          <w:sz w:val="24"/>
          <w:szCs w:val="24"/>
        </w:rPr>
        <w:t xml:space="preserve">。</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3"/>
        <w:rPr>
          <w:rFonts w:hint="eastAsia"/>
          <w:sz w:val="24"/>
          <w:szCs w:val="24"/>
        </w:rPr>
      </w:pPr>
      <w:r>
        <w:rPr>
          <w:rFonts w:hint="eastAsia"/>
          <w:sz w:val="24"/>
          <w:szCs w:val="24"/>
        </w:rPr>
      </w:r>
      <w:r/>
    </w:p>
    <w:p>
      <w:pPr>
        <w:pStyle w:val="913"/>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71</w:t>
    </w:r>
    <w:r>
      <w:rPr>
        <w:rFonts w:ascii="宋体" w:hAnsi="宋体"/>
      </w:rPr>
      <w:fldChar w:fldCharType="end"/>
    </w:r>
    <w:r>
      <w:rPr>
        <w:rStyle w:val="964"/>
        <w:rFonts w:ascii="宋体" w:hAnsi="宋体"/>
      </w:rPr>
    </w:r>
    <w:r/>
  </w:p>
  <w:p>
    <w:pPr>
      <w:pStyle w:val="93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fldChar w:fldCharType="begin"/>
    </w:r>
    <w:r>
      <w:instrText xml:space="preserve">PAGE   \* MERGEFORMAT</w:instrText>
    </w:r>
    <w:r>
      <w:fldChar w:fldCharType="separate"/>
    </w:r>
    <w:r>
      <w:rPr>
        <w:lang w:val="zh-CN"/>
      </w:rPr>
      <w:t xml:space="preserve">73</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1"/>
        <w:ind w:left="1305" w:hanging="360"/>
      </w:pPr>
      <w:rPr>
        <w:u w:val="none"/>
      </w:rPr>
    </w:lvl>
    <w:lvl w:ilvl="1">
      <w:start w:val="1"/>
      <w:numFmt w:val="lowerLetter"/>
      <w:isLgl w:val="false"/>
      <w:suff w:val="tab"/>
      <w:lvlText w:val="%2)"/>
      <w:lvlJc w:val="left"/>
      <w:pPr>
        <w:pStyle w:val="891"/>
        <w:ind w:left="1785" w:hanging="420"/>
      </w:pPr>
    </w:lvl>
    <w:lvl w:ilvl="2">
      <w:start w:val="1"/>
      <w:numFmt w:val="lowerRoman"/>
      <w:isLgl w:val="false"/>
      <w:suff w:val="tab"/>
      <w:lvlText w:val="%3."/>
      <w:lvlJc w:val="right"/>
      <w:pPr>
        <w:pStyle w:val="891"/>
        <w:ind w:left="2205" w:hanging="420"/>
      </w:pPr>
    </w:lvl>
    <w:lvl w:ilvl="3">
      <w:start w:val="1"/>
      <w:numFmt w:val="decimal"/>
      <w:isLgl w:val="false"/>
      <w:suff w:val="tab"/>
      <w:lvlText w:val="%4."/>
      <w:lvlJc w:val="left"/>
      <w:pPr>
        <w:pStyle w:val="891"/>
        <w:ind w:left="2625" w:hanging="420"/>
      </w:pPr>
    </w:lvl>
    <w:lvl w:ilvl="4">
      <w:start w:val="1"/>
      <w:numFmt w:val="lowerLetter"/>
      <w:isLgl w:val="false"/>
      <w:suff w:val="tab"/>
      <w:lvlText w:val="%5)"/>
      <w:lvlJc w:val="left"/>
      <w:pPr>
        <w:pStyle w:val="891"/>
        <w:ind w:left="3045" w:hanging="420"/>
      </w:pPr>
    </w:lvl>
    <w:lvl w:ilvl="5">
      <w:start w:val="1"/>
      <w:numFmt w:val="lowerRoman"/>
      <w:isLgl w:val="false"/>
      <w:suff w:val="tab"/>
      <w:lvlText w:val="%6."/>
      <w:lvlJc w:val="right"/>
      <w:pPr>
        <w:pStyle w:val="891"/>
        <w:ind w:left="3465" w:hanging="420"/>
      </w:pPr>
    </w:lvl>
    <w:lvl w:ilvl="6">
      <w:start w:val="1"/>
      <w:numFmt w:val="decimal"/>
      <w:isLgl w:val="false"/>
      <w:suff w:val="tab"/>
      <w:lvlText w:val="%7."/>
      <w:lvlJc w:val="left"/>
      <w:pPr>
        <w:pStyle w:val="891"/>
        <w:ind w:left="3885" w:hanging="420"/>
      </w:pPr>
    </w:lvl>
    <w:lvl w:ilvl="7">
      <w:start w:val="1"/>
      <w:numFmt w:val="lowerLetter"/>
      <w:isLgl w:val="false"/>
      <w:suff w:val="tab"/>
      <w:lvlText w:val="%8)"/>
      <w:lvlJc w:val="left"/>
      <w:pPr>
        <w:pStyle w:val="891"/>
        <w:ind w:left="4305" w:hanging="420"/>
      </w:pPr>
    </w:lvl>
    <w:lvl w:ilvl="8">
      <w:start w:val="1"/>
      <w:numFmt w:val="lowerRoman"/>
      <w:isLgl w:val="false"/>
      <w:suff w:val="tab"/>
      <w:lvlText w:val="%9."/>
      <w:lvlJc w:val="right"/>
      <w:pPr>
        <w:pStyle w:val="891"/>
        <w:ind w:left="4725" w:hanging="420"/>
      </w:pPr>
    </w:lvl>
  </w:abstractNum>
  <w:abstractNum w:abstractNumId="3">
    <w:multiLevelType w:val="hybridMultilevel"/>
    <w:lvl w:ilvl="0">
      <w:start w:val="1"/>
      <w:numFmt w:val="decimal"/>
      <w:pStyle w:val="987"/>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rPr>
  </w:style>
  <w:style w:type="paragraph" w:styleId="893">
    <w:name w:val="标题 2"/>
    <w:basedOn w:val="891"/>
    <w:next w:val="913"/>
    <w:link w:val="905"/>
    <w:qFormat/>
    <w:pPr>
      <w:jc w:val="center"/>
      <w:keepLines/>
      <w:keepNext/>
      <w:spacing w:before="260" w:after="260" w:line="416" w:lineRule="auto"/>
      <w:outlineLvl w:val="1"/>
    </w:pPr>
    <w:rPr>
      <w:rFonts w:ascii="Arial" w:hAnsi="Arial" w:eastAsia="幼圆" w:cs="Arial"/>
      <w:b/>
      <w:bCs/>
      <w:sz w:val="44"/>
      <w:szCs w:val="44"/>
    </w:rPr>
  </w:style>
  <w:style w:type="paragraph" w:styleId="894">
    <w:name w:val="标题 3"/>
    <w:basedOn w:val="891"/>
    <w:next w:val="913"/>
    <w:link w:val="906"/>
    <w:qFormat/>
    <w:pPr>
      <w:keepLines/>
      <w:keepNext/>
      <w:spacing w:before="260" w:after="260" w:line="416" w:lineRule="auto"/>
      <w:outlineLvl w:val="2"/>
    </w:pPr>
    <w:rPr>
      <w:b/>
      <w:bCs/>
      <w:sz w:val="32"/>
      <w:szCs w:val="32"/>
    </w:rPr>
  </w:style>
  <w:style w:type="paragraph" w:styleId="895">
    <w:name w:val="标题 4"/>
    <w:basedOn w:val="891"/>
    <w:next w:val="913"/>
    <w:link w:val="907"/>
    <w:qFormat/>
    <w:pPr>
      <w:keepLines/>
      <w:keepNext/>
      <w:spacing w:before="280" w:after="290" w:line="376" w:lineRule="auto"/>
      <w:outlineLvl w:val="3"/>
    </w:pPr>
    <w:rPr>
      <w:rFonts w:ascii="Arial" w:hAnsi="Arial" w:eastAsia="黑体" w:cs="Arial"/>
      <w:b/>
      <w:bCs/>
      <w:sz w:val="28"/>
      <w:szCs w:val="28"/>
    </w:rPr>
  </w:style>
  <w:style w:type="paragraph" w:styleId="896">
    <w:name w:val="标题 5"/>
    <w:basedOn w:val="891"/>
    <w:next w:val="913"/>
    <w:link w:val="908"/>
    <w:qFormat/>
    <w:pPr>
      <w:keepNext/>
      <w:outlineLvl w:val="4"/>
    </w:pPr>
    <w:rPr>
      <w:rFonts w:ascii="宋体"/>
      <w:color w:val="000000"/>
      <w:sz w:val="28"/>
      <w:szCs w:val="28"/>
    </w:rPr>
  </w:style>
  <w:style w:type="paragraph" w:styleId="897">
    <w:name w:val="标题 6"/>
    <w:basedOn w:val="891"/>
    <w:next w:val="891"/>
    <w:link w:val="909"/>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0"/>
    <w:uiPriority w:val="9"/>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1"/>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2"/>
    <w:uiPriority w:val="9"/>
    <w:qFormat/>
    <w:pPr>
      <w:numPr>
        <w:ilvl w:val="8"/>
        <w:numId w:val="1"/>
      </w:numPr>
      <w:keepLines/>
      <w:keepNext/>
      <w:spacing w:before="240" w:after="64" w:line="320" w:lineRule="auto"/>
      <w:outlineLvl w:val="8"/>
    </w:pPr>
    <w:rPr>
      <w:rFonts w:ascii="Arial" w:hAnsi="Arial" w:eastAsia="黑体"/>
    </w:rPr>
  </w:style>
  <w:style w:type="character" w:styleId="901">
    <w:name w:val="默认段落字体"/>
    <w:next w:val="901"/>
    <w:link w:val="891"/>
    <w:uiPriority w:val="1"/>
    <w:semiHidden/>
    <w:unhideWhenUsed/>
  </w:style>
  <w:style w:type="table" w:styleId="902">
    <w:name w:val="普通表格"/>
    <w:next w:val="902"/>
    <w:link w:val="891"/>
    <w:uiPriority w:val="99"/>
    <w:semiHidden/>
    <w:unhideWhenUsed/>
    <w:tblPr/>
  </w:style>
  <w:style w:type="numbering" w:styleId="903">
    <w:name w:val="无列表"/>
    <w:next w:val="903"/>
    <w:link w:val="891"/>
    <w:uiPriority w:val="99"/>
    <w:semiHidden/>
    <w:unhideWhenUsed/>
  </w:style>
  <w:style w:type="character" w:styleId="904">
    <w:name w:val="标题 1 Char"/>
    <w:next w:val="904"/>
    <w:link w:val="892"/>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character" w:styleId="906">
    <w:name w:val="标题 3 Char"/>
    <w:next w:val="906"/>
    <w:link w:val="894"/>
    <w:rPr>
      <w:rFonts w:ascii="Times New Roman" w:hAnsi="Times New Roman" w:eastAsia="宋体" w:cs="Times New Roman"/>
      <w:b/>
      <w:bCs/>
      <w:sz w:val="32"/>
      <w:szCs w:val="32"/>
    </w:rPr>
  </w:style>
  <w:style w:type="character" w:styleId="907">
    <w:name w:val="标题 4 Char"/>
    <w:next w:val="907"/>
    <w:link w:val="895"/>
    <w:rPr>
      <w:rFonts w:ascii="Arial" w:hAnsi="Arial" w:eastAsia="黑体" w:cs="Arial"/>
      <w:b/>
      <w:bCs/>
      <w:sz w:val="28"/>
      <w:szCs w:val="28"/>
    </w:rPr>
  </w:style>
  <w:style w:type="character" w:styleId="908">
    <w:name w:val="标题 5 Char"/>
    <w:next w:val="908"/>
    <w:link w:val="896"/>
    <w:rPr>
      <w:rFonts w:ascii="宋体" w:hAnsi="Times New Roman" w:eastAsia="宋体" w:cs="Times New Roman"/>
      <w:color w:val="000000"/>
      <w:sz w:val="28"/>
      <w:szCs w:val="28"/>
    </w:rPr>
  </w:style>
  <w:style w:type="character" w:styleId="909">
    <w:name w:val="标题 6 Char"/>
    <w:next w:val="909"/>
    <w:link w:val="897"/>
    <w:rPr>
      <w:rFonts w:ascii="Arial" w:hAnsi="Arial" w:eastAsia="黑体" w:cs="Times New Roman"/>
      <w:b/>
      <w:bCs/>
      <w:sz w:val="24"/>
      <w:szCs w:val="24"/>
    </w:rPr>
  </w:style>
  <w:style w:type="character" w:styleId="910">
    <w:name w:val="标题 7 Char"/>
    <w:next w:val="910"/>
    <w:link w:val="898"/>
    <w:rPr>
      <w:rFonts w:ascii="Times New Roman" w:hAnsi="Times New Roman" w:eastAsia="宋体" w:cs="Times New Roman"/>
      <w:b/>
      <w:bCs/>
      <w:sz w:val="24"/>
      <w:szCs w:val="24"/>
    </w:rPr>
  </w:style>
  <w:style w:type="character" w:styleId="911">
    <w:name w:val="标题 8 Char"/>
    <w:next w:val="911"/>
    <w:link w:val="899"/>
    <w:rPr>
      <w:rFonts w:ascii="Arial" w:hAnsi="Arial" w:eastAsia="黑体" w:cs="Times New Roman"/>
      <w:sz w:val="24"/>
      <w:szCs w:val="24"/>
    </w:rPr>
  </w:style>
  <w:style w:type="character" w:styleId="912">
    <w:name w:val="标题 9 Char"/>
    <w:next w:val="912"/>
    <w:link w:val="900"/>
    <w:rPr>
      <w:rFonts w:ascii="Arial" w:hAnsi="Arial" w:eastAsia="黑体" w:cs="Times New Roman"/>
      <w:szCs w:val="21"/>
    </w:rPr>
  </w:style>
  <w:style w:type="paragraph" w:styleId="913">
    <w:name w:val="正文缩进"/>
    <w:basedOn w:val="891"/>
    <w:next w:val="913"/>
    <w:link w:val="914"/>
    <w:pPr>
      <w:ind w:firstLine="420"/>
    </w:pPr>
  </w:style>
  <w:style w:type="character" w:styleId="914">
    <w:name w:val="正文缩进 Char"/>
    <w:next w:val="914"/>
    <w:link w:val="913"/>
    <w:rPr>
      <w:rFonts w:ascii="Times New Roman" w:hAnsi="Times New Roman" w:eastAsia="宋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qFormat/>
    <w:pPr>
      <w:jc w:val="left"/>
    </w:pPr>
  </w:style>
  <w:style w:type="character" w:styleId="920">
    <w:name w:val="批注文字 Char"/>
    <w:next w:val="920"/>
    <w:link w:val="919"/>
    <w:rPr>
      <w:rFonts w:ascii="Times New Roman" w:hAnsi="Times New Roman" w:eastAsia="宋体" w:cs="Times New Roman"/>
      <w:szCs w:val="21"/>
    </w:rPr>
  </w:style>
  <w:style w:type="paragraph" w:styleId="921">
    <w:name w:val="正文文本 3"/>
    <w:basedOn w:val="891"/>
    <w:next w:val="921"/>
    <w:link w:val="922"/>
    <w:rPr>
      <w:rFonts w:ascii="仿宋_GB2312" w:hAnsi="Arial" w:eastAsia="仿宋_GB2312"/>
      <w:sz w:val="32"/>
      <w:szCs w:val="32"/>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1"/>
    <w:next w:val="925"/>
    <w:link w:val="926"/>
    <w:pPr>
      <w:ind w:firstLine="645"/>
    </w:pPr>
    <w:rPr>
      <w:rFonts w:ascii="楷体_GB2312" w:eastAsia="楷体_GB2312"/>
      <w:sz w:val="32"/>
      <w:szCs w:val="32"/>
    </w:rPr>
  </w:style>
  <w:style w:type="character" w:styleId="926">
    <w:name w:val="正文文本缩进 Char"/>
    <w:next w:val="926"/>
    <w:link w:val="925"/>
    <w:rPr>
      <w:rFonts w:ascii="楷体_GB2312" w:hAnsi="Times New Roman" w:eastAsia="楷体_GB2312" w:cs="Times New Roman"/>
      <w:sz w:val="32"/>
      <w:szCs w:val="32"/>
    </w:rPr>
  </w:style>
  <w:style w:type="paragraph" w:styleId="927">
    <w:name w:val="列表 2"/>
    <w:basedOn w:val="891"/>
    <w:next w:val="927"/>
    <w:link w:val="891"/>
    <w:pPr>
      <w:ind w:left="100" w:hanging="200"/>
    </w:pPr>
  </w:style>
  <w:style w:type="paragraph" w:styleId="928">
    <w:name w:val="目录 5"/>
    <w:basedOn w:val="891"/>
    <w:next w:val="891"/>
    <w:link w:val="891"/>
    <w:semiHidden/>
    <w:pPr>
      <w:ind w:left="840"/>
      <w:jc w:val="left"/>
    </w:pPr>
  </w:style>
  <w:style w:type="paragraph" w:styleId="929">
    <w:name w:val="目录 3"/>
    <w:basedOn w:val="891"/>
    <w:next w:val="891"/>
    <w:link w:val="891"/>
    <w:semiHidden/>
    <w:pPr>
      <w:ind w:left="420"/>
      <w:jc w:val="left"/>
    </w:pPr>
    <w:rPr>
      <w:i/>
      <w:iCs/>
      <w:szCs w:val="24"/>
    </w:rPr>
  </w:style>
  <w:style w:type="paragraph" w:styleId="930">
    <w:name w:val="纯文本"/>
    <w:basedOn w:val="891"/>
    <w:next w:val="930"/>
    <w:link w:val="931"/>
    <w:rPr>
      <w:rFonts w:ascii="宋体" w:hAnsi="Courier New" w:cs="Courier New"/>
    </w:rPr>
  </w:style>
  <w:style w:type="character" w:styleId="931">
    <w:name w:val="纯文本 Char"/>
    <w:next w:val="931"/>
    <w:link w:val="930"/>
    <w:rPr>
      <w:rFonts w:ascii="宋体" w:hAnsi="Courier New" w:eastAsia="宋体" w:cs="Courier New"/>
      <w:szCs w:val="21"/>
    </w:rPr>
  </w:style>
  <w:style w:type="paragraph" w:styleId="932">
    <w:name w:val="目录 8"/>
    <w:basedOn w:val="891"/>
    <w:next w:val="891"/>
    <w:link w:val="891"/>
    <w:semiHidden/>
    <w:pPr>
      <w:ind w:left="1470"/>
      <w:jc w:val="left"/>
    </w:pPr>
  </w:style>
  <w:style w:type="paragraph" w:styleId="933">
    <w:name w:val="日期"/>
    <w:basedOn w:val="891"/>
    <w:next w:val="891"/>
    <w:link w:val="934"/>
    <w:rPr>
      <w:sz w:val="24"/>
      <w:szCs w:val="24"/>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cs="Arial"/>
      <w:sz w:val="32"/>
      <w:szCs w:val="32"/>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1"/>
    <w:next w:val="937"/>
    <w:link w:val="938"/>
    <w:qFormat/>
    <w:rPr>
      <w:sz w:val="18"/>
      <w:szCs w:val="18"/>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1"/>
    <w:next w:val="939"/>
    <w:link w:val="940"/>
    <w:uiPriority w:val="99"/>
    <w:qFormat/>
    <w:pPr>
      <w:jc w:val="left"/>
      <w:tabs>
        <w:tab w:val="center" w:pos="4153" w:leader="none"/>
        <w:tab w:val="right" w:pos="8306" w:leader="none"/>
      </w:tabs>
    </w:pPr>
    <w:rPr>
      <w:sz w:val="18"/>
      <w:szCs w:val="18"/>
    </w:rPr>
  </w:style>
  <w:style w:type="character" w:styleId="940">
    <w:name w:val="页脚 Char"/>
    <w:next w:val="940"/>
    <w:link w:val="939"/>
    <w:uiPriority w:val="99"/>
    <w:rPr>
      <w:rFonts w:ascii="Times New Roman" w:hAnsi="Times New Roman" w:eastAsia="宋体" w:cs="Times New Roman"/>
      <w:sz w:val="18"/>
      <w:szCs w:val="18"/>
    </w:rPr>
  </w:style>
  <w:style w:type="paragraph" w:styleId="941">
    <w:name w:val="页眉"/>
    <w:basedOn w:val="891"/>
    <w:next w:val="941"/>
    <w:link w:val="942"/>
    <w:qFormat/>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4">
    <w:name w:val="目录 4"/>
    <w:basedOn w:val="891"/>
    <w:next w:val="891"/>
    <w:link w:val="891"/>
    <w:semiHidden/>
    <w:pPr>
      <w:ind w:left="630"/>
      <w:jc w:val="left"/>
    </w:pPr>
  </w:style>
  <w:style w:type="paragraph" w:styleId="945">
    <w:name w:val="列表"/>
    <w:basedOn w:val="891"/>
    <w:next w:val="945"/>
    <w:link w:val="891"/>
    <w:pPr>
      <w:ind w:left="200" w:hanging="200"/>
    </w:pPr>
  </w:style>
  <w:style w:type="paragraph" w:styleId="946">
    <w:name w:val="目录 6"/>
    <w:basedOn w:val="891"/>
    <w:next w:val="891"/>
    <w:link w:val="891"/>
    <w:semiHidden/>
    <w:pPr>
      <w:ind w:left="1050"/>
      <w:jc w:val="left"/>
    </w:pPr>
  </w:style>
  <w:style w:type="paragraph" w:styleId="947">
    <w:name w:val="正文文本缩进 3"/>
    <w:basedOn w:val="891"/>
    <w:next w:val="947"/>
    <w:link w:val="948"/>
    <w:pPr>
      <w:ind w:left="645" w:firstLine="645"/>
    </w:pPr>
    <w:rPr>
      <w:rFonts w:ascii="Arial" w:hAnsi="Arial" w:eastAsia="仿宋_GB2312" w:cs="Arial"/>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1"/>
    <w:next w:val="891"/>
    <w:link w:val="891"/>
    <w:uiPriority w:val="99"/>
    <w:qFormat/>
    <w:pPr>
      <w:ind w:left="840" w:hanging="420"/>
    </w:pPr>
  </w:style>
  <w:style w:type="paragraph" w:styleId="950">
    <w:name w:val="目录 2"/>
    <w:basedOn w:val="891"/>
    <w:next w:val="891"/>
    <w:link w:val="891"/>
    <w:semiHidden/>
    <w:pPr>
      <w:ind w:left="210"/>
      <w:jc w:val="left"/>
    </w:pPr>
    <w:rPr>
      <w:smallCaps/>
      <w:szCs w:val="24"/>
    </w:rPr>
  </w:style>
  <w:style w:type="paragraph" w:styleId="951">
    <w:name w:val="目录 9"/>
    <w:basedOn w:val="891"/>
    <w:next w:val="891"/>
    <w:link w:val="891"/>
    <w:semiHidden/>
    <w:pPr>
      <w:ind w:left="1680"/>
      <w:jc w:val="left"/>
    </w:pPr>
  </w:style>
  <w:style w:type="paragraph" w:styleId="952">
    <w:name w:val="正文文本 2"/>
    <w:basedOn w:val="891"/>
    <w:next w:val="952"/>
    <w:link w:val="953"/>
    <w:pPr>
      <w:jc w:val="center"/>
      <w:widowControl/>
    </w:pPr>
    <w:rPr>
      <w:rFonts w:ascii="楷体_GB2312" w:eastAsia="楷体_GB2312"/>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1"/>
    <w:next w:val="954"/>
    <w:link w:val="891"/>
    <w:qFormat/>
    <w:pPr>
      <w:jc w:val="left"/>
      <w:spacing w:before="100" w:beforeAutospacing="1" w:after="100" w:afterAutospacing="1"/>
      <w:widowControl/>
    </w:pPr>
    <w:rPr>
      <w:rFonts w:ascii="宋体" w:hAnsi="宋体" w:cs="宋体"/>
      <w:sz w:val="24"/>
      <w:szCs w:val="24"/>
    </w:rPr>
  </w:style>
  <w:style w:type="paragraph" w:styleId="955">
    <w:name w:val="索引 1"/>
    <w:basedOn w:val="891"/>
    <w:next w:val="891"/>
    <w:link w:val="891"/>
    <w:semiHidden/>
    <w:pPr>
      <w:spacing w:line="240" w:lineRule="atLeast"/>
    </w:pPr>
    <w:rPr>
      <w:b/>
      <w:bCs/>
    </w:rPr>
  </w:style>
  <w:style w:type="paragraph" w:styleId="956">
    <w:name w:val="批注主题"/>
    <w:basedOn w:val="919"/>
    <w:next w:val="919"/>
    <w:link w:val="957"/>
    <w:qFormat/>
    <w:rPr>
      <w:b/>
      <w:bCs/>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firstLine="420"/>
      <w:spacing w:line="360" w:lineRule="auto"/>
    </w:pPr>
    <w:rPr>
      <w:rFonts w:ascii="宋体" w:hAnsi="宋体" w:eastAsia="宋体"/>
      <w:sz w:val="21"/>
      <w:szCs w:val="20"/>
    </w:rPr>
  </w:style>
  <w:style w:type="character" w:styleId="961">
    <w:name w:val="正文首行缩进 2 Char"/>
    <w:next w:val="961"/>
    <w:link w:val="960"/>
    <w:rPr>
      <w:rFonts w:ascii="宋体" w:hAnsi="宋体" w:eastAsia="宋体" w:cs="Times New Roman"/>
      <w:sz w:val="32"/>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访问过的超链接"/>
    <w:next w:val="965"/>
    <w:link w:val="891"/>
    <w:rPr>
      <w:color w:val="800080"/>
      <w:u w:val="single"/>
    </w:rPr>
  </w:style>
  <w:style w:type="character" w:styleId="966">
    <w:name w:val="超链接"/>
    <w:next w:val="966"/>
    <w:link w:val="891"/>
    <w:rPr>
      <w:color w:val="0000ff"/>
      <w:u w:val="single"/>
    </w:rPr>
  </w:style>
  <w:style w:type="character" w:styleId="967">
    <w:name w:val="批注引用"/>
    <w:next w:val="967"/>
    <w:link w:val="891"/>
    <w:qFormat/>
    <w:rPr>
      <w:sz w:val="21"/>
      <w:szCs w:val="21"/>
    </w:rPr>
  </w:style>
  <w:style w:type="character" w:styleId="968">
    <w:name w:val="font5 Char"/>
    <w:next w:val="968"/>
    <w:link w:val="891"/>
    <w:rPr>
      <w:rFonts w:ascii="宋体" w:hAnsi="宋体" w:eastAsia="宋体"/>
      <w:sz w:val="28"/>
      <w:szCs w:val="28"/>
      <w:lang w:val="en-US" w:eastAsia="zh-CN" w:bidi="ar-SA"/>
    </w:rPr>
  </w:style>
  <w:style w:type="character" w:styleId="969">
    <w:name w:val="二级目录 Char"/>
    <w:next w:val="969"/>
    <w:link w:val="970"/>
    <w:rPr>
      <w:b/>
      <w:sz w:val="30"/>
      <w:szCs w:val="28"/>
    </w:rPr>
  </w:style>
  <w:style w:type="paragraph" w:styleId="970">
    <w:name w:val="二级目录"/>
    <w:next w:val="891"/>
    <w:link w:val="969"/>
    <w:pPr>
      <w:numPr>
        <w:ilvl w:val="0"/>
        <w:numId w:val="2"/>
      </w:numPr>
      <w:tabs>
        <w:tab w:val="left" w:pos="907" w:leader="none"/>
        <w:tab w:val="left" w:pos="1145" w:leader="none"/>
      </w:tabs>
      <w:outlineLvl w:val="1"/>
    </w:pPr>
    <w:rPr>
      <w:b/>
      <w:sz w:val="30"/>
      <w:szCs w:val="28"/>
      <w:lang w:val="en-US" w:eastAsia="zh-CN" w:bidi="ar-SA"/>
    </w:rPr>
  </w:style>
  <w:style w:type="character" w:styleId="971">
    <w:name w:val="列出段落 Char,Bullet List Char,numbered Char,FooterText Char,List Paragraph1 Char,Paragraphe de liste1 Char"/>
    <w:next w:val="971"/>
    <w:link w:val="972"/>
    <w:rPr>
      <w:rFonts w:ascii="Calibri" w:hAnsi="Calibri"/>
      <w:sz w:val="24"/>
      <w:szCs w:val="24"/>
      <w:lang w:eastAsia="en-US" w:bidi="en-US"/>
    </w:rPr>
  </w:style>
  <w:style w:type="paragraph" w:styleId="972">
    <w:name w:val="列出段落1"/>
    <w:basedOn w:val="891"/>
    <w:next w:val="972"/>
    <w:link w:val="971"/>
    <w:qFormat/>
    <w:pPr>
      <w:contextualSpacing/>
      <w:ind w:left="720"/>
      <w:jc w:val="left"/>
      <w:widowControl/>
    </w:pPr>
    <w:rPr>
      <w:rFonts w:ascii="Calibri" w:hAnsi="Calibri" w:eastAsia="宋体" w:cs="Times New Roman"/>
      <w:sz w:val="24"/>
      <w:szCs w:val="24"/>
      <w:lang w:eastAsia="en-US" w:bidi="en-US"/>
    </w:rPr>
  </w:style>
  <w:style w:type="paragraph" w:styleId="973">
    <w:name w:val="Body Text(ch)"/>
    <w:basedOn w:val="891"/>
    <w:next w:val="923"/>
    <w:link w:val="891"/>
    <w:pPr>
      <w:spacing w:after="120"/>
    </w:pPr>
    <w:rPr>
      <w:rFonts w:ascii="宋体" w:hAnsi="Arial"/>
      <w:bCs/>
      <w:iCs/>
      <w:szCs w:val="24"/>
    </w:rPr>
  </w:style>
  <w:style w:type="paragraph" w:styleId="974">
    <w:name w:val="xl27"/>
    <w:basedOn w:val="891"/>
    <w:next w:val="974"/>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6"/>
    <w:basedOn w:val="891"/>
    <w:next w:val="975"/>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name w:val="Char"/>
    <w:basedOn w:val="891"/>
    <w:next w:val="976"/>
    <w:link w:val="891"/>
    <w:pPr>
      <w:ind w:firstLine="200"/>
      <w:tabs>
        <w:tab w:val="left" w:pos="360" w:leader="none"/>
      </w:tabs>
    </w:pPr>
    <w:rPr>
      <w:sz w:val="28"/>
      <w:szCs w:val="30"/>
    </w:rPr>
  </w:style>
  <w:style w:type="paragraph" w:styleId="977">
    <w:name w:val=" Char"/>
    <w:basedOn w:val="917"/>
    <w:next w:val="977"/>
    <w:link w:val="891"/>
    <w:rPr>
      <w:rFonts w:ascii="Tahoma" w:hAnsi="Tahoma"/>
      <w:sz w:val="24"/>
      <w:szCs w:val="24"/>
    </w:rPr>
  </w:style>
  <w:style w:type="paragraph" w:styleId="978">
    <w:name w:val="普通正文"/>
    <w:basedOn w:val="891"/>
    <w:next w:val="978"/>
    <w:link w:val="891"/>
    <w:pPr>
      <w:ind w:firstLine="480"/>
      <w:jc w:val="left"/>
      <w:spacing w:before="120" w:after="120" w:line="360" w:lineRule="auto"/>
    </w:pPr>
    <w:rPr>
      <w:rFonts w:ascii="Arial" w:hAnsi="Arial"/>
      <w:sz w:val="24"/>
      <w:szCs w:val="24"/>
    </w:rPr>
  </w:style>
  <w:style w:type="paragraph" w:styleId="979">
    <w:name w:val="table_lines"/>
    <w:basedOn w:val="891"/>
    <w:next w:val="979"/>
    <w:link w:val="891"/>
    <w:pPr>
      <w:jc w:val="left"/>
      <w:widowControl/>
    </w:pPr>
    <w:rPr>
      <w:sz w:val="20"/>
      <w:szCs w:val="20"/>
      <w:lang w:val="de-DE" w:eastAsia="de-DE"/>
    </w:rPr>
  </w:style>
  <w:style w:type="paragraph" w:styleId="980">
    <w:name w:val="附录1"/>
    <w:next w:val="980"/>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1">
    <w:name w:val="font7"/>
    <w:basedOn w:val="891"/>
    <w:next w:val="981"/>
    <w:link w:val="891"/>
    <w:pPr>
      <w:jc w:val="left"/>
      <w:spacing w:before="100" w:beforeAutospacing="1" w:after="100" w:afterAutospacing="1"/>
      <w:widowControl/>
    </w:pPr>
    <w:rPr>
      <w:rFonts w:hint="eastAsia" w:ascii="宋体" w:hAnsi="宋体"/>
      <w:sz w:val="18"/>
      <w:szCs w:val="18"/>
    </w:rPr>
  </w:style>
  <w:style w:type="paragraph" w:styleId="982">
    <w:name w:val=" Char Char Char Char"/>
    <w:basedOn w:val="917"/>
    <w:next w:val="982"/>
    <w:link w:val="891"/>
    <w:pPr>
      <w:spacing w:line="360" w:lineRule="auto"/>
    </w:pPr>
    <w:rPr>
      <w:rFonts w:ascii="Tahoma" w:hAnsi="Tahoma"/>
      <w:sz w:val="24"/>
      <w:szCs w:val="24"/>
    </w:rPr>
  </w:style>
  <w:style w:type="paragraph" w:styleId="983">
    <w:name w:val="列出段落"/>
    <w:basedOn w:val="891"/>
    <w:next w:val="983"/>
    <w:link w:val="891"/>
    <w:qFormat/>
    <w:pPr>
      <w:contextualSpacing/>
      <w:ind w:left="720"/>
      <w:jc w:val="left"/>
      <w:widowControl/>
    </w:pPr>
    <w:rPr>
      <w:rFonts w:ascii="Calibri" w:hAnsi="Calibri"/>
      <w:sz w:val="24"/>
      <w:szCs w:val="24"/>
      <w:lang w:eastAsia="en-US" w:bidi="en-US"/>
    </w:rPr>
  </w:style>
  <w:style w:type="paragraph" w:styleId="984">
    <w:name w:val="4"/>
    <w:basedOn w:val="891"/>
    <w:next w:val="947"/>
    <w:link w:val="891"/>
    <w:pPr>
      <w:ind w:firstLine="420"/>
      <w:spacing w:line="360" w:lineRule="auto"/>
    </w:pPr>
    <w:rPr>
      <w:color w:val="ff0000"/>
      <w:sz w:val="24"/>
      <w:szCs w:val="24"/>
    </w:rPr>
  </w:style>
  <w:style w:type="paragraph" w:styleId="985">
    <w:name w:val="普通 (Web)"/>
    <w:basedOn w:val="891"/>
    <w:next w:val="985"/>
    <w:link w:val="891"/>
    <w:pPr>
      <w:jc w:val="left"/>
      <w:spacing w:before="100" w:beforeAutospacing="1" w:after="100" w:afterAutospacing="1"/>
      <w:widowControl/>
    </w:pPr>
    <w:rPr>
      <w:rFonts w:ascii="宋体" w:hAnsi="宋体"/>
      <w:sz w:val="24"/>
      <w:szCs w:val="24"/>
    </w:rPr>
  </w:style>
  <w:style w:type="paragraph" w:styleId="986">
    <w:name w:val=" Char Char Char Char Char Char Char Char Char Char"/>
    <w:basedOn w:val="891"/>
    <w:next w:val="986"/>
    <w:link w:val="891"/>
    <w:pPr>
      <w:spacing w:line="360" w:lineRule="auto"/>
    </w:pPr>
    <w:rPr>
      <w:sz w:val="24"/>
      <w:szCs w:val="20"/>
    </w:rPr>
  </w:style>
  <w:style w:type="paragraph" w:styleId="987">
    <w:name w:val="样式1"/>
    <w:basedOn w:val="891"/>
    <w:next w:val="987"/>
    <w:link w:val="891"/>
    <w:pPr>
      <w:numPr>
        <w:ilvl w:val="0"/>
        <w:numId w:val="3"/>
      </w:numPr>
      <w:tabs>
        <w:tab w:val="left" w:pos="709" w:leader="none"/>
      </w:tabs>
    </w:pPr>
    <w:rPr>
      <w:rFonts w:ascii="宋体" w:hAnsi="宋体"/>
    </w:rPr>
  </w:style>
  <w:style w:type="paragraph" w:styleId="988">
    <w:name w:val="font6"/>
    <w:basedOn w:val="891"/>
    <w:next w:val="988"/>
    <w:link w:val="891"/>
    <w:pPr>
      <w:jc w:val="left"/>
      <w:spacing w:before="100" w:beforeAutospacing="1" w:after="100" w:afterAutospacing="1"/>
      <w:widowControl/>
    </w:pPr>
    <w:rPr>
      <w:rFonts w:hint="eastAsia" w:ascii="宋体" w:hAnsi="宋体"/>
      <w:sz w:val="28"/>
      <w:szCs w:val="28"/>
      <w:u w:val="single"/>
    </w:rPr>
  </w:style>
  <w:style w:type="paragraph" w:styleId="989">
    <w:name w:val="xl25"/>
    <w:basedOn w:val="891"/>
    <w:next w:val="989"/>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name w:val="标题3"/>
    <w:basedOn w:val="891"/>
    <w:next w:val="891"/>
    <w:link w:val="891"/>
    <w:pPr>
      <w:ind w:firstLine="624"/>
      <w:spacing w:line="590" w:lineRule="atLeast"/>
    </w:pPr>
    <w:rPr>
      <w:rFonts w:ascii="方正黑体_GBK" w:eastAsia="方正黑体_GBK"/>
      <w:sz w:val="32"/>
      <w:szCs w:val="32"/>
    </w:rPr>
  </w:style>
  <w:style w:type="paragraph" w:styleId="992">
    <w:name w:val="xl24"/>
    <w:basedOn w:val="891"/>
    <w:next w:val="992"/>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name w:val="xl29"/>
    <w:basedOn w:val="891"/>
    <w:next w:val="993"/>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name w:val="Char Char Char Char Char Char Char Char"/>
    <w:basedOn w:val="891"/>
    <w:next w:val="994"/>
    <w:link w:val="891"/>
    <w:pPr>
      <w:jc w:val="left"/>
      <w:spacing w:after="160" w:line="240" w:lineRule="exact"/>
      <w:widowControl/>
    </w:pPr>
    <w:rPr>
      <w:rFonts w:ascii="Verdana" w:hAnsi="Verdana"/>
      <w:sz w:val="20"/>
      <w:szCs w:val="20"/>
      <w:lang w:eastAsia="en-US"/>
    </w:rPr>
  </w:style>
  <w:style w:type="paragraph" w:styleId="995">
    <w:name w:val="xl28"/>
    <w:basedOn w:val="891"/>
    <w:next w:val="995"/>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name w:val=" Char Char Char Char Char Char Char Char"/>
    <w:basedOn w:val="891"/>
    <w:next w:val="996"/>
    <w:link w:val="891"/>
    <w:pPr>
      <w:jc w:val="left"/>
      <w:spacing w:after="160" w:line="240" w:lineRule="exact"/>
      <w:widowControl/>
    </w:pPr>
    <w:rPr>
      <w:rFonts w:ascii="Verdana" w:hAnsi="Verdana"/>
      <w:sz w:val="20"/>
      <w:szCs w:val="20"/>
      <w:lang w:eastAsia="en-US"/>
    </w:rPr>
  </w:style>
  <w:style w:type="paragraph" w:styleId="997">
    <w:name w:val="xl30"/>
    <w:basedOn w:val="891"/>
    <w:next w:val="997"/>
    <w:link w:val="891"/>
    <w:pPr>
      <w:jc w:val="center"/>
      <w:spacing w:before="100" w:beforeAutospacing="1" w:after="100" w:afterAutospacing="1"/>
      <w:widowControl/>
    </w:pPr>
    <w:rPr>
      <w:rFonts w:ascii="宋体" w:hAnsi="宋体"/>
      <w:b/>
      <w:bCs/>
      <w:sz w:val="36"/>
      <w:szCs w:val="36"/>
    </w:rPr>
  </w:style>
  <w:style w:type="paragraph" w:styleId="998">
    <w:name w:val="Char Char Char Char"/>
    <w:basedOn w:val="917"/>
    <w:next w:val="998"/>
    <w:link w:val="891"/>
    <w:pPr>
      <w:spacing w:line="360" w:lineRule="auto"/>
    </w:pPr>
    <w:rPr>
      <w:rFonts w:ascii="Tahoma" w:hAnsi="Tahoma"/>
      <w:sz w:val="24"/>
      <w:szCs w:val="24"/>
    </w:rPr>
  </w:style>
  <w:style w:type="paragraph" w:styleId="999">
    <w:name w:val="table_1stline"/>
    <w:basedOn w:val="891"/>
    <w:next w:val="999"/>
    <w:link w:val="891"/>
    <w:pPr>
      <w:jc w:val="left"/>
      <w:spacing w:before="120"/>
      <w:widowControl/>
    </w:pPr>
    <w:rPr>
      <w:bCs/>
      <w:sz w:val="20"/>
      <w:szCs w:val="20"/>
      <w:lang w:val="de-DE" w:eastAsia="de-DE"/>
    </w:rPr>
  </w:style>
  <w:style w:type="paragraph" w:styleId="1000">
    <w:name w:val="font5"/>
    <w:basedOn w:val="891"/>
    <w:next w:val="1000"/>
    <w:link w:val="891"/>
    <w:pPr>
      <w:jc w:val="left"/>
      <w:spacing w:before="100" w:beforeAutospacing="1" w:after="100" w:afterAutospacing="1"/>
      <w:widowControl/>
    </w:pPr>
    <w:rPr>
      <w:rFonts w:hint="eastAsia" w:ascii="宋体" w:hAnsi="宋体"/>
      <w:sz w:val="28"/>
      <w:szCs w:val="28"/>
    </w:rPr>
  </w:style>
  <w:style w:type="paragraph" w:styleId="1001">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修订"/>
    <w:next w:val="1002"/>
    <w:link w:val="891"/>
    <w:uiPriority w:val="99"/>
    <w:semiHidden/>
    <w:rPr>
      <w:rFonts w:ascii="Times New Roman" w:hAnsi="Times New Roman"/>
      <w:sz w:val="21"/>
      <w:szCs w:val="21"/>
      <w:lang w:val="en-US" w:eastAsia="zh-CN" w:bidi="ar-SA"/>
    </w:rPr>
  </w:style>
  <w:style w:type="paragraph" w:styleId="1003">
    <w:name w:val="无间隔"/>
    <w:next w:val="1003"/>
    <w:link w:val="891"/>
    <w:uiPriority w:val="99"/>
    <w:qFormat/>
    <w:pPr>
      <w:jc w:val="both"/>
      <w:widowControl w:val="off"/>
    </w:pPr>
    <w:rPr>
      <w:rFonts w:ascii="Times New Roman" w:hAnsi="Times New Roman"/>
      <w:sz w:val="21"/>
      <w:szCs w:val="21"/>
      <w:lang w:val="en-US" w:eastAsia="zh-CN" w:bidi="ar-SA"/>
    </w:rPr>
  </w:style>
  <w:style w:type="numbering" w:styleId="1004">
    <w:name w:val="无列表1"/>
    <w:next w:val="903"/>
    <w:link w:val="891"/>
    <w:uiPriority w:val="99"/>
    <w:semiHidden/>
    <w:unhideWhenUsed/>
  </w:style>
  <w:style w:type="character" w:styleId="1005">
    <w:name w:val="标题 1 字符"/>
    <w:next w:val="1005"/>
    <w:link w:val="891"/>
    <w:rPr>
      <w:rFonts w:ascii="Calibri" w:hAnsi="Calibri" w:eastAsia="华文仿宋" w:cs="Times New Roman"/>
      <w:b/>
      <w:sz w:val="32"/>
      <w:szCs w:val="24"/>
    </w:rPr>
  </w:style>
  <w:style w:type="character" w:styleId="1006">
    <w:name w:val="标题 2 字符"/>
    <w:next w:val="1006"/>
    <w:link w:val="891"/>
    <w:rPr>
      <w:rFonts w:ascii="Arial" w:hAnsi="Arial" w:eastAsia="宋体" w:cs="Times New Roman"/>
      <w:b/>
      <w:sz w:val="32"/>
      <w:szCs w:val="24"/>
    </w:rPr>
  </w:style>
  <w:style w:type="character" w:styleId="1007">
    <w:name w:val="标题 3 字符"/>
    <w:next w:val="1007"/>
    <w:link w:val="891"/>
    <w:rPr>
      <w:rFonts w:ascii="Calibri" w:hAnsi="Calibri" w:eastAsia="仿宋" w:cs="Times New Roman"/>
      <w:b/>
      <w:sz w:val="32"/>
      <w:szCs w:val="24"/>
    </w:rPr>
  </w:style>
  <w:style w:type="character" w:styleId="1008">
    <w:name w:val="标题 4 字符"/>
    <w:next w:val="1008"/>
    <w:link w:val="891"/>
    <w:semiHidden/>
    <w:rPr>
      <w:rFonts w:ascii="Arial" w:hAnsi="Arial" w:eastAsia="仿宋" w:cs="Times New Roman"/>
      <w:b/>
      <w:sz w:val="32"/>
      <w:szCs w:val="24"/>
    </w:rPr>
  </w:style>
  <w:style w:type="character" w:styleId="1009">
    <w:name w:val="标题 5 字符"/>
    <w:next w:val="1009"/>
    <w:link w:val="891"/>
    <w:semiHidden/>
    <w:rPr>
      <w:rFonts w:ascii="Calibri" w:hAnsi="Calibri" w:eastAsia="宋体" w:cs="Times New Roman"/>
      <w:b/>
      <w:sz w:val="28"/>
      <w:szCs w:val="24"/>
    </w:rPr>
  </w:style>
  <w:style w:type="character" w:styleId="1010">
    <w:name w:val="标题 6 字符"/>
    <w:next w:val="1010"/>
    <w:link w:val="891"/>
    <w:uiPriority w:val="9"/>
    <w:rPr>
      <w:rFonts w:ascii="Calibri" w:hAnsi="Calibri" w:eastAsia="宋体" w:cs="Times New Roman"/>
      <w:b/>
      <w:bCs/>
      <w:sz w:val="24"/>
      <w:szCs w:val="24"/>
    </w:rPr>
  </w:style>
  <w:style w:type="character" w:styleId="1011">
    <w:name w:val="标题 7 字符"/>
    <w:next w:val="1011"/>
    <w:link w:val="891"/>
    <w:uiPriority w:val="9"/>
    <w:rPr>
      <w:rFonts w:ascii="Calibri" w:hAnsi="Calibri" w:eastAsia="宋体" w:cs="Times New Roman"/>
      <w:bCs/>
      <w:sz w:val="24"/>
      <w:szCs w:val="24"/>
    </w:rPr>
  </w:style>
  <w:style w:type="character" w:styleId="1012">
    <w:name w:val="标题 8 字符"/>
    <w:next w:val="1012"/>
    <w:link w:val="891"/>
    <w:uiPriority w:val="9"/>
    <w:rPr>
      <w:rFonts w:ascii="Calibri" w:hAnsi="Calibri" w:eastAsia="宋体" w:cs="Times New Roman"/>
      <w:sz w:val="24"/>
      <w:szCs w:val="24"/>
    </w:rPr>
  </w:style>
  <w:style w:type="character" w:styleId="1013">
    <w:name w:val="标题 9 字符"/>
    <w:next w:val="1013"/>
    <w:link w:val="891"/>
    <w:uiPriority w:val="9"/>
    <w:rPr>
      <w:rFonts w:ascii="Calibri" w:hAnsi="Calibri" w:eastAsia="宋体" w:cs="Times New Roman"/>
      <w:sz w:val="24"/>
      <w:szCs w:val="21"/>
    </w:rPr>
  </w:style>
  <w:style w:type="character" w:styleId="1014">
    <w:name w:val="批注引用1"/>
    <w:next w:val="1014"/>
    <w:link w:val="891"/>
    <w:semiHidden/>
    <w:rPr>
      <w:rFonts w:ascii="Calibri" w:hAnsi="Calibri" w:eastAsia="宋体" w:cs="Times New Roman"/>
      <w:sz w:val="24"/>
      <w:szCs w:val="24"/>
      <w:lang w:val="en-US" w:eastAsia="zh-CN" w:bidi="ar-SA"/>
    </w:rPr>
  </w:style>
  <w:style w:type="paragraph" w:styleId="1015">
    <w:name w:val="题注"/>
    <w:basedOn w:val="891"/>
    <w:next w:val="891"/>
    <w:link w:val="891"/>
    <w:qFormat/>
    <w:pPr>
      <w:ind w:firstLine="480"/>
      <w:jc w:val="center"/>
    </w:pPr>
    <w:rPr>
      <w:rFonts w:ascii="宋体" w:hAnsi="宋体"/>
      <w:b/>
      <w:lang w:val="zh-CN" w:bidi="en-US"/>
    </w:rPr>
  </w:style>
  <w:style w:type="character" w:styleId="1016">
    <w:name w:val="批注文字 字符"/>
    <w:next w:val="1016"/>
    <w:link w:val="891"/>
    <w:qFormat/>
    <w:rPr>
      <w:rFonts w:ascii="Calibri" w:hAnsi="Calibri" w:eastAsia="宋体" w:cs="Times New Roman"/>
      <w:sz w:val="24"/>
      <w:szCs w:val="24"/>
    </w:rPr>
  </w:style>
  <w:style w:type="character" w:styleId="1017">
    <w:name w:val="批注框文本 字符"/>
    <w:next w:val="1017"/>
    <w:link w:val="891"/>
    <w:qFormat/>
    <w:rPr>
      <w:rFonts w:ascii="Calibri" w:hAnsi="Calibri" w:eastAsia="宋体" w:cs="Times New Roman"/>
      <w:sz w:val="18"/>
      <w:szCs w:val="18"/>
    </w:rPr>
  </w:style>
  <w:style w:type="character" w:styleId="1018">
    <w:name w:val="页脚 字符"/>
    <w:next w:val="1018"/>
    <w:link w:val="891"/>
    <w:uiPriority w:val="99"/>
    <w:qFormat/>
    <w:rPr>
      <w:rFonts w:ascii="Calibri" w:hAnsi="Calibri" w:eastAsia="宋体" w:cs="Times New Roman"/>
      <w:sz w:val="18"/>
      <w:szCs w:val="18"/>
    </w:rPr>
  </w:style>
  <w:style w:type="character" w:styleId="1019">
    <w:name w:val="页眉 字符"/>
    <w:next w:val="1019"/>
    <w:link w:val="891"/>
    <w:qFormat/>
    <w:rPr>
      <w:rFonts w:ascii="Calibri" w:hAnsi="Calibri" w:eastAsia="宋体" w:cs="Times New Roman"/>
      <w:sz w:val="18"/>
      <w:szCs w:val="18"/>
    </w:rPr>
  </w:style>
  <w:style w:type="paragraph" w:styleId="1020">
    <w:name w:val="脚注文本"/>
    <w:basedOn w:val="891"/>
    <w:next w:val="1020"/>
    <w:link w:val="1021"/>
    <w:unhideWhenUsed/>
    <w:qFormat/>
    <w:rPr>
      <w:rFonts w:ascii="Arial" w:hAnsi="Arial" w:eastAsia="华文仿宋"/>
      <w:sz w:val="18"/>
      <w:szCs w:val="18"/>
    </w:rPr>
  </w:style>
  <w:style w:type="character" w:styleId="1021">
    <w:name w:val="脚注文本 字符"/>
    <w:next w:val="1021"/>
    <w:link w:val="1020"/>
    <w:rPr>
      <w:rFonts w:ascii="Arial" w:hAnsi="Arial" w:eastAsia="华文仿宋"/>
      <w:sz w:val="18"/>
      <w:szCs w:val="18"/>
    </w:rPr>
  </w:style>
  <w:style w:type="character" w:styleId="1022">
    <w:name w:val="批注主题 字符"/>
    <w:next w:val="1022"/>
    <w:link w:val="891"/>
    <w:qFormat/>
    <w:rPr>
      <w:rFonts w:ascii="Calibri" w:hAnsi="Calibri" w:eastAsia="宋体" w:cs="Times New Roman"/>
      <w:b/>
      <w:bCs/>
      <w:sz w:val="24"/>
      <w:szCs w:val="24"/>
    </w:rPr>
  </w:style>
  <w:style w:type="paragraph" w:styleId="1023">
    <w:name w:val="标题 51"/>
    <w:basedOn w:val="891"/>
    <w:next w:val="891"/>
    <w:link w:val="891"/>
    <w:qFormat/>
    <w:pPr>
      <w:ind w:firstLine="200"/>
      <w:keepNext/>
      <w:outlineLvl w:val="4"/>
    </w:pPr>
    <w:rPr>
      <w:rFonts w:ascii="宋体" w:hAnsi="Calibri"/>
      <w:b/>
      <w:color w:val="000000"/>
      <w:sz w:val="28"/>
      <w:szCs w:val="28"/>
    </w:rPr>
  </w:style>
  <w:style w:type="paragraph" w:styleId="1024">
    <w:name w:val="标题 41"/>
    <w:basedOn w:val="891"/>
    <w:next w:val="891"/>
    <w:link w:val="891"/>
    <w:qFormat/>
    <w:pPr>
      <w:ind w:firstLine="422"/>
      <w:keepLines/>
      <w:keepNext/>
      <w:outlineLvl w:val="3"/>
    </w:pPr>
    <w:rPr>
      <w:rFonts w:ascii="Arial" w:hAnsi="Arial" w:eastAsia="黑体" w:cs="Arial"/>
      <w:bCs/>
      <w:sz w:val="28"/>
      <w:szCs w:val="28"/>
    </w:rPr>
  </w:style>
  <w:style w:type="paragraph" w:styleId="1025">
    <w:name w:val="标题 21"/>
    <w:basedOn w:val="891"/>
    <w:next w:val="891"/>
    <w:link w:val="891"/>
    <w:qFormat/>
    <w:pPr>
      <w:ind w:firstLine="155"/>
      <w:jc w:val="left"/>
      <w:keepLines/>
      <w:keepNext/>
      <w:spacing w:before="50" w:after="50" w:line="360" w:lineRule="auto"/>
      <w:outlineLvl w:val="1"/>
    </w:pPr>
    <w:rPr>
      <w:rFonts w:ascii="Arial" w:hAnsi="Arial" w:cs="Arial"/>
      <w:b/>
      <w:bCs/>
      <w:sz w:val="32"/>
      <w:szCs w:val="44"/>
    </w:rPr>
  </w:style>
  <w:style w:type="character" w:styleId="1026">
    <w:name w:val="font11"/>
    <w:next w:val="1026"/>
    <w:link w:val="891"/>
    <w:rPr>
      <w:rFonts w:hint="eastAsia" w:ascii="宋体" w:hAnsi="宋体" w:eastAsia="宋体" w:cs="宋体"/>
      <w:b/>
      <w:bCs/>
      <w:color w:val="000000"/>
      <w:sz w:val="24"/>
      <w:szCs w:val="24"/>
      <w:u w:val="none"/>
    </w:rPr>
  </w:style>
  <w:style w:type="character" w:styleId="1027">
    <w:name w:val="font21"/>
    <w:next w:val="1027"/>
    <w:link w:val="891"/>
    <w:rPr>
      <w:rFonts w:hint="eastAsia" w:ascii="宋体" w:hAnsi="宋体" w:eastAsia="宋体" w:cs="宋体"/>
      <w:color w:val="000000"/>
      <w:sz w:val="24"/>
      <w:szCs w:val="24"/>
      <w:u w:val="none"/>
    </w:rPr>
  </w:style>
  <w:style w:type="character" w:styleId="1028">
    <w:name w:val="font31"/>
    <w:next w:val="1028"/>
    <w:link w:val="891"/>
    <w:rPr>
      <w:rFonts w:ascii="Calibri" w:hAnsi="Calibri" w:cs="Calibri"/>
      <w:color w:val="000000"/>
      <w:sz w:val="24"/>
      <w:szCs w:val="24"/>
      <w:u w:val="none"/>
    </w:rPr>
  </w:style>
  <w:style w:type="character" w:styleId="1029">
    <w:name w:val="font41"/>
    <w:next w:val="1029"/>
    <w:link w:val="891"/>
    <w:rPr>
      <w:rFonts w:ascii="Calibri" w:hAnsi="Calibri" w:cs="Calibri"/>
      <w:b/>
      <w:bCs/>
      <w:color w:val="000000"/>
      <w:sz w:val="24"/>
      <w:szCs w:val="24"/>
      <w:u w:val="none"/>
    </w:rPr>
  </w:style>
  <w:style w:type="table" w:styleId="1030">
    <w:name w:val="网格型1"/>
    <w:basedOn w:val="902"/>
    <w:next w:val="962"/>
    <w:link w:val="891"/>
    <w:rPr>
      <w:rFonts w:ascii="Times New Roman" w:hAnsi="Times New Roman"/>
    </w:rPr>
    <w:tblPr/>
  </w:style>
  <w:style w:type="paragraph" w:styleId="1031">
    <w:name w:val="需求正文"/>
    <w:basedOn w:val="891"/>
    <w:next w:val="1031"/>
    <w:link w:val="1032"/>
    <w:qFormat/>
    <w:pPr>
      <w:ind w:firstLine="480"/>
      <w:spacing w:line="400" w:lineRule="exact"/>
    </w:pPr>
    <w:rPr>
      <w:rFonts w:ascii="宋体" w:hAnsi="宋体"/>
      <w:sz w:val="24"/>
      <w:szCs w:val="24"/>
    </w:rPr>
  </w:style>
  <w:style w:type="character" w:styleId="1032">
    <w:name w:val="需求正文 字符"/>
    <w:next w:val="1032"/>
    <w:link w:val="1031"/>
    <w:rPr>
      <w:rFonts w:ascii="宋体" w:hAnsi="宋体"/>
      <w:sz w:val="24"/>
      <w:szCs w:val="24"/>
    </w:r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乔秀善</cp:lastModifiedBy>
  <cp:revision>6</cp:revision>
  <dcterms:created xsi:type="dcterms:W3CDTF">2025-02-28T00:52:00Z</dcterms:created>
  <dcterms:modified xsi:type="dcterms:W3CDTF">2025-02-28T06:13:15Z</dcterms:modified>
  <cp:version>917504</cp:version>
</cp:coreProperties>
</file>