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jc w:val="right"/>
        <w:rPr>
          <w:rFonts w:eastAsia="仿宋"/>
          <w:color w:val="auto"/>
          <w:highlight w:val="none"/>
        </w:rPr>
      </w:pPr>
      <w:r>
        <w:rPr>
          <w:rFonts w:eastAsia="仿宋"/>
          <w:color w:val="auto"/>
          <w:highlight w:val="none"/>
        </w:rPr>
        <mc:AlternateContent>
          <mc:Choice Requires="wpg">
            <w:drawing>
              <wp:inline xmlns:wp="http://schemas.openxmlformats.org/drawingml/2006/wordprocessingDrawing" distT="0" distB="0" distL="0" distR="0">
                <wp:extent cx="974725" cy="802005"/>
                <wp:effectExtent l="0" t="0" r="15875" b="17145"/>
                <wp:docPr id="4"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6"/>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63.1pt;mso-wrap-distance-left:0.0pt;mso-wrap-distance-top:0.0pt;mso-wrap-distance-right:0.0pt;mso-wrap-distance-bottom:0.0pt;" stroked="f">
                <v:path textboxrect="0,0,0,0"/>
                <v:imagedata r:id="rId16" o:title=""/>
              </v:shape>
            </w:pict>
          </mc:Fallback>
        </mc:AlternateContent>
      </w:r>
      <w:r/>
    </w:p>
    <w:p>
      <w:pPr>
        <w:pStyle w:val="1030"/>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pacing w:val="-20"/>
          <w:sz w:val="48"/>
          <w:szCs w:val="48"/>
          <w:highlight w:val="none"/>
        </w:rPr>
      </w:pPr>
      <w:r>
        <w:rPr>
          <w:rFonts w:eastAsia="仿宋"/>
          <w:b/>
          <w:color w:val="auto"/>
          <w:spacing w:val="-20"/>
          <w:sz w:val="48"/>
          <w:szCs w:val="48"/>
          <w:highlight w:val="none"/>
        </w:rPr>
      </w:r>
      <w:r/>
    </w:p>
    <w:p>
      <w:pPr>
        <w:jc w:val="center"/>
        <w:spacing w:line="360" w:lineRule="auto"/>
        <w:shd w:val="clear" w:color="auto" w:fill="ffffff"/>
        <w:widowControl/>
        <w:rPr>
          <w:rFonts w:eastAsia="仿宋"/>
          <w:b/>
          <w:color w:val="auto"/>
          <w:sz w:val="72"/>
          <w:szCs w:val="72"/>
          <w:highlight w:val="none"/>
        </w:rPr>
      </w:pPr>
      <w:r>
        <w:rPr>
          <w:rFonts w:eastAsia="仿宋"/>
          <w:b/>
          <w:color w:val="auto"/>
          <w:sz w:val="56"/>
          <w:szCs w:val="56"/>
          <w:highlight w:val="none"/>
        </w:rPr>
        <w:t xml:space="preserve">秦淮区餐饮油烟及涉VOCs企业在线监测服务</w:t>
      </w:r>
      <w:r/>
    </w:p>
    <w:p>
      <w:pPr>
        <w:pStyle w:val="838"/>
        <w:rPr>
          <w:rFonts w:eastAsia="仿宋"/>
          <w:color w:val="auto"/>
          <w:highlight w:val="none"/>
        </w:rPr>
      </w:pPr>
      <w:r>
        <w:rPr>
          <w:rFonts w:eastAsia="仿宋"/>
          <w:color w:val="auto"/>
          <w:highlight w:val="none"/>
        </w:rPr>
      </w:r>
      <w:r/>
    </w:p>
    <w:p>
      <w:pPr>
        <w:pStyle w:val="838"/>
        <w:rPr>
          <w:rFonts w:eastAsia="仿宋"/>
          <w:color w:val="auto"/>
          <w:highlight w:val="none"/>
        </w:rPr>
      </w:pPr>
      <w:r>
        <w:rPr>
          <w:rFonts w:eastAsia="仿宋"/>
          <w:color w:val="auto"/>
          <w:highlight w:val="none"/>
        </w:rPr>
      </w:r>
      <w:r/>
    </w:p>
    <w:p>
      <w:pPr>
        <w:pStyle w:val="862"/>
        <w:rPr>
          <w:rFonts w:ascii="Times New Roman" w:hAnsi="Times New Roman" w:eastAsia="仿宋"/>
          <w:color w:val="auto"/>
          <w:highlight w:val="none"/>
        </w:rPr>
      </w:pPr>
      <w:r>
        <w:rPr>
          <w:rFonts w:ascii="Times New Roman" w:hAnsi="Times New Roman" w:eastAsia="仿宋"/>
          <w:color w:val="auto"/>
          <w:highlight w:val="none"/>
        </w:rPr>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t xml:space="preserve">招标文件</w:t>
      </w:r>
      <w:r/>
    </w:p>
    <w:p>
      <w:pPr>
        <w:jc w:val="center"/>
        <w:spacing w:line="360" w:lineRule="auto"/>
        <w:widowControl/>
        <w:rPr>
          <w:rFonts w:hint="eastAsia" w:eastAsia="仿宋"/>
          <w:b/>
          <w:color w:val="auto"/>
          <w:sz w:val="36"/>
          <w:szCs w:val="36"/>
          <w:highlight w:val="none"/>
          <w:lang w:eastAsia="zh-CN"/>
        </w:rPr>
      </w:pPr>
      <w:r/>
      <w:bookmarkStart w:id="0" w:name="_Toc22212"/>
      <w:r>
        <w:rPr>
          <w:rFonts w:eastAsia="仿宋"/>
          <w:b/>
          <w:color w:val="auto"/>
          <w:sz w:val="36"/>
          <w:szCs w:val="36"/>
          <w:highlight w:val="none"/>
        </w:rPr>
        <w:t xml:space="preserve">项目编号：</w:t>
      </w:r>
      <w:bookmarkEnd w:id="0"/>
      <w:r>
        <w:rPr>
          <w:rFonts w:hint="eastAsia" w:eastAsia="仿宋"/>
          <w:b/>
          <w:color w:val="auto"/>
          <w:sz w:val="36"/>
          <w:szCs w:val="36"/>
          <w:highlight w:val="none"/>
          <w:lang w:eastAsia="zh-CN"/>
        </w:rPr>
        <w:t xml:space="preserve">JSZC-320104-YCGC-G2024-0066</w:t>
      </w:r>
      <w:r/>
    </w:p>
    <w:p>
      <w:pPr>
        <w:jc w:val="center"/>
        <w:spacing w:line="360" w:lineRule="auto"/>
        <w:widowControl/>
        <w:rPr>
          <w:rFonts w:eastAsia="仿宋"/>
          <w:b/>
          <w:color w:val="auto"/>
          <w:sz w:val="72"/>
          <w:szCs w:val="72"/>
          <w:highlight w:val="none"/>
        </w:rPr>
      </w:pPr>
      <w:r>
        <w:rPr>
          <w:rFonts w:eastAsia="仿宋"/>
          <w:b/>
          <w:color w:val="auto"/>
          <w:sz w:val="72"/>
          <w:szCs w:val="72"/>
          <w:highlight w:val="none"/>
        </w:rPr>
      </w:r>
      <w:r/>
    </w:p>
    <w:p>
      <w:pPr>
        <w:pStyle w:val="1026"/>
        <w:rPr>
          <w:rFonts w:ascii="Times New Roman" w:hAnsi="Times New Roman" w:eastAsia="仿宋" w:cs="Times New Roman"/>
          <w:color w:val="auto"/>
          <w:highlight w:val="none"/>
          <w:lang w:eastAsia="zh-CN"/>
        </w:rPr>
        <w:outlineLvl w:val="9"/>
      </w:pPr>
      <w:r>
        <w:rPr>
          <w:rFonts w:ascii="Times New Roman" w:hAnsi="Times New Roman" w:eastAsia="仿宋" w:cs="Times New Roman"/>
          <w:color w:val="auto"/>
          <w:highlight w:val="none"/>
          <w:lang w:eastAsia="zh-CN"/>
        </w:rPr>
      </w:r>
      <w:r/>
    </w:p>
    <w:p>
      <w:pPr>
        <w:jc w:val="center"/>
        <w:spacing w:line="360" w:lineRule="auto"/>
        <w:widowControl/>
        <w:rPr>
          <w:rFonts w:eastAsia="仿宋"/>
          <w:b/>
          <w:color w:val="auto"/>
          <w:sz w:val="36"/>
          <w:szCs w:val="36"/>
          <w:highlight w:val="none"/>
        </w:rPr>
      </w:pPr>
      <w:r/>
      <w:bookmarkStart w:id="1" w:name="_Toc21333"/>
      <w:r>
        <w:rPr>
          <w:rFonts w:eastAsia="仿宋"/>
          <w:b/>
          <w:color w:val="auto"/>
          <w:sz w:val="36"/>
          <w:szCs w:val="36"/>
          <w:highlight w:val="none"/>
        </w:rPr>
        <w:t xml:space="preserve">采购人：</w:t>
      </w:r>
      <w:bookmarkEnd w:id="1"/>
      <w:r>
        <w:rPr>
          <w:rFonts w:eastAsia="仿宋"/>
          <w:b/>
          <w:color w:val="auto"/>
          <w:sz w:val="36"/>
          <w:szCs w:val="36"/>
          <w:highlight w:val="none"/>
        </w:rPr>
        <w:t xml:space="preserve">南京市秦淮生态环境局</w:t>
      </w:r>
      <w:r/>
    </w:p>
    <w:p>
      <w:pPr>
        <w:jc w:val="center"/>
        <w:spacing w:line="360" w:lineRule="auto"/>
        <w:widowControl/>
        <w:rPr>
          <w:rFonts w:eastAsia="仿宋"/>
          <w:b/>
          <w:color w:val="auto"/>
          <w:sz w:val="36"/>
          <w:szCs w:val="36"/>
          <w:highlight w:val="none"/>
        </w:rPr>
      </w:pPr>
      <w:r/>
      <w:bookmarkStart w:id="2" w:name="_Toc2950"/>
      <w:r>
        <w:rPr>
          <w:rFonts w:eastAsia="仿宋"/>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t xml:space="preserve">2024年11月</w:t>
      </w:r>
      <w:r/>
    </w:p>
    <w:p>
      <w:pPr>
        <w:pStyle w:val="1133"/>
        <w:jc w:val="center"/>
        <w:rPr>
          <w:rFonts w:ascii="Times New Roman" w:hAnsi="Times New Roman" w:eastAsia="仿宋"/>
          <w:color w:val="auto"/>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ascii="Times New Roman" w:hAnsi="Times New Roman" w:eastAsia="仿宋"/>
          <w:color w:val="auto"/>
          <w:sz w:val="36"/>
          <w:szCs w:val="36"/>
          <w:highlight w:val="none"/>
          <w:lang w:val="zh-CN"/>
        </w:rPr>
      </w:r>
      <w:r/>
    </w:p>
    <w:p>
      <w:pPr>
        <w:pStyle w:val="1133"/>
        <w:jc w:val="center"/>
        <w:rPr>
          <w:rFonts w:ascii="Times New Roman" w:hAnsi="Times New Roman" w:eastAsia="仿宋"/>
          <w:color w:val="auto"/>
          <w:sz w:val="36"/>
          <w:szCs w:val="36"/>
          <w:highlight w:val="none"/>
        </w:rPr>
      </w:pPr>
      <w:r>
        <w:rPr>
          <w:rFonts w:ascii="Times New Roman" w:hAnsi="Times New Roman" w:eastAsia="仿宋"/>
          <w:color w:val="auto"/>
          <w:sz w:val="36"/>
          <w:szCs w:val="36"/>
          <w:highlight w:val="none"/>
          <w:lang w:val="zh-CN"/>
        </w:rPr>
        <w:t xml:space="preserve">目录</w:t>
      </w:r>
      <w:r/>
    </w:p>
    <w:p>
      <w:pPr>
        <w:pStyle w:val="851"/>
        <w:tabs>
          <w:tab w:val="right" w:pos="8296" w:leader="dot"/>
        </w:tabs>
        <w:rPr>
          <w:rFonts w:eastAsia="仿宋"/>
          <w:color w:val="auto"/>
          <w:sz w:val="28"/>
          <w:szCs w:val="28"/>
          <w:highlight w:val="none"/>
        </w:rPr>
      </w:pPr>
      <w:r>
        <w:rPr>
          <w:rFonts w:eastAsia="仿宋"/>
          <w:color w:val="auto"/>
          <w:sz w:val="28"/>
          <w:szCs w:val="28"/>
          <w:highlight w:val="none"/>
        </w:rPr>
      </w:r>
      <w:r/>
    </w:p>
    <w:sdt>
      <w:sdtPr>
        <w15:appearance w15:val="boundingBox"/>
        <w15:color w:val="dbdbdb"/>
        <w:id w:val="147478893"/>
        <w:docPartObj>
          <w:docPartGallery w:val="Table of Contents"/>
          <w:docPartUnique w:val="true"/>
        </w:docPartObj>
        <w:rPr>
          <w:rFonts w:eastAsia="仿宋"/>
          <w:color w:val="auto"/>
          <w:highlight w:val="none"/>
        </w:rPr>
      </w:sdtPr>
      <w:sdtContent>
        <w:p>
          <w:pPr>
            <w:jc w:val="center"/>
            <w:rPr>
              <w:rFonts w:eastAsia="仿宋"/>
              <w:color w:val="auto"/>
              <w:highlight w:val="none"/>
            </w:rPr>
          </w:pPr>
          <w:r>
            <w:rPr>
              <w:rFonts w:eastAsia="仿宋"/>
              <w:color w:val="auto"/>
              <w:highlight w:val="none"/>
            </w:rPr>
          </w:r>
          <w:r/>
        </w:p>
        <w:p>
          <w:pPr>
            <w:pStyle w:val="851"/>
            <w:spacing w:line="360" w:lineRule="auto"/>
            <w:tabs>
              <w:tab w:val="right" w:pos="8392" w:leader="dot"/>
            </w:tabs>
            <w:rPr>
              <w:rFonts w:eastAsia="仿宋"/>
              <w:b/>
              <w:bCs/>
              <w:color w:val="auto"/>
              <w:sz w:val="24"/>
              <w:highlight w:val="none"/>
            </w:rPr>
          </w:pPr>
          <w:r>
            <w:rPr>
              <w:rFonts w:eastAsia="仿宋"/>
              <w:color w:val="auto"/>
              <w:sz w:val="24"/>
              <w:highlight w:val="none"/>
            </w:rPr>
            <w:fldChar w:fldCharType="begin"/>
          </w:r>
          <w:r>
            <w:rPr>
              <w:rFonts w:eastAsia="仿宋"/>
              <w:color w:val="auto"/>
              <w:sz w:val="24"/>
              <w:highlight w:val="none"/>
            </w:rPr>
            <w:instrText xml:space="preserve">TOC \o "1-3" \h \u </w:instrText>
          </w:r>
          <w:r>
            <w:rPr>
              <w:rFonts w:eastAsia="仿宋"/>
              <w:color w:val="auto"/>
              <w:sz w:val="24"/>
              <w:highlight w:val="none"/>
            </w:rPr>
            <w:fldChar w:fldCharType="separate"/>
          </w:r>
          <w:r>
            <w:rPr>
              <w:color w:val="auto"/>
              <w:highlight w:val="none"/>
            </w:rPr>
            <w:fldChar w:fldCharType="begin"/>
          </w:r>
          <w:r>
            <w:rPr>
              <w:color w:val="auto"/>
              <w:highlight w:val="none"/>
            </w:rPr>
            <w:instrText xml:space="preserve"> HYPERLINK \l "_Toc15420" </w:instrText>
          </w:r>
          <w:r>
            <w:rPr>
              <w:color w:val="auto"/>
              <w:highlight w:val="none"/>
            </w:rPr>
            <w:fldChar w:fldCharType="separate"/>
          </w:r>
          <w:r>
            <w:rPr>
              <w:rFonts w:eastAsia="仿宋"/>
              <w:b/>
              <w:bCs/>
              <w:color w:val="auto"/>
              <w:sz w:val="24"/>
              <w:highlight w:val="none"/>
            </w:rPr>
            <w:t xml:space="preserve">第一章 招标公告</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_Toc15420 \h </w:instrText>
          </w:r>
          <w:r>
            <w:rPr>
              <w:rFonts w:eastAsia="仿宋"/>
              <w:b/>
              <w:bCs/>
              <w:color w:val="auto"/>
              <w:sz w:val="24"/>
              <w:highlight w:val="none"/>
            </w:rPr>
            <w:fldChar w:fldCharType="separate"/>
          </w:r>
          <w:r>
            <w:rPr>
              <w:rFonts w:eastAsia="仿宋"/>
              <w:b/>
              <w:bCs/>
              <w:color w:val="auto"/>
              <w:sz w:val="24"/>
              <w:highlight w:val="none"/>
            </w:rPr>
            <w:t xml:space="preserve">1</w:t>
          </w:r>
          <w:r>
            <w:rPr>
              <w:rFonts w:eastAsia="仿宋"/>
              <w:b/>
              <w:bCs/>
              <w:color w:val="auto"/>
              <w:sz w:val="24"/>
              <w:highlight w:val="none"/>
            </w:rPr>
            <w:fldChar w:fldCharType="end"/>
          </w:r>
          <w:r>
            <w:rPr>
              <w:rFonts w:eastAsia="仿宋"/>
              <w:b/>
              <w:bCs/>
              <w:color w:val="auto"/>
              <w:sz w:val="24"/>
              <w:highlight w:val="none"/>
            </w:rPr>
            <w:fldChar w:fldCharType="end"/>
          </w:r>
          <w:r/>
        </w:p>
        <w:p>
          <w:pPr>
            <w:pStyle w:val="851"/>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"_Toc12075" </w:instrText>
          </w:r>
          <w:r>
            <w:rPr>
              <w:color w:val="auto"/>
              <w:highlight w:val="none"/>
            </w:rPr>
            <w:fldChar w:fldCharType="separate"/>
          </w:r>
          <w:r>
            <w:rPr>
              <w:rFonts w:eastAsia="仿宋"/>
              <w:b/>
              <w:bCs/>
              <w:color w:val="auto"/>
              <w:sz w:val="24"/>
              <w:highlight w:val="none"/>
            </w:rPr>
            <w:t xml:space="preserve">第二章 投标人须知</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_Toc12075 \h </w:instrText>
          </w:r>
          <w:r>
            <w:rPr>
              <w:rFonts w:eastAsia="仿宋"/>
              <w:b/>
              <w:bCs/>
              <w:color w:val="auto"/>
              <w:sz w:val="24"/>
              <w:highlight w:val="none"/>
            </w:rPr>
            <w:fldChar w:fldCharType="separate"/>
          </w:r>
          <w:r>
            <w:rPr>
              <w:rFonts w:eastAsia="仿宋"/>
              <w:b/>
              <w:bCs/>
              <w:color w:val="auto"/>
              <w:sz w:val="24"/>
              <w:highlight w:val="none"/>
            </w:rPr>
            <w:t xml:space="preserve">6</w:t>
          </w:r>
          <w:r>
            <w:rPr>
              <w:rFonts w:eastAsia="仿宋"/>
              <w:b/>
              <w:bCs/>
              <w:color w:val="auto"/>
              <w:sz w:val="24"/>
              <w:highlight w:val="none"/>
            </w:rPr>
            <w:fldChar w:fldCharType="end"/>
          </w:r>
          <w:r>
            <w:rPr>
              <w:rFonts w:eastAsia="仿宋"/>
              <w:b/>
              <w:bCs/>
              <w:color w:val="auto"/>
              <w:sz w:val="24"/>
              <w:highlight w:val="none"/>
            </w:rPr>
            <w:fldChar w:fldCharType="end"/>
          </w:r>
          <w:r/>
        </w:p>
        <w:p>
          <w:pPr>
            <w:pStyle w:val="851"/>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"_Toc2921" </w:instrText>
          </w:r>
          <w:r>
            <w:rPr>
              <w:color w:val="auto"/>
              <w:highlight w:val="none"/>
            </w:rPr>
            <w:fldChar w:fldCharType="separate"/>
          </w:r>
          <w:r>
            <w:rPr>
              <w:rFonts w:eastAsia="仿宋"/>
              <w:b/>
              <w:bCs/>
              <w:color w:val="auto"/>
              <w:sz w:val="24"/>
              <w:highlight w:val="none"/>
            </w:rPr>
            <w:t xml:space="preserve">第三章 评标标准</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_Toc2921 \h </w:instrText>
          </w:r>
          <w:r>
            <w:rPr>
              <w:rFonts w:eastAsia="仿宋"/>
              <w:b/>
              <w:bCs/>
              <w:color w:val="auto"/>
              <w:sz w:val="24"/>
              <w:highlight w:val="none"/>
            </w:rPr>
            <w:fldChar w:fldCharType="separate"/>
          </w:r>
          <w:r>
            <w:rPr>
              <w:rFonts w:eastAsia="仿宋"/>
              <w:b/>
              <w:bCs/>
              <w:color w:val="auto"/>
              <w:sz w:val="24"/>
              <w:highlight w:val="none"/>
            </w:rPr>
            <w:t xml:space="preserve">21</w:t>
          </w:r>
          <w:r>
            <w:rPr>
              <w:rFonts w:eastAsia="仿宋"/>
              <w:b/>
              <w:bCs/>
              <w:color w:val="auto"/>
              <w:sz w:val="24"/>
              <w:highlight w:val="none"/>
            </w:rPr>
            <w:fldChar w:fldCharType="end"/>
          </w:r>
          <w:r>
            <w:rPr>
              <w:rFonts w:eastAsia="仿宋"/>
              <w:b/>
              <w:bCs/>
              <w:color w:val="auto"/>
              <w:sz w:val="24"/>
              <w:highlight w:val="none"/>
            </w:rPr>
            <w:fldChar w:fldCharType="end"/>
          </w:r>
          <w:r/>
        </w:p>
        <w:p>
          <w:pPr>
            <w:pStyle w:val="851"/>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"_Toc21025" </w:instrText>
          </w:r>
          <w:r>
            <w:rPr>
              <w:color w:val="auto"/>
              <w:highlight w:val="none"/>
            </w:rPr>
            <w:fldChar w:fldCharType="separate"/>
          </w:r>
          <w:r>
            <w:rPr>
              <w:rFonts w:eastAsia="仿宋"/>
              <w:b/>
              <w:bCs/>
              <w:color w:val="auto"/>
              <w:sz w:val="24"/>
              <w:highlight w:val="none"/>
            </w:rPr>
            <w:t xml:space="preserve">第四章 采购需求</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_Toc21025 \h </w:instrText>
          </w:r>
          <w:r>
            <w:rPr>
              <w:rFonts w:eastAsia="仿宋"/>
              <w:b/>
              <w:bCs/>
              <w:color w:val="auto"/>
              <w:sz w:val="24"/>
              <w:highlight w:val="none"/>
            </w:rPr>
            <w:fldChar w:fldCharType="separate"/>
          </w:r>
          <w:r>
            <w:rPr>
              <w:rFonts w:eastAsia="仿宋"/>
              <w:b/>
              <w:bCs/>
              <w:color w:val="auto"/>
              <w:sz w:val="24"/>
              <w:highlight w:val="none"/>
            </w:rPr>
            <w:t xml:space="preserve">24</w:t>
          </w:r>
          <w:r>
            <w:rPr>
              <w:rFonts w:eastAsia="仿宋"/>
              <w:b/>
              <w:bCs/>
              <w:color w:val="auto"/>
              <w:sz w:val="24"/>
              <w:highlight w:val="none"/>
            </w:rPr>
            <w:fldChar w:fldCharType="end"/>
          </w:r>
          <w:r>
            <w:rPr>
              <w:rFonts w:eastAsia="仿宋"/>
              <w:b/>
              <w:bCs/>
              <w:color w:val="auto"/>
              <w:sz w:val="24"/>
              <w:highlight w:val="none"/>
            </w:rPr>
            <w:fldChar w:fldCharType="end"/>
          </w:r>
          <w:r/>
        </w:p>
        <w:p>
          <w:pPr>
            <w:pStyle w:val="851"/>
            <w:spacing w:line="360" w:lineRule="auto"/>
            <w:tabs>
              <w:tab w:val="right" w:pos="8392" w:leader="dot"/>
            </w:tabs>
            <w:rPr>
              <w:rFonts w:eastAsia="仿宋"/>
              <w:b/>
              <w:bCs/>
              <w:color w:val="auto"/>
              <w:sz w:val="24"/>
              <w:highlight w:val="none"/>
            </w:rPr>
          </w:pPr>
          <w:r>
            <w:rPr>
              <w:color w:val="auto"/>
              <w:highlight w:val="none"/>
            </w:rPr>
            <w:fldChar w:fldCharType="begin"/>
          </w:r>
          <w:r>
            <w:rPr>
              <w:color w:val="auto"/>
              <w:highlight w:val="none"/>
            </w:rPr>
            <w:instrText xml:space="preserve"> HYPERLINK \l "_Toc24540" </w:instrText>
          </w:r>
          <w:r>
            <w:rPr>
              <w:color w:val="auto"/>
              <w:highlight w:val="none"/>
            </w:rPr>
            <w:fldChar w:fldCharType="separate"/>
          </w:r>
          <w:r>
            <w:rPr>
              <w:rFonts w:eastAsia="仿宋"/>
              <w:b/>
              <w:bCs/>
              <w:color w:val="auto"/>
              <w:sz w:val="24"/>
              <w:highlight w:val="none"/>
            </w:rPr>
            <w:t xml:space="preserve">第五章 合同主要条款及格式</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_Toc24540 \h </w:instrText>
          </w:r>
          <w:r>
            <w:rPr>
              <w:rFonts w:eastAsia="仿宋"/>
              <w:b/>
              <w:bCs/>
              <w:color w:val="auto"/>
              <w:sz w:val="24"/>
              <w:highlight w:val="none"/>
            </w:rPr>
            <w:fldChar w:fldCharType="separate"/>
          </w:r>
          <w:r>
            <w:rPr>
              <w:rFonts w:eastAsia="仿宋"/>
              <w:b/>
              <w:bCs/>
              <w:color w:val="auto"/>
              <w:sz w:val="24"/>
              <w:highlight w:val="none"/>
            </w:rPr>
            <w:t xml:space="preserve">37</w:t>
          </w:r>
          <w:r>
            <w:rPr>
              <w:rFonts w:eastAsia="仿宋"/>
              <w:b/>
              <w:bCs/>
              <w:color w:val="auto"/>
              <w:sz w:val="24"/>
              <w:highlight w:val="none"/>
            </w:rPr>
            <w:fldChar w:fldCharType="end"/>
          </w:r>
          <w:r>
            <w:rPr>
              <w:rFonts w:eastAsia="仿宋"/>
              <w:b/>
              <w:bCs/>
              <w:color w:val="auto"/>
              <w:sz w:val="24"/>
              <w:highlight w:val="none"/>
            </w:rPr>
            <w:fldChar w:fldCharType="end"/>
          </w:r>
          <w:r/>
        </w:p>
        <w:p>
          <w:pPr>
            <w:pStyle w:val="851"/>
            <w:spacing w:line="360" w:lineRule="auto"/>
            <w:tabs>
              <w:tab w:val="right" w:pos="8392" w:leader="dot"/>
            </w:tabs>
            <w:rPr>
              <w:rFonts w:eastAsia="仿宋"/>
              <w:color w:val="auto"/>
              <w:sz w:val="24"/>
              <w:highlight w:val="none"/>
            </w:rPr>
          </w:pPr>
          <w:r>
            <w:rPr>
              <w:color w:val="auto"/>
              <w:highlight w:val="none"/>
            </w:rPr>
            <w:fldChar w:fldCharType="begin"/>
          </w:r>
          <w:r>
            <w:rPr>
              <w:color w:val="auto"/>
              <w:highlight w:val="none"/>
            </w:rPr>
            <w:instrText xml:space="preserve"> HYPERLINK \l "_Toc27128" </w:instrText>
          </w:r>
          <w:r>
            <w:rPr>
              <w:color w:val="auto"/>
              <w:highlight w:val="none"/>
            </w:rPr>
            <w:fldChar w:fldCharType="separate"/>
          </w:r>
          <w:r>
            <w:rPr>
              <w:rFonts w:eastAsia="仿宋"/>
              <w:b/>
              <w:bCs/>
              <w:color w:val="auto"/>
              <w:sz w:val="24"/>
              <w:highlight w:val="none"/>
            </w:rPr>
            <w:t xml:space="preserve">第六章 投标文件格式及附件</w:t>
          </w:r>
          <w:r>
            <w:rPr>
              <w:rFonts w:eastAsia="仿宋"/>
              <w:b/>
              <w:bCs/>
              <w:color w:val="auto"/>
              <w:sz w:val="24"/>
              <w:highlight w:val="none"/>
            </w:rPr>
            <w:tab/>
          </w:r>
          <w:r>
            <w:rPr>
              <w:rFonts w:eastAsia="仿宋"/>
              <w:b/>
              <w:bCs/>
              <w:color w:val="auto"/>
              <w:sz w:val="24"/>
              <w:highlight w:val="none"/>
            </w:rPr>
            <w:fldChar w:fldCharType="begin"/>
          </w:r>
          <w:r>
            <w:rPr>
              <w:rFonts w:eastAsia="仿宋"/>
              <w:b/>
              <w:bCs/>
              <w:color w:val="auto"/>
              <w:sz w:val="24"/>
              <w:highlight w:val="none"/>
            </w:rPr>
            <w:instrText xml:space="preserve"> PAGEREF _Toc27128 \h </w:instrText>
          </w:r>
          <w:r>
            <w:rPr>
              <w:rFonts w:eastAsia="仿宋"/>
              <w:b/>
              <w:bCs/>
              <w:color w:val="auto"/>
              <w:sz w:val="24"/>
              <w:highlight w:val="none"/>
            </w:rPr>
            <w:fldChar w:fldCharType="separate"/>
          </w:r>
          <w:r>
            <w:rPr>
              <w:rFonts w:eastAsia="仿宋"/>
              <w:b/>
              <w:bCs/>
              <w:color w:val="auto"/>
              <w:sz w:val="24"/>
              <w:highlight w:val="none"/>
            </w:rPr>
            <w:t xml:space="preserve">52</w:t>
          </w:r>
          <w:r>
            <w:rPr>
              <w:rFonts w:eastAsia="仿宋"/>
              <w:b/>
              <w:bCs/>
              <w:color w:val="auto"/>
              <w:sz w:val="24"/>
              <w:highlight w:val="none"/>
            </w:rPr>
            <w:fldChar w:fldCharType="end"/>
          </w:r>
          <w:r>
            <w:rPr>
              <w:rFonts w:eastAsia="仿宋"/>
              <w:b/>
              <w:bCs/>
              <w:color w:val="auto"/>
              <w:sz w:val="24"/>
              <w:highlight w:val="none"/>
            </w:rPr>
            <w:fldChar w:fldCharType="end"/>
          </w:r>
          <w:r/>
        </w:p>
        <w:p>
          <w:pPr>
            <w:pStyle w:val="860"/>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"_Toc26352" </w:instrText>
          </w:r>
          <w:r>
            <w:rPr>
              <w:color w:val="auto"/>
              <w:highlight w:val="none"/>
            </w:rPr>
            <w:fldChar w:fldCharType="separate"/>
          </w:r>
          <w:r>
            <w:rPr>
              <w:rFonts w:ascii="Times New Roman" w:hAnsi="Times New Roman" w:eastAsia="仿宋"/>
              <w:b/>
              <w:bCs/>
              <w:color w:val="auto"/>
              <w:sz w:val="24"/>
              <w:szCs w:val="24"/>
              <w:highlight w:val="none"/>
            </w:rPr>
            <w:t xml:space="preserve">一、 基本目录</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_Toc26352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53</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"_Toc16015" </w:instrText>
          </w:r>
          <w:r>
            <w:rPr>
              <w:color w:val="auto"/>
              <w:highlight w:val="none"/>
            </w:rPr>
            <w:fldChar w:fldCharType="separate"/>
          </w:r>
          <w:r>
            <w:rPr>
              <w:rFonts w:ascii="Times New Roman" w:hAnsi="Times New Roman" w:eastAsia="仿宋"/>
              <w:bCs/>
              <w:color w:val="auto"/>
              <w:sz w:val="24"/>
              <w:szCs w:val="24"/>
              <w:highlight w:val="none"/>
            </w:rPr>
            <w:t xml:space="preserve">1、开标一览表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_Toc16015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53</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"_Toc10954" </w:instrText>
          </w:r>
          <w:r>
            <w:rPr>
              <w:color w:val="auto"/>
              <w:highlight w:val="none"/>
            </w:rPr>
            <w:fldChar w:fldCharType="separate"/>
          </w:r>
          <w:r>
            <w:rPr>
              <w:rFonts w:ascii="Times New Roman" w:hAnsi="Times New Roman" w:eastAsia="仿宋"/>
              <w:bCs/>
              <w:color w:val="auto"/>
              <w:sz w:val="24"/>
              <w:szCs w:val="24"/>
              <w:highlight w:val="none"/>
            </w:rPr>
            <w:t xml:space="preserve">2、投标申请及声明格式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_Toc10954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"_Toc12480" </w:instrText>
          </w:r>
          <w:r>
            <w:rPr>
              <w:color w:val="auto"/>
              <w:highlight w:val="none"/>
            </w:rPr>
            <w:fldChar w:fldCharType="separate"/>
          </w:r>
          <w:r>
            <w:rPr>
              <w:rFonts w:ascii="Times New Roman" w:hAnsi="Times New Roman" w:eastAsia="仿宋"/>
              <w:bCs/>
              <w:color w:val="auto"/>
              <w:sz w:val="24"/>
              <w:szCs w:val="24"/>
              <w:highlight w:val="none"/>
            </w:rPr>
            <w:t xml:space="preserve">3、法定代表人授权书或法定代表人身份证明书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_Toc12480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56</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"_Toc4888" </w:instrText>
          </w:r>
          <w:r>
            <w:rPr>
              <w:color w:val="auto"/>
              <w:highlight w:val="none"/>
            </w:rPr>
            <w:fldChar w:fldCharType="separate"/>
          </w:r>
          <w:r>
            <w:rPr>
              <w:rFonts w:ascii="Times New Roman" w:hAnsi="Times New Roman" w:eastAsia="仿宋"/>
              <w:color w:val="auto"/>
              <w:sz w:val="24"/>
              <w:szCs w:val="24"/>
              <w:highlight w:val="none"/>
            </w:rPr>
            <w:t xml:space="preserve">4、分项报价表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_Toc4888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58</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"_Toc21203" </w:instrText>
          </w:r>
          <w:r>
            <w:rPr>
              <w:color w:val="auto"/>
              <w:highlight w:val="none"/>
            </w:rPr>
            <w:fldChar w:fldCharType="separate"/>
          </w:r>
          <w:r>
            <w:rPr>
              <w:rFonts w:ascii="Times New Roman" w:hAnsi="Times New Roman" w:eastAsia="仿宋"/>
              <w:bCs/>
              <w:color w:val="auto"/>
              <w:sz w:val="24"/>
              <w:szCs w:val="24"/>
              <w:highlight w:val="none"/>
            </w:rPr>
            <w:t xml:space="preserve">5、</w:t>
          </w:r>
          <w:r>
            <w:rPr>
              <w:rFonts w:hint="eastAsia" w:ascii="Times New Roman" w:hAnsi="Times New Roman" w:eastAsia="仿宋"/>
              <w:bCs/>
              <w:color w:val="auto"/>
              <w:sz w:val="24"/>
              <w:szCs w:val="24"/>
              <w:highlight w:val="none"/>
            </w:rPr>
            <w:t xml:space="preserve">技术条款</w:t>
          </w:r>
          <w:r>
            <w:rPr>
              <w:rFonts w:ascii="Times New Roman" w:hAnsi="Times New Roman" w:eastAsia="仿宋"/>
              <w:bCs/>
              <w:color w:val="auto"/>
              <w:sz w:val="24"/>
              <w:szCs w:val="24"/>
              <w:highlight w:val="none"/>
            </w:rPr>
            <w:t xml:space="preserve">偏离表格式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_Toc21203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59</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"_Toc21773" </w:instrText>
          </w:r>
          <w:r>
            <w:rPr>
              <w:color w:val="auto"/>
              <w:highlight w:val="none"/>
            </w:rPr>
            <w:fldChar w:fldCharType="separate"/>
          </w:r>
          <w:r>
            <w:rPr>
              <w:rFonts w:ascii="Times New Roman" w:hAnsi="Times New Roman" w:eastAsia="仿宋"/>
              <w:bCs/>
              <w:color w:val="auto"/>
              <w:sz w:val="24"/>
              <w:szCs w:val="24"/>
              <w:highlight w:val="none"/>
            </w:rPr>
            <w:t xml:space="preserve">6、商务条款偏离表格式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_Toc21773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60</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"_Toc26894" </w:instrText>
          </w:r>
          <w:r>
            <w:rPr>
              <w:color w:val="auto"/>
              <w:highlight w:val="none"/>
            </w:rPr>
            <w:fldChar w:fldCharType="separate"/>
          </w:r>
          <w:r>
            <w:rPr>
              <w:rFonts w:ascii="Times New Roman" w:hAnsi="Times New Roman" w:eastAsia="仿宋"/>
              <w:bCs/>
              <w:color w:val="auto"/>
              <w:sz w:val="24"/>
              <w:szCs w:val="24"/>
              <w:highlight w:val="none"/>
            </w:rPr>
            <w:t xml:space="preserve">7、采购文件要求及投标人</w:t>
          </w:r>
          <w:bookmarkStart w:id="189" w:name="_GoBack"/>
          <w:r/>
          <w:bookmarkEnd w:id="189"/>
          <w:r>
            <w:rPr>
              <w:rFonts w:ascii="Times New Roman" w:hAnsi="Times New Roman" w:eastAsia="仿宋"/>
              <w:bCs/>
              <w:color w:val="auto"/>
              <w:sz w:val="24"/>
              <w:szCs w:val="24"/>
              <w:highlight w:val="none"/>
            </w:rPr>
            <w:t xml:space="preserve">认为需要提供的其他证明文件及材料</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_Toc26894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61</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60"/>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"_Toc45" </w:instrText>
          </w:r>
          <w:r>
            <w:rPr>
              <w:color w:val="auto"/>
              <w:highlight w:val="none"/>
            </w:rPr>
            <w:fldChar w:fldCharType="separate"/>
          </w:r>
          <w:r>
            <w:rPr>
              <w:rFonts w:ascii="Times New Roman" w:hAnsi="Times New Roman" w:eastAsia="仿宋"/>
              <w:b/>
              <w:bCs/>
              <w:color w:val="auto"/>
              <w:sz w:val="24"/>
              <w:szCs w:val="24"/>
              <w:highlight w:val="none"/>
            </w:rPr>
            <w:t xml:space="preserve">二、资格文件</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_Toc45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62</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60"/>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"_Toc6104" </w:instrText>
          </w:r>
          <w:r>
            <w:rPr>
              <w:color w:val="auto"/>
              <w:highlight w:val="none"/>
            </w:rPr>
            <w:fldChar w:fldCharType="separate"/>
          </w:r>
          <w:r>
            <w:rPr>
              <w:rFonts w:ascii="Times New Roman" w:hAnsi="Times New Roman" w:eastAsia="仿宋"/>
              <w:b/>
              <w:bCs/>
              <w:color w:val="auto"/>
              <w:sz w:val="24"/>
              <w:szCs w:val="24"/>
              <w:highlight w:val="none"/>
            </w:rPr>
            <w:t xml:space="preserve">三、综合评审评分项</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_Toc6104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63</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60"/>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"_Toc29640" </w:instrText>
          </w:r>
          <w:r>
            <w:rPr>
              <w:color w:val="auto"/>
              <w:highlight w:val="none"/>
            </w:rPr>
            <w:fldChar w:fldCharType="separate"/>
          </w:r>
          <w:r>
            <w:rPr>
              <w:rFonts w:ascii="Times New Roman" w:hAnsi="Times New Roman" w:eastAsia="仿宋"/>
              <w:b/>
              <w:bCs/>
              <w:color w:val="auto"/>
              <w:sz w:val="24"/>
              <w:szCs w:val="24"/>
              <w:highlight w:val="none"/>
            </w:rPr>
            <w:t xml:space="preserve">四、价格折扣文件格式</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_Toc29640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64</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"_Toc21132" </w:instrText>
          </w:r>
          <w:r>
            <w:rPr>
              <w:color w:val="auto"/>
              <w:highlight w:val="none"/>
            </w:rPr>
            <w:fldChar w:fldCharType="separate"/>
          </w:r>
          <w:r>
            <w:rPr>
              <w:rFonts w:ascii="Times New Roman" w:hAnsi="Times New Roman" w:eastAsia="仿宋"/>
              <w:bCs/>
              <w:color w:val="auto"/>
              <w:sz w:val="24"/>
              <w:szCs w:val="24"/>
              <w:highlight w:val="none"/>
            </w:rPr>
            <w:t xml:space="preserve">1、中小企业声明函</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_Toc21132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64</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"_Toc2905" </w:instrText>
          </w:r>
          <w:r>
            <w:rPr>
              <w:color w:val="auto"/>
              <w:highlight w:val="none"/>
            </w:rPr>
            <w:fldChar w:fldCharType="separate"/>
          </w:r>
          <w:r>
            <w:rPr>
              <w:rFonts w:ascii="Times New Roman" w:hAnsi="Times New Roman" w:eastAsia="仿宋"/>
              <w:bCs/>
              <w:color w:val="auto"/>
              <w:sz w:val="24"/>
              <w:szCs w:val="24"/>
              <w:highlight w:val="none"/>
            </w:rPr>
            <w:t xml:space="preserve">2、残疾人福利性单位声明函</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_Toc2905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"_Toc5464" </w:instrText>
          </w:r>
          <w:r>
            <w:rPr>
              <w:color w:val="auto"/>
              <w:highlight w:val="none"/>
            </w:rPr>
            <w:fldChar w:fldCharType="separate"/>
          </w:r>
          <w:r>
            <w:rPr>
              <w:rFonts w:ascii="Times New Roman" w:hAnsi="Times New Roman" w:eastAsia="仿宋"/>
              <w:bCs/>
              <w:color w:val="auto"/>
              <w:sz w:val="24"/>
              <w:szCs w:val="24"/>
              <w:highlight w:val="none"/>
            </w:rPr>
            <w:t xml:space="preserve">3、属于监狱企业的证明文件</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_Toc5464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"_Toc32541" </w:instrText>
          </w:r>
          <w:r>
            <w:rPr>
              <w:color w:val="auto"/>
              <w:highlight w:val="none"/>
            </w:rPr>
            <w:fldChar w:fldCharType="separate"/>
          </w:r>
          <w:r>
            <w:rPr>
              <w:rFonts w:ascii="Times New Roman" w:hAnsi="Times New Roman" w:eastAsia="仿宋"/>
              <w:bCs/>
              <w:color w:val="auto"/>
              <w:sz w:val="24"/>
              <w:szCs w:val="24"/>
              <w:highlight w:val="none"/>
            </w:rPr>
            <w:t xml:space="preserve">4、节能产品认证证书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_Toc32541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"_Toc31669" </w:instrText>
          </w:r>
          <w:r>
            <w:rPr>
              <w:color w:val="auto"/>
              <w:highlight w:val="none"/>
            </w:rPr>
            <w:fldChar w:fldCharType="separate"/>
          </w:r>
          <w:r>
            <w:rPr>
              <w:rFonts w:ascii="Times New Roman" w:hAnsi="Times New Roman" w:eastAsia="仿宋"/>
              <w:bCs/>
              <w:color w:val="auto"/>
              <w:sz w:val="24"/>
              <w:szCs w:val="24"/>
              <w:highlight w:val="none"/>
            </w:rPr>
            <w:t xml:space="preserve">5、环境标志产品认证证书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_Toc31669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Times New Roman" w:hAnsi="Times New Roman" w:eastAsia="仿宋"/>
              <w:bCs/>
              <w:color w:val="auto"/>
              <w:sz w:val="24"/>
              <w:szCs w:val="24"/>
              <w:highlight w:val="none"/>
            </w:rPr>
            <w:t xml:space="preserve">6、进口产品转让技术、消化吸收再创新方案</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_Toc9379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65</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60"/>
            <w:spacing w:line="360" w:lineRule="auto"/>
            <w:tabs>
              <w:tab w:val="right" w:pos="8392" w:leader="dot"/>
            </w:tabs>
            <w:rPr>
              <w:rFonts w:ascii="Times New Roman" w:hAnsi="Times New Roman" w:eastAsia="仿宋"/>
              <w:b/>
              <w:bCs/>
              <w:color w:val="auto"/>
              <w:sz w:val="24"/>
              <w:szCs w:val="24"/>
              <w:highlight w:val="none"/>
            </w:rPr>
          </w:pPr>
          <w:r>
            <w:rPr>
              <w:color w:val="auto"/>
              <w:highlight w:val="none"/>
            </w:rPr>
            <w:fldChar w:fldCharType="begin"/>
          </w:r>
          <w:r>
            <w:rPr>
              <w:color w:val="auto"/>
              <w:highlight w:val="none"/>
            </w:rPr>
            <w:instrText xml:space="preserve"> HYPERLINK \l "_Toc10342" </w:instrText>
          </w:r>
          <w:r>
            <w:rPr>
              <w:color w:val="auto"/>
              <w:highlight w:val="none"/>
            </w:rPr>
            <w:fldChar w:fldCharType="separate"/>
          </w:r>
          <w:r>
            <w:rPr>
              <w:rFonts w:ascii="Times New Roman" w:hAnsi="Times New Roman" w:eastAsia="仿宋"/>
              <w:b/>
              <w:bCs/>
              <w:color w:val="auto"/>
              <w:sz w:val="24"/>
              <w:szCs w:val="24"/>
              <w:highlight w:val="none"/>
            </w:rPr>
            <w:t xml:space="preserve">五、附件</w:t>
          </w:r>
          <w:r>
            <w:rPr>
              <w:rFonts w:ascii="Times New Roman" w:hAnsi="Times New Roman" w:eastAsia="仿宋"/>
              <w:b/>
              <w:bCs/>
              <w:color w:val="auto"/>
              <w:sz w:val="24"/>
              <w:szCs w:val="24"/>
              <w:highlight w:val="none"/>
            </w:rPr>
            <w:tab/>
          </w:r>
          <w:r>
            <w:rPr>
              <w:rFonts w:ascii="Times New Roman" w:hAnsi="Times New Roman" w:eastAsia="仿宋"/>
              <w:b/>
              <w:bCs/>
              <w:color w:val="auto"/>
              <w:sz w:val="24"/>
              <w:szCs w:val="24"/>
              <w:highlight w:val="none"/>
            </w:rPr>
            <w:fldChar w:fldCharType="begin"/>
          </w:r>
          <w:r>
            <w:rPr>
              <w:rFonts w:ascii="Times New Roman" w:hAnsi="Times New Roman" w:eastAsia="仿宋"/>
              <w:b/>
              <w:bCs/>
              <w:color w:val="auto"/>
              <w:sz w:val="24"/>
              <w:szCs w:val="24"/>
              <w:highlight w:val="none"/>
            </w:rPr>
            <w:instrText xml:space="preserve"> PAGEREF _Toc10342 \h </w:instrText>
          </w:r>
          <w:r>
            <w:rPr>
              <w:rFonts w:ascii="Times New Roman" w:hAnsi="Times New Roman" w:eastAsia="仿宋"/>
              <w:b/>
              <w:bCs/>
              <w:color w:val="auto"/>
              <w:sz w:val="24"/>
              <w:szCs w:val="24"/>
              <w:highlight w:val="none"/>
            </w:rPr>
            <w:fldChar w:fldCharType="separate"/>
          </w:r>
          <w:r>
            <w:rPr>
              <w:rFonts w:ascii="Times New Roman" w:hAnsi="Times New Roman" w:eastAsia="仿宋"/>
              <w:b/>
              <w:bCs/>
              <w:color w:val="auto"/>
              <w:sz w:val="24"/>
              <w:szCs w:val="24"/>
              <w:highlight w:val="none"/>
            </w:rPr>
            <w:t xml:space="preserve">66</w:t>
          </w:r>
          <w:r>
            <w:rPr>
              <w:rFonts w:ascii="Times New Roman" w:hAnsi="Times New Roman" w:eastAsia="仿宋"/>
              <w:b/>
              <w:bCs/>
              <w:color w:val="auto"/>
              <w:sz w:val="24"/>
              <w:szCs w:val="24"/>
              <w:highlight w:val="none"/>
            </w:rPr>
            <w:fldChar w:fldCharType="end"/>
          </w:r>
          <w:r>
            <w:rPr>
              <w:rFonts w:ascii="Times New Roman" w:hAnsi="Times New Roman" w:eastAsia="仿宋"/>
              <w:b/>
              <w:bCs/>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"_Toc20842" </w:instrText>
          </w:r>
          <w:r>
            <w:rPr>
              <w:color w:val="auto"/>
              <w:highlight w:val="none"/>
            </w:rPr>
            <w:fldChar w:fldCharType="separate"/>
          </w:r>
          <w:r>
            <w:rPr>
              <w:rFonts w:ascii="Times New Roman" w:hAnsi="Times New Roman" w:eastAsia="仿宋"/>
              <w:bCs/>
              <w:color w:val="auto"/>
              <w:sz w:val="24"/>
              <w:szCs w:val="24"/>
              <w:highlight w:val="none"/>
            </w:rPr>
            <w:t xml:space="preserve">附件一、拟参与本项目服务人员一览表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_Toc20842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66</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"_Toc27042" </w:instrText>
          </w:r>
          <w:r>
            <w:rPr>
              <w:color w:val="auto"/>
              <w:highlight w:val="none"/>
            </w:rPr>
            <w:fldChar w:fldCharType="separate"/>
          </w:r>
          <w:r>
            <w:rPr>
              <w:rFonts w:ascii="Times New Roman" w:hAnsi="Times New Roman" w:eastAsia="仿宋"/>
              <w:bCs/>
              <w:color w:val="auto"/>
              <w:sz w:val="24"/>
              <w:szCs w:val="24"/>
              <w:highlight w:val="none"/>
            </w:rPr>
            <w:t xml:space="preserve">附件二、投标人类似业绩情况表</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_Toc27042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67</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"_Toc5788" </w:instrText>
          </w:r>
          <w:r>
            <w:rPr>
              <w:color w:val="auto"/>
              <w:highlight w:val="none"/>
            </w:rPr>
            <w:fldChar w:fldCharType="separate"/>
          </w:r>
          <w:r>
            <w:rPr>
              <w:rFonts w:ascii="Times New Roman" w:hAnsi="Times New Roman" w:eastAsia="仿宋"/>
              <w:color w:val="auto"/>
              <w:sz w:val="24"/>
              <w:szCs w:val="24"/>
              <w:highlight w:val="none"/>
            </w:rPr>
            <w:t xml:space="preserve">附件三、无重大违法记录声明格式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_Toc5788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68</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sz w:val="24"/>
              <w:szCs w:val="24"/>
              <w:highlight w:val="none"/>
            </w:rPr>
          </w:pPr>
          <w:r>
            <w:rPr>
              <w:color w:val="auto"/>
              <w:highlight w:val="none"/>
            </w:rPr>
            <w:fldChar w:fldCharType="begin"/>
          </w:r>
          <w:r>
            <w:rPr>
              <w:color w:val="auto"/>
              <w:highlight w:val="none"/>
            </w:rPr>
            <w:instrText xml:space="preserve"> HYPERLINK \l "_Toc24701" </w:instrText>
          </w:r>
          <w:r>
            <w:rPr>
              <w:color w:val="auto"/>
              <w:highlight w:val="none"/>
            </w:rPr>
            <w:fldChar w:fldCharType="separate"/>
          </w:r>
          <w:r>
            <w:rPr>
              <w:rFonts w:ascii="Times New Roman" w:hAnsi="Times New Roman" w:eastAsia="仿宋"/>
              <w:bCs/>
              <w:color w:val="auto"/>
              <w:sz w:val="24"/>
              <w:szCs w:val="24"/>
              <w:highlight w:val="none"/>
            </w:rPr>
            <w:t xml:space="preserve">附件四、具备履行合同所必需的设备和专业技术能力的声明格式</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_Toc24701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69</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pStyle w:val="842"/>
            <w:spacing w:line="360" w:lineRule="auto"/>
            <w:tabs>
              <w:tab w:val="right" w:pos="8392" w:leader="dot"/>
            </w:tabs>
            <w:rPr>
              <w:rFonts w:ascii="Times New Roman" w:hAnsi="Times New Roman" w:eastAsia="仿宋"/>
              <w:color w:val="auto"/>
              <w:highlight w:val="none"/>
            </w:rPr>
          </w:pPr>
          <w:r>
            <w:rPr>
              <w:color w:val="auto"/>
              <w:highlight w:val="none"/>
            </w:rPr>
            <w:fldChar w:fldCharType="begin"/>
          </w:r>
          <w:r>
            <w:rPr>
              <w:color w:val="auto"/>
              <w:highlight w:val="none"/>
            </w:rPr>
            <w:instrText xml:space="preserve"> HYPERLINK \l "_Toc15199" </w:instrText>
          </w:r>
          <w:r>
            <w:rPr>
              <w:color w:val="auto"/>
              <w:highlight w:val="none"/>
            </w:rPr>
            <w:fldChar w:fldCharType="separate"/>
          </w:r>
          <w:r>
            <w:rPr>
              <w:rFonts w:ascii="Times New Roman" w:hAnsi="Times New Roman" w:eastAsia="仿宋"/>
              <w:color w:val="auto"/>
              <w:sz w:val="24"/>
              <w:szCs w:val="24"/>
              <w:highlight w:val="none"/>
            </w:rPr>
            <w:t xml:space="preserve">附件五</w:t>
          </w:r>
          <w:r>
            <w:rPr>
              <w:rFonts w:ascii="Times New Roman" w:hAnsi="Times New Roman" w:eastAsia="仿宋"/>
              <w:color w:val="auto"/>
              <w:sz w:val="24"/>
              <w:szCs w:val="24"/>
              <w:highlight w:val="none"/>
              <w:lang w:val="zh-CN"/>
            </w:rPr>
            <w:t xml:space="preserve">、南京市政府采购供应商信用记录表暨信用承诺书</w:t>
          </w:r>
          <w:r>
            <w:rPr>
              <w:rFonts w:ascii="Times New Roman" w:hAnsi="Times New Roman" w:eastAsia="仿宋"/>
              <w:color w:val="auto"/>
              <w:sz w:val="24"/>
              <w:szCs w:val="24"/>
              <w:highlight w:val="none"/>
            </w:rPr>
            <w:tab/>
          </w:r>
          <w:r>
            <w:rPr>
              <w:rFonts w:ascii="Times New Roman" w:hAnsi="Times New Roman" w:eastAsia="仿宋"/>
              <w:color w:val="auto"/>
              <w:sz w:val="24"/>
              <w:szCs w:val="24"/>
              <w:highlight w:val="none"/>
            </w:rPr>
            <w:fldChar w:fldCharType="begin"/>
          </w:r>
          <w:r>
            <w:rPr>
              <w:rFonts w:ascii="Times New Roman" w:hAnsi="Times New Roman" w:eastAsia="仿宋"/>
              <w:color w:val="auto"/>
              <w:sz w:val="24"/>
              <w:szCs w:val="24"/>
              <w:highlight w:val="none"/>
            </w:rPr>
            <w:instrText xml:space="preserve"> PAGEREF _Toc15199 \h </w:instrText>
          </w:r>
          <w:r>
            <w:rPr>
              <w:rFonts w:ascii="Times New Roman" w:hAnsi="Times New Roman" w:eastAsia="仿宋"/>
              <w:color w:val="auto"/>
              <w:sz w:val="24"/>
              <w:szCs w:val="24"/>
              <w:highlight w:val="none"/>
            </w:rPr>
            <w:fldChar w:fldCharType="separate"/>
          </w:r>
          <w:r>
            <w:rPr>
              <w:rFonts w:ascii="Times New Roman" w:hAnsi="Times New Roman" w:eastAsia="仿宋"/>
              <w:color w:val="auto"/>
              <w:sz w:val="24"/>
              <w:szCs w:val="24"/>
              <w:highlight w:val="none"/>
            </w:rPr>
            <w:t xml:space="preserve">70</w:t>
          </w:r>
          <w:r>
            <w:rPr>
              <w:rFonts w:ascii="Times New Roman" w:hAnsi="Times New Roman" w:eastAsia="仿宋"/>
              <w:color w:val="auto"/>
              <w:sz w:val="24"/>
              <w:szCs w:val="24"/>
              <w:highlight w:val="none"/>
            </w:rPr>
            <w:fldChar w:fldCharType="end"/>
          </w:r>
          <w:r>
            <w:rPr>
              <w:rFonts w:ascii="Times New Roman" w:hAnsi="Times New Roman" w:eastAsia="仿宋"/>
              <w:color w:val="auto"/>
              <w:sz w:val="24"/>
              <w:szCs w:val="24"/>
              <w:highlight w:val="none"/>
            </w:rPr>
            <w:fldChar w:fldCharType="end"/>
          </w:r>
          <w:r/>
        </w:p>
        <w:p>
          <w:pPr>
            <w:spacing w:line="360" w:lineRule="auto"/>
            <w:rPr>
              <w:rFonts w:eastAsia="仿宋"/>
              <w:color w:val="auto"/>
              <w:highlight w:val="none"/>
            </w:rPr>
          </w:pPr>
          <w:r>
            <w:rPr>
              <w:rFonts w:eastAsia="仿宋"/>
              <w:color w:val="auto"/>
              <w:highlight w:val="none"/>
            </w:rPr>
            <w:fldChar w:fldCharType="end"/>
          </w:r>
          <w:r/>
        </w:p>
      </w:sdtContent>
    </w:sdt>
    <w:p>
      <w:pPr>
        <w:spacing w:line="360" w:lineRule="auto"/>
        <w:rPr>
          <w:rFonts w:eastAsia="仿宋"/>
          <w:color w:val="auto"/>
          <w:highlight w:val="none"/>
        </w:rPr>
      </w:pPr>
      <w:r>
        <w:rPr>
          <w:rFonts w:eastAsia="仿宋"/>
          <w:color w:val="auto"/>
          <w:highlight w:val="none"/>
        </w:rPr>
      </w:r>
      <w:r/>
    </w:p>
    <w:p>
      <w:pPr>
        <w:jc w:val="center"/>
        <w:spacing w:line="360" w:lineRule="auto"/>
        <w:shd w:val="clear" w:color="auto" w:fill="ffffff"/>
        <w:widowControl/>
        <w:rPr>
          <w:rFonts w:eastAsia="仿宋"/>
          <w:b/>
          <w:color w:val="auto"/>
          <w:sz w:val="36"/>
          <w:szCs w:val="36"/>
          <w:highlight w:val="none"/>
        </w:rPr>
      </w:pPr>
      <w:r>
        <w:rPr>
          <w:rFonts w:eastAsia="仿宋"/>
          <w:b/>
          <w:color w:val="auto"/>
          <w:sz w:val="36"/>
          <w:szCs w:val="36"/>
          <w:highlight w:val="none"/>
        </w:rPr>
      </w:r>
      <w:r/>
    </w:p>
    <w:p>
      <w:pPr>
        <w:pStyle w:val="819"/>
        <w:rPr>
          <w:rFonts w:eastAsia="仿宋"/>
          <w:color w:val="auto"/>
          <w:szCs w:val="21"/>
          <w:highlight w:val="none"/>
        </w:rPr>
        <w:sectPr>
          <w:footerReference w:type="default" r:id="rId11"/>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bookmarkStart w:id="3" w:name="_Toc481057143"/>
      <w:r/>
      <w:bookmarkStart w:id="4" w:name="_Hlk52290185"/>
      <w:r/>
      <w:bookmarkStart w:id="5" w:name="_Hlk54715254"/>
      <w:r/>
      <w:r/>
    </w:p>
    <w:p>
      <w:pPr>
        <w:pStyle w:val="819"/>
        <w:spacing w:line="360" w:lineRule="auto"/>
        <w:rPr>
          <w:rFonts w:eastAsia="仿宋"/>
          <w:color w:val="auto"/>
          <w:szCs w:val="21"/>
          <w:highlight w:val="none"/>
        </w:rPr>
      </w:pPr>
      <w:r>
        <w:rPr>
          <w:rFonts w:eastAsia="仿宋"/>
          <w:color w:val="auto"/>
          <w:highlight w:val="none"/>
        </w:rPr>
        <w:t xml:space="preserve"> </w:t>
      </w:r>
      <w:bookmarkStart w:id="6" w:name="_Toc15420"/>
      <w:r/>
      <w:bookmarkStart w:id="7" w:name="_Toc10141"/>
      <w:r>
        <w:rPr>
          <w:rFonts w:eastAsia="仿宋"/>
          <w:color w:val="auto"/>
          <w:highlight w:val="none"/>
        </w:rPr>
        <w:t xml:space="preserve">招标公告</w:t>
      </w:r>
      <w:bookmarkEnd w:id="3"/>
      <w:r/>
      <w:bookmarkEnd w:id="6"/>
      <w:r/>
      <w:bookmarkEnd w:id="7"/>
      <w:r/>
      <w:r/>
    </w:p>
    <w:p>
      <w:pPr>
        <w:ind w:firstLine="514"/>
        <w:spacing w:line="360" w:lineRule="auto"/>
        <w:widowControl/>
        <w:rPr>
          <w:rFonts w:eastAsia="仿宋"/>
          <w:b/>
          <w:bCs/>
          <w:color w:val="auto"/>
          <w:spacing w:val="8"/>
          <w:sz w:val="24"/>
          <w:highlight w:val="none"/>
        </w:rPr>
        <w:pBdr>
          <w:top w:val="single" w:color="auto" w:sz="4" w:space="1"/>
          <w:left w:val="single" w:color="auto" w:sz="4" w:space="4"/>
          <w:bottom w:val="single" w:color="auto" w:sz="4" w:space="1"/>
          <w:right w:val="single" w:color="auto" w:sz="4" w:space="4"/>
        </w:pBdr>
      </w:pPr>
      <w:r>
        <w:rPr>
          <w:rFonts w:eastAsia="仿宋"/>
          <w:b/>
          <w:bCs/>
          <w:color w:val="auto"/>
          <w:spacing w:val="8"/>
          <w:sz w:val="24"/>
          <w:highlight w:val="none"/>
        </w:rPr>
        <w:t xml:space="preserve">项目概况</w:t>
      </w:r>
      <w:r/>
    </w:p>
    <w:p>
      <w:pPr>
        <w:ind w:firstLine="482"/>
        <w:spacing w:line="360" w:lineRule="auto"/>
        <w:widowControl/>
        <w:rPr>
          <w:rFonts w:eastAsia="仿宋"/>
          <w:color w:val="auto"/>
          <w:sz w:val="24"/>
          <w:highlight w:val="none"/>
        </w:rPr>
        <w:pBdr>
          <w:top w:val="single" w:color="auto" w:sz="4" w:space="1"/>
          <w:left w:val="single" w:color="auto" w:sz="4" w:space="4"/>
          <w:bottom w:val="single" w:color="auto" w:sz="4" w:space="1"/>
          <w:right w:val="single" w:color="auto" w:sz="4" w:space="4"/>
        </w:pBdr>
      </w:pPr>
      <w:r>
        <w:rPr>
          <w:rFonts w:eastAsia="仿宋"/>
          <w:b/>
          <w:bCs/>
          <w:color w:val="auto"/>
          <w:sz w:val="24"/>
          <w:highlight w:val="none"/>
          <w:u w:val="single"/>
        </w:rPr>
        <w:t xml:space="preserve">秦淮区餐饮油烟及涉VOCs企业在线监测服务</w:t>
      </w:r>
      <w:r>
        <w:rPr>
          <w:rFonts w:eastAsia="仿宋"/>
          <w:color w:val="auto"/>
          <w:spacing w:val="8"/>
          <w:sz w:val="24"/>
          <w:highlight w:val="none"/>
        </w:rPr>
        <w:t xml:space="preserve">的潜在投标人应在</w:t>
      </w:r>
      <w:r>
        <w:rPr>
          <w:rFonts w:eastAsia="仿宋"/>
          <w:b/>
          <w:bCs/>
          <w:color w:val="auto"/>
          <w:sz w:val="24"/>
          <w:highlight w:val="none"/>
          <w:u w:val="single"/>
        </w:rPr>
        <w:t xml:space="preserve">江苏政府采购网</w:t>
      </w:r>
      <w:r>
        <w:rPr>
          <w:rFonts w:eastAsia="仿宋"/>
          <w:color w:val="auto"/>
          <w:sz w:val="24"/>
          <w:highlight w:val="none"/>
        </w:rPr>
        <w:t xml:space="preserve">获取采购文件，并于</w:t>
      </w:r>
      <w:r>
        <w:rPr>
          <w:rFonts w:eastAsia="仿宋"/>
          <w:b/>
          <w:bCs/>
          <w:iCs/>
          <w:color w:val="auto"/>
          <w:spacing w:val="8"/>
          <w:sz w:val="24"/>
          <w:highlight w:val="none"/>
          <w:u w:val="single"/>
        </w:rPr>
        <w:t xml:space="preserve">2024</w:t>
      </w:r>
      <w:r>
        <w:rPr>
          <w:rFonts w:eastAsia="仿宋"/>
          <w:b/>
          <w:bCs/>
          <w:color w:val="auto"/>
          <w:spacing w:val="8"/>
          <w:sz w:val="24"/>
          <w:highlight w:val="none"/>
          <w:u w:val="single"/>
        </w:rPr>
        <w:t xml:space="preserve">年12月</w:t>
      </w:r>
      <w:r>
        <w:rPr>
          <w:rFonts w:hint="eastAsia" w:eastAsia="仿宋"/>
          <w:b/>
          <w:bCs/>
          <w:color w:val="auto"/>
          <w:spacing w:val="8"/>
          <w:sz w:val="24"/>
          <w:highlight w:val="none"/>
          <w:u w:val="single"/>
          <w:lang w:val="en-US" w:eastAsia="zh-CN"/>
        </w:rPr>
        <w:t xml:space="preserve">19</w:t>
      </w:r>
      <w:r>
        <w:rPr>
          <w:rFonts w:eastAsia="仿宋"/>
          <w:b/>
          <w:bCs/>
          <w:color w:val="auto"/>
          <w:spacing w:val="8"/>
          <w:sz w:val="24"/>
          <w:highlight w:val="none"/>
          <w:u w:val="single"/>
        </w:rPr>
        <w:t xml:space="preserve">日</w:t>
      </w:r>
      <w:r>
        <w:rPr>
          <w:rFonts w:eastAsia="仿宋"/>
          <w:b/>
          <w:bCs/>
          <w:color w:val="auto"/>
          <w:sz w:val="24"/>
          <w:highlight w:val="none"/>
          <w:u w:val="single"/>
        </w:rPr>
        <w:t xml:space="preserve">14点00分</w:t>
      </w:r>
      <w:r>
        <w:rPr>
          <w:rFonts w:eastAsia="仿宋"/>
          <w:color w:val="auto"/>
          <w:sz w:val="24"/>
          <w:highlight w:val="none"/>
        </w:rPr>
        <w:t xml:space="preserve">（北京时间）前递交投标文件。</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一、项目基本情况</w:t>
      </w:r>
      <w:bookmarkEnd w:id="4"/>
      <w:r/>
      <w:bookmarkEnd w:id="5"/>
      <w:r/>
      <w:r/>
    </w:p>
    <w:p>
      <w:pPr>
        <w:ind w:firstLine="480"/>
        <w:spacing w:line="360" w:lineRule="auto"/>
        <w:rPr>
          <w:rFonts w:hint="eastAsia" w:eastAsia="仿宋"/>
          <w:bCs/>
          <w:color w:val="auto"/>
          <w:sz w:val="24"/>
          <w:highlight w:val="none"/>
          <w:lang w:eastAsia="zh-CN"/>
        </w:rPr>
      </w:pPr>
      <w:r>
        <w:rPr>
          <w:rFonts w:eastAsia="仿宋"/>
          <w:bCs/>
          <w:color w:val="auto"/>
          <w:sz w:val="24"/>
          <w:highlight w:val="none"/>
        </w:rPr>
        <w:t xml:space="preserve">1.1项目编号：</w:t>
      </w:r>
      <w:r>
        <w:rPr>
          <w:rFonts w:hint="eastAsia" w:eastAsia="仿宋"/>
          <w:bCs/>
          <w:color w:val="auto"/>
          <w:sz w:val="24"/>
          <w:highlight w:val="none"/>
          <w:lang w:eastAsia="zh-CN"/>
        </w:rPr>
        <w:t xml:space="preserve">JSZC-320104-YCGC-G2024-0066</w:t>
      </w:r>
      <w:r/>
    </w:p>
    <w:p>
      <w:pPr>
        <w:ind w:firstLine="480"/>
        <w:spacing w:line="360" w:lineRule="auto"/>
        <w:rPr>
          <w:rFonts w:eastAsia="仿宋"/>
          <w:bCs/>
          <w:color w:val="auto"/>
          <w:sz w:val="24"/>
          <w:highlight w:val="none"/>
        </w:rPr>
      </w:pPr>
      <w:r>
        <w:rPr>
          <w:rFonts w:eastAsia="仿宋"/>
          <w:bCs/>
          <w:color w:val="auto"/>
          <w:sz w:val="24"/>
          <w:highlight w:val="none"/>
        </w:rPr>
        <w:t xml:space="preserve">1.2项目名称：秦淮区餐饮油烟及涉VOCs企业在线监测服务</w:t>
      </w:r>
      <w:r/>
    </w:p>
    <w:p>
      <w:pPr>
        <w:ind w:firstLine="480"/>
        <w:spacing w:line="360" w:lineRule="auto"/>
        <w:rPr>
          <w:rFonts w:eastAsia="仿宋"/>
          <w:bCs/>
          <w:color w:val="auto"/>
          <w:sz w:val="24"/>
          <w:highlight w:val="none"/>
        </w:rPr>
      </w:pPr>
      <w:r>
        <w:rPr>
          <w:rFonts w:eastAsia="仿宋"/>
          <w:bCs/>
          <w:color w:val="auto"/>
          <w:sz w:val="24"/>
          <w:highlight w:val="none"/>
        </w:rPr>
        <w:t xml:space="preserve">1.3预算金额：人民币</w:t>
      </w:r>
      <w:r>
        <w:rPr>
          <w:rFonts w:eastAsia="仿宋"/>
          <w:color w:val="auto"/>
          <w:spacing w:val="8"/>
          <w:sz w:val="24"/>
          <w:highlight w:val="none"/>
        </w:rPr>
        <w:t xml:space="preserve">1344万元；</w:t>
      </w:r>
      <w:r/>
    </w:p>
    <w:p>
      <w:pPr>
        <w:ind w:firstLine="480"/>
        <w:spacing w:line="360" w:lineRule="auto"/>
        <w:rPr>
          <w:rFonts w:eastAsia="仿宋"/>
          <w:b/>
          <w:color w:val="auto"/>
          <w:spacing w:val="8"/>
          <w:sz w:val="24"/>
          <w:highlight w:val="none"/>
        </w:rPr>
      </w:pPr>
      <w:r>
        <w:rPr>
          <w:rFonts w:eastAsia="仿宋"/>
          <w:bCs/>
          <w:color w:val="auto"/>
          <w:sz w:val="24"/>
          <w:highlight w:val="none"/>
        </w:rPr>
        <w:t xml:space="preserve">1.4</w:t>
      </w:r>
      <w:r>
        <w:rPr>
          <w:rFonts w:eastAsia="仿宋"/>
          <w:color w:val="auto"/>
          <w:spacing w:val="8"/>
          <w:sz w:val="24"/>
          <w:highlight w:val="none"/>
        </w:rPr>
        <w:t xml:space="preserve">最高限价：人民币1344万元/三年</w:t>
      </w:r>
      <w:r/>
    </w:p>
    <w:p>
      <w:pPr>
        <w:ind w:firstLine="480"/>
        <w:spacing w:line="360" w:lineRule="auto"/>
        <w:rPr>
          <w:rFonts w:eastAsia="仿宋"/>
          <w:bCs/>
          <w:color w:val="auto"/>
          <w:sz w:val="24"/>
          <w:highlight w:val="none"/>
        </w:rPr>
      </w:pPr>
      <w:r>
        <w:rPr>
          <w:rFonts w:eastAsia="仿宋"/>
          <w:bCs/>
          <w:color w:val="auto"/>
          <w:sz w:val="24"/>
          <w:highlight w:val="none"/>
        </w:rPr>
        <w:t xml:space="preserve">1.5采购需求：</w:t>
      </w:r>
      <w:r>
        <w:rPr>
          <w:rFonts w:eastAsia="仿宋"/>
          <w:color w:val="auto"/>
          <w:spacing w:val="13"/>
          <w:sz w:val="24"/>
          <w:highlight w:val="none"/>
        </w:rPr>
        <w:t xml:space="preserve">本项目通过安装油烟在线监测来实时监</w:t>
      </w:r>
      <w:r>
        <w:rPr>
          <w:rFonts w:hint="eastAsia" w:eastAsia="仿宋"/>
          <w:color w:val="auto"/>
          <w:spacing w:val="13"/>
          <w:sz w:val="24"/>
          <w:highlight w:val="none"/>
          <w:lang w:val="en-US" w:eastAsia="zh-CN"/>
        </w:rPr>
        <w:t xml:space="preserve">测</w:t>
      </w:r>
      <w:r>
        <w:rPr>
          <w:rFonts w:eastAsia="仿宋"/>
          <w:color w:val="auto"/>
          <w:spacing w:val="13"/>
          <w:sz w:val="24"/>
          <w:highlight w:val="none"/>
        </w:rPr>
        <w:t xml:space="preserve">秦淮区餐饮单位油烟排放情况、油烟净化器运行情况等；通过安装VOCs在线监测来实时监</w:t>
      </w:r>
      <w:r>
        <w:rPr>
          <w:rFonts w:hint="eastAsia" w:eastAsia="仿宋"/>
          <w:color w:val="auto"/>
          <w:spacing w:val="13"/>
          <w:sz w:val="24"/>
          <w:highlight w:val="none"/>
          <w:lang w:val="en-US" w:eastAsia="zh-CN"/>
        </w:rPr>
        <w:t xml:space="preserve">测</w:t>
      </w:r>
      <w:r>
        <w:rPr>
          <w:rFonts w:eastAsia="仿宋"/>
          <w:color w:val="auto"/>
          <w:spacing w:val="13"/>
          <w:sz w:val="24"/>
          <w:highlight w:val="none"/>
        </w:rPr>
        <w:t xml:space="preserve">涉VOCs企业的VOCs排放情况、废气处理设施运行情况等</w:t>
      </w:r>
      <w:r>
        <w:rPr>
          <w:rFonts w:eastAsia="仿宋"/>
          <w:bCs/>
          <w:color w:val="auto"/>
          <w:sz w:val="24"/>
          <w:highlight w:val="none"/>
        </w:rPr>
        <w:t xml:space="preserve">开展秦淮区餐饮油烟及涉VOCs企业在线监测服务项目，现秦淮生态环境局采购</w:t>
      </w:r>
      <w:r>
        <w:rPr>
          <w:rFonts w:eastAsia="仿宋"/>
          <w:color w:val="auto"/>
          <w:spacing w:val="13"/>
          <w:sz w:val="24"/>
          <w:highlight w:val="none"/>
        </w:rPr>
        <w:t xml:space="preserve">餐饮油烟及涉VOCs企业在线监测服务</w:t>
      </w:r>
      <w:r>
        <w:rPr>
          <w:rFonts w:eastAsia="仿宋"/>
          <w:color w:val="auto"/>
          <w:sz w:val="24"/>
          <w:highlight w:val="none"/>
        </w:rPr>
        <w:t xml:space="preserve">，具体要求详见采购文件。</w:t>
      </w:r>
      <w:r/>
    </w:p>
    <w:p>
      <w:pPr>
        <w:ind w:firstLine="480"/>
        <w:spacing w:line="360" w:lineRule="auto"/>
        <w:rPr>
          <w:rFonts w:eastAsia="仿宋"/>
          <w:bCs/>
          <w:color w:val="auto"/>
          <w:sz w:val="24"/>
          <w:highlight w:val="none"/>
        </w:rPr>
      </w:pPr>
      <w:r>
        <w:rPr>
          <w:rFonts w:eastAsia="仿宋"/>
          <w:bCs/>
          <w:color w:val="auto"/>
          <w:sz w:val="24"/>
          <w:highlight w:val="none"/>
        </w:rPr>
        <w:t xml:space="preserve">1.6合同履行期限：三年</w:t>
      </w:r>
      <w:r/>
    </w:p>
    <w:p>
      <w:pPr>
        <w:ind w:firstLine="480"/>
        <w:spacing w:line="360" w:lineRule="auto"/>
        <w:rPr>
          <w:rFonts w:eastAsia="仿宋"/>
          <w:bCs/>
          <w:color w:val="auto"/>
          <w:sz w:val="24"/>
          <w:highlight w:val="none"/>
        </w:rPr>
      </w:pPr>
      <w:r>
        <w:rPr>
          <w:rFonts w:eastAsia="仿宋"/>
          <w:bCs/>
          <w:color w:val="auto"/>
          <w:sz w:val="24"/>
          <w:highlight w:val="none"/>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技术服务业。</w:t>
      </w:r>
      <w:r/>
    </w:p>
    <w:p>
      <w:pPr>
        <w:ind w:firstLine="480"/>
        <w:spacing w:line="360" w:lineRule="auto"/>
        <w:rPr>
          <w:rFonts w:eastAsia="仿宋"/>
          <w:bCs/>
          <w:color w:val="auto"/>
          <w:sz w:val="24"/>
          <w:highlight w:val="none"/>
        </w:rPr>
      </w:pPr>
      <w:r>
        <w:rPr>
          <w:rFonts w:eastAsia="仿宋"/>
          <w:bCs/>
          <w:color w:val="auto"/>
          <w:sz w:val="24"/>
          <w:highlight w:val="none"/>
        </w:rPr>
        <w:t xml:space="preserve">1.8本项目（是/否）接受联合体：否</w:t>
      </w:r>
      <w:r/>
    </w:p>
    <w:p>
      <w:pPr>
        <w:ind w:firstLine="480"/>
        <w:spacing w:line="360" w:lineRule="auto"/>
        <w:rPr>
          <w:rFonts w:eastAsia="仿宋"/>
          <w:bCs/>
          <w:color w:val="auto"/>
          <w:sz w:val="24"/>
          <w:highlight w:val="none"/>
        </w:rPr>
      </w:pPr>
      <w:r>
        <w:rPr>
          <w:rFonts w:eastAsia="仿宋"/>
          <w:bCs/>
          <w:color w:val="auto"/>
          <w:sz w:val="24"/>
          <w:highlight w:val="none"/>
        </w:rPr>
        <w:t xml:space="preserve">1.9是否接受进口产品：否</w:t>
      </w:r>
      <w:r/>
    </w:p>
    <w:p>
      <w:pPr>
        <w:ind w:firstLine="482"/>
        <w:jc w:val="left"/>
        <w:spacing w:line="360" w:lineRule="auto"/>
        <w:rPr>
          <w:rFonts w:eastAsia="仿宋"/>
          <w:b/>
          <w:bCs/>
          <w:color w:val="auto"/>
          <w:sz w:val="24"/>
          <w:highlight w:val="none"/>
        </w:rPr>
      </w:pPr>
      <w:r>
        <w:rPr>
          <w:rFonts w:eastAsia="仿宋"/>
          <w:b/>
          <w:bCs/>
          <w:color w:val="auto"/>
          <w:sz w:val="24"/>
          <w:highlight w:val="none"/>
        </w:rPr>
        <w:t xml:space="preserve">二、申请人的资格要求：</w:t>
      </w:r>
      <w:r/>
    </w:p>
    <w:p>
      <w:pPr>
        <w:ind w:firstLine="514"/>
        <w:jc w:val="left"/>
        <w:spacing w:line="360" w:lineRule="auto"/>
        <w:rPr>
          <w:rFonts w:eastAsia="仿宋"/>
          <w:b/>
          <w:color w:val="auto"/>
          <w:spacing w:val="8"/>
          <w:sz w:val="24"/>
          <w:highlight w:val="none"/>
        </w:rPr>
      </w:pPr>
      <w:r>
        <w:rPr>
          <w:rFonts w:eastAsia="仿宋"/>
          <w:b/>
          <w:color w:val="auto"/>
          <w:spacing w:val="8"/>
          <w:sz w:val="24"/>
          <w:highlight w:val="none"/>
        </w:rPr>
        <w:t xml:space="preserve">2.1满足《中华人民共和国政府采购法》第二十二条规定：</w:t>
      </w:r>
      <w:r/>
    </w:p>
    <w:p>
      <w:pPr>
        <w:ind w:firstLine="480"/>
        <w:spacing w:line="360" w:lineRule="auto"/>
        <w:rPr>
          <w:rFonts w:eastAsia="仿宋"/>
          <w:bCs/>
          <w:color w:val="auto"/>
          <w:sz w:val="24"/>
          <w:highlight w:val="none"/>
        </w:rPr>
      </w:pPr>
      <w:r>
        <w:rPr>
          <w:rFonts w:eastAsia="仿宋"/>
          <w:bCs/>
          <w:color w:val="auto"/>
          <w:sz w:val="24"/>
          <w:highlight w:val="none"/>
        </w:rPr>
        <w:t xml:space="preserve">（1）具有独立承担民事责任的能力；</w:t>
      </w:r>
      <w:r/>
    </w:p>
    <w:p>
      <w:pPr>
        <w:ind w:firstLine="480"/>
        <w:spacing w:line="360" w:lineRule="auto"/>
        <w:rPr>
          <w:rFonts w:eastAsia="仿宋"/>
          <w:bCs/>
          <w:color w:val="auto"/>
          <w:sz w:val="24"/>
          <w:highlight w:val="none"/>
        </w:rPr>
      </w:pPr>
      <w:r>
        <w:rPr>
          <w:rFonts w:eastAsia="仿宋"/>
          <w:bCs/>
          <w:color w:val="auto"/>
          <w:sz w:val="24"/>
          <w:highlight w:val="none"/>
        </w:rPr>
        <w:t xml:space="preserve">（2）具有良好的商业信誉和健全的财务会计制度；</w:t>
      </w:r>
      <w:r/>
    </w:p>
    <w:p>
      <w:pPr>
        <w:ind w:firstLine="480"/>
        <w:spacing w:line="360" w:lineRule="auto"/>
        <w:rPr>
          <w:rFonts w:eastAsia="仿宋"/>
          <w:bCs/>
          <w:color w:val="auto"/>
          <w:sz w:val="24"/>
          <w:highlight w:val="none"/>
        </w:rPr>
      </w:pPr>
      <w:r>
        <w:rPr>
          <w:rFonts w:eastAsia="仿宋"/>
          <w:bCs/>
          <w:color w:val="auto"/>
          <w:sz w:val="24"/>
          <w:highlight w:val="none"/>
        </w:rPr>
        <w:t xml:space="preserve">（3）具有履行合同所必需的设备和专业技术能力；</w:t>
      </w:r>
      <w:r/>
    </w:p>
    <w:p>
      <w:pPr>
        <w:ind w:firstLine="480"/>
        <w:spacing w:line="360" w:lineRule="auto"/>
        <w:rPr>
          <w:rFonts w:eastAsia="仿宋"/>
          <w:bCs/>
          <w:color w:val="auto"/>
          <w:sz w:val="24"/>
          <w:highlight w:val="none"/>
        </w:rPr>
      </w:pPr>
      <w:r>
        <w:rPr>
          <w:rFonts w:eastAsia="仿宋"/>
          <w:bCs/>
          <w:color w:val="auto"/>
          <w:sz w:val="24"/>
          <w:highlight w:val="none"/>
        </w:rPr>
        <w:t xml:space="preserve">（4）有依法缴纳税收和社会保障资金的良好记录；</w:t>
      </w:r>
      <w:r/>
    </w:p>
    <w:p>
      <w:pPr>
        <w:ind w:firstLine="480"/>
        <w:spacing w:line="360" w:lineRule="auto"/>
        <w:rPr>
          <w:rFonts w:eastAsia="仿宋"/>
          <w:bCs/>
          <w:color w:val="auto"/>
          <w:sz w:val="24"/>
          <w:highlight w:val="none"/>
        </w:rPr>
      </w:pPr>
      <w:r>
        <w:rPr>
          <w:rFonts w:eastAsia="仿宋"/>
          <w:bCs/>
          <w:color w:val="auto"/>
          <w:sz w:val="24"/>
          <w:highlight w:val="none"/>
        </w:rPr>
        <w:t xml:space="preserve">（5）参加政府采购活动前三年内，在经营活动中没有重大违法记录；</w:t>
      </w:r>
      <w:r/>
    </w:p>
    <w:p>
      <w:pPr>
        <w:ind w:firstLine="480"/>
        <w:spacing w:line="360" w:lineRule="auto"/>
        <w:rPr>
          <w:rFonts w:eastAsia="仿宋"/>
          <w:bCs/>
          <w:color w:val="auto"/>
          <w:sz w:val="24"/>
          <w:highlight w:val="none"/>
        </w:rPr>
      </w:pPr>
      <w:r>
        <w:rPr>
          <w:rFonts w:eastAsia="仿宋"/>
          <w:bCs/>
          <w:color w:val="auto"/>
          <w:sz w:val="24"/>
          <w:highlight w:val="none"/>
        </w:rPr>
        <w:t xml:space="preserve">（6）法律、行政法规规定的其他条件：无。</w:t>
      </w:r>
      <w:r/>
    </w:p>
    <w:p>
      <w:pPr>
        <w:ind w:firstLine="514"/>
        <w:spacing w:line="360" w:lineRule="auto"/>
        <w:rPr>
          <w:rFonts w:eastAsia="仿宋"/>
          <w:bCs/>
          <w:color w:val="auto"/>
          <w:sz w:val="24"/>
          <w:highlight w:val="none"/>
        </w:rPr>
      </w:pPr>
      <w:r>
        <w:rPr>
          <w:rFonts w:eastAsia="仿宋"/>
          <w:b/>
          <w:color w:val="auto"/>
          <w:spacing w:val="8"/>
          <w:sz w:val="24"/>
          <w:highlight w:val="none"/>
        </w:rPr>
        <w:t xml:space="preserve">2.2落实政府采购政策需满足的资格要求：</w:t>
      </w:r>
      <w:r>
        <w:rPr>
          <w:rFonts w:eastAsia="仿宋"/>
          <w:bCs/>
          <w:color w:val="auto"/>
          <w:sz w:val="24"/>
          <w:highlight w:val="none"/>
        </w:rPr>
        <w:t xml:space="preserve">（如属于专门面向中小企业采购的项目，供应商应为中小微企业、监狱企业、残疾人福利单位）</w:t>
      </w:r>
      <w:r/>
    </w:p>
    <w:p>
      <w:pPr>
        <w:ind w:firstLine="480"/>
        <w:spacing w:line="360" w:lineRule="auto"/>
        <w:rPr>
          <w:rFonts w:eastAsia="仿宋"/>
          <w:bCs/>
          <w:color w:val="auto"/>
          <w:sz w:val="24"/>
          <w:highlight w:val="none"/>
        </w:rPr>
      </w:pPr>
      <w:r>
        <w:rPr>
          <w:rFonts w:eastAsia="仿宋"/>
          <w:bCs/>
          <w:color w:val="auto"/>
          <w:sz w:val="24"/>
          <w:highlight w:val="none"/>
        </w:rPr>
        <w:t xml:space="preserve">本项目按照以下第（4）种方式落实政府采购促进中小企业发展的要求：</w:t>
      </w:r>
      <w:r/>
    </w:p>
    <w:p>
      <w:pPr>
        <w:ind w:firstLine="480"/>
        <w:spacing w:line="360" w:lineRule="auto"/>
        <w:rPr>
          <w:rFonts w:eastAsia="仿宋"/>
          <w:bCs/>
          <w:color w:val="auto"/>
          <w:sz w:val="24"/>
          <w:highlight w:val="none"/>
        </w:rPr>
      </w:pPr>
      <w:r>
        <w:rPr>
          <w:rFonts w:eastAsia="仿宋"/>
          <w:bCs/>
          <w:color w:val="auto"/>
          <w:sz w:val="24"/>
          <w:highlight w:val="none"/>
        </w:rPr>
        <w:t xml:space="preserve">（1）本项目整体专门面向中小企业采购服务。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（2）本项目整体专门面向小微企业采购服务。</w:t>
      </w:r>
      <w:r/>
    </w:p>
    <w:p>
      <w:pPr>
        <w:ind w:firstLine="480"/>
        <w:spacing w:line="360" w:lineRule="auto"/>
        <w:rPr>
          <w:rFonts w:eastAsia="仿宋"/>
          <w:bCs/>
          <w:color w:val="auto"/>
          <w:sz w:val="24"/>
          <w:highlight w:val="none"/>
        </w:rPr>
      </w:pPr>
      <w:r>
        <w:rPr>
          <w:rFonts w:eastAsia="仿宋"/>
          <w:bCs/>
          <w:color w:val="auto"/>
          <w:sz w:val="24"/>
          <w:highlight w:val="none"/>
        </w:rPr>
        <w:t xml:space="preserve">（3）本项目通过以下第（）种方式预留部分采购份额采购中小企业服务：</w:t>
      </w:r>
      <w:r/>
    </w:p>
    <w:p>
      <w:pPr>
        <w:ind w:firstLine="480"/>
        <w:spacing w:line="360" w:lineRule="auto"/>
        <w:rPr>
          <w:rFonts w:eastAsia="仿宋"/>
          <w:bCs/>
          <w:color w:val="auto"/>
          <w:sz w:val="24"/>
          <w:highlight w:val="none"/>
        </w:rPr>
      </w:pPr>
      <w:r>
        <w:rPr>
          <w:rFonts w:eastAsia="仿宋"/>
          <w:bCs/>
          <w:color w:val="auto"/>
          <w:sz w:val="24"/>
          <w:highlight w:val="none"/>
        </w:rPr>
        <w:t xml:space="preserve">①本项目要求供应商以联合体形式参加，中小企业合同金额应当达到的比例为_%。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②本项目要求供应商进行合同分包，中小企业合同金额应当达到的比例为_%。</w:t>
      </w:r>
      <w:r/>
    </w:p>
    <w:p>
      <w:pPr>
        <w:ind w:firstLine="480"/>
        <w:spacing w:line="360" w:lineRule="auto"/>
        <w:rPr>
          <w:rFonts w:eastAsia="仿宋"/>
          <w:bCs/>
          <w:color w:val="auto"/>
          <w:sz w:val="24"/>
          <w:highlight w:val="none"/>
        </w:rPr>
      </w:pPr>
      <w:r>
        <w:rPr>
          <w:rFonts w:eastAsia="仿宋"/>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eastAsia="仿宋"/>
          <w:b/>
          <w:color w:val="auto"/>
          <w:sz w:val="24"/>
          <w:highlight w:val="none"/>
        </w:rPr>
      </w:pPr>
      <w:r>
        <w:rPr>
          <w:rFonts w:eastAsia="仿宋"/>
          <w:b/>
          <w:color w:val="auto"/>
          <w:spacing w:val="8"/>
          <w:sz w:val="24"/>
          <w:highlight w:val="none"/>
        </w:rPr>
        <w:t xml:space="preserve">2.3采购人根据采购项目的特殊要求规定的特定条件，并提供符合特殊要求的证明</w:t>
      </w:r>
      <w:r>
        <w:rPr>
          <w:rFonts w:eastAsia="仿宋"/>
          <w:b/>
          <w:color w:val="auto"/>
          <w:sz w:val="24"/>
          <w:highlight w:val="none"/>
        </w:rPr>
        <w:t xml:space="preserve">材料或者情况</w:t>
      </w:r>
      <w:r>
        <w:rPr>
          <w:rFonts w:eastAsia="仿宋"/>
          <w:b/>
          <w:color w:val="auto"/>
          <w:spacing w:val="8"/>
          <w:sz w:val="24"/>
          <w:highlight w:val="none"/>
        </w:rPr>
        <w:t xml:space="preserve">说明：</w:t>
      </w:r>
      <w:r>
        <w:rPr>
          <w:rFonts w:eastAsia="仿宋"/>
          <w:b/>
          <w:color w:val="auto"/>
          <w:sz w:val="24"/>
          <w:highlight w:val="none"/>
        </w:rPr>
        <w:t xml:space="preserve">无</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2.4 第</w:t>
      </w:r>
      <w:r>
        <w:rPr>
          <w:rFonts w:eastAsia="仿宋"/>
          <w:b w:val="0"/>
          <w:bCs w:val="0"/>
          <w:color w:val="auto"/>
          <w:spacing w:val="-42"/>
          <w:sz w:val="24"/>
          <w:highlight w:val="none"/>
        </w:rPr>
        <w:t xml:space="preserve"> </w:t>
      </w:r>
      <w:r>
        <w:rPr>
          <w:rFonts w:eastAsia="仿宋"/>
          <w:b w:val="0"/>
          <w:bCs w:val="0"/>
          <w:color w:val="auto"/>
          <w:sz w:val="24"/>
          <w:highlight w:val="none"/>
        </w:rPr>
        <w:t xml:space="preserve">2.1（5）条所称重大违法记录，是指供应商因违法经营受到刑事处罚或者责令停产停业、吊销许可证或者执照、较大数额罚款等行政处罚。</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2.5</w:t>
      </w:r>
      <w:r>
        <w:rPr>
          <w:rFonts w:eastAsia="仿宋"/>
          <w:b w:val="0"/>
          <w:bCs w:val="0"/>
          <w:color w:val="auto"/>
          <w:spacing w:val="-13"/>
          <w:sz w:val="24"/>
          <w:highlight w:val="none"/>
        </w:rPr>
        <w:t xml:space="preserve"> 供应商</w:t>
      </w:r>
      <w:r>
        <w:rPr>
          <w:rFonts w:eastAsia="仿宋"/>
          <w:b w:val="0"/>
          <w:bCs w:val="0"/>
          <w:color w:val="auto"/>
          <w:sz w:val="24"/>
          <w:highlight w:val="none"/>
        </w:rPr>
        <w:t xml:space="preserve">在参加政府采购活动前</w:t>
      </w:r>
      <w:r>
        <w:rPr>
          <w:rFonts w:eastAsia="仿宋"/>
          <w:b w:val="0"/>
          <w:bCs w:val="0"/>
          <w:color w:val="auto"/>
          <w:spacing w:val="-68"/>
          <w:sz w:val="24"/>
          <w:highlight w:val="none"/>
        </w:rPr>
        <w:t xml:space="preserve"> </w:t>
      </w:r>
      <w:r>
        <w:rPr>
          <w:rFonts w:eastAsia="仿宋"/>
          <w:b w:val="0"/>
          <w:bCs w:val="0"/>
          <w:color w:val="auto"/>
          <w:sz w:val="24"/>
          <w:highlight w:val="none"/>
        </w:rPr>
        <w:t xml:space="preserve">3</w:t>
      </w:r>
      <w:r>
        <w:rPr>
          <w:rFonts w:eastAsia="仿宋"/>
          <w:b w:val="0"/>
          <w:bCs w:val="0"/>
          <w:color w:val="auto"/>
          <w:spacing w:val="-13"/>
          <w:sz w:val="24"/>
          <w:highlight w:val="none"/>
        </w:rPr>
        <w:t xml:space="preserve"> </w:t>
      </w:r>
      <w:r>
        <w:rPr>
          <w:rFonts w:eastAsia="仿宋"/>
          <w:b w:val="0"/>
          <w:bCs w:val="0"/>
          <w:color w:val="auto"/>
          <w:sz w:val="24"/>
          <w:highlight w:val="none"/>
        </w:rPr>
        <w:t xml:space="preserve">年内因违法经营被禁止在一定期限内参加政府采购活动，期限届满的，可以参加政府采购活动。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2.6单位负责人为同一人或者存在直接控股、管理关系的不同供应商，不得参加同一合同项下的政府采购活动。</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2.6不同投标人的法定代表人或委托代理人有夫妻、直系血亲关系的，不得参加本次采购活动。</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2.7 单位负责人为同一人或者存在直接控股、管理关系的不同供应商，不得参加同一合同项下的政府采购活动。</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2.8为采购项目提供整体设计、规范编制或者项目管理、监理、检测等服务的供应商，不得再参加该采购项目的其他采购活动。</w:t>
      </w:r>
      <w:r/>
    </w:p>
    <w:p>
      <w:pPr>
        <w:pStyle w:val="838"/>
        <w:ind w:firstLine="480"/>
        <w:jc w:val="both"/>
        <w:spacing w:line="360" w:lineRule="auto"/>
        <w:rPr>
          <w:rFonts w:eastAsia="仿宋"/>
          <w:b w:val="0"/>
          <w:bCs w:val="0"/>
          <w:color w:val="auto"/>
          <w:sz w:val="24"/>
          <w:highlight w:val="none"/>
        </w:rPr>
      </w:pPr>
      <w:r>
        <w:rPr>
          <w:rFonts w:eastAsia="仿宋"/>
          <w:b w:val="0"/>
          <w:bCs w:val="0"/>
          <w:color w:val="auto"/>
          <w:sz w:val="24"/>
          <w:highlight w:val="none"/>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三、获取招标文件</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3.2地点：江苏政府采购网。</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3.3方式：网上下载</w:t>
      </w:r>
      <w:r/>
    </w:p>
    <w:p>
      <w:pPr>
        <w:ind w:firstLine="512"/>
        <w:jc w:val="left"/>
        <w:spacing w:line="360" w:lineRule="auto"/>
        <w:shd w:val="clear" w:color="auto" w:fill="ffffff"/>
        <w:widowControl/>
        <w:rPr>
          <w:rFonts w:eastAsia="仿宋"/>
          <w:color w:val="auto"/>
          <w:spacing w:val="8"/>
          <w:sz w:val="24"/>
          <w:highlight w:val="none"/>
        </w:rPr>
      </w:pPr>
      <w:r>
        <w:rPr>
          <w:rFonts w:eastAsia="仿宋"/>
          <w:color w:val="auto"/>
          <w:spacing w:val="8"/>
          <w:sz w:val="24"/>
          <w:highlight w:val="none"/>
        </w:rPr>
        <w:t xml:space="preserve">3.4售价：0.00元。</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四、提交投标文件截止时间、开标时间和地点</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4.1</w:t>
      </w:r>
      <w:r>
        <w:rPr>
          <w:rFonts w:eastAsia="仿宋"/>
          <w:color w:val="auto"/>
          <w:spacing w:val="15"/>
          <w:sz w:val="24"/>
          <w:highlight w:val="none"/>
          <w:shd w:val="clear" w:color="auto" w:fill="ffffff"/>
        </w:rPr>
        <w:t xml:space="preserve">提交投标文件截止时间、开标时间：</w:t>
      </w:r>
      <w:r>
        <w:rPr>
          <w:rFonts w:eastAsia="仿宋"/>
          <w:b/>
          <w:bCs/>
          <w:color w:val="auto"/>
          <w:sz w:val="24"/>
          <w:highlight w:val="none"/>
        </w:rPr>
        <w:t xml:space="preserve">2024</w:t>
      </w:r>
      <w:r>
        <w:rPr>
          <w:rFonts w:eastAsia="仿宋"/>
          <w:b/>
          <w:bCs/>
          <w:color w:val="auto"/>
          <w:spacing w:val="8"/>
          <w:sz w:val="24"/>
          <w:highlight w:val="none"/>
        </w:rPr>
        <w:t xml:space="preserve">年12月</w:t>
      </w:r>
      <w:r>
        <w:rPr>
          <w:rFonts w:hint="eastAsia" w:eastAsia="仿宋"/>
          <w:b/>
          <w:bCs/>
          <w:color w:val="auto"/>
          <w:spacing w:val="8"/>
          <w:sz w:val="24"/>
          <w:highlight w:val="none"/>
          <w:lang w:val="en-US" w:eastAsia="zh-CN"/>
        </w:rPr>
        <w:t xml:space="preserve">19</w:t>
      </w:r>
      <w:r>
        <w:rPr>
          <w:rFonts w:eastAsia="仿宋"/>
          <w:b/>
          <w:bCs/>
          <w:color w:val="auto"/>
          <w:spacing w:val="8"/>
          <w:sz w:val="24"/>
          <w:highlight w:val="none"/>
        </w:rPr>
        <w:t xml:space="preserve">日14点</w:t>
      </w:r>
      <w:r>
        <w:rPr>
          <w:rFonts w:eastAsia="仿宋"/>
          <w:b/>
          <w:bCs/>
          <w:color w:val="auto"/>
          <w:sz w:val="24"/>
          <w:highlight w:val="none"/>
        </w:rPr>
        <w:t xml:space="preserve">00</w:t>
      </w:r>
      <w:r>
        <w:rPr>
          <w:rFonts w:eastAsia="仿宋"/>
          <w:b/>
          <w:bCs/>
          <w:color w:val="auto"/>
          <w:spacing w:val="8"/>
          <w:sz w:val="24"/>
          <w:highlight w:val="none"/>
        </w:rPr>
        <w:t xml:space="preserve">分</w:t>
      </w:r>
      <w:r>
        <w:rPr>
          <w:rFonts w:eastAsia="仿宋"/>
          <w:color w:val="auto"/>
          <w:spacing w:val="8"/>
          <w:sz w:val="24"/>
          <w:highlight w:val="none"/>
        </w:rPr>
        <w:t xml:space="preserve">（北京时间）</w:t>
      </w:r>
      <w:r/>
    </w:p>
    <w:p>
      <w:pPr>
        <w:pStyle w:val="863"/>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863"/>
        <w:ind w:firstLine="540"/>
        <w:spacing w:before="0" w:beforeAutospacing="0" w:after="0" w:afterAutospacing="0" w:line="360" w:lineRule="auto"/>
        <w:rPr>
          <w:rFonts w:ascii="Times New Roman" w:hAnsi="Times New Roman" w:eastAsia="仿宋" w:cs="Times New Roman"/>
          <w:color w:val="auto"/>
          <w:spacing w:val="15"/>
          <w:highlight w:val="none"/>
          <w:shd w:val="clear" w:color="auto" w:fill="ffffff"/>
        </w:rPr>
      </w:pPr>
      <w:r>
        <w:rPr>
          <w:rFonts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五、公告期限</w:t>
      </w:r>
      <w:r/>
    </w:p>
    <w:p>
      <w:pPr>
        <w:ind w:firstLine="512"/>
        <w:spacing w:line="360" w:lineRule="auto"/>
        <w:widowControl/>
        <w:rPr>
          <w:rFonts w:eastAsia="仿宋"/>
          <w:color w:val="auto"/>
          <w:spacing w:val="8"/>
          <w:sz w:val="24"/>
          <w:highlight w:val="none"/>
        </w:rPr>
      </w:pPr>
      <w:r>
        <w:rPr>
          <w:rFonts w:eastAsia="仿宋"/>
          <w:color w:val="auto"/>
          <w:spacing w:val="8"/>
          <w:sz w:val="24"/>
          <w:highlight w:val="none"/>
        </w:rPr>
        <w:t xml:space="preserve">自本公告发布之日起5个工作日。</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六、其他补充事宜</w:t>
      </w:r>
      <w:r/>
    </w:p>
    <w:p>
      <w:pPr>
        <w:ind w:firstLine="480"/>
        <w:spacing w:line="360" w:lineRule="auto"/>
        <w:shd w:val="clear" w:color="auto" w:fill="ffffff" w:themeFill="background1"/>
        <w:widowControl/>
        <w:rPr>
          <w:rFonts w:eastAsia="仿宋"/>
          <w:color w:val="auto"/>
          <w:sz w:val="24"/>
          <w:highlight w:val="none"/>
        </w:rPr>
      </w:pPr>
      <w:r>
        <w:rPr>
          <w:rFonts w:eastAsia="仿宋"/>
          <w:color w:val="auto"/>
          <w:sz w:val="24"/>
          <w:highlight w:val="none"/>
        </w:rPr>
        <w:t xml:space="preserve">6.1</w:t>
      </w:r>
      <w:r>
        <w:rPr>
          <w:rFonts w:eastAsia="仿宋"/>
          <w:bCs/>
          <w:color w:val="auto"/>
          <w:sz w:val="24"/>
          <w:highlight w:val="none"/>
        </w:rPr>
        <w:t xml:space="preserve">本采购公告在江苏政府采购网（http://www.ccgp-jiangsu.gov.cn/）、南京公共采购信息网（https://njgc.jfh.com/）公示发布，敬请各供应商关注</w:t>
      </w:r>
      <w:r>
        <w:rPr>
          <w:rFonts w:eastAsia="仿宋"/>
          <w:color w:val="auto"/>
          <w:sz w:val="24"/>
          <w:highlight w:val="none"/>
          <w:lang w:val="zh-CN"/>
        </w:rPr>
        <w:t xml:space="preserve">。</w:t>
      </w:r>
      <w:r/>
    </w:p>
    <w:p>
      <w:pPr>
        <w:pStyle w:val="1030"/>
        <w:ind w:firstLine="480"/>
        <w:spacing w:line="360" w:lineRule="auto"/>
        <w:rPr>
          <w:rFonts w:eastAsia="仿宋"/>
          <w:color w:val="auto"/>
          <w:sz w:val="24"/>
          <w:highlight w:val="none"/>
        </w:rPr>
      </w:pPr>
      <w:r>
        <w:rPr>
          <w:rFonts w:eastAsia="仿宋"/>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eastAsia="仿宋"/>
          <w:bCs/>
          <w:color w:val="auto"/>
          <w:sz w:val="24"/>
          <w:highlight w:val="none"/>
        </w:rPr>
      </w:pPr>
      <w:r>
        <w:rPr>
          <w:rFonts w:eastAsia="仿宋"/>
          <w:color w:val="auto"/>
          <w:sz w:val="24"/>
          <w:highlight w:val="none"/>
          <w:lang w:val="zh-CN"/>
        </w:rPr>
        <w:t xml:space="preserve">6.</w:t>
      </w:r>
      <w:r>
        <w:rPr>
          <w:rFonts w:eastAsia="仿宋"/>
          <w:color w:val="auto"/>
          <w:sz w:val="24"/>
          <w:highlight w:val="none"/>
        </w:rPr>
        <w:t xml:space="preserve">3</w:t>
      </w:r>
      <w:r>
        <w:rPr>
          <w:rFonts w:eastAsia="仿宋"/>
          <w:bCs/>
          <w:color w:val="auto"/>
          <w:sz w:val="24"/>
          <w:highlight w:val="none"/>
        </w:rPr>
        <w:t xml:space="preserve">勘察现场：采购人不集中组织，供应商可自行考察。</w:t>
      </w:r>
      <w:r/>
    </w:p>
    <w:p>
      <w:pPr>
        <w:ind w:firstLine="480"/>
        <w:spacing w:line="360" w:lineRule="auto"/>
        <w:rPr>
          <w:rFonts w:eastAsia="仿宋"/>
          <w:b/>
          <w:bCs/>
          <w:color w:val="auto"/>
          <w:sz w:val="24"/>
          <w:highlight w:val="none"/>
        </w:rPr>
      </w:pPr>
      <w:r>
        <w:rPr>
          <w:rFonts w:eastAsia="仿宋"/>
          <w:bCs/>
          <w:color w:val="auto"/>
          <w:sz w:val="24"/>
          <w:highlight w:val="none"/>
        </w:rPr>
        <w:t xml:space="preserve">6.4</w:t>
      </w:r>
      <w:r>
        <w:rPr>
          <w:rFonts w:eastAsia="仿宋"/>
          <w:b/>
          <w:bCs/>
          <w:color w:val="auto"/>
          <w:sz w:val="24"/>
          <w:highlight w:val="none"/>
        </w:rPr>
        <w:t xml:space="preserve">潜在供应商访问政府采购管理交易系统（苏采云）的网络地址和方法：</w:t>
      </w:r>
      <w:r/>
    </w:p>
    <w:p>
      <w:pPr>
        <w:ind w:firstLine="480"/>
        <w:spacing w:line="360" w:lineRule="auto"/>
        <w:rPr>
          <w:rFonts w:eastAsia="仿宋"/>
          <w:color w:val="auto"/>
          <w:sz w:val="24"/>
          <w:highlight w:val="none"/>
        </w:rPr>
      </w:pPr>
      <w:r>
        <w:rPr>
          <w:rFonts w:eastAsia="仿宋"/>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auto"/>
          <w:sz w:val="24"/>
          <w:highlight w:val="none"/>
        </w:rPr>
      </w:pPr>
      <w:r>
        <w:rPr>
          <w:rFonts w:eastAsia="仿宋"/>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auto"/>
          <w:sz w:val="24"/>
          <w:highlight w:val="none"/>
        </w:rPr>
      </w:pPr>
      <w:r>
        <w:rPr>
          <w:rFonts w:eastAsia="仿宋"/>
          <w:color w:val="auto"/>
          <w:sz w:val="24"/>
          <w:highlight w:val="none"/>
        </w:rPr>
        <w:t xml:space="preserve">3）“CA数字证书”的办理材料以及供应商操作手册详见：http://jsxcmm.com/help/gys.html。</w:t>
      </w:r>
      <w:r/>
    </w:p>
    <w:p>
      <w:pPr>
        <w:ind w:firstLine="480"/>
        <w:spacing w:line="360" w:lineRule="auto"/>
        <w:rPr>
          <w:rFonts w:eastAsia="仿宋"/>
          <w:color w:val="auto"/>
          <w:sz w:val="24"/>
          <w:highlight w:val="none"/>
        </w:rPr>
      </w:pPr>
      <w:r>
        <w:rPr>
          <w:rFonts w:eastAsia="仿宋"/>
          <w:color w:val="auto"/>
          <w:sz w:val="24"/>
          <w:highlight w:val="none"/>
        </w:rPr>
        <w:t xml:space="preserve">4）潜在供应商访问“苏采云”系统的网络地址和方法：“苏采云”系统的网址：http://jszfcg.jsczt.cn/jszc/login。</w:t>
      </w:r>
      <w:r/>
    </w:p>
    <w:p>
      <w:pPr>
        <w:ind w:firstLine="480"/>
        <w:spacing w:line="360" w:lineRule="auto"/>
        <w:rPr>
          <w:rFonts w:eastAsia="仿宋"/>
          <w:color w:val="auto"/>
          <w:sz w:val="24"/>
          <w:highlight w:val="none"/>
        </w:rPr>
      </w:pPr>
      <w:r>
        <w:rPr>
          <w:rFonts w:eastAsia="仿宋"/>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auto"/>
          <w:sz w:val="24"/>
          <w:highlight w:val="none"/>
        </w:rPr>
      </w:pPr>
      <w:r>
        <w:rPr>
          <w:rFonts w:eastAsia="仿宋"/>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eastAsia="仿宋"/>
          <w:color w:val="auto"/>
          <w:sz w:val="24"/>
          <w:highlight w:val="none"/>
        </w:rPr>
      </w:pPr>
      <w:r>
        <w:rPr>
          <w:rFonts w:eastAsia="仿宋"/>
          <w:color w:val="auto"/>
          <w:sz w:val="24"/>
          <w:highlight w:val="none"/>
        </w:rPr>
        <w:t xml:space="preserve">7）苏采云系统使用谷歌浏览器参与不见面开标。</w:t>
      </w:r>
      <w:r/>
    </w:p>
    <w:p>
      <w:pPr>
        <w:ind w:firstLine="480"/>
        <w:spacing w:line="360" w:lineRule="auto"/>
        <w:rPr>
          <w:rFonts w:eastAsia="仿宋"/>
          <w:color w:val="auto"/>
          <w:sz w:val="24"/>
          <w:highlight w:val="none"/>
        </w:rPr>
      </w:pPr>
      <w:r>
        <w:rPr>
          <w:rFonts w:eastAsia="仿宋"/>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eastAsia="仿宋"/>
          <w:b/>
          <w:bCs/>
          <w:color w:val="auto"/>
          <w:sz w:val="24"/>
          <w:highlight w:val="none"/>
          <w:lang w:val="zh-CN"/>
        </w:rPr>
      </w:pPr>
      <w:r>
        <w:rPr>
          <w:rFonts w:eastAsia="仿宋"/>
          <w:b/>
          <w:bCs/>
          <w:color w:val="auto"/>
          <w:sz w:val="24"/>
          <w:highlight w:val="none"/>
          <w:lang w:val="zh-CN"/>
        </w:rPr>
        <w:t xml:space="preserve">6.</w:t>
      </w:r>
      <w:r>
        <w:rPr>
          <w:rFonts w:eastAsia="仿宋"/>
          <w:b/>
          <w:bCs/>
          <w:color w:val="auto"/>
          <w:sz w:val="24"/>
          <w:highlight w:val="none"/>
        </w:rPr>
        <w:t xml:space="preserve">5政府采购信用承诺</w:t>
      </w:r>
      <w:r/>
    </w:p>
    <w:p>
      <w:pPr>
        <w:ind w:firstLine="480"/>
        <w:jc w:val="left"/>
        <w:spacing w:line="360" w:lineRule="auto"/>
        <w:widowControl/>
        <w:rPr>
          <w:rFonts w:eastAsia="仿宋"/>
          <w:color w:val="auto"/>
          <w:sz w:val="24"/>
          <w:highlight w:val="none"/>
        </w:rPr>
      </w:pPr>
      <w:r>
        <w:rPr>
          <w:rFonts w:eastAsia="仿宋"/>
          <w:color w:val="auto"/>
          <w:sz w:val="24"/>
          <w:highlight w:val="none"/>
          <w:lang w:val="zh-CN"/>
        </w:rPr>
        <w:t xml:space="preserve">根据《关于在政府采购活动中推行信用承诺制的通知》宁财购通〔2021〕5号规定，</w:t>
      </w:r>
      <w:r>
        <w:rPr>
          <w:rFonts w:eastAsia="仿宋"/>
          <w:color w:val="auto"/>
          <w:sz w:val="24"/>
          <w:highlight w:val="none"/>
        </w:rPr>
        <w:t xml:space="preserve">参加</w:t>
      </w:r>
      <w:r>
        <w:rPr>
          <w:rFonts w:eastAsia="仿宋"/>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auto"/>
          <w:sz w:val="24"/>
          <w:highlight w:val="none"/>
        </w:rPr>
        <w:t xml:space="preserve">首页</w:t>
      </w:r>
      <w:r>
        <w:rPr>
          <w:rFonts w:eastAsia="仿宋"/>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auto"/>
          <w:sz w:val="24"/>
          <w:highlight w:val="none"/>
          <w:lang w:val="zh-CN"/>
        </w:rPr>
        <w:t xml:space="preserve">由</w:t>
      </w:r>
      <w:r>
        <w:rPr>
          <w:rFonts w:eastAsia="仿宋"/>
          <w:b/>
          <w:bCs/>
          <w:color w:val="auto"/>
          <w:sz w:val="24"/>
          <w:highlight w:val="none"/>
        </w:rPr>
        <w:t xml:space="preserve">法定代表人</w:t>
      </w:r>
      <w:r>
        <w:rPr>
          <w:rFonts w:eastAsia="仿宋"/>
          <w:b/>
          <w:bCs/>
          <w:color w:val="auto"/>
          <w:sz w:val="24"/>
          <w:highlight w:val="none"/>
          <w:lang w:val="zh-CN"/>
        </w:rPr>
        <w:t xml:space="preserve">签字并盖单位公章，</w:t>
      </w:r>
      <w:r>
        <w:rPr>
          <w:rFonts w:eastAsia="仿宋"/>
          <w:b/>
          <w:bCs/>
          <w:color w:val="auto"/>
          <w:sz w:val="24"/>
          <w:highlight w:val="none"/>
        </w:rPr>
        <w:t xml:space="preserve">随投标文件一并递交。</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（1）符合国家相关规定的财务状况报告；</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（2）依法缴纳税收的证明材料；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（3）依法缴纳社会保障资金的证明材料；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（4）具备履行政府采购合同所必需的设备和专业技术能力的证明材料；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eastAsia="仿宋"/>
          <w:color w:val="auto"/>
          <w:sz w:val="24"/>
          <w:highlight w:val="none"/>
          <w:lang w:val="zh-CN"/>
        </w:rPr>
      </w:pPr>
      <w:r>
        <w:rPr>
          <w:rFonts w:eastAsia="仿宋"/>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供应商涉及以下情形的，不适用信用承诺：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（1）供应商被列入严重失信主体名单；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（2）被相关监管部门作出行政处罚且尚在处罚有效期内；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（3）其他法律、行政法规规定的不适用信用承诺的情形。 </w:t>
      </w:r>
      <w:r/>
    </w:p>
    <w:p>
      <w:pPr>
        <w:ind w:firstLine="482"/>
        <w:spacing w:line="360" w:lineRule="auto"/>
        <w:widowControl/>
        <w:rPr>
          <w:rFonts w:eastAsia="仿宋"/>
          <w:b/>
          <w:bCs/>
          <w:color w:val="auto"/>
          <w:sz w:val="24"/>
          <w:highlight w:val="none"/>
          <w:lang w:val="zh-CN"/>
        </w:rPr>
      </w:pPr>
      <w:r>
        <w:rPr>
          <w:rFonts w:eastAsia="仿宋"/>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eastAsia" w:ascii="Times New Roman" w:hAnsi="Times New Roman" w:eastAsia="仿宋" w:cs="Times New Roman"/>
          <w:bCs/>
          <w:color w:val="auto"/>
          <w:sz w:val="24"/>
          <w:szCs w:val="24"/>
          <w:highlight w:val="none"/>
          <w:lang w:val="en-US" w:eastAsia="zh-CN"/>
        </w:rPr>
        <w:t xml:space="preserve">6.6</w:t>
      </w:r>
      <w:r>
        <w:rPr>
          <w:rFonts w:hint="default" w:ascii="Times New Roman" w:hAnsi="Times New Roman" w:eastAsia="仿宋" w:cs="Times New Roman"/>
          <w:bCs/>
          <w:color w:val="auto"/>
          <w:sz w:val="24"/>
          <w:szCs w:val="24"/>
          <w:highlight w:val="none"/>
        </w:rPr>
        <w:t xml:space="preserve">采购项目需要落实的政府采购政策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（1）政府采购促进中小企业发展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（2）政府采购支持监狱企业发展</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（3）政府采购促进残疾人就业</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（4）政府采购鼓励采购节能环保产品</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（5）信息安全产品政策</w:t>
      </w:r>
      <w:r/>
    </w:p>
    <w:p>
      <w:pPr>
        <w:ind w:firstLine="480"/>
        <w:keepLines w:val="0"/>
        <w:keepNext w:val="0"/>
        <w:pageBreakBefore w:val="0"/>
        <w:spacing w:line="360" w:lineRule="auto"/>
        <w:widowControl w:val="off"/>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（6）进口产品政策</w:t>
      </w:r>
      <w:r/>
    </w:p>
    <w:p>
      <w:pPr>
        <w:ind w:firstLine="514"/>
        <w:spacing w:line="360" w:lineRule="auto"/>
        <w:widowControl/>
        <w:rPr>
          <w:rFonts w:eastAsia="仿宋"/>
          <w:b/>
          <w:color w:val="auto"/>
          <w:spacing w:val="8"/>
          <w:sz w:val="24"/>
          <w:highlight w:val="none"/>
        </w:rPr>
      </w:pPr>
      <w:r>
        <w:rPr>
          <w:rFonts w:eastAsia="仿宋"/>
          <w:b/>
          <w:color w:val="auto"/>
          <w:spacing w:val="8"/>
          <w:sz w:val="24"/>
          <w:highlight w:val="none"/>
        </w:rPr>
        <w:t xml:space="preserve">七、对本次招标提出询问，请按以下方式联系</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7.1采购人信息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名称：南京市秦淮生态环境局</w:t>
      </w:r>
      <w:r/>
    </w:p>
    <w:p>
      <w:pPr>
        <w:ind w:firstLine="480"/>
        <w:spacing w:line="360" w:lineRule="auto"/>
        <w:widowControl/>
        <w:rPr>
          <w:rFonts w:eastAsia="仿宋"/>
          <w:color w:val="auto"/>
          <w:spacing w:val="-2"/>
          <w:sz w:val="24"/>
          <w:highlight w:val="none"/>
        </w:rPr>
      </w:pPr>
      <w:r>
        <w:rPr>
          <w:rFonts w:eastAsia="仿宋"/>
          <w:bCs/>
          <w:color w:val="auto"/>
          <w:sz w:val="24"/>
          <w:highlight w:val="none"/>
        </w:rPr>
        <w:t xml:space="preserve">地址：</w:t>
      </w:r>
      <w:r>
        <w:rPr>
          <w:rFonts w:eastAsia="仿宋"/>
          <w:color w:val="auto"/>
          <w:spacing w:val="-2"/>
          <w:sz w:val="24"/>
          <w:highlight w:val="none"/>
        </w:rPr>
        <w:t xml:space="preserve">南京市秦淮区秦虹路1号</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联系人：刘先生</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联系电话：</w:t>
      </w:r>
      <w:r>
        <w:rPr>
          <w:rFonts w:eastAsia="仿宋"/>
          <w:color w:val="auto"/>
          <w:sz w:val="24"/>
          <w:highlight w:val="none"/>
        </w:rPr>
        <w:t xml:space="preserve">025-84628185</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7.2采购代理机构信息</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名称：源成工程咨询（江苏南京）有限责任公司</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地址：南京市雨花台区花神大道23号1号楼西4F408室</w:t>
      </w:r>
      <w:r/>
    </w:p>
    <w:p>
      <w:pPr>
        <w:ind w:firstLine="480"/>
        <w:spacing w:line="360" w:lineRule="auto"/>
        <w:widowControl/>
        <w:rPr>
          <w:rFonts w:eastAsia="仿宋"/>
          <w:bCs/>
          <w:color w:val="auto"/>
          <w:sz w:val="24"/>
          <w:highlight w:val="none"/>
        </w:rPr>
      </w:pPr>
      <w:r>
        <w:rPr>
          <w:rFonts w:eastAsia="仿宋"/>
          <w:bCs/>
          <w:color w:val="auto"/>
          <w:sz w:val="24"/>
          <w:highlight w:val="none"/>
        </w:rPr>
        <w:t xml:space="preserve">联系人：王工</w:t>
      </w:r>
      <w:r/>
    </w:p>
    <w:p>
      <w:pPr>
        <w:ind w:firstLine="480"/>
        <w:spacing w:line="360" w:lineRule="auto"/>
        <w:widowControl/>
        <w:rPr>
          <w:rFonts w:eastAsia="仿宋"/>
          <w:color w:val="auto"/>
          <w:highlight w:val="none"/>
        </w:rPr>
      </w:pPr>
      <w:r>
        <w:rPr>
          <w:rFonts w:eastAsia="仿宋"/>
          <w:bCs/>
          <w:color w:val="auto"/>
          <w:sz w:val="24"/>
          <w:highlight w:val="none"/>
        </w:rPr>
        <w:t xml:space="preserve">联系方式：025-86803150</w:t>
      </w:r>
      <w:r>
        <w:rPr>
          <w:rFonts w:eastAsia="仿宋"/>
          <w:color w:val="auto"/>
          <w:highlight w:val="none"/>
        </w:rPr>
        <w:br w:type="page" w:clear="all"/>
      </w:r>
      <w:r/>
    </w:p>
    <w:p>
      <w:pPr>
        <w:pStyle w:val="819"/>
        <w:spacing w:line="360" w:lineRule="auto"/>
        <w:rPr>
          <w:rFonts w:eastAsia="仿宋"/>
          <w:color w:val="auto"/>
          <w:highlight w:val="none"/>
        </w:rPr>
      </w:pPr>
      <w:r/>
      <w:bookmarkStart w:id="8" w:name="_Toc20990"/>
      <w:r/>
      <w:bookmarkStart w:id="9" w:name="_Toc12075"/>
      <w:r/>
      <w:bookmarkStart w:id="10" w:name="_Toc452625218"/>
      <w:r>
        <w:rPr>
          <w:rFonts w:eastAsia="仿宋"/>
          <w:color w:val="auto"/>
          <w:highlight w:val="none"/>
        </w:rPr>
        <w:t xml:space="preserve">投标人须知</w:t>
      </w:r>
      <w:bookmarkEnd w:id="8"/>
      <w:r/>
      <w:bookmarkEnd w:id="9"/>
      <w:r/>
      <w:bookmarkEnd w:id="10"/>
      <w:r/>
      <w:r/>
    </w:p>
    <w:p>
      <w:pPr>
        <w:ind w:firstLine="482"/>
        <w:spacing w:line="360" w:lineRule="auto"/>
        <w:shd w:val="clear" w:color="auto" w:fill="ffffff"/>
        <w:widowControl/>
        <w:rPr>
          <w:rFonts w:eastAsia="仿宋"/>
          <w:color w:val="auto"/>
          <w:sz w:val="24"/>
          <w:highlight w:val="none"/>
        </w:rPr>
        <w:outlineLvl w:val="1"/>
      </w:pPr>
      <w:r/>
      <w:bookmarkStart w:id="11" w:name="_Toc28809"/>
      <w:r/>
      <w:bookmarkStart w:id="12" w:name="_Toc31978"/>
      <w:r>
        <w:rPr>
          <w:rFonts w:eastAsia="仿宋"/>
          <w:b/>
          <w:bCs/>
          <w:color w:val="auto"/>
          <w:sz w:val="24"/>
          <w:highlight w:val="none"/>
        </w:rPr>
        <w:t xml:space="preserve">一、总 则</w:t>
      </w:r>
      <w:bookmarkEnd w:id="11"/>
      <w:r/>
      <w:bookmarkEnd w:id="12"/>
      <w:r/>
      <w:r/>
    </w:p>
    <w:p>
      <w:pPr>
        <w:ind w:firstLine="482"/>
        <w:spacing w:line="360" w:lineRule="auto"/>
        <w:shd w:val="clear" w:color="auto" w:fill="ffffff"/>
        <w:widowControl/>
        <w:rPr>
          <w:rFonts w:eastAsia="仿宋"/>
          <w:color w:val="auto"/>
          <w:sz w:val="24"/>
          <w:highlight w:val="none"/>
        </w:rPr>
        <w:outlineLvl w:val="2"/>
      </w:pPr>
      <w:r/>
      <w:bookmarkStart w:id="13" w:name="_Toc11829"/>
      <w:r/>
      <w:bookmarkStart w:id="14" w:name="_Toc15240"/>
      <w:r>
        <w:rPr>
          <w:rFonts w:eastAsia="仿宋"/>
          <w:b/>
          <w:bCs/>
          <w:color w:val="auto"/>
          <w:sz w:val="24"/>
          <w:highlight w:val="none"/>
        </w:rPr>
        <w:t xml:space="preserve">1、适用法律</w:t>
      </w:r>
      <w:bookmarkEnd w:id="13"/>
      <w:r/>
      <w:bookmarkEnd w:id="1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eastAsia="仿宋"/>
          <w:color w:val="auto"/>
          <w:sz w:val="24"/>
          <w:highlight w:val="none"/>
        </w:rPr>
        <w:outlineLvl w:val="2"/>
      </w:pPr>
      <w:r/>
      <w:bookmarkStart w:id="15" w:name="_Toc24623"/>
      <w:r/>
      <w:bookmarkStart w:id="16" w:name="_Toc10278"/>
      <w:r>
        <w:rPr>
          <w:rFonts w:eastAsia="仿宋"/>
          <w:b/>
          <w:bCs/>
          <w:color w:val="auto"/>
          <w:sz w:val="24"/>
          <w:highlight w:val="none"/>
        </w:rPr>
        <w:t xml:space="preserve">2、定义</w:t>
      </w:r>
      <w:bookmarkEnd w:id="15"/>
      <w:r/>
      <w:bookmarkEnd w:id="16"/>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2.4“货物和服务”指本招标文件中所述</w:t>
      </w:r>
      <w:r>
        <w:rPr>
          <w:rFonts w:eastAsia="仿宋"/>
          <w:bCs/>
          <w:color w:val="auto"/>
          <w:sz w:val="24"/>
          <w:highlight w:val="none"/>
        </w:rPr>
        <w:t xml:space="preserve">产品</w:t>
      </w:r>
      <w:r>
        <w:rPr>
          <w:rFonts w:eastAsia="仿宋"/>
          <w:color w:val="auto"/>
          <w:sz w:val="24"/>
          <w:highlight w:val="none"/>
        </w:rPr>
        <w:t xml:space="preserve">及相关服务。</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2.5“用户或使用单位”是指使用货物，接受服务的单位。</w:t>
      </w:r>
      <w:r/>
    </w:p>
    <w:p>
      <w:pPr>
        <w:ind w:firstLine="482"/>
        <w:spacing w:line="360" w:lineRule="auto"/>
        <w:shd w:val="clear" w:color="auto" w:fill="ffffff"/>
        <w:widowControl/>
        <w:rPr>
          <w:rFonts w:eastAsia="仿宋"/>
          <w:color w:val="auto"/>
          <w:sz w:val="24"/>
          <w:highlight w:val="none"/>
        </w:rPr>
        <w:outlineLvl w:val="2"/>
      </w:pPr>
      <w:r/>
      <w:bookmarkStart w:id="17" w:name="_Toc30814"/>
      <w:r/>
      <w:bookmarkStart w:id="18" w:name="_Toc22315"/>
      <w:r>
        <w:rPr>
          <w:rFonts w:eastAsia="仿宋"/>
          <w:b/>
          <w:bCs/>
          <w:color w:val="auto"/>
          <w:sz w:val="24"/>
          <w:highlight w:val="none"/>
        </w:rPr>
        <w:t xml:space="preserve">3、政策功能</w:t>
      </w:r>
      <w:bookmarkEnd w:id="17"/>
      <w:r/>
      <w:bookmarkEnd w:id="18"/>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3.6进口产品政策</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（2）允许进口产品参加的，满足需求的国内产品可以参加。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3.7未按要求提供相关材料的，不享受相关政策。</w:t>
      </w:r>
      <w:r/>
    </w:p>
    <w:p>
      <w:pPr>
        <w:ind w:firstLine="482"/>
        <w:spacing w:line="360" w:lineRule="auto"/>
        <w:shd w:val="clear" w:color="auto" w:fill="ffffff"/>
        <w:widowControl/>
        <w:rPr>
          <w:rFonts w:eastAsia="仿宋"/>
          <w:color w:val="auto"/>
          <w:sz w:val="24"/>
          <w:highlight w:val="none"/>
        </w:rPr>
        <w:outlineLvl w:val="1"/>
      </w:pPr>
      <w:r/>
      <w:bookmarkStart w:id="19" w:name="_Toc26222"/>
      <w:r/>
      <w:bookmarkStart w:id="20" w:name="_Toc4724"/>
      <w:r>
        <w:rPr>
          <w:rFonts w:eastAsia="仿宋"/>
          <w:b/>
          <w:bCs/>
          <w:color w:val="auto"/>
          <w:sz w:val="24"/>
          <w:highlight w:val="none"/>
        </w:rPr>
        <w:t xml:space="preserve">二、招标文件构成</w:t>
      </w:r>
      <w:bookmarkEnd w:id="19"/>
      <w:r/>
      <w:bookmarkEnd w:id="20"/>
      <w:r/>
      <w:r/>
    </w:p>
    <w:p>
      <w:pPr>
        <w:ind w:firstLine="482"/>
        <w:spacing w:line="360" w:lineRule="auto"/>
        <w:shd w:val="clear" w:color="auto" w:fill="ffffff"/>
        <w:widowControl/>
        <w:rPr>
          <w:rFonts w:eastAsia="仿宋"/>
          <w:color w:val="auto"/>
          <w:sz w:val="24"/>
          <w:highlight w:val="none"/>
        </w:rPr>
        <w:outlineLvl w:val="2"/>
      </w:pPr>
      <w:r/>
      <w:bookmarkStart w:id="21" w:name="_Toc30101"/>
      <w:r/>
      <w:bookmarkStart w:id="22" w:name="_Toc21181"/>
      <w:r>
        <w:rPr>
          <w:rFonts w:eastAsia="仿宋"/>
          <w:b/>
          <w:bCs/>
          <w:color w:val="auto"/>
          <w:sz w:val="24"/>
          <w:highlight w:val="none"/>
        </w:rPr>
        <w:t xml:space="preserve">4、招标文件组成</w:t>
      </w:r>
      <w:bookmarkEnd w:id="21"/>
      <w:r/>
      <w:bookmarkEnd w:id="22"/>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4.1招标文件包括以下主要内容：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（1）招标公告；</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（2）投标人须知；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（3）评标标准；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（4）采购需求；</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（5）合同主要条款及格式；</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（6）投标文件格式及附件。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eastAsia="仿宋"/>
          <w:color w:val="auto"/>
          <w:sz w:val="24"/>
          <w:highlight w:val="none"/>
        </w:rPr>
        <w:outlineLvl w:val="2"/>
      </w:pPr>
      <w:r/>
      <w:bookmarkStart w:id="23" w:name="_Toc1163"/>
      <w:r/>
      <w:bookmarkStart w:id="24" w:name="_Toc6627"/>
      <w:r>
        <w:rPr>
          <w:rFonts w:eastAsia="仿宋"/>
          <w:b/>
          <w:bCs/>
          <w:color w:val="auto"/>
          <w:sz w:val="24"/>
          <w:highlight w:val="none"/>
        </w:rPr>
        <w:t xml:space="preserve">5、招标文件的澄清或者修改</w:t>
      </w:r>
      <w:bookmarkEnd w:id="23"/>
      <w:r/>
      <w:bookmarkEnd w:id="2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eastAsia="仿宋"/>
          <w:color w:val="auto"/>
          <w:sz w:val="24"/>
          <w:highlight w:val="none"/>
        </w:rPr>
        <w:outlineLvl w:val="1"/>
      </w:pPr>
      <w:r/>
      <w:bookmarkStart w:id="25" w:name="_Toc20766"/>
      <w:r/>
      <w:bookmarkStart w:id="26" w:name="_Toc2329"/>
      <w:r>
        <w:rPr>
          <w:rFonts w:eastAsia="仿宋"/>
          <w:b/>
          <w:bCs/>
          <w:color w:val="auto"/>
          <w:sz w:val="24"/>
          <w:highlight w:val="none"/>
        </w:rPr>
        <w:t xml:space="preserve">三、投标文件的编制</w:t>
      </w:r>
      <w:bookmarkEnd w:id="25"/>
      <w:r/>
      <w:bookmarkEnd w:id="26"/>
      <w:r/>
      <w:r/>
    </w:p>
    <w:p>
      <w:pPr>
        <w:ind w:firstLine="482"/>
        <w:spacing w:line="360" w:lineRule="auto"/>
        <w:shd w:val="clear" w:color="auto" w:fill="ffffff"/>
        <w:widowControl/>
        <w:rPr>
          <w:rFonts w:eastAsia="仿宋"/>
          <w:color w:val="auto"/>
          <w:sz w:val="24"/>
          <w:highlight w:val="none"/>
        </w:rPr>
        <w:outlineLvl w:val="2"/>
      </w:pPr>
      <w:r/>
      <w:bookmarkStart w:id="27" w:name="_Toc22360"/>
      <w:r/>
      <w:bookmarkStart w:id="28" w:name="_Toc29450"/>
      <w:r>
        <w:rPr>
          <w:rFonts w:eastAsia="仿宋"/>
          <w:b/>
          <w:bCs/>
          <w:color w:val="auto"/>
          <w:sz w:val="24"/>
          <w:highlight w:val="none"/>
        </w:rPr>
        <w:t xml:space="preserve">6、投标文件的语言、计量单位、货币和编制</w:t>
      </w:r>
      <w:bookmarkEnd w:id="27"/>
      <w:r/>
      <w:bookmarkEnd w:id="28"/>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6.2投标人所使用的计量单位应为国家法定计量单位。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6.3投标人应用人民币报价。投标产品如果是进口产品的，应提供人民币与</w:t>
      </w:r>
      <w:r>
        <w:rPr>
          <w:rFonts w:eastAsia="仿宋"/>
          <w:b/>
          <w:bCs/>
          <w:color w:val="auto"/>
          <w:sz w:val="24"/>
          <w:highlight w:val="none"/>
        </w:rPr>
        <w:t xml:space="preserve">外币之间的汇率。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6.4投标文件应按照招标文件的规定编写并制作目录。</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6.6</w:t>
      </w:r>
      <w:r>
        <w:rPr>
          <w:rFonts w:eastAsia="仿宋"/>
          <w:color w:val="auto"/>
          <w:sz w:val="24"/>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eastAsia="仿宋"/>
          <w:b/>
          <w:bCs/>
          <w:color w:val="auto"/>
          <w:sz w:val="24"/>
          <w:highlight w:val="none"/>
        </w:rPr>
        <w:outlineLvl w:val="2"/>
      </w:pPr>
      <w:r/>
      <w:bookmarkStart w:id="29" w:name="_Toc27292"/>
      <w:r/>
      <w:bookmarkStart w:id="30" w:name="_Toc2836"/>
      <w:r>
        <w:rPr>
          <w:rFonts w:eastAsia="仿宋"/>
          <w:b/>
          <w:bCs/>
          <w:color w:val="auto"/>
          <w:sz w:val="24"/>
          <w:highlight w:val="none"/>
        </w:rPr>
        <w:t xml:space="preserve">联合体投标（本项目不接受）</w:t>
      </w:r>
      <w:bookmarkEnd w:id="29"/>
      <w:r/>
      <w:bookmarkEnd w:id="30"/>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eastAsia="仿宋"/>
          <w:color w:val="auto"/>
          <w:sz w:val="24"/>
          <w:highlight w:val="none"/>
        </w:rPr>
        <w:outlineLvl w:val="2"/>
      </w:pPr>
      <w:r/>
      <w:bookmarkStart w:id="31" w:name="_Toc20264"/>
      <w:r/>
      <w:bookmarkStart w:id="32" w:name="_Toc32276"/>
      <w:r>
        <w:rPr>
          <w:rFonts w:eastAsia="仿宋"/>
          <w:b/>
          <w:bCs/>
          <w:color w:val="auto"/>
          <w:sz w:val="24"/>
          <w:highlight w:val="none"/>
        </w:rPr>
        <w:t xml:space="preserve">8、投标文件的组成</w:t>
      </w:r>
      <w:bookmarkEnd w:id="31"/>
      <w:r/>
      <w:bookmarkEnd w:id="32"/>
      <w:r/>
      <w:r/>
    </w:p>
    <w:p>
      <w:pPr>
        <w:ind w:firstLine="480"/>
        <w:jc w:val="left"/>
        <w:spacing w:line="360" w:lineRule="auto"/>
        <w:shd w:val="clear" w:color="auto" w:fill="ffffff"/>
        <w:widowControl/>
        <w:rPr>
          <w:rFonts w:eastAsia="仿宋"/>
          <w:b/>
          <w:color w:val="auto"/>
          <w:sz w:val="24"/>
          <w:highlight w:val="none"/>
        </w:rPr>
      </w:pPr>
      <w:r>
        <w:rPr>
          <w:rFonts w:eastAsia="仿宋"/>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eastAsia="仿宋"/>
          <w:b/>
          <w:color w:val="auto"/>
          <w:sz w:val="24"/>
          <w:highlight w:val="none"/>
        </w:rPr>
        <w:t xml:space="preserve">对带</w:t>
      </w:r>
      <w:r>
        <w:rPr>
          <w:rFonts w:eastAsia="仿宋"/>
          <w:b/>
          <w:bCs/>
          <w:color w:val="auto"/>
          <w:sz w:val="24"/>
          <w:highlight w:val="none"/>
        </w:rPr>
        <w:t xml:space="preserve">星号（“</w:t>
      </w:r>
      <w:r>
        <w:rPr>
          <w:rFonts w:eastAsia="仿宋"/>
          <w:color w:val="auto"/>
          <w:spacing w:val="-2"/>
          <w:sz w:val="24"/>
          <w:highlight w:val="none"/>
        </w:rPr>
        <w:t xml:space="preserve">★</w:t>
      </w:r>
      <w:r>
        <w:rPr>
          <w:rFonts w:eastAsia="仿宋"/>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eastAsia="仿宋"/>
          <w:color w:val="auto"/>
          <w:sz w:val="24"/>
          <w:highlight w:val="none"/>
        </w:rPr>
        <w:outlineLvl w:val="2"/>
      </w:pPr>
      <w:r/>
      <w:bookmarkStart w:id="33" w:name="_Toc5675"/>
      <w:r/>
      <w:bookmarkStart w:id="34" w:name="_Toc15723"/>
      <w:r>
        <w:rPr>
          <w:rFonts w:eastAsia="仿宋"/>
          <w:b/>
          <w:bCs/>
          <w:color w:val="auto"/>
          <w:sz w:val="24"/>
          <w:highlight w:val="none"/>
        </w:rPr>
        <w:t xml:space="preserve">9、投标文件的商务内容</w:t>
      </w:r>
      <w:bookmarkEnd w:id="33"/>
      <w:r/>
      <w:bookmarkEnd w:id="3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9.1商务部分内容是证明投标人有资格参加投标和中标后有能力履行合同的文件，这些文件应能满足招标的要求，包括但不限于下列文件（</w:t>
      </w:r>
      <w:r>
        <w:rPr>
          <w:rFonts w:eastAsia="仿宋"/>
          <w:b/>
          <w:color w:val="auto"/>
          <w:sz w:val="24"/>
          <w:highlight w:val="none"/>
        </w:rPr>
        <w:t xml:space="preserve">（1）-（5）所述材料不得有缺失或提供不全或不满足招标文件的实质性要求</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（1）投标申请及声明</w:t>
      </w:r>
      <w:r>
        <w:rPr>
          <w:rFonts w:eastAsia="仿宋"/>
          <w:bCs/>
          <w:color w:val="auto"/>
          <w:sz w:val="24"/>
          <w:highlight w:val="none"/>
        </w:rPr>
        <w:t xml:space="preserve">（</w:t>
      </w:r>
      <w:r>
        <w:rPr>
          <w:rFonts w:eastAsia="仿宋"/>
          <w:b/>
          <w:bCs/>
          <w:color w:val="auto"/>
          <w:sz w:val="24"/>
          <w:highlight w:val="none"/>
        </w:rPr>
        <w:t xml:space="preserve">格式见第六章</w:t>
      </w:r>
      <w:r>
        <w:rPr>
          <w:rFonts w:eastAsia="仿宋"/>
          <w:bCs/>
          <w:color w:val="auto"/>
          <w:sz w:val="24"/>
          <w:highlight w:val="none"/>
        </w:rPr>
        <w:t xml:space="preserve">）</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（2）法定代表人身份证明或法人授权书</w:t>
      </w:r>
      <w:r>
        <w:rPr>
          <w:rFonts w:eastAsia="仿宋"/>
          <w:bCs/>
          <w:color w:val="auto"/>
          <w:sz w:val="24"/>
          <w:highlight w:val="none"/>
        </w:rPr>
        <w:t xml:space="preserve">（</w:t>
      </w:r>
      <w:r>
        <w:rPr>
          <w:rFonts w:eastAsia="仿宋"/>
          <w:b/>
          <w:bCs/>
          <w:color w:val="auto"/>
          <w:sz w:val="24"/>
          <w:highlight w:val="none"/>
        </w:rPr>
        <w:t xml:space="preserve">格式见第六章</w:t>
      </w:r>
      <w:r>
        <w:rPr>
          <w:rFonts w:eastAsia="仿宋"/>
          <w:bCs/>
          <w:color w:val="auto"/>
          <w:sz w:val="24"/>
          <w:highlight w:val="none"/>
        </w:rPr>
        <w:t xml:space="preserve">）</w:t>
      </w:r>
      <w:r>
        <w:rPr>
          <w:rFonts w:eastAsia="仿宋"/>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（3）投标人资格资信证明文件：</w:t>
      </w:r>
      <w:r/>
    </w:p>
    <w:p>
      <w:pPr>
        <w:numPr>
          <w:ilvl w:val="1"/>
          <w:numId w:val="4"/>
        </w:numPr>
        <w:ind w:left="0" w:firstLine="480"/>
        <w:spacing w:line="360" w:lineRule="auto"/>
        <w:tabs>
          <w:tab w:val="left" w:pos="840" w:leader="none"/>
        </w:tabs>
        <w:rPr>
          <w:rFonts w:eastAsia="仿宋"/>
          <w:bCs/>
          <w:color w:val="auto"/>
          <w:sz w:val="24"/>
          <w:highlight w:val="none"/>
        </w:rPr>
      </w:pPr>
      <w:r>
        <w:rPr>
          <w:rFonts w:eastAsia="仿宋"/>
          <w:bCs/>
          <w:color w:val="auto"/>
          <w:sz w:val="24"/>
          <w:highlight w:val="none"/>
        </w:rPr>
        <w:t xml:space="preserve">第一章招标公告中 2.1《中华人民共和国政府采购法》规定的资格条件证明文件（提供符合要求的</w:t>
      </w:r>
      <w:r>
        <w:rPr>
          <w:rFonts w:eastAsia="仿宋"/>
          <w:color w:val="auto"/>
          <w:sz w:val="24"/>
          <w:highlight w:val="none"/>
        </w:rPr>
        <w:t xml:space="preserve">《南京市政府采购供应商信用记录表暨信用承诺书</w:t>
      </w:r>
      <w:r>
        <w:rPr>
          <w:rFonts w:eastAsia="仿宋"/>
          <w:bCs/>
          <w:color w:val="auto"/>
          <w:sz w:val="24"/>
          <w:highlight w:val="none"/>
        </w:rPr>
        <w:t xml:space="preserve">》并</w:t>
      </w:r>
      <w:r>
        <w:rPr>
          <w:rFonts w:hint="eastAsia" w:eastAsia="仿宋"/>
          <w:bCs/>
          <w:color w:val="auto"/>
          <w:sz w:val="24"/>
          <w:highlight w:val="none"/>
          <w:lang w:val="en-US" w:eastAsia="zh-CN"/>
        </w:rPr>
        <w:t xml:space="preserve">法定代表人</w:t>
      </w:r>
      <w:r>
        <w:rPr>
          <w:rFonts w:eastAsia="仿宋"/>
          <w:bCs/>
          <w:color w:val="auto"/>
          <w:sz w:val="24"/>
          <w:highlight w:val="none"/>
        </w:rPr>
        <w:t xml:space="preserve">签字及加盖供投标人电子公章）；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（4）分项报价表</w:t>
      </w:r>
      <w:r>
        <w:rPr>
          <w:rFonts w:eastAsia="仿宋"/>
          <w:bCs/>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（5）《南京市政府采购供应商信用记录表暨信用承诺书》</w:t>
      </w:r>
      <w:r>
        <w:rPr>
          <w:rFonts w:eastAsia="仿宋"/>
          <w:b/>
          <w:color w:val="auto"/>
          <w:sz w:val="24"/>
          <w:highlight w:val="none"/>
          <w:lang w:val="zh-CN"/>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（6）《商务条款偏离表》；</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（7）第三章评标标准中对应的所需证明材料（如有自行添加）；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（8）要求采购人提供的配合（如有自拟并自行添加）；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（9）其他（投标人认为有必要提供的声明和文件，如有，自行拟定并添加）。</w:t>
      </w:r>
      <w:r/>
    </w:p>
    <w:p>
      <w:pPr>
        <w:ind w:firstLine="482"/>
        <w:jc w:val="left"/>
        <w:spacing w:line="360" w:lineRule="auto"/>
        <w:shd w:val="clear" w:color="auto" w:fill="ffffff"/>
        <w:widowControl/>
        <w:rPr>
          <w:rFonts w:eastAsia="仿宋"/>
          <w:color w:val="auto"/>
          <w:sz w:val="24"/>
          <w:highlight w:val="none"/>
        </w:rPr>
        <w:outlineLvl w:val="2"/>
      </w:pPr>
      <w:r/>
      <w:bookmarkStart w:id="35" w:name="_Toc26083"/>
      <w:r/>
      <w:bookmarkStart w:id="36" w:name="_Toc26516"/>
      <w:r>
        <w:rPr>
          <w:rFonts w:eastAsia="仿宋"/>
          <w:b/>
          <w:bCs/>
          <w:color w:val="auto"/>
          <w:sz w:val="24"/>
          <w:highlight w:val="none"/>
        </w:rPr>
        <w:t xml:space="preserve">10、投标文件的技术内容</w:t>
      </w:r>
      <w:bookmarkEnd w:id="35"/>
      <w:r/>
      <w:bookmarkEnd w:id="36"/>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技术部分</w:t>
      </w:r>
      <w:r>
        <w:rPr>
          <w:rFonts w:eastAsia="仿宋"/>
          <w:color w:val="auto"/>
          <w:sz w:val="24"/>
          <w:highlight w:val="none"/>
        </w:rPr>
        <w:t xml:space="preserve">内容</w:t>
      </w:r>
      <w:r>
        <w:rPr>
          <w:rFonts w:eastAsia="仿宋"/>
          <w:color w:val="auto"/>
          <w:sz w:val="24"/>
          <w:highlight w:val="none"/>
          <w:lang w:val="zh-CN"/>
        </w:rPr>
        <w:t xml:space="preserve">是证明</w:t>
      </w:r>
      <w:r>
        <w:rPr>
          <w:rFonts w:eastAsia="仿宋"/>
          <w:color w:val="auto"/>
          <w:sz w:val="24"/>
          <w:highlight w:val="none"/>
        </w:rPr>
        <w:t xml:space="preserve">投标人提供的货物和服务是合格的、并符合招标文件要求的证明文件，以及</w:t>
      </w:r>
      <w:r>
        <w:rPr>
          <w:rFonts w:eastAsia="仿宋"/>
          <w:color w:val="auto"/>
          <w:sz w:val="24"/>
          <w:highlight w:val="none"/>
          <w:lang w:val="zh-CN"/>
        </w:rPr>
        <w:t xml:space="preserve">对货物和服务的详细说明，这些文件可以是文字资料、图纸、数据</w:t>
      </w:r>
      <w:r>
        <w:rPr>
          <w:rFonts w:eastAsia="仿宋"/>
          <w:color w:val="auto"/>
          <w:sz w:val="24"/>
          <w:highlight w:val="none"/>
        </w:rPr>
        <w:t xml:space="preserve">或其他证明文件</w:t>
      </w:r>
      <w:r>
        <w:rPr>
          <w:rFonts w:eastAsia="仿宋"/>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（1）技术说明或服务方案；</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（2）《采购需求偏离表》；</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（3）服务承诺；</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（4）投标人拟投入本项目的设备、人员情况一览表；</w:t>
      </w:r>
      <w:r/>
    </w:p>
    <w:p>
      <w:pPr>
        <w:ind w:firstLine="480"/>
        <w:jc w:val="left"/>
        <w:spacing w:line="360" w:lineRule="auto"/>
        <w:widowControl/>
        <w:rPr>
          <w:rFonts w:eastAsia="仿宋"/>
          <w:color w:val="auto"/>
          <w:sz w:val="24"/>
          <w:highlight w:val="none"/>
          <w:lang w:val="zh-CN"/>
        </w:rPr>
      </w:pPr>
      <w:r>
        <w:rPr>
          <w:rFonts w:eastAsia="仿宋"/>
          <w:color w:val="auto"/>
          <w:sz w:val="24"/>
          <w:highlight w:val="none"/>
          <w:lang w:val="zh-CN"/>
        </w:rPr>
        <w:t xml:space="preserve">（5）投标人认为需要提供的其他技术资料。</w:t>
      </w:r>
      <w:r/>
    </w:p>
    <w:p>
      <w:pPr>
        <w:ind w:firstLine="482"/>
        <w:spacing w:line="360" w:lineRule="auto"/>
        <w:shd w:val="clear" w:color="auto" w:fill="ffffff"/>
        <w:widowControl/>
        <w:rPr>
          <w:rFonts w:eastAsia="仿宋"/>
          <w:color w:val="auto"/>
          <w:sz w:val="24"/>
          <w:highlight w:val="none"/>
        </w:rPr>
        <w:outlineLvl w:val="2"/>
      </w:pPr>
      <w:r/>
      <w:bookmarkStart w:id="37" w:name="_Toc32231"/>
      <w:r/>
      <w:bookmarkStart w:id="38" w:name="_Toc8067"/>
      <w:r>
        <w:rPr>
          <w:rFonts w:eastAsia="仿宋"/>
          <w:b/>
          <w:bCs/>
          <w:color w:val="auto"/>
          <w:sz w:val="24"/>
          <w:highlight w:val="none"/>
        </w:rPr>
        <w:t xml:space="preserve">11、投标文件的价格内容</w:t>
      </w:r>
      <w:bookmarkEnd w:id="37"/>
      <w:r/>
      <w:bookmarkEnd w:id="38"/>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仿宋"/>
          <w:color w:val="auto"/>
          <w:sz w:val="24"/>
          <w:highlight w:val="none"/>
          <w:lang w:val="zh-CN"/>
        </w:rPr>
        <w:t xml:space="preserve">，</w:t>
      </w:r>
      <w:r>
        <w:rPr>
          <w:rFonts w:eastAsia="仿宋"/>
          <w:bCs/>
          <w:color w:val="auto"/>
          <w:sz w:val="24"/>
          <w:highlight w:val="none"/>
        </w:rPr>
        <w:t xml:space="preserve">以</w:t>
      </w:r>
      <w:r>
        <w:rPr>
          <w:rFonts w:eastAsia="仿宋"/>
          <w:color w:val="auto"/>
          <w:sz w:val="24"/>
          <w:highlight w:val="none"/>
        </w:rPr>
        <w:t xml:space="preserve">及投标人认为需要的其他费用等</w:t>
      </w:r>
      <w:r>
        <w:rPr>
          <w:rFonts w:eastAsia="仿宋"/>
          <w:b/>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eastAsia="仿宋"/>
          <w:b/>
          <w:bCs/>
          <w:color w:val="auto"/>
          <w:sz w:val="24"/>
          <w:highlight w:val="none"/>
        </w:rPr>
        <w:t xml:space="preserve">无效投标处理</w:t>
      </w:r>
      <w:r>
        <w:rPr>
          <w:rFonts w:eastAsia="仿宋"/>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eastAsia="仿宋"/>
          <w:b/>
          <w:bCs/>
          <w:color w:val="auto"/>
          <w:sz w:val="24"/>
          <w:highlight w:val="none"/>
        </w:rPr>
      </w:pPr>
      <w:r>
        <w:rPr>
          <w:rFonts w:eastAsia="仿宋"/>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eastAsia="仿宋"/>
          <w:color w:val="auto"/>
          <w:sz w:val="24"/>
          <w:highlight w:val="none"/>
        </w:rPr>
      </w:pPr>
      <w:r>
        <w:rPr>
          <w:rFonts w:eastAsia="仿宋"/>
          <w:b/>
          <w:bCs/>
          <w:color w:val="auto"/>
          <w:sz w:val="24"/>
          <w:highlight w:val="none"/>
        </w:rPr>
        <w:t xml:space="preserve">11.7本项目预算为：详见第一章</w:t>
      </w:r>
      <w:r>
        <w:rPr>
          <w:rFonts w:eastAsia="仿宋"/>
          <w:bCs/>
          <w:color w:val="auto"/>
          <w:sz w:val="24"/>
          <w:highlight w:val="none"/>
        </w:rPr>
        <w:t xml:space="preserve">。</w:t>
      </w:r>
      <w:r/>
    </w:p>
    <w:p>
      <w:pPr>
        <w:ind w:firstLine="482"/>
        <w:spacing w:line="360" w:lineRule="auto"/>
        <w:shd w:val="clear" w:color="auto" w:fill="ffffff"/>
        <w:widowControl/>
        <w:rPr>
          <w:rFonts w:eastAsia="仿宋"/>
          <w:color w:val="auto"/>
          <w:sz w:val="24"/>
          <w:highlight w:val="none"/>
        </w:rPr>
        <w:outlineLvl w:val="2"/>
      </w:pPr>
      <w:r/>
      <w:bookmarkStart w:id="39" w:name="_Toc5"/>
      <w:r/>
      <w:bookmarkStart w:id="40" w:name="_Toc18341"/>
      <w:r>
        <w:rPr>
          <w:rFonts w:eastAsia="仿宋"/>
          <w:b/>
          <w:bCs/>
          <w:color w:val="auto"/>
          <w:sz w:val="24"/>
          <w:highlight w:val="none"/>
        </w:rPr>
        <w:t xml:space="preserve">12、投标文件的其他部分</w:t>
      </w:r>
      <w:bookmarkEnd w:id="39"/>
      <w:r/>
      <w:bookmarkEnd w:id="4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12.1 其他部分由投标人根据编制投标文件需要提供的其他相关文件组成。</w:t>
      </w:r>
      <w:r/>
    </w:p>
    <w:p>
      <w:pPr>
        <w:ind w:firstLine="480"/>
        <w:spacing w:line="360" w:lineRule="auto"/>
        <w:rPr>
          <w:rFonts w:eastAsia="仿宋"/>
          <w:color w:val="auto"/>
          <w:sz w:val="24"/>
          <w:highlight w:val="none"/>
        </w:rPr>
      </w:pPr>
      <w:r>
        <w:rPr>
          <w:rFonts w:eastAsia="仿宋"/>
          <w:color w:val="auto"/>
          <w:sz w:val="24"/>
          <w:highlight w:val="none"/>
        </w:rPr>
        <w:t xml:space="preserve">12.2 </w:t>
      </w:r>
      <w:r>
        <w:rPr>
          <w:rFonts w:eastAsia="仿宋"/>
          <w:color w:val="auto"/>
          <w:sz w:val="24"/>
          <w:highlight w:val="none"/>
          <w:lang w:val="zh-CN"/>
        </w:rPr>
        <w:t xml:space="preserve">如标书制作工具中格式和内容与“南京公共采购信息网、江苏政府采购网”发布的</w:t>
      </w:r>
      <w:r>
        <w:rPr>
          <w:rFonts w:eastAsia="仿宋"/>
          <w:color w:val="auto"/>
          <w:sz w:val="24"/>
          <w:highlight w:val="none"/>
        </w:rPr>
        <w:t xml:space="preserve">招标</w:t>
      </w:r>
      <w:r>
        <w:rPr>
          <w:rFonts w:eastAsia="仿宋"/>
          <w:color w:val="auto"/>
          <w:sz w:val="24"/>
          <w:highlight w:val="none"/>
          <w:lang w:val="zh-CN"/>
        </w:rPr>
        <w:t xml:space="preserve">文件不一致，以</w:t>
      </w:r>
      <w:r>
        <w:rPr>
          <w:rFonts w:eastAsia="仿宋"/>
          <w:color w:val="auto"/>
          <w:sz w:val="24"/>
          <w:highlight w:val="none"/>
        </w:rPr>
        <w:t xml:space="preserve">上述网站</w:t>
      </w:r>
      <w:r>
        <w:rPr>
          <w:rFonts w:eastAsia="仿宋"/>
          <w:color w:val="auto"/>
          <w:sz w:val="24"/>
          <w:highlight w:val="none"/>
          <w:lang w:val="zh-CN"/>
        </w:rPr>
        <w:t xml:space="preserve">发布的</w:t>
      </w:r>
      <w:r>
        <w:rPr>
          <w:rFonts w:eastAsia="仿宋"/>
          <w:color w:val="auto"/>
          <w:sz w:val="24"/>
          <w:highlight w:val="none"/>
        </w:rPr>
        <w:t xml:space="preserve">招标</w:t>
      </w:r>
      <w:r>
        <w:rPr>
          <w:rFonts w:eastAsia="仿宋"/>
          <w:color w:val="auto"/>
          <w:sz w:val="24"/>
          <w:highlight w:val="none"/>
          <w:lang w:val="zh-CN"/>
        </w:rPr>
        <w:t xml:space="preserve">文件为准。</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13、投标保证金（本项目无需缴纳投标保证金）</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14、投标有效期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14.1 自开标之日起</w:t>
      </w:r>
      <w:r>
        <w:rPr>
          <w:rFonts w:eastAsia="仿宋"/>
          <w:b/>
          <w:color w:val="auto"/>
          <w:sz w:val="24"/>
          <w:highlight w:val="none"/>
        </w:rPr>
        <w:t xml:space="preserve">90</w:t>
      </w:r>
      <w:r>
        <w:rPr>
          <w:rFonts w:eastAsia="仿宋"/>
          <w:color w:val="auto"/>
          <w:sz w:val="24"/>
          <w:highlight w:val="none"/>
        </w:rPr>
        <w:t xml:space="preserve">天内投标有效</w:t>
      </w:r>
      <w:r>
        <w:rPr>
          <w:rFonts w:eastAsia="仿宋"/>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eastAsia="仿宋"/>
          <w:color w:val="auto"/>
          <w:sz w:val="24"/>
          <w:highlight w:val="none"/>
        </w:rPr>
        <w:outlineLvl w:val="2"/>
      </w:pPr>
      <w:r/>
      <w:bookmarkStart w:id="41" w:name="_Toc24542"/>
      <w:r/>
      <w:bookmarkStart w:id="42" w:name="_Toc8732"/>
      <w:r>
        <w:rPr>
          <w:rFonts w:eastAsia="仿宋"/>
          <w:b/>
          <w:bCs/>
          <w:color w:val="auto"/>
          <w:sz w:val="24"/>
          <w:highlight w:val="none"/>
        </w:rPr>
        <w:t xml:space="preserve">15、投标文件签署</w:t>
      </w:r>
      <w:bookmarkEnd w:id="41"/>
      <w:r/>
      <w:bookmarkEnd w:id="42"/>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eastAsia="仿宋"/>
          <w:color w:val="auto"/>
          <w:sz w:val="24"/>
          <w:highlight w:val="none"/>
        </w:rPr>
        <w:outlineLvl w:val="2"/>
      </w:pPr>
      <w:r/>
      <w:bookmarkStart w:id="43" w:name="_Toc4625"/>
      <w:r/>
      <w:bookmarkStart w:id="44" w:name="_Toc32679"/>
      <w:r>
        <w:rPr>
          <w:rFonts w:eastAsia="仿宋"/>
          <w:b/>
          <w:bCs/>
          <w:color w:val="auto"/>
          <w:sz w:val="24"/>
          <w:highlight w:val="none"/>
        </w:rPr>
        <w:t xml:space="preserve">16、投标费用</w:t>
      </w:r>
      <w:bookmarkEnd w:id="43"/>
      <w:r/>
      <w:bookmarkEnd w:id="4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eastAsia="仿宋"/>
          <w:color w:val="auto"/>
          <w:sz w:val="24"/>
          <w:highlight w:val="none"/>
          <w:lang w:val="zh-CN"/>
        </w:rPr>
      </w:pPr>
      <w:r>
        <w:rPr>
          <w:rFonts w:eastAsia="仿宋"/>
          <w:bCs/>
          <w:color w:val="auto"/>
          <w:sz w:val="24"/>
          <w:highlight w:val="none"/>
        </w:rPr>
        <w:t xml:space="preserve">16.2 招标代理服务费：</w:t>
      </w:r>
      <w:r>
        <w:rPr>
          <w:rFonts w:eastAsia="仿宋"/>
          <w:color w:val="auto"/>
          <w:spacing w:val="-4"/>
          <w:sz w:val="24"/>
          <w:highlight w:val="none"/>
        </w:rPr>
        <w:t xml:space="preserve">本</w:t>
      </w:r>
      <w:r>
        <w:rPr>
          <w:rFonts w:eastAsia="仿宋"/>
          <w:color w:val="auto"/>
          <w:sz w:val="24"/>
          <w:highlight w:val="none"/>
        </w:rPr>
        <w:t xml:space="preserve">次招标代理费依据</w:t>
      </w:r>
      <w:r>
        <w:rPr>
          <w:rFonts w:eastAsia="仿宋"/>
          <w:color w:val="auto"/>
          <w:sz w:val="24"/>
          <w:highlight w:val="none"/>
          <w:lang w:val="zh-CN"/>
        </w:rPr>
        <w:t xml:space="preserve">《</w:t>
      </w:r>
      <w:r>
        <w:rPr>
          <w:rFonts w:eastAsia="仿宋"/>
          <w:color w:val="auto"/>
          <w:sz w:val="24"/>
          <w:highlight w:val="none"/>
        </w:rPr>
        <w:t xml:space="preserve">政府采购代理机构管理暂行办法</w:t>
      </w:r>
      <w:r>
        <w:rPr>
          <w:rFonts w:eastAsia="仿宋"/>
          <w:color w:val="auto"/>
          <w:sz w:val="24"/>
          <w:highlight w:val="none"/>
          <w:lang w:val="zh-CN"/>
        </w:rPr>
        <w:t xml:space="preserve">》（</w:t>
      </w:r>
      <w:r>
        <w:rPr>
          <w:rFonts w:eastAsia="仿宋"/>
          <w:color w:val="auto"/>
          <w:sz w:val="24"/>
          <w:highlight w:val="none"/>
        </w:rPr>
        <w:t xml:space="preserve">财库〔2018〕2号</w:t>
      </w:r>
      <w:r>
        <w:rPr>
          <w:rFonts w:eastAsia="仿宋"/>
          <w:color w:val="auto"/>
          <w:sz w:val="24"/>
          <w:highlight w:val="none"/>
          <w:lang w:val="zh-CN"/>
        </w:rPr>
        <w:t xml:space="preserve">）</w:t>
      </w:r>
      <w:r>
        <w:rPr>
          <w:rFonts w:eastAsia="仿宋"/>
          <w:color w:val="auto"/>
          <w:sz w:val="24"/>
          <w:highlight w:val="none"/>
        </w:rPr>
        <w:t xml:space="preserve">第十五条，本项目代理费用由中标供应商支付。招标代理费</w:t>
      </w:r>
      <w:r>
        <w:rPr>
          <w:rFonts w:eastAsia="仿宋"/>
          <w:color w:val="auto"/>
          <w:sz w:val="24"/>
          <w:highlight w:val="none"/>
          <w:lang w:val="zh-CN"/>
        </w:rPr>
        <w:t xml:space="preserve">参照</w:t>
      </w:r>
      <w:r>
        <w:rPr>
          <w:rFonts w:eastAsia="仿宋"/>
          <w:color w:val="auto"/>
          <w:sz w:val="24"/>
          <w:highlight w:val="none"/>
        </w:rPr>
        <w:t xml:space="preserve">国家计委关于印发《招标代理服务收费管理暂行办法》的通知计价格〔2002〕1980号文件收取，计费基础为中标价，按差额定率累进法计算：即</w:t>
      </w:r>
      <w:r>
        <w:rPr>
          <w:rFonts w:eastAsia="仿宋"/>
          <w:color w:val="auto"/>
          <w:sz w:val="24"/>
          <w:highlight w:val="none"/>
          <w:lang w:val="zh-CN"/>
        </w:rPr>
        <w:t xml:space="preserve">（1~100）*1.5%</w:t>
      </w:r>
      <w:r>
        <w:rPr>
          <w:rFonts w:eastAsia="仿宋"/>
          <w:color w:val="auto"/>
          <w:sz w:val="24"/>
          <w:highlight w:val="none"/>
        </w:rPr>
        <w:t xml:space="preserve">+（100~500）</w:t>
      </w:r>
      <w:r>
        <w:rPr>
          <w:rFonts w:eastAsia="仿宋"/>
          <w:color w:val="auto"/>
          <w:sz w:val="24"/>
          <w:highlight w:val="none"/>
          <w:lang w:val="zh-CN"/>
        </w:rPr>
        <w:t xml:space="preserve">*</w:t>
      </w:r>
      <w:r>
        <w:rPr>
          <w:rFonts w:eastAsia="仿宋"/>
          <w:color w:val="auto"/>
          <w:sz w:val="24"/>
          <w:highlight w:val="none"/>
        </w:rPr>
        <w:t xml:space="preserve">0.8</w:t>
      </w:r>
      <w:r>
        <w:rPr>
          <w:rFonts w:eastAsia="仿宋"/>
          <w:color w:val="auto"/>
          <w:sz w:val="24"/>
          <w:highlight w:val="none"/>
          <w:lang w:val="zh-CN"/>
        </w:rPr>
        <w:t xml:space="preserve">%</w:t>
      </w:r>
      <w:r>
        <w:rPr>
          <w:rFonts w:eastAsia="仿宋"/>
          <w:color w:val="auto"/>
          <w:sz w:val="24"/>
          <w:highlight w:val="none"/>
        </w:rPr>
        <w:t xml:space="preserve">+（500~1000）</w:t>
      </w:r>
      <w:r>
        <w:rPr>
          <w:rFonts w:eastAsia="仿宋"/>
          <w:color w:val="auto"/>
          <w:sz w:val="24"/>
          <w:highlight w:val="none"/>
          <w:lang w:val="zh-CN"/>
        </w:rPr>
        <w:t xml:space="preserve">*</w:t>
      </w:r>
      <w:r>
        <w:rPr>
          <w:rFonts w:eastAsia="仿宋"/>
          <w:color w:val="auto"/>
          <w:sz w:val="24"/>
          <w:highlight w:val="none"/>
        </w:rPr>
        <w:t xml:space="preserve">0.45</w:t>
      </w:r>
      <w:r>
        <w:rPr>
          <w:rFonts w:eastAsia="仿宋"/>
          <w:color w:val="auto"/>
          <w:sz w:val="24"/>
          <w:highlight w:val="none"/>
          <w:lang w:val="zh-CN"/>
        </w:rPr>
        <w:t xml:space="preserve">%</w:t>
      </w:r>
      <w:r>
        <w:rPr>
          <w:rFonts w:eastAsia="仿宋"/>
          <w:color w:val="auto"/>
          <w:sz w:val="24"/>
          <w:highlight w:val="none"/>
        </w:rPr>
        <w:t xml:space="preserve">+(1000~5000)*0.25%</w:t>
      </w:r>
      <w:r>
        <w:rPr>
          <w:rFonts w:eastAsia="仿宋"/>
          <w:color w:val="auto"/>
          <w:sz w:val="24"/>
          <w:highlight w:val="none"/>
          <w:lang w:val="zh-CN"/>
        </w:rPr>
        <w:t xml:space="preserve">（单位万元），中标供应商在领取中标通知书前向招标代理机构支付招标服务费。本项费用无需在投标报价表中单列。</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招标代理服务费交纳方法：</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（1）交纳方式：银行网银、电汇等；</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（2）收款单位、开户银行及</w:t>
      </w:r>
      <w:r>
        <w:rPr>
          <w:rFonts w:eastAsia="仿宋"/>
          <w:color w:val="auto"/>
          <w:sz w:val="24"/>
          <w:highlight w:val="none"/>
        </w:rPr>
        <w:t xml:space="preserve">账</w:t>
      </w:r>
      <w:r>
        <w:rPr>
          <w:rFonts w:eastAsia="仿宋"/>
          <w:color w:val="auto"/>
          <w:sz w:val="24"/>
          <w:highlight w:val="none"/>
          <w:lang w:val="zh-CN"/>
        </w:rPr>
        <w:t xml:space="preserve">号：</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开户银行：</w:t>
      </w:r>
      <w:r>
        <w:rPr>
          <w:rFonts w:eastAsia="仿宋"/>
          <w:color w:val="auto"/>
          <w:sz w:val="24"/>
          <w:highlight w:val="none"/>
        </w:rPr>
        <w:t xml:space="preserve">交通银行南京软件大道支行</w:t>
      </w:r>
      <w:r>
        <w:rPr>
          <w:rFonts w:eastAsia="仿宋"/>
          <w:color w:val="auto"/>
          <w:sz w:val="24"/>
          <w:highlight w:val="none"/>
          <w:lang w:val="zh-CN"/>
        </w:rPr>
        <w:t xml:space="preserve"> </w:t>
      </w:r>
      <w:r/>
    </w:p>
    <w:p>
      <w:pPr>
        <w:ind w:firstLine="480"/>
        <w:spacing w:line="360" w:lineRule="auto"/>
        <w:shd w:val="clear" w:color="auto" w:fill="ffffff"/>
        <w:widowControl/>
        <w:rPr>
          <w:rFonts w:eastAsia="仿宋"/>
          <w:color w:val="auto"/>
          <w:sz w:val="24"/>
          <w:highlight w:val="none"/>
          <w:lang w:val="zh-CN"/>
        </w:rPr>
      </w:pPr>
      <w:r>
        <w:rPr>
          <w:rFonts w:eastAsia="仿宋"/>
          <w:color w:val="auto"/>
          <w:sz w:val="24"/>
          <w:highlight w:val="none"/>
          <w:lang w:val="zh-CN"/>
        </w:rPr>
        <w:t xml:space="preserve">账号： </w:t>
      </w:r>
      <w:r>
        <w:rPr>
          <w:rFonts w:eastAsia="仿宋"/>
          <w:color w:val="auto"/>
          <w:sz w:val="24"/>
          <w:highlight w:val="none"/>
        </w:rPr>
        <w:t xml:space="preserve">320899991013000593407</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16.3开标公证费：无。</w:t>
      </w:r>
      <w:r/>
    </w:p>
    <w:p>
      <w:pPr>
        <w:ind w:firstLine="482"/>
        <w:spacing w:line="360" w:lineRule="auto"/>
        <w:shd w:val="clear" w:color="auto" w:fill="ffffff"/>
        <w:widowControl/>
        <w:rPr>
          <w:rFonts w:eastAsia="仿宋"/>
          <w:color w:val="auto"/>
          <w:sz w:val="24"/>
          <w:highlight w:val="none"/>
        </w:rPr>
        <w:outlineLvl w:val="1"/>
      </w:pPr>
      <w:r/>
      <w:bookmarkStart w:id="45" w:name="_Toc7257"/>
      <w:r/>
      <w:bookmarkStart w:id="46" w:name="_Toc19582"/>
      <w:r>
        <w:rPr>
          <w:rFonts w:eastAsia="仿宋"/>
          <w:b/>
          <w:bCs/>
          <w:color w:val="auto"/>
          <w:sz w:val="24"/>
          <w:highlight w:val="none"/>
        </w:rPr>
        <w:t xml:space="preserve">四、投标文件的递交</w:t>
      </w:r>
      <w:bookmarkEnd w:id="45"/>
      <w:r/>
      <w:bookmarkEnd w:id="46"/>
      <w:r/>
      <w:r/>
    </w:p>
    <w:p>
      <w:pPr>
        <w:ind w:firstLine="482"/>
        <w:spacing w:line="360" w:lineRule="auto"/>
        <w:shd w:val="clear" w:color="auto" w:fill="ffffff"/>
        <w:widowControl/>
        <w:rPr>
          <w:rFonts w:eastAsia="仿宋"/>
          <w:b/>
          <w:bCs/>
          <w:color w:val="auto"/>
          <w:sz w:val="24"/>
          <w:highlight w:val="none"/>
        </w:rPr>
        <w:outlineLvl w:val="2"/>
      </w:pPr>
      <w:r/>
      <w:bookmarkStart w:id="47" w:name="_Toc9850"/>
      <w:r/>
      <w:bookmarkStart w:id="48" w:name="_Toc25300"/>
      <w:r>
        <w:rPr>
          <w:rFonts w:eastAsia="仿宋"/>
          <w:b/>
          <w:bCs/>
          <w:color w:val="auto"/>
          <w:sz w:val="24"/>
          <w:highlight w:val="none"/>
        </w:rPr>
        <w:t xml:space="preserve">17、投标文件的递交</w:t>
      </w:r>
      <w:bookmarkEnd w:id="47"/>
      <w:r/>
      <w:bookmarkEnd w:id="48"/>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eastAsia="仿宋"/>
          <w:b/>
          <w:bCs/>
          <w:color w:val="auto"/>
          <w:sz w:val="24"/>
          <w:highlight w:val="none"/>
        </w:rPr>
        <w:outlineLvl w:val="2"/>
      </w:pPr>
      <w:r/>
      <w:bookmarkStart w:id="49" w:name="_Toc25842"/>
      <w:r/>
      <w:bookmarkStart w:id="50" w:name="_Toc9945"/>
      <w:r>
        <w:rPr>
          <w:rFonts w:eastAsia="仿宋"/>
          <w:b/>
          <w:bCs/>
          <w:color w:val="auto"/>
          <w:sz w:val="24"/>
          <w:highlight w:val="none"/>
        </w:rPr>
        <w:t xml:space="preserve">18、投标文件的解密</w:t>
      </w:r>
      <w:bookmarkEnd w:id="49"/>
      <w:r/>
      <w:bookmarkEnd w:id="5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eastAsia="仿宋"/>
          <w:color w:val="auto"/>
          <w:sz w:val="24"/>
          <w:highlight w:val="none"/>
        </w:rPr>
        <w:outlineLvl w:val="2"/>
      </w:pPr>
      <w:r/>
      <w:bookmarkStart w:id="51" w:name="_Toc15468"/>
      <w:r/>
      <w:bookmarkStart w:id="52" w:name="_Toc7211"/>
      <w:r>
        <w:rPr>
          <w:rFonts w:eastAsia="仿宋"/>
          <w:b/>
          <w:bCs/>
          <w:color w:val="auto"/>
          <w:sz w:val="24"/>
          <w:highlight w:val="none"/>
        </w:rPr>
        <w:t xml:space="preserve">19、投标文件的修改和撤回</w:t>
      </w:r>
      <w:bookmarkEnd w:id="51"/>
      <w:r/>
      <w:bookmarkEnd w:id="52"/>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19.2 投标截止时间之后，投标文件不得撤回。</w:t>
      </w:r>
      <w:r/>
    </w:p>
    <w:p>
      <w:pPr>
        <w:ind w:firstLine="482"/>
        <w:spacing w:line="360" w:lineRule="auto"/>
        <w:shd w:val="clear" w:color="auto" w:fill="ffffff"/>
        <w:widowControl/>
        <w:rPr>
          <w:rFonts w:eastAsia="仿宋"/>
          <w:color w:val="auto"/>
          <w:sz w:val="24"/>
          <w:highlight w:val="none"/>
        </w:rPr>
        <w:outlineLvl w:val="2"/>
      </w:pPr>
      <w:r/>
      <w:bookmarkStart w:id="53" w:name="_Toc22258"/>
      <w:r/>
      <w:bookmarkStart w:id="54" w:name="_Toc7890"/>
      <w:r>
        <w:rPr>
          <w:rFonts w:eastAsia="仿宋"/>
          <w:b/>
          <w:bCs/>
          <w:color w:val="auto"/>
          <w:sz w:val="24"/>
          <w:highlight w:val="none"/>
        </w:rPr>
        <w:t xml:space="preserve">20、诚实信用</w:t>
      </w:r>
      <w:bookmarkEnd w:id="53"/>
      <w:r/>
      <w:bookmarkEnd w:id="5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eastAsia="仿宋"/>
          <w:color w:val="auto"/>
          <w:sz w:val="24"/>
          <w:highlight w:val="none"/>
        </w:rPr>
        <w:outlineLvl w:val="1"/>
      </w:pPr>
      <w:r/>
      <w:bookmarkStart w:id="55" w:name="_Toc26774"/>
      <w:r/>
      <w:bookmarkStart w:id="56" w:name="_Toc31160"/>
      <w:r>
        <w:rPr>
          <w:rFonts w:eastAsia="仿宋"/>
          <w:b/>
          <w:bCs/>
          <w:color w:val="auto"/>
          <w:sz w:val="24"/>
          <w:highlight w:val="none"/>
        </w:rPr>
        <w:t xml:space="preserve">五、开标、评标与定标</w:t>
      </w:r>
      <w:bookmarkEnd w:id="55"/>
      <w:r/>
      <w:bookmarkEnd w:id="56"/>
      <w:r/>
      <w:r/>
    </w:p>
    <w:p>
      <w:pPr>
        <w:ind w:firstLine="482"/>
        <w:spacing w:line="360" w:lineRule="auto"/>
        <w:shd w:val="clear" w:color="auto" w:fill="ffffff"/>
        <w:widowControl/>
        <w:rPr>
          <w:rFonts w:eastAsia="仿宋"/>
          <w:color w:val="auto"/>
          <w:sz w:val="24"/>
          <w:highlight w:val="none"/>
        </w:rPr>
        <w:outlineLvl w:val="2"/>
      </w:pPr>
      <w:r/>
      <w:bookmarkStart w:id="57" w:name="_Toc7767"/>
      <w:r/>
      <w:bookmarkStart w:id="58" w:name="_Toc31434"/>
      <w:r>
        <w:rPr>
          <w:rFonts w:eastAsia="仿宋"/>
          <w:b/>
          <w:bCs/>
          <w:color w:val="auto"/>
          <w:sz w:val="24"/>
          <w:highlight w:val="none"/>
        </w:rPr>
        <w:t xml:space="preserve">21、开标</w:t>
      </w:r>
      <w:bookmarkEnd w:id="57"/>
      <w:r/>
      <w:bookmarkEnd w:id="58"/>
      <w:r/>
      <w:r/>
    </w:p>
    <w:p>
      <w:pPr>
        <w:ind w:firstLine="480"/>
        <w:spacing w:line="360" w:lineRule="auto"/>
        <w:rPr>
          <w:rFonts w:eastAsia="仿宋"/>
          <w:color w:val="auto"/>
          <w:sz w:val="24"/>
          <w:highlight w:val="none"/>
        </w:rPr>
      </w:pPr>
      <w:r>
        <w:rPr>
          <w:rFonts w:eastAsia="仿宋"/>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eastAsia="仿宋"/>
          <w:color w:val="auto"/>
          <w:sz w:val="24"/>
          <w:highlight w:val="none"/>
        </w:rPr>
      </w:pPr>
      <w:r>
        <w:rPr>
          <w:rFonts w:eastAsia="仿宋"/>
          <w:color w:val="auto"/>
          <w:sz w:val="24"/>
          <w:highlight w:val="none"/>
        </w:rPr>
        <w:t xml:space="preserve">21.2 投标人在开标过程中涉及到的投标文件解密、开标结果确认等工作，应按照《操作手册》规定执行。</w:t>
      </w:r>
      <w:r/>
    </w:p>
    <w:p>
      <w:pPr>
        <w:ind w:firstLine="480"/>
        <w:spacing w:line="360" w:lineRule="auto"/>
        <w:rPr>
          <w:rFonts w:eastAsia="仿宋"/>
          <w:color w:val="auto"/>
          <w:sz w:val="24"/>
          <w:highlight w:val="none"/>
        </w:rPr>
      </w:pPr>
      <w:r>
        <w:rPr>
          <w:rFonts w:eastAsia="仿宋"/>
          <w:color w:val="auto"/>
          <w:sz w:val="24"/>
          <w:highlight w:val="none"/>
        </w:rPr>
        <w:t xml:space="preserve">21.3投标人不足3家的，不得开标。</w:t>
      </w:r>
      <w:r/>
    </w:p>
    <w:p>
      <w:pPr>
        <w:ind w:firstLine="480"/>
        <w:spacing w:line="360" w:lineRule="auto"/>
        <w:rPr>
          <w:rFonts w:eastAsia="仿宋"/>
          <w:color w:val="auto"/>
          <w:sz w:val="24"/>
          <w:highlight w:val="none"/>
        </w:rPr>
      </w:pPr>
      <w:r>
        <w:rPr>
          <w:rFonts w:eastAsia="仿宋"/>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eastAsia="仿宋"/>
          <w:color w:val="auto"/>
          <w:sz w:val="24"/>
          <w:highlight w:val="none"/>
        </w:rPr>
      </w:pPr>
      <w:r>
        <w:rPr>
          <w:rFonts w:eastAsia="仿宋"/>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eastAsia="仿宋"/>
          <w:color w:val="auto"/>
          <w:sz w:val="24"/>
          <w:highlight w:val="none"/>
        </w:rPr>
      </w:pPr>
      <w:r>
        <w:rPr>
          <w:rFonts w:eastAsia="仿宋"/>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eastAsia="仿宋"/>
          <w:color w:val="auto"/>
          <w:sz w:val="24"/>
          <w:highlight w:val="none"/>
        </w:rPr>
      </w:pPr>
      <w:r>
        <w:rPr>
          <w:rFonts w:eastAsia="仿宋"/>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eastAsia="仿宋"/>
          <w:color w:val="auto"/>
          <w:sz w:val="24"/>
          <w:highlight w:val="none"/>
        </w:rPr>
        <w:outlineLvl w:val="2"/>
      </w:pPr>
      <w:r/>
      <w:bookmarkStart w:id="59" w:name="_Toc13033"/>
      <w:r/>
      <w:bookmarkStart w:id="60" w:name="_Toc21331"/>
      <w:r>
        <w:rPr>
          <w:rFonts w:eastAsia="仿宋"/>
          <w:b/>
          <w:bCs/>
          <w:color w:val="auto"/>
          <w:sz w:val="24"/>
          <w:highlight w:val="none"/>
        </w:rPr>
        <w:t xml:space="preserve">22、评标</w:t>
      </w:r>
      <w:bookmarkEnd w:id="59"/>
      <w:r/>
      <w:bookmarkEnd w:id="60"/>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 评标委员会</w:t>
      </w:r>
      <w:r/>
    </w:p>
    <w:p>
      <w:pPr>
        <w:ind w:firstLine="482"/>
        <w:spacing w:line="360" w:lineRule="auto"/>
        <w:shd w:val="clear" w:color="auto" w:fill="ffffff"/>
        <w:widowControl/>
        <w:rPr>
          <w:rFonts w:eastAsia="仿宋"/>
          <w:bCs/>
          <w:color w:val="auto"/>
          <w:sz w:val="24"/>
          <w:highlight w:val="none"/>
        </w:rPr>
      </w:pPr>
      <w:r>
        <w:rPr>
          <w:rFonts w:eastAsia="仿宋"/>
          <w:b/>
          <w:bCs/>
          <w:color w:val="auto"/>
          <w:sz w:val="24"/>
          <w:highlight w:val="none"/>
        </w:rPr>
        <w:t xml:space="preserve">22.1.1</w:t>
      </w:r>
      <w:r>
        <w:rPr>
          <w:rFonts w:eastAsia="仿宋"/>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（三）对投标文件进行比较和评价；</w:t>
      </w:r>
      <w:r/>
    </w:p>
    <w:p>
      <w:pPr>
        <w:ind w:firstLine="480"/>
        <w:spacing w:line="360" w:lineRule="auto"/>
        <w:shd w:val="clear" w:color="auto" w:fill="ffffff"/>
        <w:widowControl/>
        <w:rPr>
          <w:rFonts w:eastAsia="仿宋"/>
          <w:bCs/>
          <w:color w:val="auto"/>
          <w:sz w:val="24"/>
          <w:highlight w:val="none"/>
        </w:rPr>
      </w:pPr>
      <w:r>
        <w:rPr>
          <w:rFonts w:eastAsia="仿宋"/>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eastAsia="仿宋"/>
          <w:color w:val="auto"/>
          <w:sz w:val="24"/>
          <w:highlight w:val="none"/>
        </w:rPr>
      </w:pPr>
      <w:r>
        <w:rPr>
          <w:rFonts w:eastAsia="仿宋"/>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22.1.2 </w:t>
      </w:r>
      <w:r>
        <w:rPr>
          <w:rFonts w:eastAsia="仿宋"/>
          <w:color w:val="auto"/>
          <w:sz w:val="24"/>
          <w:highlight w:val="none"/>
        </w:rPr>
        <w:t xml:space="preserve">评标委员会由</w:t>
      </w:r>
      <w:r>
        <w:rPr>
          <w:rFonts w:eastAsia="仿宋"/>
          <w:bCs/>
          <w:color w:val="auto"/>
          <w:sz w:val="24"/>
          <w:highlight w:val="none"/>
        </w:rPr>
        <w:t xml:space="preserve">采购人</w:t>
      </w:r>
      <w:r>
        <w:rPr>
          <w:rFonts w:eastAsia="仿宋"/>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  评标程序</w:t>
      </w:r>
      <w:r/>
    </w:p>
    <w:p>
      <w:pPr>
        <w:ind w:firstLine="482"/>
        <w:jc w:val="left"/>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22.2.1 </w:t>
      </w:r>
      <w:r>
        <w:rPr>
          <w:rFonts w:eastAsia="仿宋"/>
          <w:b/>
          <w:bCs/>
          <w:color w:val="auto"/>
          <w:sz w:val="24"/>
          <w:highlight w:val="none"/>
        </w:rPr>
        <w:t xml:space="preserve">投标文件的资格性检查。</w:t>
      </w:r>
      <w:r>
        <w:rPr>
          <w:rFonts w:eastAsia="仿宋"/>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22.2.2投标文件的符合性审查</w:t>
      </w:r>
      <w:r>
        <w:rPr>
          <w:rFonts w:eastAsia="仿宋"/>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（2）投标人未按照招标文件要求上传电子投标文件的；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（3）同一投标人提交两个（含两个）以上不同的投标报价的；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（4）投标文件未按照招标文件要求加盖电子公章的；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（5）不具备招标文件中规定的资格要求的；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（7）投标文件含有采购人不能接受的附加条件的；</w:t>
      </w:r>
      <w:r/>
    </w:p>
    <w:p>
      <w:pPr>
        <w:ind w:firstLine="482"/>
        <w:spacing w:line="360" w:lineRule="auto"/>
        <w:shd w:val="clear" w:color="auto" w:fill="ffffff"/>
        <w:widowControl/>
        <w:rPr>
          <w:rFonts w:eastAsia="仿宋"/>
          <w:b/>
          <w:color w:val="auto"/>
          <w:sz w:val="24"/>
          <w:highlight w:val="none"/>
          <w:lang w:val="zh-CN"/>
        </w:rPr>
      </w:pPr>
      <w:r>
        <w:rPr>
          <w:rFonts w:eastAsia="仿宋"/>
          <w:b/>
          <w:color w:val="auto"/>
          <w:sz w:val="24"/>
          <w:highlight w:val="none"/>
          <w:lang w:val="zh-CN"/>
        </w:rPr>
        <w:t xml:space="preserve">（</w:t>
      </w:r>
      <w:r>
        <w:rPr>
          <w:rFonts w:eastAsia="仿宋"/>
          <w:b/>
          <w:color w:val="auto"/>
          <w:sz w:val="24"/>
          <w:highlight w:val="none"/>
        </w:rPr>
        <w:t xml:space="preserve">8</w:t>
      </w:r>
      <w:r>
        <w:rPr>
          <w:rFonts w:eastAsia="仿宋"/>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eastAsia="仿宋"/>
          <w:b/>
          <w:color w:val="auto"/>
          <w:sz w:val="24"/>
          <w:highlight w:val="none"/>
        </w:rPr>
      </w:pPr>
      <w:r>
        <w:rPr>
          <w:rFonts w:eastAsia="仿宋"/>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22.2.2.1 实质性要求是指本招标文件中用带星号（“</w:t>
      </w:r>
      <w:r>
        <w:rPr>
          <w:rFonts w:eastAsia="仿宋"/>
          <w:color w:val="auto"/>
          <w:spacing w:val="-2"/>
          <w:sz w:val="24"/>
          <w:highlight w:val="none"/>
        </w:rPr>
        <w:t xml:space="preserve">★</w:t>
      </w:r>
      <w:r>
        <w:rPr>
          <w:rFonts w:eastAsia="仿宋"/>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22.2.2.3有下列情形之一的予以废标：</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（2）出现影响采购公正的违法、违规行为的；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（4）因苏采云系统故障造成开标不成功的；</w:t>
      </w:r>
      <w:r/>
    </w:p>
    <w:p>
      <w:pPr>
        <w:ind w:firstLine="482"/>
        <w:jc w:val="left"/>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（5）因重大变故，采购任务取消的。</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w:t>
      </w:r>
      <w:r>
        <w:rPr>
          <w:rFonts w:eastAsia="仿宋"/>
          <w:b/>
          <w:bCs/>
          <w:color w:val="auto"/>
          <w:sz w:val="24"/>
          <w:highlight w:val="none"/>
        </w:rPr>
        <w:t xml:space="preserve">澄清有关问题</w:t>
      </w:r>
      <w:r>
        <w:rPr>
          <w:rFonts w:eastAsia="仿宋"/>
          <w:color w:val="auto"/>
          <w:sz w:val="24"/>
          <w:highlight w:val="none"/>
        </w:rPr>
        <w:t xml:space="preserve">。</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评委会并非对每个投标人都做澄清要求。</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（2）大写金额和小写金额不一致的，以大写金额为准；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eastAsia="仿宋"/>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22.2.4</w:t>
      </w:r>
      <w:r>
        <w:rPr>
          <w:rFonts w:eastAsia="仿宋"/>
          <w:bCs/>
          <w:color w:val="auto"/>
          <w:sz w:val="24"/>
          <w:highlight w:val="none"/>
        </w:rPr>
        <w:t xml:space="preserve">比较与评价。</w:t>
      </w:r>
      <w:r>
        <w:rPr>
          <w:rFonts w:eastAsia="仿宋"/>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eastAsia="仿宋"/>
          <w:color w:val="auto"/>
          <w:sz w:val="24"/>
          <w:highlight w:val="none"/>
        </w:rPr>
      </w:pPr>
      <w:r>
        <w:rPr>
          <w:rFonts w:eastAsia="仿宋"/>
          <w:b/>
          <w:bCs/>
          <w:color w:val="auto"/>
          <w:sz w:val="24"/>
          <w:highlight w:val="none"/>
        </w:rPr>
        <w:t xml:space="preserve">22.3 评标方法和标准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评审因素，包括价格、技术、商务等。</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评标总得分＝F1×A1＋F2×A2＋……＋Fn×An</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F1、F2……Fn分别为各项评审因素的得分；</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A1、A2、……An 分别为各项评审因素所占的权重(A1＋A2＋……＋An＝1)。</w:t>
      </w:r>
      <w:r/>
    </w:p>
    <w:p>
      <w:pPr>
        <w:ind w:firstLine="480"/>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eastAsia="仿宋"/>
          <w:b/>
          <w:color w:val="auto"/>
          <w:sz w:val="24"/>
          <w:highlight w:val="none"/>
        </w:rPr>
        <w:outlineLvl w:val="2"/>
      </w:pPr>
      <w:r/>
      <w:bookmarkStart w:id="61" w:name="_Toc8485"/>
      <w:r/>
      <w:bookmarkStart w:id="62" w:name="_Toc11944"/>
      <w:r>
        <w:rPr>
          <w:rFonts w:eastAsia="仿宋"/>
          <w:b/>
          <w:bCs/>
          <w:color w:val="auto"/>
          <w:sz w:val="24"/>
          <w:highlight w:val="none"/>
        </w:rPr>
        <w:t xml:space="preserve">23、</w:t>
      </w:r>
      <w:r>
        <w:rPr>
          <w:rFonts w:eastAsia="仿宋"/>
          <w:b/>
          <w:color w:val="auto"/>
          <w:sz w:val="24"/>
          <w:highlight w:val="none"/>
        </w:rPr>
        <w:t xml:space="preserve">确定中标人</w:t>
      </w:r>
      <w:bookmarkEnd w:id="61"/>
      <w:r/>
      <w:bookmarkEnd w:id="62"/>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eastAsia="仿宋"/>
          <w:b/>
          <w:color w:val="auto"/>
          <w:sz w:val="24"/>
          <w:highlight w:val="none"/>
        </w:rPr>
      </w:pPr>
      <w:r>
        <w:rPr>
          <w:rFonts w:eastAsia="仿宋"/>
          <w:b/>
          <w:bCs/>
          <w:color w:val="auto"/>
          <w:sz w:val="24"/>
          <w:highlight w:val="none"/>
        </w:rPr>
        <w:t xml:space="preserve">23.4 中标通知书对采购人和中标人具有同等法律效力。中标通知书发出后，采购人不得</w:t>
      </w:r>
      <w:r>
        <w:rPr>
          <w:rFonts w:eastAsia="仿宋"/>
          <w:b/>
          <w:color w:val="auto"/>
          <w:sz w:val="24"/>
          <w:highlight w:val="none"/>
        </w:rPr>
        <w:t xml:space="preserve">违法改变中标结果，中标人无正当理由不得放弃中标。</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23.5 所有投标文件不论中标与否，均不退回。</w:t>
      </w:r>
      <w:r/>
    </w:p>
    <w:p>
      <w:pPr>
        <w:ind w:firstLine="482"/>
        <w:spacing w:line="360" w:lineRule="auto"/>
        <w:shd w:val="clear" w:color="auto" w:fill="ffffff"/>
        <w:widowControl/>
        <w:rPr>
          <w:rFonts w:eastAsia="仿宋"/>
          <w:color w:val="auto"/>
          <w:sz w:val="24"/>
          <w:highlight w:val="none"/>
        </w:rPr>
        <w:outlineLvl w:val="2"/>
      </w:pPr>
      <w:r/>
      <w:bookmarkStart w:id="63" w:name="_Toc10827"/>
      <w:r/>
      <w:bookmarkStart w:id="64" w:name="_Toc17741"/>
      <w:r>
        <w:rPr>
          <w:rFonts w:eastAsia="仿宋"/>
          <w:b/>
          <w:bCs/>
          <w:color w:val="auto"/>
          <w:sz w:val="24"/>
          <w:highlight w:val="none"/>
        </w:rPr>
        <w:t xml:space="preserve">24、编写评标报告</w:t>
      </w:r>
      <w:bookmarkEnd w:id="63"/>
      <w:r/>
      <w:bookmarkEnd w:id="6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eastAsia="仿宋"/>
          <w:color w:val="auto"/>
          <w:sz w:val="24"/>
          <w:highlight w:val="none"/>
        </w:rPr>
        <w:outlineLvl w:val="2"/>
      </w:pPr>
      <w:r/>
      <w:bookmarkStart w:id="65" w:name="_Toc16678"/>
      <w:r/>
      <w:bookmarkStart w:id="66" w:name="_Toc19516"/>
      <w:r>
        <w:rPr>
          <w:rFonts w:eastAsia="仿宋"/>
          <w:b/>
          <w:bCs/>
          <w:color w:val="auto"/>
          <w:sz w:val="24"/>
          <w:highlight w:val="none"/>
        </w:rPr>
        <w:t xml:space="preserve">25、评标过程的保密性</w:t>
      </w:r>
      <w:bookmarkEnd w:id="65"/>
      <w:r/>
      <w:bookmarkEnd w:id="66"/>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eastAsia="仿宋"/>
          <w:color w:val="auto"/>
          <w:sz w:val="24"/>
          <w:highlight w:val="none"/>
        </w:rPr>
        <w:outlineLvl w:val="1"/>
      </w:pPr>
      <w:r/>
      <w:bookmarkStart w:id="67" w:name="_Toc8499"/>
      <w:r/>
      <w:bookmarkStart w:id="68" w:name="_Toc17261"/>
      <w:r>
        <w:rPr>
          <w:rFonts w:eastAsia="仿宋"/>
          <w:b/>
          <w:bCs/>
          <w:color w:val="auto"/>
          <w:sz w:val="24"/>
          <w:highlight w:val="none"/>
        </w:rPr>
        <w:t xml:space="preserve">六、签订合同</w:t>
      </w:r>
      <w:bookmarkEnd w:id="67"/>
      <w:r/>
      <w:bookmarkEnd w:id="68"/>
      <w:r/>
      <w:r/>
    </w:p>
    <w:p>
      <w:pPr>
        <w:ind w:firstLine="482"/>
        <w:spacing w:line="360" w:lineRule="auto"/>
        <w:shd w:val="clear" w:color="auto" w:fill="ffffff"/>
        <w:widowControl/>
        <w:rPr>
          <w:rFonts w:eastAsia="仿宋"/>
          <w:color w:val="auto"/>
          <w:sz w:val="24"/>
          <w:highlight w:val="none"/>
        </w:rPr>
        <w:outlineLvl w:val="2"/>
      </w:pPr>
      <w:r/>
      <w:bookmarkStart w:id="69" w:name="_Toc18234"/>
      <w:r/>
      <w:bookmarkStart w:id="70" w:name="_Toc3444"/>
      <w:r>
        <w:rPr>
          <w:rFonts w:eastAsia="仿宋"/>
          <w:b/>
          <w:bCs/>
          <w:color w:val="auto"/>
          <w:sz w:val="24"/>
          <w:highlight w:val="none"/>
        </w:rPr>
        <w:t xml:space="preserve">26、签订合同</w:t>
      </w:r>
      <w:bookmarkEnd w:id="69"/>
      <w:r/>
      <w:bookmarkEnd w:id="70"/>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eastAsia="仿宋"/>
          <w:b/>
          <w:bCs/>
          <w:color w:val="auto"/>
          <w:sz w:val="24"/>
          <w:highlight w:val="none"/>
        </w:rPr>
      </w:pPr>
      <w:r>
        <w:rPr>
          <w:rFonts w:eastAsia="仿宋"/>
          <w:b/>
          <w:color w:val="auto"/>
          <w:sz w:val="24"/>
          <w:highlight w:val="none"/>
        </w:rPr>
        <w:t xml:space="preserve">26.2</w:t>
      </w:r>
      <w:r>
        <w:rPr>
          <w:rFonts w:eastAsia="仿宋"/>
          <w:color w:val="auto"/>
          <w:sz w:val="24"/>
          <w:highlight w:val="none"/>
        </w:rPr>
        <w:t xml:space="preserve">除继续履行将损害国家利益和社会公众利益的，政府采购合同的双方当事人不得擅自变更、中止或者终止合同。</w:t>
      </w:r>
      <w:r>
        <w:rPr>
          <w:rFonts w:eastAsia="仿宋"/>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eastAsia="仿宋"/>
          <w:color w:val="auto"/>
          <w:sz w:val="24"/>
          <w:highlight w:val="none"/>
        </w:rPr>
        <w:outlineLvl w:val="1"/>
      </w:pPr>
      <w:r/>
      <w:bookmarkStart w:id="71" w:name="_Toc15972"/>
      <w:r/>
      <w:bookmarkStart w:id="72" w:name="_Toc19945"/>
      <w:r>
        <w:rPr>
          <w:rFonts w:eastAsia="仿宋"/>
          <w:b/>
          <w:bCs/>
          <w:color w:val="auto"/>
          <w:sz w:val="24"/>
          <w:highlight w:val="none"/>
        </w:rPr>
        <w:t xml:space="preserve">七、质疑和投诉</w:t>
      </w:r>
      <w:bookmarkEnd w:id="71"/>
      <w:r/>
      <w:bookmarkEnd w:id="72"/>
      <w:r/>
      <w:r/>
    </w:p>
    <w:p>
      <w:pPr>
        <w:ind w:firstLine="482"/>
        <w:spacing w:line="360" w:lineRule="auto"/>
        <w:shd w:val="clear" w:color="auto" w:fill="ffffff"/>
        <w:widowControl/>
        <w:rPr>
          <w:rFonts w:eastAsia="仿宋"/>
          <w:color w:val="auto"/>
          <w:sz w:val="24"/>
          <w:highlight w:val="none"/>
        </w:rPr>
        <w:outlineLvl w:val="2"/>
      </w:pPr>
      <w:r/>
      <w:bookmarkStart w:id="73" w:name="_Toc21796"/>
      <w:r/>
      <w:bookmarkStart w:id="74" w:name="_Toc15761"/>
      <w:r>
        <w:rPr>
          <w:rFonts w:eastAsia="仿宋"/>
          <w:b/>
          <w:bCs/>
          <w:color w:val="auto"/>
          <w:sz w:val="24"/>
          <w:highlight w:val="none"/>
        </w:rPr>
        <w:t xml:space="preserve">27、质疑</w:t>
      </w:r>
      <w:bookmarkEnd w:id="73"/>
      <w:r/>
      <w:bookmarkEnd w:id="74"/>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27.1供应商对招标活动事项有疑问的，可以向采购代理机构提出询问，采购代理机构将依法作出答复，但答复的内容不涉及商业秘密</w:t>
      </w:r>
      <w:r>
        <w:rPr>
          <w:rFonts w:eastAsia="仿宋"/>
          <w:b/>
          <w:bCs/>
          <w:color w:val="auto"/>
          <w:sz w:val="24"/>
          <w:highlight w:val="none"/>
        </w:rPr>
        <w:t xml:space="preserve">。</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eastAsia="仿宋"/>
          <w:b/>
          <w:bCs/>
          <w:color w:val="auto"/>
          <w:sz w:val="24"/>
          <w:highlight w:val="none"/>
        </w:rPr>
      </w:pPr>
      <w:r>
        <w:rPr>
          <w:rFonts w:eastAsia="仿宋"/>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（一）供应商的姓名或者名称、地址、邮编、联系人及联系电话；</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（二）质疑项目的名称、编号；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（四）事实依据（具体条款）；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（五）必要的法律依据（具体条款）；</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（六）提出质疑的日期。</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27.7采购代理机构在收到投标人的书面质疑后将及时组织调查核实，在</w:t>
      </w:r>
      <w:r>
        <w:rPr>
          <w:rFonts w:eastAsia="仿宋"/>
          <w:b/>
          <w:bCs/>
          <w:color w:val="auto"/>
          <w:sz w:val="24"/>
          <w:highlight w:val="none"/>
        </w:rPr>
        <w:t xml:space="preserve">七个工作日内</w:t>
      </w:r>
      <w:r>
        <w:rPr>
          <w:rFonts w:eastAsia="仿宋"/>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eastAsia="仿宋"/>
          <w:color w:val="auto"/>
          <w:sz w:val="24"/>
          <w:highlight w:val="none"/>
        </w:rPr>
        <w:outlineLvl w:val="2"/>
      </w:pPr>
      <w:r/>
      <w:bookmarkStart w:id="75" w:name="_Toc22899"/>
      <w:r/>
      <w:bookmarkStart w:id="76" w:name="_Toc20567"/>
      <w:r>
        <w:rPr>
          <w:rFonts w:eastAsia="仿宋"/>
          <w:b/>
          <w:bCs/>
          <w:color w:val="auto"/>
          <w:sz w:val="24"/>
          <w:highlight w:val="none"/>
        </w:rPr>
        <w:t xml:space="preserve">28、投诉</w:t>
      </w:r>
      <w:bookmarkEnd w:id="75"/>
      <w:r/>
      <w:bookmarkEnd w:id="76"/>
      <w:r/>
      <w:r/>
    </w:p>
    <w:p>
      <w:pPr>
        <w:ind w:firstLine="480"/>
        <w:spacing w:line="360" w:lineRule="auto"/>
        <w:rPr>
          <w:rFonts w:eastAsia="仿宋"/>
          <w:color w:val="auto"/>
          <w:sz w:val="24"/>
          <w:highlight w:val="none"/>
        </w:rPr>
      </w:pPr>
      <w:r>
        <w:rPr>
          <w:rFonts w:eastAsia="仿宋"/>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eastAsia="仿宋"/>
          <w:color w:val="auto"/>
          <w:sz w:val="24"/>
          <w:highlight w:val="none"/>
        </w:rPr>
      </w:pPr>
      <w:r>
        <w:rPr>
          <w:rFonts w:eastAsia="仿宋"/>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eastAsia="仿宋"/>
          <w:color w:val="auto"/>
          <w:sz w:val="24"/>
          <w:highlight w:val="none"/>
        </w:rPr>
      </w:pPr>
      <w:r>
        <w:rPr>
          <w:rFonts w:eastAsia="仿宋"/>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eastAsia="仿宋"/>
          <w:color w:val="auto"/>
          <w:sz w:val="24"/>
          <w:highlight w:val="none"/>
        </w:rPr>
      </w:pPr>
      <w:r>
        <w:rPr>
          <w:rFonts w:eastAsia="仿宋"/>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eastAsia="仿宋"/>
          <w:color w:val="auto"/>
          <w:sz w:val="24"/>
          <w:highlight w:val="none"/>
        </w:rPr>
      </w:pPr>
      <w:r>
        <w:rPr>
          <w:rFonts w:eastAsia="仿宋"/>
          <w:color w:val="auto"/>
          <w:sz w:val="24"/>
          <w:highlight w:val="none"/>
        </w:rPr>
        <w:t xml:space="preserve">（1）投诉人在全国范围12个月内三次以上投诉查无实据的；</w:t>
      </w:r>
      <w:r/>
    </w:p>
    <w:p>
      <w:pPr>
        <w:ind w:firstLine="480"/>
        <w:spacing w:line="360" w:lineRule="auto"/>
        <w:rPr>
          <w:rFonts w:eastAsia="仿宋"/>
          <w:color w:val="auto"/>
          <w:sz w:val="24"/>
          <w:highlight w:val="none"/>
        </w:rPr>
      </w:pPr>
      <w:r>
        <w:rPr>
          <w:rFonts w:eastAsia="仿宋"/>
          <w:color w:val="auto"/>
          <w:sz w:val="24"/>
          <w:highlight w:val="none"/>
        </w:rPr>
        <w:t xml:space="preserve">（2）采用捏造事实、提供虚假材料或者以非法手段取得证明材料等方式进行虚假、恶意投诉。</w:t>
      </w:r>
      <w:r/>
    </w:p>
    <w:p>
      <w:pPr>
        <w:ind w:firstLine="480"/>
        <w:spacing w:line="360" w:lineRule="auto"/>
        <w:rPr>
          <w:rFonts w:eastAsia="仿宋"/>
          <w:color w:val="auto"/>
          <w:sz w:val="24"/>
          <w:highlight w:val="none"/>
        </w:rPr>
      </w:pPr>
      <w:r>
        <w:rPr>
          <w:rFonts w:eastAsia="仿宋"/>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eastAsia="仿宋"/>
          <w:color w:val="auto"/>
          <w:highlight w:val="none"/>
        </w:rPr>
      </w:pPr>
      <w:r>
        <w:rPr>
          <w:rFonts w:eastAsia="仿宋"/>
          <w:color w:val="auto"/>
          <w:highlight w:val="none"/>
        </w:rPr>
        <w:br w:type="page" w:clear="all"/>
      </w:r>
      <w:r/>
    </w:p>
    <w:p>
      <w:pPr>
        <w:pStyle w:val="819"/>
        <w:spacing w:line="360" w:lineRule="auto"/>
        <w:rPr>
          <w:rFonts w:eastAsia="仿宋"/>
          <w:color w:val="auto"/>
          <w:highlight w:val="none"/>
        </w:rPr>
      </w:pPr>
      <w:r/>
      <w:bookmarkStart w:id="77" w:name="_Toc481057145"/>
      <w:r>
        <w:rPr>
          <w:rFonts w:eastAsia="仿宋"/>
          <w:color w:val="auto"/>
          <w:highlight w:val="none"/>
        </w:rPr>
        <w:t xml:space="preserve"> </w:t>
      </w:r>
      <w:bookmarkStart w:id="78" w:name="_Toc7731"/>
      <w:r/>
      <w:bookmarkStart w:id="79" w:name="_Toc2921"/>
      <w:r>
        <w:rPr>
          <w:rFonts w:eastAsia="仿宋"/>
          <w:color w:val="auto"/>
          <w:highlight w:val="none"/>
        </w:rPr>
        <w:t xml:space="preserve">评标标准</w:t>
      </w:r>
      <w:bookmarkEnd w:id="77"/>
      <w:r/>
      <w:bookmarkEnd w:id="78"/>
      <w:r/>
      <w:bookmarkEnd w:id="79"/>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29"/>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jc w:val="cente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评分</w:t>
            </w:r>
            <w:r/>
          </w:p>
          <w:p>
            <w:pPr>
              <w:jc w:val="center"/>
              <w:rPr>
                <w:rFonts w:eastAsia="仿宋"/>
                <w:color w:val="auto"/>
                <w:szCs w:val="21"/>
                <w:highlight w:val="none"/>
              </w:rPr>
            </w:pPr>
            <w:r>
              <w:rPr>
                <w:rFonts w:eastAsia="仿宋"/>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分值</w:t>
            </w:r>
            <w:r/>
          </w:p>
          <w:p>
            <w:pPr>
              <w:jc w:val="center"/>
              <w:rPr>
                <w:rFonts w:eastAsia="仿宋"/>
                <w:color w:val="auto"/>
                <w:szCs w:val="21"/>
                <w:highlight w:val="none"/>
              </w:rPr>
            </w:pPr>
            <w:r>
              <w:rPr>
                <w:rFonts w:eastAsia="仿宋"/>
                <w:color w:val="auto"/>
                <w:szCs w:val="21"/>
                <w:highlight w:val="none"/>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价格</w:t>
            </w:r>
            <w:r/>
          </w:p>
          <w:p>
            <w:pPr>
              <w:jc w:val="center"/>
              <w:rPr>
                <w:rFonts w:eastAsia="仿宋"/>
                <w:color w:val="auto"/>
                <w:szCs w:val="21"/>
                <w:highlight w:val="none"/>
              </w:rPr>
            </w:pPr>
            <w:r>
              <w:rPr>
                <w:rFonts w:eastAsia="仿宋"/>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szCs w:val="21"/>
                <w:highlight w:val="none"/>
              </w:rPr>
              <w:t xml:space="preserve">评标采用低价优先的方法，满足招标文件要求且投标价格最低的投标报价为评标基准价，其价格分为满分。其他投标人的价格分值按照下列公式计算：投标报价得分=(评标基准价／投标报价)×10。（小数点后保留两位，第三位四舍五入）</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计算</w:t>
            </w:r>
            <w:r/>
          </w:p>
        </w:tc>
      </w:tr>
      <w:tr>
        <w:trPr>
          <w:jc w:val="cente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服务方案</w:t>
            </w:r>
            <w:r/>
          </w:p>
          <w:p>
            <w:pPr>
              <w:jc w:val="center"/>
              <w:rPr>
                <w:rFonts w:eastAsia="仿宋"/>
                <w:color w:val="auto"/>
                <w:szCs w:val="21"/>
                <w:highlight w:val="none"/>
              </w:rPr>
            </w:pPr>
            <w:r>
              <w:rPr>
                <w:rFonts w:eastAsia="仿宋"/>
                <w:color w:val="auto"/>
                <w:szCs w:val="21"/>
                <w:highlight w:val="none"/>
              </w:rPr>
              <w:t xml:space="preserve">（</w:t>
            </w:r>
            <w:r>
              <w:rPr>
                <w:rFonts w:hint="eastAsia" w:eastAsia="仿宋"/>
                <w:color w:val="auto"/>
                <w:szCs w:val="21"/>
                <w:highlight w:val="none"/>
              </w:rPr>
              <w:t xml:space="preserve">54</w:t>
            </w:r>
            <w:r>
              <w:rPr>
                <w:rFonts w:eastAsia="仿宋"/>
                <w:color w:val="auto"/>
                <w:szCs w:val="21"/>
                <w:highlight w:val="none"/>
              </w:rPr>
              <w:t xml:space="preserve">分）</w:t>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highlight w:val="none"/>
              </w:rPr>
            </w:pPr>
            <w:r>
              <w:rPr>
                <w:rFonts w:eastAsia="仿宋"/>
                <w:color w:val="auto"/>
                <w:szCs w:val="21"/>
                <w:highlight w:val="none"/>
              </w:rPr>
              <w:t xml:space="preserve">2.1</w:t>
            </w:r>
            <w:r>
              <w:rPr>
                <w:rFonts w:eastAsia="仿宋"/>
                <w:color w:val="auto"/>
                <w:highlight w:val="none"/>
              </w:rPr>
              <w:t xml:space="preserve">根据供应商提供的本项目需求分析(包括</w:t>
            </w:r>
            <w:r>
              <w:rPr>
                <w:rFonts w:hint="eastAsia" w:eastAsia="仿宋"/>
                <w:color w:val="auto"/>
                <w:highlight w:val="none"/>
                <w:lang w:val="en-US" w:eastAsia="zh-CN"/>
              </w:rPr>
              <w:t xml:space="preserve">但不限于</w:t>
            </w:r>
            <w:r>
              <w:rPr>
                <w:rFonts w:eastAsia="仿宋"/>
                <w:color w:val="auto"/>
                <w:highlight w:val="none"/>
              </w:rPr>
              <w:t xml:space="preserve">项目现状分析、技术需求理解，</w:t>
            </w:r>
            <w:r>
              <w:rPr>
                <w:rFonts w:hint="eastAsia" w:eastAsia="仿宋"/>
                <w:color w:val="auto"/>
                <w:highlight w:val="none"/>
              </w:rPr>
              <w:t xml:space="preserve">系统数据集成设计、监测</w:t>
            </w:r>
            <w:r>
              <w:rPr>
                <w:rFonts w:eastAsia="仿宋"/>
                <w:color w:val="auto"/>
                <w:highlight w:val="none"/>
              </w:rPr>
              <w:t xml:space="preserve">服务重难点应对措施等)综合评分：</w:t>
            </w:r>
            <w:r/>
          </w:p>
          <w:p>
            <w:pPr>
              <w:jc w:val="left"/>
              <w:widowControl/>
              <w:rPr>
                <w:rFonts w:eastAsia="仿宋"/>
                <w:color w:val="auto"/>
                <w:szCs w:val="21"/>
                <w:highlight w:val="none"/>
              </w:rPr>
            </w:pPr>
            <w:r>
              <w:rPr>
                <w:rFonts w:hint="eastAsia" w:eastAsia="仿宋"/>
                <w:color w:val="auto"/>
                <w:szCs w:val="21"/>
                <w:highlight w:val="none"/>
              </w:rPr>
              <w:t xml:space="preserve">（1）</w:t>
            </w:r>
            <w:r>
              <w:rPr>
                <w:rFonts w:eastAsia="仿宋"/>
                <w:color w:val="auto"/>
                <w:szCs w:val="21"/>
                <w:highlight w:val="none"/>
              </w:rPr>
              <w:t xml:space="preserve">对项目现状、技术需求有充分认识和理解，分析科学深入，对于</w:t>
            </w:r>
            <w:r>
              <w:rPr>
                <w:rFonts w:hint="eastAsia" w:eastAsia="仿宋"/>
                <w:color w:val="auto"/>
                <w:szCs w:val="21"/>
                <w:highlight w:val="none"/>
              </w:rPr>
              <w:t xml:space="preserve">监测</w:t>
            </w:r>
            <w:r>
              <w:rPr>
                <w:rFonts w:eastAsia="仿宋"/>
                <w:color w:val="auto"/>
                <w:szCs w:val="21"/>
                <w:highlight w:val="none"/>
              </w:rPr>
              <w:t xml:space="preserve">服务重难点具有明确合理的应对措施</w:t>
            </w:r>
            <w:r>
              <w:rPr>
                <w:rFonts w:hint="eastAsia" w:eastAsia="仿宋"/>
                <w:color w:val="auto"/>
                <w:szCs w:val="21"/>
                <w:highlight w:val="none"/>
              </w:rPr>
              <w:t xml:space="preserve">，系统数据集成设计先进、扩展性强，能充分响应并阐述招标要求的</w:t>
            </w:r>
            <w:r>
              <w:rPr>
                <w:rFonts w:eastAsia="仿宋"/>
                <w:color w:val="auto"/>
                <w:szCs w:val="21"/>
                <w:highlight w:val="none"/>
              </w:rPr>
              <w:t xml:space="preserve">得</w:t>
            </w:r>
            <w:r>
              <w:rPr>
                <w:rFonts w:hint="eastAsia" w:eastAsia="仿宋"/>
                <w:color w:val="auto"/>
                <w:szCs w:val="21"/>
                <w:highlight w:val="none"/>
              </w:rPr>
              <w:t xml:space="preserve">12</w:t>
            </w:r>
            <w:r>
              <w:rPr>
                <w:rFonts w:eastAsia="仿宋"/>
                <w:color w:val="auto"/>
                <w:szCs w:val="21"/>
                <w:highlight w:val="none"/>
              </w:rPr>
              <w:t xml:space="preserve">分；</w:t>
            </w:r>
            <w:r/>
          </w:p>
          <w:p>
            <w:pPr>
              <w:jc w:val="left"/>
              <w:widowControl/>
              <w:rPr>
                <w:rFonts w:eastAsia="仿宋"/>
                <w:color w:val="auto"/>
                <w:szCs w:val="21"/>
                <w:highlight w:val="none"/>
              </w:rPr>
            </w:pPr>
            <w:r>
              <w:rPr>
                <w:rFonts w:hint="eastAsia" w:eastAsia="仿宋"/>
                <w:color w:val="auto"/>
                <w:szCs w:val="21"/>
                <w:highlight w:val="none"/>
              </w:rPr>
              <w:t xml:space="preserve">（2）</w:t>
            </w:r>
            <w:r>
              <w:rPr>
                <w:rFonts w:eastAsia="仿宋"/>
                <w:color w:val="auto"/>
                <w:szCs w:val="21"/>
                <w:highlight w:val="none"/>
              </w:rPr>
              <w:t xml:space="preserve">对项目现状、技术需求的认识和理解较充分，分析较为科学，对于</w:t>
            </w:r>
            <w:r>
              <w:rPr>
                <w:rFonts w:hint="eastAsia" w:eastAsia="仿宋"/>
                <w:color w:val="auto"/>
                <w:szCs w:val="21"/>
                <w:highlight w:val="none"/>
              </w:rPr>
              <w:t xml:space="preserve">监测</w:t>
            </w:r>
            <w:r>
              <w:rPr>
                <w:rFonts w:eastAsia="仿宋"/>
                <w:color w:val="auto"/>
                <w:szCs w:val="21"/>
                <w:highlight w:val="none"/>
              </w:rPr>
              <w:t xml:space="preserve">服务重难点具有较为明确合理的应对措施</w:t>
            </w:r>
            <w:r>
              <w:rPr>
                <w:rFonts w:hint="eastAsia" w:eastAsia="仿宋"/>
                <w:color w:val="auto"/>
                <w:szCs w:val="21"/>
                <w:highlight w:val="none"/>
              </w:rPr>
              <w:t xml:space="preserve">，系统数据集成设计基本能响应采购要求</w:t>
            </w:r>
            <w:r>
              <w:rPr>
                <w:rFonts w:eastAsia="仿宋"/>
                <w:color w:val="auto"/>
                <w:szCs w:val="21"/>
                <w:highlight w:val="none"/>
              </w:rPr>
              <w:t xml:space="preserve">的得</w:t>
            </w:r>
            <w:r>
              <w:rPr>
                <w:rFonts w:hint="eastAsia" w:eastAsia="仿宋"/>
                <w:color w:val="auto"/>
                <w:szCs w:val="21"/>
                <w:highlight w:val="none"/>
              </w:rPr>
              <w:t xml:space="preserve">9</w:t>
            </w:r>
            <w:r>
              <w:rPr>
                <w:rFonts w:eastAsia="仿宋"/>
                <w:color w:val="auto"/>
                <w:szCs w:val="21"/>
                <w:highlight w:val="none"/>
              </w:rPr>
              <w:t xml:space="preserve">分；</w:t>
            </w:r>
            <w:r/>
          </w:p>
          <w:p>
            <w:pPr>
              <w:jc w:val="left"/>
              <w:widowControl/>
              <w:rPr>
                <w:rFonts w:eastAsia="仿宋"/>
                <w:color w:val="auto"/>
                <w:szCs w:val="21"/>
                <w:highlight w:val="none"/>
              </w:rPr>
            </w:pPr>
            <w:r>
              <w:rPr>
                <w:rFonts w:hint="eastAsia" w:eastAsia="仿宋"/>
                <w:color w:val="auto"/>
                <w:szCs w:val="21"/>
                <w:highlight w:val="none"/>
              </w:rPr>
              <w:t xml:space="preserve">（3）</w:t>
            </w:r>
            <w:r>
              <w:rPr>
                <w:rFonts w:eastAsia="仿宋"/>
                <w:color w:val="auto"/>
                <w:szCs w:val="21"/>
                <w:highlight w:val="none"/>
              </w:rPr>
              <w:t xml:space="preserve">对项目现状务、技术需求的认识和理解基本充分，分析基本科学，对于</w:t>
            </w:r>
            <w:r>
              <w:rPr>
                <w:rFonts w:hint="eastAsia" w:eastAsia="仿宋"/>
                <w:color w:val="auto"/>
                <w:szCs w:val="21"/>
                <w:highlight w:val="none"/>
              </w:rPr>
              <w:t xml:space="preserve">监测</w:t>
            </w:r>
            <w:r>
              <w:rPr>
                <w:rFonts w:eastAsia="仿宋"/>
                <w:color w:val="auto"/>
                <w:szCs w:val="21"/>
                <w:highlight w:val="none"/>
              </w:rPr>
              <w:t xml:space="preserve">服务重难点具有基本合理的应对措施的得</w:t>
            </w:r>
            <w:r>
              <w:rPr>
                <w:rFonts w:hint="eastAsia" w:eastAsia="仿宋"/>
                <w:color w:val="auto"/>
                <w:szCs w:val="21"/>
                <w:highlight w:val="none"/>
              </w:rPr>
              <w:t xml:space="preserve">6</w:t>
            </w:r>
            <w:r>
              <w:rPr>
                <w:rFonts w:eastAsia="仿宋"/>
                <w:color w:val="auto"/>
                <w:szCs w:val="21"/>
                <w:highlight w:val="none"/>
              </w:rPr>
              <w:t xml:space="preserve">分；</w:t>
            </w:r>
            <w:r/>
          </w:p>
          <w:p>
            <w:pPr>
              <w:jc w:val="left"/>
              <w:widowControl/>
              <w:rPr>
                <w:rFonts w:eastAsia="仿宋"/>
                <w:color w:val="auto"/>
                <w:szCs w:val="21"/>
                <w:highlight w:val="none"/>
              </w:rPr>
            </w:pPr>
            <w:r>
              <w:rPr>
                <w:rFonts w:hint="eastAsia" w:eastAsia="仿宋"/>
                <w:color w:val="auto"/>
                <w:szCs w:val="21"/>
                <w:highlight w:val="none"/>
              </w:rPr>
              <w:t xml:space="preserve">（4）</w:t>
            </w:r>
            <w:r>
              <w:rPr>
                <w:rFonts w:eastAsia="仿宋"/>
                <w:color w:val="auto"/>
                <w:szCs w:val="21"/>
                <w:highlight w:val="none"/>
              </w:rPr>
              <w:t xml:space="preserve">未提供需求分析的不得分。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hint="eastAsia" w:eastAsia="仿宋"/>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主观分</w:t>
            </w:r>
            <w:r/>
          </w:p>
        </w:tc>
      </w:tr>
      <w:tr>
        <w:trPr>
          <w:jc w:val="cente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eastAsia="仿宋"/>
                <w:color w:val="auto"/>
                <w:highlight w:val="none"/>
              </w:rPr>
            </w:pPr>
            <w:r>
              <w:rPr>
                <w:rFonts w:eastAsia="仿宋"/>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widowControl/>
              <w:rPr>
                <w:rFonts w:eastAsia="仿宋"/>
                <w:color w:val="auto"/>
                <w:szCs w:val="21"/>
                <w:highlight w:val="none"/>
              </w:rPr>
            </w:pPr>
            <w:r>
              <w:rPr>
                <w:rFonts w:eastAsia="仿宋"/>
                <w:color w:val="auto"/>
                <w:highlight w:val="none"/>
              </w:rPr>
              <w:t xml:space="preserve">2.2</w:t>
            </w:r>
            <w:r>
              <w:rPr>
                <w:rFonts w:eastAsia="仿宋"/>
                <w:color w:val="auto"/>
                <w:szCs w:val="21"/>
                <w:highlight w:val="none"/>
              </w:rPr>
              <w:t xml:space="preserve">项目管理及实施方案</w:t>
            </w:r>
            <w:r>
              <w:rPr>
                <w:rFonts w:hint="eastAsia" w:eastAsia="仿宋"/>
                <w:color w:val="auto"/>
                <w:szCs w:val="21"/>
                <w:highlight w:val="none"/>
              </w:rPr>
              <w:t xml:space="preserve">（包括但不限于组织架构、监测设备安装调试、系统对接的进度控制、风险控制管理、质量保障措施、信息安全管理措施、文档管理措施等）</w:t>
            </w:r>
            <w:r/>
          </w:p>
          <w:p>
            <w:pPr>
              <w:jc w:val="left"/>
              <w:widowControl/>
              <w:rPr>
                <w:rFonts w:eastAsia="仿宋"/>
                <w:color w:val="auto"/>
                <w:szCs w:val="21"/>
                <w:highlight w:val="none"/>
              </w:rPr>
            </w:pPr>
            <w:r>
              <w:rPr>
                <w:rFonts w:eastAsia="仿宋"/>
                <w:color w:val="auto"/>
                <w:szCs w:val="21"/>
                <w:highlight w:val="none"/>
              </w:rPr>
              <w:t xml:space="preserve">（1）项目实施方案</w:t>
            </w:r>
            <w:r>
              <w:rPr>
                <w:rFonts w:hint="eastAsia" w:eastAsia="仿宋"/>
                <w:color w:val="auto"/>
                <w:szCs w:val="21"/>
                <w:highlight w:val="none"/>
              </w:rPr>
              <w:t xml:space="preserve">全面，组织架构科学，具有良好的进度控制、风险控制管理、质量保障措施、信息安全管理措施、文档管理措施</w:t>
            </w:r>
            <w:r>
              <w:rPr>
                <w:rFonts w:eastAsia="仿宋"/>
                <w:color w:val="auto"/>
                <w:szCs w:val="21"/>
                <w:highlight w:val="none"/>
              </w:rPr>
              <w:t xml:space="preserve">的</w:t>
            </w:r>
            <w:r>
              <w:rPr>
                <w:rFonts w:hint="eastAsia" w:eastAsia="仿宋"/>
                <w:color w:val="auto"/>
                <w:szCs w:val="21"/>
                <w:highlight w:val="none"/>
              </w:rPr>
              <w:t xml:space="preserve">，针对性强</w:t>
            </w:r>
            <w:r>
              <w:rPr>
                <w:rFonts w:eastAsia="仿宋"/>
                <w:color w:val="auto"/>
                <w:szCs w:val="21"/>
                <w:highlight w:val="none"/>
              </w:rPr>
              <w:t xml:space="preserve">，</w:t>
            </w:r>
            <w:r>
              <w:rPr>
                <w:rFonts w:hint="eastAsia" w:eastAsia="仿宋"/>
                <w:color w:val="auto"/>
                <w:szCs w:val="21"/>
                <w:highlight w:val="none"/>
              </w:rPr>
              <w:t xml:space="preserve">监测设备安装调试、数据对接工期计划周密性强的</w:t>
            </w:r>
            <w:r>
              <w:rPr>
                <w:rFonts w:eastAsia="仿宋"/>
                <w:color w:val="auto"/>
                <w:szCs w:val="21"/>
                <w:highlight w:val="none"/>
              </w:rPr>
              <w:t xml:space="preserve">得</w:t>
            </w:r>
            <w:r>
              <w:rPr>
                <w:rFonts w:hint="eastAsia" w:eastAsia="仿宋"/>
                <w:color w:val="auto"/>
                <w:szCs w:val="21"/>
                <w:highlight w:val="none"/>
              </w:rPr>
              <w:t xml:space="preserve">10</w:t>
            </w:r>
            <w:r>
              <w:rPr>
                <w:rFonts w:eastAsia="仿宋"/>
                <w:color w:val="auto"/>
                <w:szCs w:val="21"/>
                <w:highlight w:val="none"/>
              </w:rPr>
              <w:t xml:space="preserve">分；</w:t>
            </w:r>
            <w:r/>
          </w:p>
          <w:p>
            <w:pPr>
              <w:pStyle w:val="1029"/>
              <w:ind w:firstLine="0"/>
              <w:rPr>
                <w:rFonts w:eastAsia="仿宋"/>
                <w:color w:val="auto"/>
                <w:szCs w:val="21"/>
                <w:highlight w:val="none"/>
              </w:rPr>
            </w:pPr>
            <w:r>
              <w:rPr>
                <w:rFonts w:eastAsia="仿宋"/>
                <w:color w:val="auto"/>
                <w:szCs w:val="21"/>
                <w:highlight w:val="none"/>
              </w:rPr>
              <w:t xml:space="preserve">（2）</w:t>
            </w:r>
            <w:r>
              <w:rPr>
                <w:rFonts w:hint="eastAsia" w:eastAsia="仿宋"/>
                <w:color w:val="auto"/>
                <w:szCs w:val="21"/>
                <w:highlight w:val="none"/>
              </w:rPr>
              <w:t xml:space="preserve">方案较完善</w:t>
            </w:r>
            <w:r>
              <w:rPr>
                <w:rFonts w:eastAsia="仿宋"/>
                <w:color w:val="auto"/>
                <w:szCs w:val="21"/>
                <w:highlight w:val="none"/>
              </w:rPr>
              <w:t xml:space="preserve">、</w:t>
            </w:r>
            <w:r>
              <w:rPr>
                <w:rFonts w:hint="eastAsia" w:eastAsia="仿宋"/>
                <w:color w:val="auto"/>
                <w:szCs w:val="21"/>
                <w:highlight w:val="none"/>
              </w:rPr>
              <w:t xml:space="preserve">进度控制得当、</w:t>
            </w:r>
            <w:r>
              <w:rPr>
                <w:rFonts w:eastAsia="仿宋"/>
                <w:color w:val="auto"/>
                <w:szCs w:val="21"/>
                <w:highlight w:val="none"/>
              </w:rPr>
              <w:t xml:space="preserve">质量保障方案基本合理、具有一定</w:t>
            </w:r>
            <w:r>
              <w:rPr>
                <w:rFonts w:hint="eastAsia" w:eastAsia="仿宋"/>
                <w:color w:val="auto"/>
                <w:szCs w:val="21"/>
                <w:highlight w:val="none"/>
              </w:rPr>
              <w:t xml:space="preserve">针对</w:t>
            </w:r>
            <w:r>
              <w:rPr>
                <w:rFonts w:eastAsia="仿宋"/>
                <w:color w:val="auto"/>
                <w:szCs w:val="21"/>
                <w:highlight w:val="none"/>
              </w:rPr>
              <w:t xml:space="preserve">性的，</w:t>
            </w:r>
            <w:r>
              <w:rPr>
                <w:rFonts w:hint="eastAsia" w:eastAsia="仿宋"/>
                <w:color w:val="auto"/>
                <w:szCs w:val="21"/>
                <w:highlight w:val="none"/>
              </w:rPr>
              <w:t xml:space="preserve">监测设备安装调试系统对接进度基本能满足项目需求的</w:t>
            </w:r>
            <w:r>
              <w:rPr>
                <w:rFonts w:eastAsia="仿宋"/>
                <w:color w:val="auto"/>
                <w:szCs w:val="21"/>
                <w:highlight w:val="none"/>
              </w:rPr>
              <w:t xml:space="preserve">得</w:t>
            </w:r>
            <w:r>
              <w:rPr>
                <w:rFonts w:hint="eastAsia" w:eastAsia="仿宋"/>
                <w:color w:val="auto"/>
                <w:szCs w:val="21"/>
                <w:highlight w:val="none"/>
              </w:rPr>
              <w:t xml:space="preserve">7</w:t>
            </w:r>
            <w:r>
              <w:rPr>
                <w:rFonts w:eastAsia="仿宋"/>
                <w:color w:val="auto"/>
                <w:szCs w:val="21"/>
                <w:highlight w:val="none"/>
              </w:rPr>
              <w:t xml:space="preserve">分；</w:t>
            </w:r>
            <w:r/>
          </w:p>
          <w:p>
            <w:pPr>
              <w:pStyle w:val="1029"/>
              <w:ind w:firstLine="0"/>
              <w:rPr>
                <w:rFonts w:eastAsia="仿宋"/>
                <w:color w:val="auto"/>
                <w:szCs w:val="21"/>
                <w:highlight w:val="none"/>
              </w:rPr>
            </w:pPr>
            <w:r>
              <w:rPr>
                <w:rFonts w:eastAsia="仿宋"/>
                <w:color w:val="auto"/>
                <w:szCs w:val="21"/>
                <w:highlight w:val="none"/>
              </w:rPr>
              <w:t xml:space="preserve">（3）项目实施方案、质量保障方案欠合理、可行性欠缺的得</w:t>
            </w:r>
            <w:r>
              <w:rPr>
                <w:rFonts w:hint="eastAsia" w:eastAsia="仿宋"/>
                <w:color w:val="auto"/>
                <w:szCs w:val="21"/>
                <w:highlight w:val="none"/>
              </w:rPr>
              <w:t xml:space="preserve">4</w:t>
            </w:r>
            <w:r>
              <w:rPr>
                <w:rFonts w:eastAsia="仿宋"/>
                <w:color w:val="auto"/>
                <w:szCs w:val="21"/>
                <w:highlight w:val="none"/>
              </w:rPr>
              <w:t xml:space="preserve">分；</w:t>
            </w:r>
            <w:r/>
          </w:p>
          <w:p>
            <w:pPr>
              <w:jc w:val="left"/>
              <w:widowControl/>
              <w:rPr>
                <w:rFonts w:eastAsia="仿宋"/>
                <w:color w:val="auto"/>
                <w:szCs w:val="21"/>
                <w:highlight w:val="none"/>
                <w:lang w:val="zh-CN"/>
              </w:rPr>
            </w:pPr>
            <w:r>
              <w:rPr>
                <w:rFonts w:eastAsia="仿宋"/>
                <w:color w:val="auto"/>
                <w:szCs w:val="21"/>
                <w:highlight w:val="none"/>
              </w:rPr>
              <w:t xml:space="preserve">（4）未提供项目管理及实施方案不得分。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hint="eastAsia" w:eastAsia="仿宋"/>
                <w:color w:val="auto"/>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highlight w:val="none"/>
              </w:rPr>
            </w:pPr>
            <w:r>
              <w:rPr>
                <w:rFonts w:eastAsia="仿宋"/>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highlight w:val="none"/>
              </w:rPr>
            </w:pPr>
            <w:r>
              <w:rPr>
                <w:rFonts w:eastAsia="仿宋"/>
                <w:color w:val="auto"/>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pStyle w:val="1029"/>
              <w:ind w:firstLine="0"/>
              <w:rPr>
                <w:rFonts w:eastAsia="仿宋"/>
                <w:color w:val="auto"/>
                <w:szCs w:val="21"/>
                <w:highlight w:val="none"/>
              </w:rPr>
            </w:pPr>
            <w:r>
              <w:rPr>
                <w:rFonts w:eastAsia="仿宋"/>
                <w:color w:val="auto"/>
                <w:highlight w:val="none"/>
              </w:rPr>
              <w:t xml:space="preserve">2.3</w:t>
            </w:r>
            <w:r>
              <w:rPr>
                <w:rFonts w:hint="eastAsia" w:eastAsia="仿宋"/>
                <w:color w:val="auto"/>
                <w:highlight w:val="none"/>
              </w:rPr>
              <w:t xml:space="preserve">设备、系统</w:t>
            </w:r>
            <w:r>
              <w:rPr>
                <w:rFonts w:eastAsia="仿宋"/>
                <w:b/>
                <w:bCs/>
                <w:color w:val="auto"/>
                <w:szCs w:val="21"/>
                <w:highlight w:val="none"/>
              </w:rPr>
              <w:t xml:space="preserve">运维服务方案</w:t>
            </w:r>
            <w:r>
              <w:rPr>
                <w:rFonts w:eastAsia="仿宋"/>
                <w:color w:val="auto"/>
                <w:szCs w:val="21"/>
                <w:highlight w:val="none"/>
              </w:rPr>
              <w:t xml:space="preserve">：</w:t>
            </w:r>
            <w:r/>
          </w:p>
          <w:p>
            <w:pPr>
              <w:rPr>
                <w:rFonts w:eastAsia="仿宋"/>
                <w:color w:val="auto"/>
                <w:szCs w:val="21"/>
                <w:highlight w:val="none"/>
              </w:rPr>
            </w:pPr>
            <w:r>
              <w:rPr>
                <w:rFonts w:eastAsia="仿宋"/>
                <w:color w:val="auto"/>
                <w:szCs w:val="21"/>
                <w:highlight w:val="none"/>
              </w:rPr>
              <w:t xml:space="preserve">（1）运维方案内容详细、表述完整、可操作性强，</w:t>
            </w:r>
            <w:r>
              <w:rPr>
                <w:rFonts w:hint="eastAsia" w:eastAsia="仿宋"/>
                <w:color w:val="auto"/>
                <w:szCs w:val="21"/>
                <w:highlight w:val="none"/>
              </w:rPr>
              <w:t xml:space="preserve">各岗位职</w:t>
            </w:r>
            <w:r>
              <w:rPr>
                <w:rFonts w:eastAsia="仿宋"/>
                <w:color w:val="auto"/>
                <w:szCs w:val="21"/>
                <w:highlight w:val="none"/>
              </w:rPr>
              <w:t xml:space="preserve">责明确</w:t>
            </w:r>
            <w:r>
              <w:rPr>
                <w:rFonts w:hint="eastAsia" w:eastAsia="仿宋"/>
                <w:color w:val="auto"/>
                <w:szCs w:val="21"/>
                <w:highlight w:val="none"/>
              </w:rPr>
              <w:t xml:space="preserve">，</w:t>
            </w:r>
            <w:r>
              <w:rPr>
                <w:rFonts w:eastAsia="仿宋"/>
                <w:color w:val="auto"/>
                <w:szCs w:val="21"/>
                <w:highlight w:val="none"/>
              </w:rPr>
              <w:t xml:space="preserve">现场管理制度规范，各岗位衔接紧密完全满足采购需求</w:t>
            </w:r>
            <w:r>
              <w:rPr>
                <w:rFonts w:hint="eastAsia" w:eastAsia="仿宋"/>
                <w:color w:val="auto"/>
                <w:szCs w:val="21"/>
                <w:highlight w:val="none"/>
              </w:rPr>
              <w:t xml:space="preserve">、具有</w:t>
            </w:r>
            <w:r>
              <w:rPr>
                <w:rFonts w:hint="eastAsia" w:eastAsia="仿宋"/>
                <w:color w:val="auto"/>
                <w:szCs w:val="21"/>
                <w:highlight w:val="none"/>
                <w:lang w:val="zh-CN"/>
              </w:rPr>
              <w:t xml:space="preserve">科学的运维流程</w:t>
            </w:r>
            <w:r>
              <w:rPr>
                <w:rFonts w:hint="eastAsia" w:eastAsia="仿宋"/>
                <w:color w:val="auto"/>
                <w:szCs w:val="21"/>
                <w:highlight w:val="none"/>
              </w:rPr>
              <w:t xml:space="preserve">和</w:t>
            </w:r>
            <w:r>
              <w:rPr>
                <w:rFonts w:hint="eastAsia" w:eastAsia="仿宋"/>
                <w:color w:val="auto"/>
                <w:szCs w:val="21"/>
                <w:highlight w:val="none"/>
                <w:lang w:val="zh-CN"/>
              </w:rPr>
              <w:t xml:space="preserve">巡检工作流程</w:t>
            </w:r>
            <w:r>
              <w:rPr>
                <w:rFonts w:eastAsia="仿宋"/>
                <w:color w:val="auto"/>
                <w:szCs w:val="21"/>
                <w:highlight w:val="none"/>
              </w:rPr>
              <w:t xml:space="preserve">的得12分；</w:t>
            </w:r>
            <w:r/>
          </w:p>
          <w:p>
            <w:pPr>
              <w:rPr>
                <w:rFonts w:eastAsia="仿宋"/>
                <w:color w:val="auto"/>
                <w:szCs w:val="21"/>
                <w:highlight w:val="none"/>
              </w:rPr>
            </w:pPr>
            <w:r>
              <w:rPr>
                <w:rFonts w:eastAsia="仿宋"/>
                <w:color w:val="auto"/>
                <w:szCs w:val="21"/>
                <w:highlight w:val="none"/>
              </w:rPr>
              <w:t xml:space="preserve">（2）运维方案内容较详细、表述较完整、可操作性较强，责任分工</w:t>
            </w:r>
            <w:r>
              <w:rPr>
                <w:rFonts w:hint="eastAsia" w:eastAsia="仿宋"/>
                <w:color w:val="auto"/>
                <w:szCs w:val="21"/>
                <w:highlight w:val="none"/>
              </w:rPr>
              <w:t xml:space="preserve">基本</w:t>
            </w:r>
            <w:r>
              <w:rPr>
                <w:rFonts w:eastAsia="仿宋"/>
                <w:color w:val="auto"/>
                <w:szCs w:val="21"/>
                <w:highlight w:val="none"/>
              </w:rPr>
              <w:t xml:space="preserve">能够满足采购需求</w:t>
            </w:r>
            <w:r>
              <w:rPr>
                <w:rFonts w:hint="eastAsia" w:eastAsia="仿宋"/>
                <w:color w:val="auto"/>
                <w:szCs w:val="21"/>
                <w:highlight w:val="none"/>
              </w:rPr>
              <w:t xml:space="preserve">、</w:t>
            </w:r>
            <w:r>
              <w:rPr>
                <w:rFonts w:hint="eastAsia" w:eastAsia="仿宋"/>
                <w:color w:val="auto"/>
                <w:szCs w:val="21"/>
                <w:highlight w:val="none"/>
                <w:lang w:val="zh-CN"/>
              </w:rPr>
              <w:t xml:space="preserve">运维流程</w:t>
            </w:r>
            <w:r>
              <w:rPr>
                <w:rFonts w:hint="eastAsia" w:eastAsia="仿宋"/>
                <w:color w:val="auto"/>
                <w:szCs w:val="21"/>
                <w:highlight w:val="none"/>
              </w:rPr>
              <w:t xml:space="preserve">和</w:t>
            </w:r>
            <w:r>
              <w:rPr>
                <w:rFonts w:hint="eastAsia" w:eastAsia="仿宋"/>
                <w:color w:val="auto"/>
                <w:szCs w:val="21"/>
                <w:highlight w:val="none"/>
                <w:lang w:val="zh-CN"/>
              </w:rPr>
              <w:t xml:space="preserve">巡检流程</w:t>
            </w:r>
            <w:r>
              <w:rPr>
                <w:rFonts w:hint="eastAsia" w:eastAsia="仿宋"/>
                <w:color w:val="auto"/>
                <w:szCs w:val="21"/>
                <w:highlight w:val="none"/>
              </w:rPr>
              <w:t xml:space="preserve">较有针对性</w:t>
            </w:r>
            <w:r>
              <w:rPr>
                <w:rFonts w:eastAsia="仿宋"/>
                <w:color w:val="auto"/>
                <w:szCs w:val="21"/>
                <w:highlight w:val="none"/>
              </w:rPr>
              <w:t xml:space="preserve">的得9分；</w:t>
            </w:r>
            <w:r/>
          </w:p>
          <w:p>
            <w:pPr>
              <w:rPr>
                <w:rFonts w:eastAsia="仿宋"/>
                <w:color w:val="auto"/>
                <w:szCs w:val="21"/>
                <w:highlight w:val="none"/>
              </w:rPr>
            </w:pPr>
            <w:r>
              <w:rPr>
                <w:rFonts w:hint="eastAsia" w:eastAsia="仿宋"/>
                <w:color w:val="auto"/>
                <w:szCs w:val="21"/>
                <w:highlight w:val="none"/>
              </w:rPr>
              <w:t xml:space="preserve">（3</w:t>
            </w:r>
            <w:r>
              <w:rPr>
                <w:rFonts w:eastAsia="仿宋"/>
                <w:color w:val="auto"/>
                <w:szCs w:val="21"/>
                <w:highlight w:val="none"/>
              </w:rPr>
              <w:t xml:space="preserve">）运维方案内容简单、表述模糊</w:t>
            </w:r>
            <w:r>
              <w:rPr>
                <w:rFonts w:hint="eastAsia" w:eastAsia="仿宋"/>
                <w:color w:val="auto"/>
                <w:szCs w:val="21"/>
                <w:highlight w:val="none"/>
              </w:rPr>
              <w:t xml:space="preserve">、基本与项目相符</w:t>
            </w:r>
            <w:r>
              <w:rPr>
                <w:rFonts w:eastAsia="仿宋"/>
                <w:color w:val="auto"/>
                <w:szCs w:val="21"/>
                <w:highlight w:val="none"/>
              </w:rPr>
              <w:t xml:space="preserve">的得</w:t>
            </w:r>
            <w:r>
              <w:rPr>
                <w:rFonts w:hint="eastAsia" w:eastAsia="仿宋"/>
                <w:color w:val="auto"/>
                <w:szCs w:val="21"/>
                <w:highlight w:val="none"/>
              </w:rPr>
              <w:t xml:space="preserve">6</w:t>
            </w:r>
            <w:r>
              <w:rPr>
                <w:rFonts w:eastAsia="仿宋"/>
                <w:color w:val="auto"/>
                <w:szCs w:val="21"/>
                <w:highlight w:val="none"/>
              </w:rPr>
              <w:t xml:space="preserve">分；</w:t>
            </w:r>
            <w:r/>
          </w:p>
          <w:p>
            <w:pPr>
              <w:rPr>
                <w:rFonts w:eastAsia="仿宋"/>
                <w:color w:val="auto"/>
                <w:szCs w:val="21"/>
                <w:highlight w:val="none"/>
              </w:rPr>
            </w:pPr>
            <w:r>
              <w:rPr>
                <w:rFonts w:eastAsia="仿宋"/>
                <w:color w:val="auto"/>
                <w:szCs w:val="21"/>
                <w:highlight w:val="none"/>
              </w:rPr>
              <w:t xml:space="preserve">（</w:t>
            </w:r>
            <w:r>
              <w:rPr>
                <w:rFonts w:hint="eastAsia" w:eastAsia="仿宋"/>
                <w:color w:val="auto"/>
                <w:szCs w:val="21"/>
                <w:highlight w:val="none"/>
              </w:rPr>
              <w:t xml:space="preserve">4</w:t>
            </w:r>
            <w:r>
              <w:rPr>
                <w:rFonts w:eastAsia="仿宋"/>
                <w:color w:val="auto"/>
                <w:szCs w:val="21"/>
                <w:highlight w:val="none"/>
              </w:rPr>
              <w:t xml:space="preserve">）运维方案内容较差、可操作性较差，不能满足采购需求的得</w:t>
            </w:r>
            <w:r>
              <w:rPr>
                <w:rFonts w:hint="eastAsia" w:eastAsia="仿宋"/>
                <w:color w:val="auto"/>
                <w:szCs w:val="21"/>
                <w:highlight w:val="none"/>
              </w:rPr>
              <w:t xml:space="preserve">3</w:t>
            </w:r>
            <w:r>
              <w:rPr>
                <w:rFonts w:eastAsia="仿宋"/>
                <w:color w:val="auto"/>
                <w:szCs w:val="21"/>
                <w:highlight w:val="none"/>
              </w:rPr>
              <w:t xml:space="preserve">分</w:t>
            </w:r>
            <w:r>
              <w:rPr>
                <w:rFonts w:eastAsia="仿宋"/>
                <w:color w:val="auto"/>
                <w:szCs w:val="21"/>
                <w:highlight w:val="none"/>
              </w:rPr>
              <w:t xml:space="preserve">；</w:t>
            </w:r>
            <w:r/>
          </w:p>
          <w:p>
            <w:pPr>
              <w:pStyle w:val="830"/>
              <w:ind w:firstLine="0"/>
              <w:spacing w:line="240" w:lineRule="auto"/>
              <w:rPr>
                <w:rFonts w:ascii="Times New Roman" w:hAnsi="Times New Roman" w:eastAsia="仿宋" w:cs="Times New Roman"/>
                <w:color w:val="auto"/>
                <w:sz w:val="21"/>
                <w:szCs w:val="20"/>
                <w:highlight w:val="none"/>
              </w:rPr>
            </w:pPr>
            <w:r>
              <w:rPr>
                <w:rFonts w:ascii="Times New Roman" w:hAnsi="Times New Roman" w:eastAsia="仿宋" w:cs="Times New Roman"/>
                <w:color w:val="auto"/>
                <w:sz w:val="21"/>
                <w:szCs w:val="21"/>
                <w:highlight w:val="none"/>
              </w:rPr>
              <w:t xml:space="preserve">（</w:t>
            </w:r>
            <w:r>
              <w:rPr>
                <w:rFonts w:hint="eastAsia" w:ascii="Times New Roman" w:hAnsi="Times New Roman" w:eastAsia="仿宋" w:cs="Times New Roman"/>
                <w:color w:val="auto"/>
                <w:sz w:val="21"/>
                <w:szCs w:val="21"/>
                <w:highlight w:val="none"/>
              </w:rPr>
              <w:t xml:space="preserve">5</w:t>
            </w:r>
            <w:r>
              <w:rPr>
                <w:rFonts w:ascii="Times New Roman" w:hAnsi="Times New Roman" w:eastAsia="仿宋" w:cs="Times New Roman"/>
                <w:color w:val="auto"/>
                <w:sz w:val="21"/>
                <w:szCs w:val="21"/>
                <w:highlight w:val="none"/>
              </w:rPr>
              <w:t xml:space="preserve">）未提供</w:t>
            </w:r>
            <w:r>
              <w:rPr>
                <w:rFonts w:hint="eastAsia" w:ascii="Times New Roman" w:hAnsi="Times New Roman" w:eastAsia="仿宋" w:cs="Times New Roman"/>
                <w:color w:val="auto"/>
                <w:sz w:val="21"/>
                <w:szCs w:val="21"/>
                <w:highlight w:val="none"/>
              </w:rPr>
              <w:t xml:space="preserve">运维方案的</w:t>
            </w:r>
            <w:r>
              <w:rPr>
                <w:rFonts w:ascii="Times New Roman" w:hAnsi="Times New Roman" w:eastAsia="仿宋" w:cs="Times New Roman"/>
                <w:color w:val="auto"/>
                <w:sz w:val="21"/>
                <w:szCs w:val="21"/>
                <w:highlight w:val="none"/>
              </w:rPr>
              <w:t xml:space="preserve">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highlight w:val="none"/>
              </w:rPr>
              <w:t xml:space="preserve">2.4</w:t>
            </w:r>
            <w:r>
              <w:rPr>
                <w:rFonts w:hint="eastAsia" w:eastAsia="仿宋"/>
                <w:color w:val="auto"/>
                <w:highlight w:val="none"/>
              </w:rPr>
              <w:t xml:space="preserve">培训方案：</w:t>
            </w:r>
            <w:r>
              <w:rPr>
                <w:rFonts w:hint="eastAsia" w:eastAsia="仿宋"/>
                <w:color w:val="auto"/>
                <w:szCs w:val="21"/>
                <w:highlight w:val="none"/>
              </w:rPr>
              <w:t xml:space="preserve">（包括但不限于采购人、企业的管理人员、操作人员及维护人员对系统或APP操作进行培训，培训内容、培训承诺等）：</w:t>
            </w:r>
            <w:r/>
          </w:p>
          <w:p>
            <w:pPr>
              <w:rPr>
                <w:rFonts w:eastAsia="仿宋"/>
                <w:color w:val="auto"/>
                <w:szCs w:val="21"/>
                <w:highlight w:val="none"/>
              </w:rPr>
            </w:pPr>
            <w:r>
              <w:rPr>
                <w:rFonts w:hint="eastAsia" w:eastAsia="仿宋"/>
                <w:color w:val="auto"/>
                <w:szCs w:val="21"/>
                <w:highlight w:val="none"/>
              </w:rPr>
              <w:t xml:space="preserve">（1）培训方案科学，</w:t>
            </w:r>
            <w:r>
              <w:rPr>
                <w:rFonts w:eastAsia="仿宋"/>
                <w:color w:val="auto"/>
                <w:highlight w:val="none"/>
              </w:rPr>
              <w:t xml:space="preserve">培训计划和培训内容详细</w:t>
            </w:r>
            <w:r>
              <w:rPr>
                <w:rFonts w:hint="eastAsia" w:eastAsia="仿宋"/>
                <w:color w:val="auto"/>
                <w:szCs w:val="21"/>
                <w:highlight w:val="none"/>
              </w:rPr>
              <w:t xml:space="preserve">，对不同企业及人群的培训方式灵活多样，目标及效果明确，</w:t>
            </w:r>
            <w:r>
              <w:rPr>
                <w:rFonts w:eastAsia="仿宋"/>
                <w:color w:val="auto"/>
                <w:highlight w:val="none"/>
              </w:rPr>
              <w:t xml:space="preserve">培训师资配备充足</w:t>
            </w:r>
            <w:r>
              <w:rPr>
                <w:rFonts w:hint="eastAsia" w:eastAsia="仿宋"/>
                <w:color w:val="auto"/>
                <w:highlight w:val="none"/>
              </w:rPr>
              <w:t xml:space="preserve">的</w:t>
            </w:r>
            <w:r>
              <w:rPr>
                <w:rFonts w:hint="eastAsia" w:eastAsia="仿宋"/>
                <w:color w:val="auto"/>
                <w:szCs w:val="21"/>
                <w:highlight w:val="none"/>
              </w:rPr>
              <w:t xml:space="preserve">得</w:t>
            </w:r>
            <w:r>
              <w:rPr>
                <w:rFonts w:eastAsia="仿宋"/>
                <w:color w:val="auto"/>
                <w:szCs w:val="21"/>
                <w:highlight w:val="none"/>
              </w:rPr>
              <w:t xml:space="preserve">10</w:t>
            </w:r>
            <w:r>
              <w:rPr>
                <w:rFonts w:hint="eastAsia" w:eastAsia="仿宋"/>
                <w:color w:val="auto"/>
                <w:szCs w:val="21"/>
                <w:highlight w:val="none"/>
              </w:rPr>
              <w:t xml:space="preserve">分；</w:t>
            </w:r>
            <w:r/>
          </w:p>
          <w:p>
            <w:pPr>
              <w:rPr>
                <w:rFonts w:eastAsia="仿宋"/>
                <w:color w:val="auto"/>
                <w:szCs w:val="21"/>
                <w:highlight w:val="none"/>
              </w:rPr>
            </w:pPr>
            <w:r>
              <w:rPr>
                <w:rFonts w:hint="eastAsia" w:eastAsia="仿宋"/>
                <w:color w:val="auto"/>
                <w:szCs w:val="21"/>
                <w:highlight w:val="none"/>
              </w:rPr>
              <w:t xml:space="preserve">（2）培训方案较科学，</w:t>
            </w:r>
            <w:r>
              <w:rPr>
                <w:rFonts w:eastAsia="仿宋"/>
                <w:color w:val="auto"/>
                <w:highlight w:val="none"/>
              </w:rPr>
              <w:t xml:space="preserve">培训计划和培训内容较详细</w:t>
            </w:r>
            <w:r>
              <w:rPr>
                <w:rFonts w:hint="eastAsia" w:eastAsia="仿宋"/>
                <w:color w:val="auto"/>
                <w:szCs w:val="21"/>
                <w:highlight w:val="none"/>
              </w:rPr>
              <w:t xml:space="preserve">，</w:t>
            </w:r>
            <w:r>
              <w:rPr>
                <w:rFonts w:eastAsia="仿宋"/>
                <w:color w:val="auto"/>
                <w:highlight w:val="none"/>
              </w:rPr>
              <w:t xml:space="preserve">培训师资配备较充足</w:t>
            </w:r>
            <w:r>
              <w:rPr>
                <w:rFonts w:hint="eastAsia" w:eastAsia="仿宋"/>
                <w:color w:val="auto"/>
                <w:highlight w:val="none"/>
              </w:rPr>
              <w:t xml:space="preserve">，</w:t>
            </w:r>
            <w:r>
              <w:rPr>
                <w:rFonts w:hint="eastAsia" w:eastAsia="仿宋"/>
                <w:color w:val="auto"/>
                <w:szCs w:val="21"/>
                <w:highlight w:val="none"/>
              </w:rPr>
              <w:t xml:space="preserve">目标及效果较明确的得7分；</w:t>
            </w:r>
            <w:r/>
          </w:p>
          <w:p>
            <w:pPr>
              <w:rPr>
                <w:rFonts w:eastAsia="仿宋"/>
                <w:color w:val="auto"/>
                <w:szCs w:val="21"/>
                <w:highlight w:val="none"/>
              </w:rPr>
            </w:pPr>
            <w:r>
              <w:rPr>
                <w:rFonts w:hint="eastAsia" w:eastAsia="仿宋"/>
                <w:color w:val="auto"/>
                <w:szCs w:val="21"/>
                <w:highlight w:val="none"/>
              </w:rPr>
              <w:t xml:space="preserve">（3）培训方案基本合理的，基本能满足采购需求得4分；</w:t>
            </w:r>
            <w:r/>
          </w:p>
          <w:p>
            <w:pPr>
              <w:rPr>
                <w:rFonts w:eastAsia="仿宋"/>
                <w:color w:val="auto"/>
                <w:szCs w:val="21"/>
                <w:highlight w:val="none"/>
              </w:rPr>
            </w:pPr>
            <w:r>
              <w:rPr>
                <w:rFonts w:hint="eastAsia" w:eastAsia="仿宋"/>
                <w:color w:val="auto"/>
                <w:szCs w:val="21"/>
                <w:highlight w:val="none"/>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eastAsia="仿宋"/>
                <w:color w:val="auto"/>
                <w:szCs w:val="21"/>
                <w:highlight w:val="none"/>
              </w:rPr>
            </w:pPr>
            <w:r>
              <w:rPr>
                <w:rFonts w:eastAsia="仿宋"/>
                <w:color w:val="auto"/>
                <w:highlight w:val="none"/>
              </w:rPr>
              <w:t xml:space="preserve">2.5</w:t>
            </w:r>
            <w:r>
              <w:rPr>
                <w:rFonts w:eastAsia="仿宋"/>
                <w:color w:val="auto"/>
                <w:szCs w:val="21"/>
                <w:highlight w:val="none"/>
              </w:rPr>
              <w:t xml:space="preserve">售后服务方案（包含但不限于售后服务承诺、保障措施及维护响应计划</w:t>
            </w:r>
            <w:r>
              <w:rPr>
                <w:rFonts w:hint="eastAsia" w:eastAsia="仿宋"/>
                <w:color w:val="auto"/>
                <w:szCs w:val="21"/>
                <w:highlight w:val="none"/>
              </w:rPr>
              <w:t xml:space="preserve">、</w:t>
            </w:r>
            <w:r>
              <w:rPr>
                <w:rFonts w:eastAsia="仿宋"/>
                <w:color w:val="auto"/>
                <w:highlight w:val="none"/>
              </w:rPr>
              <w:t xml:space="preserve">应急保障人力及物资安排</w:t>
            </w:r>
            <w:r>
              <w:rPr>
                <w:rFonts w:eastAsia="仿宋"/>
                <w:color w:val="auto"/>
                <w:szCs w:val="21"/>
                <w:highlight w:val="none"/>
              </w:rPr>
              <w:t xml:space="preserve">等）</w:t>
            </w:r>
            <w:r/>
          </w:p>
          <w:p>
            <w:pPr>
              <w:rPr>
                <w:rFonts w:eastAsia="仿宋"/>
                <w:color w:val="auto"/>
                <w:szCs w:val="21"/>
                <w:highlight w:val="none"/>
              </w:rPr>
            </w:pPr>
            <w:r>
              <w:rPr>
                <w:rFonts w:eastAsia="仿宋"/>
                <w:color w:val="auto"/>
                <w:szCs w:val="21"/>
                <w:highlight w:val="none"/>
              </w:rPr>
              <w:t xml:space="preserve">（1）售后服务方案、措施、保障体系内容完善、针对性强、切实可行，应答响应时间</w:t>
            </w:r>
            <w:r>
              <w:rPr>
                <w:rFonts w:hint="eastAsia" w:eastAsia="仿宋"/>
                <w:color w:val="auto"/>
                <w:szCs w:val="21"/>
                <w:highlight w:val="none"/>
              </w:rPr>
              <w:t xml:space="preserve">速度，</w:t>
            </w:r>
            <w:r>
              <w:rPr>
                <w:rFonts w:eastAsia="仿宋"/>
                <w:color w:val="auto"/>
                <w:highlight w:val="none"/>
              </w:rPr>
              <w:t xml:space="preserve">应急保障人力及物资安排</w:t>
            </w:r>
            <w:r>
              <w:rPr>
                <w:rFonts w:hint="eastAsia" w:eastAsia="仿宋"/>
                <w:color w:val="auto"/>
                <w:highlight w:val="none"/>
              </w:rPr>
              <w:t xml:space="preserve">充足</w:t>
            </w:r>
            <w:r>
              <w:rPr>
                <w:rFonts w:eastAsia="仿宋"/>
                <w:color w:val="auto"/>
                <w:szCs w:val="21"/>
                <w:highlight w:val="none"/>
              </w:rPr>
              <w:t xml:space="preserve">的得10分；</w:t>
            </w:r>
            <w:r/>
          </w:p>
          <w:p>
            <w:pPr>
              <w:rPr>
                <w:rFonts w:eastAsia="仿宋"/>
                <w:color w:val="auto"/>
                <w:szCs w:val="21"/>
                <w:highlight w:val="none"/>
              </w:rPr>
            </w:pPr>
            <w:r>
              <w:rPr>
                <w:rFonts w:eastAsia="仿宋"/>
                <w:color w:val="auto"/>
                <w:szCs w:val="21"/>
                <w:highlight w:val="none"/>
              </w:rPr>
              <w:t xml:space="preserve">（2）售后服务方案针对性较强、</w:t>
            </w:r>
            <w:r>
              <w:rPr>
                <w:rFonts w:hint="eastAsia" w:eastAsia="仿宋"/>
                <w:color w:val="auto"/>
                <w:szCs w:val="21"/>
                <w:highlight w:val="none"/>
              </w:rPr>
              <w:t xml:space="preserve">服务流程及内容较具体、</w:t>
            </w:r>
            <w:r>
              <w:rPr>
                <w:rFonts w:eastAsia="仿宋"/>
                <w:color w:val="auto"/>
                <w:highlight w:val="none"/>
              </w:rPr>
              <w:t xml:space="preserve">应急保障人力及物资</w:t>
            </w:r>
            <w:r>
              <w:rPr>
                <w:rFonts w:hint="eastAsia" w:eastAsia="仿宋"/>
                <w:color w:val="auto"/>
                <w:highlight w:val="none"/>
              </w:rPr>
              <w:t xml:space="preserve">准备较充足</w:t>
            </w:r>
            <w:r>
              <w:rPr>
                <w:rFonts w:hint="eastAsia" w:eastAsia="仿宋"/>
                <w:color w:val="auto"/>
                <w:szCs w:val="21"/>
                <w:highlight w:val="none"/>
              </w:rPr>
              <w:t xml:space="preserve">的</w:t>
            </w:r>
            <w:r>
              <w:rPr>
                <w:rFonts w:eastAsia="仿宋"/>
                <w:color w:val="auto"/>
                <w:szCs w:val="21"/>
                <w:highlight w:val="none"/>
              </w:rPr>
              <w:t xml:space="preserve">得7分；</w:t>
            </w:r>
            <w:r/>
          </w:p>
          <w:p>
            <w:pPr>
              <w:rPr>
                <w:rFonts w:eastAsia="仿宋"/>
                <w:color w:val="auto"/>
                <w:szCs w:val="21"/>
                <w:highlight w:val="none"/>
              </w:rPr>
            </w:pPr>
            <w:r>
              <w:rPr>
                <w:rFonts w:eastAsia="仿宋"/>
                <w:color w:val="auto"/>
                <w:szCs w:val="21"/>
                <w:highlight w:val="none"/>
              </w:rPr>
              <w:t xml:space="preserve">（3）有基本服务流程及内容，响应时间、服务人员匹配基本满足需求</w:t>
            </w:r>
            <w:r>
              <w:rPr>
                <w:rFonts w:hint="eastAsia" w:eastAsia="仿宋"/>
                <w:color w:val="auto"/>
                <w:szCs w:val="21"/>
                <w:highlight w:val="none"/>
              </w:rPr>
              <w:t xml:space="preserve">的</w:t>
            </w:r>
            <w:r>
              <w:rPr>
                <w:rFonts w:eastAsia="仿宋"/>
                <w:color w:val="auto"/>
                <w:szCs w:val="21"/>
                <w:highlight w:val="none"/>
              </w:rPr>
              <w:t xml:space="preserve">得4分；</w:t>
            </w:r>
            <w:r/>
          </w:p>
          <w:p>
            <w:pPr>
              <w:rPr>
                <w:rFonts w:eastAsia="仿宋"/>
                <w:color w:val="auto"/>
                <w:highlight w:val="none"/>
              </w:rPr>
            </w:pPr>
            <w:r>
              <w:rPr>
                <w:rFonts w:eastAsia="仿宋"/>
                <w:color w:val="auto"/>
                <w:szCs w:val="21"/>
                <w:highlight w:val="none"/>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企业业绩</w:t>
            </w:r>
            <w:r/>
          </w:p>
          <w:p>
            <w:pPr>
              <w:jc w:val="center"/>
              <w:rPr>
                <w:rFonts w:eastAsia="仿宋"/>
                <w:color w:val="auto"/>
                <w:highlight w:val="none"/>
              </w:rPr>
            </w:pPr>
            <w:r>
              <w:rPr>
                <w:rFonts w:eastAsia="仿宋"/>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1029"/>
              <w:ind w:firstLine="0"/>
              <w:rPr>
                <w:rFonts w:eastAsia="仿宋"/>
                <w:color w:val="auto"/>
                <w:szCs w:val="21"/>
                <w:highlight w:val="none"/>
              </w:rPr>
            </w:pPr>
            <w:r>
              <w:rPr>
                <w:rFonts w:hint="eastAsia" w:eastAsia="仿宋"/>
                <w:color w:val="auto"/>
                <w:szCs w:val="21"/>
                <w:highlight w:val="none"/>
              </w:rPr>
              <w:t xml:space="preserve">供应商</w:t>
            </w:r>
            <w:r>
              <w:rPr>
                <w:rFonts w:eastAsia="仿宋"/>
                <w:color w:val="auto"/>
                <w:szCs w:val="21"/>
                <w:highlight w:val="none"/>
              </w:rPr>
              <w:t xml:space="preserve">提供2021年1月1日以来完成的类似项目的业绩（服务内容至少包含：餐饮油烟或VOCs在线监测运维或服务等），每提供1个得3分，最多得9分。</w:t>
            </w:r>
            <w:r/>
          </w:p>
          <w:p>
            <w:pPr>
              <w:jc w:val="left"/>
              <w:rPr>
                <w:rFonts w:eastAsia="仿宋"/>
                <w:color w:val="auto"/>
                <w:szCs w:val="21"/>
                <w:highlight w:val="none"/>
                <w:lang w:val="zh-CN"/>
              </w:rPr>
            </w:pPr>
            <w:r>
              <w:rPr>
                <w:rFonts w:eastAsia="仿宋"/>
                <w:color w:val="auto"/>
                <w:szCs w:val="21"/>
                <w:highlight w:val="none"/>
              </w:rPr>
              <w:t xml:space="preserve">（提供合同复印件加盖电子公章，合同须能反映项目名称、主要标的物，签订时间和签章清晰可见，否则视为未提供）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客观分</w:t>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pStyle w:val="838"/>
              <w:rPr>
                <w:rFonts w:eastAsia="仿宋"/>
                <w:b w:val="0"/>
                <w:bCs w:val="0"/>
                <w:color w:val="auto"/>
                <w:sz w:val="21"/>
                <w:szCs w:val="21"/>
                <w:highlight w:val="none"/>
              </w:rPr>
            </w:pPr>
            <w:r>
              <w:rPr>
                <w:rFonts w:eastAsia="仿宋"/>
                <w:b w:val="0"/>
                <w:bCs w:val="0"/>
                <w:color w:val="auto"/>
                <w:sz w:val="21"/>
                <w:szCs w:val="21"/>
                <w:highlight w:val="none"/>
              </w:rPr>
              <w:t xml:space="preserve">监测系统及</w:t>
            </w:r>
            <w:r>
              <w:rPr>
                <w:rFonts w:hint="eastAsia" w:eastAsia="仿宋"/>
                <w:b w:val="0"/>
                <w:bCs w:val="0"/>
                <w:color w:val="auto"/>
                <w:sz w:val="21"/>
                <w:szCs w:val="21"/>
                <w:highlight w:val="none"/>
              </w:rPr>
              <w:t xml:space="preserve">监测</w:t>
            </w:r>
            <w:r>
              <w:rPr>
                <w:rFonts w:eastAsia="仿宋"/>
                <w:b w:val="0"/>
                <w:bCs w:val="0"/>
                <w:color w:val="auto"/>
                <w:sz w:val="21"/>
                <w:szCs w:val="21"/>
                <w:highlight w:val="none"/>
              </w:rPr>
              <w:t xml:space="preserve">设备</w:t>
            </w:r>
            <w:r/>
          </w:p>
          <w:p>
            <w:pPr>
              <w:pStyle w:val="838"/>
              <w:rPr>
                <w:rFonts w:eastAsia="仿宋"/>
                <w:b w:val="0"/>
                <w:bCs w:val="0"/>
                <w:color w:val="auto"/>
                <w:sz w:val="21"/>
                <w:szCs w:val="21"/>
                <w:highlight w:val="none"/>
              </w:rPr>
            </w:pPr>
            <w:r>
              <w:rPr>
                <w:rFonts w:eastAsia="仿宋"/>
                <w:color w:val="auto"/>
                <w:sz w:val="21"/>
                <w:szCs w:val="21"/>
                <w:highlight w:val="none"/>
              </w:rPr>
              <w:t xml:space="preserve">（</w:t>
            </w:r>
            <w:r>
              <w:rPr>
                <w:rFonts w:eastAsia="仿宋"/>
                <w:b w:val="0"/>
                <w:bCs w:val="0"/>
                <w:color w:val="auto"/>
                <w:sz w:val="21"/>
                <w:szCs w:val="21"/>
                <w:highlight w:val="none"/>
              </w:rPr>
              <w:t xml:space="preserve">15分）</w:t>
            </w:r>
            <w:r/>
          </w:p>
          <w:p>
            <w:pPr>
              <w:jc w:val="center"/>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eastAsia="仿宋"/>
                <w:color w:val="auto"/>
                <w:szCs w:val="21"/>
                <w:highlight w:val="none"/>
              </w:rPr>
            </w:pPr>
            <w:r>
              <w:rPr>
                <w:rFonts w:hint="eastAsia" w:eastAsia="仿宋"/>
                <w:color w:val="auto"/>
                <w:szCs w:val="21"/>
                <w:highlight w:val="none"/>
              </w:rPr>
              <w:t xml:space="preserve">供应商</w:t>
            </w:r>
            <w:r>
              <w:rPr>
                <w:rFonts w:eastAsia="仿宋"/>
                <w:color w:val="auto"/>
                <w:szCs w:val="21"/>
                <w:highlight w:val="none"/>
              </w:rPr>
              <w:t xml:space="preserve">所投入</w:t>
            </w:r>
            <w:r>
              <w:rPr>
                <w:rFonts w:hint="eastAsia" w:eastAsia="仿宋"/>
                <w:color w:val="auto"/>
                <w:szCs w:val="21"/>
                <w:highlight w:val="none"/>
              </w:rPr>
              <w:t xml:space="preserve">使用的</w:t>
            </w:r>
            <w:r>
              <w:rPr>
                <w:rFonts w:eastAsia="仿宋"/>
                <w:color w:val="auto"/>
                <w:szCs w:val="21"/>
                <w:highlight w:val="none"/>
              </w:rPr>
              <w:t xml:space="preserve">监测系统及</w:t>
            </w:r>
            <w:r>
              <w:rPr>
                <w:rFonts w:hint="eastAsia" w:eastAsia="仿宋"/>
                <w:color w:val="auto"/>
                <w:szCs w:val="21"/>
                <w:highlight w:val="none"/>
              </w:rPr>
              <w:t xml:space="preserve">监测</w:t>
            </w:r>
            <w:r>
              <w:rPr>
                <w:rFonts w:eastAsia="仿宋"/>
                <w:color w:val="auto"/>
                <w:szCs w:val="21"/>
                <w:highlight w:val="none"/>
              </w:rPr>
              <w:t xml:space="preserve">设备的技术</w:t>
            </w:r>
            <w:r>
              <w:rPr>
                <w:rFonts w:hint="eastAsia" w:eastAsia="仿宋"/>
                <w:color w:val="auto"/>
                <w:szCs w:val="21"/>
                <w:highlight w:val="none"/>
              </w:rPr>
              <w:t xml:space="preserve">参数</w:t>
            </w:r>
            <w:r>
              <w:rPr>
                <w:rFonts w:eastAsia="仿宋"/>
                <w:color w:val="auto"/>
                <w:szCs w:val="21"/>
                <w:highlight w:val="none"/>
              </w:rPr>
              <w:t xml:space="preserve">全部满足</w:t>
            </w:r>
            <w:r>
              <w:rPr>
                <w:rFonts w:hint="eastAsia" w:eastAsia="仿宋"/>
                <w:color w:val="auto"/>
                <w:szCs w:val="21"/>
                <w:highlight w:val="none"/>
              </w:rPr>
              <w:t xml:space="preserve">采购</w:t>
            </w:r>
            <w:r>
              <w:rPr>
                <w:rFonts w:eastAsia="仿宋"/>
                <w:color w:val="auto"/>
                <w:szCs w:val="21"/>
                <w:highlight w:val="none"/>
              </w:rPr>
              <w:t xml:space="preserve">文件要求的得满分</w:t>
            </w:r>
            <w:r>
              <w:rPr>
                <w:rFonts w:hint="eastAsia" w:eastAsia="仿宋"/>
                <w:color w:val="auto"/>
                <w:szCs w:val="21"/>
                <w:highlight w:val="none"/>
              </w:rPr>
              <w:t xml:space="preserve">15</w:t>
            </w:r>
            <w:r>
              <w:rPr>
                <w:rFonts w:eastAsia="仿宋"/>
                <w:color w:val="auto"/>
                <w:szCs w:val="21"/>
                <w:highlight w:val="none"/>
              </w:rPr>
              <w:t xml:space="preserve">分</w:t>
            </w:r>
            <w:r>
              <w:rPr>
                <w:rFonts w:hint="eastAsia" w:eastAsia="仿宋"/>
                <w:color w:val="auto"/>
                <w:szCs w:val="21"/>
                <w:highlight w:val="none"/>
              </w:rPr>
              <w:t xml:space="preserve">；其中</w:t>
            </w:r>
            <w:r>
              <w:rPr>
                <w:rFonts w:eastAsia="仿宋"/>
                <w:color w:val="auto"/>
                <w:szCs w:val="21"/>
                <w:highlight w:val="none"/>
              </w:rPr>
              <w:t xml:space="preserve">带▲符号为重要性要求，有一项负偏离扣1分；其他技术参数项有一项负偏离扣0.2分，扣完为止。供应商必须提供《技术条款偏离表》（表格中必须详细阐述每一项参数的响应情况，并以醒目方式标注各参数），参数中如需要提供相关证明材料，需要在投标文件中提供相关证明材料，未按要求提供或未完全列出偏离情况的视为负偏离。</w:t>
            </w:r>
            <w:r/>
          </w:p>
        </w:tc>
        <w:tc>
          <w:tcPr>
            <w:tcBorders>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15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jc w:val="center"/>
          <w:trHeight w:val="699"/>
          <w:tblHeader/>
        </w:trPr>
        <w:tc>
          <w:tcPr>
            <w:tcBorders>
              <w:left w:val="single" w:color="auto" w:sz="4" w:space="0"/>
              <w:right w:val="single" w:color="auto" w:sz="4" w:space="0"/>
            </w:tcBorders>
            <w:tcW w:w="690" w:type="dxa"/>
            <w:vAlign w:val="center"/>
            <w:vMerge w:val="restart"/>
            <w:textDirection w:val="lrTb"/>
            <w:noWrap w:val="false"/>
          </w:tcPr>
          <w:p>
            <w:pPr>
              <w:jc w:val="center"/>
              <w:rPr>
                <w:rFonts w:eastAsia="仿宋"/>
                <w:color w:val="auto"/>
                <w:szCs w:val="21"/>
                <w:highlight w:val="none"/>
              </w:rPr>
            </w:pPr>
            <w:r>
              <w:rPr>
                <w:rFonts w:eastAsia="仿宋"/>
                <w:color w:val="auto"/>
                <w:szCs w:val="21"/>
                <w:highlight w:val="none"/>
              </w:rPr>
              <w:t xml:space="preserve">5</w:t>
            </w:r>
            <w:r/>
          </w:p>
        </w:tc>
        <w:tc>
          <w:tcPr>
            <w:tcBorders>
              <w:left w:val="single" w:color="auto" w:sz="4" w:space="0"/>
              <w:right w:val="single" w:color="auto" w:sz="4" w:space="0"/>
            </w:tcBorders>
            <w:tcW w:w="1230" w:type="dxa"/>
            <w:vAlign w:val="center"/>
            <w:vMerge w:val="restart"/>
            <w:textDirection w:val="lrTb"/>
            <w:noWrap w:val="false"/>
          </w:tcPr>
          <w:p>
            <w:pPr>
              <w:jc w:val="center"/>
              <w:widowControl/>
              <w:rPr>
                <w:rFonts w:eastAsia="仿宋"/>
                <w:color w:val="auto"/>
                <w:szCs w:val="21"/>
                <w:highlight w:val="none"/>
              </w:rPr>
            </w:pPr>
            <w:r>
              <w:rPr>
                <w:rFonts w:eastAsia="仿宋"/>
                <w:color w:val="auto"/>
                <w:szCs w:val="21"/>
                <w:highlight w:val="none"/>
              </w:rPr>
              <w:t xml:space="preserve">服务保障（</w:t>
            </w:r>
            <w:r>
              <w:rPr>
                <w:rFonts w:hint="eastAsia" w:eastAsia="仿宋"/>
                <w:color w:val="auto"/>
                <w:szCs w:val="21"/>
                <w:highlight w:val="none"/>
              </w:rPr>
              <w:t xml:space="preserve">12</w:t>
            </w:r>
            <w:r>
              <w:rPr>
                <w:rFonts w:eastAsia="仿宋"/>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1029"/>
              <w:ind w:firstLine="0"/>
              <w:rPr>
                <w:rFonts w:eastAsia="仿宋"/>
                <w:color w:val="auto"/>
                <w:szCs w:val="21"/>
                <w:highlight w:val="none"/>
              </w:rPr>
            </w:pPr>
            <w:r>
              <w:rPr>
                <w:rFonts w:hint="eastAsia" w:eastAsia="仿宋"/>
                <w:color w:val="auto"/>
                <w:szCs w:val="21"/>
                <w:highlight w:val="none"/>
              </w:rPr>
              <w:t xml:space="preserve">4.1</w:t>
            </w:r>
            <w:r>
              <w:rPr>
                <w:rFonts w:eastAsia="仿宋"/>
                <w:color w:val="auto"/>
                <w:szCs w:val="21"/>
                <w:highlight w:val="none"/>
              </w:rPr>
              <w:t xml:space="preserve">供应商提供服务的在线监测系统或APP软件具有油烟在线监测类软</w:t>
            </w:r>
            <w:r>
              <w:rPr>
                <w:rFonts w:hint="eastAsia" w:eastAsia="仿宋"/>
                <w:color w:val="auto"/>
                <w:szCs w:val="21"/>
                <w:highlight w:val="none"/>
              </w:rPr>
              <w:t xml:space="preserve">件</w:t>
            </w:r>
            <w:r>
              <w:rPr>
                <w:rFonts w:eastAsia="仿宋"/>
                <w:color w:val="auto"/>
                <w:szCs w:val="21"/>
                <w:highlight w:val="none"/>
              </w:rPr>
              <w:t xml:space="preserve">著作权证书的得3分；</w:t>
            </w:r>
            <w:r/>
          </w:p>
          <w:p>
            <w:pPr>
              <w:pStyle w:val="1029"/>
              <w:ind w:firstLine="0"/>
              <w:rPr>
                <w:rFonts w:eastAsia="仿宋"/>
                <w:color w:val="auto"/>
                <w:szCs w:val="21"/>
                <w:highlight w:val="none"/>
              </w:rPr>
            </w:pPr>
            <w:r>
              <w:rPr>
                <w:rFonts w:eastAsia="仿宋"/>
                <w:color w:val="auto"/>
                <w:szCs w:val="21"/>
                <w:highlight w:val="none"/>
              </w:rPr>
              <w:t xml:space="preserve">4.</w:t>
            </w:r>
            <w:r>
              <w:rPr>
                <w:rFonts w:hint="eastAsia" w:eastAsia="仿宋"/>
                <w:color w:val="auto"/>
                <w:szCs w:val="21"/>
                <w:highlight w:val="none"/>
              </w:rPr>
              <w:t xml:space="preserve">2</w:t>
            </w:r>
            <w:r>
              <w:rPr>
                <w:rFonts w:eastAsia="仿宋"/>
                <w:color w:val="auto"/>
                <w:szCs w:val="21"/>
                <w:highlight w:val="none"/>
              </w:rPr>
              <w:t xml:space="preserve">供应商提供服务的在线监测系统或APP软件具有VOCs在线监测类软件著作权的得3分。</w:t>
            </w:r>
            <w:r/>
          </w:p>
          <w:p>
            <w:pPr>
              <w:pStyle w:val="1029"/>
              <w:ind w:firstLine="0"/>
              <w:rPr>
                <w:rFonts w:eastAsia="仿宋"/>
                <w:color w:val="auto"/>
                <w:szCs w:val="21"/>
                <w:highlight w:val="none"/>
              </w:rPr>
            </w:pPr>
            <w:r>
              <w:rPr>
                <w:rFonts w:eastAsia="仿宋"/>
                <w:color w:val="auto"/>
                <w:szCs w:val="21"/>
                <w:highlight w:val="none"/>
              </w:rPr>
              <w:t xml:space="preserve">4.</w:t>
            </w:r>
            <w:r>
              <w:rPr>
                <w:rFonts w:hint="eastAsia" w:eastAsia="仿宋"/>
                <w:color w:val="auto"/>
                <w:szCs w:val="21"/>
                <w:highlight w:val="none"/>
              </w:rPr>
              <w:t xml:space="preserve">3</w:t>
            </w:r>
            <w:r>
              <w:rPr>
                <w:rFonts w:eastAsia="仿宋"/>
                <w:color w:val="auto"/>
                <w:szCs w:val="21"/>
                <w:highlight w:val="none"/>
              </w:rPr>
              <w:t xml:space="preserve">供应商具有ITSS信息技术服务运行维护标准证书且在有效期内的得3分。</w:t>
            </w:r>
            <w:r/>
          </w:p>
          <w:p>
            <w:pPr>
              <w:pStyle w:val="1029"/>
              <w:ind w:firstLine="0"/>
              <w:rPr>
                <w:rFonts w:eastAsia="仿宋"/>
                <w:color w:val="auto"/>
                <w:szCs w:val="21"/>
                <w:highlight w:val="none"/>
              </w:rPr>
            </w:pPr>
            <w:r>
              <w:rPr>
                <w:rFonts w:eastAsia="仿宋"/>
                <w:color w:val="auto"/>
                <w:szCs w:val="21"/>
                <w:highlight w:val="none"/>
              </w:rPr>
              <w:t xml:space="preserve">（提供相关证书复印件加盖电子公章</w:t>
            </w:r>
            <w:r>
              <w:rPr>
                <w:rFonts w:hint="eastAsia" w:eastAsia="仿宋"/>
                <w:color w:val="auto"/>
                <w:szCs w:val="21"/>
                <w:highlight w:val="none"/>
              </w:rPr>
              <w:t xml:space="preserve">，不提供不得分</w:t>
            </w:r>
            <w:r>
              <w:rPr>
                <w:rFonts w:eastAsia="仿宋"/>
                <w:color w:val="auto"/>
                <w:szCs w:val="21"/>
                <w:highlight w:val="none"/>
              </w:rPr>
              <w:t xml:space="preserve">）</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hint="eastAsia" w:eastAsia="仿宋"/>
                <w:color w:val="auto"/>
                <w:szCs w:val="21"/>
                <w:highlight w:val="none"/>
              </w:rPr>
              <w:t xml:space="preserve">9</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jc w:val="center"/>
          <w:trHeight w:val="821"/>
          <w:tblHeader/>
        </w:trPr>
        <w:tc>
          <w:tcPr>
            <w:tcBorders>
              <w:left w:val="single" w:color="auto" w:sz="4" w:space="0"/>
              <w:right w:val="single" w:color="auto" w:sz="4" w:space="0"/>
            </w:tcBorders>
            <w:tcW w:w="690" w:type="dxa"/>
            <w:vAlign w:val="center"/>
            <w:vMerge w:val="continue"/>
            <w:textDirection w:val="lrTb"/>
            <w:noWrap w:val="false"/>
          </w:tcPr>
          <w:p>
            <w:pPr>
              <w:jc w:val="center"/>
              <w:rPr>
                <w:rFonts w:eastAsia="仿宋"/>
                <w:color w:val="auto"/>
                <w:szCs w:val="21"/>
                <w:highlight w:val="none"/>
              </w:rPr>
            </w:pPr>
            <w:r>
              <w:rPr>
                <w:rFonts w:eastAsia="仿宋"/>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jc w:val="left"/>
              <w:widowControl/>
              <w:rPr>
                <w:rFonts w:eastAsia="仿宋"/>
                <w:color w:val="auto"/>
                <w:szCs w:val="21"/>
                <w:highlight w:val="none"/>
              </w:rPr>
            </w:pPr>
            <w:r>
              <w:rPr>
                <w:rFonts w:eastAsia="仿宋"/>
                <w:color w:val="auto"/>
                <w:szCs w:val="21"/>
                <w:highlight w:val="none"/>
              </w:rPr>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eastAsia="仿宋"/>
                <w:color w:val="auto"/>
                <w:szCs w:val="21"/>
                <w:highlight w:val="none"/>
              </w:rPr>
            </w:pPr>
            <w:r>
              <w:rPr>
                <w:rFonts w:eastAsia="仿宋"/>
                <w:color w:val="auto"/>
                <w:szCs w:val="21"/>
                <w:highlight w:val="none"/>
              </w:rPr>
              <w:t xml:space="preserve">4.</w:t>
            </w:r>
            <w:r>
              <w:rPr>
                <w:rFonts w:hint="eastAsia" w:eastAsia="仿宋"/>
                <w:color w:val="auto"/>
                <w:szCs w:val="21"/>
                <w:highlight w:val="none"/>
              </w:rPr>
              <w:t xml:space="preserve">4</w:t>
            </w:r>
            <w:r>
              <w:rPr>
                <w:rFonts w:eastAsia="仿宋"/>
                <w:color w:val="auto"/>
                <w:szCs w:val="21"/>
                <w:highlight w:val="none"/>
              </w:rPr>
              <w:t xml:space="preserve">投标人具有本地化服务能力的得 3分。</w:t>
            </w:r>
            <w:r/>
          </w:p>
          <w:p>
            <w:pPr>
              <w:jc w:val="left"/>
              <w:widowControl/>
              <w:rPr>
                <w:rFonts w:eastAsia="仿宋"/>
                <w:color w:val="auto"/>
                <w:szCs w:val="21"/>
                <w:highlight w:val="none"/>
              </w:rPr>
            </w:pPr>
            <w:r>
              <w:rPr>
                <w:rFonts w:eastAsia="仿宋"/>
                <w:color w:val="auto"/>
                <w:szCs w:val="21"/>
                <w:highlight w:val="none"/>
              </w:rPr>
              <w:t xml:space="preserve">（投标文件中提供承诺书或其他有效证明材料复印件加盖电子公章，未提供不得分）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eastAsia="仿宋"/>
                <w:color w:val="auto"/>
                <w:szCs w:val="21"/>
                <w:highlight w:val="none"/>
              </w:rPr>
            </w:pPr>
            <w:r>
              <w:rPr>
                <w:rFonts w:eastAsia="仿宋"/>
                <w:color w:val="auto"/>
                <w:szCs w:val="21"/>
                <w:highlight w:val="none"/>
              </w:rPr>
              <w:t xml:space="preserve">3</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eastAsia="仿宋"/>
                <w:color w:val="auto"/>
                <w:szCs w:val="21"/>
                <w:highlight w:val="none"/>
              </w:rPr>
            </w:pPr>
            <w:r>
              <w:rPr>
                <w:rFonts w:eastAsia="仿宋"/>
                <w:color w:val="auto"/>
                <w:szCs w:val="21"/>
                <w:highlight w:val="none"/>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eastAsia="仿宋"/>
                <w:color w:val="auto"/>
                <w:szCs w:val="21"/>
                <w:highlight w:val="none"/>
                <w:lang w:bidi="ar"/>
              </w:rPr>
            </w:pPr>
            <w:r>
              <w:rPr>
                <w:rFonts w:eastAsia="仿宋"/>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eastAsia="仿宋"/>
                <w:color w:val="auto"/>
                <w:szCs w:val="21"/>
                <w:highlight w:val="none"/>
              </w:rPr>
            </w:pPr>
            <w:r>
              <w:rPr>
                <w:rFonts w:eastAsia="仿宋"/>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eastAsia="仿宋"/>
                <w:color w:val="auto"/>
                <w:szCs w:val="21"/>
                <w:highlight w:val="none"/>
              </w:rPr>
            </w:pPr>
            <w:r>
              <w:rPr>
                <w:rFonts w:eastAsia="仿宋"/>
                <w:color w:val="auto"/>
                <w:szCs w:val="21"/>
                <w:highlight w:val="none"/>
              </w:rPr>
            </w:r>
            <w:r/>
          </w:p>
        </w:tc>
      </w:tr>
    </w:tbl>
    <w:p>
      <w:pPr>
        <w:spacing w:line="360" w:lineRule="auto"/>
        <w:rPr>
          <w:rFonts w:eastAsia="仿宋"/>
          <w:bCs/>
          <w:color w:val="auto"/>
          <w:sz w:val="24"/>
          <w:highlight w:val="none"/>
        </w:rPr>
      </w:pPr>
      <w:r>
        <w:rPr>
          <w:rFonts w:eastAsia="仿宋"/>
          <w:bCs/>
          <w:color w:val="auto"/>
          <w:sz w:val="24"/>
          <w:highlight w:val="none"/>
        </w:rPr>
        <w:t xml:space="preserve">说明：</w:t>
      </w:r>
      <w:r/>
    </w:p>
    <w:p>
      <w:pPr>
        <w:spacing w:line="360" w:lineRule="auto"/>
        <w:rPr>
          <w:rFonts w:eastAsia="仿宋"/>
          <w:bCs/>
          <w:color w:val="auto"/>
          <w:sz w:val="24"/>
          <w:highlight w:val="none"/>
        </w:rPr>
      </w:pPr>
      <w:r>
        <w:rPr>
          <w:rFonts w:eastAsia="仿宋"/>
          <w:bCs/>
          <w:color w:val="auto"/>
          <w:sz w:val="24"/>
          <w:highlight w:val="none"/>
        </w:rPr>
        <w:t xml:space="preserve">1.所有认证、证明和业绩均以有效清晰的证明文件的复印件为依据。</w:t>
      </w:r>
      <w:r/>
    </w:p>
    <w:p>
      <w:pPr>
        <w:spacing w:line="360" w:lineRule="auto"/>
        <w:rPr>
          <w:rFonts w:eastAsia="仿宋"/>
          <w:bCs/>
          <w:color w:val="auto"/>
          <w:sz w:val="24"/>
          <w:highlight w:val="none"/>
        </w:rPr>
      </w:pPr>
      <w:r>
        <w:rPr>
          <w:rFonts w:eastAsia="仿宋"/>
          <w:bCs/>
          <w:color w:val="auto"/>
          <w:sz w:val="24"/>
          <w:highlight w:val="none"/>
        </w:rPr>
        <w:t xml:space="preserve">2.小微企业</w:t>
      </w:r>
      <w:r/>
    </w:p>
    <w:p>
      <w:pPr>
        <w:spacing w:line="360" w:lineRule="auto"/>
        <w:rPr>
          <w:rFonts w:eastAsia="仿宋"/>
          <w:b/>
          <w:color w:val="auto"/>
          <w:sz w:val="24"/>
          <w:highlight w:val="none"/>
        </w:rPr>
      </w:pPr>
      <w:r>
        <w:rPr>
          <w:rFonts w:eastAsia="仿宋"/>
          <w:color w:val="auto"/>
          <w:sz w:val="24"/>
          <w:highlight w:val="none"/>
        </w:rPr>
        <w:t xml:space="preserve">对于专门面向中小企业或小型、微型企业的项目，只面向中小企业或小型、微型企业采</w:t>
      </w:r>
      <w:r>
        <w:rPr>
          <w:rFonts w:eastAsia="仿宋"/>
          <w:color w:val="auto"/>
          <w:spacing w:val="-3"/>
          <w:sz w:val="24"/>
          <w:highlight w:val="none"/>
        </w:rPr>
        <w:t xml:space="preserve">购。对于非专门面向中小企业的项目，对小型和微型企业的价格给予10%的扣除，用扣除后的价</w:t>
      </w:r>
      <w:r>
        <w:rPr>
          <w:rFonts w:eastAsia="仿宋"/>
          <w:color w:val="auto"/>
          <w:spacing w:val="-82"/>
          <w:sz w:val="24"/>
          <w:highlight w:val="none"/>
        </w:rPr>
        <w:t xml:space="preserve"> </w:t>
      </w:r>
      <w:r>
        <w:rPr>
          <w:rFonts w:eastAsia="仿宋"/>
          <w:color w:val="auto"/>
          <w:sz w:val="24"/>
          <w:highlight w:val="none"/>
        </w:rPr>
        <w:t xml:space="preserve">格参与评审。</w:t>
      </w:r>
      <w:r/>
    </w:p>
    <w:p>
      <w:pPr>
        <w:spacing w:line="360" w:lineRule="auto"/>
        <w:rPr>
          <w:rFonts w:eastAsia="仿宋"/>
          <w:bCs/>
          <w:color w:val="auto"/>
          <w:sz w:val="24"/>
          <w:highlight w:val="none"/>
        </w:rPr>
      </w:pPr>
      <w:r>
        <w:rPr>
          <w:rFonts w:eastAsia="仿宋"/>
          <w:bCs/>
          <w:color w:val="auto"/>
          <w:sz w:val="24"/>
          <w:highlight w:val="none"/>
        </w:rPr>
        <w:t xml:space="preserve">3.监狱和戒毒企业</w:t>
      </w:r>
      <w:r/>
    </w:p>
    <w:p>
      <w:pPr>
        <w:pStyle w:val="838"/>
        <w:jc w:val="both"/>
        <w:spacing w:line="360" w:lineRule="auto"/>
        <w:rPr>
          <w:rFonts w:eastAsia="仿宋"/>
          <w:b w:val="0"/>
          <w:bCs w:val="0"/>
          <w:color w:val="auto"/>
          <w:sz w:val="24"/>
          <w:highlight w:val="none"/>
        </w:rPr>
      </w:pPr>
      <w:r>
        <w:rPr>
          <w:rFonts w:eastAsia="仿宋"/>
          <w:b w:val="0"/>
          <w:bCs w:val="0"/>
          <w:color w:val="auto"/>
          <w:sz w:val="24"/>
          <w:highlight w:val="none"/>
        </w:rPr>
        <w:t xml:space="preserve">3.1本项目对监狱和戒毒企业，给予</w:t>
      </w:r>
      <w:r>
        <w:rPr>
          <w:rFonts w:eastAsia="仿宋"/>
          <w:b w:val="0"/>
          <w:bCs w:val="0"/>
          <w:color w:val="auto"/>
          <w:spacing w:val="-57"/>
          <w:sz w:val="24"/>
          <w:highlight w:val="none"/>
        </w:rPr>
        <w:t xml:space="preserve"> </w:t>
      </w:r>
      <w:r>
        <w:rPr>
          <w:rFonts w:eastAsia="仿宋"/>
          <w:b w:val="0"/>
          <w:bCs w:val="0"/>
          <w:color w:val="auto"/>
          <w:sz w:val="24"/>
          <w:highlight w:val="none"/>
        </w:rPr>
        <w:t xml:space="preserve">10%的价格扣除，用扣除后的价格参与评审。</w:t>
      </w:r>
      <w:r/>
    </w:p>
    <w:p>
      <w:pPr>
        <w:spacing w:line="360" w:lineRule="auto"/>
        <w:rPr>
          <w:rFonts w:eastAsia="仿宋"/>
          <w:bCs/>
          <w:color w:val="auto"/>
          <w:sz w:val="24"/>
          <w:highlight w:val="none"/>
        </w:rPr>
      </w:pPr>
      <w:r>
        <w:rPr>
          <w:rFonts w:eastAsia="仿宋"/>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eastAsia="仿宋"/>
          <w:bCs/>
          <w:color w:val="auto"/>
          <w:sz w:val="24"/>
          <w:highlight w:val="none"/>
        </w:rPr>
      </w:pPr>
      <w:r>
        <w:rPr>
          <w:rFonts w:eastAsia="仿宋"/>
          <w:bCs/>
          <w:color w:val="auto"/>
          <w:sz w:val="24"/>
          <w:highlight w:val="none"/>
        </w:rPr>
        <w:t xml:space="preserve">3.3监狱企业标准请参照《关于政府采购支持监狱企业发展有关问题的通知》（财库〔2014〕68号）。</w:t>
      </w:r>
      <w:r/>
    </w:p>
    <w:p>
      <w:pPr>
        <w:numPr>
          <w:ilvl w:val="0"/>
          <w:numId w:val="5"/>
        </w:numPr>
        <w:spacing w:line="360" w:lineRule="auto"/>
        <w:rPr>
          <w:rFonts w:eastAsia="仿宋"/>
          <w:bCs/>
          <w:color w:val="auto"/>
          <w:sz w:val="24"/>
          <w:highlight w:val="none"/>
        </w:rPr>
      </w:pPr>
      <w:r>
        <w:rPr>
          <w:rFonts w:eastAsia="仿宋"/>
          <w:bCs/>
          <w:color w:val="auto"/>
          <w:sz w:val="24"/>
          <w:highlight w:val="none"/>
        </w:rPr>
        <w:t xml:space="preserve">残疾人福利性单位</w:t>
      </w:r>
      <w:r/>
    </w:p>
    <w:p>
      <w:pPr>
        <w:pStyle w:val="838"/>
        <w:jc w:val="both"/>
        <w:spacing w:line="360" w:lineRule="auto"/>
        <w:rPr>
          <w:rFonts w:eastAsia="仿宋"/>
          <w:color w:val="auto"/>
          <w:sz w:val="24"/>
          <w:highlight w:val="none"/>
        </w:rPr>
      </w:pPr>
      <w:r>
        <w:rPr>
          <w:rFonts w:eastAsia="仿宋"/>
          <w:b w:val="0"/>
          <w:bCs w:val="0"/>
          <w:color w:val="auto"/>
          <w:sz w:val="24"/>
          <w:highlight w:val="none"/>
        </w:rPr>
        <w:t xml:space="preserve">4.1 本项目对残疾人福利性单位，给予10%的价格扣除，用扣除后的价格参与评</w:t>
      </w:r>
      <w:r>
        <w:rPr>
          <w:rFonts w:eastAsia="仿宋"/>
          <w:color w:val="auto"/>
          <w:sz w:val="24"/>
          <w:highlight w:val="none"/>
        </w:rPr>
        <w:t xml:space="preserve">审。</w:t>
      </w:r>
      <w:r/>
    </w:p>
    <w:p>
      <w:pPr>
        <w:spacing w:line="360" w:lineRule="auto"/>
        <w:rPr>
          <w:rFonts w:eastAsia="仿宋"/>
          <w:bCs/>
          <w:color w:val="auto"/>
          <w:sz w:val="24"/>
          <w:highlight w:val="none"/>
        </w:rPr>
      </w:pPr>
      <w:r>
        <w:rPr>
          <w:rFonts w:eastAsia="仿宋"/>
          <w:bCs/>
          <w:color w:val="auto"/>
          <w:sz w:val="24"/>
          <w:highlight w:val="none"/>
        </w:rPr>
        <w:t xml:space="preserve">4.2残疾人福利性单位需提供《残疾人福利性单位声明函》。</w:t>
      </w:r>
      <w:r/>
    </w:p>
    <w:p>
      <w:pPr>
        <w:spacing w:line="360" w:lineRule="auto"/>
        <w:rPr>
          <w:rFonts w:eastAsia="仿宋"/>
          <w:bCs/>
          <w:color w:val="auto"/>
          <w:sz w:val="24"/>
          <w:highlight w:val="none"/>
        </w:rPr>
      </w:pPr>
      <w:r>
        <w:rPr>
          <w:rFonts w:eastAsia="仿宋"/>
          <w:bCs/>
          <w:color w:val="auto"/>
          <w:sz w:val="24"/>
          <w:highlight w:val="none"/>
        </w:rPr>
        <w:t xml:space="preserve">4.3 残疾人福利性单位标准请参照《关于促进残疾人就业政府采购政策的通知》（财库〔2017〕141号）。</w:t>
      </w:r>
      <w:r/>
    </w:p>
    <w:p>
      <w:pPr>
        <w:pStyle w:val="838"/>
        <w:jc w:val="both"/>
        <w:spacing w:line="360" w:lineRule="auto"/>
        <w:rPr>
          <w:rFonts w:eastAsia="仿宋"/>
          <w:b w:val="0"/>
          <w:color w:val="auto"/>
          <w:sz w:val="24"/>
          <w:highlight w:val="none"/>
        </w:rPr>
      </w:pPr>
      <w:r>
        <w:rPr>
          <w:rFonts w:eastAsia="仿宋"/>
          <w:b w:val="0"/>
          <w:color w:val="auto"/>
          <w:sz w:val="24"/>
          <w:highlight w:val="none"/>
        </w:rPr>
        <w:t xml:space="preserve">5.监狱企业、残疾人福利性单位属于小型、微型企业的，不重复享受政策。</w:t>
      </w:r>
      <w:r/>
    </w:p>
    <w:p>
      <w:pPr>
        <w:pStyle w:val="838"/>
        <w:jc w:val="both"/>
        <w:spacing w:line="360" w:lineRule="auto"/>
        <w:rPr>
          <w:rFonts w:eastAsia="仿宋"/>
          <w:color w:val="auto"/>
          <w:sz w:val="24"/>
          <w:highlight w:val="none"/>
        </w:rPr>
      </w:pPr>
      <w:r>
        <w:rPr>
          <w:rFonts w:eastAsia="仿宋"/>
          <w:b w:val="0"/>
          <w:bCs w:val="0"/>
          <w:color w:val="auto"/>
          <w:sz w:val="24"/>
          <w:highlight w:val="none"/>
        </w:rPr>
        <w:t xml:space="preserve">6.对国家认定的节能产品和环保产品分别给予投标价的</w:t>
      </w:r>
      <w:r>
        <w:rPr>
          <w:rFonts w:eastAsia="仿宋"/>
          <w:b w:val="0"/>
          <w:bCs w:val="0"/>
          <w:color w:val="auto"/>
          <w:spacing w:val="55"/>
          <w:sz w:val="24"/>
          <w:highlight w:val="none"/>
        </w:rPr>
        <w:t xml:space="preserve">5</w:t>
      </w:r>
      <w:r>
        <w:rPr>
          <w:rFonts w:eastAsia="仿宋"/>
          <w:b w:val="0"/>
          <w:bCs w:val="0"/>
          <w:color w:val="auto"/>
          <w:sz w:val="24"/>
          <w:highlight w:val="none"/>
        </w:rPr>
        <w:t xml:space="preserve">%的价格扣除，用扣除后的价格参</w:t>
      </w:r>
      <w:r>
        <w:rPr>
          <w:rFonts w:eastAsia="仿宋"/>
          <w:b w:val="0"/>
          <w:bCs w:val="0"/>
          <w:color w:val="auto"/>
          <w:spacing w:val="-5"/>
          <w:sz w:val="24"/>
          <w:highlight w:val="none"/>
        </w:rPr>
        <w:t xml:space="preserve">与评审（节能、环保产品必须纳入“中国政府采购网 </w:t>
      </w:r>
      <w:r>
        <w:rPr>
          <w:color w:val="auto"/>
          <w:highlight w:val="none"/>
        </w:rPr>
        <w:fldChar w:fldCharType="begin"/>
      </w:r>
      <w:r>
        <w:rPr>
          <w:color w:val="auto"/>
          <w:highlight w:val="none"/>
        </w:rPr>
        <w:instrText xml:space="preserve"> HYPERLINK "http://www.ccgp.gov.cn/" \h </w:instrText>
      </w:r>
      <w:r>
        <w:rPr>
          <w:color w:val="auto"/>
          <w:highlight w:val="none"/>
        </w:rPr>
        <w:fldChar w:fldCharType="separate"/>
      </w:r>
      <w:r>
        <w:rPr>
          <w:rFonts w:eastAsia="仿宋"/>
          <w:b w:val="0"/>
          <w:bCs w:val="0"/>
          <w:color w:val="auto"/>
          <w:spacing w:val="-3"/>
          <w:sz w:val="24"/>
          <w:highlight w:val="none"/>
        </w:rPr>
        <w:t xml:space="preserve">http://www.ccgp.gov.cn/</w:t>
      </w:r>
      <w:r>
        <w:rPr>
          <w:rFonts w:eastAsia="仿宋"/>
          <w:b w:val="0"/>
          <w:bCs w:val="0"/>
          <w:color w:val="auto"/>
          <w:spacing w:val="-3"/>
          <w:sz w:val="24"/>
          <w:highlight w:val="none"/>
        </w:rPr>
        <w:fldChar w:fldCharType="end"/>
      </w:r>
      <w:r>
        <w:rPr>
          <w:rFonts w:eastAsia="仿宋"/>
          <w:b w:val="0"/>
          <w:bCs w:val="0"/>
          <w:color w:val="auto"/>
          <w:spacing w:val="-3"/>
          <w:sz w:val="24"/>
          <w:highlight w:val="none"/>
        </w:rPr>
        <w:t xml:space="preserve">”等官方网站“节能、环</w:t>
      </w:r>
      <w:r>
        <w:rPr>
          <w:rFonts w:eastAsia="仿宋"/>
          <w:b w:val="0"/>
          <w:bCs w:val="0"/>
          <w:color w:val="auto"/>
          <w:spacing w:val="-88"/>
          <w:sz w:val="24"/>
          <w:highlight w:val="none"/>
        </w:rPr>
        <w:t xml:space="preserve"> </w:t>
      </w:r>
      <w:r>
        <w:rPr>
          <w:rFonts w:eastAsia="仿宋"/>
          <w:b w:val="0"/>
          <w:bCs w:val="0"/>
          <w:color w:val="auto"/>
          <w:sz w:val="24"/>
          <w:highlight w:val="none"/>
        </w:rPr>
        <w:t xml:space="preserve">保产品查询系统”，且以提供的证书扫描件为准）。</w:t>
      </w:r>
      <w:r>
        <w:rPr>
          <w:rFonts w:eastAsia="仿宋"/>
          <w:color w:val="auto"/>
          <w:sz w:val="24"/>
          <w:highlight w:val="none"/>
        </w:rPr>
        <w:br w:type="page" w:clear="all"/>
      </w:r>
      <w:r/>
    </w:p>
    <w:p>
      <w:pPr>
        <w:pStyle w:val="819"/>
        <w:spacing w:line="360" w:lineRule="auto"/>
        <w:rPr>
          <w:rFonts w:eastAsia="仿宋"/>
          <w:color w:val="auto"/>
          <w:szCs w:val="32"/>
          <w:highlight w:val="none"/>
        </w:rPr>
      </w:pPr>
      <w:r/>
      <w:bookmarkStart w:id="80" w:name="_Toc31739"/>
      <w:r/>
      <w:bookmarkStart w:id="81" w:name="_Toc481057147"/>
      <w:r/>
      <w:bookmarkStart w:id="82" w:name="_Hlk96071152"/>
      <w:r>
        <w:rPr>
          <w:rFonts w:eastAsia="仿宋"/>
          <w:color w:val="auto"/>
          <w:szCs w:val="32"/>
          <w:highlight w:val="none"/>
        </w:rPr>
        <w:t xml:space="preserve"> </w:t>
      </w:r>
      <w:bookmarkStart w:id="83" w:name="_Toc830"/>
      <w:r/>
      <w:bookmarkStart w:id="84" w:name="_Toc21025"/>
      <w:r>
        <w:rPr>
          <w:rFonts w:eastAsia="仿宋"/>
          <w:color w:val="auto"/>
          <w:szCs w:val="32"/>
          <w:highlight w:val="none"/>
        </w:rPr>
        <w:t xml:space="preserve">采购需求</w:t>
      </w:r>
      <w:bookmarkEnd w:id="80"/>
      <w:r/>
      <w:bookmarkEnd w:id="83"/>
      <w:r/>
      <w:bookmarkEnd w:id="84"/>
      <w:r/>
      <w:r/>
    </w:p>
    <w:p>
      <w:pPr>
        <w:spacing w:line="360" w:lineRule="auto"/>
        <w:rPr>
          <w:rFonts w:eastAsia="仿宋"/>
          <w:b/>
          <w:bCs/>
          <w:color w:val="auto"/>
          <w:sz w:val="24"/>
          <w:highlight w:val="none"/>
        </w:rPr>
      </w:pPr>
      <w:r>
        <w:rPr>
          <w:rFonts w:eastAsia="仿宋"/>
          <w:b/>
          <w:bCs/>
          <w:color w:val="auto"/>
          <w:sz w:val="24"/>
          <w:highlight w:val="none"/>
        </w:rPr>
        <w:t xml:space="preserve">一、项目概况</w:t>
      </w:r>
      <w:r/>
    </w:p>
    <w:p>
      <w:pPr>
        <w:ind w:firstLine="480"/>
        <w:spacing w:line="360" w:lineRule="auto"/>
        <w:rPr>
          <w:rFonts w:eastAsia="仿宋"/>
          <w:color w:val="auto"/>
          <w:sz w:val="24"/>
          <w:highlight w:val="none"/>
        </w:rPr>
      </w:pPr>
      <w:r>
        <w:rPr>
          <w:rFonts w:hint="eastAsia" w:eastAsia="仿宋"/>
          <w:color w:val="auto"/>
          <w:sz w:val="24"/>
          <w:highlight w:val="none"/>
        </w:rPr>
        <w:t xml:space="preserve">1.</w:t>
      </w:r>
      <w:r>
        <w:rPr>
          <w:rFonts w:eastAsia="仿宋"/>
          <w:color w:val="auto"/>
          <w:sz w:val="24"/>
          <w:highlight w:val="none"/>
        </w:rPr>
        <w:t xml:space="preserve">项目背景</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近年来，国家和各地方政府相继出台了一系列政策法规，以应对餐饮油烟及VOCs污染排放问题。这些政策法规的出台，反映了政府对大气污染和人体健康的关注。</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餐饮油烟治理现状：餐饮油烟污染影响空气质量、餐饮油烟污染危害人体健康、对市容市貌造成不良影响、公众投诉和群众关注度不断加强、部分油烟净化器安装管理不规范、缺乏有效维护、油烟净化器质量参差不齐，无法起到净化器作用。</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VOCs治理现状：源头控制力度不足、无组织排放问题突出、治污设施简易低效、运行管理不不规范。</w:t>
      </w:r>
      <w:r/>
    </w:p>
    <w:p>
      <w:pPr>
        <w:pStyle w:val="833"/>
        <w:ind w:firstLine="480"/>
        <w:spacing w:line="360" w:lineRule="auto"/>
        <w:rPr>
          <w:rFonts w:eastAsia="仿宋"/>
          <w:b w:val="0"/>
          <w:color w:val="auto"/>
          <w:szCs w:val="24"/>
          <w:highlight w:val="none"/>
        </w:rPr>
      </w:pPr>
      <w:r/>
      <w:bookmarkStart w:id="85" w:name="_Hlk178160252"/>
      <w:r>
        <w:rPr>
          <w:rFonts w:hint="eastAsia" w:eastAsia="仿宋"/>
          <w:b w:val="0"/>
          <w:color w:val="auto"/>
          <w:szCs w:val="24"/>
          <w:highlight w:val="none"/>
        </w:rPr>
        <w:t xml:space="preserve">为加强对餐饮油烟及汽修、包装印刷等喷涂企业的监管，南京市秦淮生态环境局于2</w:t>
      </w:r>
      <w:r>
        <w:rPr>
          <w:rFonts w:eastAsia="仿宋"/>
          <w:b w:val="0"/>
          <w:color w:val="auto"/>
          <w:szCs w:val="24"/>
          <w:highlight w:val="none"/>
        </w:rPr>
        <w:t xml:space="preserve">019</w:t>
      </w:r>
      <w:r>
        <w:rPr>
          <w:rFonts w:hint="eastAsia" w:eastAsia="仿宋"/>
          <w:b w:val="0"/>
          <w:color w:val="auto"/>
          <w:szCs w:val="24"/>
          <w:highlight w:val="none"/>
        </w:rPr>
        <w:t xml:space="preserve">年启动了秦淮区餐饮油烟在线监</w:t>
      </w:r>
      <w:r>
        <w:rPr>
          <w:rFonts w:hint="eastAsia" w:eastAsia="仿宋"/>
          <w:b w:val="0"/>
          <w:color w:val="auto"/>
          <w:szCs w:val="24"/>
          <w:highlight w:val="none"/>
          <w:lang w:val="en-US" w:eastAsia="zh-CN"/>
        </w:rPr>
        <w:t xml:space="preserve">测</w:t>
      </w:r>
      <w:r>
        <w:rPr>
          <w:rFonts w:hint="eastAsia" w:eastAsia="仿宋"/>
          <w:b w:val="0"/>
          <w:color w:val="auto"/>
          <w:szCs w:val="24"/>
          <w:highlight w:val="none"/>
        </w:rPr>
        <w:t xml:space="preserve">及运维服务项目建设，2020年启动了VOCs在线监测第三方监管运维服务项目建设，通过引入第三方服务的模式来提高环境监管、治理的社会满意度，并取得了不错的成效。</w:t>
      </w:r>
      <w:bookmarkEnd w:id="85"/>
      <w:r/>
      <w:r/>
    </w:p>
    <w:p>
      <w:pPr>
        <w:pStyle w:val="833"/>
        <w:ind w:firstLine="480"/>
        <w:spacing w:line="360" w:lineRule="auto"/>
        <w:rPr>
          <w:rFonts w:eastAsia="仿宋"/>
          <w:b w:val="0"/>
          <w:color w:val="auto"/>
          <w:szCs w:val="24"/>
          <w:highlight w:val="none"/>
        </w:rPr>
      </w:pPr>
      <w:r/>
      <w:bookmarkStart w:id="86" w:name="_Hlk178161440"/>
      <w:r>
        <w:rPr>
          <w:rFonts w:hint="eastAsia" w:eastAsia="仿宋"/>
          <w:b w:val="0"/>
          <w:color w:val="auto"/>
          <w:szCs w:val="24"/>
          <w:highlight w:val="none"/>
        </w:rPr>
        <w:t xml:space="preserve">为进一步落实科学治污、精准治污，持续巩固提升秦淮区智慧治气能力，实现餐饮油烟及</w:t>
      </w:r>
      <w:r>
        <w:rPr>
          <w:rFonts w:eastAsia="仿宋"/>
          <w:b w:val="0"/>
          <w:color w:val="auto"/>
          <w:szCs w:val="24"/>
          <w:highlight w:val="none"/>
        </w:rPr>
        <w:t xml:space="preserve">VOCs</w:t>
      </w:r>
      <w:r>
        <w:rPr>
          <w:rFonts w:hint="eastAsia" w:eastAsia="仿宋"/>
          <w:b w:val="0"/>
          <w:color w:val="auto"/>
          <w:szCs w:val="24"/>
          <w:highlight w:val="none"/>
        </w:rPr>
        <w:t xml:space="preserve">治理减排和精细化管理，确保秦淮区空气质量持续改善，南京市秦淮生态环境局拟通过启动餐饮油烟及涉V</w:t>
      </w:r>
      <w:r>
        <w:rPr>
          <w:rFonts w:eastAsia="仿宋"/>
          <w:b w:val="0"/>
          <w:color w:val="auto"/>
          <w:szCs w:val="24"/>
          <w:highlight w:val="none"/>
        </w:rPr>
        <w:t xml:space="preserve">OC</w:t>
      </w:r>
      <w:r>
        <w:rPr>
          <w:rFonts w:hint="eastAsia" w:eastAsia="仿宋"/>
          <w:b w:val="0"/>
          <w:color w:val="auto"/>
          <w:szCs w:val="24"/>
          <w:highlight w:val="none"/>
        </w:rPr>
        <w:t xml:space="preserve">s企业在线监测服务项目，进一步夯实前期工作成果。</w:t>
      </w:r>
      <w:bookmarkEnd w:id="86"/>
      <w:r/>
      <w:r/>
    </w:p>
    <w:p>
      <w:pPr>
        <w:ind w:firstLine="480"/>
        <w:spacing w:line="360" w:lineRule="auto"/>
        <w:rPr>
          <w:rFonts w:eastAsia="仿宋"/>
          <w:color w:val="auto"/>
          <w:sz w:val="24"/>
          <w:highlight w:val="none"/>
        </w:rPr>
      </w:pPr>
      <w:r>
        <w:rPr>
          <w:rFonts w:hint="eastAsia" w:eastAsia="仿宋"/>
          <w:color w:val="auto"/>
          <w:sz w:val="24"/>
          <w:highlight w:val="none"/>
        </w:rPr>
        <w:t xml:space="preserve">2.</w:t>
      </w:r>
      <w:r>
        <w:rPr>
          <w:rFonts w:eastAsia="仿宋"/>
          <w:color w:val="auto"/>
          <w:sz w:val="24"/>
          <w:highlight w:val="none"/>
        </w:rPr>
        <w:t xml:space="preserve">项目目标</w:t>
      </w:r>
      <w:r/>
    </w:p>
    <w:p>
      <w:pPr>
        <w:pStyle w:val="833"/>
        <w:ind w:firstLine="480"/>
        <w:spacing w:line="360" w:lineRule="auto"/>
        <w:rPr>
          <w:rFonts w:eastAsia="仿宋"/>
          <w:b w:val="0"/>
          <w:color w:val="auto"/>
          <w:szCs w:val="24"/>
          <w:highlight w:val="none"/>
        </w:rPr>
      </w:pPr>
      <w:r>
        <w:rPr>
          <w:rFonts w:eastAsia="仿宋"/>
          <w:b w:val="0"/>
          <w:color w:val="auto"/>
          <w:szCs w:val="24"/>
          <w:highlight w:val="none"/>
        </w:rPr>
        <w:t xml:space="preserve">本项目通过购买服务的方式，利用</w:t>
      </w:r>
      <w:r>
        <w:rPr>
          <w:rFonts w:hint="eastAsia" w:eastAsia="仿宋"/>
          <w:b w:val="0"/>
          <w:color w:val="auto"/>
          <w:szCs w:val="24"/>
          <w:highlight w:val="none"/>
        </w:rPr>
        <w:t xml:space="preserve">在线监测、</w:t>
      </w:r>
      <w:r>
        <w:rPr>
          <w:rFonts w:eastAsia="仿宋"/>
          <w:b w:val="0"/>
          <w:color w:val="auto"/>
          <w:szCs w:val="24"/>
          <w:highlight w:val="none"/>
        </w:rPr>
        <w:t xml:space="preserve">物联网、大数据以及人工智能等技术</w:t>
      </w:r>
      <w:r>
        <w:rPr>
          <w:rFonts w:hint="eastAsia" w:eastAsia="仿宋"/>
          <w:b w:val="0"/>
          <w:color w:val="auto"/>
          <w:szCs w:val="24"/>
          <w:highlight w:val="none"/>
        </w:rPr>
        <w:t xml:space="preserve">，构</w:t>
      </w:r>
      <w:r>
        <w:rPr>
          <w:rFonts w:eastAsia="仿宋"/>
          <w:b w:val="0"/>
          <w:color w:val="auto"/>
          <w:szCs w:val="24"/>
          <w:highlight w:val="none"/>
        </w:rPr>
        <w:t xml:space="preserve">建监管部门主导、第三方协同、企业履责、社会参与、公众监督的餐饮油烟及涉VOCs企业监测格局。建立健全基于现代感知技术和大数据技术的生态环境监测网络，实现餐饮油烟及VOCs污染源监测全覆盖。</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（1）完成全区约2400台餐饮油烟单位的在线监测安装、运维服务；</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（2）完成全区约35台涉VOCs企业的在线监测安装、运维服务</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（3）提供餐饮油烟在线监测及VOCs在线监测系统平台服务</w:t>
      </w:r>
      <w:r/>
    </w:p>
    <w:p>
      <w:pPr>
        <w:pStyle w:val="833"/>
        <w:ind w:firstLine="480"/>
        <w:spacing w:line="360" w:lineRule="auto"/>
        <w:rPr>
          <w:rFonts w:eastAsia="仿宋"/>
          <w:b w:val="0"/>
          <w:color w:val="auto"/>
          <w:szCs w:val="24"/>
          <w:highlight w:val="none"/>
        </w:rPr>
      </w:pPr>
      <w:r>
        <w:rPr>
          <w:rFonts w:hint="eastAsia" w:eastAsia="仿宋"/>
          <w:b w:val="0"/>
          <w:color w:val="auto"/>
          <w:szCs w:val="24"/>
          <w:highlight w:val="none"/>
        </w:rPr>
        <w:t xml:space="preserve">（4）完成数据分析服务</w:t>
      </w:r>
      <w:r/>
    </w:p>
    <w:p>
      <w:pPr>
        <w:spacing w:line="360" w:lineRule="auto"/>
        <w:rPr>
          <w:rFonts w:eastAsia="仿宋"/>
          <w:b/>
          <w:bCs/>
          <w:color w:val="auto"/>
          <w:sz w:val="24"/>
          <w:highlight w:val="none"/>
        </w:rPr>
      </w:pPr>
      <w:r>
        <w:rPr>
          <w:rFonts w:hint="eastAsia" w:eastAsia="仿宋"/>
          <w:b/>
          <w:bCs/>
          <w:color w:val="auto"/>
          <w:sz w:val="24"/>
          <w:highlight w:val="none"/>
        </w:rPr>
        <w:t xml:space="preserve">二、服务清单</w:t>
      </w:r>
      <w:r/>
    </w:p>
    <w:p>
      <w:pPr>
        <w:ind w:firstLine="480"/>
        <w:spacing w:line="360" w:lineRule="auto"/>
        <w:rPr>
          <w:rFonts w:eastAsia="仿宋"/>
          <w:color w:val="auto"/>
          <w:sz w:val="24"/>
          <w:highlight w:val="none"/>
        </w:rPr>
      </w:pPr>
      <w:r>
        <w:rPr>
          <w:rFonts w:hint="eastAsia" w:eastAsia="仿宋"/>
          <w:color w:val="auto"/>
          <w:sz w:val="24"/>
          <w:highlight w:val="none"/>
        </w:rPr>
        <w:t xml:space="preserve">1.餐饮油烟在线监测仪及VOCs在线监测仪安装及运维服务</w:t>
      </w:r>
      <w:r/>
    </w:p>
    <w:tbl>
      <w:tblPr>
        <w:tblStyle w:val="829"/>
        <w:tblW w:w="51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654"/>
        <w:gridCol w:w="6407"/>
      </w:tblGrid>
      <w:tr>
        <w:trPr>
          <w:jc w:val="center"/>
          <w:trHeight w:val="567"/>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序号</w:t>
            </w:r>
            <w:r/>
          </w:p>
        </w:tc>
        <w:tc>
          <w:tcPr>
            <w:tcW w:w="935"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项目</w:t>
            </w:r>
            <w:r/>
          </w:p>
        </w:tc>
        <w:tc>
          <w:tcPr>
            <w:tcW w:w="36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服务内容及要求</w:t>
            </w:r>
            <w:r/>
          </w:p>
        </w:tc>
      </w:tr>
      <w:tr>
        <w:trPr>
          <w:jc w:val="center"/>
          <w:trHeight w:val="444"/>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1</w:t>
            </w:r>
            <w:r/>
          </w:p>
        </w:tc>
        <w:tc>
          <w:tcPr>
            <w:tcW w:w="935"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餐饮油烟在线监测仪</w:t>
            </w:r>
            <w:r/>
          </w:p>
        </w:tc>
        <w:tc>
          <w:tcPr>
            <w:tcW w:w="3623"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拥有合法证照、产生油烟且具备在线监测安装条件的餐饮企业、单位食堂（以下简称“餐饮单位”）提供现场初查、约2400台监测仪的安装、数据调试、移机等服务，实现对油烟浓度、油烟净化器电流、油烟净化器状态的监测。</w:t>
            </w:r>
            <w:r/>
          </w:p>
        </w:tc>
      </w:tr>
      <w:tr>
        <w:trPr>
          <w:jc w:val="center"/>
          <w:trHeight w:val="602"/>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2</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623" w:type="pct"/>
            <w:vAlign w:val="center"/>
            <w:textDirection w:val="lrTb"/>
            <w:noWrap w:val="false"/>
          </w:tcPr>
          <w:p>
            <w:pPr>
              <w:pStyle w:val="838"/>
              <w:ind w:left="102"/>
              <w:jc w:val="left"/>
              <w:spacing w:line="400" w:lineRule="exact"/>
              <w:rPr>
                <w:rFonts w:eastAsia="仿宋"/>
                <w:b w:val="0"/>
                <w:bCs w:val="0"/>
                <w:color w:val="auto"/>
                <w:highlight w:val="none"/>
              </w:rPr>
            </w:pPr>
            <w:r>
              <w:rPr>
                <w:rFonts w:eastAsia="仿宋"/>
                <w:b w:val="0"/>
                <w:bCs w:val="0"/>
                <w:color w:val="auto"/>
                <w:sz w:val="24"/>
                <w:highlight w:val="none"/>
              </w:rPr>
              <w:t xml:space="preserve">为餐饮单位提供巡检、技术支持等服务。</w:t>
            </w:r>
            <w:r>
              <w:rPr>
                <w:rFonts w:eastAsia="仿宋"/>
                <w:color w:val="auto"/>
                <w:sz w:val="24"/>
                <w:highlight w:val="none"/>
              </w:rPr>
              <w:t xml:space="preserve">每3个月完成一次现场全量巡检。巡检包括餐饮单位基本情况、油烟净化器运行情况、码上洗上传情况、在线监测仪运行情况等，并于当日完成系统平台的相关内容更新。</w:t>
            </w:r>
            <w:r/>
          </w:p>
        </w:tc>
      </w:tr>
      <w:tr>
        <w:trPr>
          <w:jc w:val="center"/>
          <w:trHeight w:val="889"/>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3</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623"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确保在线监测仪正常运行且数据准确。建成验收后，在一个月内完成对每家餐饮单位的油烟排放口风速、直径的测量、归档，计算月排放量，以月排放量为依据，明确重油烟餐饮单位和轻油烟餐饮单位。</w:t>
            </w:r>
            <w:r>
              <w:rPr>
                <w:rFonts w:eastAsia="仿宋"/>
                <w:color w:val="auto"/>
                <w:sz w:val="24"/>
                <w:highlight w:val="none"/>
              </w:rPr>
              <w:t xml:space="preserve">轻油烟餐饮单位累计监测180天更换新探头，重油烟餐饮单位累计监测120天更换新探头；若监测数据出现异常值（在油烟净化器正常运行的情况下，连续3天油烟浓度持续稳定高于3mg/m</w:t>
            </w:r>
            <w:r>
              <w:rPr>
                <w:rFonts w:eastAsia="仿宋"/>
                <w:color w:val="auto"/>
                <w:sz w:val="24"/>
                <w:highlight w:val="none"/>
                <w:vertAlign w:val="superscript"/>
              </w:rPr>
              <w:t xml:space="preserve">3</w:t>
            </w:r>
            <w:r>
              <w:rPr>
                <w:rFonts w:eastAsia="仿宋"/>
                <w:color w:val="auto"/>
                <w:sz w:val="24"/>
                <w:highlight w:val="none"/>
              </w:rPr>
              <w:t xml:space="preserve">，或持续稳定低于0.1 mg/m</w:t>
            </w:r>
            <w:r>
              <w:rPr>
                <w:rFonts w:eastAsia="仿宋"/>
                <w:color w:val="auto"/>
                <w:sz w:val="24"/>
                <w:highlight w:val="none"/>
                <w:vertAlign w:val="superscript"/>
              </w:rPr>
              <w:t xml:space="preserve">3</w:t>
            </w:r>
            <w:r>
              <w:rPr>
                <w:rFonts w:eastAsia="仿宋"/>
                <w:color w:val="auto"/>
                <w:sz w:val="24"/>
                <w:highlight w:val="none"/>
              </w:rPr>
              <w:t xml:space="preserve">，或其他异常情况），应在48小时之内查明原因并予以解决。</w:t>
            </w:r>
            <w:r>
              <w:rPr>
                <w:rFonts w:eastAsia="仿宋"/>
                <w:b w:val="0"/>
                <w:bCs w:val="0"/>
                <w:color w:val="auto"/>
                <w:sz w:val="24"/>
                <w:highlight w:val="none"/>
              </w:rPr>
              <w:t xml:space="preserve">每季度抽取50台监测仪，使用手持式检测仪进行现场监测对比，确保数据准确。</w:t>
            </w:r>
            <w:r/>
          </w:p>
        </w:tc>
      </w:tr>
      <w:tr>
        <w:trPr>
          <w:jc w:val="center"/>
          <w:trHeight w:val="1266"/>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4</w:t>
            </w:r>
            <w:r/>
          </w:p>
        </w:tc>
        <w:tc>
          <w:tcPr>
            <w:tcW w:w="935"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VOCs在线监测仪</w:t>
            </w:r>
            <w:r/>
          </w:p>
        </w:tc>
        <w:tc>
          <w:tcPr>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全区产生VOCs的汽修、包装印刷等企业提供现场初查、PID原理在线监测仪器安装、数据调试、移机等服务，主要监测排口VOCs浓度、风机开关、排口温度、排口压力、排口流速、烤灯开关、炭箱温度、炭箱流速、炭箱压强、炭箱湿度、炭箱灰度。</w:t>
            </w:r>
            <w:r/>
          </w:p>
        </w:tc>
      </w:tr>
      <w:tr>
        <w:trPr>
          <w:jc w:val="center"/>
          <w:trHeight w:val="622"/>
        </w:trPr>
        <w:tc>
          <w:tcPr>
            <w:tcBorders>
              <w:bottom w:val="single" w:color="auto" w:sz="4" w:space="0"/>
            </w:tcBorders>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5</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Borders>
              <w:bottom w:val="single" w:color="auto" w:sz="4" w:space="0"/>
              <w:right w:val="single" w:color="auto" w:sz="4" w:space="0"/>
            </w:tcBorders>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为全区产生VOCs的汽修、包装印刷等企业提供在线监测仪巡检、技术支持等服务。</w:t>
            </w:r>
            <w:r>
              <w:rPr>
                <w:rFonts w:eastAsia="仿宋"/>
                <w:color w:val="auto"/>
                <w:sz w:val="24"/>
                <w:highlight w:val="none"/>
              </w:rPr>
              <w:t xml:space="preserve">每个月完成一次现场全量巡检。</w:t>
            </w:r>
            <w:r/>
          </w:p>
        </w:tc>
      </w:tr>
      <w:tr>
        <w:trPr>
          <w:jc w:val="center"/>
          <w:trHeight w:val="630"/>
        </w:trPr>
        <w:tc>
          <w:tcPr>
            <w:tcBorders>
              <w:bottom w:val="single" w:color="auto" w:sz="4" w:space="0"/>
            </w:tcBorders>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6</w:t>
            </w:r>
            <w:r/>
          </w:p>
        </w:tc>
        <w:tc>
          <w:tcPr>
            <w:tcBorders>
              <w:bottom w:val="single" w:color="auto" w:sz="4" w:space="0"/>
            </w:tcBorders>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Borders>
              <w:bottom w:val="single" w:color="auto" w:sz="4" w:space="0"/>
              <w:right w:val="single" w:color="auto" w:sz="4" w:space="0"/>
            </w:tcBorders>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在线监测仪运维、耗材更换与标气校准，确保监测数据准确。</w:t>
            </w:r>
            <w:r>
              <w:rPr>
                <w:rFonts w:eastAsia="仿宋"/>
                <w:color w:val="auto"/>
                <w:sz w:val="24"/>
                <w:highlight w:val="none"/>
              </w:rPr>
              <w:t xml:space="preserve">每季度完成一次全量校准</w:t>
            </w:r>
            <w:r>
              <w:rPr>
                <w:rFonts w:eastAsia="仿宋"/>
                <w:b w:val="0"/>
                <w:bCs w:val="0"/>
                <w:color w:val="auto"/>
                <w:sz w:val="24"/>
                <w:highlight w:val="none"/>
              </w:rPr>
              <w:t xml:space="preserve">。每季度抽取2台监测仪，使用手持式检测仪进行现场监测对比，确保数据准确。</w:t>
            </w:r>
            <w:r/>
          </w:p>
        </w:tc>
      </w:tr>
    </w:tbl>
    <w:p>
      <w:pPr>
        <w:numPr>
          <w:ilvl w:val="0"/>
          <w:numId w:val="6"/>
        </w:numPr>
        <w:ind w:firstLine="480"/>
        <w:spacing w:line="360" w:lineRule="auto"/>
        <w:rPr>
          <w:color w:val="auto"/>
          <w:highlight w:val="none"/>
        </w:rPr>
      </w:pPr>
      <w:r>
        <w:rPr>
          <w:rFonts w:hint="eastAsia" w:eastAsia="仿宋"/>
          <w:color w:val="auto"/>
          <w:sz w:val="24"/>
          <w:highlight w:val="none"/>
        </w:rPr>
        <w:t xml:space="preserve">餐饮油烟在线监测及VOCs在线监测系统平台服</w:t>
      </w:r>
      <w:r>
        <w:rPr>
          <w:rFonts w:eastAsia="仿宋"/>
          <w:color w:val="auto"/>
          <w:sz w:val="24"/>
          <w:highlight w:val="none"/>
        </w:rPr>
        <w:t xml:space="preserve">务：</w:t>
      </w:r>
      <w:r/>
    </w:p>
    <w:tbl>
      <w:tblPr>
        <w:tblStyle w:val="829"/>
        <w:tblW w:w="51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69"/>
        <w:gridCol w:w="1288"/>
        <w:gridCol w:w="5693"/>
      </w:tblGrid>
      <w:tr>
        <w:trPr>
          <w:jc w:val="center"/>
          <w:trHeight w:val="454"/>
        </w:trPr>
        <w:tc>
          <w:tcPr>
            <w:shd w:val="clear" w:color="auto" w:fill="auto"/>
            <w:tcW w:w="400" w:type="pct"/>
            <w:vAlign w:val="center"/>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序号</w:t>
            </w:r>
            <w:r/>
          </w:p>
        </w:tc>
        <w:tc>
          <w:tcPr>
            <w:shd w:val="clear" w:color="auto" w:fill="auto"/>
            <w:tcW w:w="660" w:type="pct"/>
            <w:vAlign w:val="center"/>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项目</w:t>
            </w:r>
            <w:r/>
          </w:p>
        </w:tc>
        <w:tc>
          <w:tcPr>
            <w:gridSpan w:val="2"/>
            <w:shd w:val="clear" w:color="auto" w:fill="auto"/>
            <w:tcW w:w="3939" w:type="pct"/>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服务内容</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w:t>
            </w:r>
            <w:r/>
          </w:p>
        </w:tc>
        <w:tc>
          <w:tcPr>
            <w:tcW w:w="660"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餐饮油烟在线监测</w:t>
            </w:r>
            <w:r/>
          </w:p>
        </w:tc>
        <w:tc>
          <w:tcPr>
            <w:shd w:val="clear" w:color="auto" w:fill="auto"/>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动态更新一企一档</w:t>
            </w:r>
            <w:r/>
          </w:p>
        </w:tc>
        <w:tc>
          <w:tcPr>
            <w:shd w:val="clear" w:color="auto" w:fill="auto"/>
            <w:tcW w:w="3211" w:type="pct"/>
            <w:vAlign w:val="center"/>
            <w:textDirection w:val="lrTb"/>
            <w:noWrap w:val="false"/>
          </w:tcPr>
          <w:p>
            <w:pPr>
              <w:pStyle w:val="838"/>
              <w:ind w:left="102"/>
              <w:jc w:val="left"/>
              <w:spacing w:line="400" w:lineRule="exact"/>
              <w:rPr>
                <w:rFonts w:eastAsia="仿宋"/>
                <w:b w:val="0"/>
                <w:bCs w:val="0"/>
                <w:color w:val="auto"/>
                <w:highlight w:val="none"/>
              </w:rPr>
            </w:pPr>
            <w:r>
              <w:rPr>
                <w:rFonts w:eastAsia="仿宋"/>
                <w:b w:val="0"/>
                <w:bCs w:val="0"/>
                <w:color w:val="auto"/>
                <w:sz w:val="24"/>
                <w:highlight w:val="none"/>
              </w:rPr>
              <w:t xml:space="preserve">动态更新餐饮单位证照、经营内容、店招、经营地址、营业状态、负责人、营业面积、灶头数、座位数、菜系、油烟净化器和排口位置等基础信息，餐饮单位所用油烟净化器的类型、品牌、风量、净化效率、安装和维修时间、实物照片以及风机品牌、风量、实际风速、排口管径、安装时长等设备信息。根据告警信息及巡检记录，自动生成油烟净化器异常状态台账、更换台账、整改台账等台账。</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w:t>
            </w:r>
            <w:r/>
          </w:p>
        </w:tc>
        <w:tc>
          <w:tcPr>
            <w:tcW w:w="660"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实施动态评价</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形成每家餐饮单位的油烟治理台账，并以此为基础构建以日为单位、以月为周期的企业评价体系，相关部门、属地街道、管委会可以参照评价得分情况调整现场检查频次。</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3</w:t>
            </w:r>
            <w:r/>
          </w:p>
        </w:tc>
        <w:tc>
          <w:tcPr>
            <w:tcW w:w="660"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实施星级管理</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餐饮单位实施星级管理，属于重点防控区、属于街道重点管控区、500平方米以上、上月油烟排放量在全区前100、涉诉（每月向街道、管委会、执法局收集名单并更新）的餐饮单位，每符合一项加一星。对星级企业，从油烟净化器品牌及使用年限、清洗频次、维修时限等方面提出更高要求，星级越高，要求越高。</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4</w:t>
            </w:r>
            <w:r/>
          </w:p>
        </w:tc>
        <w:tc>
          <w:tcPr>
            <w:tcW w:w="660"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支持一键导出</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一企一档、告警记录、巡检工单、动态评价结果、清洗台账、问题工单等数据支持一键导出。</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5</w:t>
            </w:r>
            <w:r/>
          </w:p>
        </w:tc>
        <w:tc>
          <w:tcPr>
            <w:tcW w:w="660"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实施标签化管理</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餐饮单位实施标签化管理，支持从以下维度给企业打标签，支持筛选、累计问题统计等功能：属于重点管控区，500平方米以上，上宅下店，未落实“五有一联”标准，涉诉，油烟净化器老旧、伪劣、未联动、风量不匹配，清洗台账上传不规范、不及时等。</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6</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督促问题整改</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对在线监测、现场巡查、系统分析发现的问题，提醒餐饮单位按时整改。</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7</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提供执法线索</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对油烟净化器故障且未及时维修问题，形成工单，进入指挥中心工单流转系统，作为甲方执法线索。</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9</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码上洗</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按照一家一码，实现全区餐饮单位码上洗全覆盖。扫码后无须注册即可按时间段查看清洗台账上传情况。</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10</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提醒餐饮单位及时上传清洗台账。在日常巡检、运维中常态提醒，在清洗临期前自动提醒，对已超时的告警提醒，对多次超时或长期不上传的，生成工单推送指挥中心，告警提醒和形成工单的，纳入动态评价。暂停营业的餐饮单位，系统自动顺延清洗时间。清洗周期按照累计排放量实施分类管理，从上次清洗完开始计算累计排放量，结合是否属于国控点重点防控区完成分类管理。</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11</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监督指导餐饮单位规范上传清洗台账。通过人工线上每月全覆盖检查，发现清洗照片内容错误、无水印、票据错误等问题；通过系统自动识别，发现清洗照片重复等问题。以上问题均退回餐饮企业整改，并在下次上传前提醒上轮清洗存在问题，同时，关联筛选出弄虚作假的清洗单位。</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12</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数据融合</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与指挥中心对接，</w:t>
            </w:r>
            <w:r>
              <w:rPr>
                <w:rFonts w:hint="eastAsia" w:eastAsia="仿宋"/>
                <w:b w:val="0"/>
                <w:bCs w:val="0"/>
                <w:color w:val="auto"/>
                <w:sz w:val="24"/>
                <w:highlight w:val="none"/>
              </w:rPr>
              <w:t xml:space="preserve">按采购人要求</w:t>
            </w:r>
            <w:r>
              <w:rPr>
                <w:rFonts w:eastAsia="仿宋"/>
                <w:b w:val="0"/>
                <w:bCs w:val="0"/>
                <w:color w:val="auto"/>
                <w:sz w:val="24"/>
                <w:highlight w:val="none"/>
              </w:rPr>
              <w:t xml:space="preserve">及时推送实时监测、交办工单等数据，配合指挥中心，综合分析热点区域对周边环境的影响。</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13</w:t>
            </w:r>
            <w:r/>
          </w:p>
        </w:tc>
        <w:tc>
          <w:tcPr>
            <w:tcW w:w="660"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7" w:type="pc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数据准确度</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优化异常平稳值统计算法，自动生成工单，派发运维核查，确认人为干扰监测数据的，及时移交甲方处理。</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14</w:t>
            </w:r>
            <w:r/>
          </w:p>
        </w:tc>
        <w:tc>
          <w:tcPr>
            <w:tcW w:w="660" w:type="pct"/>
            <w:vAlign w:val="center"/>
            <w:vMerge w:val="restart"/>
            <w:textDirection w:val="lrTb"/>
            <w:noWrap w:val="false"/>
          </w:tcPr>
          <w:p>
            <w:pPr>
              <w:spacing w:line="400" w:lineRule="exact"/>
              <w:rPr>
                <w:rFonts w:eastAsia="仿宋"/>
                <w:color w:val="auto"/>
                <w:sz w:val="24"/>
                <w:highlight w:val="none"/>
              </w:rPr>
            </w:pPr>
            <w:r>
              <w:rPr>
                <w:rFonts w:eastAsia="仿宋"/>
                <w:color w:val="auto"/>
                <w:sz w:val="24"/>
                <w:highlight w:val="none"/>
              </w:rPr>
              <w:t xml:space="preserve">VOCs在线监测</w:t>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动态更新一企一档</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动态更新企业名称、负责人、所属行业、经营地址、营业状态、环评及排污许可证编号等基础信息，企业生产线及工序类型、漆类型、主要污染物、处置工艺、处理设施实物照片等设备信息。</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15</w:t>
            </w:r>
            <w:r/>
          </w:p>
        </w:tc>
        <w:tc>
          <w:tcPr>
            <w:tcW w:w="660" w:type="pct"/>
            <w:vAlign w:val="center"/>
            <w:vMerge w:val="continue"/>
            <w:textDirection w:val="lrTb"/>
            <w:noWrap w:val="false"/>
          </w:tcPr>
          <w:p>
            <w:pPr>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实施动态评价</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形成每家涉VOCs企业的VOCs治理台账，并以此为基础构建以日为单位、以月为周期的企业评价体系，相关部门、属地街道、管委会可以参照评价得分情况调整现场检查频次。</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16</w:t>
            </w:r>
            <w:r/>
          </w:p>
        </w:tc>
        <w:tc>
          <w:tcPr>
            <w:tcW w:w="660" w:type="pct"/>
            <w:vAlign w:val="center"/>
            <w:vMerge w:val="continue"/>
            <w:textDirection w:val="lrTb"/>
            <w:noWrap w:val="false"/>
          </w:tcPr>
          <w:p>
            <w:pPr>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加强源头削减</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根据企业填报的精细化管理台账，对低VOCs含量产品使用比例低、原辅料VOCs含量超标、水性涂料VOCs含量超过有害物质限量等问题自动告警。对多次告警的企业，生成工单推送指挥中心。</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17</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加强过程控制</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为每家涉VOCs企业制作并张贴行政管理、危废仓库、调漆间、中涂打磨车间、喷烤漆房、废气处理设施等岗位的VOCs治理精细化管理提醒卡，督促企业工作人员做好过程控制。</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18</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加强末端治理</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基于监测数据，发现未及时开启风机、炭箱压差过低、炭箱灰度过大、炭箱温度过高等问题及时告警；基于精细化台账，对活性炭未按期更换、活性炭质量较差、活性炭使用量不足、地棉、初级过滤棉等更换不及时的进行告警提醒，对多次告警的企业，生成工单推送指挥中心。</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19</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支持一键导出</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一企一档、告警记录、巡检工单、动态评价结果、精细化台账、问题工单等数据支持一键导出。</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20</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督促问题整改</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对在线监测、现场巡查、系统分析发现的问题，提醒企业按时整改。</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21</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提供执法线索</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对VOCs处理设施故障且未及时维修问题，形成工单，进入指挥中心工单流转系统，作为甲方执法线索。</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22</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精细化台账</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推广精细化台账，实现全区涉VOCs企业全覆盖。</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23</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精细化台账未及时填报或填报不规范等问题的告警提醒。对月度台账，每月智能语音客服提醒涉VOCs企业及时填报，超时未填报的人工客服电话提醒及时补填，对多次或长期未填报的生成工单，交办指挥中心。</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24</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监督指导企业规范上传精细化管理台账，针对台账上传的内容错误、凭证不合规等问题，每月全覆盖人工线上检查一轮。对确有困难的企业，提供线下指导填报服务。</w:t>
            </w:r>
            <w:r/>
          </w:p>
        </w:tc>
      </w:tr>
      <w:tr>
        <w:trPr>
          <w:jc w:val="center"/>
          <w:trHeight w:val="454"/>
        </w:trPr>
        <w:tc>
          <w:tcPr>
            <w:tcW w:w="400"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25</w:t>
            </w:r>
            <w:r/>
          </w:p>
        </w:tc>
        <w:tc>
          <w:tcPr>
            <w:tcW w:w="660"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7"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数据融合</w:t>
            </w:r>
            <w:r/>
          </w:p>
        </w:tc>
        <w:tc>
          <w:tcPr>
            <w:tcW w:w="321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所有涉VOCs企业的监测数据、异常告警等数据接入指挥中心。</w:t>
            </w:r>
            <w:r/>
          </w:p>
        </w:tc>
      </w:tr>
    </w:tbl>
    <w:p>
      <w:pPr>
        <w:ind w:firstLine="480"/>
        <w:spacing w:line="360" w:lineRule="auto"/>
        <w:rPr>
          <w:rFonts w:eastAsia="仿宋"/>
          <w:color w:val="auto"/>
          <w:sz w:val="24"/>
          <w:highlight w:val="none"/>
        </w:rPr>
      </w:pPr>
      <w:r>
        <w:rPr>
          <w:rFonts w:hint="eastAsia" w:eastAsia="仿宋"/>
          <w:color w:val="auto"/>
          <w:sz w:val="24"/>
          <w:highlight w:val="none"/>
        </w:rPr>
        <w:t xml:space="preserve">3、数据分析服务</w:t>
      </w:r>
      <w:r/>
    </w:p>
    <w:tbl>
      <w:tblPr>
        <w:tblStyle w:val="829"/>
        <w:tblW w:w="5148" w:type="pct"/>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2"/>
        <w:gridCol w:w="6192"/>
      </w:tblGrid>
      <w:tr>
        <w:trPr>
          <w:trHeight w:val="229"/>
        </w:trPr>
        <w:tc>
          <w:tcPr>
            <w:tcW w:w="406"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序号</w:t>
            </w:r>
            <w:r/>
          </w:p>
        </w:tc>
        <w:tc>
          <w:tcPr>
            <w:tcW w:w="1101"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岗位</w:t>
            </w:r>
            <w:r/>
          </w:p>
        </w:tc>
        <w:tc>
          <w:tcPr>
            <w:tcW w:w="3492"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服务内容及要求</w:t>
            </w:r>
            <w:r/>
          </w:p>
        </w:tc>
      </w:tr>
      <w:tr>
        <w:trPr>
          <w:trHeight w:val="391"/>
        </w:trPr>
        <w:tc>
          <w:tcPr>
            <w:tcBorders>
              <w:top w:val="single" w:color="auto" w:sz="4" w:space="0"/>
              <w:left w:val="single" w:color="auto" w:sz="4" w:space="0"/>
              <w:right w:val="single" w:color="auto" w:sz="4" w:space="0"/>
            </w:tcBorders>
            <w:tcW w:w="406"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1</w:t>
            </w:r>
            <w:r/>
          </w:p>
        </w:tc>
        <w:tc>
          <w:tcPr>
            <w:tcBorders>
              <w:top w:val="single" w:color="auto" w:sz="4" w:space="0"/>
              <w:left w:val="single" w:color="auto" w:sz="4" w:space="0"/>
              <w:right w:val="single" w:color="auto" w:sz="4" w:space="0"/>
            </w:tcBorders>
            <w:tcW w:w="1101" w:type="pct"/>
            <w:vAlign w:val="center"/>
            <w:vMerge w:val="restart"/>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数据分析</w:t>
            </w:r>
            <w:r/>
          </w:p>
        </w:tc>
        <w:tc>
          <w:tcPr>
            <w:tcBorders>
              <w:top w:val="single" w:color="auto" w:sz="4" w:space="0"/>
              <w:left w:val="single" w:color="auto" w:sz="4" w:space="0"/>
              <w:right w:val="single" w:color="auto" w:sz="4" w:space="0"/>
            </w:tcBorders>
            <w:tcW w:w="3492" w:type="pct"/>
            <w:vAlign w:val="center"/>
            <w:textDirection w:val="lrTb"/>
            <w:noWrap w:val="false"/>
          </w:tcPr>
          <w:p>
            <w:pPr>
              <w:pStyle w:val="838"/>
              <w:jc w:val="both"/>
              <w:spacing w:line="400" w:lineRule="exact"/>
              <w:rPr>
                <w:rFonts w:eastAsia="仿宋"/>
                <w:b w:val="0"/>
                <w:bCs w:val="0"/>
                <w:color w:val="auto"/>
                <w:sz w:val="24"/>
                <w:highlight w:val="none"/>
              </w:rPr>
            </w:pPr>
            <w:r>
              <w:rPr>
                <w:rFonts w:eastAsia="仿宋"/>
                <w:b w:val="0"/>
                <w:bCs w:val="0"/>
                <w:color w:val="auto"/>
                <w:sz w:val="24"/>
                <w:highlight w:val="none"/>
              </w:rPr>
              <w:t xml:space="preserve">实时向甲方上传监测数据，有异常情况及时向甲方通报。</w:t>
            </w:r>
            <w:r/>
          </w:p>
        </w:tc>
      </w:tr>
      <w:tr>
        <w:trPr>
          <w:trHeight w:val="1104"/>
        </w:trPr>
        <w:tc>
          <w:tcPr>
            <w:tcBorders>
              <w:top w:val="single" w:color="auto" w:sz="4" w:space="0"/>
              <w:left w:val="single" w:color="auto" w:sz="4" w:space="0"/>
              <w:right w:val="single" w:color="auto" w:sz="4" w:space="0"/>
            </w:tcBorders>
            <w:tcW w:w="406"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2</w:t>
            </w:r>
            <w:r/>
          </w:p>
        </w:tc>
        <w:tc>
          <w:tcPr>
            <w:tcBorders>
              <w:left w:val="single" w:color="auto" w:sz="4" w:space="0"/>
              <w:right w:val="single" w:color="auto" w:sz="4" w:space="0"/>
            </w:tcBorders>
            <w:tcW w:w="1101" w:type="pct"/>
            <w:vAlign w:val="center"/>
            <w:vMerge w:val="continue"/>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r>
            <w:r/>
          </w:p>
        </w:tc>
        <w:tc>
          <w:tcPr>
            <w:tcBorders>
              <w:top w:val="single" w:color="auto" w:sz="4" w:space="0"/>
              <w:left w:val="single" w:color="auto" w:sz="4" w:space="0"/>
              <w:right w:val="single" w:color="auto" w:sz="4" w:space="0"/>
            </w:tcBorders>
            <w:tcW w:w="3492" w:type="pct"/>
            <w:vAlign w:val="center"/>
            <w:textDirection w:val="lrTb"/>
            <w:noWrap w:val="false"/>
          </w:tcPr>
          <w:p>
            <w:pPr>
              <w:pStyle w:val="838"/>
              <w:jc w:val="both"/>
              <w:spacing w:line="400" w:lineRule="exact"/>
              <w:rPr>
                <w:rFonts w:eastAsia="仿宋"/>
                <w:b w:val="0"/>
                <w:bCs w:val="0"/>
                <w:color w:val="auto"/>
                <w:sz w:val="24"/>
                <w:highlight w:val="none"/>
              </w:rPr>
            </w:pPr>
            <w:r>
              <w:rPr>
                <w:rFonts w:eastAsia="仿宋"/>
                <w:b w:val="0"/>
                <w:bCs w:val="0"/>
                <w:color w:val="auto"/>
                <w:sz w:val="24"/>
                <w:highlight w:val="none"/>
              </w:rPr>
              <w:t xml:space="preserve">定期提交周报、月报、季报、年报；按需提供专项报告；每季度通过至少两种硬件储存介质，向甲方提供本项目取得的在线监测、线下巡查、一企一档等全部数据。</w:t>
            </w:r>
            <w:r/>
          </w:p>
        </w:tc>
      </w:tr>
      <w:tr>
        <w:trPr>
          <w:trHeight w:val="271"/>
        </w:trPr>
        <w:tc>
          <w:tcPr>
            <w:tcBorders>
              <w:top w:val="single" w:color="auto" w:sz="4" w:space="0"/>
              <w:left w:val="single" w:color="auto" w:sz="4" w:space="0"/>
              <w:right w:val="single" w:color="auto" w:sz="4" w:space="0"/>
            </w:tcBorders>
            <w:tcW w:w="406"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3</w:t>
            </w:r>
            <w:r/>
          </w:p>
        </w:tc>
        <w:tc>
          <w:tcPr>
            <w:tcBorders>
              <w:left w:val="single" w:color="auto" w:sz="4" w:space="0"/>
              <w:right w:val="single" w:color="auto" w:sz="4" w:space="0"/>
            </w:tcBorders>
            <w:tcW w:w="1101" w:type="pct"/>
            <w:vAlign w:val="center"/>
            <w:vMerge w:val="continue"/>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r>
            <w:r/>
          </w:p>
        </w:tc>
        <w:tc>
          <w:tcPr>
            <w:tcBorders>
              <w:top w:val="single" w:color="auto" w:sz="4" w:space="0"/>
              <w:left w:val="single" w:color="auto" w:sz="4" w:space="0"/>
              <w:right w:val="single" w:color="auto" w:sz="4" w:space="0"/>
            </w:tcBorders>
            <w:tcW w:w="3492" w:type="pct"/>
            <w:vAlign w:val="center"/>
            <w:textDirection w:val="lrTb"/>
            <w:noWrap w:val="false"/>
          </w:tcPr>
          <w:p>
            <w:pPr>
              <w:pStyle w:val="838"/>
              <w:jc w:val="both"/>
              <w:spacing w:line="400" w:lineRule="exact"/>
              <w:rPr>
                <w:rFonts w:eastAsia="仿宋"/>
                <w:b w:val="0"/>
                <w:bCs w:val="0"/>
                <w:color w:val="auto"/>
                <w:sz w:val="24"/>
                <w:highlight w:val="none"/>
              </w:rPr>
            </w:pPr>
            <w:r>
              <w:rPr>
                <w:rFonts w:eastAsia="仿宋"/>
                <w:b w:val="0"/>
                <w:bCs w:val="0"/>
                <w:color w:val="auto"/>
                <w:sz w:val="24"/>
                <w:highlight w:val="none"/>
              </w:rPr>
              <w:t xml:space="preserve">调度属地街道、运维人员，提报交办单。</w:t>
            </w:r>
            <w:r/>
          </w:p>
        </w:tc>
      </w:tr>
      <w:tr>
        <w:trPr>
          <w:trHeight w:val="393"/>
        </w:trPr>
        <w:tc>
          <w:tcPr>
            <w:tcBorders>
              <w:top w:val="single" w:color="auto" w:sz="4" w:space="0"/>
              <w:left w:val="single" w:color="auto" w:sz="4" w:space="0"/>
              <w:right w:val="single" w:color="auto" w:sz="4" w:space="0"/>
            </w:tcBorders>
            <w:tcW w:w="406" w:type="pct"/>
            <w:vAlign w:val="center"/>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t xml:space="preserve">4</w:t>
            </w:r>
            <w:r/>
          </w:p>
        </w:tc>
        <w:tc>
          <w:tcPr>
            <w:tcBorders>
              <w:left w:val="single" w:color="auto" w:sz="4" w:space="0"/>
              <w:right w:val="single" w:color="auto" w:sz="4" w:space="0"/>
            </w:tcBorders>
            <w:tcW w:w="1101" w:type="pct"/>
            <w:vAlign w:val="center"/>
            <w:vMerge w:val="continue"/>
            <w:textDirection w:val="lrTb"/>
            <w:noWrap w:val="false"/>
          </w:tcPr>
          <w:p>
            <w:pPr>
              <w:pStyle w:val="838"/>
              <w:spacing w:line="400" w:lineRule="exact"/>
              <w:rPr>
                <w:rFonts w:eastAsia="仿宋"/>
                <w:b w:val="0"/>
                <w:bCs w:val="0"/>
                <w:color w:val="auto"/>
                <w:sz w:val="24"/>
                <w:highlight w:val="none"/>
              </w:rPr>
            </w:pPr>
            <w:r>
              <w:rPr>
                <w:rFonts w:eastAsia="仿宋"/>
                <w:b w:val="0"/>
                <w:bCs w:val="0"/>
                <w:color w:val="auto"/>
                <w:sz w:val="24"/>
                <w:highlight w:val="none"/>
              </w:rPr>
            </w:r>
            <w:r/>
          </w:p>
        </w:tc>
        <w:tc>
          <w:tcPr>
            <w:tcBorders>
              <w:top w:val="single" w:color="auto" w:sz="4" w:space="0"/>
              <w:left w:val="single" w:color="auto" w:sz="4" w:space="0"/>
              <w:right w:val="single" w:color="auto" w:sz="4" w:space="0"/>
            </w:tcBorders>
            <w:tcW w:w="3492" w:type="pct"/>
            <w:vAlign w:val="center"/>
            <w:textDirection w:val="lrTb"/>
            <w:noWrap w:val="false"/>
          </w:tcPr>
          <w:p>
            <w:pPr>
              <w:pStyle w:val="838"/>
              <w:jc w:val="both"/>
              <w:spacing w:line="400" w:lineRule="exact"/>
              <w:rPr>
                <w:rFonts w:eastAsia="仿宋"/>
                <w:b w:val="0"/>
                <w:bCs w:val="0"/>
                <w:color w:val="auto"/>
                <w:sz w:val="24"/>
                <w:highlight w:val="none"/>
              </w:rPr>
            </w:pPr>
            <w:r>
              <w:rPr>
                <w:rFonts w:eastAsia="仿宋"/>
                <w:b w:val="0"/>
                <w:bCs w:val="0"/>
                <w:color w:val="auto"/>
                <w:sz w:val="24"/>
                <w:highlight w:val="none"/>
              </w:rPr>
              <w:t xml:space="preserve">其他涉及本项目的相关驻场工作。</w:t>
            </w:r>
            <w:r/>
          </w:p>
        </w:tc>
      </w:tr>
    </w:tbl>
    <w:p>
      <w:pPr>
        <w:numPr>
          <w:ilvl w:val="0"/>
          <w:numId w:val="7"/>
        </w:numPr>
        <w:spacing w:line="360" w:lineRule="auto"/>
        <w:rPr>
          <w:rFonts w:eastAsia="仿宋"/>
          <w:b/>
          <w:bCs/>
          <w:color w:val="auto"/>
          <w:sz w:val="24"/>
          <w:highlight w:val="none"/>
        </w:rPr>
      </w:pPr>
      <w:r>
        <w:rPr>
          <w:rFonts w:hint="eastAsia" w:eastAsia="仿宋"/>
          <w:b/>
          <w:bCs/>
          <w:color w:val="auto"/>
          <w:sz w:val="24"/>
          <w:highlight w:val="none"/>
        </w:rPr>
        <w:t xml:space="preserve">监测系统及监测设备技术</w:t>
      </w:r>
      <w:r>
        <w:rPr>
          <w:rFonts w:hint="eastAsia" w:eastAsia="仿宋"/>
          <w:b/>
          <w:bCs/>
          <w:color w:val="auto"/>
          <w:sz w:val="24"/>
          <w:highlight w:val="none"/>
          <w:lang w:val="en-US" w:eastAsia="zh-CN"/>
        </w:rPr>
        <w:t xml:space="preserve">参数</w:t>
      </w:r>
      <w:r>
        <w:rPr>
          <w:rFonts w:hint="eastAsia" w:eastAsia="仿宋"/>
          <w:b/>
          <w:bCs/>
          <w:color w:val="auto"/>
          <w:sz w:val="24"/>
          <w:highlight w:val="none"/>
        </w:rPr>
        <w:t xml:space="preserve">要求</w:t>
      </w:r>
      <w:r/>
    </w:p>
    <w:p>
      <w:pPr>
        <w:ind w:firstLine="480"/>
        <w:spacing w:line="360" w:lineRule="auto"/>
        <w:rPr>
          <w:rFonts w:eastAsia="仿宋"/>
          <w:bCs/>
          <w:color w:val="auto"/>
          <w:sz w:val="24"/>
          <w:highlight w:val="none"/>
        </w:rPr>
      </w:pPr>
      <w:r>
        <w:rPr>
          <w:rFonts w:hint="eastAsia" w:ascii="仿宋" w:hAnsi="仿宋" w:eastAsia="仿宋" w:cs="宋体"/>
          <w:bCs/>
          <w:color w:val="auto"/>
          <w:sz w:val="24"/>
          <w:highlight w:val="none"/>
        </w:rPr>
        <w:t xml:space="preserve">1.餐饮油烟及涉VOCs在线监测系统技术要求</w:t>
      </w:r>
      <w:r/>
    </w:p>
    <w:tbl>
      <w:tblPr>
        <w:tblStyle w:val="829"/>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137"/>
        <w:gridCol w:w="5989"/>
      </w:tblGrid>
      <w:tr>
        <w:trPr>
          <w:jc w:val="center"/>
          <w:trHeight w:val="454"/>
        </w:trPr>
        <w:tc>
          <w:tcPr>
            <w:gridSpan w:val="3"/>
            <w:shd w:val="clear" w:color="auto" w:fill="auto"/>
            <w:tcW w:w="8828" w:type="dxa"/>
            <w:vAlign w:val="center"/>
            <w:textDirection w:val="lrTb"/>
            <w:noWrap w:val="false"/>
          </w:tcPr>
          <w:p>
            <w:pPr>
              <w:jc w:val="center"/>
              <w:rPr>
                <w:rFonts w:eastAsia="仿宋"/>
                <w:color w:val="auto"/>
                <w:sz w:val="24"/>
                <w:highlight w:val="none"/>
              </w:rPr>
            </w:pPr>
            <w:r>
              <w:rPr>
                <w:rFonts w:eastAsia="仿宋"/>
                <w:b/>
                <w:bCs/>
                <w:color w:val="auto"/>
                <w:sz w:val="24"/>
                <w:highlight w:val="none"/>
              </w:rPr>
              <w:t xml:space="preserve">系统软件技术要求</w:t>
            </w:r>
            <w:r/>
          </w:p>
        </w:tc>
      </w:tr>
      <w:tr>
        <w:trPr>
          <w:jc w:val="center"/>
          <w:trHeight w:val="454"/>
        </w:trPr>
        <w:tc>
          <w:tcPr>
            <w:shd w:val="clear" w:color="auto" w:fill="auto"/>
            <w:tcW w:w="702"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序号</w:t>
            </w:r>
            <w:r/>
          </w:p>
        </w:tc>
        <w:tc>
          <w:tcPr>
            <w:shd w:val="clear" w:color="auto" w:fill="auto"/>
            <w:tcW w:w="2137"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名称</w:t>
            </w:r>
            <w:r/>
          </w:p>
        </w:tc>
        <w:tc>
          <w:tcPr>
            <w:shd w:val="clear" w:color="auto" w:fill="auto"/>
            <w:tcW w:w="5989"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功能、性能、配置或服务要求</w:t>
            </w:r>
            <w:r/>
          </w:p>
        </w:tc>
      </w:tr>
      <w:tr>
        <w:trPr>
          <w:jc w:val="center"/>
          <w:trHeight w:val="454"/>
        </w:trPr>
        <w:tc>
          <w:tcPr>
            <w:shd w:val="clear" w:color="auto" w:fill="auto"/>
            <w:tcW w:w="702"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1</w:t>
            </w:r>
            <w:r/>
          </w:p>
        </w:tc>
        <w:tc>
          <w:tcPr>
            <w:shd w:val="clear" w:color="auto" w:fill="auto"/>
            <w:tcW w:w="2137"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在线监测系统</w:t>
            </w:r>
            <w:r/>
          </w:p>
        </w:tc>
        <w:tc>
          <w:tcPr>
            <w:shd w:val="clear" w:color="auto" w:fill="auto"/>
            <w:tcW w:w="5989" w:type="dxa"/>
            <w:vAlign w:val="center"/>
            <w:textDirection w:val="lrTb"/>
            <w:noWrap w:val="false"/>
          </w:tcPr>
          <w:p>
            <w:pPr>
              <w:spacing w:line="360" w:lineRule="auto"/>
              <w:rPr>
                <w:rFonts w:eastAsia="仿宋"/>
                <w:color w:val="auto"/>
                <w:sz w:val="24"/>
                <w:highlight w:val="none"/>
              </w:rPr>
            </w:pPr>
            <w:r>
              <w:rPr>
                <w:rFonts w:eastAsia="仿宋"/>
                <w:color w:val="auto"/>
                <w:sz w:val="24"/>
                <w:highlight w:val="none"/>
              </w:rPr>
              <w:t xml:space="preserve">餐饮油烟及涉VOCs在线监测系统、APP（支持Android及IOS）</w:t>
            </w:r>
            <w:r/>
          </w:p>
        </w:tc>
      </w:tr>
      <w:tr>
        <w:trPr>
          <w:jc w:val="center"/>
          <w:trHeight w:val="454"/>
        </w:trPr>
        <w:tc>
          <w:tcPr>
            <w:shd w:val="clear" w:color="auto" w:fill="auto"/>
            <w:tcW w:w="702"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2</w:t>
            </w:r>
            <w:r/>
          </w:p>
        </w:tc>
        <w:tc>
          <w:tcPr>
            <w:shd w:val="clear" w:color="auto" w:fill="auto"/>
            <w:tcW w:w="2137"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数据时效性</w:t>
            </w:r>
            <w:r/>
          </w:p>
        </w:tc>
        <w:tc>
          <w:tcPr>
            <w:shd w:val="clear" w:color="auto" w:fill="auto"/>
            <w:tcW w:w="5989" w:type="dxa"/>
            <w:vAlign w:val="center"/>
            <w:textDirection w:val="lrTb"/>
            <w:noWrap w:val="false"/>
          </w:tcPr>
          <w:p>
            <w:pPr>
              <w:spacing w:line="360" w:lineRule="auto"/>
              <w:rPr>
                <w:rFonts w:eastAsia="仿宋"/>
                <w:color w:val="auto"/>
                <w:sz w:val="24"/>
                <w:highlight w:val="none"/>
              </w:rPr>
            </w:pPr>
            <w:r>
              <w:rPr>
                <w:rFonts w:eastAsia="仿宋"/>
                <w:color w:val="auto"/>
                <w:sz w:val="24"/>
                <w:highlight w:val="none"/>
              </w:rPr>
              <w:t xml:space="preserve">成交供应商需确保监测数据的时效性，展现数据需实时获取，平台支持1分钟数据更新。</w:t>
            </w:r>
            <w:r/>
          </w:p>
        </w:tc>
      </w:tr>
      <w:tr>
        <w:trPr>
          <w:jc w:val="center"/>
          <w:trHeight w:val="454"/>
        </w:trPr>
        <w:tc>
          <w:tcPr>
            <w:shd w:val="clear" w:color="auto" w:fill="auto"/>
            <w:tcW w:w="702" w:type="dxa"/>
            <w:vAlign w:val="center"/>
            <w:textDirection w:val="lrTb"/>
            <w:noWrap w:val="false"/>
          </w:tcPr>
          <w:p>
            <w:pPr>
              <w:ind w:firstLine="960"/>
              <w:jc w:val="center"/>
              <w:spacing w:line="360" w:lineRule="auto"/>
              <w:rPr>
                <w:rFonts w:eastAsia="仿宋"/>
                <w:color w:val="auto"/>
                <w:sz w:val="24"/>
                <w:highlight w:val="none"/>
              </w:rPr>
            </w:pPr>
            <w:r>
              <w:rPr>
                <w:rFonts w:eastAsia="仿宋"/>
                <w:color w:val="auto"/>
                <w:sz w:val="24"/>
                <w:highlight w:val="none"/>
              </w:rPr>
              <w:t xml:space="preserve">33</w:t>
            </w:r>
            <w:r/>
          </w:p>
        </w:tc>
        <w:tc>
          <w:tcPr>
            <w:shd w:val="clear" w:color="auto" w:fill="auto"/>
            <w:tcW w:w="2137"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油烟在线监测系统功能</w:t>
            </w:r>
            <w:r/>
          </w:p>
        </w:tc>
        <w:tc>
          <w:tcPr>
            <w:shd w:val="clear" w:color="auto" w:fill="auto"/>
            <w:tcW w:w="5989" w:type="dxa"/>
            <w:vAlign w:val="center"/>
            <w:textDirection w:val="lrTb"/>
            <w:noWrap w:val="false"/>
          </w:tcPr>
          <w:p>
            <w:pPr>
              <w:pStyle w:val="838"/>
              <w:jc w:val="both"/>
              <w:spacing w:line="360" w:lineRule="auto"/>
              <w:rPr>
                <w:rFonts w:eastAsia="仿宋"/>
                <w:b w:val="0"/>
                <w:bCs w:val="0"/>
                <w:color w:val="auto"/>
                <w:sz w:val="24"/>
                <w:highlight w:val="none"/>
              </w:rPr>
            </w:pPr>
            <w:r>
              <w:rPr>
                <w:rFonts w:eastAsia="仿宋"/>
                <w:b w:val="0"/>
                <w:bCs w:val="0"/>
                <w:color w:val="auto"/>
                <w:sz w:val="24"/>
                <w:highlight w:val="none"/>
              </w:rPr>
              <w:t xml:space="preserve">油烟在线监测具有以下功能：</w:t>
            </w:r>
            <w:r/>
          </w:p>
          <w:p>
            <w:pPr>
              <w:spacing w:line="360" w:lineRule="auto"/>
              <w:rPr>
                <w:rFonts w:eastAsia="仿宋"/>
                <w:color w:val="auto"/>
                <w:sz w:val="24"/>
                <w:highlight w:val="none"/>
              </w:rPr>
            </w:pPr>
            <w:r>
              <w:rPr>
                <w:rFonts w:hint="eastAsia" w:eastAsia="仿宋"/>
                <w:color w:val="auto"/>
                <w:sz w:val="24"/>
                <w:highlight w:val="none"/>
              </w:rPr>
              <w:t xml:space="preserve">3.1</w:t>
            </w:r>
            <w:r>
              <w:rPr>
                <w:rFonts w:eastAsia="仿宋"/>
                <w:color w:val="auto"/>
                <w:sz w:val="24"/>
                <w:highlight w:val="none"/>
              </w:rPr>
              <w:t xml:space="preserve">能够查看油烟浓度、电流量等实时监测数据，同时支持对企业数量，净化器及监测仪数量等安装监测情况、企业营业状态及占比、设备正常运行数及占比、异常运行（含设备未正常开启、故障）数量及占比、排放超标数量及占比等进行计算分析，并能对即将超标企业提前预警提示。</w:t>
            </w:r>
            <w:r/>
          </w:p>
          <w:p>
            <w:pPr>
              <w:spacing w:line="360" w:lineRule="auto"/>
              <w:rPr>
                <w:rFonts w:eastAsia="仿宋"/>
                <w:color w:val="auto"/>
                <w:sz w:val="24"/>
                <w:highlight w:val="none"/>
              </w:rPr>
            </w:pPr>
            <w:r>
              <w:rPr>
                <w:rFonts w:hint="eastAsia" w:eastAsia="仿宋"/>
                <w:color w:val="auto"/>
                <w:sz w:val="24"/>
                <w:highlight w:val="none"/>
              </w:rPr>
              <w:t xml:space="preserve">3.2</w:t>
            </w:r>
            <w:r>
              <w:rPr>
                <w:rFonts w:eastAsia="仿宋"/>
                <w:color w:val="auto"/>
                <w:sz w:val="24"/>
                <w:highlight w:val="none"/>
              </w:rPr>
              <w:t xml:space="preserve">能够对监测企业进行管理维护，包括企业信息录入及修改、企业基本信息应包括企业编码及名称、联系人及联系方式、营业执照及许可证、详细地址、企业状态、灶头数、面积数等。</w:t>
            </w:r>
            <w:r/>
          </w:p>
          <w:p>
            <w:pPr>
              <w:spacing w:line="360" w:lineRule="auto"/>
              <w:rPr>
                <w:rFonts w:eastAsia="仿宋"/>
                <w:color w:val="auto"/>
                <w:sz w:val="24"/>
                <w:highlight w:val="none"/>
              </w:rPr>
            </w:pPr>
            <w:r>
              <w:rPr>
                <w:rFonts w:hint="eastAsia" w:eastAsia="仿宋"/>
                <w:color w:val="auto"/>
                <w:sz w:val="24"/>
                <w:highlight w:val="none"/>
              </w:rPr>
              <w:t xml:space="preserve">3.3</w:t>
            </w:r>
            <w:r>
              <w:rPr>
                <w:rFonts w:eastAsia="仿宋"/>
                <w:color w:val="auto"/>
                <w:sz w:val="24"/>
                <w:highlight w:val="none"/>
              </w:rPr>
              <w:t xml:space="preserve">能够对企业安装的净化器安装及设备品牌信息、监测仪安装信息等进行维护和管理。</w:t>
            </w:r>
            <w:r/>
          </w:p>
          <w:p>
            <w:pPr>
              <w:spacing w:line="360" w:lineRule="auto"/>
              <w:rPr>
                <w:rFonts w:eastAsia="仿宋"/>
                <w:color w:val="auto"/>
                <w:sz w:val="24"/>
                <w:highlight w:val="none"/>
              </w:rPr>
            </w:pPr>
            <w:r>
              <w:rPr>
                <w:rFonts w:hint="eastAsia" w:eastAsia="仿宋"/>
                <w:color w:val="auto"/>
                <w:sz w:val="24"/>
                <w:highlight w:val="none"/>
              </w:rPr>
              <w:t xml:space="preserve">3.4</w:t>
            </w:r>
            <w:r>
              <w:rPr>
                <w:rFonts w:eastAsia="仿宋"/>
                <w:color w:val="auto"/>
                <w:sz w:val="24"/>
                <w:highlight w:val="none"/>
              </w:rPr>
              <w:t xml:space="preserve">系统需具有数据大屏，可一目了然的查看秦淮</w:t>
            </w:r>
            <w:r>
              <w:rPr>
                <w:rFonts w:hint="eastAsia" w:eastAsia="仿宋"/>
                <w:color w:val="auto"/>
                <w:sz w:val="24"/>
                <w:highlight w:val="none"/>
              </w:rPr>
              <w:t xml:space="preserve">区</w:t>
            </w:r>
            <w:r>
              <w:rPr>
                <w:rFonts w:eastAsia="仿宋"/>
                <w:color w:val="auto"/>
                <w:sz w:val="24"/>
                <w:highlight w:val="none"/>
              </w:rPr>
              <w:t xml:space="preserve">及下属街道的整体安装及异常情况。</w:t>
            </w:r>
            <w:r/>
          </w:p>
          <w:p>
            <w:pPr>
              <w:spacing w:line="360" w:lineRule="auto"/>
              <w:rPr>
                <w:rFonts w:eastAsia="仿宋"/>
                <w:color w:val="auto"/>
                <w:sz w:val="24"/>
                <w:highlight w:val="none"/>
              </w:rPr>
            </w:pPr>
            <w:r>
              <w:rPr>
                <w:rFonts w:hint="eastAsia" w:eastAsia="仿宋"/>
                <w:color w:val="auto"/>
                <w:sz w:val="24"/>
                <w:highlight w:val="none"/>
              </w:rPr>
              <w:t xml:space="preserve">3.5</w:t>
            </w:r>
            <w:r>
              <w:rPr>
                <w:rFonts w:eastAsia="仿宋"/>
                <w:color w:val="auto"/>
                <w:sz w:val="24"/>
                <w:highlight w:val="none"/>
              </w:rPr>
              <w:t xml:space="preserve">系统应可对区域内的整体安装运行情况、历史异常信息进行统计和展示，并可按街道、按时间进行对比展示。</w:t>
            </w:r>
            <w:r/>
          </w:p>
          <w:p>
            <w:pPr>
              <w:spacing w:line="360" w:lineRule="auto"/>
              <w:rPr>
                <w:rFonts w:eastAsia="仿宋"/>
                <w:color w:val="auto"/>
                <w:sz w:val="24"/>
                <w:highlight w:val="none"/>
              </w:rPr>
            </w:pPr>
            <w:r>
              <w:rPr>
                <w:rFonts w:hint="eastAsia" w:eastAsia="仿宋"/>
                <w:color w:val="auto"/>
                <w:sz w:val="24"/>
                <w:highlight w:val="none"/>
              </w:rPr>
              <w:t xml:space="preserve">3.6</w:t>
            </w:r>
            <w:r>
              <w:rPr>
                <w:rFonts w:eastAsia="仿宋"/>
                <w:color w:val="auto"/>
                <w:sz w:val="24"/>
                <w:highlight w:val="none"/>
              </w:rPr>
              <w:t xml:space="preserve">系统应具有政务中心模块，可对油烟治理相关的新闻、政策、公告等进行管理维护并发布到区域，方便相应人员查看。</w:t>
            </w:r>
            <w:r/>
          </w:p>
          <w:p>
            <w:pPr>
              <w:spacing w:line="360" w:lineRule="auto"/>
              <w:rPr>
                <w:rFonts w:eastAsia="仿宋"/>
                <w:color w:val="auto"/>
                <w:sz w:val="24"/>
                <w:highlight w:val="none"/>
              </w:rPr>
            </w:pPr>
            <w:r>
              <w:rPr>
                <w:rFonts w:hint="eastAsia" w:eastAsia="仿宋"/>
                <w:color w:val="auto"/>
                <w:sz w:val="24"/>
                <w:highlight w:val="none"/>
              </w:rPr>
              <w:t xml:space="preserve">3.7</w:t>
            </w:r>
            <w:r>
              <w:rPr>
                <w:rFonts w:eastAsia="仿宋"/>
                <w:color w:val="auto"/>
                <w:sz w:val="24"/>
                <w:highlight w:val="none"/>
              </w:rPr>
              <w:t xml:space="preserve">软件平台应具有电子清洗台账功能，企业用户可通过小程序及app上传清洗记录，并可在web端查看台账具体信息，包括台账企业的店招、负责人等基本信息、受委托单位、所选项目及具体内容、照片、相关负责人签字等内容。</w:t>
            </w:r>
            <w:r/>
          </w:p>
          <w:p>
            <w:pPr>
              <w:spacing w:line="360" w:lineRule="auto"/>
              <w:rPr>
                <w:rFonts w:eastAsia="仿宋"/>
                <w:color w:val="auto"/>
                <w:sz w:val="24"/>
                <w:highlight w:val="none"/>
              </w:rPr>
            </w:pPr>
            <w:r>
              <w:rPr>
                <w:rFonts w:hint="eastAsia" w:eastAsia="仿宋"/>
                <w:color w:val="auto"/>
                <w:sz w:val="24"/>
                <w:highlight w:val="none"/>
              </w:rPr>
              <w:t xml:space="preserve">3.8</w:t>
            </w:r>
            <w:r>
              <w:rPr>
                <w:rFonts w:eastAsia="仿宋"/>
                <w:color w:val="auto"/>
                <w:sz w:val="24"/>
                <w:highlight w:val="none"/>
              </w:rPr>
              <w:t xml:space="preserve">软件平台应具有重点区域配置功能，可按照不同要求划分方式进行重点区域配置及按照配置内容生成区域内重点企业列表，并可自由配置重点区域的油烟浓度超标限制等功能。</w:t>
            </w:r>
            <w:r/>
          </w:p>
          <w:p>
            <w:pPr>
              <w:spacing w:line="360" w:lineRule="auto"/>
              <w:rPr>
                <w:rFonts w:eastAsia="仿宋"/>
                <w:color w:val="auto"/>
                <w:sz w:val="24"/>
                <w:highlight w:val="none"/>
              </w:rPr>
            </w:pPr>
            <w:r>
              <w:rPr>
                <w:rFonts w:hint="eastAsia" w:eastAsia="仿宋"/>
                <w:color w:val="auto"/>
                <w:sz w:val="24"/>
                <w:highlight w:val="none"/>
              </w:rPr>
              <w:t xml:space="preserve">3.9</w:t>
            </w:r>
            <w:r>
              <w:rPr>
                <w:rFonts w:eastAsia="仿宋"/>
                <w:color w:val="auto"/>
                <w:sz w:val="24"/>
                <w:highlight w:val="none"/>
              </w:rPr>
              <w:t xml:space="preserve">软件平台应支持通过app查看监测企业列表及餐饮企业的油烟浓度等实时监测详情。</w:t>
            </w:r>
            <w:r/>
          </w:p>
          <w:p>
            <w:pPr>
              <w:spacing w:line="360" w:lineRule="auto"/>
              <w:rPr>
                <w:rFonts w:eastAsia="仿宋"/>
                <w:color w:val="auto"/>
                <w:sz w:val="24"/>
                <w:highlight w:val="none"/>
              </w:rPr>
            </w:pPr>
            <w:r>
              <w:rPr>
                <w:rFonts w:hint="eastAsia" w:eastAsia="仿宋"/>
                <w:color w:val="auto"/>
                <w:sz w:val="24"/>
                <w:highlight w:val="none"/>
              </w:rPr>
              <w:t xml:space="preserve">3.10</w:t>
            </w:r>
            <w:r>
              <w:rPr>
                <w:rFonts w:eastAsia="仿宋"/>
                <w:color w:val="auto"/>
                <w:sz w:val="24"/>
                <w:highlight w:val="none"/>
              </w:rPr>
              <w:t xml:space="preserve">软件平台具有完备的权限管理功能，对政府各级部门、餐饮企业、运维人员等不同用户开放不同的权限</w:t>
            </w:r>
            <w:r>
              <w:rPr>
                <w:rFonts w:hint="eastAsia" w:eastAsia="仿宋"/>
                <w:color w:val="auto"/>
                <w:sz w:val="24"/>
                <w:highlight w:val="none"/>
              </w:rPr>
              <w:t xml:space="preserve">。</w:t>
            </w:r>
            <w:r/>
          </w:p>
        </w:tc>
      </w:tr>
      <w:tr>
        <w:trPr>
          <w:jc w:val="center"/>
          <w:trHeight w:val="454"/>
        </w:trPr>
        <w:tc>
          <w:tcPr>
            <w:shd w:val="clear" w:color="auto" w:fill="auto"/>
            <w:tcW w:w="702" w:type="dxa"/>
            <w:vAlign w:val="center"/>
            <w:textDirection w:val="lrTb"/>
            <w:noWrap w:val="false"/>
          </w:tcPr>
          <w:p>
            <w:pPr>
              <w:ind w:firstLine="960"/>
              <w:jc w:val="center"/>
              <w:spacing w:line="360" w:lineRule="auto"/>
              <w:rPr>
                <w:rFonts w:eastAsia="仿宋"/>
                <w:color w:val="auto"/>
                <w:sz w:val="24"/>
                <w:highlight w:val="none"/>
              </w:rPr>
            </w:pPr>
            <w:r>
              <w:rPr>
                <w:rFonts w:eastAsia="仿宋"/>
                <w:color w:val="auto"/>
                <w:sz w:val="24"/>
                <w:highlight w:val="none"/>
              </w:rPr>
              <w:t xml:space="preserve">4</w:t>
            </w:r>
            <w:r/>
          </w:p>
          <w:p>
            <w:pPr>
              <w:jc w:val="center"/>
              <w:rPr>
                <w:rFonts w:eastAsia="仿宋"/>
                <w:color w:val="auto"/>
                <w:sz w:val="24"/>
                <w:highlight w:val="none"/>
              </w:rPr>
            </w:pPr>
            <w:r>
              <w:rPr>
                <w:rFonts w:eastAsia="仿宋"/>
                <w:color w:val="auto"/>
                <w:sz w:val="24"/>
                <w:highlight w:val="none"/>
              </w:rPr>
              <w:t xml:space="preserve">4</w:t>
            </w:r>
            <w:r/>
          </w:p>
        </w:tc>
        <w:tc>
          <w:tcPr>
            <w:shd w:val="clear" w:color="auto" w:fill="auto"/>
            <w:tcW w:w="2137"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VOCs在线监测系统功能</w:t>
            </w:r>
            <w:r/>
          </w:p>
        </w:tc>
        <w:tc>
          <w:tcPr>
            <w:shd w:val="clear" w:color="auto" w:fill="auto"/>
            <w:tcW w:w="5989" w:type="dxa"/>
            <w:vAlign w:val="center"/>
            <w:textDirection w:val="lrTb"/>
            <w:noWrap w:val="false"/>
          </w:tcPr>
          <w:p>
            <w:pPr>
              <w:spacing w:line="360" w:lineRule="auto"/>
              <w:rPr>
                <w:rFonts w:eastAsia="仿宋"/>
                <w:color w:val="auto"/>
                <w:sz w:val="24"/>
                <w:highlight w:val="none"/>
              </w:rPr>
            </w:pPr>
            <w:r>
              <w:rPr>
                <w:rFonts w:eastAsia="仿宋"/>
                <w:color w:val="auto"/>
                <w:sz w:val="24"/>
                <w:highlight w:val="none"/>
              </w:rPr>
              <w:t xml:space="preserve">VOCs在线监测具有以下功能：</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4.1</w:t>
            </w:r>
            <w:r>
              <w:rPr>
                <w:rFonts w:eastAsia="仿宋"/>
                <w:color w:val="auto"/>
                <w:sz w:val="24"/>
                <w:highlight w:val="none"/>
              </w:rPr>
              <w:t xml:space="preserve">能够查看排口VOCs浓度、风机开关、排口温度、排口压力、排口流速、烤灯开关、炭箱温度、炭箱流速、炭箱压强、炭箱湿度、炭箱灰度。</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4.2</w:t>
            </w:r>
            <w:r>
              <w:rPr>
                <w:rFonts w:eastAsia="仿宋"/>
                <w:color w:val="auto"/>
                <w:sz w:val="24"/>
                <w:highlight w:val="none"/>
              </w:rPr>
              <w:t xml:space="preserve">能够在系统平台生成巡检工单，处理巡检、新增巡检、查看某家企业的巡检记录、查看所有巡检记录，并支持下载导出。</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4.3</w:t>
            </w:r>
            <w:r>
              <w:rPr>
                <w:rFonts w:eastAsia="仿宋"/>
                <w:color w:val="auto"/>
                <w:sz w:val="24"/>
                <w:highlight w:val="none"/>
              </w:rPr>
              <w:t xml:space="preserve">能够展示企业数量，处置设施及监测仪数量等安装监测情况、设备正常运行数、异常运行数（含设备离线、故障、超标、历史趋势图）等。能通过区域、街道、监控点名称等组合条件查询监控点信息。能用图表展示每个监控点的当前浓度值。</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4.4</w:t>
            </w:r>
            <w:r>
              <w:rPr>
                <w:rFonts w:eastAsia="仿宋"/>
                <w:color w:val="auto"/>
                <w:sz w:val="24"/>
                <w:highlight w:val="none"/>
              </w:rPr>
              <w:t xml:space="preserve">能够显示监测企业基本信息，包括企业信息录入及修改、企业基本信息（包括企业统一社会信用代码、企业工商登记名、门头店招、行业类型、联系人、联系电话、详细地址）以及监测企业的处置设施基本信息（含编号、名称、安装位置、处置工艺、现场照片等）。</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4.5</w:t>
            </w:r>
            <w:r>
              <w:rPr>
                <w:rFonts w:eastAsia="仿宋"/>
                <w:color w:val="auto"/>
                <w:sz w:val="24"/>
                <w:highlight w:val="none"/>
              </w:rPr>
              <w:t xml:space="preserve">系统需具有区域总览数据大屏功能，支持通过大屏、PC端等方式查看，可一目了然的查看秦淮区及下属街道的整体安装及异常情况；系统应具有政务中心模块，可对VOCs治理相关的新闻、政策、公告等进行管理维护并发布到区域，方便相应人员查看。</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4.6</w:t>
            </w:r>
            <w:r>
              <w:rPr>
                <w:rFonts w:eastAsia="仿宋"/>
                <w:color w:val="auto"/>
                <w:sz w:val="24"/>
                <w:highlight w:val="none"/>
              </w:rPr>
              <w:t xml:space="preserve">系统需具有企业填报精细化管理台账功能，可填报VOCs含量、原辅料VOCs、水性涂料VOCs含量等。</w:t>
            </w:r>
            <w:r/>
          </w:p>
          <w:p>
            <w:pPr>
              <w:pStyle w:val="1029"/>
              <w:ind w:firstLine="0"/>
              <w:spacing w:line="360" w:lineRule="auto"/>
              <w:rPr>
                <w:rFonts w:eastAsia="仿宋"/>
                <w:color w:val="auto"/>
                <w:sz w:val="24"/>
                <w:highlight w:val="none"/>
              </w:rPr>
            </w:pPr>
            <w:r>
              <w:rPr>
                <w:rFonts w:hint="eastAsia" w:eastAsia="仿宋"/>
                <w:color w:val="auto"/>
                <w:sz w:val="24"/>
                <w:highlight w:val="none"/>
              </w:rPr>
              <w:t xml:space="preserve">4.7</w:t>
            </w:r>
            <w:r>
              <w:rPr>
                <w:rFonts w:eastAsia="仿宋"/>
                <w:color w:val="auto"/>
                <w:sz w:val="24"/>
                <w:highlight w:val="none"/>
              </w:rPr>
              <w:t xml:space="preserve">软件平台应支持通过app查看监测企业列表等实时监测详情。</w:t>
            </w:r>
            <w:r/>
          </w:p>
          <w:p>
            <w:pPr>
              <w:spacing w:line="360" w:lineRule="auto"/>
              <w:rPr>
                <w:rFonts w:eastAsia="仿宋"/>
                <w:color w:val="auto"/>
                <w:sz w:val="24"/>
                <w:highlight w:val="none"/>
              </w:rPr>
            </w:pPr>
            <w:r>
              <w:rPr>
                <w:rFonts w:hint="eastAsia" w:eastAsia="仿宋"/>
                <w:color w:val="auto"/>
                <w:sz w:val="24"/>
                <w:highlight w:val="none"/>
              </w:rPr>
              <w:t xml:space="preserve">4.8</w:t>
            </w:r>
            <w:r>
              <w:rPr>
                <w:rFonts w:eastAsia="仿宋"/>
                <w:color w:val="auto"/>
                <w:sz w:val="24"/>
                <w:highlight w:val="none"/>
              </w:rPr>
              <w:t xml:space="preserve">软件平台具有完备的权限管理功能，对政府各级部门、企业、运维人员等不同用户开放不同的权限</w:t>
            </w:r>
            <w:r>
              <w:rPr>
                <w:rFonts w:hint="eastAsia" w:eastAsia="仿宋"/>
                <w:color w:val="auto"/>
                <w:sz w:val="24"/>
                <w:highlight w:val="none"/>
              </w:rPr>
              <w:t xml:space="preserve">。</w:t>
            </w:r>
            <w:r/>
          </w:p>
        </w:tc>
      </w:tr>
      <w:tr>
        <w:trPr>
          <w:jc w:val="center"/>
          <w:trHeight w:val="454"/>
        </w:trPr>
        <w:tc>
          <w:tcPr>
            <w:shd w:val="clear" w:color="auto" w:fill="auto"/>
            <w:tcW w:w="702" w:type="dxa"/>
            <w:vAlign w:val="center"/>
            <w:textDirection w:val="lrTb"/>
            <w:noWrap w:val="false"/>
          </w:tcPr>
          <w:p>
            <w:pPr>
              <w:ind w:firstLine="960"/>
              <w:jc w:val="center"/>
              <w:spacing w:line="360" w:lineRule="auto"/>
              <w:rPr>
                <w:rFonts w:eastAsia="仿宋"/>
                <w:color w:val="auto"/>
                <w:sz w:val="24"/>
                <w:highlight w:val="none"/>
              </w:rPr>
            </w:pPr>
            <w:r>
              <w:rPr>
                <w:rFonts w:eastAsia="仿宋"/>
                <w:color w:val="auto"/>
                <w:sz w:val="24"/>
                <w:highlight w:val="none"/>
              </w:rPr>
            </w:r>
            <w:r/>
          </w:p>
          <w:p>
            <w:pPr>
              <w:jc w:val="center"/>
              <w:rPr>
                <w:rFonts w:eastAsia="仿宋"/>
                <w:color w:val="auto"/>
                <w:sz w:val="24"/>
                <w:highlight w:val="none"/>
              </w:rPr>
            </w:pPr>
            <w:r>
              <w:rPr>
                <w:rFonts w:eastAsia="仿宋"/>
                <w:color w:val="auto"/>
                <w:sz w:val="24"/>
                <w:highlight w:val="none"/>
              </w:rPr>
              <w:t xml:space="preserve">5</w:t>
            </w:r>
            <w:r/>
          </w:p>
        </w:tc>
        <w:tc>
          <w:tcPr>
            <w:shd w:val="clear" w:color="auto" w:fill="auto"/>
            <w:tcW w:w="2137"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数据对接（系统数据集成）</w:t>
            </w:r>
            <w:r/>
          </w:p>
        </w:tc>
        <w:tc>
          <w:tcPr>
            <w:shd w:val="clear" w:color="auto" w:fill="auto"/>
            <w:tcW w:w="5989" w:type="dxa"/>
            <w:vAlign w:val="center"/>
            <w:textDirection w:val="lrTb"/>
            <w:noWrap w:val="false"/>
          </w:tcPr>
          <w:p>
            <w:pPr>
              <w:spacing w:line="360" w:lineRule="auto"/>
              <w:rPr>
                <w:rFonts w:eastAsia="仿宋"/>
                <w:color w:val="auto"/>
                <w:sz w:val="24"/>
                <w:highlight w:val="none"/>
              </w:rPr>
            </w:pPr>
            <w:r>
              <w:rPr>
                <w:rFonts w:hint="eastAsia" w:eastAsia="仿宋"/>
                <w:color w:val="auto"/>
                <w:sz w:val="24"/>
                <w:highlight w:val="none"/>
              </w:rPr>
              <w:t xml:space="preserve">5.1</w:t>
            </w:r>
            <w:r>
              <w:rPr>
                <w:rFonts w:eastAsia="仿宋"/>
                <w:color w:val="auto"/>
                <w:sz w:val="24"/>
                <w:highlight w:val="none"/>
              </w:rPr>
              <w:t xml:space="preserve">餐饮油烟及涉VOCs在线监测软件（简称在线监测系统）与在线监测设备对接，使在线监测系统软件平台匹配在线监测设备的数据格式及数据通讯协议，可实时接收并展示在线监测设备采集上报的监测数据。</w:t>
            </w:r>
            <w:r/>
          </w:p>
          <w:p>
            <w:pPr>
              <w:spacing w:line="360" w:lineRule="auto"/>
              <w:rPr>
                <w:rFonts w:eastAsia="仿宋"/>
                <w:color w:val="auto"/>
                <w:sz w:val="24"/>
                <w:highlight w:val="none"/>
              </w:rPr>
            </w:pPr>
            <w:r>
              <w:rPr>
                <w:rFonts w:hint="eastAsia" w:eastAsia="仿宋"/>
                <w:color w:val="auto"/>
                <w:sz w:val="24"/>
                <w:highlight w:val="none"/>
              </w:rPr>
              <w:t xml:space="preserve">5.2</w:t>
            </w:r>
            <w:r>
              <w:rPr>
                <w:rFonts w:eastAsia="仿宋"/>
                <w:color w:val="auto"/>
                <w:sz w:val="24"/>
                <w:highlight w:val="none"/>
              </w:rPr>
              <w:t xml:space="preserve">在线监测系统软件APP与在线监测系统软件平台对接，实现APP端与PC端的数据传输功能，并使两端数据保持同步。</w:t>
            </w:r>
            <w:r/>
          </w:p>
          <w:p>
            <w:pPr>
              <w:spacing w:line="360" w:lineRule="auto"/>
              <w:rPr>
                <w:rFonts w:eastAsia="仿宋"/>
                <w:color w:val="auto"/>
                <w:sz w:val="24"/>
                <w:highlight w:val="none"/>
              </w:rPr>
            </w:pPr>
            <w:r>
              <w:rPr>
                <w:rFonts w:hint="eastAsia" w:eastAsia="仿宋"/>
                <w:color w:val="auto"/>
                <w:sz w:val="24"/>
                <w:highlight w:val="none"/>
              </w:rPr>
              <w:t xml:space="preserve">5.3</w:t>
            </w:r>
            <w:r>
              <w:rPr>
                <w:rFonts w:eastAsia="仿宋"/>
                <w:color w:val="auto"/>
                <w:sz w:val="24"/>
                <w:highlight w:val="none"/>
              </w:rPr>
              <w:t xml:space="preserve">在线监测系统软件APP、在线监测系统软件平台、在线监测设备的数据应保持实时同步，并保证三方数据的准确性与一致性。</w:t>
            </w:r>
            <w:r/>
          </w:p>
          <w:p>
            <w:pPr>
              <w:spacing w:line="360" w:lineRule="auto"/>
              <w:rPr>
                <w:rFonts w:eastAsia="仿宋"/>
                <w:color w:val="auto"/>
                <w:sz w:val="24"/>
                <w:highlight w:val="none"/>
              </w:rPr>
            </w:pPr>
            <w:r>
              <w:rPr>
                <w:rFonts w:hint="eastAsia" w:eastAsia="仿宋"/>
                <w:color w:val="auto"/>
                <w:sz w:val="24"/>
                <w:highlight w:val="none"/>
              </w:rPr>
              <w:t xml:space="preserve">5.4</w:t>
            </w:r>
            <w:r>
              <w:rPr>
                <w:rFonts w:eastAsia="仿宋"/>
                <w:color w:val="auto"/>
                <w:sz w:val="24"/>
                <w:highlight w:val="none"/>
              </w:rPr>
              <w:t xml:space="preserve">成交供应商应能按照要求做好相关数据对接工作。</w:t>
            </w:r>
            <w:r/>
          </w:p>
        </w:tc>
      </w:tr>
    </w:tbl>
    <w:p>
      <w:pPr>
        <w:ind w:firstLine="480"/>
        <w:spacing w:line="360" w:lineRule="auto"/>
        <w:rPr>
          <w:rFonts w:eastAsia="仿宋"/>
          <w:color w:val="auto"/>
          <w:sz w:val="24"/>
          <w:highlight w:val="none"/>
        </w:rPr>
      </w:pPr>
      <w:r>
        <w:rPr>
          <w:rFonts w:hint="eastAsia" w:eastAsia="仿宋"/>
          <w:color w:val="auto"/>
          <w:sz w:val="24"/>
          <w:highlight w:val="none"/>
        </w:rPr>
        <w:t xml:space="preserve">2.</w:t>
      </w:r>
      <w:r>
        <w:rPr>
          <w:rFonts w:eastAsia="仿宋"/>
          <w:bCs/>
          <w:color w:val="auto"/>
          <w:sz w:val="24"/>
          <w:highlight w:val="none"/>
        </w:rPr>
        <w:t xml:space="preserve">餐饮油烟</w:t>
      </w:r>
      <w:r>
        <w:rPr>
          <w:rFonts w:hint="eastAsia" w:eastAsia="仿宋"/>
          <w:color w:val="auto"/>
          <w:sz w:val="24"/>
          <w:highlight w:val="none"/>
        </w:rPr>
        <w:t xml:space="preserve">在线监测仪技术要求</w:t>
      </w:r>
      <w:r/>
    </w:p>
    <w:tbl>
      <w:tblPr>
        <w:tblStyle w:val="829"/>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48"/>
        <w:gridCol w:w="6182"/>
      </w:tblGrid>
      <w:tr>
        <w:trPr>
          <w:jc w:val="center"/>
          <w:trHeight w:val="454"/>
        </w:trPr>
        <w:tc>
          <w:tcPr>
            <w:shd w:val="clear" w:color="auto" w:fill="auto"/>
            <w:tcW w:w="706" w:type="dxa"/>
            <w:vAlign w:val="center"/>
            <w:textDirection w:val="lrTb"/>
            <w:noWrap w:val="false"/>
          </w:tcPr>
          <w:p>
            <w:pPr>
              <w:jc w:val="center"/>
              <w:rPr>
                <w:rFonts w:eastAsia="仿宋"/>
                <w:b/>
                <w:bCs/>
                <w:color w:val="auto"/>
                <w:sz w:val="24"/>
                <w:highlight w:val="none"/>
              </w:rPr>
            </w:pPr>
            <w:r/>
            <w:bookmarkStart w:id="87" w:name="OLE_LINK2"/>
            <w:r/>
            <w:bookmarkStart w:id="88" w:name="OLE_LINK1"/>
            <w:r>
              <w:rPr>
                <w:rFonts w:eastAsia="仿宋"/>
                <w:b/>
                <w:bCs/>
                <w:color w:val="auto"/>
                <w:sz w:val="24"/>
                <w:highlight w:val="none"/>
              </w:rPr>
              <w:t xml:space="preserve">序号</w:t>
            </w:r>
            <w:r/>
          </w:p>
        </w:tc>
        <w:tc>
          <w:tcPr>
            <w:shd w:val="clear" w:color="auto" w:fill="auto"/>
            <w:tcW w:w="1948" w:type="dxa"/>
            <w:vAlign w:val="center"/>
            <w:textDirection w:val="lrTb"/>
            <w:noWrap w:val="false"/>
          </w:tcPr>
          <w:p>
            <w:pPr>
              <w:jc w:val="center"/>
              <w:rPr>
                <w:rFonts w:eastAsia="仿宋"/>
                <w:b/>
                <w:bCs/>
                <w:color w:val="auto"/>
                <w:sz w:val="24"/>
                <w:highlight w:val="none"/>
              </w:rPr>
            </w:pPr>
            <w:r>
              <w:rPr>
                <w:rFonts w:eastAsia="仿宋"/>
                <w:b/>
                <w:bCs/>
                <w:color w:val="auto"/>
                <w:sz w:val="24"/>
                <w:highlight w:val="none"/>
              </w:rPr>
              <w:t xml:space="preserve">名称</w:t>
            </w:r>
            <w:r/>
          </w:p>
        </w:tc>
        <w:tc>
          <w:tcPr>
            <w:shd w:val="clear" w:color="auto" w:fill="auto"/>
            <w:tcW w:w="6182" w:type="dxa"/>
            <w:vAlign w:val="center"/>
            <w:textDirection w:val="lrTb"/>
            <w:noWrap w:val="false"/>
          </w:tcPr>
          <w:p>
            <w:pPr>
              <w:jc w:val="center"/>
              <w:rPr>
                <w:rFonts w:eastAsia="仿宋"/>
                <w:b/>
                <w:bCs/>
                <w:color w:val="auto"/>
                <w:sz w:val="24"/>
                <w:highlight w:val="none"/>
              </w:rPr>
            </w:pPr>
            <w:r>
              <w:rPr>
                <w:rFonts w:eastAsia="仿宋"/>
                <w:b/>
                <w:bCs/>
                <w:color w:val="auto"/>
                <w:sz w:val="24"/>
                <w:highlight w:val="none"/>
              </w:rPr>
              <w:t xml:space="preserve">功能、性能、配置或服务要求</w:t>
            </w:r>
            <w:r/>
          </w:p>
        </w:tc>
      </w:tr>
      <w:tr>
        <w:trPr>
          <w:jc w:val="center"/>
          <w:trHeight w:val="454"/>
        </w:trPr>
        <w:tc>
          <w:tcPr>
            <w:gridSpan w:val="3"/>
            <w:shd w:val="clear" w:color="auto" w:fill="auto"/>
            <w:tcW w:w="8836" w:type="dxa"/>
            <w:vAlign w:val="center"/>
            <w:textDirection w:val="lrTb"/>
            <w:noWrap w:val="false"/>
          </w:tcPr>
          <w:p>
            <w:pPr>
              <w:rPr>
                <w:rFonts w:eastAsia="仿宋"/>
                <w:color w:val="auto"/>
                <w:sz w:val="24"/>
                <w:highlight w:val="none"/>
              </w:rPr>
            </w:pPr>
            <w:r>
              <w:rPr>
                <w:rFonts w:eastAsia="仿宋"/>
                <w:bCs/>
                <w:color w:val="auto"/>
                <w:sz w:val="24"/>
                <w:highlight w:val="none"/>
              </w:rPr>
              <w:t xml:space="preserve">餐饮油烟在线监测仪功能</w:t>
            </w:r>
            <w:r>
              <w:rPr>
                <w:rFonts w:eastAsia="仿宋"/>
                <w:color w:val="auto"/>
                <w:sz w:val="24"/>
                <w:highlight w:val="none"/>
              </w:rPr>
              <w:t xml:space="preserve">参数要求：</w:t>
            </w:r>
            <w:r/>
          </w:p>
        </w:tc>
      </w:tr>
      <w:tr>
        <w:trPr>
          <w:jc w:val="center"/>
          <w:trHeight w:val="454"/>
        </w:trPr>
        <w:tc>
          <w:tcPr>
            <w:shd w:val="clear" w:color="auto" w:fill="auto"/>
            <w:tcW w:w="706"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1</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设备要求</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采集油烟净化器的实时数据，包括净化器开关状态、净化器工作电流、油烟排放浓度等，当无线网络连接正常时将数据上传至服务器。</w:t>
            </w:r>
            <w:r/>
          </w:p>
        </w:tc>
      </w:tr>
      <w:tr>
        <w:trPr>
          <w:jc w:val="center"/>
          <w:trHeight w:val="454"/>
        </w:trPr>
        <w:tc>
          <w:tcPr>
            <w:shd w:val="clear" w:color="auto" w:fill="auto"/>
            <w:tcW w:w="706"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2</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数据采集</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hint="eastAsia" w:eastAsia="仿宋"/>
                <w:bCs/>
                <w:color w:val="auto"/>
                <w:sz w:val="24"/>
                <w:highlight w:val="none"/>
              </w:rPr>
              <w:t xml:space="preserve">2.1</w:t>
            </w:r>
            <w:r>
              <w:rPr>
                <w:rFonts w:eastAsia="仿宋"/>
                <w:bCs/>
                <w:color w:val="auto"/>
                <w:sz w:val="24"/>
                <w:highlight w:val="none"/>
              </w:rPr>
              <w:t xml:space="preserve">定期诊断检查所有的通信模块，以确保它们正确运转。系统能实时显示通信系统运行状态，并支持对网络通信状态的监测。</w:t>
            </w:r>
            <w:r/>
          </w:p>
          <w:p>
            <w:pPr>
              <w:spacing w:line="360" w:lineRule="auto"/>
              <w:rPr>
                <w:rFonts w:eastAsia="仿宋"/>
                <w:bCs/>
                <w:color w:val="auto"/>
                <w:sz w:val="24"/>
                <w:highlight w:val="none"/>
              </w:rPr>
            </w:pPr>
            <w:r>
              <w:rPr>
                <w:rFonts w:hint="eastAsia" w:eastAsia="仿宋"/>
                <w:bCs/>
                <w:color w:val="auto"/>
                <w:sz w:val="24"/>
                <w:highlight w:val="none"/>
              </w:rPr>
              <w:t xml:space="preserve">2.2</w:t>
            </w:r>
            <w:r>
              <w:rPr>
                <w:rFonts w:eastAsia="仿宋"/>
                <w:bCs/>
                <w:color w:val="auto"/>
                <w:sz w:val="24"/>
                <w:highlight w:val="none"/>
              </w:rPr>
              <w:t xml:space="preserve">支持在线监视和故障诊断。当某个数据点或者站点发生数据传输故障时，能够产生报警，通知相应人员进行处理。</w:t>
            </w:r>
            <w:r/>
          </w:p>
          <w:p>
            <w:pPr>
              <w:spacing w:line="360" w:lineRule="auto"/>
              <w:rPr>
                <w:rFonts w:eastAsia="仿宋"/>
                <w:bCs/>
                <w:color w:val="auto"/>
                <w:sz w:val="24"/>
                <w:highlight w:val="none"/>
              </w:rPr>
            </w:pPr>
            <w:r>
              <w:rPr>
                <w:rFonts w:hint="eastAsia" w:eastAsia="仿宋"/>
                <w:bCs/>
                <w:color w:val="auto"/>
                <w:sz w:val="24"/>
                <w:highlight w:val="none"/>
              </w:rPr>
              <w:t xml:space="preserve">2.3</w:t>
            </w:r>
            <w:r>
              <w:rPr>
                <w:rFonts w:eastAsia="仿宋"/>
                <w:bCs/>
                <w:color w:val="auto"/>
                <w:sz w:val="24"/>
                <w:highlight w:val="none"/>
              </w:rPr>
              <w:t xml:space="preserve">数据采集周期、方式、参数等可在线定义。</w:t>
            </w:r>
            <w:r/>
          </w:p>
          <w:p>
            <w:pPr>
              <w:spacing w:line="360" w:lineRule="auto"/>
              <w:rPr>
                <w:rFonts w:eastAsia="仿宋"/>
                <w:bCs/>
                <w:color w:val="auto"/>
                <w:sz w:val="24"/>
                <w:highlight w:val="none"/>
              </w:rPr>
            </w:pPr>
            <w:r>
              <w:rPr>
                <w:rFonts w:hint="eastAsia" w:eastAsia="仿宋"/>
                <w:bCs/>
                <w:color w:val="auto"/>
                <w:sz w:val="24"/>
                <w:highlight w:val="none"/>
              </w:rPr>
              <w:t xml:space="preserve">2.4</w:t>
            </w:r>
            <w:r>
              <w:rPr>
                <w:rFonts w:eastAsia="仿宋"/>
                <w:bCs/>
                <w:color w:val="auto"/>
                <w:sz w:val="24"/>
                <w:highlight w:val="none"/>
              </w:rPr>
              <w:t xml:space="preserve">支持自动与服务器对时。</w:t>
            </w:r>
            <w:r/>
          </w:p>
        </w:tc>
      </w:tr>
      <w:tr>
        <w:trPr>
          <w:jc w:val="center"/>
          <w:trHeight w:val="454"/>
        </w:trPr>
        <w:tc>
          <w:tcPr>
            <w:shd w:val="clear" w:color="auto" w:fill="auto"/>
            <w:tcW w:w="706" w:type="dxa"/>
            <w:vAlign w:val="center"/>
            <w:textDirection w:val="lrTb"/>
            <w:noWrap w:val="false"/>
          </w:tcPr>
          <w:p>
            <w:pPr>
              <w:jc w:val="center"/>
              <w:spacing w:line="360" w:lineRule="auto"/>
              <w:rPr>
                <w:rFonts w:hint="eastAsia" w:eastAsia="仿宋"/>
                <w:color w:val="auto"/>
                <w:sz w:val="24"/>
                <w:highlight w:val="none"/>
                <w:lang w:eastAsia="zh-CN"/>
              </w:rPr>
            </w:pPr>
            <w:r>
              <w:rPr>
                <w:rFonts w:hint="eastAsia" w:eastAsia="仿宋"/>
                <w:color w:val="auto"/>
                <w:sz w:val="24"/>
                <w:highlight w:val="none"/>
                <w:lang w:val="en-US" w:eastAsia="zh-CN"/>
              </w:rPr>
              <w:t xml:space="preserve">3</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通讯方式</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利用无线通信传输技术，将数据上传至数据中心。设备支持服务器动态域名或IP地址访问。</w:t>
            </w:r>
            <w:r/>
          </w:p>
        </w:tc>
      </w:tr>
      <w:tr>
        <w:trPr>
          <w:jc w:val="center"/>
          <w:trHeight w:val="454"/>
        </w:trPr>
        <w:tc>
          <w:tcPr>
            <w:shd w:val="clear" w:color="auto" w:fill="auto"/>
            <w:tcW w:w="706" w:type="dxa"/>
            <w:vAlign w:val="center"/>
            <w:textDirection w:val="lrTb"/>
            <w:noWrap w:val="false"/>
          </w:tcPr>
          <w:p>
            <w:pPr>
              <w:jc w:val="center"/>
              <w:spacing w:line="360" w:lineRule="auto"/>
              <w:rPr>
                <w:rFonts w:hint="eastAsia" w:eastAsia="仿宋"/>
                <w:color w:val="auto"/>
                <w:sz w:val="24"/>
                <w:highlight w:val="none"/>
                <w:lang w:eastAsia="zh-CN"/>
              </w:rPr>
            </w:pPr>
            <w:r>
              <w:rPr>
                <w:rFonts w:hint="eastAsia" w:eastAsia="仿宋"/>
                <w:color w:val="auto"/>
                <w:sz w:val="24"/>
                <w:highlight w:val="none"/>
                <w:lang w:val="en-US" w:eastAsia="zh-CN"/>
              </w:rPr>
              <w:t xml:space="preserve">4</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数据传输</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采用可靠的数据传输方式，保证数据准确、及时地进行传输，数据采集时间间隔和发送时间可调，网络通讯失败自动重连服务器。</w:t>
            </w:r>
            <w:r/>
          </w:p>
        </w:tc>
      </w:tr>
      <w:tr>
        <w:trPr>
          <w:jc w:val="center"/>
          <w:trHeight w:val="454"/>
        </w:trPr>
        <w:tc>
          <w:tcPr>
            <w:shd w:val="clear" w:color="auto" w:fill="auto"/>
            <w:tcW w:w="706" w:type="dxa"/>
            <w:vAlign w:val="center"/>
            <w:textDirection w:val="lrTb"/>
            <w:noWrap w:val="false"/>
          </w:tcPr>
          <w:p>
            <w:pPr>
              <w:jc w:val="center"/>
              <w:spacing w:line="360" w:lineRule="auto"/>
              <w:rPr>
                <w:rFonts w:hint="eastAsia" w:eastAsia="仿宋"/>
                <w:color w:val="auto"/>
                <w:sz w:val="24"/>
                <w:highlight w:val="none"/>
                <w:lang w:eastAsia="zh-CN"/>
              </w:rPr>
            </w:pPr>
            <w:r>
              <w:rPr>
                <w:rFonts w:hint="eastAsia" w:eastAsia="仿宋"/>
                <w:color w:val="auto"/>
                <w:sz w:val="24"/>
                <w:highlight w:val="none"/>
                <w:lang w:val="en-US" w:eastAsia="zh-CN"/>
              </w:rPr>
              <w:t xml:space="preserve">5</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通讯协议</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系统采用统一的、符合环保通信规则的通讯协议（环保HJ212协议），数据传输协议可以根据要求进行修改。</w:t>
            </w:r>
            <w:r/>
          </w:p>
        </w:tc>
      </w:tr>
      <w:tr>
        <w:trPr>
          <w:jc w:val="center"/>
          <w:trHeight w:val="454"/>
        </w:trPr>
        <w:tc>
          <w:tcPr>
            <w:shd w:val="clear" w:color="auto" w:fill="auto"/>
            <w:tcW w:w="706" w:type="dxa"/>
            <w:vAlign w:val="center"/>
            <w:textDirection w:val="lrTb"/>
            <w:noWrap w:val="false"/>
          </w:tcPr>
          <w:p>
            <w:pPr>
              <w:jc w:val="center"/>
              <w:spacing w:line="360" w:lineRule="auto"/>
              <w:rPr>
                <w:rFonts w:hint="eastAsia" w:eastAsia="仿宋"/>
                <w:color w:val="auto"/>
                <w:sz w:val="24"/>
                <w:highlight w:val="none"/>
                <w:lang w:eastAsia="zh-CN"/>
              </w:rPr>
            </w:pPr>
            <w:r>
              <w:rPr>
                <w:rFonts w:hint="eastAsia" w:eastAsia="仿宋"/>
                <w:color w:val="auto"/>
                <w:sz w:val="24"/>
                <w:highlight w:val="none"/>
                <w:lang w:val="en-US" w:eastAsia="zh-CN"/>
              </w:rPr>
              <w:t xml:space="preserve">6</w:t>
            </w:r>
            <w:r/>
          </w:p>
        </w:tc>
        <w:tc>
          <w:tcPr>
            <w:shd w:val="clear" w:color="auto" w:fill="auto"/>
            <w:tcW w:w="1948" w:type="dxa"/>
            <w:vAlign w:val="center"/>
            <w:textDirection w:val="lrTb"/>
            <w:noWrap w:val="false"/>
          </w:tcPr>
          <w:p>
            <w:pPr>
              <w:jc w:val="center"/>
              <w:spacing w:line="360" w:lineRule="auto"/>
              <w:rPr>
                <w:rFonts w:eastAsia="仿宋"/>
                <w:color w:val="auto"/>
                <w:sz w:val="24"/>
                <w:highlight w:val="none"/>
              </w:rPr>
            </w:pPr>
            <w:r>
              <w:rPr>
                <w:rFonts w:eastAsia="仿宋"/>
                <w:color w:val="auto"/>
                <w:sz w:val="24"/>
                <w:highlight w:val="none"/>
              </w:rPr>
              <w:t xml:space="preserve">人机界面</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终端可采用液晶屏或手机APP显示，可实时显示净化器的工作状态，可通过本地或蓝牙设置参数如设备编号、发送间隔等。</w:t>
            </w:r>
            <w:r/>
          </w:p>
        </w:tc>
      </w:tr>
      <w:tr>
        <w:trPr>
          <w:jc w:val="center"/>
          <w:trHeight w:val="454"/>
        </w:trPr>
        <w:tc>
          <w:tcPr>
            <w:shd w:val="clear" w:color="auto" w:fill="auto"/>
            <w:tcW w:w="706" w:type="dxa"/>
            <w:vAlign w:val="center"/>
            <w:textDirection w:val="lrTb"/>
            <w:noWrap w:val="false"/>
          </w:tcPr>
          <w:p>
            <w:pPr>
              <w:jc w:val="center"/>
              <w:rPr>
                <w:rFonts w:hint="eastAsia" w:eastAsia="仿宋"/>
                <w:color w:val="auto"/>
                <w:sz w:val="24"/>
                <w:highlight w:val="none"/>
                <w:lang w:eastAsia="zh-CN"/>
              </w:rPr>
            </w:pPr>
            <w:r>
              <w:rPr>
                <w:rFonts w:hint="eastAsia" w:eastAsia="仿宋"/>
                <w:color w:val="auto"/>
                <w:sz w:val="24"/>
                <w:highlight w:val="none"/>
                <w:lang w:val="en-US" w:eastAsia="zh-CN"/>
              </w:rPr>
              <w:t xml:space="preserve">7</w:t>
            </w:r>
            <w:r/>
          </w:p>
        </w:tc>
        <w:tc>
          <w:tcPr>
            <w:shd w:val="clear" w:color="auto" w:fill="auto"/>
            <w:tcW w:w="1948" w:type="dxa"/>
            <w:vAlign w:val="center"/>
            <w:textDirection w:val="lrTb"/>
            <w:noWrap w:val="false"/>
          </w:tcPr>
          <w:p>
            <w:pPr>
              <w:jc w:val="center"/>
              <w:rPr>
                <w:rFonts w:eastAsia="仿宋"/>
                <w:color w:val="auto"/>
                <w:sz w:val="24"/>
                <w:highlight w:val="none"/>
              </w:rPr>
            </w:pPr>
            <w:r>
              <w:rPr>
                <w:rFonts w:eastAsia="仿宋"/>
                <w:color w:val="auto"/>
                <w:szCs w:val="21"/>
                <w:highlight w:val="none"/>
              </w:rPr>
              <w:t xml:space="preserve">▲</w:t>
            </w:r>
            <w:r>
              <w:rPr>
                <w:rFonts w:eastAsia="仿宋"/>
                <w:color w:val="auto"/>
                <w:sz w:val="24"/>
                <w:highlight w:val="none"/>
              </w:rPr>
              <w:t xml:space="preserve">零点漂移</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1h零点漂移不超过±0.5mg/m³</w:t>
            </w:r>
            <w:r>
              <w:rPr>
                <w:rFonts w:hint="eastAsia" w:eastAsia="仿宋"/>
                <w:bCs/>
                <w:color w:val="auto"/>
                <w:sz w:val="24"/>
                <w:highlight w:val="none"/>
              </w:rPr>
              <w:t xml:space="preserve">（提供检测报告复印件加盖电子公章）</w:t>
            </w:r>
            <w:r/>
          </w:p>
        </w:tc>
      </w:tr>
      <w:tr>
        <w:trPr>
          <w:jc w:val="center"/>
          <w:trHeight w:val="454"/>
        </w:trPr>
        <w:tc>
          <w:tcPr>
            <w:shd w:val="clear" w:color="auto" w:fill="auto"/>
            <w:tcW w:w="706" w:type="dxa"/>
            <w:vAlign w:val="center"/>
            <w:textDirection w:val="lrTb"/>
            <w:noWrap w:val="false"/>
          </w:tcPr>
          <w:p>
            <w:pPr>
              <w:jc w:val="center"/>
              <w:rPr>
                <w:rFonts w:hint="eastAsia" w:eastAsia="仿宋"/>
                <w:color w:val="auto"/>
                <w:sz w:val="24"/>
                <w:highlight w:val="none"/>
                <w:lang w:eastAsia="zh-CN"/>
              </w:rPr>
            </w:pPr>
            <w:r>
              <w:rPr>
                <w:rFonts w:hint="eastAsia" w:eastAsia="仿宋"/>
                <w:color w:val="auto"/>
                <w:sz w:val="24"/>
                <w:highlight w:val="none"/>
                <w:lang w:val="en-US" w:eastAsia="zh-CN"/>
              </w:rPr>
              <w:t xml:space="preserve">8</w:t>
            </w:r>
            <w:r/>
          </w:p>
        </w:tc>
        <w:tc>
          <w:tcPr>
            <w:shd w:val="clear" w:color="auto" w:fill="auto"/>
            <w:tcW w:w="1948" w:type="dxa"/>
            <w:vAlign w:val="center"/>
            <w:textDirection w:val="lrTb"/>
            <w:noWrap w:val="false"/>
          </w:tcPr>
          <w:p>
            <w:pPr>
              <w:jc w:val="center"/>
              <w:rPr>
                <w:rFonts w:eastAsia="仿宋"/>
                <w:color w:val="auto"/>
                <w:sz w:val="24"/>
                <w:highlight w:val="none"/>
              </w:rPr>
            </w:pPr>
            <w:r>
              <w:rPr>
                <w:rFonts w:eastAsia="仿宋"/>
                <w:color w:val="auto"/>
                <w:szCs w:val="21"/>
                <w:highlight w:val="none"/>
              </w:rPr>
              <w:t xml:space="preserve">▲</w:t>
            </w:r>
            <w:r>
              <w:rPr>
                <w:rFonts w:hint="eastAsia" w:eastAsia="仿宋"/>
                <w:color w:val="auto"/>
                <w:sz w:val="24"/>
                <w:highlight w:val="none"/>
              </w:rPr>
              <w:t xml:space="preserve">示值误差</w:t>
            </w:r>
            <w:r/>
          </w:p>
        </w:tc>
        <w:tc>
          <w:tcPr>
            <w:shd w:val="clear" w:color="auto" w:fill="auto"/>
            <w:tcW w:w="6182" w:type="dxa"/>
            <w:vAlign w:val="center"/>
            <w:textDirection w:val="lrTb"/>
            <w:noWrap w:val="false"/>
          </w:tcPr>
          <w:p>
            <w:pPr>
              <w:rPr>
                <w:rFonts w:eastAsia="仿宋"/>
                <w:color w:val="auto"/>
                <w:sz w:val="24"/>
                <w:highlight w:val="none"/>
              </w:rPr>
            </w:pPr>
            <w:r>
              <w:rPr>
                <w:rFonts w:hint="eastAsia" w:eastAsia="仿宋"/>
                <w:bCs/>
                <w:color w:val="auto"/>
                <w:sz w:val="24"/>
                <w:highlight w:val="none"/>
              </w:rPr>
              <w:t xml:space="preserve">不超过±20%（提供检测报告复印件加盖电子公章）</w:t>
            </w:r>
            <w:r/>
          </w:p>
        </w:tc>
      </w:tr>
      <w:tr>
        <w:trPr>
          <w:jc w:val="center"/>
          <w:trHeight w:val="454"/>
        </w:trPr>
        <w:tc>
          <w:tcPr>
            <w:shd w:val="clear" w:color="auto" w:fill="auto"/>
            <w:tcW w:w="706" w:type="dxa"/>
            <w:vAlign w:val="center"/>
            <w:textDirection w:val="lrTb"/>
            <w:noWrap w:val="false"/>
          </w:tcPr>
          <w:p>
            <w:pPr>
              <w:jc w:val="center"/>
              <w:rPr>
                <w:rFonts w:hint="eastAsia" w:eastAsia="仿宋"/>
                <w:color w:val="auto"/>
                <w:sz w:val="24"/>
                <w:highlight w:val="none"/>
                <w:lang w:eastAsia="zh-CN"/>
              </w:rPr>
            </w:pPr>
            <w:r>
              <w:rPr>
                <w:rFonts w:hint="eastAsia" w:eastAsia="仿宋"/>
                <w:color w:val="auto"/>
                <w:sz w:val="24"/>
                <w:highlight w:val="none"/>
                <w:lang w:val="en-US" w:eastAsia="zh-CN"/>
              </w:rPr>
              <w:t xml:space="preserve">9</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eastAsia="仿宋"/>
                <w:bCs/>
                <w:color w:val="auto"/>
                <w:sz w:val="24"/>
                <w:highlight w:val="none"/>
              </w:rPr>
              <w:t xml:space="preserve">线性误差</w:t>
            </w:r>
            <w:r/>
          </w:p>
        </w:tc>
        <w:tc>
          <w:tcPr>
            <w:shd w:val="clear" w:color="auto" w:fill="auto"/>
            <w:tcW w:w="6182" w:type="dxa"/>
            <w:vAlign w:val="center"/>
            <w:textDirection w:val="lrTb"/>
            <w:noWrap w:val="false"/>
          </w:tcPr>
          <w:p>
            <w:pPr>
              <w:rPr>
                <w:rFonts w:eastAsia="仿宋"/>
                <w:bCs/>
                <w:color w:val="auto"/>
                <w:sz w:val="24"/>
                <w:highlight w:val="none"/>
              </w:rPr>
            </w:pPr>
            <w:r>
              <w:rPr>
                <w:rFonts w:eastAsia="仿宋"/>
                <w:bCs/>
                <w:color w:val="auto"/>
                <w:sz w:val="24"/>
                <w:highlight w:val="none"/>
              </w:rPr>
              <w:t xml:space="preserve">≤10%</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10</w:t>
            </w:r>
            <w:r/>
          </w:p>
        </w:tc>
        <w:tc>
          <w:tcPr>
            <w:shd w:val="clear" w:color="auto" w:fill="auto"/>
            <w:tcW w:w="1948" w:type="dxa"/>
            <w:vAlign w:val="center"/>
            <w:textDirection w:val="lrTb"/>
            <w:noWrap w:val="false"/>
          </w:tcPr>
          <w:p>
            <w:pPr>
              <w:jc w:val="center"/>
              <w:rPr>
                <w:rFonts w:eastAsia="仿宋"/>
                <w:color w:val="auto"/>
                <w:sz w:val="24"/>
                <w:highlight w:val="none"/>
              </w:rPr>
            </w:pPr>
            <w:r>
              <w:rPr>
                <w:rFonts w:eastAsia="仿宋"/>
                <w:color w:val="auto"/>
                <w:szCs w:val="21"/>
                <w:highlight w:val="none"/>
              </w:rPr>
              <w:t xml:space="preserve">▲</w:t>
            </w:r>
            <w:r>
              <w:rPr>
                <w:rFonts w:eastAsia="仿宋"/>
                <w:color w:val="auto"/>
                <w:sz w:val="24"/>
                <w:highlight w:val="none"/>
              </w:rPr>
              <w:t xml:space="preserve">绝缘阻抗</w:t>
            </w:r>
            <w:r/>
          </w:p>
        </w:tc>
        <w:tc>
          <w:tcPr>
            <w:shd w:val="clear" w:color="auto" w:fill="auto"/>
            <w:tcW w:w="6182" w:type="dxa"/>
            <w:vAlign w:val="center"/>
            <w:textDirection w:val="lrTb"/>
            <w:noWrap w:val="false"/>
          </w:tcPr>
          <w:p>
            <w:pPr>
              <w:rPr>
                <w:rFonts w:eastAsia="仿宋"/>
                <w:color w:val="auto"/>
                <w:sz w:val="24"/>
                <w:highlight w:val="none"/>
              </w:rPr>
            </w:pPr>
            <w:r>
              <w:rPr>
                <w:rFonts w:eastAsia="仿宋"/>
                <w:color w:val="auto"/>
                <w:sz w:val="24"/>
                <w:highlight w:val="none"/>
              </w:rPr>
              <w:t xml:space="preserve">≥20MΩ</w:t>
            </w:r>
            <w:r>
              <w:rPr>
                <w:rFonts w:hint="eastAsia" w:eastAsia="仿宋"/>
                <w:bCs/>
                <w:color w:val="auto"/>
                <w:sz w:val="24"/>
                <w:highlight w:val="none"/>
              </w:rPr>
              <w:t xml:space="preserve">（提供检测报告复印件加盖电子公章）</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11</w:t>
            </w:r>
            <w:r/>
          </w:p>
        </w:tc>
        <w:tc>
          <w:tcPr>
            <w:shd w:val="clear" w:color="auto" w:fill="auto"/>
            <w:tcW w:w="1948"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耐电压</w:t>
            </w:r>
            <w:r/>
          </w:p>
        </w:tc>
        <w:tc>
          <w:tcPr>
            <w:shd w:val="clear" w:color="auto" w:fill="auto"/>
            <w:tcW w:w="6182" w:type="dxa"/>
            <w:vAlign w:val="center"/>
            <w:textDirection w:val="lrTb"/>
            <w:noWrap w:val="false"/>
          </w:tcPr>
          <w:p>
            <w:pPr>
              <w:rPr>
                <w:rFonts w:eastAsia="仿宋"/>
                <w:color w:val="auto"/>
                <w:sz w:val="24"/>
                <w:highlight w:val="none"/>
              </w:rPr>
            </w:pPr>
            <w:r>
              <w:rPr>
                <w:rFonts w:eastAsia="仿宋"/>
                <w:color w:val="auto"/>
                <w:sz w:val="24"/>
                <w:highlight w:val="none"/>
              </w:rPr>
              <w:t xml:space="preserve">无异常现象（电弧和击穿）</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12</w:t>
            </w:r>
            <w:r/>
          </w:p>
        </w:tc>
        <w:tc>
          <w:tcPr>
            <w:shd w:val="clear" w:color="auto" w:fill="auto"/>
            <w:tcW w:w="1948"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传输方式</w:t>
            </w:r>
            <w:r/>
          </w:p>
        </w:tc>
        <w:tc>
          <w:tcPr>
            <w:shd w:val="clear" w:color="auto" w:fill="auto"/>
            <w:tcW w:w="6182" w:type="dxa"/>
            <w:vAlign w:val="center"/>
            <w:textDirection w:val="lrTb"/>
            <w:noWrap w:val="false"/>
          </w:tcPr>
          <w:p>
            <w:pPr>
              <w:spacing w:line="360" w:lineRule="auto"/>
              <w:rPr>
                <w:rFonts w:eastAsia="仿宋"/>
                <w:color w:val="auto"/>
                <w:sz w:val="24"/>
                <w:highlight w:val="none"/>
              </w:rPr>
            </w:pPr>
            <w:r>
              <w:rPr>
                <w:rFonts w:eastAsia="仿宋"/>
                <w:color w:val="auto"/>
                <w:sz w:val="24"/>
                <w:highlight w:val="none"/>
              </w:rPr>
              <w:t xml:space="preserve">带有GPRS/CDMA等无线通信接口，以及最少1路RS-232接口</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13</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eastAsia="仿宋"/>
                <w:bCs/>
                <w:color w:val="auto"/>
                <w:sz w:val="24"/>
                <w:highlight w:val="none"/>
              </w:rPr>
              <w:t xml:space="preserve">断电复位</w:t>
            </w:r>
            <w:r/>
          </w:p>
        </w:tc>
        <w:tc>
          <w:tcPr>
            <w:shd w:val="clear" w:color="auto" w:fill="auto"/>
            <w:tcW w:w="6182" w:type="dxa"/>
            <w:vAlign w:val="center"/>
            <w:textDirection w:val="lrTb"/>
            <w:noWrap w:val="false"/>
          </w:tcPr>
          <w:p>
            <w:pPr>
              <w:rPr>
                <w:rFonts w:eastAsia="仿宋"/>
                <w:bCs/>
                <w:color w:val="auto"/>
                <w:sz w:val="24"/>
                <w:highlight w:val="none"/>
              </w:rPr>
            </w:pPr>
            <w:r>
              <w:rPr>
                <w:rFonts w:eastAsia="仿宋"/>
                <w:bCs/>
                <w:color w:val="auto"/>
                <w:sz w:val="24"/>
                <w:highlight w:val="none"/>
              </w:rPr>
              <w:t xml:space="preserve">停电复位后，分析仪能自动恢复到原来的工作状态</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14</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eastAsia="仿宋"/>
                <w:bCs/>
                <w:color w:val="auto"/>
                <w:sz w:val="24"/>
                <w:highlight w:val="none"/>
              </w:rPr>
              <w:t xml:space="preserve">时钟</w:t>
            </w:r>
            <w:r/>
          </w:p>
        </w:tc>
        <w:tc>
          <w:tcPr>
            <w:shd w:val="clear" w:color="auto" w:fill="auto"/>
            <w:tcW w:w="6182" w:type="dxa"/>
            <w:vAlign w:val="center"/>
            <w:textDirection w:val="lrTb"/>
            <w:noWrap w:val="false"/>
          </w:tcPr>
          <w:p>
            <w:pPr>
              <w:rPr>
                <w:rFonts w:eastAsia="仿宋"/>
                <w:bCs/>
                <w:color w:val="auto"/>
                <w:sz w:val="24"/>
                <w:highlight w:val="none"/>
              </w:rPr>
            </w:pPr>
            <w:r>
              <w:rPr>
                <w:rFonts w:eastAsia="仿宋"/>
                <w:bCs/>
                <w:color w:val="auto"/>
                <w:sz w:val="24"/>
                <w:highlight w:val="none"/>
              </w:rPr>
              <w:t xml:space="preserve">能对校准时钟的频率进行手动调整</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15</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eastAsia="仿宋"/>
                <w:bCs/>
                <w:color w:val="auto"/>
                <w:sz w:val="24"/>
                <w:highlight w:val="none"/>
              </w:rPr>
              <w:t xml:space="preserve">历史数据查询</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hint="eastAsia" w:eastAsia="仿宋"/>
                <w:bCs/>
                <w:color w:val="auto"/>
                <w:sz w:val="24"/>
                <w:highlight w:val="none"/>
              </w:rPr>
              <w:t xml:space="preserve">至少包含</w:t>
            </w:r>
            <w:r>
              <w:rPr>
                <w:rFonts w:eastAsia="仿宋"/>
                <w:bCs/>
                <w:color w:val="auto"/>
                <w:sz w:val="24"/>
                <w:highlight w:val="none"/>
              </w:rPr>
              <w:t xml:space="preserve">1分钟、5分钟、10 分钟、1小时、日报表、月报表数据查询功能，存储保证至少1年的数据</w:t>
            </w:r>
            <w:r>
              <w:rPr>
                <w:rFonts w:hint="eastAsia" w:eastAsia="仿宋"/>
                <w:bCs/>
                <w:color w:val="auto"/>
                <w:sz w:val="24"/>
                <w:highlight w:val="none"/>
              </w:rPr>
              <w:t xml:space="preserve">。</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16</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hint="eastAsia" w:eastAsia="仿宋"/>
                <w:bCs/>
                <w:color w:val="auto"/>
                <w:sz w:val="24"/>
                <w:highlight w:val="none"/>
              </w:rPr>
              <w:t xml:space="preserve">响应时间</w:t>
            </w:r>
            <w:r/>
          </w:p>
        </w:tc>
        <w:tc>
          <w:tcPr>
            <w:shd w:val="clear" w:color="auto" w:fill="auto"/>
            <w:tcW w:w="6182" w:type="dxa"/>
            <w:vAlign w:val="center"/>
            <w:textDirection w:val="lrTb"/>
            <w:noWrap w:val="false"/>
          </w:tcPr>
          <w:p>
            <w:pPr>
              <w:spacing w:line="240" w:lineRule="auto"/>
              <w:rPr>
                <w:rFonts w:hint="eastAsia" w:eastAsia="仿宋"/>
                <w:bCs/>
                <w:color w:val="auto"/>
                <w:sz w:val="24"/>
                <w:highlight w:val="none"/>
              </w:rPr>
            </w:pPr>
            <w:r>
              <w:rPr>
                <w:rFonts w:hint="eastAsia" w:eastAsia="仿宋"/>
                <w:bCs/>
                <w:color w:val="auto"/>
                <w:sz w:val="24"/>
                <w:highlight w:val="none"/>
              </w:rPr>
              <w:t xml:space="preserve">≤1S</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17</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hint="eastAsia" w:eastAsia="仿宋"/>
                <w:bCs/>
                <w:color w:val="auto"/>
                <w:sz w:val="24"/>
                <w:highlight w:val="none"/>
              </w:rPr>
              <w:t xml:space="preserve">时间误差</w:t>
            </w:r>
            <w:r/>
          </w:p>
        </w:tc>
        <w:tc>
          <w:tcPr>
            <w:shd w:val="clear" w:color="auto" w:fill="auto"/>
            <w:tcW w:w="6182" w:type="dxa"/>
            <w:vAlign w:val="center"/>
            <w:textDirection w:val="lrTb"/>
            <w:noWrap w:val="false"/>
          </w:tcPr>
          <w:p>
            <w:pPr>
              <w:spacing w:line="240" w:lineRule="auto"/>
              <w:rPr>
                <w:rFonts w:hint="eastAsia" w:eastAsia="仿宋"/>
                <w:bCs/>
                <w:color w:val="auto"/>
                <w:sz w:val="24"/>
                <w:highlight w:val="none"/>
              </w:rPr>
            </w:pPr>
            <w:r>
              <w:rPr>
                <w:rFonts w:hint="eastAsia" w:eastAsia="仿宋"/>
                <w:bCs/>
                <w:color w:val="auto"/>
                <w:sz w:val="24"/>
                <w:highlight w:val="none"/>
              </w:rPr>
              <w:t xml:space="preserve">小于5S，自动与服务器进行同步</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18</w:t>
            </w:r>
            <w:r/>
          </w:p>
        </w:tc>
        <w:tc>
          <w:tcPr>
            <w:shd w:val="clear" w:color="auto" w:fill="auto"/>
            <w:tcW w:w="1948" w:type="dxa"/>
            <w:vAlign w:val="center"/>
            <w:textDirection w:val="lrTb"/>
            <w:noWrap w:val="false"/>
          </w:tcPr>
          <w:p>
            <w:pPr>
              <w:jc w:val="center"/>
              <w:rPr>
                <w:rFonts w:hint="eastAsia" w:eastAsia="仿宋"/>
                <w:bCs/>
                <w:color w:val="auto"/>
                <w:sz w:val="24"/>
                <w:highlight w:val="none"/>
              </w:rPr>
            </w:pPr>
            <w:r>
              <w:rPr>
                <w:rFonts w:hint="eastAsia" w:eastAsia="仿宋"/>
                <w:bCs/>
                <w:color w:val="auto"/>
                <w:sz w:val="24"/>
                <w:highlight w:val="none"/>
              </w:rPr>
              <w:t xml:space="preserve">通信可靠性</w:t>
            </w:r>
            <w:r/>
          </w:p>
        </w:tc>
        <w:tc>
          <w:tcPr>
            <w:shd w:val="clear" w:color="auto" w:fill="auto"/>
            <w:tcW w:w="6182" w:type="dxa"/>
            <w:vAlign w:val="center"/>
            <w:textDirection w:val="lrTb"/>
            <w:noWrap w:val="false"/>
          </w:tcPr>
          <w:p>
            <w:pPr>
              <w:spacing w:line="240" w:lineRule="auto"/>
              <w:rPr>
                <w:rFonts w:hint="eastAsia" w:eastAsia="仿宋"/>
                <w:bCs/>
                <w:color w:val="auto"/>
                <w:sz w:val="24"/>
                <w:highlight w:val="none"/>
              </w:rPr>
            </w:pPr>
            <w:r>
              <w:rPr>
                <w:rFonts w:hint="eastAsia" w:eastAsia="仿宋"/>
                <w:bCs/>
                <w:color w:val="auto"/>
                <w:sz w:val="24"/>
                <w:highlight w:val="none"/>
              </w:rPr>
              <w:t xml:space="preserve">监测单元数据至存储单元丢包率＜1%</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19</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hint="eastAsia" w:eastAsia="仿宋"/>
                <w:bCs/>
                <w:color w:val="auto"/>
                <w:sz w:val="24"/>
                <w:highlight w:val="none"/>
              </w:rPr>
              <w:t xml:space="preserve">功耗</w:t>
            </w:r>
            <w:r/>
          </w:p>
        </w:tc>
        <w:tc>
          <w:tcPr>
            <w:shd w:val="clear" w:color="auto" w:fill="auto"/>
            <w:tcW w:w="6182" w:type="dxa"/>
            <w:vAlign w:val="center"/>
            <w:textDirection w:val="lrTb"/>
            <w:noWrap w:val="false"/>
          </w:tcPr>
          <w:p>
            <w:pPr>
              <w:spacing w:line="240" w:lineRule="auto"/>
              <w:rPr>
                <w:rFonts w:hint="eastAsia" w:eastAsia="仿宋"/>
                <w:bCs/>
                <w:color w:val="auto"/>
                <w:sz w:val="24"/>
                <w:highlight w:val="none"/>
              </w:rPr>
            </w:pPr>
            <w:r>
              <w:rPr>
                <w:rFonts w:hint="eastAsia" w:eastAsia="仿宋"/>
                <w:bCs/>
                <w:color w:val="auto"/>
                <w:sz w:val="24"/>
                <w:highlight w:val="none"/>
              </w:rPr>
              <w:t xml:space="preserve">≤8W</w:t>
            </w:r>
            <w:r/>
          </w:p>
        </w:tc>
      </w:tr>
      <w:tr>
        <w:trPr>
          <w:jc w:val="center"/>
          <w:trHeight w:val="454"/>
        </w:trPr>
        <w:tc>
          <w:tcPr>
            <w:shd w:val="clear" w:color="auto" w:fill="auto"/>
            <w:tcW w:w="706" w:type="dxa"/>
            <w:vAlign w:val="center"/>
            <w:textDirection w:val="lrTb"/>
            <w:noWrap w:val="false"/>
          </w:tcPr>
          <w:p>
            <w:pPr>
              <w:jc w:val="center"/>
              <w:rPr>
                <w:rFonts w:hint="default" w:eastAsia="仿宋"/>
                <w:color w:val="auto"/>
                <w:sz w:val="24"/>
                <w:highlight w:val="none"/>
                <w:lang w:val="en-US" w:eastAsia="zh-CN"/>
              </w:rPr>
            </w:pPr>
            <w:r>
              <w:rPr>
                <w:rFonts w:hint="eastAsia" w:eastAsia="仿宋"/>
                <w:color w:val="auto"/>
                <w:sz w:val="24"/>
                <w:highlight w:val="none"/>
                <w:lang w:val="en-US" w:eastAsia="zh-CN"/>
              </w:rPr>
              <w:t xml:space="preserve">20</w:t>
            </w:r>
            <w:r/>
          </w:p>
        </w:tc>
        <w:tc>
          <w:tcPr>
            <w:shd w:val="clear" w:color="auto" w:fill="auto"/>
            <w:tcW w:w="1948" w:type="dxa"/>
            <w:vAlign w:val="center"/>
            <w:textDirection w:val="lrTb"/>
            <w:noWrap w:val="false"/>
          </w:tcPr>
          <w:p>
            <w:pPr>
              <w:jc w:val="center"/>
              <w:rPr>
                <w:rFonts w:eastAsia="仿宋"/>
                <w:bCs/>
                <w:color w:val="auto"/>
                <w:sz w:val="24"/>
                <w:highlight w:val="none"/>
              </w:rPr>
            </w:pPr>
            <w:r>
              <w:rPr>
                <w:rFonts w:eastAsia="仿宋"/>
                <w:color w:val="auto"/>
                <w:szCs w:val="21"/>
                <w:highlight w:val="none"/>
              </w:rPr>
              <w:t xml:space="preserve">▲</w:t>
            </w:r>
            <w:r>
              <w:rPr>
                <w:rFonts w:eastAsia="仿宋"/>
                <w:bCs/>
                <w:color w:val="auto"/>
                <w:sz w:val="24"/>
                <w:highlight w:val="none"/>
              </w:rPr>
              <w:t xml:space="preserve">开关量输入功能</w:t>
            </w:r>
            <w:r/>
          </w:p>
        </w:tc>
        <w:tc>
          <w:tcPr>
            <w:shd w:val="clear" w:color="auto" w:fill="auto"/>
            <w:tcW w:w="6182" w:type="dxa"/>
            <w:vAlign w:val="center"/>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最少有2路开关量输入检测</w:t>
            </w:r>
            <w:r>
              <w:rPr>
                <w:rFonts w:hint="eastAsia" w:eastAsia="仿宋"/>
                <w:bCs/>
                <w:color w:val="auto"/>
                <w:sz w:val="24"/>
                <w:highlight w:val="none"/>
              </w:rPr>
              <w:t xml:space="preserve">。（提供检测报告复印件加盖电子公章）</w:t>
            </w:r>
            <w:bookmarkEnd w:id="87"/>
            <w:r/>
            <w:bookmarkEnd w:id="88"/>
            <w:r/>
            <w:r/>
          </w:p>
        </w:tc>
      </w:tr>
    </w:tbl>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eastAsia="仿宋"/>
          <w:color w:val="auto"/>
          <w:sz w:val="24"/>
          <w:highlight w:val="none"/>
        </w:rPr>
        <w:t xml:space="preserve">3.VOCs在线监测仪在线监测仪技术要求</w:t>
      </w:r>
      <w:r/>
    </w:p>
    <w:tbl>
      <w:tblPr>
        <w:tblStyle w:val="829"/>
        <w:tblW w:w="886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867"/>
        <w:gridCol w:w="6213"/>
      </w:tblGrid>
      <w:tr>
        <w:trPr/>
        <w:tc>
          <w:tcPr>
            <w:shd w:val="clear" w:color="auto" w:fill="auto"/>
            <w:tcW w:w="788" w:type="dxa"/>
            <w:textDirection w:val="lrTb"/>
            <w:noWrap w:val="false"/>
          </w:tcPr>
          <w:p>
            <w:pPr>
              <w:pStyle w:val="840"/>
              <w:ind w:left="0"/>
              <w:jc w:val="center"/>
              <w:spacing w:before="120" w:after="120"/>
              <w:rPr>
                <w:rFonts w:ascii="Times New Roman" w:hAnsi="Times New Roman" w:eastAsia="仿宋"/>
                <w:b/>
                <w:bCs/>
                <w:color w:val="auto"/>
                <w:sz w:val="24"/>
                <w:highlight w:val="none"/>
              </w:rPr>
            </w:pPr>
            <w:r>
              <w:rPr>
                <w:rFonts w:ascii="Times New Roman" w:hAnsi="Times New Roman" w:eastAsia="仿宋"/>
                <w:b/>
                <w:bCs/>
                <w:color w:val="auto"/>
                <w:sz w:val="24"/>
                <w:highlight w:val="none"/>
              </w:rPr>
              <w:t xml:space="preserve">序号</w:t>
            </w:r>
            <w:r/>
          </w:p>
        </w:tc>
        <w:tc>
          <w:tcPr>
            <w:shd w:val="clear" w:color="auto" w:fill="auto"/>
            <w:tcW w:w="1867" w:type="dxa"/>
            <w:textDirection w:val="lrTb"/>
            <w:noWrap w:val="false"/>
          </w:tcPr>
          <w:p>
            <w:pPr>
              <w:pStyle w:val="840"/>
              <w:ind w:left="0"/>
              <w:jc w:val="center"/>
              <w:spacing w:before="120" w:after="120"/>
              <w:rPr>
                <w:rFonts w:ascii="Times New Roman" w:hAnsi="Times New Roman" w:eastAsia="仿宋"/>
                <w:b/>
                <w:bCs/>
                <w:color w:val="auto"/>
                <w:sz w:val="24"/>
                <w:highlight w:val="none"/>
              </w:rPr>
            </w:pPr>
            <w:r>
              <w:rPr>
                <w:rFonts w:ascii="Times New Roman" w:hAnsi="Times New Roman" w:eastAsia="仿宋"/>
                <w:b/>
                <w:bCs/>
                <w:color w:val="auto"/>
                <w:sz w:val="24"/>
                <w:highlight w:val="none"/>
              </w:rPr>
              <w:t xml:space="preserve">名称</w:t>
            </w:r>
            <w:r/>
          </w:p>
        </w:tc>
        <w:tc>
          <w:tcPr>
            <w:shd w:val="clear" w:color="auto" w:fill="auto"/>
            <w:tcW w:w="6213" w:type="dxa"/>
            <w:textDirection w:val="lrTb"/>
            <w:noWrap w:val="false"/>
          </w:tcPr>
          <w:p>
            <w:pPr>
              <w:pStyle w:val="840"/>
              <w:ind w:left="0"/>
              <w:jc w:val="center"/>
              <w:spacing w:before="120" w:after="120"/>
              <w:rPr>
                <w:rFonts w:ascii="Times New Roman" w:hAnsi="Times New Roman" w:eastAsia="仿宋"/>
                <w:b/>
                <w:bCs/>
                <w:color w:val="auto"/>
                <w:sz w:val="24"/>
                <w:highlight w:val="none"/>
              </w:rPr>
            </w:pPr>
            <w:r>
              <w:rPr>
                <w:rFonts w:ascii="Times New Roman" w:hAnsi="Times New Roman" w:eastAsia="仿宋"/>
                <w:b/>
                <w:bCs/>
                <w:color w:val="auto"/>
                <w:sz w:val="24"/>
                <w:highlight w:val="none"/>
              </w:rPr>
              <w:t xml:space="preserve">功能、性能、配置或服务要求</w:t>
            </w:r>
            <w:r/>
          </w:p>
        </w:tc>
      </w:tr>
      <w:tr>
        <w:trPr>
          <w:trHeight w:val="463"/>
        </w:trPr>
        <w:tc>
          <w:tcPr>
            <w:gridSpan w:val="3"/>
            <w:shd w:val="clear" w:color="auto" w:fill="auto"/>
            <w:tcW w:w="8868"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bCs/>
                <w:color w:val="auto"/>
                <w:sz w:val="24"/>
                <w:highlight w:val="none"/>
              </w:rPr>
              <w:t xml:space="preserve">VOCs在线监测仪功能参数要求：</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设备要求</w:t>
            </w:r>
            <w:r/>
          </w:p>
        </w:tc>
        <w:tc>
          <w:tcPr>
            <w:shd w:val="clear" w:color="auto" w:fill="auto"/>
            <w:tcW w:w="6213" w:type="dxa"/>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1.1采用PID光离子化检测原理检测出口TVOC浓度、流速等；</w:t>
            </w:r>
            <w:r/>
          </w:p>
          <w:p>
            <w:pPr>
              <w:spacing w:line="360" w:lineRule="auto"/>
              <w:rPr>
                <w:rFonts w:eastAsia="仿宋"/>
                <w:bCs/>
                <w:color w:val="auto"/>
                <w:sz w:val="24"/>
                <w:highlight w:val="none"/>
              </w:rPr>
            </w:pPr>
            <w:r>
              <w:rPr>
                <w:rFonts w:eastAsia="仿宋"/>
                <w:bCs/>
                <w:color w:val="auto"/>
                <w:sz w:val="24"/>
                <w:highlight w:val="none"/>
              </w:rPr>
              <w:t xml:space="preserve">1.2每台设备配置一个人机界面，采用10寸及以上高分辨率彩色显示屏，可显示进口、出口实时曲线。</w:t>
            </w:r>
            <w:r/>
          </w:p>
          <w:p>
            <w:pPr>
              <w:spacing w:line="360" w:lineRule="auto"/>
              <w:rPr>
                <w:rFonts w:eastAsia="仿宋"/>
                <w:bCs/>
                <w:color w:val="auto"/>
                <w:sz w:val="24"/>
                <w:highlight w:val="none"/>
              </w:rPr>
            </w:pPr>
            <w:r>
              <w:rPr>
                <w:rFonts w:eastAsia="仿宋"/>
                <w:bCs/>
                <w:color w:val="auto"/>
                <w:sz w:val="24"/>
                <w:highlight w:val="none"/>
              </w:rPr>
              <w:t xml:space="preserve">1.3具有声光报警功能，报警阈值可配置，报警具备消音控制； </w:t>
            </w:r>
            <w:r/>
          </w:p>
          <w:p>
            <w:pPr>
              <w:spacing w:line="360" w:lineRule="auto"/>
              <w:rPr>
                <w:rFonts w:eastAsia="仿宋"/>
                <w:bCs/>
                <w:color w:val="auto"/>
                <w:sz w:val="24"/>
                <w:highlight w:val="none"/>
              </w:rPr>
            </w:pPr>
            <w:r>
              <w:rPr>
                <w:rFonts w:eastAsia="仿宋"/>
                <w:bCs/>
                <w:color w:val="auto"/>
                <w:sz w:val="24"/>
                <w:highlight w:val="none"/>
              </w:rPr>
              <w:t xml:space="preserve">1.4高精度的模拟量采集单元，全工业级电路，高稳定性、高可靠性设计；</w:t>
            </w:r>
            <w:r/>
          </w:p>
          <w:p>
            <w:pPr>
              <w:spacing w:line="360" w:lineRule="auto"/>
              <w:rPr>
                <w:rFonts w:eastAsia="仿宋"/>
                <w:bCs/>
                <w:color w:val="auto"/>
                <w:sz w:val="24"/>
                <w:highlight w:val="none"/>
              </w:rPr>
            </w:pPr>
            <w:r>
              <w:rPr>
                <w:rFonts w:eastAsia="仿宋"/>
                <w:bCs/>
                <w:color w:val="auto"/>
                <w:sz w:val="24"/>
                <w:highlight w:val="none"/>
              </w:rPr>
              <w:t xml:space="preserve">1.5带备用电池的实时时钟，始终可与服务器自动同步；</w:t>
            </w:r>
            <w:r/>
          </w:p>
          <w:p>
            <w:pPr>
              <w:spacing w:line="360" w:lineRule="auto"/>
              <w:rPr>
                <w:rFonts w:eastAsia="仿宋"/>
                <w:bCs/>
                <w:color w:val="auto"/>
                <w:sz w:val="24"/>
                <w:highlight w:val="none"/>
              </w:rPr>
            </w:pPr>
            <w:r>
              <w:rPr>
                <w:rFonts w:eastAsia="仿宋"/>
                <w:bCs/>
                <w:color w:val="auto"/>
                <w:sz w:val="24"/>
                <w:highlight w:val="none"/>
              </w:rPr>
              <w:t xml:space="preserve">1.6采用可靠的数据传输设备，保证连续、及时、可靠地进行数据传输，实现即时数据发送、批量数据发送、状态信息发送；</w:t>
            </w:r>
            <w:r/>
          </w:p>
          <w:p>
            <w:pPr>
              <w:spacing w:line="360" w:lineRule="auto"/>
              <w:rPr>
                <w:rFonts w:eastAsia="仿宋"/>
                <w:bCs/>
                <w:color w:val="auto"/>
                <w:sz w:val="24"/>
                <w:highlight w:val="none"/>
              </w:rPr>
            </w:pPr>
            <w:r>
              <w:rPr>
                <w:rFonts w:eastAsia="仿宋"/>
                <w:bCs/>
                <w:color w:val="auto"/>
                <w:sz w:val="24"/>
                <w:highlight w:val="none"/>
              </w:rPr>
              <w:t xml:space="preserve">1.7能检测排放系统工况；能显示网络连接状态及信号强度；显示单位可切换；</w:t>
            </w:r>
            <w:r/>
          </w:p>
          <w:p>
            <w:pPr>
              <w:spacing w:line="360" w:lineRule="auto"/>
              <w:rPr>
                <w:rFonts w:eastAsia="仿宋"/>
                <w:bCs/>
                <w:color w:val="auto"/>
                <w:sz w:val="24"/>
                <w:highlight w:val="none"/>
              </w:rPr>
            </w:pPr>
            <w:r>
              <w:rPr>
                <w:rFonts w:eastAsia="仿宋"/>
                <w:bCs/>
                <w:color w:val="auto"/>
                <w:sz w:val="24"/>
                <w:highlight w:val="none"/>
              </w:rPr>
              <w:t xml:space="preserve">1.8 HJ212-2017通讯协议，支持IP和域名连接，上报时间可调。</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2</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数据采集</w:t>
            </w:r>
            <w:r/>
          </w:p>
        </w:tc>
        <w:tc>
          <w:tcPr>
            <w:shd w:val="clear" w:color="auto" w:fill="auto"/>
            <w:tcW w:w="6213" w:type="dxa"/>
            <w:textDirection w:val="lrTb"/>
            <w:noWrap w:val="false"/>
          </w:tcPr>
          <w:p>
            <w:pPr>
              <w:spacing w:line="360" w:lineRule="auto"/>
              <w:rPr>
                <w:rFonts w:eastAsia="仿宋"/>
                <w:bCs/>
                <w:color w:val="auto"/>
                <w:sz w:val="24"/>
                <w:highlight w:val="none"/>
              </w:rPr>
            </w:pPr>
            <w:r>
              <w:rPr>
                <w:rFonts w:eastAsia="仿宋"/>
                <w:bCs/>
                <w:color w:val="auto"/>
                <w:sz w:val="24"/>
                <w:highlight w:val="none"/>
              </w:rPr>
              <w:t xml:space="preserve">2.1定期诊断检查所有的通信模块，以确保它们正确运转。系统能实时显示通信系统运行状态，并支持对网络通信状态的监测。</w:t>
            </w:r>
            <w:r/>
          </w:p>
          <w:p>
            <w:pPr>
              <w:spacing w:line="360" w:lineRule="auto"/>
              <w:rPr>
                <w:rFonts w:eastAsia="仿宋"/>
                <w:bCs/>
                <w:color w:val="auto"/>
                <w:sz w:val="24"/>
                <w:highlight w:val="none"/>
              </w:rPr>
            </w:pPr>
            <w:r>
              <w:rPr>
                <w:rFonts w:eastAsia="仿宋"/>
                <w:bCs/>
                <w:color w:val="auto"/>
                <w:sz w:val="24"/>
                <w:highlight w:val="none"/>
              </w:rPr>
              <w:t xml:space="preserve">2.2支持在线监视和故障诊断。当某个数据点或者站点发生数据传输故障时，能够产生报警，通知相应人员进行处理。</w:t>
            </w:r>
            <w:r/>
          </w:p>
          <w:p>
            <w:pPr>
              <w:spacing w:line="360" w:lineRule="auto"/>
              <w:rPr>
                <w:rFonts w:eastAsia="仿宋"/>
                <w:bCs/>
                <w:color w:val="auto"/>
                <w:sz w:val="24"/>
                <w:highlight w:val="none"/>
              </w:rPr>
            </w:pPr>
            <w:r>
              <w:rPr>
                <w:rFonts w:eastAsia="仿宋"/>
                <w:bCs/>
                <w:color w:val="auto"/>
                <w:sz w:val="24"/>
                <w:highlight w:val="none"/>
              </w:rPr>
              <w:t xml:space="preserve">2.3数据采集周期、方式、参数等可在线定义。</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3</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通讯方式</w:t>
            </w:r>
            <w:r/>
          </w:p>
        </w:tc>
        <w:tc>
          <w:tcPr>
            <w:shd w:val="clear" w:color="auto" w:fill="auto"/>
            <w:tcW w:w="6213" w:type="dxa"/>
            <w:textDirection w:val="lrTb"/>
            <w:noWrap w:val="false"/>
          </w:tcPr>
          <w:p>
            <w:pPr>
              <w:spacing w:before="120" w:after="120" w:line="360" w:lineRule="auto"/>
              <w:rPr>
                <w:rFonts w:eastAsia="仿宋"/>
                <w:bCs/>
                <w:color w:val="auto"/>
                <w:sz w:val="24"/>
                <w:highlight w:val="none"/>
              </w:rPr>
            </w:pPr>
            <w:r>
              <w:rPr>
                <w:rFonts w:eastAsia="仿宋"/>
                <w:bCs/>
                <w:color w:val="auto"/>
                <w:sz w:val="24"/>
                <w:highlight w:val="none"/>
              </w:rPr>
              <w:t xml:space="preserve">利用无线通信传输技术，将数据上传至数据中心。设备支持服务器动态域名或IP地址访问。</w:t>
            </w:r>
            <w:r/>
          </w:p>
        </w:tc>
      </w:tr>
      <w:tr>
        <w:trPr>
          <w:trHeight w:val="590"/>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4</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数据传输</w:t>
            </w:r>
            <w:r/>
          </w:p>
        </w:tc>
        <w:tc>
          <w:tcPr>
            <w:shd w:val="clear" w:color="auto" w:fill="auto"/>
            <w:tcW w:w="6213" w:type="dxa"/>
            <w:textDirection w:val="lrTb"/>
            <w:noWrap w:val="false"/>
          </w:tcPr>
          <w:p>
            <w:pPr>
              <w:spacing w:before="120" w:after="120" w:line="360" w:lineRule="auto"/>
              <w:rPr>
                <w:rFonts w:eastAsia="仿宋"/>
                <w:bCs/>
                <w:color w:val="auto"/>
                <w:sz w:val="24"/>
                <w:highlight w:val="none"/>
              </w:rPr>
            </w:pPr>
            <w:r>
              <w:rPr>
                <w:rFonts w:eastAsia="仿宋"/>
                <w:bCs/>
                <w:color w:val="auto"/>
                <w:sz w:val="24"/>
                <w:highlight w:val="none"/>
              </w:rPr>
              <w:t xml:space="preserve">采用可靠的数据传输方式，保证数据准确、及时地进行传输，数据采集时间间隔和发送时间可调，网络通讯失败自动重连服务器。</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5</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通讯协议</w:t>
            </w:r>
            <w:r/>
          </w:p>
        </w:tc>
        <w:tc>
          <w:tcPr>
            <w:shd w:val="clear" w:color="auto" w:fill="auto"/>
            <w:tcW w:w="6213" w:type="dxa"/>
            <w:textDirection w:val="lrTb"/>
            <w:noWrap w:val="false"/>
          </w:tcPr>
          <w:p>
            <w:pPr>
              <w:spacing w:before="120" w:after="120" w:line="360" w:lineRule="auto"/>
              <w:rPr>
                <w:rFonts w:eastAsia="仿宋"/>
                <w:bCs/>
                <w:color w:val="auto"/>
                <w:sz w:val="24"/>
                <w:highlight w:val="none"/>
              </w:rPr>
            </w:pPr>
            <w:r>
              <w:rPr>
                <w:rFonts w:eastAsia="仿宋"/>
                <w:bCs/>
                <w:color w:val="auto"/>
                <w:sz w:val="24"/>
                <w:highlight w:val="none"/>
              </w:rPr>
              <w:t xml:space="preserve">系统采用统一的、符合环保通信规则的通讯协议（环保HJ212协议），数据传输协议可以根据要求进行修改。</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6</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供电方式</w:t>
            </w:r>
            <w:r/>
          </w:p>
        </w:tc>
        <w:tc>
          <w:tcPr>
            <w:shd w:val="clear" w:color="auto" w:fill="auto"/>
            <w:tcW w:w="6213" w:type="dxa"/>
            <w:textDirection w:val="lrTb"/>
            <w:noWrap w:val="false"/>
          </w:tcPr>
          <w:p>
            <w:pPr>
              <w:spacing w:before="120" w:after="120"/>
              <w:rPr>
                <w:rFonts w:eastAsia="仿宋"/>
                <w:bCs/>
                <w:color w:val="auto"/>
                <w:sz w:val="24"/>
                <w:highlight w:val="none"/>
              </w:rPr>
            </w:pPr>
            <w:r>
              <w:rPr>
                <w:rFonts w:eastAsia="仿宋"/>
                <w:bCs/>
                <w:color w:val="auto"/>
                <w:sz w:val="24"/>
                <w:highlight w:val="none"/>
              </w:rPr>
              <w:t xml:space="preserve">AC220V；50Hz</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7</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上报周期</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bCs/>
                <w:color w:val="auto"/>
                <w:sz w:val="24"/>
                <w:highlight w:val="none"/>
              </w:rPr>
              <w:t xml:space="preserve">1min-1h可设</w:t>
            </w:r>
            <w:r/>
          </w:p>
        </w:tc>
      </w:tr>
      <w:tr>
        <w:trPr>
          <w:trHeight w:val="280"/>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8</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bCs/>
                <w:color w:val="auto"/>
                <w:sz w:val="24"/>
                <w:highlight w:val="none"/>
              </w:rPr>
            </w:pPr>
            <w:r>
              <w:rPr>
                <w:rFonts w:ascii="Times New Roman" w:hAnsi="Times New Roman" w:eastAsia="仿宋"/>
                <w:color w:val="auto"/>
                <w:sz w:val="24"/>
                <w:highlight w:val="none"/>
              </w:rPr>
              <w:t xml:space="preserve">响应时间</w:t>
            </w:r>
            <w:r/>
          </w:p>
        </w:tc>
        <w:tc>
          <w:tcPr>
            <w:shd w:val="clear" w:color="auto" w:fill="auto"/>
            <w:tcW w:w="6213" w:type="dxa"/>
            <w:textDirection w:val="lrTb"/>
            <w:noWrap w:val="false"/>
          </w:tcPr>
          <w:p>
            <w:pPr>
              <w:pStyle w:val="840"/>
              <w:ind w:left="0"/>
              <w:spacing w:before="120" w:after="120"/>
              <w:rPr>
                <w:rFonts w:ascii="Times New Roman" w:hAnsi="Times New Roman" w:eastAsia="仿宋"/>
                <w:bCs/>
                <w:color w:val="auto"/>
                <w:sz w:val="24"/>
                <w:highlight w:val="none"/>
              </w:rPr>
            </w:pPr>
            <w:r>
              <w:rPr>
                <w:rFonts w:ascii="Times New Roman" w:hAnsi="Times New Roman" w:eastAsia="仿宋"/>
                <w:bCs/>
                <w:color w:val="auto"/>
                <w:sz w:val="24"/>
                <w:highlight w:val="none"/>
              </w:rPr>
              <w:t xml:space="preserve">≤30s</w:t>
            </w:r>
            <w:r/>
          </w:p>
        </w:tc>
      </w:tr>
      <w:tr>
        <w:trPr>
          <w:trHeight w:val="259"/>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9</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通讯方式</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GPRS无线通讯、4G等可选</w:t>
            </w:r>
            <w:r/>
          </w:p>
        </w:tc>
      </w:tr>
      <w:tr>
        <w:trPr>
          <w:trHeight w:val="223"/>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10</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环境温度要求</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-10℃~55℃</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11</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TVOC测量范围</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0~750㎎/m³</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12</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TVOC线性误差</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不超过±5%F.S</w:t>
            </w:r>
            <w:r/>
          </w:p>
        </w:tc>
      </w:tr>
      <w:tr>
        <w:trPr>
          <w:trHeight w:val="660"/>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13</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TVOC 24h零点漂移</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≤±5%F.S；</w:t>
            </w:r>
            <w:r/>
          </w:p>
        </w:tc>
      </w:tr>
      <w:tr>
        <w:trPr>
          <w:trHeight w:val="744"/>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14</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TVOC 24h量程漂移</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≤±5%F.S；</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15</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废气流速范围</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0~30m/s</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16</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废气分辨率</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0.1m/s</w:t>
            </w:r>
            <w:r/>
          </w:p>
        </w:tc>
      </w:tr>
      <w:tr>
        <w:trPr/>
        <w:tc>
          <w:tcPr>
            <w:shd w:val="clear" w:color="auto" w:fill="auto"/>
            <w:tcW w:w="788"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17</w:t>
            </w:r>
            <w:r/>
          </w:p>
        </w:tc>
        <w:tc>
          <w:tcPr>
            <w:shd w:val="clear" w:color="auto" w:fill="auto"/>
            <w:tcW w:w="1867" w:type="dxa"/>
            <w:vAlign w:val="center"/>
            <w:textDirection w:val="lrTb"/>
            <w:noWrap w:val="false"/>
          </w:tcPr>
          <w:p>
            <w:pPr>
              <w:pStyle w:val="840"/>
              <w:ind w:left="0"/>
              <w:jc w:val="center"/>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废气测量误差</w:t>
            </w:r>
            <w:r/>
          </w:p>
        </w:tc>
        <w:tc>
          <w:tcPr>
            <w:shd w:val="clear" w:color="auto" w:fill="auto"/>
            <w:tcW w:w="6213" w:type="dxa"/>
            <w:textDirection w:val="lrTb"/>
            <w:noWrap w:val="false"/>
          </w:tcPr>
          <w:p>
            <w:pPr>
              <w:pStyle w:val="840"/>
              <w:ind w:left="0"/>
              <w:spacing w:before="120" w:after="120"/>
              <w:rPr>
                <w:rFonts w:ascii="Times New Roman" w:hAnsi="Times New Roman" w:eastAsia="仿宋"/>
                <w:color w:val="auto"/>
                <w:sz w:val="24"/>
                <w:highlight w:val="none"/>
              </w:rPr>
            </w:pPr>
            <w:r>
              <w:rPr>
                <w:rFonts w:ascii="Times New Roman" w:hAnsi="Times New Roman" w:eastAsia="仿宋"/>
                <w:color w:val="auto"/>
                <w:sz w:val="24"/>
                <w:highlight w:val="none"/>
              </w:rPr>
              <w:t xml:space="preserve">≤±2%</w:t>
            </w:r>
            <w:r/>
          </w:p>
        </w:tc>
      </w:tr>
    </w:tbl>
    <w:p>
      <w:pPr>
        <w:numPr>
          <w:ilvl w:val="0"/>
          <w:numId w:val="7"/>
        </w:numPr>
        <w:spacing w:line="360" w:lineRule="auto"/>
        <w:rPr>
          <w:rFonts w:eastAsia="仿宋"/>
          <w:b/>
          <w:bCs/>
          <w:color w:val="auto"/>
          <w:sz w:val="24"/>
          <w:highlight w:val="none"/>
        </w:rPr>
      </w:pPr>
      <w:r>
        <w:rPr>
          <w:rFonts w:hint="eastAsia" w:eastAsia="仿宋"/>
          <w:b/>
          <w:bCs/>
          <w:color w:val="auto"/>
          <w:sz w:val="24"/>
          <w:highlight w:val="none"/>
        </w:rPr>
        <w:t xml:space="preserve">服务要求</w:t>
      </w:r>
      <w:r/>
    </w:p>
    <w:p>
      <w:pPr>
        <w:numPr>
          <w:ilvl w:val="0"/>
          <w:numId w:val="8"/>
        </w:numPr>
        <w:ind w:firstLine="480"/>
        <w:spacing w:line="360" w:lineRule="auto"/>
        <w:rPr>
          <w:rFonts w:eastAsia="仿宋"/>
          <w:color w:val="auto"/>
          <w:sz w:val="24"/>
          <w:highlight w:val="none"/>
        </w:rPr>
      </w:pPr>
      <w:r>
        <w:rPr>
          <w:rFonts w:hint="eastAsia" w:eastAsia="仿宋"/>
          <w:color w:val="auto"/>
          <w:sz w:val="24"/>
          <w:highlight w:val="none"/>
        </w:rPr>
        <w:t xml:space="preserve">供应商提供监测设备及监测系统平台服务，所有用于本项目的监测设备为供应商所有；</w:t>
      </w:r>
      <w:r>
        <w:rPr>
          <w:rFonts w:eastAsia="仿宋"/>
          <w:color w:val="auto"/>
          <w:sz w:val="24"/>
          <w:highlight w:val="none"/>
        </w:rPr>
        <w:t xml:space="preserve">负责</w:t>
      </w:r>
      <w:r>
        <w:rPr>
          <w:rFonts w:hint="eastAsia" w:eastAsia="仿宋"/>
          <w:color w:val="auto"/>
          <w:sz w:val="24"/>
          <w:highlight w:val="none"/>
        </w:rPr>
        <w:t xml:space="preserve">对</w:t>
      </w:r>
      <w:r>
        <w:rPr>
          <w:rFonts w:hint="eastAsia" w:eastAsia="仿宋"/>
          <w:color w:val="auto"/>
          <w:sz w:val="24"/>
          <w:highlight w:val="none"/>
        </w:rPr>
        <w:t xml:space="preserve">配置的设备进行</w:t>
      </w:r>
      <w:r>
        <w:rPr>
          <w:rFonts w:eastAsia="仿宋"/>
          <w:color w:val="auto"/>
          <w:sz w:val="24"/>
          <w:highlight w:val="none"/>
        </w:rPr>
        <w:t xml:space="preserve">安装、调试、联网</w:t>
      </w:r>
      <w:r>
        <w:rPr>
          <w:rFonts w:hint="eastAsia" w:eastAsia="仿宋"/>
          <w:color w:val="auto"/>
          <w:sz w:val="24"/>
          <w:highlight w:val="none"/>
        </w:rPr>
        <w:t xml:space="preserve">等，保证设备及监测系统平台的数据对接；</w:t>
      </w:r>
      <w:r>
        <w:rPr>
          <w:rFonts w:eastAsia="仿宋"/>
          <w:color w:val="auto"/>
          <w:sz w:val="24"/>
          <w:highlight w:val="none"/>
        </w:rPr>
        <w:t xml:space="preserve">对自有设备的维护保养、保修等，确保监测设备数据</w:t>
      </w:r>
      <w:r>
        <w:rPr>
          <w:rFonts w:hint="eastAsia" w:eastAsia="仿宋"/>
          <w:color w:val="auto"/>
          <w:sz w:val="24"/>
          <w:highlight w:val="none"/>
        </w:rPr>
        <w:t xml:space="preserve">准确性及上传的</w:t>
      </w:r>
      <w:r>
        <w:rPr>
          <w:rFonts w:eastAsia="仿宋"/>
          <w:color w:val="auto"/>
          <w:sz w:val="24"/>
          <w:highlight w:val="none"/>
        </w:rPr>
        <w:t xml:space="preserve">时效性</w:t>
      </w:r>
      <w:r>
        <w:rPr>
          <w:rFonts w:hint="eastAsia" w:eastAsia="仿宋"/>
          <w:color w:val="auto"/>
          <w:sz w:val="24"/>
          <w:highlight w:val="none"/>
        </w:rPr>
        <w:t xml:space="preserve">，按采购人要求提供数据服务等。</w:t>
      </w:r>
      <w:r/>
    </w:p>
    <w:p>
      <w:pPr>
        <w:pStyle w:val="840"/>
        <w:ind w:left="0" w:firstLine="480"/>
        <w:spacing w:line="360" w:lineRule="auto"/>
        <w:rPr>
          <w:rFonts w:ascii="Times New Roman" w:hAnsi="Times New Roman" w:eastAsia="仿宋"/>
          <w:color w:val="auto"/>
          <w:sz w:val="24"/>
          <w:highlight w:val="none"/>
        </w:rPr>
      </w:pPr>
      <w:r>
        <w:rPr>
          <w:rFonts w:hint="eastAsia" w:ascii="Times New Roman" w:hAnsi="Times New Roman" w:eastAsia="仿宋"/>
          <w:color w:val="auto"/>
          <w:sz w:val="24"/>
          <w:highlight w:val="none"/>
        </w:rPr>
        <w:t xml:space="preserve">2、供应商在设备布点、安装调度前制定环保措施、职业安全及卫生等措施方案，本项目所涉及的所有硬件设备、运维人员的人身、财产等安全问题责任及供应商派驻人员在服务期间造成伤亡、火警、火灾、设备等一切事故（包括造成采购人员、己方人员、他方人员等），全部由供应商承担责任。</w:t>
      </w:r>
      <w:r/>
    </w:p>
    <w:p>
      <w:pPr>
        <w:pStyle w:val="838"/>
        <w:ind w:firstLine="480"/>
        <w:jc w:val="both"/>
        <w:spacing w:line="360" w:lineRule="auto"/>
        <w:rPr>
          <w:rFonts w:eastAsia="仿宋"/>
          <w:b w:val="0"/>
          <w:bCs w:val="0"/>
          <w:color w:val="auto"/>
          <w:sz w:val="24"/>
          <w:highlight w:val="none"/>
        </w:rPr>
      </w:pPr>
      <w:r>
        <w:rPr>
          <w:rFonts w:hint="eastAsia" w:eastAsia="仿宋"/>
          <w:b w:val="0"/>
          <w:bCs w:val="0"/>
          <w:color w:val="auto"/>
          <w:sz w:val="24"/>
          <w:highlight w:val="none"/>
        </w:rPr>
        <w:t xml:space="preserve">3.</w:t>
      </w:r>
      <w:r>
        <w:rPr>
          <w:rFonts w:eastAsia="仿宋"/>
          <w:b w:val="0"/>
          <w:bCs w:val="0"/>
          <w:color w:val="auto"/>
          <w:sz w:val="24"/>
          <w:highlight w:val="none"/>
        </w:rPr>
        <w:t xml:space="preserve">供应商负责满足日常运维</w:t>
      </w:r>
      <w:r>
        <w:rPr>
          <w:rFonts w:hint="eastAsia" w:eastAsia="仿宋"/>
          <w:b w:val="0"/>
          <w:bCs w:val="0"/>
          <w:color w:val="auto"/>
          <w:sz w:val="24"/>
          <w:highlight w:val="none"/>
        </w:rPr>
        <w:t xml:space="preserve">所需</w:t>
      </w:r>
      <w:r>
        <w:rPr>
          <w:rFonts w:eastAsia="仿宋"/>
          <w:b w:val="0"/>
          <w:bCs w:val="0"/>
          <w:color w:val="auto"/>
          <w:sz w:val="24"/>
          <w:highlight w:val="none"/>
        </w:rPr>
        <w:t xml:space="preserve">备品备件及耗材</w:t>
      </w:r>
      <w:r>
        <w:rPr>
          <w:rFonts w:hint="eastAsia" w:eastAsia="仿宋"/>
          <w:b w:val="0"/>
          <w:bCs w:val="0"/>
          <w:color w:val="auto"/>
          <w:sz w:val="24"/>
          <w:highlight w:val="none"/>
        </w:rPr>
        <w:t xml:space="preserve">。</w:t>
      </w:r>
      <w:r/>
    </w:p>
    <w:p>
      <w:pPr>
        <w:pStyle w:val="838"/>
        <w:ind w:firstLine="480"/>
        <w:jc w:val="both"/>
        <w:spacing w:line="360" w:lineRule="auto"/>
        <w:rPr>
          <w:rFonts w:eastAsia="仿宋"/>
          <w:b w:val="0"/>
          <w:bCs w:val="0"/>
          <w:color w:val="auto"/>
          <w:sz w:val="24"/>
          <w:highlight w:val="none"/>
        </w:rPr>
      </w:pPr>
      <w:r>
        <w:rPr>
          <w:rFonts w:hint="eastAsia" w:eastAsia="仿宋"/>
          <w:b w:val="0"/>
          <w:bCs w:val="0"/>
          <w:color w:val="auto"/>
          <w:sz w:val="24"/>
          <w:highlight w:val="none"/>
        </w:rPr>
        <w:t xml:space="preserve">4.供应商至少配备13人作为项目专职人员，包括项目负责人1人、现场运维9人、线上客服2人、驻场服务1人。项目负责人负责项目管理、沟通协调、项目汇报、计划制定与实施、团队建设，软件平台系统的管理等，保证设备、系统平台的高质量运行及进度目标的实现。</w:t>
      </w:r>
      <w:r/>
    </w:p>
    <w:p>
      <w:pPr>
        <w:ind w:firstLine="480"/>
        <w:spacing w:line="360" w:lineRule="auto"/>
        <w:rPr>
          <w:rFonts w:eastAsia="仿宋"/>
          <w:color w:val="auto"/>
          <w:sz w:val="24"/>
          <w:highlight w:val="none"/>
        </w:rPr>
      </w:pPr>
      <w:r>
        <w:rPr>
          <w:rFonts w:hint="eastAsia" w:eastAsia="仿宋"/>
          <w:color w:val="auto"/>
          <w:sz w:val="24"/>
          <w:highlight w:val="none"/>
        </w:rPr>
        <w:t xml:space="preserve">5.供应商负责</w:t>
      </w:r>
      <w:r>
        <w:rPr>
          <w:rFonts w:eastAsia="仿宋"/>
          <w:color w:val="auto"/>
          <w:sz w:val="24"/>
          <w:highlight w:val="none"/>
        </w:rPr>
        <w:t xml:space="preserve">切实做好系统网络安全相关工作，并对系统网络安全负责；针对系统进行安全策略设计、部署，并对已经制定实施的系统安全管理策略效果进行验证、调整和改进，确保平台系统的网络安全</w:t>
      </w:r>
      <w:r>
        <w:rPr>
          <w:rFonts w:hint="eastAsia" w:eastAsia="仿宋"/>
          <w:color w:val="auto"/>
          <w:sz w:val="24"/>
          <w:highlight w:val="none"/>
        </w:rPr>
        <w:t xml:space="preserve">等。</w:t>
      </w:r>
      <w:r/>
    </w:p>
    <w:p>
      <w:pPr>
        <w:ind w:firstLine="480"/>
        <w:spacing w:line="360" w:lineRule="auto"/>
        <w:rPr>
          <w:rFonts w:eastAsia="仿宋"/>
          <w:color w:val="auto"/>
          <w:sz w:val="24"/>
          <w:highlight w:val="none"/>
        </w:rPr>
      </w:pPr>
      <w:r>
        <w:rPr>
          <w:rFonts w:hint="eastAsia" w:eastAsia="仿宋"/>
          <w:color w:val="auto"/>
          <w:sz w:val="24"/>
          <w:highlight w:val="none"/>
        </w:rPr>
        <w:t xml:space="preserve">6.</w:t>
      </w:r>
      <w:r>
        <w:rPr>
          <w:rFonts w:eastAsia="仿宋"/>
          <w:color w:val="auto"/>
          <w:sz w:val="24"/>
          <w:highlight w:val="none"/>
        </w:rPr>
        <w:t xml:space="preserve">供应商提供</w:t>
      </w:r>
      <w:r>
        <w:rPr>
          <w:rFonts w:hint="eastAsia" w:eastAsia="仿宋"/>
          <w:color w:val="auto"/>
          <w:sz w:val="24"/>
          <w:highlight w:val="none"/>
        </w:rPr>
        <w:t xml:space="preserve">监测系统</w:t>
      </w:r>
      <w:r>
        <w:rPr>
          <w:rFonts w:eastAsia="仿宋"/>
          <w:color w:val="auto"/>
          <w:sz w:val="24"/>
          <w:highlight w:val="none"/>
        </w:rPr>
        <w:t xml:space="preserve">操作</w:t>
      </w:r>
      <w:r>
        <w:rPr>
          <w:rFonts w:hint="eastAsia" w:eastAsia="仿宋"/>
          <w:color w:val="auto"/>
          <w:sz w:val="24"/>
          <w:highlight w:val="none"/>
        </w:rPr>
        <w:t xml:space="preserve">、APP操作</w:t>
      </w:r>
      <w:r>
        <w:rPr>
          <w:rFonts w:eastAsia="仿宋"/>
          <w:color w:val="auto"/>
          <w:sz w:val="24"/>
          <w:highlight w:val="none"/>
        </w:rPr>
        <w:t xml:space="preserve">培训</w:t>
      </w:r>
      <w:r>
        <w:rPr>
          <w:rFonts w:hint="eastAsia" w:eastAsia="仿宋"/>
          <w:color w:val="auto"/>
          <w:sz w:val="24"/>
          <w:highlight w:val="none"/>
        </w:rPr>
        <w:t xml:space="preserve">方案</w:t>
      </w:r>
      <w:r>
        <w:rPr>
          <w:rFonts w:eastAsia="仿宋"/>
          <w:color w:val="auto"/>
          <w:sz w:val="24"/>
          <w:highlight w:val="none"/>
        </w:rPr>
        <w:t xml:space="preserve">，内容包括但不限于培训方式、培训课时及培训目标成果等内容。</w:t>
      </w:r>
      <w:r/>
    </w:p>
    <w:p>
      <w:pPr>
        <w:pStyle w:val="840"/>
        <w:ind w:left="0" w:firstLine="480"/>
        <w:spacing w:line="360" w:lineRule="auto"/>
        <w:rPr>
          <w:rFonts w:ascii="Times New Roman" w:hAnsi="Times New Roman" w:eastAsia="仿宋"/>
          <w:color w:val="auto"/>
          <w:sz w:val="24"/>
          <w:highlight w:val="none"/>
        </w:rPr>
      </w:pPr>
      <w:r>
        <w:rPr>
          <w:rFonts w:hint="eastAsia" w:ascii="Times New Roman" w:hAnsi="Times New Roman" w:eastAsia="仿宋"/>
          <w:color w:val="auto"/>
          <w:sz w:val="24"/>
          <w:highlight w:val="none"/>
        </w:rPr>
        <w:t xml:space="preserve">7.供应商需能满足采购人对监测系统平台提出的功能优化服务，</w:t>
      </w:r>
      <w:r>
        <w:rPr>
          <w:rFonts w:hint="eastAsia" w:ascii="Times New Roman" w:hAnsi="Times New Roman" w:eastAsia="仿宋"/>
          <w:color w:val="auto"/>
          <w:sz w:val="24"/>
          <w:highlight w:val="none"/>
          <w:lang w:val="zh-CN"/>
        </w:rPr>
        <w:t xml:space="preserve">对局里提出的功能需求</w:t>
      </w:r>
      <w:r>
        <w:rPr>
          <w:rFonts w:hint="eastAsia" w:ascii="Times New Roman" w:hAnsi="Times New Roman" w:eastAsia="仿宋"/>
          <w:color w:val="auto"/>
          <w:sz w:val="24"/>
          <w:highlight w:val="none"/>
        </w:rPr>
        <w:t xml:space="preserve">进行</w:t>
      </w:r>
      <w:r>
        <w:rPr>
          <w:rFonts w:hint="eastAsia" w:ascii="Times New Roman" w:hAnsi="Times New Roman" w:eastAsia="仿宋"/>
          <w:color w:val="auto"/>
          <w:sz w:val="24"/>
          <w:highlight w:val="none"/>
          <w:lang w:val="zh-CN"/>
        </w:rPr>
        <w:t xml:space="preserve">二次开发，</w:t>
      </w:r>
      <w:r>
        <w:rPr>
          <w:rFonts w:hint="eastAsia" w:ascii="Times New Roman" w:hAnsi="Times New Roman" w:eastAsia="仿宋"/>
          <w:color w:val="auto"/>
          <w:sz w:val="24"/>
          <w:highlight w:val="none"/>
        </w:rPr>
        <w:t xml:space="preserve">对软件系统进行升级。</w:t>
      </w:r>
      <w:r/>
    </w:p>
    <w:p>
      <w:pPr>
        <w:ind w:firstLine="480"/>
        <w:spacing w:line="360" w:lineRule="auto"/>
        <w:rPr>
          <w:rFonts w:hint="eastAsia" w:ascii="Times New Roman" w:hAnsi="Times New Roman" w:eastAsia="仿宋" w:cs="Times New Roman"/>
          <w:color w:val="auto"/>
          <w:sz w:val="24"/>
          <w:szCs w:val="24"/>
          <w:highlight w:val="none"/>
          <w:lang w:val="en-US" w:eastAsia="zh-CN" w:bidi="ar-SA"/>
        </w:rPr>
      </w:pPr>
      <w:r>
        <w:rPr>
          <w:rFonts w:hint="eastAsia" w:ascii="Times New Roman" w:hAnsi="Times New Roman" w:eastAsia="仿宋" w:cs="Times New Roman"/>
          <w:color w:val="auto"/>
          <w:sz w:val="24"/>
          <w:szCs w:val="24"/>
          <w:highlight w:val="none"/>
          <w:lang w:val="en-US" w:eastAsia="zh-CN" w:bidi="ar-SA"/>
        </w:rPr>
        <w:t xml:space="preserve">8.供应商应按照采购人要求的时序进度完成本项目涉及的芯片、基础软件、操作系统、中间件、移动端APP等领域的信创国产化替代工作。</w:t>
      </w:r>
      <w:r/>
    </w:p>
    <w:p>
      <w:pPr>
        <w:ind w:firstLine="480"/>
        <w:spacing w:line="360" w:lineRule="auto"/>
        <w:rPr>
          <w:rFonts w:hint="eastAsia" w:ascii="Times New Roman" w:hAnsi="Times New Roman" w:eastAsia="仿宋" w:cs="Times New Roman"/>
          <w:b/>
          <w:bCs/>
          <w:color w:val="auto"/>
          <w:sz w:val="24"/>
          <w:szCs w:val="24"/>
          <w:highlight w:val="none"/>
          <w:lang w:val="en-US" w:eastAsia="zh-CN" w:bidi="ar-SA"/>
        </w:rPr>
      </w:pPr>
      <w:r>
        <w:rPr>
          <w:rFonts w:hint="eastAsia" w:ascii="Times New Roman" w:hAnsi="Times New Roman" w:eastAsia="仿宋" w:cs="Times New Roman"/>
          <w:color w:val="auto"/>
          <w:sz w:val="24"/>
          <w:szCs w:val="24"/>
          <w:highlight w:val="none"/>
          <w:lang w:val="en-US" w:eastAsia="zh-CN" w:bidi="ar-SA"/>
        </w:rPr>
        <w:t xml:space="preserve">9. ★供应商对“秦淮区餐饮油烟及涉VOCs企业在线监测系统”开发或升级的产品全部知识产权归甲方所有。</w:t>
      </w:r>
      <w:r>
        <w:rPr>
          <w:rFonts w:hint="eastAsia" w:ascii="Times New Roman" w:hAnsi="Times New Roman" w:eastAsia="仿宋" w:cs="Times New Roman"/>
          <w:b/>
          <w:bCs/>
          <w:color w:val="auto"/>
          <w:sz w:val="24"/>
          <w:szCs w:val="24"/>
          <w:highlight w:val="none"/>
          <w:lang w:val="en-US" w:eastAsia="zh-CN" w:bidi="ar-SA"/>
        </w:rPr>
        <w:t xml:space="preserve">（提供承诺书加盖电子公章，否则视为无效投标）</w:t>
      </w:r>
      <w:r/>
    </w:p>
    <w:p>
      <w:pPr>
        <w:pStyle w:val="840"/>
        <w:rPr>
          <w:color w:val="auto"/>
          <w:highlight w:val="none"/>
        </w:rPr>
      </w:pPr>
      <w:r>
        <w:rPr>
          <w:color w:val="auto"/>
          <w:highlight w:val="none"/>
        </w:rPr>
      </w:r>
      <w:r/>
    </w:p>
    <w:p>
      <w:pPr>
        <w:pStyle w:val="840"/>
        <w:rPr>
          <w:color w:val="auto"/>
          <w:highlight w:val="none"/>
        </w:rPr>
      </w:pPr>
      <w:r>
        <w:rPr>
          <w:color w:val="auto"/>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bookmarkEnd w:id="81"/>
      <w:r/>
      <w:bookmarkEnd w:id="82"/>
      <w:r/>
      <w:r/>
    </w:p>
    <w:p>
      <w:pPr>
        <w:spacing w:line="479" w:lineRule="atLeast"/>
        <w:rPr>
          <w:rFonts w:eastAsia="仿宋"/>
          <w:color w:val="auto"/>
          <w:highlight w:val="none"/>
        </w:rPr>
        <w:pBdr>
          <w:top w:val="none" w:color="000000" w:sz="0" w:space="0"/>
          <w:left w:val="none" w:color="000000" w:sz="0" w:space="0"/>
          <w:bottom w:val="none" w:color="000000" w:sz="0" w:space="0"/>
          <w:right w:val="none" w:color="000000" w:sz="0" w:space="0"/>
        </w:pBdr>
        <w:sectPr>
          <w:footerReference w:type="default" r:id="rId12"/>
          <w:footnotePr/>
          <w:endnotePr>
            <w:numFmt w:val="decimal"/>
          </w:endnotePr>
          <w:type w:val="nextPage"/>
          <w:pgSz w:w="11906" w:h="16838" w:orient="portrait"/>
          <w:pgMar w:top="1417" w:right="1757" w:bottom="1417" w:left="1757" w:header="227" w:footer="720" w:gutter="0"/>
          <w:pgNumType w:start="1"/>
          <w:cols w:num="1" w:sep="0" w:space="720" w:equalWidth="1"/>
          <w:docGrid w:linePitch="360"/>
        </w:sectPr>
      </w:pPr>
      <w:r>
        <w:rPr>
          <w:rFonts w:eastAsia="仿宋"/>
          <w:color w:val="auto"/>
          <w:highlight w:val="none"/>
        </w:rPr>
      </w:r>
      <w:r/>
    </w:p>
    <w:p>
      <w:pPr>
        <w:pStyle w:val="819"/>
        <w:spacing w:line="360" w:lineRule="auto"/>
        <w:rPr>
          <w:rFonts w:eastAsia="仿宋"/>
          <w:color w:val="auto"/>
          <w:szCs w:val="32"/>
          <w:highlight w:val="none"/>
        </w:rPr>
      </w:pPr>
      <w:r>
        <w:rPr>
          <w:rFonts w:eastAsia="仿宋"/>
          <w:color w:val="auto"/>
          <w:szCs w:val="32"/>
          <w:highlight w:val="none"/>
        </w:rPr>
        <w:t xml:space="preserve"> </w:t>
      </w:r>
      <w:bookmarkStart w:id="89" w:name="_Toc28129"/>
      <w:r/>
      <w:bookmarkStart w:id="90" w:name="_Toc24540"/>
      <w:r/>
      <w:bookmarkStart w:id="91" w:name="_Toc13325"/>
      <w:r>
        <w:rPr>
          <w:rFonts w:eastAsia="仿宋"/>
          <w:color w:val="auto"/>
          <w:szCs w:val="32"/>
          <w:highlight w:val="none"/>
        </w:rPr>
        <w:t xml:space="preserve">合同主要条款及格式</w:t>
      </w:r>
      <w:bookmarkEnd w:id="89"/>
      <w:r/>
      <w:bookmarkEnd w:id="90"/>
      <w:r/>
      <w:bookmarkEnd w:id="91"/>
      <w:r/>
      <w:r/>
    </w:p>
    <w:p>
      <w:pPr>
        <w:jc w:val="center"/>
        <w:spacing w:line="360" w:lineRule="auto"/>
        <w:rPr>
          <w:rFonts w:eastAsia="仿宋"/>
          <w:b/>
          <w:bCs/>
          <w:color w:val="auto"/>
          <w:sz w:val="24"/>
          <w:highlight w:val="none"/>
        </w:rPr>
      </w:pPr>
      <w:r>
        <w:rPr>
          <w:rFonts w:eastAsia="仿宋"/>
          <w:b/>
          <w:bCs/>
          <w:color w:val="auto"/>
          <w:sz w:val="24"/>
          <w:highlight w:val="none"/>
        </w:rPr>
        <w:t xml:space="preserve">注：本合同仅为合同的参考文本，若与项目需求书内容有冲突，以项目需求书为准，合同签订双方可根据项目的具体要求进行修订。</w:t>
      </w:r>
      <w:r/>
    </w:p>
    <w:p>
      <w:pPr>
        <w:rPr>
          <w:rFonts w:eastAsia="仿宋"/>
          <w:color w:val="auto"/>
          <w:highlight w:val="none"/>
        </w:rPr>
      </w:pPr>
      <w:r>
        <w:rPr>
          <w:rFonts w:eastAsia="仿宋"/>
          <w:color w:val="auto"/>
          <w:highlight w:val="none"/>
        </w:rPr>
        <w:br w:type="page" w:clear="all"/>
      </w:r>
      <w:r/>
    </w:p>
    <w:p>
      <w:pPr>
        <w:pStyle w:val="102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jc w:val="center"/>
        <w:spacing w:line="1000" w:lineRule="exact"/>
        <w:rPr>
          <w:rFonts w:eastAsia="仿宋"/>
          <w:bCs/>
          <w:color w:val="auto"/>
          <w:sz w:val="52"/>
          <w:szCs w:val="52"/>
          <w:highlight w:val="none"/>
        </w:rPr>
      </w:pPr>
      <w:r>
        <w:rPr>
          <w:rFonts w:eastAsia="仿宋"/>
          <w:bCs/>
          <w:color w:val="auto"/>
          <w:sz w:val="52"/>
          <w:szCs w:val="52"/>
          <w:highlight w:val="none"/>
        </w:rPr>
      </w:r>
      <w:r/>
    </w:p>
    <w:p>
      <w:pPr>
        <w:jc w:val="center"/>
        <w:spacing w:line="1000" w:lineRule="exact"/>
        <w:rPr>
          <w:rFonts w:eastAsia="仿宋"/>
          <w:bCs/>
          <w:color w:val="auto"/>
          <w:sz w:val="52"/>
          <w:szCs w:val="52"/>
          <w:highlight w:val="none"/>
        </w:rPr>
      </w:pPr>
      <w:r>
        <w:rPr>
          <w:rFonts w:eastAsia="仿宋"/>
          <w:bCs/>
          <w:color w:val="auto"/>
          <w:sz w:val="52"/>
          <w:szCs w:val="52"/>
          <w:highlight w:val="none"/>
        </w:rPr>
        <w:t xml:space="preserve">秦淮区餐饮油烟及涉VOCs企业</w:t>
      </w:r>
      <w:r/>
    </w:p>
    <w:p>
      <w:pPr>
        <w:jc w:val="center"/>
        <w:spacing w:line="1000" w:lineRule="exact"/>
        <w:rPr>
          <w:rFonts w:eastAsia="仿宋"/>
          <w:color w:val="auto"/>
          <w:sz w:val="28"/>
          <w:szCs w:val="28"/>
          <w:highlight w:val="none"/>
        </w:rPr>
      </w:pPr>
      <w:r>
        <w:rPr>
          <w:rFonts w:eastAsia="仿宋"/>
          <w:bCs/>
          <w:color w:val="auto"/>
          <w:sz w:val="52"/>
          <w:szCs w:val="52"/>
          <w:highlight w:val="none"/>
        </w:rPr>
        <w:t xml:space="preserve">在线监测服务项目</w:t>
      </w:r>
      <w:r/>
    </w:p>
    <w:p>
      <w:pPr>
        <w:jc w:val="center"/>
        <w:spacing w:line="1000" w:lineRule="exact"/>
        <w:rPr>
          <w:rFonts w:eastAsia="仿宋"/>
          <w:color w:val="auto"/>
          <w:sz w:val="28"/>
          <w:szCs w:val="28"/>
          <w:highlight w:val="none"/>
        </w:rPr>
      </w:pPr>
      <w:r>
        <w:rPr>
          <w:rFonts w:eastAsia="仿宋"/>
          <w:color w:val="auto"/>
          <w:sz w:val="28"/>
          <w:szCs w:val="28"/>
          <w:highlight w:val="none"/>
        </w:rPr>
      </w:r>
      <w:r/>
    </w:p>
    <w:p>
      <w:pPr>
        <w:jc w:val="center"/>
        <w:spacing w:line="1000" w:lineRule="exact"/>
        <w:rPr>
          <w:rFonts w:eastAsia="仿宋"/>
          <w:bCs/>
          <w:color w:val="auto"/>
          <w:sz w:val="72"/>
          <w:szCs w:val="72"/>
          <w:highlight w:val="none"/>
        </w:rPr>
      </w:pPr>
      <w:r>
        <w:rPr>
          <w:rFonts w:eastAsia="仿宋"/>
          <w:bCs/>
          <w:color w:val="auto"/>
          <w:sz w:val="72"/>
          <w:szCs w:val="72"/>
          <w:highlight w:val="none"/>
        </w:rPr>
        <w:t xml:space="preserve">合 同 书</w:t>
      </w:r>
      <w:r/>
    </w:p>
    <w:p>
      <w:pPr>
        <w:jc w:val="center"/>
        <w:spacing w:line="1000" w:lineRule="exact"/>
        <w:rPr>
          <w:rFonts w:eastAsia="仿宋"/>
          <w:b/>
          <w:bCs/>
          <w:color w:val="auto"/>
          <w:sz w:val="44"/>
          <w:szCs w:val="44"/>
          <w:highlight w:val="none"/>
        </w:rPr>
      </w:pPr>
      <w:r>
        <w:rPr>
          <w:rFonts w:eastAsia="仿宋"/>
          <w:b/>
          <w:bCs/>
          <w:color w:val="auto"/>
          <w:sz w:val="44"/>
          <w:szCs w:val="44"/>
          <w:highlight w:val="none"/>
        </w:rPr>
        <w:t xml:space="preserve">（服务类）</w:t>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spacing w:line="640" w:lineRule="exact"/>
        <w:rPr>
          <w:rFonts w:eastAsia="仿宋"/>
          <w:color w:val="auto"/>
          <w:sz w:val="28"/>
          <w:szCs w:val="28"/>
          <w:highlight w:val="none"/>
          <w:u w:val="single"/>
        </w:rPr>
      </w:pPr>
      <w:r>
        <w:rPr>
          <w:rFonts w:eastAsia="仿宋"/>
          <w:color w:val="auto"/>
          <w:sz w:val="28"/>
          <w:szCs w:val="28"/>
          <w:highlight w:val="none"/>
          <w:u w:val="single"/>
        </w:rPr>
      </w:r>
      <w:r/>
    </w:p>
    <w:p>
      <w:pPr>
        <w:jc w:val="center"/>
        <w:spacing w:line="640" w:lineRule="exact"/>
        <w:rPr>
          <w:rFonts w:eastAsia="仿宋"/>
          <w:b/>
          <w:bCs/>
          <w:color w:val="auto"/>
          <w:sz w:val="44"/>
          <w:szCs w:val="44"/>
          <w:highlight w:val="none"/>
        </w:rPr>
      </w:pPr>
      <w:r>
        <w:rPr>
          <w:rFonts w:eastAsia="仿宋"/>
          <w:b/>
          <w:bCs/>
          <w:color w:val="auto"/>
          <w:sz w:val="44"/>
          <w:szCs w:val="44"/>
          <w:highlight w:val="none"/>
        </w:rPr>
        <w:t xml:space="preserve">  年   月   日</w:t>
      </w:r>
      <w:r/>
    </w:p>
    <w:p>
      <w:pPr>
        <w:pStyle w:val="1029"/>
        <w:rPr>
          <w:rFonts w:eastAsia="仿宋"/>
          <w:color w:val="auto"/>
          <w:highlight w:val="none"/>
        </w:rPr>
      </w:pPr>
      <w:r>
        <w:rPr>
          <w:rFonts w:eastAsia="仿宋"/>
          <w:color w:val="auto"/>
          <w:sz w:val="28"/>
          <w:szCs w:val="28"/>
          <w:highlight w:val="none"/>
        </w:rPr>
        <w:br w:type="page" w:clear="all"/>
      </w:r>
      <w:r/>
    </w:p>
    <w:p>
      <w:pPr>
        <w:rPr>
          <w:rFonts w:eastAsia="仿宋"/>
          <w:color w:val="auto"/>
          <w:highlight w:val="none"/>
        </w:rPr>
      </w:pPr>
      <w:r>
        <w:rPr>
          <w:rFonts w:eastAsia="仿宋"/>
          <w:color w:val="auto"/>
          <w:highlight w:val="none"/>
        </w:rPr>
      </w:r>
      <w:r/>
    </w:p>
    <w:p>
      <w:pPr>
        <w:spacing w:line="540" w:lineRule="exact"/>
        <w:rPr>
          <w:rFonts w:eastAsia="仿宋"/>
          <w:color w:val="auto"/>
          <w:sz w:val="24"/>
          <w:highlight w:val="none"/>
        </w:rPr>
      </w:pPr>
      <w:r/>
      <w:bookmarkStart w:id="92" w:name="_Toc513029243"/>
      <w:r/>
      <w:bookmarkEnd w:id="92"/>
      <w:r/>
      <w:bookmarkStart w:id="93" w:name="_Toc16938559"/>
      <w:r/>
      <w:bookmarkEnd w:id="93"/>
      <w:r/>
      <w:bookmarkStart w:id="94" w:name="_Toc20823315"/>
      <w:r/>
      <w:bookmarkEnd w:id="94"/>
      <w:r>
        <w:rPr>
          <w:rFonts w:eastAsia="仿宋"/>
          <w:color w:val="auto"/>
          <w:sz w:val="24"/>
          <w:highlight w:val="none"/>
        </w:rPr>
        <w:t xml:space="preserve">项目编号：</w:t>
      </w:r>
      <w:r>
        <w:rPr>
          <w:rFonts w:eastAsia="仿宋"/>
          <w:color w:val="auto"/>
          <w:sz w:val="24"/>
          <w:highlight w:val="none"/>
          <w:u w:val="single"/>
        </w:rPr>
        <w:t xml:space="preserve">                                        </w:t>
      </w:r>
      <w:r/>
    </w:p>
    <w:p>
      <w:pPr>
        <w:ind w:left="1169" w:hanging="1168"/>
        <w:spacing w:line="540" w:lineRule="exact"/>
        <w:rPr>
          <w:rFonts w:eastAsia="仿宋"/>
          <w:color w:val="auto"/>
          <w:sz w:val="24"/>
          <w:highlight w:val="none"/>
        </w:rPr>
      </w:pPr>
      <w:r>
        <w:rPr>
          <w:rFonts w:eastAsia="仿宋"/>
          <w:color w:val="auto"/>
          <w:sz w:val="24"/>
          <w:highlight w:val="none"/>
        </w:rPr>
        <w:t xml:space="preserve">项目名称：</w:t>
      </w:r>
      <w:r>
        <w:rPr>
          <w:rFonts w:eastAsia="仿宋"/>
          <w:color w:val="auto"/>
          <w:spacing w:val="-10"/>
          <w:sz w:val="24"/>
          <w:highlight w:val="none"/>
          <w:u w:val="single"/>
        </w:rPr>
        <w:t xml:space="preserve">秦淮区餐饮油烟及涉VOCs企业在线监测服务项目</w:t>
      </w:r>
      <w:r/>
    </w:p>
    <w:p>
      <w:pPr>
        <w:pStyle w:val="1139"/>
        <w:jc w:val="both"/>
        <w:spacing w:line="540" w:lineRule="exact"/>
        <w:rPr>
          <w:rFonts w:ascii="Times New Roman" w:eastAsia="仿宋" w:cs="Times New Roman"/>
          <w:color w:val="auto"/>
          <w:highlight w:val="none"/>
        </w:rPr>
      </w:pPr>
      <w:r>
        <w:rPr>
          <w:rFonts w:ascii="Times New Roman" w:eastAsia="仿宋" w:cs="Times New Roman"/>
          <w:color w:val="auto"/>
          <w:highlight w:val="none"/>
        </w:rPr>
      </w:r>
      <w:r/>
    </w:p>
    <w:p>
      <w:pPr>
        <w:pStyle w:val="1218"/>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采购人：</w:t>
      </w:r>
      <w:r>
        <w:rPr>
          <w:rFonts w:ascii="Times New Roman" w:hAnsi="Times New Roman" w:eastAsia="仿宋" w:cs="Times New Roman"/>
          <w:color w:val="auto"/>
          <w:szCs w:val="24"/>
          <w:highlight w:val="none"/>
          <w:u w:val="single"/>
        </w:rPr>
        <w:t xml:space="preserve"> 南京市秦淮生态环境局 </w:t>
      </w:r>
      <w:r>
        <w:rPr>
          <w:rFonts w:ascii="Times New Roman" w:hAnsi="Times New Roman" w:eastAsia="仿宋" w:cs="Times New Roman"/>
          <w:color w:val="auto"/>
          <w:szCs w:val="24"/>
          <w:highlight w:val="none"/>
        </w:rPr>
        <w:t xml:space="preserve">（以下简称甲方）</w:t>
      </w:r>
      <w:r/>
    </w:p>
    <w:p>
      <w:pPr>
        <w:pStyle w:val="1218"/>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供应商：</w:t>
      </w:r>
      <w:r>
        <w:rPr>
          <w:rFonts w:ascii="Times New Roman" w:hAnsi="Times New Roman" w:eastAsia="仿宋" w:cs="Times New Roman"/>
          <w:color w:val="auto"/>
          <w:szCs w:val="24"/>
          <w:highlight w:val="none"/>
          <w:u w:val="single"/>
        </w:rPr>
        <w:t xml:space="preserve">                      </w:t>
      </w:r>
      <w:r>
        <w:rPr>
          <w:rFonts w:ascii="Times New Roman" w:hAnsi="Times New Roman" w:eastAsia="仿宋" w:cs="Times New Roman"/>
          <w:color w:val="auto"/>
          <w:szCs w:val="24"/>
          <w:highlight w:val="none"/>
        </w:rPr>
        <w:t xml:space="preserve">（以下简称乙方）</w:t>
      </w:r>
      <w:r/>
    </w:p>
    <w:p>
      <w:pPr>
        <w:ind w:firstLine="480"/>
        <w:spacing w:line="540" w:lineRule="exact"/>
        <w:rPr>
          <w:rFonts w:eastAsia="仿宋"/>
          <w:color w:val="auto"/>
          <w:sz w:val="24"/>
          <w:highlight w:val="none"/>
        </w:rPr>
      </w:pPr>
      <w:r>
        <w:rPr>
          <w:rFonts w:eastAsia="仿宋"/>
          <w:color w:val="auto"/>
          <w:sz w:val="24"/>
          <w:highlight w:val="none"/>
        </w:rPr>
      </w:r>
      <w:r/>
    </w:p>
    <w:p>
      <w:pPr>
        <w:ind w:firstLine="480"/>
        <w:spacing w:line="540" w:lineRule="exact"/>
        <w:rPr>
          <w:rFonts w:eastAsia="仿宋"/>
          <w:color w:val="auto"/>
          <w:sz w:val="24"/>
          <w:highlight w:val="none"/>
        </w:rPr>
      </w:pPr>
      <w:r>
        <w:rPr>
          <w:rFonts w:eastAsia="仿宋"/>
          <w:color w:val="auto"/>
          <w:sz w:val="24"/>
          <w:highlight w:val="none"/>
        </w:rPr>
        <w:t xml:space="preserve">根据《中华人民共和国政府采购法》、《中华人民共和国民法典》等法律法规的规定，甲乙双方按照本项目的招标结果签订本合同。</w:t>
      </w:r>
      <w:r/>
    </w:p>
    <w:p>
      <w:pPr>
        <w:numPr>
          <w:ilvl w:val="0"/>
          <w:numId w:val="9"/>
        </w:numPr>
        <w:spacing w:line="540" w:lineRule="exact"/>
        <w:rPr>
          <w:rFonts w:eastAsia="仿宋"/>
          <w:bCs/>
          <w:color w:val="auto"/>
          <w:sz w:val="24"/>
          <w:highlight w:val="none"/>
        </w:rPr>
        <w:outlineLvl w:val="0"/>
      </w:pPr>
      <w:r/>
      <w:bookmarkStart w:id="95" w:name="_Toc15687"/>
      <w:r>
        <w:rPr>
          <w:rFonts w:eastAsia="仿宋"/>
          <w:bCs/>
          <w:color w:val="auto"/>
          <w:sz w:val="24"/>
          <w:highlight w:val="none"/>
        </w:rPr>
        <w:t xml:space="preserve">服务内容及要求</w:t>
      </w:r>
      <w:bookmarkEnd w:id="95"/>
      <w:r/>
      <w:r/>
    </w:p>
    <w:p>
      <w:pPr>
        <w:ind w:firstLine="482"/>
        <w:spacing w:line="540" w:lineRule="exact"/>
        <w:rPr>
          <w:rFonts w:eastAsia="仿宋"/>
          <w:bCs/>
          <w:color w:val="auto"/>
          <w:sz w:val="24"/>
          <w:highlight w:val="none"/>
        </w:rPr>
      </w:pPr>
      <w:r>
        <w:rPr>
          <w:rFonts w:eastAsia="仿宋"/>
          <w:b/>
          <w:color w:val="auto"/>
          <w:sz w:val="24"/>
          <w:highlight w:val="none"/>
        </w:rPr>
        <w:t xml:space="preserve">1.餐饮油烟在线监测仪及VOCs在线监测仪安装及运维服务：</w:t>
      </w:r>
      <w:r>
        <w:rPr>
          <w:rFonts w:eastAsia="仿宋"/>
          <w:color w:val="auto"/>
          <w:sz w:val="24"/>
          <w:highlight w:val="none"/>
        </w:rPr>
        <w:t xml:space="preserve">乙方提供以下监测设备，负责布点安装、设备调试运维、数据采集、数据接入秦淮区污染防治智能化指挥中心（以下简称“指挥中心”）等服务，确保设施设备正常运行工作，由乙方提供免费质保服务。乙方项目团队共20人，其中13人为项目专职人员，包括项目负责人1人、现场运维9人、线上客服2人、驻场服务1人，如乙方更换专职人员需经得甲方书面同意。当属地街道、管委会、执法局通过系统平台发出现场检查工单，乙方应在2小时内予以响应并到场；当监测设备出现故障时，乙方应在48小时内予以整改解决。</w:t>
      </w:r>
      <w:r>
        <w:rPr>
          <w:rFonts w:eastAsia="仿宋"/>
          <w:bCs/>
          <w:color w:val="auto"/>
          <w:sz w:val="24"/>
          <w:highlight w:val="none"/>
        </w:rPr>
        <w:t xml:space="preserve">乙方应在本合同签署之日起10个工作日内，提交设备安装点位清单，甲方审核同意后由乙方实施，甲方负责点位协调，乙方应在本合同签署之日起三个月内达到下述服务要求、正常提供服务，并向甲方提供自主验收报告、软件测评报告（功能测试）确保满足服务内容及要求标准。</w:t>
      </w:r>
      <w:r/>
    </w:p>
    <w:tbl>
      <w:tblPr>
        <w:tblStyle w:val="829"/>
        <w:tblW w:w="51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654"/>
        <w:gridCol w:w="6407"/>
      </w:tblGrid>
      <w:tr>
        <w:trPr>
          <w:jc w:val="center"/>
          <w:trHeight w:val="567"/>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序号</w:t>
            </w:r>
            <w:r/>
          </w:p>
        </w:tc>
        <w:tc>
          <w:tcPr>
            <w:tcW w:w="935"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项目</w:t>
            </w:r>
            <w:r/>
          </w:p>
        </w:tc>
        <w:tc>
          <w:tcPr>
            <w:tcW w:w="36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服务内容及要求</w:t>
            </w:r>
            <w:r/>
          </w:p>
        </w:tc>
      </w:tr>
      <w:tr>
        <w:trPr>
          <w:jc w:val="center"/>
          <w:trHeight w:val="444"/>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1</w:t>
            </w:r>
            <w:r/>
          </w:p>
        </w:tc>
        <w:tc>
          <w:tcPr>
            <w:tcW w:w="935"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餐饮油烟在线监测仪</w:t>
            </w:r>
            <w:r/>
          </w:p>
        </w:tc>
        <w:tc>
          <w:tcPr>
            <w:tcW w:w="3623"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拥有合法证照、产生油烟且具备在线监测安装条件的餐饮企业、单位食堂（以下简称“餐饮单位”）提供现场初查、约2400台监测仪的安装、数据调试、移机等服务，实现对油烟浓度、油烟净化器电流、油烟净化器状态的监测。</w:t>
            </w:r>
            <w:r/>
          </w:p>
        </w:tc>
      </w:tr>
      <w:tr>
        <w:trPr>
          <w:jc w:val="center"/>
          <w:trHeight w:val="602"/>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2</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623" w:type="pct"/>
            <w:vAlign w:val="center"/>
            <w:textDirection w:val="lrTb"/>
            <w:noWrap w:val="false"/>
          </w:tcPr>
          <w:p>
            <w:pPr>
              <w:pStyle w:val="838"/>
              <w:ind w:left="102"/>
              <w:jc w:val="left"/>
              <w:spacing w:line="400" w:lineRule="exact"/>
              <w:rPr>
                <w:rFonts w:eastAsia="仿宋"/>
                <w:b w:val="0"/>
                <w:bCs w:val="0"/>
                <w:color w:val="auto"/>
                <w:highlight w:val="none"/>
              </w:rPr>
            </w:pPr>
            <w:r>
              <w:rPr>
                <w:rFonts w:eastAsia="仿宋"/>
                <w:b w:val="0"/>
                <w:bCs w:val="0"/>
                <w:color w:val="auto"/>
                <w:sz w:val="24"/>
                <w:highlight w:val="none"/>
              </w:rPr>
              <w:t xml:space="preserve">为餐饮单位提供巡检、技术支持等服务。每3个月完成一次现场全量巡检。巡检包括餐饮单位基本情况、油烟净化器运行情况、码上洗上传情况、在线监测仪运行情况等，并于当日完成系统平台的相关内容更新。</w:t>
            </w:r>
            <w:r/>
          </w:p>
        </w:tc>
      </w:tr>
      <w:tr>
        <w:trPr>
          <w:jc w:val="center"/>
          <w:trHeight w:val="889"/>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3</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623"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确保在线监测仪正常运行且数据准确。建成验收后，在一个月内完成对每家餐饮单位的油烟排放口风速、直径的测量、归档，计算月排放量，以月排放量为依据，明确重油烟餐饮单位和轻油烟餐饮单位。轻油烟餐饮单位累计监测180天更换新探头，重油烟餐饮单位累计监测120天更换新探头；若监测数据出现异常值（在油烟净化器正常运行的情况下，连续3天油烟浓度持续稳定高于3mg/m</w:t>
            </w:r>
            <w:r>
              <w:rPr>
                <w:rFonts w:eastAsia="仿宋"/>
                <w:b w:val="0"/>
                <w:bCs w:val="0"/>
                <w:color w:val="auto"/>
                <w:sz w:val="24"/>
                <w:highlight w:val="none"/>
                <w:vertAlign w:val="superscript"/>
              </w:rPr>
              <w:t xml:space="preserve">3</w:t>
            </w:r>
            <w:r>
              <w:rPr>
                <w:rFonts w:eastAsia="仿宋"/>
                <w:b w:val="0"/>
                <w:bCs w:val="0"/>
                <w:color w:val="auto"/>
                <w:sz w:val="24"/>
                <w:highlight w:val="none"/>
              </w:rPr>
              <w:t xml:space="preserve">，或持续稳定低于0.1 mg/m</w:t>
            </w:r>
            <w:r>
              <w:rPr>
                <w:rFonts w:eastAsia="仿宋"/>
                <w:b w:val="0"/>
                <w:bCs w:val="0"/>
                <w:color w:val="auto"/>
                <w:sz w:val="24"/>
                <w:highlight w:val="none"/>
                <w:vertAlign w:val="superscript"/>
              </w:rPr>
              <w:t xml:space="preserve">3</w:t>
            </w:r>
            <w:r>
              <w:rPr>
                <w:rFonts w:eastAsia="仿宋"/>
                <w:b w:val="0"/>
                <w:bCs w:val="0"/>
                <w:color w:val="auto"/>
                <w:sz w:val="24"/>
                <w:highlight w:val="none"/>
              </w:rPr>
              <w:t xml:space="preserve">，或其他异常情况），应在48小时之内查明原因并予以解决。每季度抽取50台监测仪，使用手持式检测仪进行现场监测对比，确保数据准确。</w:t>
            </w:r>
            <w:r/>
          </w:p>
        </w:tc>
      </w:tr>
      <w:tr>
        <w:trPr>
          <w:jc w:val="center"/>
          <w:trHeight w:val="1266"/>
        </w:trPr>
        <w:tc>
          <w:tcPr>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4</w:t>
            </w:r>
            <w:r/>
          </w:p>
        </w:tc>
        <w:tc>
          <w:tcPr>
            <w:tcW w:w="935"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VOCs在线监测仪</w:t>
            </w:r>
            <w:r/>
          </w:p>
        </w:tc>
        <w:tc>
          <w:tcPr>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全区产生VOCs的汽修、包装印刷等企业提供现场初查、PID原理在线监测仪器安装、数据调试、移机等服务，主要监测排口VOCs浓度、风机开关、排口温度、排口压力、排口流速、烤灯开关、炭箱温度、炭箱流速、炭箱压强、炭箱湿度、炭箱灰度。</w:t>
            </w:r>
            <w:r/>
          </w:p>
        </w:tc>
      </w:tr>
      <w:tr>
        <w:trPr>
          <w:jc w:val="center"/>
          <w:trHeight w:val="622"/>
        </w:trPr>
        <w:tc>
          <w:tcPr>
            <w:tcBorders>
              <w:bottom w:val="single" w:color="auto" w:sz="4" w:space="0"/>
            </w:tcBorders>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5</w:t>
            </w:r>
            <w:r/>
          </w:p>
        </w:tc>
        <w:tc>
          <w:tcPr>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Borders>
              <w:bottom w:val="single" w:color="auto" w:sz="4" w:space="0"/>
              <w:right w:val="single" w:color="auto" w:sz="4" w:space="0"/>
            </w:tcBorders>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为全区产生VOCs的汽修、包装印刷等企业提供在线监测仪巡检、技术支持等服务。每个月完成一次现场全量巡检。</w:t>
            </w:r>
            <w:r/>
          </w:p>
        </w:tc>
      </w:tr>
      <w:tr>
        <w:trPr>
          <w:jc w:val="center"/>
          <w:trHeight w:val="630"/>
        </w:trPr>
        <w:tc>
          <w:tcPr>
            <w:tcBorders>
              <w:bottom w:val="single" w:color="auto" w:sz="4" w:space="0"/>
            </w:tcBorders>
            <w:tcW w:w="440"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6</w:t>
            </w:r>
            <w:r/>
          </w:p>
        </w:tc>
        <w:tc>
          <w:tcPr>
            <w:tcBorders>
              <w:bottom w:val="single" w:color="auto" w:sz="4" w:space="0"/>
            </w:tcBorders>
            <w:tcW w:w="935"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Borders>
              <w:bottom w:val="single" w:color="auto" w:sz="4" w:space="0"/>
              <w:right w:val="single" w:color="auto" w:sz="4" w:space="0"/>
            </w:tcBorders>
            <w:tcW w:w="3623" w:type="pct"/>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在线监测仪运维、耗材更换与标气校准，确保监测数据准确。每季度完成一次全量校准。每季度抽取2台监测仪，使用手持式检测仪进行现场监测对比，确保数据准确。</w:t>
            </w:r>
            <w:r/>
          </w:p>
        </w:tc>
      </w:tr>
    </w:tbl>
    <w:p>
      <w:pPr>
        <w:pStyle w:val="1139"/>
        <w:ind w:firstLine="482"/>
        <w:jc w:val="both"/>
        <w:spacing w:line="540" w:lineRule="exact"/>
        <w:rPr>
          <w:rFonts w:ascii="Times New Roman" w:eastAsia="仿宋" w:cs="Times New Roman"/>
          <w:bCs/>
          <w:color w:val="auto"/>
          <w:highlight w:val="none"/>
        </w:rPr>
      </w:pPr>
      <w:r>
        <w:rPr>
          <w:rFonts w:ascii="Times New Roman" w:eastAsia="仿宋" w:cs="Times New Roman"/>
          <w:b/>
          <w:color w:val="auto"/>
          <w:highlight w:val="none"/>
        </w:rPr>
        <w:t xml:space="preserve">2. 餐饮油烟在线监测及VOCs在线监测系统平台服务：</w:t>
      </w:r>
      <w:r>
        <w:rPr>
          <w:rFonts w:ascii="Times New Roman" w:eastAsia="仿宋" w:cs="Times New Roman"/>
          <w:color w:val="auto"/>
          <w:highlight w:val="none"/>
        </w:rPr>
        <w:t xml:space="preserve">乙方提供“秦淮区餐饮油烟及涉VOCs在线监测系统”，配合部署到政务云，并提供系统运维服务，包括但不限于操作培训、bug修复、技术支持、系统版本更新等服务，且乙方应确保相关软件属于最新内容并保持相应的版本更新。</w:t>
      </w:r>
      <w:r>
        <w:rPr>
          <w:rFonts w:ascii="Times New Roman" w:eastAsia="仿宋" w:cs="Times New Roman"/>
          <w:bCs/>
          <w:color w:val="auto"/>
          <w:highlight w:val="none"/>
        </w:rPr>
        <w:t xml:space="preserve">乙方应在本合同签署之日起5个工作日内，完成系统部署，甲方负责协调相关部门，乙方应在本合同签署之日起三个月内达到下述服务要求、正常提供服务。</w:t>
      </w:r>
      <w:r/>
    </w:p>
    <w:tbl>
      <w:tblPr>
        <w:tblStyle w:val="829"/>
        <w:tblW w:w="51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171"/>
        <w:gridCol w:w="1289"/>
        <w:gridCol w:w="5692"/>
      </w:tblGrid>
      <w:tr>
        <w:trPr>
          <w:jc w:val="center"/>
          <w:trHeight w:val="23"/>
        </w:trPr>
        <w:tc>
          <w:tcPr>
            <w:shd w:val="clear" w:color="auto" w:fill="auto"/>
            <w:tcW w:w="428" w:type="pct"/>
            <w:vAlign w:val="center"/>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序号</w:t>
            </w:r>
            <w:r/>
          </w:p>
        </w:tc>
        <w:tc>
          <w:tcPr>
            <w:shd w:val="clear" w:color="auto" w:fill="auto"/>
            <w:tcW w:w="656" w:type="pct"/>
            <w:vAlign w:val="center"/>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项目</w:t>
            </w:r>
            <w:r/>
          </w:p>
        </w:tc>
        <w:tc>
          <w:tcPr>
            <w:gridSpan w:val="2"/>
            <w:shd w:val="clear" w:color="auto" w:fill="auto"/>
            <w:tcW w:w="3914" w:type="pct"/>
            <w:textDirection w:val="lrTb"/>
            <w:noWrap w:val="false"/>
          </w:tcPr>
          <w:p>
            <w:pPr>
              <w:pStyle w:val="838"/>
              <w:ind w:left="-120"/>
              <w:spacing w:line="400" w:lineRule="exact"/>
              <w:rPr>
                <w:rFonts w:eastAsia="仿宋"/>
                <w:b w:val="0"/>
                <w:bCs w:val="0"/>
                <w:color w:val="auto"/>
                <w:sz w:val="24"/>
                <w:highlight w:val="none"/>
              </w:rPr>
            </w:pPr>
            <w:r>
              <w:rPr>
                <w:rFonts w:eastAsia="仿宋"/>
                <w:b w:val="0"/>
                <w:bCs w:val="0"/>
                <w:color w:val="auto"/>
                <w:sz w:val="24"/>
                <w:highlight w:val="none"/>
              </w:rPr>
              <w:t xml:space="preserve">服务内容</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w:t>
            </w:r>
            <w:r/>
          </w:p>
        </w:tc>
        <w:tc>
          <w:tcPr>
            <w:tcW w:w="656"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餐饮油烟在线监测</w:t>
            </w:r>
            <w:r/>
          </w:p>
        </w:tc>
        <w:tc>
          <w:tcPr>
            <w:shd w:val="clear" w:color="auto" w:fill="auto"/>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动态更新一企一档</w:t>
            </w:r>
            <w:r/>
          </w:p>
        </w:tc>
        <w:tc>
          <w:tcPr>
            <w:shd w:val="clear" w:color="auto" w:fill="auto"/>
            <w:tcW w:w="3191" w:type="pct"/>
            <w:vAlign w:val="center"/>
            <w:textDirection w:val="lrTb"/>
            <w:noWrap w:val="false"/>
          </w:tcPr>
          <w:p>
            <w:pPr>
              <w:pStyle w:val="838"/>
              <w:ind w:left="102"/>
              <w:jc w:val="left"/>
              <w:spacing w:line="400" w:lineRule="exact"/>
              <w:rPr>
                <w:rFonts w:eastAsia="仿宋"/>
                <w:b w:val="0"/>
                <w:bCs w:val="0"/>
                <w:color w:val="auto"/>
                <w:highlight w:val="none"/>
              </w:rPr>
            </w:pPr>
            <w:r>
              <w:rPr>
                <w:rFonts w:eastAsia="仿宋"/>
                <w:b w:val="0"/>
                <w:bCs w:val="0"/>
                <w:color w:val="auto"/>
                <w:sz w:val="24"/>
                <w:highlight w:val="none"/>
              </w:rPr>
              <w:t xml:space="preserve">动态更新餐饮单位证照、经营内容、店招、经营地址、营业状态、负责人、营业面积、灶头数、座位数、菜系、油烟净化器和排口位置等基础信息，餐饮单位所用油烟净化器的类型、品牌、风量、净化效率、安装和维修时间、实物照片以及风机品牌、风量、实际风速、排口管径、安装时长等设备信息。根据告警信息及巡检记录，自动生成油烟净化器异常状态台账、更换台账、整改台账等台账。</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w:t>
            </w:r>
            <w:r/>
          </w:p>
        </w:tc>
        <w:tc>
          <w:tcPr>
            <w:tcW w:w="656"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实施动态评价</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形成每家餐饮单位的油烟治理台账，并以此为基础构建以日为单位、以月为周期的企业评价体系，相关部门、属地街道、管委会可以参照评价得分情况调整现场检查频次。</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3</w:t>
            </w:r>
            <w:r/>
          </w:p>
        </w:tc>
        <w:tc>
          <w:tcPr>
            <w:tcW w:w="656"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实施星级管理</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餐饮单位实施星级管理，属于重点防控区、属于街道重点管控区、500平方米以上、上月油烟排放量在全区前100、涉诉（每月向街道、管委会、执法局收集名单并更新）的餐饮单位，每符合一项加一星。对星级企业，从油烟净化器品牌及使用年限、清洗频次、维修时限等方面提出更高要求，星级越高，要求越高。</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4</w:t>
            </w:r>
            <w:r/>
          </w:p>
        </w:tc>
        <w:tc>
          <w:tcPr>
            <w:tcW w:w="656"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支持一键导出</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一企一档、告警记录、巡检工单、动态评价结果、清洗台账、问题工单等数据支持一键导出。</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5</w:t>
            </w:r>
            <w:r/>
          </w:p>
        </w:tc>
        <w:tc>
          <w:tcPr>
            <w:tcW w:w="656"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723" w:type="pc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实施标签化管理</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餐饮单位实施标签化管理，支持从以下维度给企业打标签，支持筛选、累计问题统计等功能：属于重点管控区，500平方米以上，上宅下店，未落实“五有一联”标准，涉诉，油烟净化器老旧、伪劣、未联动、风量不匹配，清洗台账上传不规范、不及时等。</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6</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督促问题整改</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对在线监测、现场巡查、系统分析发现的问题，提醒餐饮单位按时整改。</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7</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提供执法线索</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对油烟净化器故障且未及时维修问题，形成工单，进入指挥中心工单流转系统，作为甲方执法线索。</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9</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码上洗</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按照一家一码，实现全区餐饮单位码上洗全覆盖。扫码后无须注册即可按时间段查看清洗台账上传情况。</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10</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提醒餐饮单位及时上传清洗台账。在日常巡检、运维中常态提醒，在清洗临期前自动提醒，对已超时的告警提醒，对多次超时或长期不上传的，生成工单推送指挥中心，告警提醒和形成工单的，纳入动态评价。暂停营业的餐饮单位，系统自动顺延清洗时间。清洗周期按照累计排放量实施分类管理，从上次清洗完开始计算累计排放量，结合是否属于国控点重点防控区完成分类管理。</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11</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监督指导餐饮单位规范上传清洗台账。通过人工线上每月全覆盖检查，发现清洗照片内容错误、无水印、票据错误等问题；通过系统自动识别，发现清洗照片重复等问题。以上问题均退回餐饮企业整改，并在下次上传前提醒上轮清洗存在问题，同时，关联筛选出弄虚作假的清洗单位。</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12</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数据融合</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与指挥中心对接，及时推送实时监测、交办工单等数据，配合指挥中心，综合分析热点区域对周边环境的影响。</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13</w:t>
            </w:r>
            <w:r/>
          </w:p>
        </w:tc>
        <w:tc>
          <w:tcPr>
            <w:tcW w:w="656" w:type="pct"/>
            <w:vAlign w:val="center"/>
            <w:vMerge w:val="continue"/>
            <w:textDirection w:val="lrTb"/>
            <w:noWrap w:val="false"/>
          </w:tcPr>
          <w:p>
            <w:pPr>
              <w:ind w:firstLine="571"/>
              <w:spacing w:line="400" w:lineRule="exact"/>
              <w:rPr>
                <w:rFonts w:eastAsia="仿宋"/>
                <w:color w:val="auto"/>
                <w:sz w:val="24"/>
                <w:highlight w:val="none"/>
              </w:rPr>
            </w:pPr>
            <w:r>
              <w:rPr>
                <w:rFonts w:eastAsia="仿宋"/>
                <w:color w:val="auto"/>
                <w:sz w:val="24"/>
                <w:highlight w:val="none"/>
              </w:rPr>
            </w:r>
            <w:r/>
          </w:p>
        </w:tc>
        <w:tc>
          <w:tcPr>
            <w:tcW w:w="723" w:type="pc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数据准确度</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优化异常平稳值统计算法，自动生成工单，派发运维核查，确认人为干扰监测数据的，及时移交甲方处理。</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14</w:t>
            </w:r>
            <w:r/>
          </w:p>
        </w:tc>
        <w:tc>
          <w:tcPr>
            <w:tcW w:w="656" w:type="pct"/>
            <w:vAlign w:val="center"/>
            <w:vMerge w:val="restart"/>
            <w:textDirection w:val="lrTb"/>
            <w:noWrap w:val="false"/>
          </w:tcPr>
          <w:p>
            <w:pPr>
              <w:spacing w:line="400" w:lineRule="exact"/>
              <w:rPr>
                <w:rFonts w:eastAsia="仿宋"/>
                <w:color w:val="auto"/>
                <w:sz w:val="24"/>
                <w:highlight w:val="none"/>
              </w:rPr>
            </w:pPr>
            <w:r>
              <w:rPr>
                <w:rFonts w:eastAsia="仿宋"/>
                <w:color w:val="auto"/>
                <w:sz w:val="24"/>
                <w:highlight w:val="none"/>
              </w:rPr>
              <w:t xml:space="preserve">VOCs在线监测</w:t>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动态更新一企一档</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动态更新企业名称、负责人、所属行业、经营地址、营业状态、环评及排污许可证编号等基础信息，企业生产线及工序类型、漆类型、主要污染物、处置工艺、处理设施实物照片等设备信息。</w:t>
            </w:r>
            <w:r/>
          </w:p>
        </w:tc>
      </w:tr>
      <w:tr>
        <w:trPr>
          <w:jc w:val="center"/>
          <w:trHeight w:val="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15</w:t>
            </w:r>
            <w:r/>
          </w:p>
        </w:tc>
        <w:tc>
          <w:tcPr>
            <w:tcW w:w="656" w:type="pct"/>
            <w:vAlign w:val="center"/>
            <w:vMerge w:val="continue"/>
            <w:textDirection w:val="lrTb"/>
            <w:noWrap w:val="false"/>
          </w:tcPr>
          <w:p>
            <w:pPr>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实施动态评价</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形成每家涉VOCs企业的VOCs治理台账，并以此为基础构建以日为单位、以月为周期的企业评价体系，相关部门、属地街道、管委会可以参照评价得分情况调整现场检查频次。</w:t>
            </w:r>
            <w:r/>
          </w:p>
        </w:tc>
      </w:tr>
      <w:tr>
        <w:trPr>
          <w:jc w:val="center"/>
          <w:trHeight w:val="47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16</w:t>
            </w:r>
            <w:r/>
          </w:p>
        </w:tc>
        <w:tc>
          <w:tcPr>
            <w:tcW w:w="656" w:type="pct"/>
            <w:vAlign w:val="center"/>
            <w:vMerge w:val="continue"/>
            <w:textDirection w:val="lrTb"/>
            <w:noWrap w:val="false"/>
          </w:tcPr>
          <w:p>
            <w:pPr>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加强源头削减</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根据企业填报的精细化管理台账，对低VOCs含量产品使用比例低、原辅料VOCs含量超标、水性涂料VOCs含量超过有害物质限量等问题自动告警。对多次告警的企业，生成工单推送指挥中心。</w:t>
            </w:r>
            <w:r/>
          </w:p>
        </w:tc>
      </w:tr>
      <w:tr>
        <w:trPr>
          <w:jc w:val="center"/>
          <w:trHeight w:val="828"/>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17</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加强过程控制</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为每家涉VOCs企业制作并张贴行政管理、危废仓库、调漆间、中涂打磨车间、喷烤漆房、废气处理设施等岗位的VOCs治理精细化管理提醒卡，督促企业工作人员做好过程控制。</w:t>
            </w:r>
            <w:r/>
          </w:p>
        </w:tc>
      </w:tr>
      <w:tr>
        <w:trPr>
          <w:jc w:val="center"/>
          <w:trHeight w:val="629"/>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18</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加强末端治理</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基于监测数据，发现未及时开启风机、炭箱压差过低、炭箱灰度过大、炭箱温度过高等问题及时告警；基于精细化台账，对活性炭未按期更换、活性炭质量较差、活性炭使用量不足、地棉、初级过滤棉等更换不及时的进行告警提醒，对多次告警的企业，生成工单推送指挥中心。</w:t>
            </w:r>
            <w:r/>
          </w:p>
        </w:tc>
      </w:tr>
      <w:tr>
        <w:trPr>
          <w:jc w:val="center"/>
          <w:trHeight w:val="90"/>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19</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支持一键导出</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一企一档、告警记录、巡检工单、动态评价结果、精细化台账、问题工单等数据支持一键导出。</w:t>
            </w:r>
            <w:r/>
          </w:p>
        </w:tc>
      </w:tr>
      <w:tr>
        <w:trPr>
          <w:jc w:val="center"/>
          <w:trHeight w:val="507"/>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20</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督促问题整改</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对在线监测、现场巡查、系统分析发现的问题，提醒企业按时整改。</w:t>
            </w:r>
            <w:r/>
          </w:p>
        </w:tc>
      </w:tr>
      <w:tr>
        <w:trPr>
          <w:jc w:val="center"/>
          <w:trHeight w:val="534"/>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21</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提供执法线索</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对VOCs处理设施故障且未及时维修问题，形成工单，进入指挥中心工单流转系统，作为甲方执法线索。</w:t>
            </w:r>
            <w:r/>
          </w:p>
        </w:tc>
      </w:tr>
      <w:tr>
        <w:trPr>
          <w:jc w:val="center"/>
          <w:trHeight w:val="261"/>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22</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vMerge w:val="restart"/>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精细化台账</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推广精细化台账，实现全区涉VOCs企业全覆盖。</w:t>
            </w:r>
            <w:r/>
          </w:p>
        </w:tc>
      </w:tr>
      <w:tr>
        <w:trPr>
          <w:jc w:val="center"/>
          <w:trHeight w:val="42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23</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精细化台账未及时填报或填报不规范等问题的告警提醒。对月度台账，每月智能语音客服提醒涉VOCs企业及时填报，超时未填报的人工客服电话提醒及时补填，对多次或长期未填报的生成工单，交办指挥中心。</w:t>
            </w:r>
            <w:r/>
          </w:p>
        </w:tc>
      </w:tr>
      <w:tr>
        <w:trPr>
          <w:jc w:val="center"/>
          <w:trHeight w:val="983"/>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24</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vMerge w:val="continue"/>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监督指导企业规范上传精细化管理台账，针对台账上传的内容错误、凭证不合规等问题，每月全覆盖人工线上检查一轮。对确有困难的企业，提供线下指导填报服务。</w:t>
            </w:r>
            <w:r/>
          </w:p>
        </w:tc>
      </w:tr>
      <w:tr>
        <w:trPr>
          <w:jc w:val="center"/>
          <w:trHeight w:val="346"/>
        </w:trPr>
        <w:tc>
          <w:tcPr>
            <w:tcW w:w="428" w:type="pct"/>
            <w:vAlign w:val="center"/>
            <w:textDirection w:val="lrTb"/>
            <w:noWrap w:val="false"/>
          </w:tcPr>
          <w:p>
            <w:pPr>
              <w:jc w:val="center"/>
              <w:spacing w:line="400" w:lineRule="exact"/>
              <w:rPr>
                <w:rFonts w:eastAsia="仿宋"/>
                <w:color w:val="auto"/>
                <w:sz w:val="24"/>
                <w:highlight w:val="none"/>
              </w:rPr>
            </w:pPr>
            <w:r>
              <w:rPr>
                <w:rFonts w:eastAsia="仿宋"/>
                <w:color w:val="auto"/>
                <w:sz w:val="24"/>
                <w:highlight w:val="none"/>
              </w:rPr>
              <w:t xml:space="preserve">25</w:t>
            </w:r>
            <w:r/>
          </w:p>
        </w:tc>
        <w:tc>
          <w:tcPr>
            <w:tcW w:w="656" w:type="pct"/>
            <w:vAlign w:val="center"/>
            <w:vMerge w:val="continue"/>
            <w:textDirection w:val="lrTb"/>
            <w:noWrap w:val="false"/>
          </w:tcPr>
          <w:p>
            <w:pPr>
              <w:ind w:firstLine="560"/>
              <w:spacing w:line="400" w:lineRule="exact"/>
              <w:rPr>
                <w:rFonts w:eastAsia="仿宋"/>
                <w:color w:val="auto"/>
                <w:sz w:val="24"/>
                <w:highlight w:val="none"/>
              </w:rPr>
            </w:pPr>
            <w:r>
              <w:rPr>
                <w:rFonts w:eastAsia="仿宋"/>
                <w:color w:val="auto"/>
                <w:sz w:val="24"/>
                <w:highlight w:val="none"/>
              </w:rPr>
            </w:r>
            <w:r/>
          </w:p>
        </w:tc>
        <w:tc>
          <w:tcPr>
            <w:tcW w:w="723" w:type="pct"/>
            <w:vAlign w:val="center"/>
            <w:textDirection w:val="lrTb"/>
            <w:noWrap w:val="false"/>
          </w:tcPr>
          <w:p>
            <w:pPr>
              <w:pStyle w:val="838"/>
              <w:ind w:left="102"/>
              <w:spacing w:line="400" w:lineRule="exact"/>
              <w:rPr>
                <w:rFonts w:eastAsia="仿宋"/>
                <w:b w:val="0"/>
                <w:bCs w:val="0"/>
                <w:color w:val="auto"/>
                <w:sz w:val="24"/>
                <w:highlight w:val="none"/>
              </w:rPr>
            </w:pPr>
            <w:r>
              <w:rPr>
                <w:rFonts w:eastAsia="仿宋"/>
                <w:b w:val="0"/>
                <w:bCs w:val="0"/>
                <w:color w:val="auto"/>
                <w:sz w:val="24"/>
                <w:highlight w:val="none"/>
              </w:rPr>
              <w:t xml:space="preserve">数据融合</w:t>
            </w:r>
            <w:r/>
          </w:p>
        </w:tc>
        <w:tc>
          <w:tcPr>
            <w:tcW w:w="3191" w:type="pct"/>
            <w:vAlign w:val="center"/>
            <w:textDirection w:val="lrTb"/>
            <w:noWrap w:val="false"/>
          </w:tcPr>
          <w:p>
            <w:pPr>
              <w:pStyle w:val="838"/>
              <w:ind w:left="102"/>
              <w:jc w:val="left"/>
              <w:spacing w:line="400" w:lineRule="exact"/>
              <w:rPr>
                <w:rFonts w:eastAsia="仿宋"/>
                <w:b w:val="0"/>
                <w:bCs w:val="0"/>
                <w:color w:val="auto"/>
                <w:sz w:val="24"/>
                <w:highlight w:val="none"/>
              </w:rPr>
            </w:pPr>
            <w:r>
              <w:rPr>
                <w:rFonts w:eastAsia="仿宋"/>
                <w:b w:val="0"/>
                <w:bCs w:val="0"/>
                <w:color w:val="auto"/>
                <w:sz w:val="24"/>
                <w:highlight w:val="none"/>
              </w:rPr>
              <w:t xml:space="preserve">所有涉VOCs企业的监测数据、异常告警等数据接入指挥中心。</w:t>
            </w:r>
            <w:r/>
          </w:p>
        </w:tc>
      </w:tr>
    </w:tbl>
    <w:p>
      <w:pPr>
        <w:pStyle w:val="1139"/>
        <w:ind w:firstLine="482"/>
        <w:jc w:val="both"/>
        <w:spacing w:line="540" w:lineRule="exact"/>
        <w:rPr>
          <w:rFonts w:ascii="Times New Roman" w:eastAsia="仿宋" w:cs="Times New Roman"/>
          <w:color w:val="auto"/>
          <w:highlight w:val="none"/>
        </w:rPr>
      </w:pPr>
      <w:r>
        <w:rPr>
          <w:rFonts w:ascii="Times New Roman" w:eastAsia="仿宋" w:cs="Times New Roman"/>
          <w:b/>
          <w:color w:val="auto"/>
          <w:highlight w:val="none"/>
        </w:rPr>
        <w:t xml:space="preserve">3.数据分析服务：</w:t>
      </w:r>
      <w:r>
        <w:rPr>
          <w:rFonts w:ascii="Times New Roman" w:eastAsia="仿宋" w:cs="Times New Roman"/>
          <w:color w:val="auto"/>
          <w:highlight w:val="none"/>
        </w:rPr>
        <w:t xml:space="preserve">乙方应定期提交周报（含问题清单）、月报、季报、年报，按需提交专项报告；每季度结束后5日内召开秦淮区餐饮油烟及涉VOCs企业在线监测服务项目绩效评估会；乙方需安排1人驻场服务；驻场人员应遵照甲方工作要求安排，不得无故旷工；乙方应按相关法律法规及部门要求，调查驻场人员相关背景，确保无犯罪记录，符合网络安全及数据保密要求；乙方应对驻场及运维人员定期培训，确保驻场人员能够达到以下服务要求：</w:t>
      </w:r>
      <w:r/>
    </w:p>
    <w:tbl>
      <w:tblPr>
        <w:tblStyle w:val="8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529"/>
        <w:gridCol w:w="6063"/>
      </w:tblGrid>
      <w:tr>
        <w:trPr>
          <w:trHeight w:val="229"/>
        </w:trPr>
        <w:tc>
          <w:tcPr>
            <w:tcW w:w="590"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序号</w:t>
            </w:r>
            <w:r/>
          </w:p>
        </w:tc>
        <w:tc>
          <w:tcPr>
            <w:tcW w:w="888"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岗位</w:t>
            </w:r>
            <w:r/>
          </w:p>
        </w:tc>
        <w:tc>
          <w:tcPr>
            <w:tcW w:w="3522"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服务内容及要求</w:t>
            </w:r>
            <w:r/>
          </w:p>
        </w:tc>
      </w:tr>
      <w:tr>
        <w:trPr>
          <w:trHeight w:val="391"/>
        </w:trPr>
        <w:tc>
          <w:tcPr>
            <w:tcBorders>
              <w:top w:val="single" w:color="auto" w:sz="4" w:space="0"/>
              <w:left w:val="single" w:color="auto" w:sz="4" w:space="0"/>
              <w:right w:val="single" w:color="auto" w:sz="4" w:space="0"/>
            </w:tcBorders>
            <w:tcW w:w="590"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1</w:t>
            </w:r>
            <w:r/>
          </w:p>
        </w:tc>
        <w:tc>
          <w:tcPr>
            <w:tcBorders>
              <w:top w:val="single" w:color="auto" w:sz="4" w:space="0"/>
              <w:left w:val="single" w:color="auto" w:sz="4" w:space="0"/>
              <w:right w:val="single" w:color="auto" w:sz="4" w:space="0"/>
            </w:tcBorders>
            <w:tcW w:w="888" w:type="pct"/>
            <w:vAlign w:val="center"/>
            <w:vMerge w:val="restart"/>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数据分析</w:t>
            </w:r>
            <w:r/>
          </w:p>
        </w:tc>
        <w:tc>
          <w:tcPr>
            <w:tcBorders>
              <w:top w:val="single" w:color="auto" w:sz="4" w:space="0"/>
              <w:left w:val="single" w:color="auto" w:sz="4" w:space="0"/>
              <w:right w:val="single" w:color="auto" w:sz="4" w:space="0"/>
            </w:tcBorders>
            <w:tcW w:w="3522" w:type="pct"/>
            <w:vAlign w:val="center"/>
            <w:textDirection w:val="lrTb"/>
            <w:noWrap w:val="false"/>
          </w:tcPr>
          <w:p>
            <w:pPr>
              <w:pStyle w:val="838"/>
              <w:jc w:val="both"/>
              <w:spacing w:line="400" w:lineRule="exact"/>
              <w:rPr>
                <w:rFonts w:eastAsia="仿宋"/>
                <w:color w:val="auto"/>
                <w:sz w:val="24"/>
                <w:highlight w:val="none"/>
              </w:rPr>
            </w:pPr>
            <w:r>
              <w:rPr>
                <w:rFonts w:eastAsia="仿宋"/>
                <w:color w:val="auto"/>
                <w:sz w:val="24"/>
                <w:highlight w:val="none"/>
              </w:rPr>
              <w:t xml:space="preserve">实时向甲方上传监测数据，有异常情况及时向甲方通报。</w:t>
            </w:r>
            <w:r/>
          </w:p>
        </w:tc>
      </w:tr>
      <w:tr>
        <w:trPr>
          <w:trHeight w:val="1104"/>
        </w:trPr>
        <w:tc>
          <w:tcPr>
            <w:tcBorders>
              <w:top w:val="single" w:color="auto" w:sz="4" w:space="0"/>
              <w:left w:val="single" w:color="auto" w:sz="4" w:space="0"/>
              <w:right w:val="single" w:color="auto" w:sz="4" w:space="0"/>
            </w:tcBorders>
            <w:tcW w:w="590"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2</w:t>
            </w:r>
            <w:r/>
          </w:p>
        </w:tc>
        <w:tc>
          <w:tcPr>
            <w:tcBorders>
              <w:left w:val="single" w:color="auto" w:sz="4" w:space="0"/>
              <w:right w:val="single" w:color="auto" w:sz="4" w:space="0"/>
            </w:tcBorders>
            <w:tcW w:w="888" w:type="pct"/>
            <w:vAlign w:val="center"/>
            <w:vMerge w:val="continue"/>
            <w:textDirection w:val="lrTb"/>
            <w:noWrap w:val="false"/>
          </w:tcPr>
          <w:p>
            <w:pPr>
              <w:pStyle w:val="838"/>
              <w:spacing w:line="400" w:lineRule="exact"/>
              <w:rPr>
                <w:rFonts w:eastAsia="仿宋"/>
                <w:color w:val="auto"/>
                <w:sz w:val="24"/>
                <w:highlight w:val="none"/>
              </w:rPr>
            </w:pPr>
            <w:r>
              <w:rPr>
                <w:rFonts w:eastAsia="仿宋"/>
                <w:color w:val="auto"/>
                <w:sz w:val="24"/>
                <w:highlight w:val="none"/>
              </w:rPr>
            </w:r>
            <w:r/>
          </w:p>
        </w:tc>
        <w:tc>
          <w:tcPr>
            <w:tcBorders>
              <w:top w:val="single" w:color="auto" w:sz="4" w:space="0"/>
              <w:left w:val="single" w:color="auto" w:sz="4" w:space="0"/>
              <w:right w:val="single" w:color="auto" w:sz="4" w:space="0"/>
            </w:tcBorders>
            <w:tcW w:w="3522" w:type="pct"/>
            <w:vAlign w:val="center"/>
            <w:textDirection w:val="lrTb"/>
            <w:noWrap w:val="false"/>
          </w:tcPr>
          <w:p>
            <w:pPr>
              <w:pStyle w:val="838"/>
              <w:jc w:val="both"/>
              <w:spacing w:line="400" w:lineRule="exact"/>
              <w:rPr>
                <w:rFonts w:eastAsia="仿宋"/>
                <w:color w:val="auto"/>
                <w:sz w:val="24"/>
                <w:highlight w:val="none"/>
              </w:rPr>
            </w:pPr>
            <w:r>
              <w:rPr>
                <w:rFonts w:eastAsia="仿宋"/>
                <w:color w:val="auto"/>
                <w:sz w:val="24"/>
                <w:highlight w:val="none"/>
              </w:rPr>
              <w:t xml:space="preserve">定期提交周报、月报、季报、年报；按需提供专项报告；每季度通过至少两种硬件储存介质，向甲方提供本项目取得的在线监测、线下巡查、一企一档等全部数据。</w:t>
            </w:r>
            <w:r/>
          </w:p>
        </w:tc>
      </w:tr>
      <w:tr>
        <w:trPr>
          <w:trHeight w:val="271"/>
        </w:trPr>
        <w:tc>
          <w:tcPr>
            <w:tcBorders>
              <w:top w:val="single" w:color="auto" w:sz="4" w:space="0"/>
              <w:left w:val="single" w:color="auto" w:sz="4" w:space="0"/>
              <w:right w:val="single" w:color="auto" w:sz="4" w:space="0"/>
            </w:tcBorders>
            <w:tcW w:w="590"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3</w:t>
            </w:r>
            <w:r/>
          </w:p>
        </w:tc>
        <w:tc>
          <w:tcPr>
            <w:tcBorders>
              <w:left w:val="single" w:color="auto" w:sz="4" w:space="0"/>
              <w:right w:val="single" w:color="auto" w:sz="4" w:space="0"/>
            </w:tcBorders>
            <w:tcW w:w="888" w:type="pct"/>
            <w:vAlign w:val="center"/>
            <w:vMerge w:val="continue"/>
            <w:textDirection w:val="lrTb"/>
            <w:noWrap w:val="false"/>
          </w:tcPr>
          <w:p>
            <w:pPr>
              <w:pStyle w:val="838"/>
              <w:spacing w:line="400" w:lineRule="exact"/>
              <w:rPr>
                <w:rFonts w:eastAsia="仿宋"/>
                <w:color w:val="auto"/>
                <w:sz w:val="24"/>
                <w:highlight w:val="none"/>
              </w:rPr>
            </w:pPr>
            <w:r>
              <w:rPr>
                <w:rFonts w:eastAsia="仿宋"/>
                <w:color w:val="auto"/>
                <w:sz w:val="24"/>
                <w:highlight w:val="none"/>
              </w:rPr>
            </w:r>
            <w:r/>
          </w:p>
        </w:tc>
        <w:tc>
          <w:tcPr>
            <w:tcBorders>
              <w:top w:val="single" w:color="auto" w:sz="4" w:space="0"/>
              <w:left w:val="single" w:color="auto" w:sz="4" w:space="0"/>
              <w:right w:val="single" w:color="auto" w:sz="4" w:space="0"/>
            </w:tcBorders>
            <w:tcW w:w="3522" w:type="pct"/>
            <w:vAlign w:val="center"/>
            <w:textDirection w:val="lrTb"/>
            <w:noWrap w:val="false"/>
          </w:tcPr>
          <w:p>
            <w:pPr>
              <w:pStyle w:val="838"/>
              <w:jc w:val="both"/>
              <w:spacing w:line="400" w:lineRule="exact"/>
              <w:rPr>
                <w:rFonts w:eastAsia="仿宋"/>
                <w:color w:val="auto"/>
                <w:sz w:val="24"/>
                <w:highlight w:val="none"/>
              </w:rPr>
            </w:pPr>
            <w:r>
              <w:rPr>
                <w:rFonts w:eastAsia="仿宋"/>
                <w:color w:val="auto"/>
                <w:sz w:val="24"/>
                <w:highlight w:val="none"/>
              </w:rPr>
              <w:t xml:space="preserve">调度属地街道、运维人员，提报交办单。</w:t>
            </w:r>
            <w:r/>
          </w:p>
        </w:tc>
      </w:tr>
      <w:tr>
        <w:trPr>
          <w:trHeight w:val="393"/>
        </w:trPr>
        <w:tc>
          <w:tcPr>
            <w:tcBorders>
              <w:top w:val="single" w:color="auto" w:sz="4" w:space="0"/>
              <w:left w:val="single" w:color="auto" w:sz="4" w:space="0"/>
              <w:right w:val="single" w:color="auto" w:sz="4" w:space="0"/>
            </w:tcBorders>
            <w:tcW w:w="590" w:type="pct"/>
            <w:vAlign w:val="center"/>
            <w:textDirection w:val="lrTb"/>
            <w:noWrap w:val="false"/>
          </w:tcPr>
          <w:p>
            <w:pPr>
              <w:pStyle w:val="838"/>
              <w:spacing w:line="400" w:lineRule="exact"/>
              <w:rPr>
                <w:rFonts w:eastAsia="仿宋"/>
                <w:color w:val="auto"/>
                <w:sz w:val="24"/>
                <w:highlight w:val="none"/>
              </w:rPr>
            </w:pPr>
            <w:r>
              <w:rPr>
                <w:rFonts w:eastAsia="仿宋"/>
                <w:color w:val="auto"/>
                <w:sz w:val="24"/>
                <w:highlight w:val="none"/>
              </w:rPr>
              <w:t xml:space="preserve">4</w:t>
            </w:r>
            <w:r/>
          </w:p>
        </w:tc>
        <w:tc>
          <w:tcPr>
            <w:tcBorders>
              <w:left w:val="single" w:color="auto" w:sz="4" w:space="0"/>
              <w:right w:val="single" w:color="auto" w:sz="4" w:space="0"/>
            </w:tcBorders>
            <w:tcW w:w="888" w:type="pct"/>
            <w:vAlign w:val="center"/>
            <w:vMerge w:val="continue"/>
            <w:textDirection w:val="lrTb"/>
            <w:noWrap w:val="false"/>
          </w:tcPr>
          <w:p>
            <w:pPr>
              <w:pStyle w:val="838"/>
              <w:spacing w:line="400" w:lineRule="exact"/>
              <w:rPr>
                <w:rFonts w:eastAsia="仿宋"/>
                <w:color w:val="auto"/>
                <w:sz w:val="24"/>
                <w:highlight w:val="none"/>
              </w:rPr>
            </w:pPr>
            <w:r>
              <w:rPr>
                <w:rFonts w:eastAsia="仿宋"/>
                <w:color w:val="auto"/>
                <w:sz w:val="24"/>
                <w:highlight w:val="none"/>
              </w:rPr>
            </w:r>
            <w:r/>
          </w:p>
        </w:tc>
        <w:tc>
          <w:tcPr>
            <w:tcBorders>
              <w:top w:val="single" w:color="auto" w:sz="4" w:space="0"/>
              <w:left w:val="single" w:color="auto" w:sz="4" w:space="0"/>
              <w:right w:val="single" w:color="auto" w:sz="4" w:space="0"/>
            </w:tcBorders>
            <w:tcW w:w="3522" w:type="pct"/>
            <w:vAlign w:val="center"/>
            <w:textDirection w:val="lrTb"/>
            <w:noWrap w:val="false"/>
          </w:tcPr>
          <w:p>
            <w:pPr>
              <w:pStyle w:val="838"/>
              <w:jc w:val="both"/>
              <w:spacing w:line="400" w:lineRule="exact"/>
              <w:rPr>
                <w:rFonts w:eastAsia="仿宋"/>
                <w:color w:val="auto"/>
                <w:sz w:val="24"/>
                <w:highlight w:val="none"/>
              </w:rPr>
            </w:pPr>
            <w:r>
              <w:rPr>
                <w:rFonts w:eastAsia="仿宋"/>
                <w:color w:val="auto"/>
                <w:sz w:val="24"/>
                <w:highlight w:val="none"/>
              </w:rPr>
              <w:t xml:space="preserve">其他涉及本项目的相关驻场工作。</w:t>
            </w:r>
            <w:r/>
          </w:p>
        </w:tc>
      </w:tr>
    </w:tbl>
    <w:p>
      <w:pPr>
        <w:numPr>
          <w:ilvl w:val="0"/>
          <w:numId w:val="9"/>
        </w:numPr>
        <w:spacing w:line="540" w:lineRule="exact"/>
        <w:rPr>
          <w:rFonts w:eastAsia="仿宋"/>
          <w:bCs/>
          <w:color w:val="auto"/>
          <w:sz w:val="24"/>
          <w:highlight w:val="none"/>
        </w:rPr>
        <w:outlineLvl w:val="0"/>
      </w:pPr>
      <w:r/>
      <w:bookmarkStart w:id="96" w:name="_Toc27999"/>
      <w:r>
        <w:rPr>
          <w:rFonts w:eastAsia="仿宋"/>
          <w:bCs/>
          <w:color w:val="auto"/>
          <w:sz w:val="24"/>
          <w:highlight w:val="none"/>
        </w:rPr>
        <w:t xml:space="preserve">合同总价款</w:t>
      </w:r>
      <w:bookmarkEnd w:id="96"/>
      <w:r>
        <w:rPr>
          <w:rFonts w:eastAsia="仿宋"/>
          <w:bCs/>
          <w:color w:val="auto"/>
          <w:sz w:val="24"/>
          <w:highlight w:val="none"/>
        </w:rPr>
        <w:t xml:space="preserve"> </w:t>
      </w:r>
      <w:r/>
    </w:p>
    <w:p>
      <w:pPr>
        <w:pStyle w:val="1029"/>
        <w:numPr>
          <w:ilvl w:val="0"/>
          <w:numId w:val="10"/>
        </w:numPr>
        <w:spacing w:line="540" w:lineRule="exact"/>
        <w:rPr>
          <w:rFonts w:eastAsia="仿宋"/>
          <w:color w:val="auto"/>
          <w:sz w:val="24"/>
          <w:highlight w:val="none"/>
        </w:rPr>
      </w:pPr>
      <w:r>
        <w:rPr>
          <w:rFonts w:eastAsia="仿宋"/>
          <w:color w:val="auto"/>
          <w:sz w:val="24"/>
          <w:highlight w:val="none"/>
        </w:rPr>
        <w:t xml:space="preserve">本合同项下总价款为：</w:t>
      </w:r>
      <w:r>
        <w:rPr>
          <w:rFonts w:eastAsia="仿宋"/>
          <w:color w:val="auto"/>
          <w:sz w:val="24"/>
          <w:highlight w:val="none"/>
          <w:u w:val="single"/>
        </w:rPr>
        <w:t xml:space="preserve">                  </w:t>
      </w:r>
      <w:r>
        <w:rPr>
          <w:rFonts w:eastAsia="仿宋"/>
          <w:color w:val="auto"/>
          <w:sz w:val="24"/>
          <w:highlight w:val="none"/>
        </w:rPr>
        <w:t xml:space="preserve">；</w:t>
      </w:r>
      <w:r/>
    </w:p>
    <w:p>
      <w:pPr>
        <w:ind w:firstLine="480"/>
        <w:spacing w:line="540" w:lineRule="exact"/>
        <w:rPr>
          <w:rFonts w:eastAsia="仿宋"/>
          <w:color w:val="auto"/>
          <w:sz w:val="24"/>
          <w:highlight w:val="none"/>
        </w:rPr>
      </w:pPr>
      <w:r>
        <w:rPr>
          <w:rFonts w:eastAsia="仿宋"/>
          <w:color w:val="auto"/>
          <w:sz w:val="24"/>
          <w:highlight w:val="none"/>
        </w:rPr>
        <w:t xml:space="preserve">当实际安装油烟在线监测仪超过2400台、VOCs在线监测仪超过35台，以合同总价款计算；</w:t>
      </w:r>
      <w:r/>
    </w:p>
    <w:p>
      <w:pPr>
        <w:pStyle w:val="838"/>
        <w:ind w:firstLine="482"/>
        <w:spacing w:line="540" w:lineRule="exact"/>
        <w:rPr>
          <w:rFonts w:eastAsia="仿宋"/>
          <w:color w:val="auto"/>
          <w:sz w:val="24"/>
          <w:highlight w:val="none"/>
        </w:rPr>
      </w:pPr>
      <w:r>
        <w:rPr>
          <w:rFonts w:eastAsia="仿宋"/>
          <w:color w:val="auto"/>
          <w:sz w:val="24"/>
          <w:highlight w:val="none"/>
        </w:rPr>
        <w:t xml:space="preserve">当实际安装油烟在线监测仪少于2400台，一年服务费按</w:t>
      </w:r>
      <w:r>
        <w:rPr>
          <w:rFonts w:eastAsia="仿宋"/>
          <w:color w:val="auto"/>
          <w:sz w:val="24"/>
          <w:highlight w:val="none"/>
          <w:u w:val="single"/>
        </w:rPr>
        <w:t xml:space="preserve">      </w:t>
      </w:r>
      <w:r>
        <w:rPr>
          <w:rFonts w:eastAsia="仿宋"/>
          <w:color w:val="auto"/>
          <w:sz w:val="24"/>
          <w:highlight w:val="none"/>
        </w:rPr>
        <w:t xml:space="preserve">元/台核算；当实际安装VOCs在线监测仪少于35台，一年服务费按</w:t>
      </w:r>
      <w:r>
        <w:rPr>
          <w:rFonts w:eastAsia="仿宋"/>
          <w:color w:val="auto"/>
          <w:sz w:val="24"/>
          <w:highlight w:val="none"/>
          <w:u w:val="single"/>
        </w:rPr>
        <w:t xml:space="preserve">      </w:t>
      </w:r>
      <w:r>
        <w:rPr>
          <w:rFonts w:eastAsia="仿宋"/>
          <w:color w:val="auto"/>
          <w:sz w:val="24"/>
          <w:highlight w:val="none"/>
        </w:rPr>
        <w:t xml:space="preserve">元/台核算；</w:t>
      </w:r>
      <w:r/>
    </w:p>
    <w:p>
      <w:pPr>
        <w:pStyle w:val="838"/>
        <w:ind w:firstLine="482"/>
        <w:jc w:val="left"/>
        <w:spacing w:line="540" w:lineRule="exact"/>
        <w:rPr>
          <w:rFonts w:eastAsia="仿宋"/>
          <w:color w:val="auto"/>
          <w:sz w:val="24"/>
          <w:highlight w:val="none"/>
        </w:rPr>
      </w:pPr>
      <w:r>
        <w:rPr>
          <w:rFonts w:eastAsia="仿宋"/>
          <w:color w:val="auto"/>
          <w:sz w:val="24"/>
          <w:highlight w:val="none"/>
        </w:rPr>
        <w:t xml:space="preserve">一年服务费按照实际运维服务量核算。实际运维服务量以月为单位进行核算，若某点位某月内运维不满20天，则该月不计入实际运维服务量，若某点位某月内运维超过20天（含20天），则该月计入实际运维服务量。</w:t>
      </w:r>
      <w:r/>
    </w:p>
    <w:p>
      <w:pPr>
        <w:pStyle w:val="1029"/>
        <w:ind w:left="480" w:firstLine="0"/>
        <w:spacing w:line="540" w:lineRule="exact"/>
        <w:rPr>
          <w:rFonts w:eastAsia="仿宋"/>
          <w:color w:val="auto"/>
          <w:sz w:val="24"/>
          <w:highlight w:val="none"/>
        </w:rPr>
      </w:pPr>
      <w:r>
        <w:rPr>
          <w:rFonts w:eastAsia="仿宋"/>
          <w:color w:val="auto"/>
          <w:sz w:val="24"/>
          <w:highlight w:val="none"/>
        </w:rPr>
        <w:t xml:space="preserve">分项价款以“投标报价表”中规定为准。</w:t>
      </w:r>
      <w:r/>
    </w:p>
    <w:p>
      <w:pPr>
        <w:ind w:firstLine="480"/>
        <w:spacing w:line="540" w:lineRule="exact"/>
        <w:rPr>
          <w:rFonts w:eastAsia="仿宋"/>
          <w:color w:val="auto"/>
          <w:sz w:val="24"/>
          <w:highlight w:val="none"/>
        </w:rPr>
      </w:pPr>
      <w:r>
        <w:rPr>
          <w:rFonts w:eastAsia="仿宋"/>
          <w:color w:val="auto"/>
          <w:sz w:val="24"/>
          <w:highlight w:val="none"/>
        </w:rPr>
        <w:t xml:space="preserve">2.本合同总价款包含完成本服务合同发生的所有含税费用、支付给员工的工资和国家强制缴纳的各种社会保障资金，以及乙方认为需要的其他费用等。</w:t>
      </w:r>
      <w:r/>
    </w:p>
    <w:p>
      <w:pPr>
        <w:ind w:firstLine="480"/>
        <w:spacing w:line="540" w:lineRule="exact"/>
        <w:rPr>
          <w:rFonts w:eastAsia="仿宋"/>
          <w:color w:val="auto"/>
          <w:sz w:val="24"/>
          <w:highlight w:val="none"/>
        </w:rPr>
      </w:pPr>
      <w:r>
        <w:rPr>
          <w:rFonts w:eastAsia="仿宋"/>
          <w:color w:val="auto"/>
          <w:sz w:val="24"/>
          <w:highlight w:val="none"/>
        </w:rPr>
        <w:t xml:space="preserve">3.本合同执行期间合同总价款不变，本合同执行过程中，因项目实际运行涉及第一条中未约定的同种类服务项目，甲方可根据具体需求向乙方提出服务请求，乙方需无条件满足且甲方无需额外支付任何费用。</w:t>
      </w:r>
      <w:r/>
    </w:p>
    <w:p>
      <w:pPr>
        <w:numPr>
          <w:ilvl w:val="0"/>
          <w:numId w:val="9"/>
        </w:numPr>
        <w:spacing w:line="540" w:lineRule="exact"/>
        <w:rPr>
          <w:rFonts w:eastAsia="仿宋"/>
          <w:bCs/>
          <w:color w:val="auto"/>
          <w:sz w:val="24"/>
          <w:highlight w:val="none"/>
        </w:rPr>
        <w:outlineLvl w:val="0"/>
      </w:pPr>
      <w:r/>
      <w:bookmarkStart w:id="97" w:name="_Toc25409"/>
      <w:r>
        <w:rPr>
          <w:rFonts w:eastAsia="仿宋"/>
          <w:bCs/>
          <w:color w:val="auto"/>
          <w:sz w:val="24"/>
          <w:highlight w:val="none"/>
        </w:rPr>
        <w:t xml:space="preserve">组成本合同的有关文件</w:t>
      </w:r>
      <w:bookmarkEnd w:id="97"/>
      <w:r>
        <w:rPr>
          <w:rFonts w:eastAsia="仿宋"/>
          <w:bCs/>
          <w:color w:val="auto"/>
          <w:sz w:val="24"/>
          <w:highlight w:val="none"/>
        </w:rPr>
        <w:t xml:space="preserve"> </w:t>
      </w:r>
      <w:r/>
    </w:p>
    <w:p>
      <w:pPr>
        <w:ind w:firstLine="480"/>
        <w:spacing w:line="540" w:lineRule="exact"/>
        <w:rPr>
          <w:rFonts w:eastAsia="仿宋"/>
          <w:color w:val="auto"/>
          <w:sz w:val="24"/>
          <w:highlight w:val="none"/>
        </w:rPr>
      </w:pPr>
      <w:r>
        <w:rPr>
          <w:rFonts w:eastAsia="仿宋"/>
          <w:color w:val="auto"/>
          <w:sz w:val="24"/>
          <w:highlight w:val="none"/>
        </w:rPr>
        <w:t xml:space="preserve">下列关于本合同的招投标文件或与本次采购活动方式相适应的文件及有关附件是本合同不可分割的组成部分，与本合同具有同等法律效力，这些文件包括但不限于：</w:t>
      </w:r>
      <w:r/>
    </w:p>
    <w:p>
      <w:pPr>
        <w:ind w:firstLine="480"/>
        <w:spacing w:line="540" w:lineRule="exact"/>
        <w:rPr>
          <w:rFonts w:eastAsia="仿宋"/>
          <w:color w:val="auto"/>
          <w:sz w:val="24"/>
          <w:highlight w:val="none"/>
        </w:rPr>
      </w:pPr>
      <w:r>
        <w:rPr>
          <w:rFonts w:eastAsia="仿宋"/>
          <w:color w:val="auto"/>
          <w:sz w:val="24"/>
          <w:highlight w:val="none"/>
        </w:rPr>
        <w:t xml:space="preserve">1.乙方提供的投标文件和报价表；</w:t>
      </w:r>
      <w:r/>
    </w:p>
    <w:p>
      <w:pPr>
        <w:ind w:firstLine="480"/>
        <w:spacing w:line="540" w:lineRule="exact"/>
        <w:rPr>
          <w:rFonts w:eastAsia="仿宋"/>
          <w:color w:val="auto"/>
          <w:sz w:val="24"/>
          <w:highlight w:val="none"/>
        </w:rPr>
      </w:pPr>
      <w:r>
        <w:rPr>
          <w:rFonts w:eastAsia="仿宋"/>
          <w:color w:val="auto"/>
          <w:sz w:val="24"/>
          <w:highlight w:val="none"/>
        </w:rPr>
        <w:t xml:space="preserve">2.中标通知书；</w:t>
      </w:r>
      <w:r/>
    </w:p>
    <w:p>
      <w:pPr>
        <w:ind w:firstLine="480"/>
        <w:spacing w:line="540" w:lineRule="exact"/>
        <w:rPr>
          <w:rFonts w:eastAsia="仿宋"/>
          <w:color w:val="auto"/>
          <w:sz w:val="24"/>
          <w:highlight w:val="none"/>
        </w:rPr>
      </w:pPr>
      <w:r>
        <w:rPr>
          <w:rFonts w:eastAsia="仿宋"/>
          <w:color w:val="auto"/>
          <w:sz w:val="24"/>
          <w:highlight w:val="none"/>
        </w:rPr>
        <w:t xml:space="preserve">3.甲乙双方商定的其他协议。</w:t>
      </w:r>
      <w:r/>
    </w:p>
    <w:p>
      <w:pPr>
        <w:numPr>
          <w:ilvl w:val="0"/>
          <w:numId w:val="9"/>
        </w:numPr>
        <w:spacing w:line="540" w:lineRule="exact"/>
        <w:rPr>
          <w:rFonts w:eastAsia="仿宋"/>
          <w:bCs/>
          <w:color w:val="auto"/>
          <w:sz w:val="24"/>
          <w:highlight w:val="none"/>
        </w:rPr>
        <w:outlineLvl w:val="0"/>
      </w:pPr>
      <w:r/>
      <w:bookmarkStart w:id="98" w:name="_Toc10631"/>
      <w:r>
        <w:rPr>
          <w:rFonts w:eastAsia="仿宋"/>
          <w:bCs/>
          <w:color w:val="auto"/>
          <w:sz w:val="24"/>
          <w:highlight w:val="none"/>
        </w:rPr>
        <w:t xml:space="preserve">服务期限、地点</w:t>
      </w:r>
      <w:bookmarkEnd w:id="98"/>
      <w:r/>
      <w:r/>
    </w:p>
    <w:p>
      <w:pPr>
        <w:ind w:firstLine="480"/>
        <w:spacing w:line="540" w:lineRule="exact"/>
        <w:rPr>
          <w:rFonts w:eastAsia="仿宋"/>
          <w:bCs/>
          <w:color w:val="auto"/>
          <w:sz w:val="24"/>
          <w:highlight w:val="none"/>
        </w:rPr>
      </w:pPr>
      <w:r>
        <w:rPr>
          <w:rFonts w:eastAsia="仿宋"/>
          <w:bCs/>
          <w:color w:val="auto"/>
          <w:sz w:val="24"/>
          <w:highlight w:val="none"/>
        </w:rPr>
        <w:t xml:space="preserve">1.</w:t>
      </w:r>
      <w:r>
        <w:rPr>
          <w:rFonts w:eastAsia="仿宋"/>
          <w:color w:val="auto"/>
          <w:sz w:val="24"/>
          <w:highlight w:val="none"/>
        </w:rPr>
        <w:t xml:space="preserve">服务期限：自本合同签订之日起三年。</w:t>
      </w:r>
      <w:r/>
    </w:p>
    <w:p>
      <w:pPr>
        <w:ind w:firstLine="480"/>
        <w:spacing w:line="540" w:lineRule="exact"/>
        <w:rPr>
          <w:rFonts w:eastAsia="仿宋"/>
          <w:color w:val="auto"/>
          <w:sz w:val="24"/>
          <w:highlight w:val="none"/>
        </w:rPr>
      </w:pPr>
      <w:r>
        <w:rPr>
          <w:rFonts w:eastAsia="仿宋"/>
          <w:color w:val="auto"/>
          <w:sz w:val="24"/>
          <w:highlight w:val="none"/>
        </w:rPr>
        <w:t xml:space="preserve">2.服务地点：南京市秦淮区。</w:t>
      </w:r>
      <w:r/>
    </w:p>
    <w:p>
      <w:pPr>
        <w:numPr>
          <w:ilvl w:val="0"/>
          <w:numId w:val="9"/>
        </w:numPr>
        <w:spacing w:line="540" w:lineRule="exact"/>
        <w:rPr>
          <w:rFonts w:eastAsia="仿宋"/>
          <w:bCs/>
          <w:color w:val="auto"/>
          <w:sz w:val="24"/>
          <w:highlight w:val="none"/>
        </w:rPr>
        <w:outlineLvl w:val="0"/>
      </w:pPr>
      <w:r/>
      <w:bookmarkStart w:id="99" w:name="_Toc28577"/>
      <w:r>
        <w:rPr>
          <w:rFonts w:eastAsia="仿宋"/>
          <w:bCs/>
          <w:color w:val="auto"/>
          <w:sz w:val="24"/>
          <w:highlight w:val="none"/>
        </w:rPr>
        <w:t xml:space="preserve">权利保证</w:t>
      </w:r>
      <w:bookmarkEnd w:id="99"/>
      <w:r/>
      <w:r/>
    </w:p>
    <w:p>
      <w:pPr>
        <w:pStyle w:val="1219"/>
        <w:ind w:firstLine="480"/>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1.自合同签订之日起，乙方对“秦淮区餐饮油烟及涉VOCs企业在线监测系统”开发或升级的产品全部知识产权归甲方所有。</w:t>
      </w:r>
      <w:r/>
    </w:p>
    <w:p>
      <w:pPr>
        <w:pStyle w:val="1219"/>
        <w:ind w:firstLine="480"/>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2.乙方应保证提供给甲方的服务不存在知识产权或其他权利方面的争议。出现争议或给甲方造成损失的，乙方承担全部赔偿责任。</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3.服务期内，本合同所涉及的所有硬件设备、运维人员的人身、财产等安全问题责任及乙方派驻人员在服务期间造成伤亡、火警、火灾、设备等一切事故（包括造成甲方人员、己方人员、他方人员等），全部由乙方承担；乙方是服务期间安全第一责任人，若出现安全责任事故等重大意外，责任和费用均由乙方全部承担，甲方不承担任何责任和费用。乙方在安全事故发生时，出现逃避、推诿不处理等情况时，甲方介入后所垫付的相关费用均由乙方承担。</w:t>
      </w:r>
      <w:r/>
    </w:p>
    <w:p>
      <w:pPr>
        <w:numPr>
          <w:ilvl w:val="0"/>
          <w:numId w:val="9"/>
        </w:numPr>
        <w:spacing w:line="540" w:lineRule="exact"/>
        <w:rPr>
          <w:rFonts w:eastAsia="仿宋"/>
          <w:bCs/>
          <w:color w:val="auto"/>
          <w:sz w:val="24"/>
          <w:highlight w:val="none"/>
        </w:rPr>
        <w:outlineLvl w:val="0"/>
      </w:pPr>
      <w:r/>
      <w:bookmarkStart w:id="100" w:name="_Toc24705"/>
      <w:r>
        <w:rPr>
          <w:rFonts w:eastAsia="仿宋"/>
          <w:bCs/>
          <w:color w:val="auto"/>
          <w:sz w:val="24"/>
          <w:highlight w:val="none"/>
        </w:rPr>
        <w:t xml:space="preserve">质量保证</w:t>
      </w:r>
      <w:bookmarkEnd w:id="100"/>
      <w:r/>
      <w:r/>
    </w:p>
    <w:p>
      <w:pPr>
        <w:pStyle w:val="1219"/>
        <w:ind w:firstLine="480"/>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1.乙方提供的服务质量应当符合采购文件的约定以及乙方承诺。</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2.除特别说明外，本合同运维服务期限为三年，起始日期为合同签订日期。</w:t>
      </w:r>
      <w:r/>
    </w:p>
    <w:p>
      <w:pPr>
        <w:numPr>
          <w:ilvl w:val="0"/>
          <w:numId w:val="9"/>
        </w:numPr>
        <w:spacing w:line="540" w:lineRule="exact"/>
        <w:rPr>
          <w:rFonts w:eastAsia="仿宋"/>
          <w:bCs/>
          <w:color w:val="auto"/>
          <w:sz w:val="24"/>
          <w:highlight w:val="none"/>
        </w:rPr>
        <w:outlineLvl w:val="0"/>
      </w:pPr>
      <w:r/>
      <w:bookmarkStart w:id="101" w:name="_Toc23170"/>
      <w:r>
        <w:rPr>
          <w:rFonts w:eastAsia="仿宋"/>
          <w:bCs/>
          <w:color w:val="auto"/>
          <w:sz w:val="24"/>
          <w:highlight w:val="none"/>
        </w:rPr>
        <w:t xml:space="preserve">验收条件</w:t>
      </w:r>
      <w:bookmarkEnd w:id="101"/>
      <w:r/>
      <w:r/>
    </w:p>
    <w:p>
      <w:pPr>
        <w:pStyle w:val="1219"/>
        <w:ind w:firstLine="480"/>
        <w:jc w:val="both"/>
        <w:spacing w:line="540" w:lineRule="exact"/>
        <w:rPr>
          <w:rFonts w:ascii="Times New Roman" w:hAnsi="Times New Roman" w:eastAsia="仿宋" w:cs="Times New Roman"/>
          <w:color w:val="auto"/>
          <w:szCs w:val="24"/>
          <w:highlight w:val="none"/>
        </w:rPr>
      </w:pPr>
      <w:r>
        <w:rPr>
          <w:rFonts w:ascii="Times New Roman" w:hAnsi="Times New Roman" w:eastAsia="仿宋" w:cs="Times New Roman"/>
          <w:color w:val="auto"/>
          <w:szCs w:val="24"/>
          <w:highlight w:val="none"/>
        </w:rPr>
        <w:t xml:space="preserve">1.自合同签订之日起进入三年服务期，每年由甲方组织一次验收。乙方提供本合同履约情况及相应的证明材料，并对材料的真实性负责。甲方邀请专家成立验收小组，出具专家验收意见，作为项目验收认定。</w:t>
      </w:r>
      <w:r/>
    </w:p>
    <w:p>
      <w:pPr>
        <w:pStyle w:val="1139"/>
        <w:ind w:firstLine="480"/>
        <w:jc w:val="both"/>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2.本合同第一条履约情况；</w:t>
      </w:r>
      <w:r/>
    </w:p>
    <w:p>
      <w:pPr>
        <w:pStyle w:val="1139"/>
        <w:ind w:firstLine="480"/>
        <w:jc w:val="both"/>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3.乙方应确保餐饮单位、涉VOCs企业在线监测全覆盖；</w:t>
      </w:r>
      <w:r/>
    </w:p>
    <w:p>
      <w:pPr>
        <w:pStyle w:val="1139"/>
        <w:ind w:firstLine="480"/>
        <w:jc w:val="both"/>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4.</w:t>
      </w:r>
      <w:r>
        <w:rPr>
          <w:rFonts w:ascii="Times New Roman" w:eastAsia="仿宋" w:cs="Times New Roman"/>
          <w:color w:val="auto"/>
          <w:highlight w:val="none"/>
        </w:rPr>
        <w:t xml:space="preserve">乙方应确保餐饮油烟在线监测仪、VOCs在线监测仪数据准确；</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5.乙方应及时提醒餐饮单位维修、更换不正常运行的油烟净化器；</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6.乙方应及时提醒涉VOCs企业维修、更换不正常运行的VOCs处理设施；</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7.乙方应督促餐饮单位及时、规范上传“码上洗”；</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8.乙方应督促涉VOCs企业及时、规范上传精细化台账；</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9.乙方应及时发现企业单位污染处理设施不正常运行情况，并提供精准的执法线索；</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10.乙方专职人员不得随意更换，经甲方书面同意更换专职人员的，人数不得超过3人/年；</w:t>
      </w:r>
      <w:r/>
    </w:p>
    <w:p>
      <w:pPr>
        <w:pStyle w:val="1139"/>
        <w:ind w:firstLine="480"/>
        <w:spacing w:line="540" w:lineRule="exact"/>
        <w:rPr>
          <w:rFonts w:ascii="Times New Roman" w:eastAsia="仿宋" w:cs="Times New Roman"/>
          <w:bCs/>
          <w:color w:val="auto"/>
          <w:highlight w:val="none"/>
        </w:rPr>
      </w:pPr>
      <w:r>
        <w:rPr>
          <w:rFonts w:ascii="Times New Roman" w:eastAsia="仿宋" w:cs="Times New Roman"/>
          <w:bCs/>
          <w:color w:val="auto"/>
          <w:highlight w:val="none"/>
        </w:rPr>
        <w:t xml:space="preserve">11.乙方应</w:t>
      </w:r>
      <w:r>
        <w:rPr>
          <w:rFonts w:ascii="Times New Roman" w:eastAsia="仿宋" w:cs="Times New Roman"/>
          <w:color w:val="auto"/>
          <w:highlight w:val="none"/>
        </w:rPr>
        <w:t xml:space="preserve">每季度开展一次网络安全自查，并向甲方提供网络安全自查报告。乙方应</w:t>
      </w:r>
      <w:r>
        <w:rPr>
          <w:rFonts w:ascii="Times New Roman" w:eastAsia="仿宋" w:cs="Times New Roman"/>
          <w:bCs/>
          <w:color w:val="auto"/>
          <w:highlight w:val="none"/>
        </w:rPr>
        <w:t xml:space="preserve">确保系统的合规应用，不得被网信办等相关部门通报。</w:t>
      </w:r>
      <w:r/>
    </w:p>
    <w:p>
      <w:pPr>
        <w:numPr>
          <w:ilvl w:val="0"/>
          <w:numId w:val="9"/>
        </w:numPr>
        <w:spacing w:line="540" w:lineRule="exact"/>
        <w:rPr>
          <w:rFonts w:eastAsia="仿宋"/>
          <w:bCs/>
          <w:color w:val="auto"/>
          <w:sz w:val="24"/>
          <w:highlight w:val="none"/>
        </w:rPr>
        <w:outlineLvl w:val="0"/>
      </w:pPr>
      <w:r/>
      <w:bookmarkStart w:id="102" w:name="_Toc1039"/>
      <w:r>
        <w:rPr>
          <w:rFonts w:eastAsia="仿宋"/>
          <w:bCs/>
          <w:color w:val="auto"/>
          <w:sz w:val="24"/>
          <w:highlight w:val="none"/>
        </w:rPr>
        <w:t xml:space="preserve">合同款支付</w:t>
      </w:r>
      <w:bookmarkEnd w:id="102"/>
      <w:r/>
      <w:r/>
    </w:p>
    <w:p>
      <w:pPr>
        <w:pStyle w:val="1219"/>
        <w:ind w:firstLine="480"/>
        <w:jc w:val="both"/>
        <w:spacing w:line="540" w:lineRule="exact"/>
        <w:rPr>
          <w:rFonts w:ascii="Times New Roman" w:hAnsi="Times New Roman" w:eastAsia="仿宋" w:cs="Times New Roman"/>
          <w:bCs/>
          <w:color w:val="auto"/>
          <w:szCs w:val="24"/>
          <w:highlight w:val="none"/>
        </w:rPr>
      </w:pPr>
      <w:r>
        <w:rPr>
          <w:rFonts w:ascii="Times New Roman" w:hAnsi="Times New Roman" w:eastAsia="仿宋" w:cs="Times New Roman"/>
          <w:bCs/>
          <w:color w:val="auto"/>
          <w:szCs w:val="24"/>
          <w:highlight w:val="none"/>
        </w:rPr>
        <w:t xml:space="preserve">1.本合同项下所有款项均以人民币支付。</w:t>
      </w:r>
      <w:r/>
    </w:p>
    <w:p>
      <w:pPr>
        <w:pStyle w:val="1219"/>
        <w:ind w:firstLine="480"/>
        <w:jc w:val="both"/>
        <w:spacing w:line="540" w:lineRule="exact"/>
        <w:rPr>
          <w:rFonts w:ascii="Times New Roman" w:hAnsi="Times New Roman" w:eastAsia="仿宋" w:cs="Times New Roman"/>
          <w:bCs/>
          <w:color w:val="auto"/>
          <w:szCs w:val="24"/>
          <w:highlight w:val="none"/>
        </w:rPr>
      </w:pPr>
      <w:r>
        <w:rPr>
          <w:rFonts w:ascii="Times New Roman" w:hAnsi="Times New Roman" w:eastAsia="仿宋" w:cs="Times New Roman"/>
          <w:bCs/>
          <w:color w:val="auto"/>
          <w:szCs w:val="24"/>
          <w:highlight w:val="none"/>
        </w:rPr>
        <w:t xml:space="preserve">2.本合同项下的资金由甲方自行支付，在乙方向甲方开具发票后，甲方按规定向乙方支付下述款项。</w:t>
      </w:r>
      <w:r/>
    </w:p>
    <w:p>
      <w:pPr>
        <w:pStyle w:val="1219"/>
        <w:ind w:firstLine="480"/>
        <w:jc w:val="both"/>
        <w:spacing w:line="540" w:lineRule="exact"/>
        <w:rPr>
          <w:rFonts w:ascii="Times New Roman" w:hAnsi="Times New Roman" w:eastAsia="仿宋" w:cs="Times New Roman"/>
          <w:bCs/>
          <w:color w:val="auto"/>
          <w:szCs w:val="24"/>
          <w:highlight w:val="none"/>
        </w:rPr>
      </w:pPr>
      <w:r>
        <w:rPr>
          <w:rFonts w:ascii="Times New Roman" w:hAnsi="Times New Roman" w:eastAsia="仿宋" w:cs="Times New Roman"/>
          <w:bCs/>
          <w:color w:val="auto"/>
          <w:szCs w:val="24"/>
          <w:highlight w:val="none"/>
        </w:rPr>
        <w:t xml:space="preserve">3.付款条件（如有款项扣除情况，遵照本合同第十条相关条款）：</w:t>
      </w:r>
      <w:r/>
    </w:p>
    <w:p>
      <w:pPr>
        <w:pStyle w:val="1139"/>
        <w:numPr>
          <w:ilvl w:val="0"/>
          <w:numId w:val="11"/>
        </w:numPr>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合同签署后10日内，支付合同总价款的27%，作为预付款；</w:t>
      </w:r>
      <w:r/>
    </w:p>
    <w:p>
      <w:pPr>
        <w:pStyle w:val="1139"/>
        <w:ind w:left="105" w:firstLine="36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(2) 服务期满一年并通过年度验收后10日内，支付合同总价款的16%；</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(3) 服务期满两年并通过年度验收后10日内，支付合同总价款的17%；</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(4) 服务期满三年，根据三个服务年度验收意见中确认的在线监测仪台数进行清算：若三个年度服务期的油烟在线监测仪和VOCs在线监测仪均分别超过2400台和35台，则在第三年年度验收后10日内支付合总价款的35%，尾款在合同期</w:t>
      </w:r>
      <w:r>
        <w:rPr>
          <w:rFonts w:hint="eastAsia" w:ascii="Times New Roman" w:eastAsia="仿宋" w:cs="Times New Roman"/>
          <w:color w:val="auto"/>
          <w:highlight w:val="none"/>
          <w:lang w:val="en-US" w:eastAsia="zh-CN"/>
        </w:rPr>
        <w:t xml:space="preserve">届</w:t>
      </w:r>
      <w:r>
        <w:rPr>
          <w:rFonts w:ascii="Times New Roman" w:eastAsia="仿宋" w:cs="Times New Roman"/>
          <w:color w:val="auto"/>
          <w:highlight w:val="none"/>
        </w:rPr>
        <w:t xml:space="preserve">满一年内支付；若三个年度服务期中有任意年度实际安装油烟在线监测仪少于2400台或VOCs在线监测仪少于35台的，则按台数核算每个年度服务费，合计三年总价后，扣除已付的预付款、第一年度和第二年度服务费，计算得出第三年度服务费用，在第三年年度验收后10个工作日内支付第三年度服务费用的85%，剩余的第三年度服务费用的15%作为尾款，在合同期届满一年后无息支付。</w:t>
      </w:r>
      <w:r/>
    </w:p>
    <w:p>
      <w:pPr>
        <w:numPr>
          <w:ilvl w:val="0"/>
          <w:numId w:val="9"/>
        </w:numPr>
        <w:spacing w:line="540" w:lineRule="exact"/>
        <w:rPr>
          <w:rFonts w:eastAsia="仿宋"/>
          <w:bCs/>
          <w:color w:val="auto"/>
          <w:sz w:val="24"/>
          <w:highlight w:val="none"/>
        </w:rPr>
        <w:outlineLvl w:val="0"/>
      </w:pPr>
      <w:r/>
      <w:bookmarkStart w:id="103" w:name="_Toc2157"/>
      <w:r>
        <w:rPr>
          <w:rFonts w:eastAsia="仿宋"/>
          <w:bCs/>
          <w:color w:val="auto"/>
          <w:sz w:val="24"/>
          <w:highlight w:val="none"/>
        </w:rPr>
        <w:t xml:space="preserve">数据安全、网络安全、国产替代及保密工作</w:t>
      </w:r>
      <w:bookmarkEnd w:id="103"/>
      <w:r/>
      <w:r/>
    </w:p>
    <w:p>
      <w:pPr>
        <w:ind w:firstLine="480"/>
        <w:spacing w:line="540" w:lineRule="exact"/>
        <w:tabs>
          <w:tab w:val="left" w:pos="7740" w:leader="none"/>
        </w:tabs>
        <w:rPr>
          <w:rFonts w:eastAsia="仿宋"/>
          <w:bCs/>
          <w:color w:val="auto"/>
          <w:sz w:val="24"/>
          <w:highlight w:val="none"/>
        </w:rPr>
      </w:pPr>
      <w:r>
        <w:rPr>
          <w:rFonts w:eastAsia="仿宋"/>
          <w:bCs/>
          <w:color w:val="auto"/>
          <w:sz w:val="24"/>
          <w:highlight w:val="none"/>
        </w:rPr>
        <w:t xml:space="preserve">1.甲乙双方在项目实施过程中，对任何一方所提供的所有相关资料、数据及在项目实施过程中取得的项目数据和资料，未经相对方书面同意不得向第三方泄露，且保密责任不因合同的终止或解除而失效。</w:t>
      </w:r>
      <w:r/>
    </w:p>
    <w:p>
      <w:pPr>
        <w:ind w:firstLine="480"/>
        <w:spacing w:line="540" w:lineRule="exact"/>
        <w:tabs>
          <w:tab w:val="left" w:pos="7740" w:leader="none"/>
        </w:tabs>
        <w:rPr>
          <w:rFonts w:eastAsia="仿宋"/>
          <w:color w:val="auto"/>
          <w:sz w:val="24"/>
          <w:highlight w:val="none"/>
        </w:rPr>
      </w:pPr>
      <w:r>
        <w:rPr>
          <w:rFonts w:eastAsia="仿宋"/>
          <w:bCs/>
          <w:color w:val="auto"/>
          <w:sz w:val="24"/>
          <w:highlight w:val="none"/>
        </w:rPr>
        <w:t xml:space="preserve">2.</w:t>
      </w:r>
      <w:r>
        <w:rPr>
          <w:rFonts w:eastAsia="仿宋"/>
          <w:color w:val="auto"/>
          <w:sz w:val="24"/>
          <w:highlight w:val="none"/>
        </w:rPr>
        <w:t xml:space="preserve">未经相对方书面同意，任何一方不得将由相对方为本合同提供的条文、规格、计划、图纸、模型、样品或资料提供给与本合同无关的第三方，不得将其用于履行本合同之外的其它用途。即使向与履行本合同有关的人员提供，也应注意保密并限于履行合同所必需的范围。</w:t>
      </w:r>
      <w:r/>
    </w:p>
    <w:p>
      <w:pPr>
        <w:ind w:firstLine="480"/>
        <w:spacing w:line="540" w:lineRule="exact"/>
        <w:tabs>
          <w:tab w:val="left" w:pos="7740" w:leader="none"/>
        </w:tabs>
        <w:rPr>
          <w:rFonts w:eastAsia="仿宋"/>
          <w:color w:val="auto"/>
          <w:sz w:val="24"/>
          <w:highlight w:val="none"/>
        </w:rPr>
      </w:pPr>
      <w:r>
        <w:rPr>
          <w:rFonts w:eastAsia="仿宋"/>
          <w:color w:val="auto"/>
          <w:sz w:val="24"/>
          <w:highlight w:val="none"/>
        </w:rPr>
        <w:t xml:space="preserve">3.乙</w:t>
      </w:r>
      <w:r>
        <w:rPr>
          <w:rFonts w:eastAsia="仿宋"/>
          <w:color w:val="auto"/>
          <w:sz w:val="24"/>
          <w:highlight w:val="none"/>
        </w:rPr>
        <w:t xml:space="preserve">方应做到：切实做好系统网络安全相关工作，并对系统网络安全负责；针对系统进行安全策略设计、部署，并对已经制定实施的系统安全管理策略效果进行验证、调整和改进，确保平台系统的网络安全；严格权限访问控制，用户在经过身份认证后，只能访问其权限范围内的数据，只能进行其权限范围内的操作；不同的用户具有不同的身份和权限，需要在用户身份真实可信的前提下，提供可信的授权管理服务，保护数据不被非法/越权访问和篡改，要确保数据的机密性和完整性；对输入有提示，数据有检查，防止数据异常；各种数据对接过程中需保护数据不被非法/越权访问。</w:t>
      </w:r>
      <w:r/>
    </w:p>
    <w:p>
      <w:pPr>
        <w:ind w:firstLine="480"/>
        <w:spacing w:line="540" w:lineRule="exact"/>
        <w:tabs>
          <w:tab w:val="left" w:pos="7740" w:leader="none"/>
        </w:tabs>
        <w:rPr>
          <w:rFonts w:eastAsia="仿宋"/>
          <w:color w:val="auto"/>
          <w:sz w:val="24"/>
          <w:highlight w:val="none"/>
        </w:rPr>
      </w:pPr>
      <w:r>
        <w:rPr>
          <w:rFonts w:eastAsia="仿宋"/>
          <w:color w:val="auto"/>
          <w:sz w:val="24"/>
          <w:highlight w:val="none"/>
        </w:rPr>
        <w:t xml:space="preserve">4.乙方对系统信息安全策略包括：WEB、移动应用安全管理、日志管理与审核、账号口令管理、防病毒服务器日常维护、补丁加载管理、风险评估实施、安全事件应急响应等内容。</w:t>
      </w:r>
      <w:r/>
    </w:p>
    <w:p>
      <w:pPr>
        <w:ind w:firstLine="480"/>
        <w:spacing w:line="540" w:lineRule="exact"/>
        <w:rPr>
          <w:rFonts w:eastAsia="仿宋"/>
          <w:color w:val="auto"/>
          <w:sz w:val="24"/>
          <w:highlight w:val="none"/>
        </w:rPr>
      </w:pPr>
      <w:r>
        <w:rPr>
          <w:rFonts w:eastAsia="仿宋"/>
          <w:color w:val="auto"/>
          <w:sz w:val="24"/>
          <w:highlight w:val="none"/>
        </w:rPr>
        <w:t xml:space="preserve">5.本项目实施过程中，乙方应按照等保2.0标准，配合甲方完成网络安全等级保护测评（二级），并依据测评结果进行必要的升级完善。</w:t>
      </w:r>
      <w:r/>
    </w:p>
    <w:p>
      <w:pPr>
        <w:ind w:firstLine="480"/>
        <w:spacing w:line="540" w:lineRule="exact"/>
        <w:rPr>
          <w:rFonts w:eastAsia="仿宋"/>
          <w:color w:val="auto"/>
          <w:sz w:val="24"/>
          <w:highlight w:val="none"/>
        </w:rPr>
      </w:pPr>
      <w:r>
        <w:rPr>
          <w:rFonts w:eastAsia="仿宋"/>
          <w:color w:val="auto"/>
          <w:sz w:val="24"/>
          <w:highlight w:val="none"/>
        </w:rPr>
        <w:t xml:space="preserve">6.本项目实施过程中，乙方应按照甲方要求的时序进度完成本项目涉及的芯片、基础软件、操作系统、中间件、移动端APP等领域的信创国产化替代工作。</w:t>
      </w:r>
      <w:r/>
    </w:p>
    <w:p>
      <w:pPr>
        <w:ind w:firstLine="480"/>
        <w:spacing w:line="540" w:lineRule="exact"/>
        <w:rPr>
          <w:rFonts w:eastAsia="仿宋"/>
          <w:color w:val="auto"/>
          <w:sz w:val="24"/>
          <w:highlight w:val="none"/>
        </w:rPr>
      </w:pPr>
      <w:r>
        <w:rPr>
          <w:rFonts w:eastAsia="仿宋"/>
          <w:color w:val="auto"/>
          <w:sz w:val="24"/>
          <w:highlight w:val="none"/>
        </w:rPr>
        <w:t xml:space="preserve">7.本项目实施过程中，乙方应及时响应甲方提出的密码应用安全性评估要求，综合考虑系统物理和环境、网络和通信、设备和计算、应用和数据、安全管理等层面的密码应用需求，设计合规、有效的密码应用方案，满足《信息安全技术网络安全等级保护基本要求》中二级指标要求和密码应用安全性评估要求，完成相应的安全评估，并依据评估结果开展必要的软件升级改造。</w:t>
      </w:r>
      <w:r/>
    </w:p>
    <w:p>
      <w:pPr>
        <w:numPr>
          <w:ilvl w:val="0"/>
          <w:numId w:val="9"/>
        </w:numPr>
        <w:spacing w:line="540" w:lineRule="exact"/>
        <w:rPr>
          <w:rFonts w:eastAsia="仿宋"/>
          <w:bCs/>
          <w:color w:val="auto"/>
          <w:sz w:val="24"/>
          <w:highlight w:val="none"/>
        </w:rPr>
        <w:outlineLvl w:val="0"/>
      </w:pPr>
      <w:r/>
      <w:bookmarkStart w:id="104" w:name="_Toc24883"/>
      <w:r>
        <w:rPr>
          <w:rFonts w:eastAsia="仿宋"/>
          <w:bCs/>
          <w:color w:val="auto"/>
          <w:sz w:val="24"/>
          <w:highlight w:val="none"/>
        </w:rPr>
        <w:t xml:space="preserve">违约责任</w:t>
      </w:r>
      <w:bookmarkEnd w:id="104"/>
      <w:r/>
      <w:r/>
    </w:p>
    <w:p>
      <w:pPr>
        <w:ind w:firstLine="480"/>
        <w:spacing w:line="540" w:lineRule="exact"/>
        <w:tabs>
          <w:tab w:val="left" w:pos="7740" w:leader="none"/>
        </w:tabs>
        <w:rPr>
          <w:rFonts w:eastAsia="仿宋"/>
          <w:bCs/>
          <w:color w:val="auto"/>
          <w:sz w:val="24"/>
          <w:highlight w:val="none"/>
        </w:rPr>
      </w:pPr>
      <w:r>
        <w:rPr>
          <w:rFonts w:eastAsia="仿宋"/>
          <w:bCs/>
          <w:color w:val="auto"/>
          <w:sz w:val="24"/>
          <w:highlight w:val="none"/>
        </w:rPr>
        <w:t xml:space="preserve">1.乙方按合同约定的时间和质量标准提供服务，而甲方无正当理由逾期支付服务费用的，每逾期1天甲方向乙方偿付欠款总额的0.1‰滞纳金，累计滞纳金总额以欠款总额的1%为上限。</w:t>
      </w:r>
      <w:r/>
    </w:p>
    <w:p>
      <w:pPr>
        <w:ind w:firstLine="480"/>
        <w:spacing w:line="540" w:lineRule="exact"/>
        <w:tabs>
          <w:tab w:val="left" w:pos="7740" w:leader="none"/>
        </w:tabs>
        <w:rPr>
          <w:rFonts w:eastAsia="仿宋"/>
          <w:bCs/>
          <w:color w:val="auto"/>
          <w:sz w:val="24"/>
          <w:highlight w:val="none"/>
        </w:rPr>
      </w:pPr>
      <w:r>
        <w:rPr>
          <w:rFonts w:eastAsia="仿宋"/>
          <w:bCs/>
          <w:color w:val="auto"/>
          <w:sz w:val="24"/>
          <w:highlight w:val="none"/>
        </w:rPr>
        <w:t xml:space="preserve">2.乙方违约，甲方扣除相应的合同价款：</w:t>
      </w:r>
      <w:r/>
    </w:p>
    <w:p>
      <w:pPr>
        <w:pStyle w:val="838"/>
        <w:ind w:firstLine="482"/>
        <w:jc w:val="both"/>
        <w:spacing w:line="540" w:lineRule="exact"/>
        <w:rPr>
          <w:rFonts w:eastAsia="仿宋"/>
          <w:color w:val="auto"/>
          <w:sz w:val="24"/>
          <w:highlight w:val="none"/>
        </w:rPr>
      </w:pPr>
      <w:r>
        <w:rPr>
          <w:rFonts w:eastAsia="仿宋"/>
          <w:color w:val="auto"/>
          <w:sz w:val="24"/>
          <w:highlight w:val="none"/>
        </w:rPr>
        <w:t xml:space="preserve">(1) 未按合同第一条第一款约定完成监测数据及运维服务，视情况扣除合同总价款的1‰至5‰；</w:t>
      </w:r>
      <w:r/>
    </w:p>
    <w:p>
      <w:pPr>
        <w:ind w:firstLine="480"/>
        <w:spacing w:line="540" w:lineRule="exact"/>
        <w:rPr>
          <w:rFonts w:eastAsia="仿宋"/>
          <w:bCs/>
          <w:color w:val="auto"/>
          <w:sz w:val="24"/>
          <w:highlight w:val="none"/>
        </w:rPr>
      </w:pPr>
      <w:r>
        <w:rPr>
          <w:rFonts w:eastAsia="仿宋"/>
          <w:bCs/>
          <w:color w:val="auto"/>
          <w:sz w:val="24"/>
          <w:highlight w:val="none"/>
          <w:lang w:val="zh-CN"/>
        </w:rPr>
        <w:t xml:space="preserve">(2) </w:t>
      </w:r>
      <w:r>
        <w:rPr>
          <w:rFonts w:eastAsia="仿宋"/>
          <w:bCs/>
          <w:color w:val="auto"/>
          <w:sz w:val="24"/>
          <w:highlight w:val="none"/>
        </w:rPr>
        <w:t xml:space="preserve">未按合同第一条第二款约定完成系统平台服务及运维服务，视情况扣除合同总价款的1‰至10‰；</w:t>
      </w:r>
      <w:r/>
    </w:p>
    <w:p>
      <w:pPr>
        <w:pStyle w:val="838"/>
        <w:ind w:firstLine="482"/>
        <w:jc w:val="both"/>
        <w:spacing w:line="540" w:lineRule="exact"/>
        <w:rPr>
          <w:rFonts w:eastAsia="仿宋"/>
          <w:color w:val="auto"/>
          <w:sz w:val="24"/>
          <w:highlight w:val="none"/>
        </w:rPr>
      </w:pPr>
      <w:r>
        <w:rPr>
          <w:rFonts w:eastAsia="仿宋"/>
          <w:color w:val="auto"/>
          <w:sz w:val="24"/>
          <w:highlight w:val="none"/>
        </w:rPr>
        <w:t xml:space="preserve">(3) 未按合同第一条第三款约定完成数据分析服务，视情况扣除合同总价款的5‰至20‰；</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4</w:t>
      </w:r>
      <w:r>
        <w:rPr>
          <w:rFonts w:eastAsia="仿宋"/>
          <w:color w:val="auto"/>
          <w:sz w:val="24"/>
          <w:highlight w:val="none"/>
          <w:lang w:val="zh-CN"/>
        </w:rPr>
        <w:t xml:space="preserve">) </w:t>
      </w:r>
      <w:r>
        <w:rPr>
          <w:rFonts w:eastAsia="仿宋"/>
          <w:color w:val="auto"/>
          <w:sz w:val="24"/>
          <w:highlight w:val="none"/>
        </w:rPr>
        <w:t xml:space="preserve">未按合同第七条第三款约定，每发现一家应当安装在线监测但未安装的，经甲方提醒48小时仍未安装的，扣除合同总价款的0.1‰；</w:t>
      </w:r>
      <w:r/>
    </w:p>
    <w:p>
      <w:pPr>
        <w:pStyle w:val="838"/>
        <w:ind w:firstLine="482"/>
        <w:jc w:val="both"/>
        <w:spacing w:line="540" w:lineRule="exact"/>
        <w:rPr>
          <w:rFonts w:eastAsia="仿宋"/>
          <w:color w:val="auto"/>
          <w:sz w:val="24"/>
          <w:highlight w:val="none"/>
          <w:lang w:val="zh-CN"/>
        </w:rPr>
      </w:pPr>
      <w:r>
        <w:rPr>
          <w:rFonts w:eastAsia="仿宋"/>
          <w:color w:val="auto"/>
          <w:sz w:val="24"/>
          <w:highlight w:val="none"/>
          <w:lang w:val="zh-CN"/>
        </w:rPr>
        <w:t xml:space="preserve">(</w:t>
      </w:r>
      <w:r>
        <w:rPr>
          <w:rFonts w:eastAsia="仿宋"/>
          <w:color w:val="auto"/>
          <w:sz w:val="24"/>
          <w:highlight w:val="none"/>
        </w:rPr>
        <w:t xml:space="preserve">5</w:t>
      </w:r>
      <w:r>
        <w:rPr>
          <w:rFonts w:eastAsia="仿宋"/>
          <w:color w:val="auto"/>
          <w:sz w:val="24"/>
          <w:highlight w:val="none"/>
          <w:lang w:val="zh-CN"/>
        </w:rPr>
        <w:t xml:space="preserve">) </w:t>
      </w:r>
      <w:r>
        <w:rPr>
          <w:rFonts w:eastAsia="仿宋"/>
          <w:color w:val="auto"/>
          <w:sz w:val="24"/>
          <w:highlight w:val="none"/>
        </w:rPr>
        <w:t xml:space="preserve">未按合同第七条第四款约定，油烟监测仪误差率超过±20%、VOCs在线检测仪误差率超过±5%，每有一台超过的，扣除合同总价款的0.1‰（抽测对比频次及台数按照合同第一条第一款相关要求）；</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6</w:t>
      </w:r>
      <w:r>
        <w:rPr>
          <w:rFonts w:eastAsia="仿宋"/>
          <w:color w:val="auto"/>
          <w:sz w:val="24"/>
          <w:highlight w:val="none"/>
          <w:lang w:val="zh-CN"/>
        </w:rPr>
        <w:t xml:space="preserve">)</w:t>
      </w:r>
      <w:r>
        <w:rPr>
          <w:rFonts w:eastAsia="仿宋"/>
          <w:color w:val="auto"/>
          <w:sz w:val="24"/>
          <w:highlight w:val="none"/>
        </w:rPr>
        <w:t xml:space="preserve"> 未按合同第七条第五款约定，每季度正常运行率应高于95%，每低一个百分点，扣除合同总价款的0.1‰；</w:t>
      </w:r>
      <w:r/>
    </w:p>
    <w:p>
      <w:pPr>
        <w:pStyle w:val="838"/>
        <w:ind w:firstLine="482"/>
        <w:jc w:val="both"/>
        <w:spacing w:line="540" w:lineRule="exact"/>
        <w:rPr>
          <w:rFonts w:eastAsia="仿宋"/>
          <w:color w:val="auto"/>
          <w:sz w:val="24"/>
          <w:highlight w:val="none"/>
          <w:lang w:val="zh-CN"/>
        </w:rPr>
      </w:pPr>
      <w:r>
        <w:rPr>
          <w:rFonts w:eastAsia="仿宋"/>
          <w:color w:val="auto"/>
          <w:sz w:val="24"/>
          <w:highlight w:val="none"/>
          <w:lang w:val="zh-CN"/>
        </w:rPr>
        <w:t xml:space="preserve">(</w:t>
      </w:r>
      <w:r>
        <w:rPr>
          <w:rFonts w:eastAsia="仿宋"/>
          <w:color w:val="auto"/>
          <w:sz w:val="24"/>
          <w:highlight w:val="none"/>
        </w:rPr>
        <w:t xml:space="preserve">7</w:t>
      </w:r>
      <w:r>
        <w:rPr>
          <w:rFonts w:eastAsia="仿宋"/>
          <w:color w:val="auto"/>
          <w:sz w:val="24"/>
          <w:highlight w:val="none"/>
          <w:lang w:val="zh-CN"/>
        </w:rPr>
        <w:t xml:space="preserve">) </w:t>
      </w:r>
      <w:r>
        <w:rPr>
          <w:rFonts w:eastAsia="仿宋"/>
          <w:color w:val="auto"/>
          <w:sz w:val="24"/>
          <w:highlight w:val="none"/>
        </w:rPr>
        <w:t xml:space="preserve">未按合同第七条第六款约定，每季度正常运行率应高于95%，每低一个百分点，扣除合同总价款的0.1‰；</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8</w:t>
      </w:r>
      <w:r>
        <w:rPr>
          <w:rFonts w:eastAsia="仿宋"/>
          <w:color w:val="auto"/>
          <w:sz w:val="24"/>
          <w:highlight w:val="none"/>
          <w:lang w:val="zh-CN"/>
        </w:rPr>
        <w:t xml:space="preserve">)</w:t>
      </w:r>
      <w:r>
        <w:rPr>
          <w:rFonts w:eastAsia="仿宋"/>
          <w:color w:val="auto"/>
          <w:sz w:val="24"/>
          <w:highlight w:val="none"/>
        </w:rPr>
        <w:t xml:space="preserve">未按合同第七条第七款约定，每季度及时上传率应高于80%，每低一个百分点，甲方有权扣除合同总价款的0.1‰；</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9</w:t>
      </w:r>
      <w:r>
        <w:rPr>
          <w:rFonts w:eastAsia="仿宋"/>
          <w:color w:val="auto"/>
          <w:sz w:val="24"/>
          <w:highlight w:val="none"/>
          <w:lang w:val="zh-CN"/>
        </w:rPr>
        <w:t xml:space="preserve">) </w:t>
      </w:r>
      <w:r>
        <w:rPr>
          <w:rFonts w:eastAsia="仿宋"/>
          <w:color w:val="auto"/>
          <w:sz w:val="24"/>
          <w:highlight w:val="none"/>
        </w:rPr>
        <w:t xml:space="preserve">未按合同第七条第八款约定，每季度及时上传率应高于90%，每低一个百分点，扣除合同总价款的0.1‰；</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10</w:t>
      </w:r>
      <w:r>
        <w:rPr>
          <w:rFonts w:eastAsia="仿宋"/>
          <w:color w:val="auto"/>
          <w:sz w:val="24"/>
          <w:highlight w:val="none"/>
          <w:lang w:val="zh-CN"/>
        </w:rPr>
        <w:t xml:space="preserve">) </w:t>
      </w:r>
      <w:r>
        <w:rPr>
          <w:rFonts w:eastAsia="仿宋"/>
          <w:color w:val="auto"/>
          <w:sz w:val="24"/>
          <w:highlight w:val="none"/>
        </w:rPr>
        <w:t xml:space="preserve">未按合同第七条第九款约定，执法线索正确率应高于95%，每低一个百分点，扣除合同总价款的0.1‰；</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11</w:t>
      </w:r>
      <w:r>
        <w:rPr>
          <w:rFonts w:eastAsia="仿宋"/>
          <w:color w:val="auto"/>
          <w:sz w:val="24"/>
          <w:highlight w:val="none"/>
          <w:lang w:val="zh-CN"/>
        </w:rPr>
        <w:t xml:space="preserve">)</w:t>
      </w:r>
      <w:r>
        <w:rPr>
          <w:rFonts w:eastAsia="仿宋"/>
          <w:color w:val="auto"/>
          <w:sz w:val="24"/>
          <w:highlight w:val="none"/>
        </w:rPr>
        <w:t xml:space="preserve"> 违反合同第七条第十款约定，乙方随意更换专职人员，每发现1人，扣除合同总价款的1‰；经甲方书面同意更换专职人员，每年更换人数达到3人后，每超过1人，甲方有权扣除合同总价款的0.2‰；</w:t>
      </w:r>
      <w:r/>
    </w:p>
    <w:p>
      <w:pPr>
        <w:pStyle w:val="838"/>
        <w:ind w:firstLine="482"/>
        <w:jc w:val="both"/>
        <w:spacing w:line="540" w:lineRule="exact"/>
        <w:rPr>
          <w:rFonts w:eastAsia="仿宋"/>
          <w:color w:val="auto"/>
          <w:sz w:val="24"/>
          <w:highlight w:val="none"/>
        </w:rPr>
      </w:pPr>
      <w:r>
        <w:rPr>
          <w:rFonts w:eastAsia="仿宋"/>
          <w:color w:val="auto"/>
          <w:sz w:val="24"/>
          <w:highlight w:val="none"/>
          <w:lang w:val="zh-CN"/>
        </w:rPr>
        <w:t xml:space="preserve">(</w:t>
      </w:r>
      <w:r>
        <w:rPr>
          <w:rFonts w:eastAsia="仿宋"/>
          <w:color w:val="auto"/>
          <w:sz w:val="24"/>
          <w:highlight w:val="none"/>
        </w:rPr>
        <w:t xml:space="preserve">12</w:t>
      </w:r>
      <w:r>
        <w:rPr>
          <w:rFonts w:eastAsia="仿宋"/>
          <w:color w:val="auto"/>
          <w:sz w:val="24"/>
          <w:highlight w:val="none"/>
          <w:lang w:val="zh-CN"/>
        </w:rPr>
        <w:t xml:space="preserve">) </w:t>
      </w:r>
      <w:r>
        <w:rPr>
          <w:rFonts w:eastAsia="仿宋"/>
          <w:color w:val="auto"/>
          <w:sz w:val="24"/>
          <w:highlight w:val="none"/>
        </w:rPr>
        <w:t xml:space="preserve">违反合同第七条第十一款约定，每少提供一次网络安全自查报告扣除合同总价款的2‰，每个被通报问题扣除合同总价款的2‰；</w:t>
      </w:r>
      <w:r/>
    </w:p>
    <w:p>
      <w:pPr>
        <w:ind w:firstLine="480"/>
        <w:spacing w:line="540" w:lineRule="exact"/>
        <w:rPr>
          <w:rFonts w:eastAsia="仿宋"/>
          <w:bCs/>
          <w:color w:val="auto"/>
          <w:sz w:val="24"/>
          <w:highlight w:val="none"/>
        </w:rPr>
      </w:pPr>
      <w:r>
        <w:rPr>
          <w:rFonts w:eastAsia="仿宋"/>
          <w:bCs/>
          <w:color w:val="auto"/>
          <w:sz w:val="24"/>
          <w:highlight w:val="none"/>
          <w:lang w:val="zh-CN"/>
        </w:rPr>
        <w:t xml:space="preserve">(</w:t>
      </w:r>
      <w:r>
        <w:rPr>
          <w:rFonts w:eastAsia="仿宋"/>
          <w:bCs/>
          <w:color w:val="auto"/>
          <w:sz w:val="24"/>
          <w:highlight w:val="none"/>
        </w:rPr>
        <w:t xml:space="preserve">13</w:t>
      </w:r>
      <w:r>
        <w:rPr>
          <w:rFonts w:eastAsia="仿宋"/>
          <w:bCs/>
          <w:color w:val="auto"/>
          <w:sz w:val="24"/>
          <w:highlight w:val="none"/>
          <w:lang w:val="zh-CN"/>
        </w:rPr>
        <w:t xml:space="preserve">) </w:t>
      </w:r>
      <w:r>
        <w:rPr>
          <w:rFonts w:eastAsia="仿宋"/>
          <w:bCs/>
          <w:color w:val="auto"/>
          <w:sz w:val="24"/>
          <w:highlight w:val="none"/>
        </w:rPr>
        <w:t xml:space="preserve">违反合同第九条约定，视情况扣除合同总价款的5‰至20‰。</w:t>
      </w:r>
      <w:r/>
    </w:p>
    <w:p>
      <w:pPr>
        <w:pStyle w:val="1219"/>
        <w:ind w:firstLine="480"/>
        <w:jc w:val="both"/>
        <w:spacing w:line="540" w:lineRule="exact"/>
        <w:rPr>
          <w:rFonts w:ascii="Times New Roman" w:hAnsi="Times New Roman" w:eastAsia="仿宋" w:cs="Times New Roman"/>
          <w:bCs/>
          <w:color w:val="auto"/>
          <w:szCs w:val="24"/>
          <w:highlight w:val="none"/>
        </w:rPr>
      </w:pPr>
      <w:r>
        <w:rPr>
          <w:rFonts w:ascii="Times New Roman" w:hAnsi="Times New Roman" w:eastAsia="仿宋" w:cs="Times New Roman"/>
          <w:bCs/>
          <w:color w:val="auto"/>
          <w:szCs w:val="24"/>
          <w:highlight w:val="none"/>
        </w:rPr>
        <w:t xml:space="preserve">3.因乙方原因给甲方造成损失的，甲方可要求乙方按实赔偿，同时可要求乙方支付合同总价款的</w:t>
      </w:r>
      <w:r>
        <w:rPr>
          <w:rFonts w:ascii="Times New Roman" w:hAnsi="Times New Roman" w:eastAsia="仿宋" w:cs="Times New Roman"/>
          <w:bCs/>
          <w:color w:val="auto"/>
          <w:szCs w:val="24"/>
          <w:highlight w:val="none"/>
        </w:rPr>
        <w:t xml:space="preserve">5‰</w:t>
      </w:r>
      <w:r>
        <w:rPr>
          <w:rFonts w:ascii="Times New Roman" w:hAnsi="Times New Roman" w:eastAsia="仿宋" w:cs="Times New Roman"/>
          <w:bCs/>
          <w:color w:val="auto"/>
          <w:szCs w:val="24"/>
          <w:highlight w:val="none"/>
        </w:rPr>
        <w:t xml:space="preserve">作为惩罚性违约金。</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4.乙方虚假承诺，或经权威部门检测提供的货物和服务不能满足采购文件要求，或是由于乙方的过错造成合同无法继续履行，或是</w:t>
      </w:r>
      <w:r>
        <w:rPr>
          <w:rFonts w:ascii="Times New Roman" w:eastAsia="仿宋" w:cs="Times New Roman"/>
          <w:bCs/>
          <w:color w:val="auto"/>
          <w:highlight w:val="none"/>
        </w:rPr>
        <w:t xml:space="preserve">因乙方服务质量问题导致甲方无法实现合同目的</w:t>
      </w:r>
      <w:r>
        <w:rPr>
          <w:rFonts w:ascii="Times New Roman" w:eastAsia="仿宋" w:cs="Times New Roman"/>
          <w:color w:val="auto"/>
          <w:highlight w:val="none"/>
        </w:rPr>
        <w:t xml:space="preserve">，或是</w:t>
      </w:r>
      <w:r>
        <w:rPr>
          <w:rFonts w:ascii="Times New Roman" w:eastAsia="仿宋" w:cs="Times New Roman"/>
          <w:bCs/>
          <w:color w:val="auto"/>
          <w:highlight w:val="none"/>
        </w:rPr>
        <w:t xml:space="preserve">出现网络安全、数据保密等重大问题的，甲方有权解除合同、</w:t>
      </w:r>
      <w:r>
        <w:rPr>
          <w:rFonts w:ascii="Times New Roman" w:eastAsia="仿宋" w:cs="Times New Roman"/>
          <w:color w:val="auto"/>
          <w:highlight w:val="none"/>
        </w:rPr>
        <w:t xml:space="preserve">拒绝支付相应款项，乙方还应向甲方支付不少于合同总价款30%的赔偿金。</w:t>
      </w:r>
      <w:r/>
    </w:p>
    <w:p>
      <w:pPr>
        <w:numPr>
          <w:ilvl w:val="0"/>
          <w:numId w:val="9"/>
        </w:numPr>
        <w:spacing w:line="540" w:lineRule="exact"/>
        <w:rPr>
          <w:rFonts w:eastAsia="仿宋"/>
          <w:bCs/>
          <w:color w:val="auto"/>
          <w:sz w:val="24"/>
          <w:highlight w:val="none"/>
        </w:rPr>
        <w:outlineLvl w:val="0"/>
      </w:pPr>
      <w:r/>
      <w:bookmarkStart w:id="105" w:name="_Toc10867"/>
      <w:r>
        <w:rPr>
          <w:rFonts w:eastAsia="仿宋"/>
          <w:bCs/>
          <w:color w:val="auto"/>
          <w:sz w:val="24"/>
          <w:highlight w:val="none"/>
        </w:rPr>
        <w:t xml:space="preserve">合同的变更和终止</w:t>
      </w:r>
      <w:bookmarkEnd w:id="105"/>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1.除《政府采购法》第50条第二款规定的情形外，本合同一经签订，甲乙双方不得擅自变更、中止或终止合同。</w:t>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2.除发生法律规定的不能预见、不能避免并不能克服的客观情况外，甲乙双方不得放弃或拒绝履行合同。</w:t>
      </w:r>
      <w:r/>
    </w:p>
    <w:p>
      <w:pPr>
        <w:numPr>
          <w:ilvl w:val="0"/>
          <w:numId w:val="9"/>
        </w:numPr>
        <w:spacing w:line="540" w:lineRule="exact"/>
        <w:rPr>
          <w:rFonts w:eastAsia="仿宋"/>
          <w:bCs/>
          <w:color w:val="auto"/>
          <w:sz w:val="24"/>
          <w:highlight w:val="none"/>
        </w:rPr>
        <w:outlineLvl w:val="0"/>
      </w:pPr>
      <w:r/>
      <w:bookmarkStart w:id="106" w:name="_Toc1133"/>
      <w:r>
        <w:rPr>
          <w:rFonts w:eastAsia="仿宋"/>
          <w:bCs/>
          <w:color w:val="auto"/>
          <w:sz w:val="24"/>
          <w:highlight w:val="none"/>
        </w:rPr>
        <w:t xml:space="preserve">合同的转让</w:t>
      </w:r>
      <w:bookmarkEnd w:id="106"/>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乙方不得擅自部分或全部转让其应履行的合同义务。</w:t>
      </w:r>
      <w:r/>
    </w:p>
    <w:p>
      <w:pPr>
        <w:numPr>
          <w:ilvl w:val="0"/>
          <w:numId w:val="9"/>
        </w:numPr>
        <w:spacing w:line="540" w:lineRule="exact"/>
        <w:rPr>
          <w:rFonts w:eastAsia="仿宋"/>
          <w:bCs/>
          <w:color w:val="auto"/>
          <w:sz w:val="24"/>
          <w:highlight w:val="none"/>
        </w:rPr>
        <w:outlineLvl w:val="0"/>
      </w:pPr>
      <w:r/>
      <w:bookmarkStart w:id="107" w:name="_Toc1019"/>
      <w:r>
        <w:rPr>
          <w:rFonts w:eastAsia="仿宋"/>
          <w:bCs/>
          <w:color w:val="auto"/>
          <w:sz w:val="24"/>
          <w:highlight w:val="none"/>
        </w:rPr>
        <w:t xml:space="preserve">争议的解决</w:t>
      </w:r>
      <w:bookmarkEnd w:id="107"/>
      <w:r/>
      <w:r/>
    </w:p>
    <w:p>
      <w:pPr>
        <w:pStyle w:val="1139"/>
        <w:ind w:firstLine="480"/>
        <w:jc w:val="both"/>
        <w:spacing w:line="540" w:lineRule="exact"/>
        <w:rPr>
          <w:rFonts w:ascii="Times New Roman" w:eastAsia="仿宋" w:cs="Times New Roman"/>
          <w:color w:val="auto"/>
          <w:highlight w:val="none"/>
        </w:rPr>
      </w:pPr>
      <w:r>
        <w:rPr>
          <w:rFonts w:ascii="Times New Roman" w:eastAsia="仿宋" w:cs="Times New Roman"/>
          <w:color w:val="auto"/>
          <w:highlight w:val="none"/>
        </w:rPr>
        <w:t xml:space="preserve">1.因履行本合同引起的或与本合同有关的争议，甲、乙双方应首先通过友好协商解决，如果协商不能解决争议，则采取以下第 </w:t>
      </w:r>
      <w:r>
        <w:rPr>
          <w:rFonts w:ascii="Times New Roman" w:eastAsia="仿宋" w:cs="Times New Roman"/>
          <w:color w:val="auto"/>
          <w:highlight w:val="none"/>
          <w:u w:val="single"/>
        </w:rPr>
        <w:t xml:space="preserve">  (1)  </w:t>
      </w:r>
      <w:r>
        <w:rPr>
          <w:rFonts w:ascii="Times New Roman" w:eastAsia="仿宋" w:cs="Times New Roman"/>
          <w:color w:val="auto"/>
          <w:highlight w:val="none"/>
        </w:rPr>
        <w:t xml:space="preserve">种方式解决争议；</w:t>
      </w:r>
      <w:r/>
    </w:p>
    <w:p>
      <w:pPr>
        <w:ind w:firstLine="480"/>
        <w:spacing w:line="540" w:lineRule="exact"/>
        <w:rPr>
          <w:rFonts w:eastAsia="仿宋"/>
          <w:color w:val="auto"/>
          <w:sz w:val="24"/>
          <w:highlight w:val="none"/>
        </w:rPr>
      </w:pPr>
      <w:r>
        <w:rPr>
          <w:rFonts w:eastAsia="仿宋"/>
          <w:color w:val="auto"/>
          <w:sz w:val="24"/>
          <w:highlight w:val="none"/>
        </w:rPr>
        <w:t xml:space="preserve">(1) 向甲方所在地的人民法院提起诉讼；</w:t>
      </w:r>
      <w:r/>
    </w:p>
    <w:p>
      <w:pPr>
        <w:ind w:firstLine="480"/>
        <w:spacing w:line="540" w:lineRule="exact"/>
        <w:rPr>
          <w:rFonts w:eastAsia="仿宋"/>
          <w:color w:val="auto"/>
          <w:sz w:val="24"/>
          <w:highlight w:val="none"/>
        </w:rPr>
      </w:pPr>
      <w:r>
        <w:rPr>
          <w:rFonts w:eastAsia="仿宋"/>
          <w:color w:val="auto"/>
          <w:sz w:val="24"/>
          <w:highlight w:val="none"/>
        </w:rPr>
        <w:t xml:space="preserve">(2) 向南京仲裁委员会按其仲裁规则申请仲裁。</w:t>
      </w:r>
      <w:r/>
    </w:p>
    <w:p>
      <w:pPr>
        <w:ind w:firstLine="480"/>
        <w:spacing w:line="540" w:lineRule="exact"/>
        <w:rPr>
          <w:rFonts w:eastAsia="仿宋"/>
          <w:color w:val="auto"/>
          <w:sz w:val="24"/>
          <w:highlight w:val="none"/>
        </w:rPr>
      </w:pPr>
      <w:r>
        <w:rPr>
          <w:rFonts w:eastAsia="仿宋"/>
          <w:color w:val="auto"/>
          <w:sz w:val="24"/>
          <w:highlight w:val="none"/>
        </w:rPr>
        <w:t xml:space="preserve">2.在诉讼期间，本合同应继续履行。</w:t>
      </w:r>
      <w:r/>
    </w:p>
    <w:p>
      <w:pPr>
        <w:numPr>
          <w:ilvl w:val="0"/>
          <w:numId w:val="9"/>
        </w:numPr>
        <w:spacing w:line="540" w:lineRule="exact"/>
        <w:rPr>
          <w:rFonts w:eastAsia="仿宋"/>
          <w:bCs/>
          <w:color w:val="auto"/>
          <w:sz w:val="24"/>
          <w:highlight w:val="none"/>
        </w:rPr>
        <w:outlineLvl w:val="0"/>
      </w:pPr>
      <w:r/>
      <w:bookmarkStart w:id="108" w:name="_Toc4302"/>
      <w:r>
        <w:rPr>
          <w:rFonts w:eastAsia="仿宋"/>
          <w:bCs/>
          <w:color w:val="auto"/>
          <w:sz w:val="24"/>
          <w:highlight w:val="none"/>
        </w:rPr>
        <w:t xml:space="preserve">诚实信用</w:t>
      </w:r>
      <w:bookmarkEnd w:id="108"/>
      <w:r>
        <w:rPr>
          <w:rFonts w:eastAsia="仿宋"/>
          <w:bCs/>
          <w:color w:val="auto"/>
          <w:sz w:val="24"/>
          <w:highlight w:val="none"/>
        </w:rPr>
        <w:t xml:space="preserve"> </w:t>
      </w:r>
      <w:r/>
    </w:p>
    <w:p>
      <w:pPr>
        <w:ind w:firstLine="480"/>
        <w:spacing w:line="540" w:lineRule="exact"/>
        <w:rPr>
          <w:rFonts w:eastAsia="仿宋"/>
          <w:color w:val="auto"/>
          <w:sz w:val="24"/>
          <w:highlight w:val="none"/>
        </w:rPr>
      </w:pPr>
      <w:r>
        <w:rPr>
          <w:rFonts w:eastAsia="仿宋"/>
          <w:color w:val="auto"/>
          <w:sz w:val="24"/>
          <w:highlight w:val="none"/>
        </w:rPr>
        <w:t xml:space="preserve">乙方应诚实信用，严格按照招标文件要求和投标承诺履行合同，不向甲方进行商业贿赂或者提供不正当利益。</w:t>
      </w:r>
      <w:r/>
    </w:p>
    <w:p>
      <w:pPr>
        <w:numPr>
          <w:ilvl w:val="0"/>
          <w:numId w:val="9"/>
        </w:numPr>
        <w:spacing w:line="540" w:lineRule="exact"/>
        <w:rPr>
          <w:rFonts w:eastAsia="仿宋"/>
          <w:bCs/>
          <w:color w:val="auto"/>
          <w:sz w:val="24"/>
          <w:highlight w:val="none"/>
        </w:rPr>
        <w:outlineLvl w:val="0"/>
      </w:pPr>
      <w:r/>
      <w:bookmarkStart w:id="109" w:name="_Toc27665"/>
      <w:r>
        <w:rPr>
          <w:rFonts w:eastAsia="仿宋"/>
          <w:bCs/>
          <w:color w:val="auto"/>
          <w:sz w:val="24"/>
          <w:highlight w:val="none"/>
        </w:rPr>
        <w:t xml:space="preserve">审计条款</w:t>
      </w:r>
      <w:r/>
    </w:p>
    <w:p>
      <w:pPr>
        <w:ind w:firstLine="480"/>
        <w:spacing w:line="540" w:lineRule="exact"/>
        <w:rPr>
          <w:rFonts w:eastAsia="仿宋"/>
          <w:color w:val="auto"/>
          <w:sz w:val="24"/>
          <w:highlight w:val="none"/>
        </w:rPr>
      </w:pPr>
      <w:r>
        <w:rPr>
          <w:rFonts w:eastAsia="仿宋"/>
          <w:color w:val="auto"/>
          <w:sz w:val="24"/>
          <w:highlight w:val="none"/>
        </w:rPr>
        <w:t xml:space="preserve">按照相关法律法规的规定，政府审计监督部门有权对经双方确认的合同结算进行审计监督，乙方应提供全部的配合工作并执行政府审计监督部门依法作出的审计决定。如政府审计监督部门核减合同价款的，乙方应在收到甲方通知之日起30日内退回核减部分。</w:t>
      </w:r>
      <w:r/>
    </w:p>
    <w:p>
      <w:pPr>
        <w:numPr>
          <w:ilvl w:val="0"/>
          <w:numId w:val="9"/>
        </w:numPr>
        <w:spacing w:line="540" w:lineRule="exact"/>
        <w:rPr>
          <w:rFonts w:eastAsia="仿宋"/>
          <w:bCs/>
          <w:color w:val="auto"/>
          <w:sz w:val="24"/>
          <w:highlight w:val="none"/>
        </w:rPr>
        <w:outlineLvl w:val="0"/>
      </w:pPr>
      <w:r>
        <w:rPr>
          <w:rFonts w:eastAsia="仿宋"/>
          <w:bCs/>
          <w:color w:val="auto"/>
          <w:sz w:val="24"/>
          <w:highlight w:val="none"/>
        </w:rPr>
        <w:t xml:space="preserve">合同生效及其他</w:t>
      </w:r>
      <w:bookmarkEnd w:id="109"/>
      <w:r/>
      <w:r/>
    </w:p>
    <w:p>
      <w:pPr>
        <w:ind w:firstLine="480"/>
        <w:spacing w:line="540" w:lineRule="exact"/>
        <w:rPr>
          <w:rFonts w:eastAsia="仿宋"/>
          <w:color w:val="auto"/>
          <w:sz w:val="24"/>
          <w:highlight w:val="none"/>
        </w:rPr>
      </w:pPr>
      <w:r>
        <w:rPr>
          <w:rFonts w:eastAsia="仿宋"/>
          <w:color w:val="auto"/>
          <w:sz w:val="24"/>
          <w:highlight w:val="none"/>
        </w:rPr>
        <w:t xml:space="preserve">1.本合同自签订之日起生效。</w:t>
      </w:r>
      <w:r/>
    </w:p>
    <w:p>
      <w:pPr>
        <w:ind w:firstLine="480"/>
        <w:spacing w:line="540" w:lineRule="exact"/>
        <w:rPr>
          <w:rFonts w:eastAsia="仿宋"/>
          <w:color w:val="auto"/>
          <w:sz w:val="24"/>
          <w:highlight w:val="none"/>
        </w:rPr>
      </w:pPr>
      <w:r>
        <w:rPr>
          <w:rFonts w:eastAsia="仿宋"/>
          <w:color w:val="auto"/>
          <w:sz w:val="24"/>
          <w:highlight w:val="none"/>
        </w:rPr>
        <w:t xml:space="preserve">2.本合同一式七份，甲乙双方各执三份，一份报送政府采购监督管理部门备案。</w:t>
      </w:r>
      <w:r/>
    </w:p>
    <w:p>
      <w:pPr>
        <w:ind w:firstLine="480"/>
        <w:spacing w:line="540" w:lineRule="exact"/>
        <w:rPr>
          <w:rFonts w:eastAsia="仿宋"/>
          <w:color w:val="auto"/>
          <w:sz w:val="24"/>
          <w:highlight w:val="none"/>
        </w:rPr>
      </w:pPr>
      <w:r>
        <w:rPr>
          <w:rFonts w:eastAsia="仿宋"/>
          <w:color w:val="auto"/>
          <w:sz w:val="24"/>
          <w:highlight w:val="none"/>
        </w:rPr>
        <w:t xml:space="preserve">3.本合同应按照中华人民共和国的现行法律进行解释。</w:t>
      </w:r>
      <w:r/>
    </w:p>
    <w:p>
      <w:pPr>
        <w:pStyle w:val="838"/>
        <w:rPr>
          <w:rFonts w:eastAsia="仿宋"/>
          <w:color w:val="auto"/>
          <w:sz w:val="24"/>
          <w:highlight w:val="none"/>
        </w:rPr>
      </w:pPr>
      <w:r>
        <w:rPr>
          <w:rFonts w:eastAsia="仿宋"/>
          <w:color w:val="auto"/>
          <w:sz w:val="24"/>
          <w:highlight w:val="none"/>
        </w:rPr>
      </w:r>
      <w:r/>
    </w:p>
    <w:p>
      <w:pPr>
        <w:rPr>
          <w:rFonts w:eastAsia="仿宋"/>
          <w:color w:val="auto"/>
          <w:sz w:val="24"/>
          <w:highlight w:val="none"/>
        </w:rPr>
      </w:pPr>
      <w:r>
        <w:rPr>
          <w:rFonts w:eastAsia="仿宋"/>
          <w:color w:val="auto"/>
          <w:sz w:val="24"/>
          <w:highlight w:val="none"/>
        </w:rPr>
      </w:r>
      <w:r/>
    </w:p>
    <w:p>
      <w:pPr>
        <w:pStyle w:val="838"/>
        <w:rPr>
          <w:rFonts w:eastAsia="仿宋"/>
          <w:color w:val="auto"/>
          <w:sz w:val="24"/>
          <w:highlight w:val="none"/>
        </w:rPr>
      </w:pPr>
      <w:r>
        <w:rPr>
          <w:rFonts w:eastAsia="仿宋"/>
          <w:color w:val="auto"/>
          <w:sz w:val="24"/>
          <w:highlight w:val="none"/>
        </w:rPr>
      </w:r>
      <w:r/>
    </w:p>
    <w:p>
      <w:pPr>
        <w:rPr>
          <w:rFonts w:eastAsia="仿宋"/>
          <w:color w:val="auto"/>
          <w:highlight w:val="none"/>
        </w:rPr>
      </w:pPr>
      <w:r>
        <w:rPr>
          <w:rFonts w:eastAsia="仿宋"/>
          <w:color w:val="auto"/>
          <w:highlight w:val="none"/>
        </w:rPr>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甲方（采购人）：           </w:t>
      </w:r>
      <w:r>
        <w:rPr>
          <w:rFonts w:eastAsia="仿宋"/>
          <w:color w:val="auto"/>
          <w:sz w:val="24"/>
          <w:highlight w:val="none"/>
        </w:rPr>
        <w:tab/>
      </w:r>
      <w:r>
        <w:rPr>
          <w:rFonts w:eastAsia="仿宋"/>
          <w:color w:val="auto"/>
          <w:sz w:val="24"/>
          <w:highlight w:val="none"/>
        </w:rPr>
        <w:t xml:space="preserve">乙方（供应商）： </w:t>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（盖章）                   </w:t>
      </w:r>
      <w:r>
        <w:rPr>
          <w:rFonts w:eastAsia="仿宋"/>
          <w:color w:val="auto"/>
          <w:sz w:val="24"/>
          <w:highlight w:val="none"/>
        </w:rPr>
        <w:tab/>
      </w:r>
      <w:r>
        <w:rPr>
          <w:rFonts w:eastAsia="仿宋"/>
          <w:color w:val="auto"/>
          <w:sz w:val="24"/>
          <w:highlight w:val="none"/>
        </w:rPr>
        <w:t xml:space="preserve">（盖章）</w:t>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代表人：                    </w:t>
      </w:r>
      <w:r>
        <w:rPr>
          <w:rFonts w:eastAsia="仿宋"/>
          <w:color w:val="auto"/>
          <w:sz w:val="24"/>
          <w:highlight w:val="none"/>
        </w:rPr>
        <w:tab/>
      </w:r>
      <w:r>
        <w:rPr>
          <w:rFonts w:eastAsia="仿宋"/>
          <w:color w:val="auto"/>
          <w:sz w:val="24"/>
          <w:highlight w:val="none"/>
        </w:rPr>
        <w:t xml:space="preserve">代表人：</w:t>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电话：                     </w:t>
      </w:r>
      <w:r>
        <w:rPr>
          <w:rFonts w:eastAsia="仿宋"/>
          <w:color w:val="auto"/>
          <w:sz w:val="24"/>
          <w:highlight w:val="none"/>
        </w:rPr>
        <w:tab/>
      </w:r>
      <w:r>
        <w:rPr>
          <w:rFonts w:eastAsia="仿宋"/>
          <w:color w:val="auto"/>
          <w:sz w:val="24"/>
          <w:highlight w:val="none"/>
        </w:rPr>
        <w:t xml:space="preserve">电话：</w:t>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开户银行：                  </w:t>
      </w:r>
      <w:r>
        <w:rPr>
          <w:rFonts w:eastAsia="仿宋"/>
          <w:color w:val="auto"/>
          <w:sz w:val="24"/>
          <w:highlight w:val="none"/>
        </w:rPr>
        <w:tab/>
      </w:r>
      <w:r>
        <w:rPr>
          <w:rFonts w:eastAsia="仿宋"/>
          <w:color w:val="auto"/>
          <w:sz w:val="24"/>
          <w:highlight w:val="none"/>
        </w:rPr>
        <w:t xml:space="preserve">开户银行：</w:t>
      </w:r>
      <w:r/>
    </w:p>
    <w:p>
      <w:pPr>
        <w:spacing w:line="540" w:lineRule="exact"/>
        <w:tabs>
          <w:tab w:val="left" w:pos="4678" w:leader="none"/>
        </w:tabs>
        <w:rPr>
          <w:rFonts w:eastAsia="仿宋"/>
          <w:color w:val="auto"/>
          <w:sz w:val="24"/>
          <w:highlight w:val="none"/>
        </w:rPr>
      </w:pPr>
      <w:r>
        <w:rPr>
          <w:rFonts w:eastAsia="仿宋"/>
          <w:color w:val="auto"/>
          <w:sz w:val="24"/>
          <w:highlight w:val="none"/>
        </w:rPr>
        <w:t xml:space="preserve">账号：                      </w:t>
      </w:r>
      <w:r>
        <w:rPr>
          <w:rFonts w:eastAsia="仿宋"/>
          <w:color w:val="auto"/>
          <w:sz w:val="24"/>
          <w:highlight w:val="none"/>
        </w:rPr>
        <w:tab/>
      </w:r>
      <w:r>
        <w:rPr>
          <w:rFonts w:eastAsia="仿宋"/>
          <w:color w:val="auto"/>
          <w:sz w:val="24"/>
          <w:highlight w:val="none"/>
        </w:rPr>
        <w:t xml:space="preserve">账号：</w:t>
      </w:r>
      <w:r/>
    </w:p>
    <w:p>
      <w:pPr>
        <w:jc w:val="center"/>
        <w:spacing w:line="360" w:lineRule="auto"/>
        <w:shd w:val="clear" w:color="auto" w:fill="ffffff"/>
        <w:widowControl/>
        <w:rPr>
          <w:rFonts w:eastAsia="仿宋"/>
          <w:b/>
          <w:bCs/>
          <w:color w:val="auto"/>
          <w:sz w:val="32"/>
          <w:szCs w:val="32"/>
          <w:highlight w:val="none"/>
        </w:rPr>
      </w:pPr>
      <w:r>
        <w:rPr>
          <w:rFonts w:eastAsia="仿宋"/>
          <w:b/>
          <w:bCs/>
          <w:color w:val="auto"/>
          <w:sz w:val="32"/>
          <w:szCs w:val="32"/>
          <w:highlight w:val="none"/>
        </w:rPr>
      </w:r>
      <w:r/>
    </w:p>
    <w:p>
      <w:pPr>
        <w:pStyle w:val="1029"/>
        <w:rPr>
          <w:rFonts w:eastAsia="仿宋"/>
          <w:color w:val="auto"/>
          <w:highlight w:val="none"/>
        </w:rPr>
      </w:pPr>
      <w:r>
        <w:rPr>
          <w:rFonts w:eastAsia="仿宋"/>
          <w:color w:val="auto"/>
          <w:highlight w:val="none"/>
        </w:rPr>
      </w:r>
      <w:r/>
    </w:p>
    <w:p>
      <w:pPr>
        <w:pStyle w:val="843"/>
        <w:rPr>
          <w:rFonts w:ascii="Times New Roman" w:eastAsia="仿宋"/>
          <w:color w:val="auto"/>
          <w:highlight w:val="none"/>
          <w:lang w:val="zh-CN"/>
        </w:rPr>
      </w:pPr>
      <w:r>
        <w:rPr>
          <w:rFonts w:ascii="Times New Roman" w:eastAsia="仿宋"/>
          <w:color w:val="auto"/>
          <w:highlight w:val="none"/>
          <w:lang w:val="zh-CN"/>
        </w:rPr>
      </w:r>
      <w:r/>
    </w:p>
    <w:p>
      <w:pPr>
        <w:rPr>
          <w:rFonts w:eastAsia="仿宋"/>
          <w:color w:val="auto"/>
          <w:szCs w:val="21"/>
          <w:highlight w:val="none"/>
        </w:rPr>
      </w:pPr>
      <w:r>
        <w:rPr>
          <w:rFonts w:eastAsia="仿宋"/>
          <w:color w:val="auto"/>
          <w:szCs w:val="21"/>
          <w:highlight w:val="none"/>
        </w:rPr>
        <w:br w:type="page" w:clear="all"/>
      </w:r>
      <w:r/>
    </w:p>
    <w:p>
      <w:pPr>
        <w:pStyle w:val="819"/>
        <w:spacing w:line="360" w:lineRule="auto"/>
        <w:rPr>
          <w:rFonts w:eastAsia="仿宋"/>
          <w:color w:val="auto"/>
          <w:szCs w:val="32"/>
          <w:highlight w:val="none"/>
        </w:rPr>
      </w:pPr>
      <w:r/>
      <w:bookmarkStart w:id="110" w:name="_Toc15886"/>
      <w:r>
        <w:rPr>
          <w:rFonts w:eastAsia="仿宋"/>
          <w:color w:val="auto"/>
          <w:szCs w:val="32"/>
          <w:highlight w:val="none"/>
        </w:rPr>
        <w:t xml:space="preserve"> </w:t>
      </w:r>
      <w:bookmarkStart w:id="111" w:name="_Toc27128"/>
      <w:r/>
      <w:bookmarkStart w:id="112" w:name="_Toc28285"/>
      <w:r>
        <w:rPr>
          <w:rFonts w:eastAsia="仿宋"/>
          <w:color w:val="auto"/>
          <w:szCs w:val="32"/>
          <w:highlight w:val="none"/>
        </w:rPr>
        <w:t xml:space="preserve">投标文件格式及附件</w:t>
      </w:r>
      <w:bookmarkEnd w:id="110"/>
      <w:r/>
      <w:bookmarkEnd w:id="111"/>
      <w:r/>
      <w:bookmarkEnd w:id="112"/>
      <w:r/>
      <w:r/>
    </w:p>
    <w:p>
      <w:pPr>
        <w:pStyle w:val="1029"/>
        <w:ind w:firstLine="0"/>
        <w:rPr>
          <w:rFonts w:eastAsia="仿宋"/>
          <w:color w:val="auto"/>
          <w:highlight w:val="none"/>
        </w:rPr>
      </w:pPr>
      <w:r>
        <w:rPr>
          <w:rFonts w:eastAsia="仿宋"/>
          <w:color w:val="auto"/>
          <w:highlight w:val="none"/>
        </w:rPr>
      </w:r>
      <w:r/>
    </w:p>
    <w:p>
      <w:pPr>
        <w:jc w:val="left"/>
        <w:spacing w:line="240" w:lineRule="atLeast"/>
        <w:widowControl/>
        <w:rPr>
          <w:rFonts w:eastAsia="仿宋"/>
          <w:b/>
          <w:bCs/>
          <w:color w:val="auto"/>
          <w:szCs w:val="21"/>
          <w:highlight w:val="none"/>
        </w:rPr>
      </w:pPr>
      <w:r>
        <w:rPr>
          <w:rFonts w:eastAsia="仿宋"/>
          <w:b/>
          <w:bCs/>
          <w:color w:val="auto"/>
          <w:szCs w:val="21"/>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spacing w:line="440" w:lineRule="exact"/>
        <w:rPr>
          <w:rFonts w:eastAsia="仿宋"/>
          <w:color w:val="auto"/>
          <w:sz w:val="20"/>
          <w:szCs w:val="20"/>
          <w:highlight w:val="none"/>
        </w:rPr>
      </w:pPr>
      <w:r>
        <w:rPr>
          <w:rFonts w:eastAsia="仿宋"/>
          <w:color w:val="auto"/>
          <w:sz w:val="20"/>
          <w:szCs w:val="20"/>
          <w:highlight w:val="none"/>
        </w:rPr>
      </w:r>
      <w:r/>
    </w:p>
    <w:p>
      <w:pPr>
        <w:rPr>
          <w:rFonts w:eastAsia="仿宋"/>
          <w:color w:val="auto"/>
          <w:sz w:val="22"/>
          <w:szCs w:val="22"/>
          <w:highlight w:val="none"/>
        </w:rPr>
      </w:pPr>
      <w:r>
        <w:rPr>
          <w:rFonts w:eastAsia="仿宋"/>
          <w:color w:val="auto"/>
          <w:sz w:val="22"/>
          <w:szCs w:val="22"/>
          <w:highlight w:val="none"/>
        </w:rPr>
      </w:r>
      <w:r/>
    </w:p>
    <w:p>
      <w:pPr>
        <w:rPr>
          <w:rFonts w:eastAsia="仿宋"/>
          <w:color w:val="auto"/>
          <w:sz w:val="22"/>
          <w:szCs w:val="22"/>
          <w:highlight w:val="none"/>
        </w:rPr>
      </w:pPr>
      <w:r>
        <w:rPr>
          <w:rFonts w:eastAsia="仿宋"/>
          <w:color w:val="auto"/>
          <w:sz w:val="22"/>
          <w:szCs w:val="22"/>
          <w:highlight w:val="none"/>
        </w:rPr>
      </w:r>
      <w:r/>
    </w:p>
    <w:p>
      <w:pPr>
        <w:jc w:val="center"/>
        <w:rPr>
          <w:rFonts w:eastAsia="仿宋"/>
          <w:color w:val="auto"/>
          <w:sz w:val="52"/>
          <w:szCs w:val="52"/>
          <w:highlight w:val="none"/>
        </w:rPr>
      </w:pPr>
      <w:r>
        <w:rPr>
          <w:rFonts w:eastAsia="仿宋"/>
          <w:color w:val="auto"/>
          <w:sz w:val="52"/>
          <w:szCs w:val="52"/>
          <w:highlight w:val="none"/>
        </w:rPr>
        <w:t xml:space="preserve">投标文件</w:t>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rPr>
          <w:rFonts w:eastAsia="仿宋"/>
          <w:color w:val="auto"/>
          <w:sz w:val="36"/>
          <w:szCs w:val="36"/>
          <w:highlight w:val="none"/>
        </w:rPr>
      </w:pPr>
      <w:r>
        <w:rPr>
          <w:rFonts w:eastAsia="仿宋"/>
          <w:color w:val="auto"/>
          <w:sz w:val="36"/>
          <w:szCs w:val="36"/>
          <w:highlight w:val="none"/>
        </w:rPr>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项目名称：</w:t>
      </w:r>
      <w:r/>
    </w:p>
    <w:p>
      <w:pPr>
        <w:ind w:firstLine="720"/>
        <w:spacing w:line="360" w:lineRule="auto"/>
        <w:rPr>
          <w:rFonts w:eastAsia="仿宋"/>
          <w:color w:val="auto"/>
          <w:sz w:val="36"/>
          <w:szCs w:val="36"/>
          <w:highlight w:val="none"/>
        </w:rPr>
      </w:pPr>
      <w:r>
        <w:rPr>
          <w:rFonts w:eastAsia="仿宋"/>
          <w:color w:val="auto"/>
          <w:sz w:val="36"/>
          <w:szCs w:val="36"/>
          <w:highlight w:val="none"/>
        </w:rPr>
        <w:t xml:space="preserve">项目编号：</w:t>
      </w:r>
      <w:r/>
    </w:p>
    <w:p>
      <w:pPr>
        <w:ind w:firstLine="720"/>
        <w:spacing w:line="360" w:lineRule="auto"/>
        <w:rPr>
          <w:rFonts w:eastAsia="仿宋"/>
          <w:color w:val="auto"/>
          <w:sz w:val="36"/>
          <w:szCs w:val="36"/>
          <w:highlight w:val="none"/>
          <w:u w:val="single"/>
        </w:rPr>
      </w:pPr>
      <w:r>
        <w:rPr>
          <w:rFonts w:eastAsia="仿宋"/>
          <w:color w:val="auto"/>
          <w:sz w:val="36"/>
          <w:szCs w:val="36"/>
          <w:highlight w:val="none"/>
        </w:rPr>
        <w:t xml:space="preserve">投标人名称：（加盖电子公章）</w:t>
      </w:r>
      <w:r/>
    </w:p>
    <w:p>
      <w:pPr>
        <w:ind w:firstLine="720"/>
        <w:jc w:val="left"/>
        <w:spacing w:line="360" w:lineRule="auto"/>
        <w:widowControl/>
        <w:rPr>
          <w:rFonts w:eastAsia="仿宋"/>
          <w:color w:val="auto"/>
          <w:sz w:val="28"/>
          <w:szCs w:val="28"/>
          <w:highlight w:val="none"/>
        </w:rPr>
      </w:pPr>
      <w:r>
        <w:rPr>
          <w:rFonts w:eastAsia="仿宋"/>
          <w:color w:val="auto"/>
          <w:sz w:val="36"/>
          <w:szCs w:val="36"/>
          <w:highlight w:val="none"/>
        </w:rPr>
        <w:t xml:space="preserve">日期：</w:t>
      </w:r>
      <w:r>
        <w:rPr>
          <w:rFonts w:eastAsia="仿宋"/>
          <w:color w:val="auto"/>
          <w:sz w:val="28"/>
          <w:szCs w:val="28"/>
          <w:highlight w:val="none"/>
        </w:rPr>
        <w:br w:type="page" w:clear="all"/>
      </w:r>
      <w:r/>
    </w:p>
    <w:p>
      <w:pPr>
        <w:numPr>
          <w:ilvl w:val="0"/>
          <w:numId w:val="12"/>
        </w:numPr>
        <w:spacing w:line="360" w:lineRule="auto"/>
        <w:rPr>
          <w:rFonts w:eastAsia="仿宋"/>
          <w:b/>
          <w:bCs/>
          <w:color w:val="auto"/>
          <w:sz w:val="24"/>
          <w:highlight w:val="none"/>
        </w:rPr>
        <w:outlineLvl w:val="1"/>
      </w:pPr>
      <w:r/>
      <w:bookmarkStart w:id="113" w:name="_Toc26352"/>
      <w:r>
        <w:rPr>
          <w:rFonts w:eastAsia="仿宋"/>
          <w:b/>
          <w:bCs/>
          <w:color w:val="auto"/>
          <w:sz w:val="24"/>
          <w:highlight w:val="none"/>
        </w:rPr>
        <w:t xml:space="preserve">基本目录</w:t>
      </w:r>
      <w:bookmarkEnd w:id="113"/>
      <w:r/>
      <w:r/>
    </w:p>
    <w:p>
      <w:pPr>
        <w:numPr>
          <w:ilvl w:val="0"/>
          <w:numId w:val="13"/>
        </w:numPr>
        <w:spacing w:after="240" w:line="360" w:lineRule="auto"/>
        <w:rPr>
          <w:rFonts w:eastAsia="仿宋"/>
          <w:b/>
          <w:bCs/>
          <w:color w:val="auto"/>
          <w:sz w:val="24"/>
          <w:highlight w:val="none"/>
        </w:rPr>
        <w:outlineLvl w:val="2"/>
      </w:pPr>
      <w:r/>
      <w:bookmarkStart w:id="114" w:name="_Toc16015"/>
      <w:r>
        <w:rPr>
          <w:rFonts w:eastAsia="仿宋"/>
          <w:b/>
          <w:bCs/>
          <w:color w:val="auto"/>
          <w:sz w:val="24"/>
          <w:highlight w:val="none"/>
        </w:rPr>
        <w:t xml:space="preserve">开标一览表</w:t>
      </w:r>
      <w:bookmarkEnd w:id="114"/>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开标一览表</w:t>
      </w:r>
      <w:r/>
    </w:p>
    <w:p>
      <w:pPr>
        <w:pStyle w:val="863"/>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投标人全称（CA公章）：供应商名称</w:t>
      </w:r>
      <w:r/>
    </w:p>
    <w:p>
      <w:pPr>
        <w:pStyle w:val="863"/>
        <w:spacing w:line="360" w:lineRule="auto"/>
        <w:rPr>
          <w:rFonts w:ascii="Times New Roman" w:hAnsi="Times New Roman" w:eastAsia="仿宋" w:cs="Times New Roman"/>
          <w:color w:val="auto"/>
          <w:highlight w:val="none"/>
          <w:u w:val="single"/>
          <w:lang w:bidi="zh-CN"/>
        </w:rPr>
      </w:pPr>
      <w:r>
        <w:rPr>
          <w:rFonts w:ascii="Times New Roman" w:hAnsi="Times New Roman" w:eastAsia="仿宋" w:cs="Times New Roman"/>
          <w:color w:val="auto"/>
          <w:highlight w:val="none"/>
        </w:rPr>
        <w:t xml:space="preserve">项目名称：</w:t>
      </w:r>
      <w:r>
        <w:rPr>
          <w:rFonts w:ascii="Times New Roman" w:hAnsi="Times New Roman" w:eastAsia="仿宋" w:cs="Times New Roman"/>
          <w:color w:val="auto"/>
          <w:highlight w:val="none"/>
          <w:u w:val="none"/>
          <w:lang w:bidi="zh-CN"/>
        </w:rPr>
        <w:t xml:space="preserve">秦淮区餐饮油烟及涉VOCs企业在线监测服务</w:t>
      </w:r>
      <w:r/>
    </w:p>
    <w:p>
      <w:pPr>
        <w:pStyle w:val="863"/>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JSZC-320104-YCGC-G2024-0066</w:t>
      </w:r>
      <w:r/>
    </w:p>
    <w:p>
      <w:pPr>
        <w:pStyle w:val="863"/>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6060"/>
      </w:tblGrid>
      <w:tr>
        <w:trPr>
          <w:tblCellSpacing w:w="15" w:type="dxa"/>
        </w:trPr>
        <w:tc>
          <w:tcPr>
            <w:shd w:val="clear" w:color="auto" w:fill="auto"/>
            <w:tcW w:w="2407" w:type="dxa"/>
            <w:vAlign w:val="center"/>
            <w:textDirection w:val="lrTb"/>
            <w:noWrap w:val="false"/>
          </w:tcPr>
          <w:p>
            <w:pPr>
              <w:pStyle w:val="863"/>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val="en-US" w:eastAsia="zh-CN"/>
              </w:rPr>
              <w:t xml:space="preserve">投标</w:t>
            </w:r>
            <w:r>
              <w:rPr>
                <w:rFonts w:ascii="Times New Roman" w:hAnsi="Times New Roman" w:eastAsia="仿宋" w:cs="Times New Roman"/>
                <w:color w:val="auto"/>
                <w:highlight w:val="none"/>
              </w:rPr>
              <w:t xml:space="preserve">项目名称</w:t>
            </w:r>
            <w:r/>
          </w:p>
        </w:tc>
        <w:tc>
          <w:tcPr>
            <w:shd w:val="clear" w:color="auto" w:fill="auto"/>
            <w:tcW w:w="6015" w:type="dxa"/>
            <w:vAlign w:val="center"/>
            <w:textDirection w:val="lrTb"/>
            <w:noWrap w:val="false"/>
          </w:tcPr>
          <w:p>
            <w:pPr>
              <w:pStyle w:val="863"/>
              <w:jc w:val="center"/>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总价（小写）</w:t>
            </w:r>
            <w:r/>
          </w:p>
        </w:tc>
      </w:tr>
      <w:tr>
        <w:trPr>
          <w:tblCellSpacing w:w="15" w:type="dxa"/>
        </w:trPr>
        <w:tc>
          <w:tcPr>
            <w:shd w:val="clear" w:color="auto" w:fill="auto"/>
            <w:tcW w:w="2407" w:type="dxa"/>
            <w:vAlign w:val="center"/>
            <w:textDirection w:val="lrTb"/>
            <w:noWrap w:val="false"/>
          </w:tcPr>
          <w:p>
            <w:pPr>
              <w:pStyle w:val="863"/>
              <w:rPr>
                <w:rFonts w:ascii="Times New Roman" w:hAnsi="Times New Roman" w:eastAsia="仿宋" w:cs="Times New Roman"/>
                <w:color w:val="auto"/>
                <w:highlight w:val="none"/>
              </w:rPr>
            </w:pPr>
            <w:r>
              <w:rPr>
                <w:rFonts w:hint="eastAsia" w:ascii="Times New Roman" w:hAnsi="Times New Roman" w:eastAsia="仿宋" w:cs="Times New Roman"/>
                <w:color w:val="auto"/>
                <w:highlight w:val="none"/>
                <w:lang w:val="en-US" w:bidi="zh-CN"/>
              </w:rPr>
              <w:t xml:space="preserve">投标</w:t>
            </w:r>
            <w:r>
              <w:rPr>
                <w:rFonts w:ascii="Times New Roman" w:hAnsi="Times New Roman" w:eastAsia="仿宋" w:cs="Times New Roman"/>
                <w:color w:val="auto"/>
                <w:highlight w:val="none"/>
                <w:lang w:bidi="zh-CN"/>
              </w:rPr>
              <w:t xml:space="preserve">项目名称</w:t>
            </w:r>
            <w:r/>
          </w:p>
        </w:tc>
        <w:tc>
          <w:tcPr>
            <w:shd w:val="clear" w:color="auto" w:fill="auto"/>
            <w:tcW w:w="6015" w:type="dxa"/>
            <w:vAlign w:val="center"/>
            <w:textDirection w:val="lrTb"/>
            <w:noWrap w:val="false"/>
          </w:tcPr>
          <w:p>
            <w:pPr>
              <w:pStyle w:val="863"/>
              <w:ind w:firstLine="3120"/>
              <w:rPr>
                <w:rFonts w:ascii="Times New Roman" w:hAnsi="Times New Roman" w:eastAsia="仿宋" w:cs="Times New Roman"/>
                <w:color w:val="auto"/>
                <w:highlight w:val="none"/>
              </w:rPr>
            </w:pPr>
            <w:r>
              <w:rPr>
                <w:rFonts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635" cy="0"/>
                      <wp:effectExtent l="0" t="4445" r="0" b="5080"/>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Times New Roman" w:hAnsi="Times New Roman" w:eastAsia="仿宋" w:cs="Times New Roman"/>
                <w:color w:val="auto"/>
                <w:highlight w:val="none"/>
              </w:rPr>
              <w:t xml:space="preserve"> 元</w:t>
            </w:r>
            <w:r/>
          </w:p>
        </w:tc>
      </w:tr>
      <w:tr>
        <w:trPr>
          <w:tblCellSpacing w:w="15" w:type="dxa"/>
        </w:trPr>
        <w:tc>
          <w:tcPr>
            <w:shd w:val="clear" w:color="auto" w:fill="auto"/>
            <w:tcW w:w="2407" w:type="dxa"/>
            <w:vAlign w:val="center"/>
            <w:textDirection w:val="lrTb"/>
            <w:noWrap w:val="false"/>
          </w:tcPr>
          <w:p>
            <w:pPr>
              <w:pStyle w:val="863"/>
              <w:rPr>
                <w:rFonts w:hint="default" w:ascii="Times New Roman" w:hAnsi="Times New Roman" w:eastAsia="仿宋" w:cs="Times New Roman"/>
                <w:color w:val="auto"/>
                <w:highlight w:val="none"/>
                <w:lang w:val="en-US" w:bidi="zh-CN"/>
              </w:rPr>
            </w:pPr>
            <w:r>
              <w:rPr>
                <w:rFonts w:hint="eastAsia" w:ascii="Times New Roman" w:hAnsi="Times New Roman" w:eastAsia="仿宋" w:cs="Times New Roman"/>
                <w:color w:val="auto"/>
                <w:highlight w:val="none"/>
                <w:lang w:val="en-US" w:bidi="zh-CN"/>
              </w:rPr>
              <w:t xml:space="preserve">总价（大写）</w:t>
            </w:r>
            <w:r/>
          </w:p>
        </w:tc>
        <w:tc>
          <w:tcPr>
            <w:shd w:val="clear" w:color="auto" w:fill="auto"/>
            <w:tcW w:w="6015" w:type="dxa"/>
            <w:vAlign w:val="center"/>
            <w:textDirection w:val="lrTb"/>
            <w:noWrap w:val="false"/>
          </w:tcPr>
          <w:p>
            <w:pPr>
              <w:pStyle w:val="863"/>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金额大写 </w:t>
            </w:r>
            <w:r/>
          </w:p>
        </w:tc>
      </w:tr>
    </w:tbl>
    <w:p>
      <w:pPr>
        <w:pStyle w:val="863"/>
        <w:ind w:firstLine="5760"/>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年   月     日</w:t>
      </w:r>
      <w:r/>
    </w:p>
    <w:p>
      <w:pPr>
        <w:pStyle w:val="863"/>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报价说明：</w:t>
      </w:r>
      <w:r/>
    </w:p>
    <w:p>
      <w:pPr>
        <w:pStyle w:val="863"/>
        <w:spacing w:before="0" w:beforeAutospacing="0" w:after="0" w:afterAutospacing="0" w:line="360" w:lineRule="auto"/>
        <w:rPr>
          <w:rFonts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1、报价包括完成项目的所有费用。采购人不再支付报价以外的任何费用。</w:t>
      </w:r>
      <w:r/>
    </w:p>
    <w:p>
      <w:pPr>
        <w:pStyle w:val="863"/>
        <w:spacing w:before="0" w:beforeAutospacing="0" w:after="0" w:afterAutospacing="0" w:line="360" w:lineRule="auto"/>
        <w:rPr>
          <w:rFonts w:hint="eastAsia" w:ascii="Times New Roman" w:hAnsi="Times New Roman" w:eastAsia="仿宋" w:cs="Times New Roman"/>
          <w:color w:val="auto"/>
          <w:highlight w:val="none"/>
          <w:lang w:eastAsia="zh-CN"/>
        </w:rPr>
      </w:pPr>
      <w:r>
        <w:rPr>
          <w:rFonts w:ascii="Times New Roman" w:hAnsi="Times New Roman" w:eastAsia="仿宋" w:cs="Times New Roman"/>
          <w:color w:val="auto"/>
          <w:highlight w:val="none"/>
        </w:rPr>
        <w:t xml:space="preserve">2、报价以总价为准，大小写不一致以大写为准</w:t>
      </w:r>
      <w:r>
        <w:rPr>
          <w:rFonts w:hint="eastAsia" w:ascii="Times New Roman" w:hAnsi="Times New Roman" w:eastAsia="仿宋" w:cs="Times New Roman"/>
          <w:color w:val="auto"/>
          <w:highlight w:val="none"/>
          <w:lang w:eastAsia="zh-CN"/>
        </w:rPr>
        <w:t xml:space="preserve">。</w:t>
      </w:r>
      <w:r/>
    </w:p>
    <w:p>
      <w:pPr>
        <w:pStyle w:val="1029"/>
        <w:ind w:firstLine="0"/>
        <w:rPr>
          <w:rFonts w:eastAsia="仿宋"/>
          <w:color w:val="auto"/>
          <w:sz w:val="24"/>
          <w:highlight w:val="none"/>
        </w:rPr>
      </w:pPr>
      <w:r>
        <w:rPr>
          <w:rFonts w:eastAsia="仿宋"/>
          <w:color w:val="auto"/>
          <w:sz w:val="24"/>
          <w:highlight w:val="none"/>
        </w:rPr>
      </w:r>
      <w:r/>
    </w:p>
    <w:p>
      <w:pPr>
        <w:rPr>
          <w:rFonts w:eastAsia="仿宋"/>
          <w:b/>
          <w:bCs/>
          <w:color w:val="auto"/>
          <w:sz w:val="24"/>
          <w:highlight w:val="none"/>
        </w:rPr>
      </w:pPr>
      <w:r>
        <w:rPr>
          <w:rFonts w:eastAsia="仿宋"/>
          <w:b/>
          <w:bCs/>
          <w:color w:val="auto"/>
          <w:sz w:val="24"/>
          <w:highlight w:val="none"/>
        </w:rPr>
        <w:br w:type="page" w:clear="all"/>
      </w:r>
      <w:r/>
    </w:p>
    <w:p>
      <w:pPr>
        <w:spacing w:after="240" w:line="360" w:lineRule="auto"/>
        <w:rPr>
          <w:rFonts w:eastAsia="仿宋"/>
          <w:color w:val="auto"/>
          <w:sz w:val="24"/>
          <w:highlight w:val="none"/>
        </w:rPr>
        <w:outlineLvl w:val="2"/>
      </w:pPr>
      <w:r/>
      <w:bookmarkStart w:id="115" w:name="_Toc10954"/>
      <w:r>
        <w:rPr>
          <w:rFonts w:eastAsia="仿宋"/>
          <w:b/>
          <w:bCs/>
          <w:color w:val="auto"/>
          <w:sz w:val="24"/>
          <w:highlight w:val="none"/>
        </w:rPr>
        <w:t xml:space="preserve">2、投标申请及声明格式</w:t>
      </w:r>
      <w:bookmarkEnd w:id="115"/>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投标申请及声明</w:t>
      </w:r>
      <w:r/>
    </w:p>
    <w:p>
      <w:pPr>
        <w:spacing w:line="360" w:lineRule="auto"/>
        <w:shd w:val="clear" w:color="auto" w:fill="ffffff"/>
        <w:widowControl/>
        <w:rPr>
          <w:rFonts w:eastAsia="仿宋"/>
          <w:color w:val="auto"/>
          <w:sz w:val="24"/>
          <w:highlight w:val="none"/>
        </w:rPr>
      </w:pPr>
      <w:r>
        <w:rPr>
          <w:rFonts w:eastAsia="仿宋"/>
          <w:color w:val="auto"/>
          <w:sz w:val="24"/>
          <w:highlight w:val="none"/>
        </w:rPr>
        <w:t xml:space="preserve"> 致：源成工程咨询（江苏南京）有限责任公司</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根据贵方</w:t>
      </w:r>
      <w:r>
        <w:rPr>
          <w:rFonts w:eastAsia="仿宋"/>
          <w:color w:val="auto"/>
          <w:sz w:val="24"/>
          <w:highlight w:val="none"/>
          <w:u w:val="single"/>
        </w:rPr>
        <w:t xml:space="preserve">           </w:t>
      </w:r>
      <w:r>
        <w:rPr>
          <w:rFonts w:eastAsia="仿宋"/>
          <w:b/>
          <w:bCs/>
          <w:color w:val="auto"/>
          <w:sz w:val="24"/>
          <w:highlight w:val="none"/>
          <w:u w:val="single"/>
        </w:rPr>
        <w:t xml:space="preserve">（</w:t>
      </w:r>
      <w:r>
        <w:rPr>
          <w:rFonts w:eastAsia="仿宋"/>
          <w:color w:val="auto"/>
          <w:sz w:val="24"/>
          <w:highlight w:val="none"/>
        </w:rPr>
        <w:t xml:space="preserve">项目名称） </w:t>
      </w:r>
      <w:r>
        <w:rPr>
          <w:rFonts w:eastAsia="仿宋"/>
          <w:color w:val="auto"/>
          <w:sz w:val="24"/>
          <w:highlight w:val="none"/>
          <w:u w:val="single"/>
        </w:rPr>
        <w:t xml:space="preserve">       </w:t>
      </w:r>
      <w:r>
        <w:rPr>
          <w:rFonts w:eastAsia="仿宋"/>
          <w:color w:val="auto"/>
          <w:sz w:val="24"/>
          <w:highlight w:val="none"/>
        </w:rPr>
        <w:t xml:space="preserve">（项目编号）投标邀请，正式授权下述签字人</w:t>
      </w:r>
      <w:r>
        <w:rPr>
          <w:rFonts w:eastAsia="仿宋"/>
          <w:color w:val="auto"/>
          <w:sz w:val="24"/>
          <w:highlight w:val="none"/>
          <w:u w:val="single"/>
        </w:rPr>
        <w:t xml:space="preserve">           </w:t>
      </w:r>
      <w:r>
        <w:rPr>
          <w:rFonts w:eastAsia="仿宋"/>
          <w:color w:val="auto"/>
          <w:sz w:val="24"/>
          <w:highlight w:val="none"/>
        </w:rPr>
        <w:t xml:space="preserve">(姓名和职务)代表投标人</w:t>
      </w:r>
      <w:r>
        <w:rPr>
          <w:rFonts w:eastAsia="仿宋"/>
          <w:color w:val="auto"/>
          <w:sz w:val="24"/>
          <w:highlight w:val="none"/>
          <w:u w:val="single"/>
        </w:rPr>
        <w:t xml:space="preserve">     </w:t>
      </w:r>
      <w:r>
        <w:rPr>
          <w:rFonts w:eastAsia="仿宋"/>
          <w:color w:val="auto"/>
          <w:sz w:val="24"/>
          <w:highlight w:val="none"/>
        </w:rPr>
        <w:t xml:space="preserve">（投标人名称），提交投标文件。</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据此函，签字人兹宣布声明和承诺如下：</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1、</w:t>
      </w:r>
      <w:r>
        <w:rPr>
          <w:rFonts w:eastAsia="仿宋"/>
          <w:b/>
          <w:bCs/>
          <w:color w:val="auto"/>
          <w:sz w:val="24"/>
          <w:highlight w:val="none"/>
        </w:rPr>
        <w:t xml:space="preserve">我们的资格条件完全符合政府采购法和本次招标要求</w:t>
      </w:r>
      <w:r>
        <w:rPr>
          <w:rFonts w:eastAsia="仿宋"/>
          <w:color w:val="auto"/>
          <w:sz w:val="24"/>
          <w:highlight w:val="none"/>
        </w:rPr>
        <w:t xml:space="preserve">，我们同意并向贵方提供了与投标有关的所有证据和资料。</w:t>
      </w:r>
      <w:r/>
    </w:p>
    <w:p>
      <w:pPr>
        <w:ind w:left="1470" w:hanging="1050"/>
        <w:spacing w:line="360" w:lineRule="auto"/>
        <w:shd w:val="clear" w:color="auto" w:fill="ffffff"/>
        <w:widowControl/>
        <w:rPr>
          <w:rFonts w:eastAsia="仿宋"/>
          <w:color w:val="auto"/>
          <w:sz w:val="24"/>
          <w:highlight w:val="none"/>
        </w:rPr>
      </w:pPr>
      <w:r>
        <w:rPr>
          <w:rFonts w:eastAsia="仿宋"/>
          <w:color w:val="auto"/>
          <w:sz w:val="24"/>
          <w:highlight w:val="none"/>
        </w:rPr>
        <w:t xml:space="preserve">2、按招标要求，我们的投标报价详见开标一览表。</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3、本项目服务时间为：</w:t>
      </w:r>
      <w:r>
        <w:rPr>
          <w:rFonts w:eastAsia="仿宋"/>
          <w:color w:val="auto"/>
          <w:sz w:val="24"/>
          <w:highlight w:val="none"/>
          <w:u w:val="single"/>
        </w:rPr>
        <w:t xml:space="preserve">  满足招标文件要求  </w:t>
      </w:r>
      <w:r>
        <w:rPr>
          <w:rFonts w:eastAsia="仿宋"/>
          <w:color w:val="auto"/>
          <w:sz w:val="24"/>
          <w:highlight w:val="none"/>
        </w:rPr>
        <w:t xml:space="preserve">。</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4、我们已详细阅读全部招标文件及其有效补充文件，我们放弃对招标文件任何误解的权利，提交投标文件后，</w:t>
      </w:r>
      <w:r>
        <w:rPr>
          <w:rFonts w:eastAsia="仿宋"/>
          <w:b/>
          <w:bCs/>
          <w:color w:val="auto"/>
          <w:sz w:val="24"/>
          <w:highlight w:val="none"/>
        </w:rPr>
        <w:t xml:space="preserve">不对招标文件本身提出质疑</w:t>
      </w:r>
      <w:r>
        <w:rPr>
          <w:rFonts w:eastAsia="仿宋"/>
          <w:color w:val="auto"/>
          <w:sz w:val="24"/>
          <w:highlight w:val="none"/>
        </w:rPr>
        <w:t xml:space="preserve">。</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eastAsia="仿宋"/>
          <w:color w:val="auto"/>
          <w:sz w:val="24"/>
          <w:highlight w:val="none"/>
        </w:rPr>
      </w:pPr>
      <w:r>
        <w:rPr>
          <w:rFonts w:eastAsia="仿宋"/>
          <w:color w:val="auto"/>
          <w:sz w:val="24"/>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66"/>
        <w:ind w:firstLine="480"/>
        <w:jc w:val="both"/>
        <w:spacing w:line="360" w:lineRule="auto"/>
        <w:rPr>
          <w:rFonts w:eastAsia="仿宋"/>
          <w:b w:val="0"/>
          <w:bCs w:val="0"/>
          <w:color w:val="auto"/>
          <w:sz w:val="24"/>
          <w:highlight w:val="none"/>
          <w:u w:val="single"/>
        </w:rPr>
      </w:pPr>
      <w:r>
        <w:rPr>
          <w:rFonts w:eastAsia="仿宋"/>
          <w:b w:val="0"/>
          <w:bCs w:val="0"/>
          <w:color w:val="auto"/>
          <w:sz w:val="24"/>
          <w:highlight w:val="none"/>
        </w:rPr>
        <w:t xml:space="preserve">9、项目负责人：</w:t>
      </w:r>
      <w:r>
        <w:rPr>
          <w:rFonts w:eastAsia="仿宋"/>
          <w:b w:val="0"/>
          <w:bCs w:val="0"/>
          <w:color w:val="auto"/>
          <w:sz w:val="24"/>
          <w:highlight w:val="none"/>
          <w:u w:val="single"/>
        </w:rPr>
        <w:t xml:space="preserve">            </w:t>
      </w:r>
      <w:r>
        <w:rPr>
          <w:rFonts w:eastAsia="仿宋"/>
          <w:b w:val="0"/>
          <w:bCs w:val="0"/>
          <w:color w:val="auto"/>
          <w:sz w:val="24"/>
          <w:highlight w:val="none"/>
        </w:rPr>
        <w:t xml:space="preserve">   移动电话：</w:t>
      </w:r>
      <w:r>
        <w:rPr>
          <w:rFonts w:eastAsia="仿宋"/>
          <w:b w:val="0"/>
          <w:bCs w:val="0"/>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10、与本投标有关的正式联系方式为：</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地   址：</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电   话：</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传   真：</w:t>
      </w:r>
      <w:r>
        <w:rPr>
          <w:rFonts w:eastAsia="仿宋"/>
          <w:color w:val="auto"/>
          <w:sz w:val="24"/>
          <w:highlight w:val="none"/>
          <w:u w:val="single"/>
        </w:rPr>
        <w:t xml:space="preserve">                      </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开户银行：</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银行账号：</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投标人名称：</w:t>
      </w:r>
      <w:r>
        <w:rPr>
          <w:rFonts w:eastAsia="仿宋"/>
          <w:color w:val="auto"/>
          <w:sz w:val="24"/>
          <w:highlight w:val="none"/>
          <w:u w:val="single"/>
        </w:rPr>
        <w:t xml:space="preserve">                 </w:t>
      </w:r>
      <w:r>
        <w:rPr>
          <w:rFonts w:eastAsia="仿宋"/>
          <w:color w:val="auto"/>
          <w:sz w:val="24"/>
          <w:highlight w:val="none"/>
        </w:rPr>
        <w:t xml:space="preserve">（加盖电子公章）</w:t>
      </w:r>
      <w:r/>
    </w:p>
    <w:p>
      <w:pPr>
        <w:ind w:firstLine="480"/>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w:t>
      </w:r>
      <w:r>
        <w:rPr>
          <w:rFonts w:eastAsia="仿宋"/>
          <w:color w:val="auto"/>
          <w:sz w:val="24"/>
          <w:highlight w:val="none"/>
          <w:u w:val="single"/>
        </w:rPr>
        <w:t xml:space="preserve">     </w:t>
      </w:r>
      <w:r>
        <w:rPr>
          <w:rFonts w:eastAsia="仿宋"/>
          <w:color w:val="auto"/>
          <w:sz w:val="24"/>
          <w:highlight w:val="none"/>
        </w:rPr>
        <w:t xml:space="preserve">年</w:t>
      </w:r>
      <w:r>
        <w:rPr>
          <w:rFonts w:eastAsia="仿宋"/>
          <w:color w:val="auto"/>
          <w:sz w:val="24"/>
          <w:highlight w:val="none"/>
          <w:u w:val="single"/>
        </w:rPr>
        <w:t xml:space="preserve">    </w:t>
      </w:r>
      <w:r>
        <w:rPr>
          <w:rFonts w:eastAsia="仿宋"/>
          <w:color w:val="auto"/>
          <w:sz w:val="24"/>
          <w:highlight w:val="none"/>
        </w:rPr>
        <w:t xml:space="preserve">月</w:t>
      </w:r>
      <w:r>
        <w:rPr>
          <w:rFonts w:eastAsia="仿宋"/>
          <w:color w:val="auto"/>
          <w:sz w:val="24"/>
          <w:highlight w:val="none"/>
          <w:u w:val="single"/>
        </w:rPr>
        <w:t xml:space="preserve">    </w:t>
      </w:r>
      <w:r>
        <w:rPr>
          <w:rFonts w:eastAsia="仿宋"/>
          <w:color w:val="auto"/>
          <w:sz w:val="24"/>
          <w:highlight w:val="none"/>
        </w:rPr>
        <w:t xml:space="preserve">日</w:t>
      </w:r>
      <w:r/>
    </w:p>
    <w:p>
      <w:pPr>
        <w:pStyle w:val="821"/>
        <w:keepLines w:val="0"/>
        <w:spacing w:before="0" w:after="240" w:line="360" w:lineRule="auto"/>
        <w:tabs>
          <w:tab w:val="left" w:pos="1440" w:leader="none"/>
          <w:tab w:val="left" w:pos="5670" w:leader="none"/>
        </w:tabs>
        <w:rPr>
          <w:rFonts w:eastAsia="仿宋"/>
          <w:color w:val="auto"/>
          <w:sz w:val="24"/>
          <w:szCs w:val="24"/>
          <w:highlight w:val="none"/>
          <w:lang w:val="zh-CN"/>
        </w:rPr>
      </w:pPr>
      <w:r>
        <w:rPr>
          <w:rFonts w:eastAsia="仿宋"/>
          <w:color w:val="auto"/>
          <w:szCs w:val="21"/>
          <w:highlight w:val="none"/>
        </w:rPr>
        <w:br w:type="page" w:clear="all"/>
      </w:r>
      <w:bookmarkStart w:id="116" w:name="_Toc30902"/>
      <w:r/>
      <w:bookmarkStart w:id="117" w:name="_Toc6320"/>
      <w:r/>
      <w:bookmarkStart w:id="118" w:name="_Toc5046"/>
      <w:r/>
      <w:bookmarkStart w:id="119" w:name="_Toc18755"/>
      <w:r/>
      <w:bookmarkStart w:id="120" w:name="_Toc28144"/>
      <w:r/>
      <w:bookmarkStart w:id="121" w:name="_Toc12480"/>
      <w:r/>
      <w:bookmarkStart w:id="122" w:name="_Toc8362"/>
      <w:r>
        <w:rPr>
          <w:rFonts w:eastAsia="仿宋"/>
          <w:color w:val="auto"/>
          <w:sz w:val="24"/>
          <w:szCs w:val="24"/>
          <w:highlight w:val="none"/>
        </w:rPr>
        <w:t xml:space="preserve">3、法定代表人授权书或法定代表人身份证明书</w:t>
      </w:r>
      <w:bookmarkEnd w:id="116"/>
      <w:r/>
      <w:bookmarkEnd w:id="117"/>
      <w:r/>
      <w:bookmarkEnd w:id="118"/>
      <w:r/>
      <w:bookmarkEnd w:id="119"/>
      <w:r/>
      <w:bookmarkEnd w:id="120"/>
      <w:r/>
      <w:bookmarkEnd w:id="121"/>
      <w:r/>
      <w:bookmarkEnd w:id="122"/>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法定代表人授权委托书</w:t>
      </w:r>
      <w:r/>
    </w:p>
    <w:p>
      <w:pPr>
        <w:pStyle w:val="838"/>
        <w:ind w:firstLine="482"/>
        <w:jc w:val="both"/>
        <w:spacing w:line="360" w:lineRule="auto"/>
        <w:tabs>
          <w:tab w:val="left" w:pos="5401" w:leader="none"/>
          <w:tab w:val="left" w:pos="7458" w:leader="none"/>
          <w:tab w:val="left" w:pos="8727" w:leader="none"/>
        </w:tabs>
        <w:rPr>
          <w:rFonts w:eastAsia="仿宋"/>
          <w:color w:val="auto"/>
          <w:sz w:val="24"/>
          <w:highlight w:val="none"/>
          <w:lang w:bidi="zh-CN"/>
        </w:rPr>
      </w:pPr>
      <w:r>
        <w:rPr>
          <w:rFonts w:eastAsia="仿宋"/>
          <w:color w:val="auto"/>
          <w:sz w:val="24"/>
          <w:highlight w:val="none"/>
          <w:lang w:bidi="zh-CN"/>
        </w:rPr>
        <w:t xml:space="preserve">致：南京市秦淮生态环境局(采购人)</w:t>
      </w:r>
      <w:r/>
    </w:p>
    <w:p>
      <w:pPr>
        <w:pStyle w:val="838"/>
        <w:ind w:firstLine="964"/>
        <w:jc w:val="both"/>
        <w:spacing w:line="360" w:lineRule="auto"/>
        <w:tabs>
          <w:tab w:val="left" w:pos="5401" w:leader="none"/>
          <w:tab w:val="left" w:pos="7458" w:leader="none"/>
          <w:tab w:val="left" w:pos="8727" w:leader="none"/>
        </w:tabs>
        <w:rPr>
          <w:rFonts w:eastAsia="仿宋"/>
          <w:color w:val="auto"/>
          <w:sz w:val="24"/>
          <w:highlight w:val="none"/>
          <w:lang w:val="zh-CN" w:bidi="zh-CN"/>
        </w:rPr>
      </w:pPr>
      <w:r>
        <w:rPr>
          <w:rFonts w:eastAsia="仿宋"/>
          <w:color w:val="auto"/>
          <w:sz w:val="24"/>
          <w:highlight w:val="none"/>
          <w:lang w:bidi="zh-CN"/>
        </w:rPr>
        <w:t xml:space="preserve">源成工程咨询（江苏南京）有限责任公司  </w:t>
      </w:r>
      <w:r/>
    </w:p>
    <w:p>
      <w:pPr>
        <w:rPr>
          <w:rFonts w:eastAsia="仿宋"/>
          <w:color w:val="auto"/>
          <w:sz w:val="24"/>
          <w:highlight w:val="none"/>
        </w:rPr>
      </w:pPr>
      <w:r>
        <w:rPr>
          <w:rFonts w:eastAsia="仿宋"/>
          <w:color w:val="auto"/>
          <w:sz w:val="24"/>
          <w:highlight w:val="none"/>
        </w:rPr>
      </w:r>
      <w:r/>
    </w:p>
    <w:p>
      <w:pPr>
        <w:ind w:firstLine="484"/>
        <w:spacing w:line="360" w:lineRule="auto"/>
        <w:rPr>
          <w:rFonts w:eastAsia="仿宋"/>
          <w:color w:val="auto"/>
          <w:sz w:val="24"/>
          <w:highlight w:val="none"/>
          <w:lang w:val="zh-CN"/>
        </w:rPr>
      </w:pPr>
      <w:r>
        <w:rPr>
          <w:rFonts w:eastAsia="仿宋"/>
          <w:color w:val="auto"/>
          <w:sz w:val="24"/>
          <w:highlight w:val="none"/>
          <w:lang w:val="zh-CN"/>
        </w:rPr>
        <w:t xml:space="preserve">本授权书声明：注册于＿＿＿＿＿（供应商住址）的＿＿＿＿（供应商名称）法定代表人＿＿＿＿（法定代表人姓名、职务）代表本公司授权在下面签字的＿＿＿＿（供应商代表姓名、职务）为本公司的合法代理人，就贵方组织的</w:t>
      </w:r>
      <w:r>
        <w:rPr>
          <w:rFonts w:eastAsia="仿宋"/>
          <w:color w:val="auto"/>
          <w:sz w:val="24"/>
          <w:highlight w:val="none"/>
        </w:rPr>
        <w:t xml:space="preserve"> </w:t>
      </w:r>
      <w:r>
        <w:rPr>
          <w:rFonts w:eastAsia="仿宋"/>
          <w:color w:val="auto"/>
          <w:sz w:val="24"/>
          <w:highlight w:val="none"/>
          <w:u w:val="single"/>
        </w:rPr>
        <w:t xml:space="preserve">                     </w:t>
      </w:r>
      <w:r>
        <w:rPr>
          <w:rFonts w:eastAsia="仿宋"/>
          <w:color w:val="auto"/>
          <w:sz w:val="24"/>
          <w:highlight w:val="none"/>
          <w:lang w:val="zh-CN"/>
        </w:rPr>
        <w:t xml:space="preserve">（项目名称），＿＿＿＿（项目编号）投标，以本公司名义处理一切与之有关的事务。</w:t>
      </w:r>
      <w:r/>
    </w:p>
    <w:p>
      <w:pPr>
        <w:ind w:firstLine="480"/>
        <w:spacing w:line="360" w:lineRule="auto"/>
        <w:rPr>
          <w:rFonts w:eastAsia="仿宋"/>
          <w:color w:val="auto"/>
          <w:sz w:val="24"/>
          <w:highlight w:val="none"/>
        </w:rPr>
      </w:pPr>
      <w:r>
        <w:rPr>
          <w:rFonts w:eastAsia="仿宋"/>
          <w:color w:val="auto"/>
          <w:sz w:val="24"/>
          <w:highlight w:val="none"/>
        </w:rPr>
        <w:t xml:space="preserve">本授权书于</w:t>
      </w:r>
      <w:r>
        <w:rPr>
          <w:rFonts w:eastAsia="仿宋"/>
          <w:color w:val="auto"/>
          <w:sz w:val="24"/>
          <w:highlight w:val="none"/>
          <w:lang w:val="zh-CN"/>
        </w:rPr>
        <w:t xml:space="preserve">＿</w:t>
      </w:r>
      <w:r>
        <w:rPr>
          <w:rFonts w:eastAsia="仿宋"/>
          <w:color w:val="auto"/>
          <w:sz w:val="24"/>
          <w:highlight w:val="none"/>
        </w:rPr>
        <w:t xml:space="preserve">年</w:t>
      </w:r>
      <w:r>
        <w:rPr>
          <w:rFonts w:eastAsia="仿宋"/>
          <w:color w:val="auto"/>
          <w:sz w:val="24"/>
          <w:highlight w:val="none"/>
          <w:lang w:val="zh-CN"/>
        </w:rPr>
        <w:t xml:space="preserve">＿</w:t>
      </w:r>
      <w:r>
        <w:rPr>
          <w:rFonts w:eastAsia="仿宋"/>
          <w:color w:val="auto"/>
          <w:sz w:val="24"/>
          <w:highlight w:val="none"/>
        </w:rPr>
        <w:t xml:space="preserve">月</w:t>
      </w:r>
      <w:r>
        <w:rPr>
          <w:rFonts w:eastAsia="仿宋"/>
          <w:color w:val="auto"/>
          <w:sz w:val="24"/>
          <w:highlight w:val="none"/>
          <w:lang w:val="zh-CN"/>
        </w:rPr>
        <w:t xml:space="preserve">＿</w:t>
      </w:r>
      <w:r>
        <w:rPr>
          <w:rFonts w:eastAsia="仿宋"/>
          <w:color w:val="auto"/>
          <w:sz w:val="24"/>
          <w:highlight w:val="none"/>
        </w:rPr>
        <w:t xml:space="preserve">日签字生效，特此声明。</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被授权代表人姓名：            </w:t>
      </w:r>
      <w:r/>
    </w:p>
    <w:p>
      <w:pPr>
        <w:ind w:firstLine="480"/>
        <w:spacing w:line="360" w:lineRule="auto"/>
        <w:rPr>
          <w:rFonts w:eastAsia="仿宋"/>
          <w:color w:val="auto"/>
          <w:sz w:val="24"/>
          <w:highlight w:val="none"/>
        </w:rPr>
      </w:pPr>
      <w:r>
        <w:rPr>
          <w:rFonts w:eastAsia="仿宋"/>
          <w:color w:val="auto"/>
          <w:sz w:val="24"/>
          <w:highlight w:val="none"/>
        </w:rPr>
        <w:t xml:space="preserve">年龄：              </w:t>
      </w:r>
      <w:r/>
    </w:p>
    <w:p>
      <w:pPr>
        <w:ind w:firstLine="480"/>
        <w:spacing w:line="360" w:lineRule="auto"/>
        <w:rPr>
          <w:rFonts w:eastAsia="仿宋"/>
          <w:color w:val="auto"/>
          <w:sz w:val="24"/>
          <w:highlight w:val="none"/>
        </w:rPr>
      </w:pPr>
      <w:r>
        <w:rPr>
          <w:rFonts w:eastAsia="仿宋"/>
          <w:color w:val="auto"/>
          <w:sz w:val="24"/>
          <w:highlight w:val="none"/>
        </w:rPr>
        <w:t xml:space="preserve">职务：</w:t>
      </w:r>
      <w:r/>
    </w:p>
    <w:p>
      <w:pPr>
        <w:ind w:firstLine="480"/>
        <w:spacing w:line="360" w:lineRule="auto"/>
        <w:rPr>
          <w:rFonts w:eastAsia="仿宋"/>
          <w:color w:val="auto"/>
          <w:sz w:val="24"/>
          <w:highlight w:val="none"/>
        </w:rPr>
      </w:pPr>
      <w:r>
        <w:rPr>
          <w:rFonts w:eastAsia="仿宋"/>
          <w:color w:val="auto"/>
          <w:sz w:val="24"/>
          <w:highlight w:val="none"/>
        </w:rPr>
        <w:t xml:space="preserve">身份证：                      </w:t>
      </w:r>
      <w:r/>
    </w:p>
    <w:p>
      <w:pPr>
        <w:ind w:firstLine="480"/>
        <w:spacing w:line="360" w:lineRule="auto"/>
        <w:rPr>
          <w:rFonts w:eastAsia="仿宋"/>
          <w:color w:val="auto"/>
          <w:sz w:val="24"/>
          <w:highlight w:val="none"/>
        </w:rPr>
      </w:pPr>
      <w:r>
        <w:rPr>
          <w:rFonts w:eastAsia="仿宋"/>
          <w:color w:val="auto"/>
          <w:sz w:val="24"/>
          <w:highlight w:val="none"/>
        </w:rPr>
        <w:t xml:space="preserve">联系电话：</w:t>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供应商：</w:t>
      </w:r>
      <w:r>
        <w:rPr>
          <w:rFonts w:eastAsia="仿宋"/>
          <w:color w:val="auto"/>
          <w:sz w:val="24"/>
          <w:highlight w:val="none"/>
          <w:u w:val="single"/>
        </w:rPr>
        <w:t xml:space="preserve">      </w:t>
      </w:r>
      <w:r>
        <w:rPr>
          <w:rFonts w:eastAsia="仿宋"/>
          <w:color w:val="auto"/>
          <w:sz w:val="24"/>
          <w:highlight w:val="none"/>
          <w:lang w:val="zh-CN"/>
        </w:rPr>
        <w:t xml:space="preserve">（</w:t>
      </w:r>
      <w:r>
        <w:rPr>
          <w:rFonts w:eastAsia="仿宋"/>
          <w:color w:val="auto"/>
          <w:sz w:val="24"/>
          <w:highlight w:val="none"/>
        </w:rPr>
        <w:t xml:space="preserve">加盖电子公章</w:t>
      </w:r>
      <w:r>
        <w:rPr>
          <w:rFonts w:eastAsia="仿宋"/>
          <w:color w:val="auto"/>
          <w:sz w:val="24"/>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日期：年月日</w:t>
      </w:r>
      <w:r/>
    </w:p>
    <w:p>
      <w:pPr>
        <w:ind w:firstLine="480"/>
        <w:spacing w:line="360" w:lineRule="auto"/>
        <w:rPr>
          <w:rFonts w:eastAsia="仿宋"/>
          <w:color w:val="auto"/>
          <w:sz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eastAsia="仿宋"/>
          <w:color w:val="auto"/>
          <w:sz w:val="24"/>
          <w:highlight w:val="none"/>
        </w:rPr>
        <w:t xml:space="preserve">（注：后附被授权委托人身份证正反面扫描件）</w:t>
      </w:r>
      <w:r/>
    </w:p>
    <w:p>
      <w:pPr>
        <w:jc w:val="center"/>
        <w:keepLines/>
        <w:keepNext/>
        <w:spacing w:line="360" w:lineRule="auto"/>
        <w:rPr>
          <w:rFonts w:eastAsia="仿宋"/>
          <w:color w:val="auto"/>
          <w:sz w:val="44"/>
          <w:szCs w:val="44"/>
          <w:highlight w:val="none"/>
        </w:rPr>
        <w:pBdr>
          <w:top w:val="none" w:color="000000" w:sz="0" w:space="0"/>
          <w:left w:val="none" w:color="000000" w:sz="0" w:space="0"/>
          <w:bottom w:val="none" w:color="000000" w:sz="0" w:space="0"/>
          <w:right w:val="none" w:color="000000" w:sz="0" w:space="0"/>
        </w:pBdr>
      </w:pPr>
      <w:r/>
      <w:bookmarkStart w:id="123" w:name="_Toc4730"/>
      <w:r/>
      <w:bookmarkStart w:id="124" w:name="_Toc17108"/>
      <w:r/>
      <w:bookmarkStart w:id="125" w:name="_Toc14545"/>
      <w:r/>
      <w:bookmarkStart w:id="126" w:name="_Toc5249"/>
      <w:r>
        <w:rPr>
          <w:rFonts w:eastAsia="仿宋"/>
          <w:b/>
          <w:color w:val="auto"/>
          <w:sz w:val="32"/>
          <w:szCs w:val="36"/>
          <w:highlight w:val="none"/>
        </w:rPr>
        <w:t xml:space="preserve">法定代表人身份证明书</w:t>
      </w:r>
      <w:bookmarkEnd w:id="123"/>
      <w:r/>
      <w:bookmarkEnd w:id="124"/>
      <w:r/>
      <w:bookmarkEnd w:id="125"/>
      <w:r/>
      <w:bookmarkEnd w:id="126"/>
      <w:r/>
      <w:r/>
    </w:p>
    <w:p>
      <w:pPr>
        <w:ind w:firstLine="560"/>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兹证明</w:t>
      </w:r>
      <w:r>
        <w:rPr>
          <w:rFonts w:eastAsia="仿宋"/>
          <w:b/>
          <w:color w:val="auto"/>
          <w:sz w:val="24"/>
          <w:highlight w:val="none"/>
          <w:u w:val="single"/>
        </w:rPr>
        <w:t xml:space="preserve">×××（）姓名</w:t>
      </w:r>
      <w:r>
        <w:rPr>
          <w:rFonts w:eastAsia="仿宋"/>
          <w:color w:val="auto"/>
          <w:sz w:val="24"/>
          <w:highlight w:val="none"/>
        </w:rPr>
        <w:t xml:space="preserve">同志，性别</w:t>
      </w:r>
      <w:r>
        <w:rPr>
          <w:rFonts w:eastAsia="仿宋"/>
          <w:b/>
          <w:color w:val="auto"/>
          <w:sz w:val="24"/>
          <w:highlight w:val="none"/>
          <w:u w:val="single"/>
        </w:rPr>
        <w:t xml:space="preserve">×××</w:t>
      </w:r>
      <w:r>
        <w:rPr>
          <w:rFonts w:eastAsia="仿宋"/>
          <w:color w:val="auto"/>
          <w:sz w:val="24"/>
          <w:highlight w:val="none"/>
        </w:rPr>
        <w:t xml:space="preserve">，居民身份证号</w:t>
      </w:r>
      <w:r>
        <w:rPr>
          <w:rFonts w:eastAsia="仿宋"/>
          <w:b/>
          <w:color w:val="auto"/>
          <w:sz w:val="24"/>
          <w:highlight w:val="none"/>
          <w:u w:val="single"/>
        </w:rPr>
        <w:t xml:space="preserve">×××</w:t>
      </w:r>
      <w:r>
        <w:rPr>
          <w:rFonts w:eastAsia="仿宋"/>
          <w:color w:val="auto"/>
          <w:sz w:val="24"/>
          <w:highlight w:val="none"/>
        </w:rPr>
        <w:t xml:space="preserve">，在我单位任</w:t>
      </w:r>
      <w:r>
        <w:rPr>
          <w:rFonts w:eastAsia="仿宋"/>
          <w:color w:val="auto"/>
          <w:sz w:val="24"/>
          <w:highlight w:val="none"/>
          <w:u w:val="single"/>
        </w:rPr>
        <w:t xml:space="preserve">               </w:t>
      </w:r>
      <w:r>
        <w:rPr>
          <w:rFonts w:eastAsia="仿宋"/>
          <w:color w:val="auto"/>
          <w:sz w:val="24"/>
          <w:highlight w:val="none"/>
        </w:rPr>
        <w:t xml:space="preserve">职务，系我单位主要负责人即法定代表人。</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单位地址：</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电话：</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 </w:t>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单位全称： （加盖电子公章） </w:t>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0"/>
          <w:szCs w:val="21"/>
          <w:highlight w:val="none"/>
        </w:rPr>
      </w:r>
      <w:r/>
    </w:p>
    <w:p>
      <w:pPr>
        <w:ind w:firstLine="560"/>
        <w:spacing w:line="360" w:lineRule="auto"/>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w:t>
      </w:r>
      <w:r/>
    </w:p>
    <w:p>
      <w:pPr>
        <w:ind w:firstLine="560"/>
        <w:jc w:val="right"/>
        <w:spacing w:line="85" w:lineRule="atLeast"/>
        <w:rPr>
          <w:rFonts w:eastAsia="仿宋"/>
          <w:color w:val="auto"/>
          <w:sz w:val="20"/>
          <w:szCs w:val="21"/>
          <w:highlight w:val="none"/>
        </w:rPr>
        <w:pBdr>
          <w:top w:val="none" w:color="000000" w:sz="0" w:space="0"/>
          <w:left w:val="none" w:color="000000" w:sz="0" w:space="0"/>
          <w:bottom w:val="none" w:color="000000" w:sz="0" w:space="0"/>
          <w:right w:val="none" w:color="000000" w:sz="0" w:space="0"/>
        </w:pBdr>
      </w:pPr>
      <w:r>
        <w:rPr>
          <w:rFonts w:eastAsia="仿宋"/>
          <w:color w:val="auto"/>
          <w:sz w:val="24"/>
          <w:szCs w:val="21"/>
          <w:highlight w:val="none"/>
        </w:rPr>
        <w:t xml:space="preserve">  年  月  日</w:t>
      </w:r>
      <w:r/>
    </w:p>
    <w:p>
      <w:pPr>
        <w:ind w:firstLine="643"/>
        <w:spacing w:line="85" w:lineRule="atLeast"/>
        <w:rPr>
          <w:rFonts w:eastAsia="仿宋"/>
          <w:b/>
          <w:color w:val="auto"/>
          <w:sz w:val="28"/>
          <w:szCs w:val="21"/>
          <w:highlight w:val="none"/>
        </w:rPr>
        <w:pBdr>
          <w:top w:val="none" w:color="000000" w:sz="0" w:space="0"/>
          <w:left w:val="none" w:color="000000" w:sz="0" w:space="0"/>
          <w:bottom w:val="none" w:color="000000" w:sz="0" w:space="0"/>
          <w:right w:val="none" w:color="000000" w:sz="0" w:space="0"/>
        </w:pBdr>
      </w:pPr>
      <w:r>
        <w:rPr>
          <w:rFonts w:eastAsia="仿宋"/>
          <w:b/>
          <w:color w:val="auto"/>
          <w:sz w:val="28"/>
          <w:szCs w:val="21"/>
          <w:highlight w:val="none"/>
        </w:rPr>
        <w:t xml:space="preserve"> </w:t>
      </w:r>
      <w:r/>
    </w:p>
    <w:p>
      <w:pPr>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b/>
          <w:color w:val="auto"/>
          <w:sz w:val="24"/>
          <w:highlight w:val="none"/>
        </w:rPr>
        <w:t xml:space="preserve">附：法定代表人居民身份证正反面复印件</w:t>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u w:val="singl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r>
      <w:r/>
    </w:p>
    <w:p>
      <w:pPr>
        <w:ind w:firstLine="560"/>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u w:val="single"/>
        </w:rPr>
        <w:t xml:space="preserve">注：1.“法定代表人”直接参加投标响应活动的仅需填写本身份证明</w:t>
      </w:r>
      <w:r>
        <w:rPr>
          <w:rFonts w:eastAsia="仿宋"/>
          <w:color w:val="auto"/>
          <w:sz w:val="24"/>
          <w:highlight w:val="none"/>
        </w:rPr>
        <w:t xml:space="preserve">。</w:t>
      </w:r>
      <w:r/>
    </w:p>
    <w:p>
      <w:pPr>
        <w:ind w:firstLine="964"/>
        <w:spacing w:line="360" w:lineRule="auto"/>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b/>
          <w:color w:val="auto"/>
          <w:sz w:val="24"/>
          <w:highlight w:val="none"/>
          <w:u w:val="single"/>
        </w:rPr>
        <w:t xml:space="preserve">2.供应商属于非法人组织的，按照法律、行政法规规定能够对外代表其从事民事活动的主要负责人，视同法定代表人。</w:t>
      </w:r>
      <w:r/>
    </w:p>
    <w:p>
      <w:pPr>
        <w:ind w:firstLine="480"/>
        <w:spacing w:line="480" w:lineRule="exact"/>
        <w:rPr>
          <w:rFonts w:eastAsia="仿宋"/>
          <w:color w:val="auto"/>
          <w:szCs w:val="21"/>
          <w:highlight w:val="none"/>
        </w:rPr>
      </w:pPr>
      <w:r>
        <w:rPr>
          <w:rFonts w:eastAsia="仿宋"/>
          <w:color w:val="auto"/>
          <w:szCs w:val="21"/>
          <w:highlight w:val="none"/>
        </w:rPr>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ind w:firstLine="420"/>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b/>
          <w:bCs/>
          <w:color w:val="auto"/>
          <w:szCs w:val="21"/>
          <w:highlight w:val="none"/>
          <w:lang w:val="zh-CN"/>
        </w:rPr>
      </w:pPr>
      <w:r>
        <w:rPr>
          <w:rFonts w:eastAsia="仿宋"/>
          <w:b/>
          <w:bCs/>
          <w:color w:val="auto"/>
          <w:szCs w:val="21"/>
          <w:highlight w:val="none"/>
        </w:rPr>
        <w:br w:type="page" w:clear="all"/>
      </w:r>
      <w:bookmarkStart w:id="127" w:name="_Toc12264"/>
      <w:r/>
      <w:r/>
    </w:p>
    <w:p>
      <w:pPr>
        <w:pStyle w:val="821"/>
        <w:keepLines w:val="0"/>
        <w:spacing w:before="0" w:after="240" w:line="360" w:lineRule="auto"/>
        <w:tabs>
          <w:tab w:val="left" w:pos="1440" w:leader="none"/>
          <w:tab w:val="left" w:pos="5670" w:leader="none"/>
        </w:tabs>
        <w:rPr>
          <w:rFonts w:eastAsia="仿宋"/>
          <w:color w:val="auto"/>
          <w:sz w:val="24"/>
          <w:szCs w:val="24"/>
          <w:highlight w:val="none"/>
        </w:rPr>
      </w:pPr>
      <w:r/>
      <w:bookmarkStart w:id="128" w:name="_Toc1387"/>
      <w:r/>
      <w:bookmarkStart w:id="129" w:name="_Toc33266155"/>
      <w:r/>
      <w:bookmarkStart w:id="130" w:name="_Toc7806"/>
      <w:r/>
      <w:bookmarkStart w:id="131" w:name="_Toc4888"/>
      <w:r/>
      <w:bookmarkStart w:id="132" w:name="_Toc32431"/>
      <w:r/>
      <w:bookmarkStart w:id="133" w:name="_Toc28236"/>
      <w:r>
        <w:rPr>
          <w:rFonts w:eastAsia="仿宋"/>
          <w:color w:val="auto"/>
          <w:sz w:val="24"/>
          <w:szCs w:val="24"/>
          <w:highlight w:val="none"/>
        </w:rPr>
        <w:t xml:space="preserve">4、分项报价表</w:t>
      </w:r>
      <w:bookmarkEnd w:id="128"/>
      <w:r/>
      <w:bookmarkEnd w:id="129"/>
      <w:r/>
      <w:bookmarkEnd w:id="130"/>
      <w:r/>
      <w:bookmarkEnd w:id="131"/>
      <w:r/>
      <w:bookmarkEnd w:id="127"/>
      <w:r/>
      <w:bookmarkEnd w:id="132"/>
      <w:r/>
      <w:bookmarkEnd w:id="133"/>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分项报价表（参考，可自拟）</w:t>
      </w:r>
      <w:r/>
    </w:p>
    <w:p>
      <w:pPr>
        <w:rPr>
          <w:rFonts w:eastAsia="仿宋"/>
          <w:bCs/>
          <w:color w:val="auto"/>
          <w:sz w:val="24"/>
          <w:highlight w:val="none"/>
        </w:rPr>
      </w:pPr>
      <w:r>
        <w:rPr>
          <w:rFonts w:eastAsia="仿宋"/>
          <w:bCs/>
          <w:color w:val="auto"/>
          <w:sz w:val="24"/>
          <w:highlight w:val="none"/>
        </w:rPr>
        <w:t xml:space="preserve">项目名称：                                     项目编号：</w:t>
      </w:r>
      <w:r/>
    </w:p>
    <w:tbl>
      <w:tblPr>
        <w:tblStyle w:val="829"/>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2567"/>
        <w:gridCol w:w="800"/>
        <w:gridCol w:w="1134"/>
        <w:gridCol w:w="1134"/>
        <w:gridCol w:w="1134"/>
        <w:gridCol w:w="1701"/>
      </w:tblGrid>
      <w:tr>
        <w:trPr>
          <w:jc w:val="center"/>
          <w:trHeight w:val="340"/>
        </w:trPr>
        <w:tc>
          <w:tcPr>
            <w:tcW w:w="645"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序号</w:t>
            </w:r>
            <w:r/>
          </w:p>
        </w:tc>
        <w:tc>
          <w:tcPr>
            <w:tcW w:w="2567"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名称</w:t>
            </w:r>
            <w:r/>
          </w:p>
        </w:tc>
        <w:tc>
          <w:tcPr>
            <w:tcW w:w="800"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数量</w:t>
            </w:r>
            <w:r/>
          </w:p>
        </w:tc>
        <w:tc>
          <w:tcPr>
            <w:tcW w:w="1134"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单位</w:t>
            </w:r>
            <w:r/>
          </w:p>
        </w:tc>
        <w:tc>
          <w:tcPr>
            <w:tcW w:w="1134"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单价</w:t>
            </w:r>
            <w:r>
              <w:rPr>
                <w:rStyle w:val="1207"/>
                <w:rFonts w:ascii="Times New Roman" w:hAnsi="Times New Roman" w:eastAsia="仿宋"/>
                <w:b/>
                <w:bCs/>
                <w:color w:val="auto"/>
                <w:sz w:val="24"/>
                <w:highlight w:val="none"/>
              </w:rPr>
              <w:t xml:space="preserve">（元）</w:t>
            </w:r>
            <w:r/>
          </w:p>
        </w:tc>
        <w:tc>
          <w:tcPr>
            <w:tcW w:w="1134"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lang w:val="zh-CN"/>
              </w:rPr>
              <w:t xml:space="preserve">总价（元）</w:t>
            </w:r>
            <w:r/>
          </w:p>
        </w:tc>
        <w:tc>
          <w:tcPr>
            <w:tcW w:w="1701" w:type="dxa"/>
            <w:vAlign w:val="center"/>
            <w:textDirection w:val="lrTb"/>
            <w:noWrap w:val="false"/>
          </w:tcPr>
          <w:p>
            <w:pPr>
              <w:jc w:val="center"/>
              <w:rPr>
                <w:rStyle w:val="1207"/>
                <w:rFonts w:ascii="Times New Roman" w:hAnsi="Times New Roman" w:eastAsia="仿宋"/>
                <w:b/>
                <w:bCs/>
                <w:color w:val="auto"/>
                <w:sz w:val="24"/>
                <w:highlight w:val="none"/>
                <w:lang w:val="zh-CN"/>
              </w:rPr>
            </w:pPr>
            <w:r>
              <w:rPr>
                <w:rStyle w:val="1207"/>
                <w:rFonts w:ascii="Times New Roman" w:hAnsi="Times New Roman" w:eastAsia="仿宋"/>
                <w:b/>
                <w:bCs/>
                <w:color w:val="auto"/>
                <w:sz w:val="24"/>
                <w:highlight w:val="none"/>
              </w:rPr>
              <w:t xml:space="preserve">备注</w:t>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1</w:t>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rPr>
              <w:t xml:space="preserve">餐饮油烟在线监测服务和运营</w:t>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2400</w:t>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台</w:t>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15"/>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2</w:t>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rPr>
              <w:t xml:space="preserve">VOCs在线监测服务和运营</w:t>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35</w:t>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台</w:t>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3</w:t>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rPr>
              <w:t xml:space="preserve">软件系统升级</w:t>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1</w:t>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项</w:t>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4</w:t>
            </w:r>
            <w:r/>
          </w:p>
        </w:tc>
        <w:tc>
          <w:tcPr>
            <w:tcW w:w="2567" w:type="dxa"/>
            <w:vAlign w:val="center"/>
            <w:textDirection w:val="lrTb"/>
            <w:noWrap w:val="false"/>
          </w:tcPr>
          <w:p>
            <w:pPr>
              <w:jc w:val="center"/>
              <w:rPr>
                <w:rFonts w:eastAsia="仿宋"/>
                <w:color w:val="auto"/>
                <w:sz w:val="24"/>
                <w:highlight w:val="none"/>
                <w:lang w:val="zh-CN"/>
              </w:rPr>
            </w:pPr>
            <w:r>
              <w:rPr>
                <w:rFonts w:eastAsia="仿宋"/>
                <w:color w:val="auto"/>
                <w:sz w:val="24"/>
                <w:highlight w:val="none"/>
              </w:rPr>
              <w:t xml:space="preserve">软件系统运维</w:t>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1</w:t>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项</w:t>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5</w:t>
            </w:r>
            <w:r/>
          </w:p>
        </w:tc>
        <w:tc>
          <w:tcPr>
            <w:tcW w:w="2567" w:type="dxa"/>
            <w:vAlign w:val="center"/>
            <w:textDirection w:val="lrTb"/>
            <w:noWrap w:val="false"/>
          </w:tcPr>
          <w:p>
            <w:pPr>
              <w:jc w:val="center"/>
              <w:rPr>
                <w:rFonts w:eastAsia="仿宋"/>
                <w:color w:val="auto"/>
                <w:sz w:val="24"/>
                <w:highlight w:val="none"/>
              </w:rPr>
            </w:pPr>
            <w:r>
              <w:rPr>
                <w:rFonts w:eastAsia="仿宋"/>
                <w:color w:val="auto"/>
                <w:sz w:val="24"/>
                <w:highlight w:val="none"/>
              </w:rPr>
              <w:t xml:space="preserve">其他</w:t>
            </w:r>
            <w:r/>
          </w:p>
        </w:tc>
        <w:tc>
          <w:tcPr>
            <w:tcW w:w="800"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vAlign w:val="center"/>
            <w:textDirection w:val="lrTb"/>
            <w:noWrap w:val="false"/>
          </w:tcPr>
          <w:p>
            <w:pPr>
              <w:jc w:val="center"/>
              <w:rPr>
                <w:rFonts w:eastAsia="仿宋"/>
                <w:color w:val="auto"/>
                <w:sz w:val="24"/>
                <w:highlight w:val="none"/>
              </w:rPr>
            </w:pPr>
            <w:r>
              <w:rPr>
                <w:rFonts w:eastAsia="仿宋"/>
                <w:color w:val="auto"/>
                <w:sz w:val="24"/>
                <w:highlight w:val="none"/>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textDirection w:val="lrTb"/>
            <w:noWrap w:val="false"/>
          </w:tcPr>
          <w:p>
            <w:pPr>
              <w:jc w:val="center"/>
              <w:rPr>
                <w:color w:val="auto"/>
                <w:sz w:val="18"/>
                <w:szCs w:val="18"/>
                <w:highlight w:val="none"/>
              </w:rPr>
            </w:pPr>
            <w:r>
              <w:rPr>
                <w:color w:val="auto"/>
                <w:sz w:val="18"/>
                <w:szCs w:val="18"/>
                <w:highlight w:val="none"/>
              </w:rPr>
            </w:r>
            <w:r/>
          </w:p>
        </w:tc>
        <w:tc>
          <w:tcPr>
            <w:tcW w:w="2567" w:type="dxa"/>
            <w:textDirection w:val="lrTb"/>
            <w:noWrap w:val="false"/>
          </w:tcPr>
          <w:p>
            <w:pPr>
              <w:jc w:val="center"/>
              <w:rPr>
                <w:color w:val="auto"/>
                <w:sz w:val="18"/>
                <w:szCs w:val="18"/>
                <w:highlight w:val="none"/>
                <w:lang w:val="zh-CN"/>
              </w:rPr>
            </w:pPr>
            <w:r>
              <w:rPr>
                <w:rFonts w:ascii="Arial" w:hAnsi="Arial" w:cs="Arial"/>
                <w:color w:val="auto"/>
                <w:sz w:val="18"/>
                <w:szCs w:val="18"/>
                <w:highlight w:val="none"/>
                <w:lang w:val="zh-CN"/>
              </w:rPr>
              <w:t xml:space="preserve">…</w:t>
            </w:r>
            <w:r/>
          </w:p>
        </w:tc>
        <w:tc>
          <w:tcPr>
            <w:tcW w:w="800" w:type="dxa"/>
            <w:textDirection w:val="lrTb"/>
            <w:noWrap w:val="false"/>
          </w:tcPr>
          <w:p>
            <w:pPr>
              <w:jc w:val="center"/>
              <w:rPr>
                <w:color w:val="auto"/>
                <w:sz w:val="18"/>
                <w:szCs w:val="18"/>
                <w:highlight w:val="none"/>
              </w:rPr>
            </w:pPr>
            <w:r>
              <w:rPr>
                <w:color w:val="auto"/>
                <w:sz w:val="18"/>
                <w:szCs w:val="18"/>
                <w:highlight w:val="none"/>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15"/>
        </w:trPr>
        <w:tc>
          <w:tcPr>
            <w:tcW w:w="645"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2567"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800"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2567"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800"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tcW w:w="645" w:type="dxa"/>
            <w:textDirection w:val="lrTb"/>
            <w:noWrap w:val="false"/>
          </w:tcPr>
          <w:p>
            <w:pPr>
              <w:jc w:val="center"/>
              <w:rPr>
                <w:color w:val="auto"/>
                <w:sz w:val="18"/>
                <w:szCs w:val="18"/>
                <w:highlight w:val="none"/>
              </w:rPr>
            </w:pPr>
            <w:r>
              <w:rPr>
                <w:color w:val="auto"/>
                <w:sz w:val="18"/>
                <w:szCs w:val="18"/>
                <w:highlight w:val="none"/>
              </w:rPr>
            </w:r>
            <w:r/>
          </w:p>
        </w:tc>
        <w:tc>
          <w:tcPr>
            <w:tcW w:w="2567"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800"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color w:val="auto"/>
                <w:sz w:val="18"/>
                <w:szCs w:val="18"/>
                <w:highlight w:val="none"/>
                <w:lang w:val="zh-CN"/>
              </w:rPr>
            </w:pPr>
            <w:r>
              <w:rPr>
                <w:color w:val="auto"/>
                <w:sz w:val="18"/>
                <w:szCs w:val="18"/>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134"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c>
          <w:tcPr>
            <w:tcW w:w="1701" w:type="dxa"/>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r>
        <w:trPr>
          <w:jc w:val="center"/>
          <w:trHeight w:val="340"/>
        </w:trPr>
        <w:tc>
          <w:tcPr>
            <w:gridSpan w:val="2"/>
            <w:tcW w:w="3212" w:type="dxa"/>
            <w:vAlign w:val="center"/>
            <w:textDirection w:val="lrTb"/>
            <w:noWrap w:val="false"/>
          </w:tcPr>
          <w:p>
            <w:pPr>
              <w:jc w:val="center"/>
              <w:rPr>
                <w:rStyle w:val="1207"/>
                <w:rFonts w:ascii="Times New Roman" w:hAnsi="Times New Roman" w:eastAsia="仿宋"/>
                <w:color w:val="auto"/>
                <w:sz w:val="24"/>
                <w:highlight w:val="none"/>
                <w:lang w:val="zh-CN"/>
              </w:rPr>
            </w:pPr>
            <w:r>
              <w:rPr>
                <w:rStyle w:val="1207"/>
                <w:rFonts w:ascii="Times New Roman" w:hAnsi="Times New Roman" w:eastAsia="仿宋"/>
                <w:color w:val="auto"/>
                <w:sz w:val="24"/>
                <w:highlight w:val="none"/>
                <w:lang w:val="zh-CN"/>
              </w:rPr>
              <w:t xml:space="preserve">总价</w:t>
            </w:r>
            <w:r>
              <w:rPr>
                <w:rStyle w:val="1207"/>
                <w:rFonts w:ascii="Times New Roman" w:hAnsi="Times New Roman" w:eastAsia="仿宋"/>
                <w:color w:val="auto"/>
                <w:sz w:val="24"/>
                <w:highlight w:val="none"/>
              </w:rPr>
              <w:t xml:space="preserve">合计</w:t>
            </w:r>
            <w:r>
              <w:rPr>
                <w:rStyle w:val="1207"/>
                <w:rFonts w:ascii="Times New Roman" w:hAnsi="Times New Roman" w:eastAsia="仿宋"/>
                <w:color w:val="auto"/>
                <w:sz w:val="24"/>
                <w:highlight w:val="none"/>
                <w:lang w:val="zh-CN"/>
              </w:rPr>
              <w:t xml:space="preserve">：</w:t>
            </w:r>
            <w:r/>
          </w:p>
        </w:tc>
        <w:tc>
          <w:tcPr>
            <w:gridSpan w:val="5"/>
            <w:tcW w:w="5903" w:type="dxa"/>
            <w:vAlign w:val="center"/>
            <w:textDirection w:val="lrTb"/>
            <w:noWrap w:val="false"/>
          </w:tcPr>
          <w:p>
            <w:pPr>
              <w:jc w:val="center"/>
              <w:rPr>
                <w:rStyle w:val="1207"/>
                <w:rFonts w:ascii="Times New Roman" w:hAnsi="Times New Roman" w:eastAsia="仿宋"/>
                <w:color w:val="auto"/>
                <w:sz w:val="24"/>
                <w:highlight w:val="none"/>
                <w:lang w:val="zh-CN"/>
              </w:rPr>
            </w:pPr>
            <w:r>
              <w:rPr>
                <w:rFonts w:ascii="Times New Roman" w:hAnsi="Times New Roman" w:eastAsia="仿宋"/>
                <w:color w:val="auto"/>
                <w:sz w:val="24"/>
                <w:highlight w:val="none"/>
                <w:lang w:val="zh-CN"/>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widowControl/>
        <w:rPr>
          <w:rFonts w:eastAsia="仿宋"/>
          <w:color w:val="auto"/>
          <w:szCs w:val="21"/>
          <w:highlight w:val="none"/>
        </w:rPr>
      </w:pPr>
      <w:r>
        <w:rPr>
          <w:rFonts w:eastAsia="仿宋"/>
          <w:color w:val="auto"/>
          <w:szCs w:val="21"/>
          <w:highlight w:val="none"/>
        </w:rPr>
        <w:br w:type="page" w:clear="all"/>
      </w:r>
      <w:r/>
    </w:p>
    <w:p>
      <w:pPr>
        <w:jc w:val="left"/>
        <w:spacing w:after="240" w:line="360" w:lineRule="auto"/>
        <w:shd w:val="clear" w:color="auto" w:fill="ffffff"/>
        <w:widowControl/>
        <w:rPr>
          <w:rFonts w:eastAsia="仿宋"/>
          <w:color w:val="auto"/>
          <w:sz w:val="24"/>
          <w:highlight w:val="none"/>
        </w:rPr>
        <w:outlineLvl w:val="2"/>
      </w:pPr>
      <w:r/>
      <w:bookmarkStart w:id="134" w:name="_Toc21203"/>
      <w:r>
        <w:rPr>
          <w:rFonts w:eastAsia="仿宋"/>
          <w:b/>
          <w:bCs/>
          <w:color w:val="auto"/>
          <w:sz w:val="24"/>
          <w:highlight w:val="none"/>
        </w:rPr>
        <w:t xml:space="preserve">5、</w:t>
      </w:r>
      <w:r>
        <w:rPr>
          <w:rFonts w:hint="eastAsia" w:eastAsia="仿宋"/>
          <w:b/>
          <w:bCs/>
          <w:color w:val="auto"/>
          <w:sz w:val="24"/>
          <w:highlight w:val="none"/>
        </w:rPr>
        <w:t xml:space="preserve">技术条款</w:t>
      </w:r>
      <w:r>
        <w:rPr>
          <w:rFonts w:eastAsia="仿宋"/>
          <w:b/>
          <w:bCs/>
          <w:color w:val="auto"/>
          <w:sz w:val="24"/>
          <w:highlight w:val="none"/>
        </w:rPr>
        <w:t xml:space="preserve">偏离表格式</w:t>
      </w:r>
      <w:bookmarkEnd w:id="134"/>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rPr>
        <w:t xml:space="preserve">技术条款</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rPr>
          <w:rFonts w:eastAsia="仿宋"/>
          <w:color w:val="auto"/>
          <w:sz w:val="24"/>
          <w:highlight w:val="none"/>
        </w:rPr>
        <w:t xml:space="preserve">项目名称：</w:t>
      </w:r>
      <w:r>
        <w:rPr>
          <w:rFonts w:eastAsia="仿宋"/>
          <w:color w:val="auto"/>
          <w:sz w:val="24"/>
          <w:highlight w:val="none"/>
        </w:rPr>
        <w:tab/>
      </w:r>
      <w:r>
        <w:rPr>
          <w:rFonts w:eastAsia="仿宋"/>
          <w:color w:val="auto"/>
          <w:sz w:val="24"/>
          <w:highlight w:val="none"/>
        </w:rPr>
        <w:t xml:space="preserve">                             项目编号：  </w:t>
      </w:r>
      <w:r/>
    </w:p>
    <w:tbl>
      <w:tblPr>
        <w:tblStyle w:val="8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58"/>
        <w:gridCol w:w="1894"/>
        <w:gridCol w:w="1787"/>
        <w:gridCol w:w="1049"/>
        <w:gridCol w:w="913"/>
        <w:gridCol w:w="2326"/>
      </w:tblGrid>
      <w:tr>
        <w:trPr>
          <w:jc w:val="center"/>
          <w:trHeight w:val="480"/>
        </w:trPr>
        <w:tc>
          <w:tcPr>
            <w:tcMar>
              <w:left w:w="10" w:type="dxa"/>
              <w:top w:w="0" w:type="dxa"/>
              <w:right w:w="10" w:type="dxa"/>
              <w:bottom w:w="0" w:type="dxa"/>
            </w:tcMar>
            <w:tcW w:w="327" w:type="pct"/>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110" w:type="pct"/>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采购文件条目号</w:t>
            </w:r>
            <w:r/>
          </w:p>
        </w:tc>
        <w:tc>
          <w:tcPr>
            <w:tcMar>
              <w:left w:w="10" w:type="dxa"/>
              <w:top w:w="0" w:type="dxa"/>
              <w:right w:w="10" w:type="dxa"/>
              <w:bottom w:w="0" w:type="dxa"/>
            </w:tcMar>
            <w:tcW w:w="1047" w:type="pct"/>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招标要求规格</w:t>
            </w:r>
            <w:r/>
          </w:p>
        </w:tc>
        <w:tc>
          <w:tcPr>
            <w:tcMar>
              <w:left w:w="10" w:type="dxa"/>
              <w:top w:w="0" w:type="dxa"/>
              <w:right w:w="10" w:type="dxa"/>
              <w:bottom w:w="0" w:type="dxa"/>
            </w:tcMar>
            <w:tcW w:w="615" w:type="pct"/>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投标响应</w:t>
            </w:r>
            <w:r/>
          </w:p>
        </w:tc>
        <w:tc>
          <w:tcPr>
            <w:tcMar>
              <w:left w:w="10" w:type="dxa"/>
              <w:top w:w="0" w:type="dxa"/>
              <w:right w:w="10" w:type="dxa"/>
              <w:bottom w:w="0" w:type="dxa"/>
            </w:tcMar>
            <w:tcW w:w="535" w:type="pct"/>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偏离</w:t>
            </w:r>
            <w:r/>
          </w:p>
        </w:tc>
        <w:tc>
          <w:tcPr>
            <w:shd w:val="clear" w:color="auto" w:fill="auto"/>
            <w:tcMar>
              <w:left w:w="10" w:type="dxa"/>
              <w:top w:w="0" w:type="dxa"/>
              <w:right w:w="10" w:type="dxa"/>
              <w:bottom w:w="0" w:type="dxa"/>
            </w:tcMar>
            <w:tcW w:w="1363" w:type="pct"/>
            <w:vAlign w:val="center"/>
            <w:textDirection w:val="lrTb"/>
            <w:noWrap w:val="false"/>
          </w:tcPr>
          <w:p>
            <w:pPr>
              <w:jc w:val="center"/>
              <w:rPr>
                <w:rFonts w:eastAsia="仿宋"/>
                <w:color w:val="auto"/>
                <w:sz w:val="24"/>
                <w:highlight w:val="none"/>
                <w:lang w:val="zh-CN"/>
              </w:rPr>
            </w:pPr>
            <w:r>
              <w:rPr>
                <w:rFonts w:eastAsia="仿宋"/>
                <w:color w:val="auto"/>
                <w:sz w:val="24"/>
                <w:highlight w:val="none"/>
                <w:lang w:val="zh-CN"/>
              </w:rPr>
              <w:t xml:space="preserve">偏离情况详细说明</w:t>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shd w:val="clear" w:color="auto" w:fill="auto"/>
            <w:tcMar>
              <w:left w:w="10" w:type="dxa"/>
              <w:top w:w="0" w:type="dxa"/>
              <w:right w:w="10" w:type="dxa"/>
              <w:bottom w:w="0" w:type="dxa"/>
            </w:tcMar>
            <w:tcW w:w="1363" w:type="pct"/>
            <w:vAlign w:val="center"/>
            <w:textDirection w:val="lrTb"/>
            <w:noWrap w:val="false"/>
          </w:tcPr>
          <w:p>
            <w:pPr>
              <w:jc w:val="left"/>
              <w:rPr>
                <w:rFonts w:eastAsia="仿宋"/>
                <w:color w:val="auto"/>
                <w:sz w:val="24"/>
                <w:highlight w:val="none"/>
              </w:rPr>
            </w:pPr>
            <w:r>
              <w:rPr>
                <w:rFonts w:eastAsia="仿宋"/>
                <w:b/>
                <w:bCs/>
                <w:color w:val="auto"/>
                <w:highlight w:val="none"/>
              </w:rPr>
              <w:t xml:space="preserve">各技术参数如需要提供白皮书、彩页、手册、测试报告等证明材料的，需标注出在</w:t>
            </w:r>
            <w:r>
              <w:rPr>
                <w:rFonts w:hint="eastAsia" w:eastAsia="仿宋"/>
                <w:b/>
                <w:bCs/>
                <w:color w:val="auto"/>
                <w:highlight w:val="none"/>
              </w:rPr>
              <w:t xml:space="preserve">投标</w:t>
            </w:r>
            <w:r>
              <w:rPr>
                <w:rFonts w:eastAsia="仿宋"/>
                <w:b/>
                <w:bCs/>
                <w:color w:val="auto"/>
                <w:highlight w:val="none"/>
              </w:rPr>
              <w:t xml:space="preserve">文件中对应的页码，并在所附证明材料中用方框框出对应条款</w:t>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363"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363"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363"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363"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2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10"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47"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61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535"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363" w:type="pct"/>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lang w:val="zh-CN"/>
        </w:rPr>
      </w:pPr>
      <w:r>
        <w:rPr>
          <w:rFonts w:eastAsia="仿宋"/>
          <w:color w:val="auto"/>
          <w:sz w:val="24"/>
          <w:highlight w:val="none"/>
        </w:rPr>
        <w:t xml:space="preserve">说明：1</w:t>
      </w:r>
      <w:r>
        <w:rPr>
          <w:rFonts w:eastAsia="仿宋"/>
          <w:color w:val="auto"/>
          <w:sz w:val="24"/>
          <w:highlight w:val="none"/>
          <w:lang w:val="zh-CN"/>
        </w:rPr>
        <w:t xml:space="preserve">、如果行数不够，请自行增加。</w:t>
      </w:r>
      <w:r/>
    </w:p>
    <w:p>
      <w:pPr>
        <w:spacing w:line="360" w:lineRule="auto"/>
        <w:rPr>
          <w:rFonts w:eastAsia="仿宋"/>
          <w:color w:val="auto"/>
          <w:sz w:val="24"/>
          <w:highlight w:val="none"/>
          <w:lang w:val="zh-CN"/>
        </w:rPr>
      </w:pPr>
      <w:r>
        <w:rPr>
          <w:rFonts w:eastAsia="仿宋"/>
          <w:color w:val="auto"/>
          <w:sz w:val="24"/>
          <w:highlight w:val="none"/>
          <w:lang w:val="zh-CN"/>
        </w:rPr>
        <w:t xml:space="preserve">2、“偏离”栏应注明“无偏离”或“正偏离”或“负偏离”。</w:t>
      </w:r>
      <w:r/>
    </w:p>
    <w:p>
      <w:pPr>
        <w:spacing w:line="360" w:lineRule="auto"/>
        <w:rPr>
          <w:rFonts w:eastAsia="仿宋"/>
          <w:color w:val="auto"/>
          <w:sz w:val="24"/>
          <w:highlight w:val="none"/>
          <w:lang w:val="zh-CN"/>
        </w:rPr>
      </w:pPr>
      <w:r>
        <w:rPr>
          <w:rFonts w:eastAsia="仿宋"/>
          <w:color w:val="auto"/>
          <w:sz w:val="24"/>
          <w:highlight w:val="none"/>
        </w:rPr>
        <w:t xml:space="preserve">3、供应商</w:t>
      </w:r>
      <w:r>
        <w:rPr>
          <w:rFonts w:eastAsia="仿宋"/>
          <w:color w:val="auto"/>
          <w:sz w:val="24"/>
          <w:highlight w:val="none"/>
          <w:lang w:val="zh-CN"/>
        </w:rPr>
        <w:t xml:space="preserve">应在上表中明确</w:t>
      </w:r>
      <w:r>
        <w:rPr>
          <w:rFonts w:hint="eastAsia" w:eastAsia="仿宋"/>
          <w:color w:val="auto"/>
          <w:sz w:val="24"/>
          <w:highlight w:val="none"/>
        </w:rPr>
        <w:t xml:space="preserve">投标</w:t>
      </w:r>
      <w:r>
        <w:rPr>
          <w:rFonts w:eastAsia="仿宋"/>
          <w:color w:val="auto"/>
          <w:sz w:val="24"/>
          <w:highlight w:val="none"/>
          <w:lang w:val="zh-CN"/>
        </w:rPr>
        <w:t xml:space="preserve">文件</w:t>
      </w:r>
      <w:r>
        <w:rPr>
          <w:rFonts w:eastAsia="仿宋"/>
          <w:color w:val="auto"/>
          <w:sz w:val="24"/>
          <w:highlight w:val="none"/>
        </w:rPr>
        <w:t xml:space="preserve">技术</w:t>
      </w:r>
      <w:r>
        <w:rPr>
          <w:rFonts w:eastAsia="仿宋"/>
          <w:color w:val="auto"/>
          <w:sz w:val="24"/>
          <w:highlight w:val="none"/>
          <w:lang w:val="zh-CN"/>
        </w:rPr>
        <w:t xml:space="preserve">部分与</w:t>
      </w:r>
      <w:r>
        <w:rPr>
          <w:rFonts w:eastAsia="仿宋"/>
          <w:color w:val="auto"/>
          <w:sz w:val="24"/>
          <w:highlight w:val="none"/>
        </w:rPr>
        <w:t xml:space="preserve">采购</w:t>
      </w:r>
      <w:r>
        <w:rPr>
          <w:rFonts w:eastAsia="仿宋"/>
          <w:color w:val="auto"/>
          <w:sz w:val="24"/>
          <w:highlight w:val="none"/>
          <w:lang w:val="zh-CN"/>
        </w:rPr>
        <w:t xml:space="preserve">文件要求的</w:t>
      </w:r>
      <w:r>
        <w:rPr>
          <w:rFonts w:eastAsia="仿宋"/>
          <w:color w:val="auto"/>
          <w:sz w:val="24"/>
          <w:highlight w:val="none"/>
        </w:rPr>
        <w:t xml:space="preserve">技术</w:t>
      </w:r>
      <w:r>
        <w:rPr>
          <w:rFonts w:eastAsia="仿宋"/>
          <w:color w:val="auto"/>
          <w:sz w:val="24"/>
          <w:highlight w:val="none"/>
          <w:lang w:val="zh-CN"/>
        </w:rPr>
        <w:t xml:space="preserve">条款偏离情况，如有偏离（包括正偏离和负偏离）,</w:t>
      </w:r>
      <w:r>
        <w:rPr>
          <w:rFonts w:eastAsia="仿宋"/>
          <w:color w:val="auto"/>
          <w:sz w:val="24"/>
          <w:highlight w:val="none"/>
        </w:rPr>
        <w:t xml:space="preserve">供应商</w:t>
      </w:r>
      <w:r>
        <w:rPr>
          <w:rFonts w:eastAsia="仿宋"/>
          <w:color w:val="auto"/>
          <w:sz w:val="24"/>
          <w:highlight w:val="none"/>
          <w:lang w:val="zh-CN"/>
        </w:rPr>
        <w:t xml:space="preserve">应详细说明</w:t>
      </w:r>
      <w:r>
        <w:rPr>
          <w:rFonts w:eastAsia="仿宋"/>
          <w:color w:val="auto"/>
          <w:sz w:val="24"/>
          <w:highlight w:val="none"/>
        </w:rPr>
        <w:t xml:space="preserve">,</w:t>
      </w:r>
      <w:r>
        <w:rPr>
          <w:rFonts w:eastAsia="仿宋"/>
          <w:color w:val="auto"/>
          <w:sz w:val="24"/>
          <w:highlight w:val="none"/>
          <w:lang w:val="zh-CN"/>
        </w:rPr>
        <w:t xml:space="preserve">偏离情况详细说明可另页描述，但须在“偏离情况详细说明”栏标注其在</w:t>
      </w:r>
      <w:r>
        <w:rPr>
          <w:rFonts w:hint="eastAsia" w:eastAsia="仿宋"/>
          <w:color w:val="auto"/>
          <w:sz w:val="24"/>
          <w:highlight w:val="none"/>
        </w:rPr>
        <w:t xml:space="preserve">投标</w:t>
      </w:r>
      <w:r>
        <w:rPr>
          <w:rFonts w:eastAsia="仿宋"/>
          <w:color w:val="auto"/>
          <w:sz w:val="24"/>
          <w:highlight w:val="none"/>
          <w:lang w:val="zh-CN"/>
        </w:rPr>
        <w:t xml:space="preserve">文件对应的页码，</w:t>
      </w:r>
      <w:r>
        <w:rPr>
          <w:rFonts w:eastAsia="仿宋"/>
          <w:color w:val="auto"/>
          <w:sz w:val="24"/>
          <w:highlight w:val="none"/>
        </w:rPr>
        <w:t xml:space="preserve">并在证明材料中用方框框出对应条款。本</w:t>
      </w:r>
      <w:r>
        <w:rPr>
          <w:rFonts w:eastAsia="仿宋"/>
          <w:color w:val="auto"/>
          <w:sz w:val="24"/>
          <w:highlight w:val="none"/>
          <w:lang w:val="zh-CN"/>
        </w:rPr>
        <w:t xml:space="preserve">表不作为</w:t>
      </w:r>
      <w:r>
        <w:rPr>
          <w:rFonts w:eastAsia="仿宋"/>
          <w:color w:val="auto"/>
          <w:sz w:val="24"/>
          <w:highlight w:val="none"/>
        </w:rPr>
        <w:t xml:space="preserve">供应商</w:t>
      </w:r>
      <w:r>
        <w:rPr>
          <w:rFonts w:eastAsia="仿宋"/>
          <w:color w:val="auto"/>
          <w:sz w:val="24"/>
          <w:highlight w:val="none"/>
          <w:lang w:val="zh-CN"/>
        </w:rPr>
        <w:t xml:space="preserve">对所投项目关于</w:t>
      </w:r>
      <w:r>
        <w:rPr>
          <w:rFonts w:eastAsia="仿宋"/>
          <w:color w:val="auto"/>
          <w:sz w:val="24"/>
          <w:highlight w:val="none"/>
        </w:rPr>
        <w:t xml:space="preserve">技术</w:t>
      </w:r>
      <w:r>
        <w:rPr>
          <w:rFonts w:eastAsia="仿宋"/>
          <w:color w:val="auto"/>
          <w:sz w:val="24"/>
          <w:highlight w:val="none"/>
          <w:lang w:val="zh-CN"/>
        </w:rPr>
        <w:t xml:space="preserve">条款等详细描述和说明的替代。</w:t>
      </w:r>
      <w:r>
        <w:rPr>
          <w:rFonts w:eastAsia="仿宋"/>
          <w:color w:val="auto"/>
          <w:sz w:val="24"/>
          <w:highlight w:val="none"/>
        </w:rPr>
        <w:t xml:space="preserve">供应商须按要求填写技术</w:t>
      </w:r>
      <w:r>
        <w:rPr>
          <w:rFonts w:hint="eastAsia" w:eastAsia="仿宋"/>
          <w:color w:val="auto"/>
          <w:sz w:val="24"/>
          <w:highlight w:val="none"/>
        </w:rPr>
        <w:t xml:space="preserve">条款</w:t>
      </w:r>
      <w:r>
        <w:rPr>
          <w:rFonts w:eastAsia="仿宋"/>
          <w:color w:val="auto"/>
          <w:sz w:val="24"/>
          <w:highlight w:val="none"/>
        </w:rPr>
        <w:t xml:space="preserve">响应表，否则造成错漏责任自负。</w:t>
      </w:r>
      <w:r/>
    </w:p>
    <w:p>
      <w:pPr>
        <w:spacing w:line="360" w:lineRule="auto"/>
        <w:rPr>
          <w:rFonts w:eastAsia="仿宋"/>
          <w:color w:val="auto"/>
          <w:szCs w:val="21"/>
          <w:highlight w:val="none"/>
        </w:rPr>
      </w:pPr>
      <w:r>
        <w:rPr>
          <w:rFonts w:eastAsia="仿宋"/>
          <w:color w:val="auto"/>
          <w:sz w:val="24"/>
          <w:highlight w:val="none"/>
          <w:lang w:val="zh-CN"/>
        </w:rPr>
        <w:t xml:space="preserve">4、本表所称技术条款主要针对采购文件第四</w:t>
      </w:r>
      <w:r>
        <w:rPr>
          <w:rFonts w:hint="eastAsia" w:eastAsia="仿宋"/>
          <w:color w:val="auto"/>
          <w:sz w:val="24"/>
          <w:highlight w:val="none"/>
        </w:rPr>
        <w:t xml:space="preserve">章</w:t>
      </w:r>
      <w:r>
        <w:rPr>
          <w:rFonts w:eastAsia="仿宋"/>
          <w:color w:val="auto"/>
          <w:sz w:val="24"/>
          <w:highlight w:val="none"/>
          <w:lang w:val="zh-CN"/>
        </w:rPr>
        <w:t xml:space="preserve">采购需求中的</w:t>
      </w:r>
      <w:r>
        <w:rPr>
          <w:rFonts w:hint="eastAsia" w:eastAsia="仿宋"/>
          <w:color w:val="auto"/>
          <w:sz w:val="24"/>
          <w:highlight w:val="none"/>
        </w:rPr>
        <w:t xml:space="preserve">技术实质性要求</w:t>
      </w:r>
      <w:r>
        <w:rPr>
          <w:rFonts w:eastAsia="仿宋"/>
          <w:color w:val="auto"/>
          <w:sz w:val="24"/>
          <w:highlight w:val="none"/>
          <w:lang w:val="zh-CN"/>
        </w:rPr>
        <w:t xml:space="preserve">逐一</w:t>
      </w:r>
      <w:r>
        <w:rPr>
          <w:rFonts w:hint="eastAsia" w:eastAsia="仿宋"/>
          <w:color w:val="auto"/>
          <w:sz w:val="24"/>
          <w:highlight w:val="none"/>
        </w:rPr>
        <w:t xml:space="preserve">说明；采购清单</w:t>
      </w:r>
      <w:r>
        <w:rPr>
          <w:rFonts w:eastAsia="仿宋"/>
          <w:color w:val="auto"/>
          <w:sz w:val="24"/>
          <w:highlight w:val="none"/>
          <w:lang w:val="zh-CN"/>
        </w:rPr>
        <w:t xml:space="preserve">相关技术要求等逐一说明，按照要求提供产品说明书或检测报告等。</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eastAsia="仿宋"/>
          <w:b/>
          <w:bCs/>
          <w:color w:val="auto"/>
          <w:szCs w:val="21"/>
          <w:highlight w:val="none"/>
        </w:rPr>
        <w:br w:type="page" w:clear="all"/>
      </w:r>
      <w:bookmarkStart w:id="135" w:name="_Toc21773"/>
      <w:r>
        <w:rPr>
          <w:rFonts w:eastAsia="仿宋"/>
          <w:b/>
          <w:bCs/>
          <w:color w:val="auto"/>
          <w:sz w:val="24"/>
          <w:highlight w:val="none"/>
        </w:rPr>
        <w:t xml:space="preserve">6、商务条款偏离表格式</w:t>
      </w:r>
      <w:bookmarkEnd w:id="135"/>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商务条款偏离表</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 目名称：</w:t>
      </w:r>
      <w:r>
        <w:rPr>
          <w:rFonts w:eastAsia="仿宋"/>
          <w:color w:val="auto"/>
          <w:sz w:val="24"/>
          <w:highlight w:val="none"/>
        </w:rPr>
        <w:tab/>
      </w:r>
      <w:r>
        <w:rPr>
          <w:rFonts w:eastAsia="仿宋"/>
          <w:color w:val="auto"/>
          <w:sz w:val="24"/>
          <w:highlight w:val="none"/>
        </w:rPr>
        <w:t xml:space="preserve">                                 项目编号：         </w:t>
      </w:r>
      <w:r/>
    </w:p>
    <w:tbl>
      <w:tblPr>
        <w:tblStyle w:val="82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采购文件条目号</w:t>
            </w:r>
            <w:r/>
          </w:p>
        </w:tc>
        <w:tc>
          <w:tcPr>
            <w:tcMar>
              <w:left w:w="10" w:type="dxa"/>
              <w:top w:w="0" w:type="dxa"/>
              <w:right w:w="10" w:type="dxa"/>
              <w:bottom w:w="0" w:type="dxa"/>
            </w:tcMar>
            <w:tcW w:w="270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采购文件要求的商务条款</w:t>
            </w:r>
            <w:r/>
          </w:p>
        </w:tc>
        <w:tc>
          <w:tcPr>
            <w:tcMar>
              <w:left w:w="10" w:type="dxa"/>
              <w:top w:w="0" w:type="dxa"/>
              <w:right w:w="10" w:type="dxa"/>
              <w:bottom w:w="0" w:type="dxa"/>
            </w:tcMar>
            <w:tcW w:w="2363"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说明：如果行数不够，请自行增加。</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after="240" w:line="360" w:lineRule="auto"/>
        <w:shd w:val="clear" w:color="auto" w:fill="ffffff"/>
        <w:widowControl/>
        <w:rPr>
          <w:rFonts w:eastAsia="仿宋"/>
          <w:b/>
          <w:bCs/>
          <w:color w:val="auto"/>
          <w:sz w:val="24"/>
          <w:highlight w:val="none"/>
          <w:lang w:val="zh-CN"/>
        </w:rPr>
        <w:outlineLvl w:val="2"/>
      </w:pPr>
      <w:r>
        <w:rPr>
          <w:rFonts w:eastAsia="仿宋"/>
          <w:b/>
          <w:bCs/>
          <w:color w:val="auto"/>
          <w:szCs w:val="21"/>
          <w:highlight w:val="none"/>
        </w:rPr>
        <w:br w:type="page" w:clear="all"/>
      </w:r>
      <w:bookmarkStart w:id="136" w:name="_Toc26894"/>
      <w:r>
        <w:rPr>
          <w:rFonts w:eastAsia="仿宋"/>
          <w:b/>
          <w:bCs/>
          <w:color w:val="auto"/>
          <w:sz w:val="24"/>
          <w:highlight w:val="none"/>
        </w:rPr>
        <w:t xml:space="preserve">7、采购文件要求及投标人认为需要提供的其他证明文件及材料</w:t>
      </w:r>
      <w:bookmarkEnd w:id="136"/>
      <w:r/>
      <w:r/>
    </w:p>
    <w:p>
      <w:pPr>
        <w:rPr>
          <w:rFonts w:eastAsia="仿宋"/>
          <w:b/>
          <w:color w:val="auto"/>
          <w:sz w:val="24"/>
          <w:highlight w:val="none"/>
        </w:rPr>
      </w:pPr>
      <w:r>
        <w:rPr>
          <w:rFonts w:eastAsia="仿宋"/>
          <w:b/>
          <w:color w:val="auto"/>
          <w:sz w:val="24"/>
          <w:highlight w:val="none"/>
        </w:rPr>
        <w:br w:type="page" w:clear="all"/>
      </w:r>
      <w:r/>
    </w:p>
    <w:p>
      <w:pPr>
        <w:jc w:val="left"/>
        <w:spacing w:line="360" w:lineRule="auto"/>
        <w:shd w:val="clear" w:color="auto" w:fill="ffffff"/>
        <w:widowControl/>
        <w:rPr>
          <w:rFonts w:eastAsia="仿宋"/>
          <w:b/>
          <w:color w:val="auto"/>
          <w:sz w:val="24"/>
          <w:highlight w:val="none"/>
        </w:rPr>
        <w:outlineLvl w:val="1"/>
      </w:pPr>
      <w:r/>
      <w:bookmarkStart w:id="137" w:name="_Toc45"/>
      <w:r>
        <w:rPr>
          <w:rFonts w:eastAsia="仿宋"/>
          <w:b/>
          <w:color w:val="auto"/>
          <w:sz w:val="24"/>
          <w:highlight w:val="none"/>
        </w:rPr>
        <w:t xml:space="preserve">二、资格文件</w:t>
      </w:r>
      <w:bookmarkEnd w:id="137"/>
      <w:r/>
      <w:r/>
    </w:p>
    <w:p>
      <w:pPr>
        <w:jc w:val="center"/>
        <w:spacing w:line="360" w:lineRule="auto"/>
        <w:rPr>
          <w:rFonts w:eastAsia="仿宋"/>
          <w:b/>
          <w:bCs/>
          <w:color w:val="auto"/>
          <w:sz w:val="32"/>
          <w:szCs w:val="32"/>
          <w:highlight w:val="none"/>
        </w:rPr>
      </w:pPr>
      <w:r>
        <w:rPr>
          <w:rFonts w:eastAsia="仿宋"/>
          <w:b/>
          <w:bCs/>
          <w:color w:val="auto"/>
          <w:sz w:val="32"/>
          <w:szCs w:val="32"/>
          <w:highlight w:val="none"/>
        </w:rPr>
        <w:t xml:space="preserve"> 资格证明文件</w:t>
      </w:r>
      <w:r/>
    </w:p>
    <w:p>
      <w:pPr>
        <w:ind w:firstLine="484"/>
        <w:spacing w:line="360" w:lineRule="auto"/>
        <w:rPr>
          <w:rFonts w:eastAsia="仿宋"/>
          <w:color w:val="auto"/>
          <w:sz w:val="24"/>
          <w:highlight w:val="none"/>
          <w:lang w:val="zh-CN"/>
        </w:rPr>
      </w:pPr>
      <w:r/>
      <w:bookmarkStart w:id="138" w:name="_Toc1390"/>
      <w:r/>
      <w:bookmarkStart w:id="139" w:name="_Toc19376"/>
      <w:r/>
      <w:bookmarkStart w:id="140" w:name="_Toc7902"/>
      <w:r>
        <w:rPr>
          <w:rFonts w:eastAsia="仿宋"/>
          <w:color w:val="auto"/>
          <w:sz w:val="24"/>
          <w:highlight w:val="none"/>
          <w:lang w:val="zh-CN"/>
        </w:rPr>
        <w:t xml:space="preserve">1.</w:t>
      </w:r>
      <w:r>
        <w:rPr>
          <w:rFonts w:eastAsia="仿宋"/>
          <w:color w:val="auto"/>
          <w:sz w:val="24"/>
          <w:highlight w:val="none"/>
        </w:rPr>
        <w:t xml:space="preserve">具有独立承担民事责任的能力（提供法人或者其他组织提供营业执照或法人证书或组织机构代码证复印件加盖电子公章，自然人提供身份证复印件</w:t>
      </w:r>
      <w:r>
        <w:rPr>
          <w:rFonts w:eastAsia="仿宋"/>
          <w:color w:val="auto"/>
          <w:sz w:val="24"/>
          <w:highlight w:val="none"/>
          <w:lang w:val="zh-CN"/>
        </w:rPr>
        <w:t xml:space="preserve">加盖</w:t>
      </w:r>
      <w:r>
        <w:rPr>
          <w:rFonts w:eastAsia="仿宋"/>
          <w:color w:val="auto"/>
          <w:sz w:val="24"/>
          <w:highlight w:val="none"/>
        </w:rPr>
        <w:t xml:space="preserve">电子</w:t>
      </w:r>
      <w:r>
        <w:rPr>
          <w:rFonts w:eastAsia="仿宋"/>
          <w:color w:val="auto"/>
          <w:sz w:val="24"/>
          <w:highlight w:val="none"/>
          <w:lang w:val="zh-CN"/>
        </w:rPr>
        <w:t xml:space="preserve">公章）；</w:t>
      </w:r>
      <w:r/>
    </w:p>
    <w:p>
      <w:pPr>
        <w:ind w:firstLine="484"/>
        <w:spacing w:line="360" w:lineRule="auto"/>
        <w:rPr>
          <w:rFonts w:eastAsia="仿宋"/>
          <w:color w:val="auto"/>
          <w:sz w:val="24"/>
          <w:highlight w:val="none"/>
        </w:rPr>
      </w:pPr>
      <w:r>
        <w:rPr>
          <w:rFonts w:eastAsia="仿宋"/>
          <w:color w:val="auto"/>
          <w:sz w:val="24"/>
          <w:highlight w:val="none"/>
        </w:rPr>
        <w:t xml:space="preserve">2.《南京市政府采购供应商信用记录表暨信用承诺书》（在线打印，法定代表人签字并加盖电子公章）；</w:t>
      </w:r>
      <w:r/>
    </w:p>
    <w:p>
      <w:pPr>
        <w:ind w:firstLine="484"/>
        <w:spacing w:line="360" w:lineRule="auto"/>
        <w:rPr>
          <w:rFonts w:eastAsia="仿宋"/>
          <w:color w:val="auto"/>
          <w:sz w:val="24"/>
          <w:highlight w:val="none"/>
        </w:rPr>
      </w:pPr>
      <w:r>
        <w:rPr>
          <w:rFonts w:eastAsia="仿宋"/>
          <w:color w:val="auto"/>
          <w:sz w:val="24"/>
          <w:highlight w:val="none"/>
        </w:rPr>
        <w:t xml:space="preserve">3</w:t>
      </w:r>
      <w:r>
        <w:rPr>
          <w:rFonts w:eastAsia="仿宋"/>
          <w:color w:val="auto"/>
          <w:sz w:val="24"/>
          <w:highlight w:val="none"/>
          <w:lang w:val="zh-CN"/>
        </w:rPr>
        <w:t xml:space="preserve">.本次采购项目实施所必</w:t>
      </w:r>
      <w:r>
        <w:rPr>
          <w:rFonts w:eastAsia="仿宋"/>
          <w:color w:val="auto"/>
          <w:sz w:val="24"/>
          <w:highlight w:val="none"/>
        </w:rPr>
        <w:t xml:space="preserve">需</w:t>
      </w:r>
      <w:r>
        <w:rPr>
          <w:rFonts w:eastAsia="仿宋"/>
          <w:color w:val="auto"/>
          <w:sz w:val="24"/>
          <w:highlight w:val="none"/>
          <w:lang w:val="zh-CN"/>
        </w:rPr>
        <w:t xml:space="preserve">的许可资质证明材料（若有）</w:t>
      </w:r>
      <w:r>
        <w:rPr>
          <w:rFonts w:eastAsia="仿宋"/>
          <w:color w:val="auto"/>
          <w:sz w:val="24"/>
          <w:highlight w:val="none"/>
        </w:rPr>
        <w:t xml:space="preserve">。</w:t>
      </w:r>
      <w:r/>
    </w:p>
    <w:p>
      <w:pPr>
        <w:ind w:firstLine="482"/>
        <w:spacing w:line="360" w:lineRule="auto"/>
        <w:rPr>
          <w:rFonts w:eastAsia="仿宋"/>
          <w:b/>
          <w:bCs/>
          <w:color w:val="auto"/>
          <w:sz w:val="24"/>
          <w:highlight w:val="none"/>
        </w:rPr>
      </w:pPr>
      <w:r>
        <w:rPr>
          <w:rFonts w:eastAsia="仿宋"/>
          <w:b/>
          <w:bCs/>
          <w:color w:val="auto"/>
          <w:sz w:val="24"/>
          <w:highlight w:val="none"/>
        </w:rPr>
        <w:t xml:space="preserve">注：</w:t>
      </w:r>
      <w:r>
        <w:rPr>
          <w:rFonts w:eastAsia="仿宋"/>
          <w:b/>
          <w:bCs/>
          <w:color w:val="auto"/>
          <w:sz w:val="24"/>
          <w:highlight w:val="none"/>
          <w:lang w:val="zh-CN"/>
        </w:rPr>
        <w:t xml:space="preserve">不</w:t>
      </w:r>
      <w:r>
        <w:rPr>
          <w:rFonts w:eastAsia="仿宋"/>
          <w:b/>
          <w:bCs/>
          <w:color w:val="auto"/>
          <w:sz w:val="24"/>
          <w:highlight w:val="none"/>
        </w:rPr>
        <w:t xml:space="preserve">适用</w:t>
      </w:r>
      <w:r>
        <w:rPr>
          <w:rFonts w:eastAsia="仿宋"/>
          <w:b/>
          <w:bCs/>
          <w:color w:val="auto"/>
          <w:sz w:val="24"/>
          <w:highlight w:val="none"/>
          <w:lang w:val="zh-CN"/>
        </w:rPr>
        <w:t xml:space="preserve">以信用承诺书替代</w:t>
      </w:r>
      <w:r>
        <w:rPr>
          <w:rFonts w:eastAsia="仿宋"/>
          <w:b/>
          <w:bCs/>
          <w:color w:val="auto"/>
          <w:sz w:val="24"/>
          <w:highlight w:val="none"/>
        </w:rPr>
        <w:t xml:space="preserve">的供应商资格证明文件须提供《中华人民共和国政府采购法》第二十二条规定的证明材料：</w:t>
      </w:r>
      <w:r/>
    </w:p>
    <w:p>
      <w:pPr>
        <w:numPr>
          <w:ilvl w:val="0"/>
          <w:numId w:val="14"/>
        </w:numPr>
        <w:ind w:firstLine="480"/>
        <w:spacing w:line="360" w:lineRule="auto"/>
        <w:rPr>
          <w:rFonts w:eastAsia="仿宋"/>
          <w:color w:val="auto"/>
          <w:sz w:val="24"/>
          <w:highlight w:val="none"/>
        </w:rPr>
      </w:pPr>
      <w:r>
        <w:rPr>
          <w:rFonts w:eastAsia="仿宋"/>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r/>
    </w:p>
    <w:p>
      <w:pPr>
        <w:numPr>
          <w:ilvl w:val="0"/>
          <w:numId w:val="14"/>
        </w:numPr>
        <w:ind w:firstLine="480"/>
        <w:spacing w:line="360" w:lineRule="auto"/>
        <w:rPr>
          <w:rFonts w:eastAsia="仿宋"/>
          <w:color w:val="auto"/>
          <w:sz w:val="24"/>
          <w:highlight w:val="none"/>
        </w:rPr>
      </w:pPr>
      <w:r>
        <w:rPr>
          <w:rFonts w:eastAsia="仿宋"/>
          <w:color w:val="auto"/>
          <w:sz w:val="24"/>
          <w:highlight w:val="none"/>
        </w:rPr>
        <w:t xml:space="preserve">有依法缴纳税收和社会保障资金的良好记录（提供参加本次政府采购活动前半年内（至少一个月）依法缴纳税收和社会保障资金的相关材料（依法享受免缴、缓缴的，提供证明材料）加盖电子公章）</w:t>
      </w:r>
      <w:r/>
    </w:p>
    <w:p>
      <w:pPr>
        <w:numPr>
          <w:ilvl w:val="0"/>
          <w:numId w:val="14"/>
        </w:numPr>
        <w:ind w:firstLine="480"/>
        <w:spacing w:line="360" w:lineRule="auto"/>
        <w:rPr>
          <w:rFonts w:eastAsia="仿宋"/>
          <w:color w:val="auto"/>
          <w:sz w:val="24"/>
          <w:highlight w:val="none"/>
        </w:rPr>
      </w:pPr>
      <w:r>
        <w:rPr>
          <w:rFonts w:eastAsia="仿宋"/>
          <w:color w:val="auto"/>
          <w:sz w:val="24"/>
          <w:highlight w:val="none"/>
        </w:rPr>
        <w:t xml:space="preserve">具有履行合同所必需的设备和专业技术能力（根据项目需求提供履行合同所必需的设备和专业技术能力的声明或证明材料，提供承诺书加盖电子公章，格式见附件）；</w:t>
      </w:r>
      <w:r/>
    </w:p>
    <w:p>
      <w:pPr>
        <w:pStyle w:val="1029"/>
        <w:ind w:firstLine="480"/>
        <w:spacing w:line="360" w:lineRule="auto"/>
        <w:rPr>
          <w:rFonts w:eastAsia="仿宋"/>
          <w:color w:val="auto"/>
          <w:sz w:val="24"/>
          <w:highlight w:val="none"/>
        </w:rPr>
      </w:pPr>
      <w:r>
        <w:rPr>
          <w:rFonts w:eastAsia="仿宋"/>
          <w:color w:val="auto"/>
          <w:sz w:val="24"/>
          <w:highlight w:val="none"/>
        </w:rPr>
        <w:t xml:space="preserve">（4）参加本项目政府采购活动前三年内，在经营活动中没有重大违法记录（提供参加本次政府采购活动前3年内在经营活动中没有重大违法记录的书面声明加盖电子公章，格式见附件）；</w:t>
      </w:r>
      <w:r/>
    </w:p>
    <w:p>
      <w:pPr>
        <w:ind w:firstLine="480"/>
        <w:spacing w:line="360" w:lineRule="auto"/>
        <w:rPr>
          <w:rFonts w:eastAsia="仿宋"/>
          <w:color w:val="auto"/>
          <w:highlight w:val="none"/>
        </w:rPr>
      </w:pPr>
      <w:r>
        <w:rPr>
          <w:rFonts w:eastAsia="仿宋"/>
          <w:color w:val="auto"/>
          <w:sz w:val="24"/>
          <w:highlight w:val="none"/>
        </w:rPr>
        <w:t xml:space="preserve">（5）未被列入失信被执行人、重大税收违法案件当事人名单、政府采购严重违法失信行为记录名单的证明材料。（分别提供信用中国网站截图加盖电子公章）</w:t>
      </w:r>
      <w:r/>
    </w:p>
    <w:p>
      <w:pPr>
        <w:pStyle w:val="1029"/>
        <w:ind w:firstLine="480"/>
        <w:spacing w:line="360" w:lineRule="auto"/>
        <w:rPr>
          <w:rFonts w:eastAsia="仿宋"/>
          <w:color w:val="auto"/>
          <w:sz w:val="24"/>
          <w:highlight w:val="none"/>
        </w:rPr>
      </w:pPr>
      <w:r>
        <w:rPr>
          <w:rFonts w:eastAsia="仿宋"/>
          <w:color w:val="auto"/>
          <w:sz w:val="24"/>
          <w:highlight w:val="none"/>
        </w:rPr>
        <w:t xml:space="preserve">注：第（4）条重大违法记录，是指供应商因违法经营受到刑事处罚或者责令停产停业、吊销许可证或者执照、较大数额罚款等行政处罚。</w:t>
      </w:r>
      <w:bookmarkEnd w:id="138"/>
      <w:r/>
      <w:bookmarkEnd w:id="139"/>
      <w:r/>
      <w:bookmarkEnd w:id="140"/>
      <w:r/>
      <w:r/>
    </w:p>
    <w:p>
      <w:pPr>
        <w:jc w:val="left"/>
        <w:spacing w:line="360" w:lineRule="auto"/>
        <w:shd w:val="clear" w:color="auto" w:fill="ffffff"/>
        <w:widowControl/>
        <w:rPr>
          <w:rFonts w:eastAsia="仿宋"/>
          <w:b/>
          <w:bCs/>
          <w:color w:val="auto"/>
          <w:szCs w:val="21"/>
          <w:highlight w:val="none"/>
        </w:rPr>
      </w:pPr>
      <w:r>
        <w:rPr>
          <w:rFonts w:eastAsia="仿宋"/>
          <w:b/>
          <w:bCs/>
          <w:color w:val="auto"/>
          <w:szCs w:val="21"/>
          <w:highlight w:val="none"/>
        </w:rPr>
      </w:r>
      <w:r/>
    </w:p>
    <w:p>
      <w:pPr>
        <w:jc w:val="left"/>
        <w:spacing w:line="360" w:lineRule="auto"/>
        <w:shd w:val="clear" w:color="auto" w:fill="ffffff"/>
        <w:widowControl/>
        <w:rPr>
          <w:rStyle w:val="1214"/>
          <w:rFonts w:ascii="Times New Roman"/>
          <w:color w:val="auto"/>
          <w:highlight w:val="none"/>
        </w:rPr>
        <w:outlineLvl w:val="1"/>
      </w:pPr>
      <w:r>
        <w:rPr>
          <w:rFonts w:eastAsia="仿宋"/>
          <w:color w:val="auto"/>
          <w:highlight w:val="none"/>
        </w:rPr>
        <w:br w:type="page" w:clear="all"/>
      </w:r>
      <w:bookmarkStart w:id="141" w:name="_Toc6104"/>
      <w:r>
        <w:rPr>
          <w:rFonts w:eastAsia="仿宋"/>
          <w:b/>
          <w:bCs/>
          <w:color w:val="auto"/>
          <w:sz w:val="24"/>
          <w:highlight w:val="none"/>
        </w:rPr>
        <w:t xml:space="preserve">三、</w:t>
      </w:r>
      <w:r>
        <w:rPr>
          <w:rStyle w:val="1214"/>
          <w:rFonts w:ascii="Times New Roman"/>
          <w:bCs/>
          <w:color w:val="auto"/>
          <w:szCs w:val="24"/>
          <w:highlight w:val="none"/>
        </w:rPr>
        <w:t xml:space="preserve">综合评审评分项</w:t>
      </w:r>
      <w:bookmarkEnd w:id="141"/>
      <w:r/>
      <w:r/>
    </w:p>
    <w:p>
      <w:pPr>
        <w:spacing w:line="360" w:lineRule="auto"/>
        <w:rPr>
          <w:rStyle w:val="1214"/>
          <w:rFonts w:ascii="Times New Roman"/>
          <w:color w:val="auto"/>
          <w:highlight w:val="none"/>
        </w:rPr>
      </w:pPr>
      <w:r/>
      <w:bookmarkStart w:id="142" w:name="_Toc24265"/>
      <w:r/>
      <w:bookmarkStart w:id="143" w:name="_Toc32704"/>
      <w:r/>
      <w:bookmarkStart w:id="144" w:name="_Toc11187"/>
      <w:r/>
      <w:bookmarkStart w:id="145" w:name="_Toc5779"/>
      <w:r/>
      <w:bookmarkStart w:id="146" w:name="_Toc23988"/>
      <w:r/>
      <w:bookmarkStart w:id="147" w:name="_Toc30321"/>
      <w:r/>
      <w:bookmarkStart w:id="148" w:name="_Toc9155"/>
      <w:r/>
      <w:bookmarkStart w:id="149" w:name="_Toc27955"/>
      <w:r/>
      <w:bookmarkStart w:id="150" w:name="_Toc27566"/>
      <w:r/>
      <w:bookmarkStart w:id="151" w:name="_Toc4064"/>
      <w:r>
        <w:rPr>
          <w:rStyle w:val="1214"/>
          <w:rFonts w:ascii="Times New Roman"/>
          <w:color w:val="auto"/>
          <w:highlight w:val="none"/>
        </w:rPr>
        <w:t xml:space="preserve">（注：详见第三章 评标标准。）</w:t>
      </w:r>
      <w:bookmarkEnd w:id="142"/>
      <w:r/>
      <w:bookmarkEnd w:id="143"/>
      <w:r/>
      <w:bookmarkEnd w:id="144"/>
      <w:r/>
      <w:bookmarkEnd w:id="145"/>
      <w:r/>
      <w:bookmarkEnd w:id="146"/>
      <w:r/>
      <w:bookmarkEnd w:id="147"/>
      <w:r/>
      <w:r/>
    </w:p>
    <w:p>
      <w:pPr>
        <w:rPr>
          <w:rFonts w:eastAsia="仿宋"/>
          <w:b/>
          <w:bCs/>
          <w:color w:val="auto"/>
          <w:sz w:val="24"/>
          <w:szCs w:val="22"/>
          <w:highlight w:val="none"/>
        </w:rPr>
      </w:pPr>
      <w:r/>
      <w:bookmarkStart w:id="152" w:name="_Toc24497"/>
      <w:r>
        <w:rPr>
          <w:rFonts w:eastAsia="仿宋"/>
          <w:b/>
          <w:bCs/>
          <w:color w:val="auto"/>
          <w:sz w:val="24"/>
          <w:szCs w:val="22"/>
          <w:highlight w:val="none"/>
        </w:rPr>
        <w:br w:type="page" w:clear="all"/>
      </w:r>
      <w:r/>
    </w:p>
    <w:p>
      <w:pPr>
        <w:jc w:val="left"/>
        <w:spacing w:line="360" w:lineRule="auto"/>
        <w:shd w:val="clear" w:color="auto" w:fill="ffffff"/>
        <w:widowControl/>
        <w:rPr>
          <w:rFonts w:eastAsia="仿宋"/>
          <w:b/>
          <w:bCs/>
          <w:color w:val="auto"/>
          <w:sz w:val="24"/>
          <w:highlight w:val="none"/>
        </w:rPr>
        <w:outlineLvl w:val="1"/>
      </w:pPr>
      <w:r/>
      <w:bookmarkStart w:id="153" w:name="_Toc29640"/>
      <w:r>
        <w:rPr>
          <w:rFonts w:eastAsia="仿宋"/>
          <w:b/>
          <w:bCs/>
          <w:color w:val="auto"/>
          <w:sz w:val="24"/>
          <w:highlight w:val="none"/>
        </w:rPr>
        <w:t xml:space="preserve">四、价格折扣文件格式</w:t>
      </w:r>
      <w:bookmarkEnd w:id="152"/>
      <w:r/>
      <w:bookmarkEnd w:id="153"/>
      <w:r/>
      <w:r/>
    </w:p>
    <w:p>
      <w:pPr>
        <w:spacing w:after="240" w:line="360" w:lineRule="auto"/>
        <w:rPr>
          <w:rFonts w:eastAsia="仿宋"/>
          <w:b/>
          <w:bCs/>
          <w:color w:val="auto"/>
          <w:sz w:val="24"/>
          <w:szCs w:val="22"/>
          <w:highlight w:val="none"/>
        </w:rPr>
        <w:outlineLvl w:val="2"/>
      </w:pPr>
      <w:r/>
      <w:bookmarkStart w:id="154" w:name="_Toc21132"/>
      <w:r/>
      <w:bookmarkStart w:id="155" w:name="_Toc22073"/>
      <w:r>
        <w:rPr>
          <w:rFonts w:eastAsia="仿宋"/>
          <w:b/>
          <w:bCs/>
          <w:color w:val="auto"/>
          <w:sz w:val="24"/>
          <w:szCs w:val="22"/>
          <w:highlight w:val="none"/>
        </w:rPr>
        <w:t xml:space="preserve">1、中小企业声明函</w:t>
      </w:r>
      <w:bookmarkEnd w:id="154"/>
      <w:r/>
      <w:bookmarkEnd w:id="155"/>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中小企业声明函（服务）</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本公司郑重声明，根据《政府采购促进中小企业发展管理办法》（财库〔2020〕 46号）的规定，本公司参加</w:t>
      </w:r>
      <w:r>
        <w:rPr>
          <w:rFonts w:eastAsia="仿宋"/>
          <w:color w:val="auto"/>
          <w:sz w:val="24"/>
          <w:szCs w:val="22"/>
          <w:highlight w:val="none"/>
          <w:u w:val="single"/>
        </w:rPr>
        <w:t xml:space="preserve">南京市秦淮生态环境局</w:t>
      </w:r>
      <w:r>
        <w:rPr>
          <w:rFonts w:eastAsia="仿宋"/>
          <w:color w:val="auto"/>
          <w:sz w:val="24"/>
          <w:szCs w:val="22"/>
          <w:highlight w:val="none"/>
        </w:rPr>
        <w:t xml:space="preserve">的</w:t>
      </w:r>
      <w:r>
        <w:rPr>
          <w:rFonts w:eastAsia="仿宋"/>
          <w:color w:val="auto"/>
          <w:sz w:val="24"/>
          <w:szCs w:val="22"/>
          <w:highlight w:val="none"/>
          <w:u w:val="single"/>
        </w:rPr>
        <w:t xml:space="preserve">秦淮区餐饮油烟及涉VOCs企业在线监测服务</w:t>
      </w:r>
      <w:r>
        <w:rPr>
          <w:rFonts w:eastAsia="仿宋"/>
          <w:color w:val="auto"/>
          <w:sz w:val="24"/>
          <w:szCs w:val="22"/>
          <w:highlight w:val="none"/>
        </w:rPr>
        <w:t xml:space="preserve">采购活动，服务全部由符合政策要求的中小企业承接。相关企业的具体情况如下：</w:t>
      </w:r>
      <w:r/>
    </w:p>
    <w:p>
      <w:pPr>
        <w:ind w:firstLine="480"/>
        <w:spacing w:line="360" w:lineRule="auto"/>
        <w:rPr>
          <w:rFonts w:eastAsia="仿宋"/>
          <w:color w:val="auto"/>
          <w:sz w:val="24"/>
          <w:szCs w:val="22"/>
          <w:highlight w:val="none"/>
        </w:rPr>
      </w:pPr>
      <w:r>
        <w:rPr>
          <w:rFonts w:eastAsia="仿宋"/>
          <w:color w:val="auto"/>
          <w:sz w:val="24"/>
          <w:szCs w:val="22"/>
          <w:highlight w:val="none"/>
          <w:u w:val="single"/>
        </w:rPr>
        <w:t xml:space="preserve"> 秦淮区餐饮油烟及涉VOCs企业在线监测服务</w:t>
      </w:r>
      <w:r>
        <w:rPr>
          <w:rFonts w:eastAsia="仿宋"/>
          <w:color w:val="auto"/>
          <w:sz w:val="24"/>
          <w:szCs w:val="22"/>
          <w:highlight w:val="none"/>
        </w:rPr>
        <w:t xml:space="preserve">属于</w:t>
      </w:r>
      <w:r>
        <w:rPr>
          <w:rFonts w:eastAsia="仿宋"/>
          <w:color w:val="auto"/>
          <w:sz w:val="24"/>
          <w:szCs w:val="22"/>
          <w:highlight w:val="none"/>
          <w:u w:val="single"/>
        </w:rPr>
        <w:t xml:space="preserve">技术服务业</w:t>
      </w:r>
      <w:r>
        <w:rPr>
          <w:rFonts w:eastAsia="仿宋"/>
          <w:color w:val="auto"/>
          <w:sz w:val="24"/>
          <w:szCs w:val="22"/>
          <w:highlight w:val="none"/>
        </w:rPr>
        <w:t xml:space="preserve">。承接企业为 </w:t>
      </w:r>
      <w:r>
        <w:rPr>
          <w:rFonts w:eastAsia="仿宋"/>
          <w:color w:val="auto"/>
          <w:sz w:val="24"/>
          <w:szCs w:val="22"/>
          <w:highlight w:val="none"/>
          <w:u w:val="single"/>
        </w:rPr>
        <w:t xml:space="preserve">        </w:t>
      </w:r>
      <w:r>
        <w:rPr>
          <w:rFonts w:eastAsia="仿宋"/>
          <w:color w:val="auto"/>
          <w:sz w:val="24"/>
          <w:szCs w:val="22"/>
          <w:highlight w:val="none"/>
        </w:rPr>
        <w:t xml:space="preserve">（企业名称）,从业人员 </w:t>
      </w:r>
      <w:r>
        <w:rPr>
          <w:rFonts w:eastAsia="仿宋"/>
          <w:color w:val="auto"/>
          <w:sz w:val="24"/>
          <w:szCs w:val="22"/>
          <w:highlight w:val="none"/>
          <w:u w:val="single"/>
        </w:rPr>
        <w:t xml:space="preserve">      </w:t>
      </w:r>
      <w:r>
        <w:rPr>
          <w:rFonts w:eastAsia="仿宋"/>
          <w:color w:val="auto"/>
          <w:sz w:val="24"/>
          <w:szCs w:val="22"/>
          <w:highlight w:val="none"/>
          <w:u w:val="single"/>
        </w:rPr>
        <w:tab/>
      </w:r>
      <w:r>
        <w:rPr>
          <w:rFonts w:eastAsia="仿宋"/>
          <w:color w:val="auto"/>
          <w:sz w:val="24"/>
          <w:szCs w:val="22"/>
          <w:highlight w:val="none"/>
        </w:rPr>
        <w:t xml:space="preserve">人，营业收入为</w:t>
      </w:r>
      <w:r>
        <w:rPr>
          <w:rFonts w:eastAsia="仿宋"/>
          <w:color w:val="auto"/>
          <w:sz w:val="24"/>
          <w:szCs w:val="22"/>
          <w:highlight w:val="none"/>
          <w:u w:val="single"/>
        </w:rPr>
        <w:t xml:space="preserve">     </w:t>
      </w:r>
      <w:r>
        <w:rPr>
          <w:rFonts w:eastAsia="仿宋"/>
          <w:color w:val="auto"/>
          <w:sz w:val="24"/>
          <w:szCs w:val="22"/>
          <w:highlight w:val="none"/>
        </w:rPr>
        <w:t xml:space="preserve">万元，资产总额为</w:t>
      </w:r>
      <w:r>
        <w:rPr>
          <w:rFonts w:eastAsia="仿宋"/>
          <w:color w:val="auto"/>
          <w:sz w:val="24"/>
          <w:szCs w:val="22"/>
          <w:highlight w:val="none"/>
          <w:u w:val="single"/>
        </w:rPr>
        <w:t xml:space="preserve">    </w:t>
      </w:r>
      <w:r>
        <w:rPr>
          <w:rFonts w:eastAsia="仿宋"/>
          <w:color w:val="auto"/>
          <w:sz w:val="24"/>
          <w:szCs w:val="22"/>
          <w:highlight w:val="none"/>
        </w:rPr>
        <w:t xml:space="preserve">万元，属于</w:t>
      </w:r>
      <w:r>
        <w:rPr>
          <w:rFonts w:eastAsia="仿宋"/>
          <w:color w:val="auto"/>
          <w:sz w:val="24"/>
          <w:szCs w:val="22"/>
          <w:highlight w:val="none"/>
          <w:u w:val="single"/>
        </w:rPr>
        <w:t xml:space="preserve">（中型企业、小型企业、微型企业）</w:t>
      </w:r>
      <w:r>
        <w:rPr>
          <w:rFonts w:eastAsia="仿宋"/>
          <w:color w:val="auto"/>
          <w:sz w:val="24"/>
          <w:szCs w:val="22"/>
          <w:highlight w:val="none"/>
        </w:rPr>
        <w:t xml:space="preserve">；</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本企业对上述声明内容的真实性负责。如有虚假，将依法承担相应责任。</w:t>
      </w:r>
      <w:r/>
    </w:p>
    <w:p>
      <w:pPr>
        <w:ind w:firstLine="480"/>
        <w:jc w:val="right"/>
        <w:spacing w:line="360" w:lineRule="auto"/>
        <w:rPr>
          <w:rFonts w:eastAsia="仿宋"/>
          <w:color w:val="auto"/>
          <w:sz w:val="24"/>
          <w:szCs w:val="22"/>
          <w:highlight w:val="none"/>
          <w:u w:val="single"/>
        </w:rPr>
      </w:pPr>
      <w:r>
        <w:rPr>
          <w:rFonts w:eastAsia="仿宋"/>
          <w:color w:val="auto"/>
          <w:sz w:val="24"/>
          <w:szCs w:val="22"/>
          <w:highlight w:val="none"/>
        </w:rPr>
        <w:t xml:space="preserve">企业名称:</w:t>
      </w:r>
      <w:r>
        <w:rPr>
          <w:rFonts w:eastAsia="仿宋"/>
          <w:color w:val="auto"/>
          <w:sz w:val="24"/>
          <w:szCs w:val="22"/>
          <w:highlight w:val="none"/>
          <w:u w:val="single"/>
        </w:rPr>
        <w:t xml:space="preserve">           </w:t>
      </w:r>
      <w:r>
        <w:rPr>
          <w:rFonts w:eastAsia="仿宋"/>
          <w:color w:val="auto"/>
          <w:sz w:val="24"/>
          <w:szCs w:val="22"/>
          <w:highlight w:val="none"/>
        </w:rPr>
        <w:t xml:space="preserve">（</w:t>
      </w:r>
      <w:r>
        <w:rPr>
          <w:rFonts w:eastAsia="仿宋"/>
          <w:color w:val="auto"/>
          <w:sz w:val="24"/>
          <w:highlight w:val="none"/>
          <w:lang w:bidi="ar"/>
        </w:rPr>
        <w:t xml:space="preserve">加盖电子公章</w:t>
      </w:r>
      <w:r>
        <w:rPr>
          <w:rFonts w:eastAsia="仿宋"/>
          <w:color w:val="auto"/>
          <w:sz w:val="24"/>
          <w:szCs w:val="22"/>
          <w:highlight w:val="none"/>
        </w:rPr>
        <w:t xml:space="preserve">）</w:t>
      </w:r>
      <w:r/>
    </w:p>
    <w:p>
      <w:pPr>
        <w:ind w:firstLine="480"/>
        <w:jc w:val="right"/>
        <w:spacing w:line="360" w:lineRule="auto"/>
        <w:rPr>
          <w:rFonts w:eastAsia="仿宋"/>
          <w:color w:val="auto"/>
          <w:sz w:val="24"/>
          <w:szCs w:val="22"/>
          <w:highlight w:val="none"/>
        </w:rPr>
      </w:pPr>
      <w:r>
        <w:rPr>
          <w:rFonts w:eastAsia="仿宋"/>
          <w:color w:val="auto"/>
          <w:sz w:val="24"/>
          <w:szCs w:val="22"/>
          <w:highlight w:val="none"/>
        </w:rPr>
        <w:t xml:space="preserve">日期：  年  月  日</w:t>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 </w:t>
      </w:r>
      <w:r>
        <w:rPr>
          <w:rFonts w:eastAsia="仿宋"/>
          <w:color w:val="auto"/>
          <w:sz w:val="24"/>
          <w:szCs w:val="22"/>
          <w:highlight w:val="none"/>
        </w:rPr>
        <w:tab/>
      </w:r>
      <w:r/>
    </w:p>
    <w:p>
      <w:pPr>
        <w:ind w:firstLine="480"/>
        <w:spacing w:line="360" w:lineRule="auto"/>
        <w:rPr>
          <w:rFonts w:eastAsia="仿宋"/>
          <w:color w:val="auto"/>
          <w:sz w:val="24"/>
          <w:szCs w:val="22"/>
          <w:highlight w:val="none"/>
        </w:rPr>
      </w:pPr>
      <w:r>
        <w:rPr>
          <w:rFonts w:eastAsia="仿宋"/>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r>
      <w:r/>
    </w:p>
    <w:p>
      <w:pPr>
        <w:ind w:firstLine="560"/>
        <w:spacing w:line="479" w:lineRule="atLeast"/>
        <w:rPr>
          <w:rFonts w:eastAsia="仿宋"/>
          <w:color w:val="auto"/>
          <w:sz w:val="24"/>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备注：</w:t>
      </w:r>
      <w:r/>
    </w:p>
    <w:p>
      <w:pPr>
        <w:ind w:firstLine="560"/>
        <w:spacing w:line="479" w:lineRule="atLeast"/>
        <w:rPr>
          <w:rFonts w:eastAsia="仿宋"/>
          <w:color w:val="auto"/>
          <w:highlight w:val="none"/>
        </w:rPr>
        <w:pBdr>
          <w:top w:val="none" w:color="000000" w:sz="0" w:space="0"/>
          <w:left w:val="none" w:color="000000" w:sz="0" w:space="0"/>
          <w:bottom w:val="none" w:color="000000" w:sz="0" w:space="0"/>
          <w:right w:val="none" w:color="000000" w:sz="0" w:space="0"/>
        </w:pBdr>
      </w:pPr>
      <w:r>
        <w:rPr>
          <w:rFonts w:eastAsia="仿宋"/>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r/>
    </w:p>
    <w:p>
      <w:pPr>
        <w:spacing w:line="360" w:lineRule="auto"/>
        <w:rPr>
          <w:rFonts w:eastAsia="仿宋"/>
          <w:color w:val="auto"/>
          <w:sz w:val="24"/>
          <w:highlight w:val="none"/>
        </w:rPr>
      </w:pPr>
      <w:r>
        <w:rPr>
          <w:rFonts w:eastAsia="仿宋"/>
          <w:color w:val="auto"/>
          <w:sz w:val="24"/>
          <w:highlight w:val="none"/>
        </w:rPr>
      </w:r>
      <w:r/>
    </w:p>
    <w:p>
      <w:pPr>
        <w:rPr>
          <w:rFonts w:eastAsia="仿宋"/>
          <w:b/>
          <w:bCs/>
          <w:color w:val="auto"/>
          <w:sz w:val="22"/>
          <w:highlight w:val="none"/>
        </w:rPr>
      </w:pPr>
      <w:r>
        <w:rPr>
          <w:rFonts w:eastAsia="仿宋"/>
          <w:b/>
          <w:bCs/>
          <w:color w:val="auto"/>
          <w:sz w:val="22"/>
          <w:highlight w:val="none"/>
        </w:rPr>
        <w:br w:type="page" w:clear="all"/>
      </w:r>
      <w:r/>
    </w:p>
    <w:p>
      <w:pPr>
        <w:spacing w:after="240" w:line="360" w:lineRule="auto"/>
        <w:rPr>
          <w:rFonts w:eastAsia="仿宋"/>
          <w:b/>
          <w:bCs/>
          <w:color w:val="auto"/>
          <w:sz w:val="24"/>
          <w:szCs w:val="22"/>
          <w:highlight w:val="none"/>
        </w:rPr>
        <w:outlineLvl w:val="2"/>
      </w:pPr>
      <w:r/>
      <w:bookmarkStart w:id="156" w:name="_Toc2905"/>
      <w:r/>
      <w:bookmarkStart w:id="157" w:name="_Toc16970"/>
      <w:r>
        <w:rPr>
          <w:rFonts w:eastAsia="仿宋"/>
          <w:b/>
          <w:bCs/>
          <w:color w:val="auto"/>
          <w:sz w:val="24"/>
          <w:szCs w:val="22"/>
          <w:highlight w:val="none"/>
        </w:rPr>
        <w:t xml:space="preserve">2、残疾人福利性单位声明函</w:t>
      </w:r>
      <w:bookmarkEnd w:id="156"/>
      <w:r/>
      <w:bookmarkEnd w:id="157"/>
      <w:r/>
      <w:r/>
    </w:p>
    <w:p>
      <w:pPr>
        <w:ind w:firstLine="602"/>
        <w:jc w:val="center"/>
        <w:spacing w:line="360" w:lineRule="auto"/>
        <w:rPr>
          <w:rFonts w:eastAsia="仿宋"/>
          <w:b/>
          <w:bCs/>
          <w:color w:val="auto"/>
          <w:sz w:val="30"/>
          <w:szCs w:val="30"/>
          <w:highlight w:val="none"/>
        </w:rPr>
      </w:pPr>
      <w:r>
        <w:rPr>
          <w:rFonts w:eastAsia="仿宋"/>
          <w:b/>
          <w:bCs/>
          <w:color w:val="auto"/>
          <w:sz w:val="30"/>
          <w:szCs w:val="30"/>
          <w:highlight w:val="none"/>
        </w:rPr>
        <w:t xml:space="preserve">残疾人福利性单位声明函</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eastAsia="仿宋"/>
          <w:color w:val="auto"/>
          <w:sz w:val="24"/>
          <w:highlight w:val="none"/>
        </w:rPr>
      </w:pPr>
      <w:r>
        <w:rPr>
          <w:rFonts w:eastAsia="仿宋"/>
          <w:color w:val="auto"/>
          <w:sz w:val="24"/>
          <w:highlight w:val="none"/>
        </w:rPr>
        <w:t xml:space="preserve">本单位对上述声明的真实性负责。如有虚假，将依法承担相应责任。</w:t>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5136"/>
        <w:jc w:val="left"/>
        <w:spacing w:line="440" w:lineRule="exact"/>
        <w:widowControl/>
        <w:rPr>
          <w:rFonts w:eastAsia="仿宋"/>
          <w:color w:val="auto"/>
          <w:sz w:val="24"/>
          <w:highlight w:val="none"/>
        </w:rPr>
      </w:pPr>
      <w:r>
        <w:rPr>
          <w:rFonts w:eastAsia="仿宋"/>
          <w:color w:val="auto"/>
          <w:sz w:val="24"/>
          <w:highlight w:val="none"/>
        </w:rPr>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供应商名称（加盖电子公章）：</w:t>
      </w:r>
      <w:r>
        <w:rPr>
          <w:rFonts w:eastAsia="仿宋"/>
          <w:color w:val="auto"/>
          <w:sz w:val="24"/>
          <w:highlight w:val="none"/>
          <w:u w:val="single"/>
        </w:rPr>
        <w:t xml:space="preserve">            </w:t>
      </w:r>
      <w:r/>
    </w:p>
    <w:p>
      <w:pPr>
        <w:ind w:firstLine="4066"/>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日    期：   年    月    日</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158" w:name="_Toc8717"/>
      <w:r/>
      <w:bookmarkStart w:id="159" w:name="_Toc5464"/>
      <w:r>
        <w:rPr>
          <w:rFonts w:eastAsia="仿宋"/>
          <w:b/>
          <w:bCs/>
          <w:color w:val="auto"/>
          <w:sz w:val="24"/>
          <w:szCs w:val="22"/>
          <w:highlight w:val="none"/>
        </w:rPr>
        <w:t xml:space="preserve">3、属于监狱企业的证明文件</w:t>
      </w:r>
      <w:bookmarkEnd w:id="158"/>
      <w:r/>
      <w:bookmarkEnd w:id="159"/>
      <w:r/>
      <w:r/>
    </w:p>
    <w:p>
      <w:pPr>
        <w:spacing w:line="360" w:lineRule="auto"/>
        <w:rPr>
          <w:rFonts w:eastAsia="仿宋"/>
          <w:color w:val="auto"/>
          <w:sz w:val="24"/>
          <w:highlight w:val="none"/>
        </w:rPr>
      </w:pPr>
      <w:r>
        <w:rPr>
          <w:rFonts w:eastAsia="仿宋"/>
          <w:color w:val="auto"/>
          <w:sz w:val="24"/>
          <w:highlight w:val="none"/>
        </w:rPr>
        <w:t xml:space="preserve">（提供由省级以上监狱管理局、戒毒管理局(含新疆生产建设兵团)出具的属于监狱企业的证明文件）</w:t>
      </w:r>
      <w:r/>
    </w:p>
    <w:p>
      <w:pPr>
        <w:spacing w:line="360" w:lineRule="auto"/>
        <w:rPr>
          <w:rFonts w:eastAsia="仿宋"/>
          <w:b/>
          <w:bCs/>
          <w:color w:val="auto"/>
          <w:sz w:val="24"/>
          <w:szCs w:val="22"/>
          <w:highlight w:val="none"/>
        </w:rPr>
      </w:pPr>
      <w:r>
        <w:rPr>
          <w:rFonts w:eastAsia="仿宋"/>
          <w:b/>
          <w:bCs/>
          <w:color w:val="auto"/>
          <w:sz w:val="24"/>
          <w:szCs w:val="22"/>
          <w:highlight w:val="none"/>
        </w:rPr>
      </w:r>
      <w:r/>
    </w:p>
    <w:p>
      <w:pPr>
        <w:spacing w:after="240" w:line="360" w:lineRule="auto"/>
        <w:rPr>
          <w:rFonts w:eastAsia="仿宋"/>
          <w:b/>
          <w:bCs/>
          <w:color w:val="auto"/>
          <w:sz w:val="24"/>
          <w:szCs w:val="22"/>
          <w:highlight w:val="none"/>
        </w:rPr>
        <w:outlineLvl w:val="2"/>
      </w:pPr>
      <w:r/>
      <w:bookmarkStart w:id="160" w:name="_Toc7692"/>
      <w:r/>
      <w:bookmarkStart w:id="161" w:name="_Toc32541"/>
      <w:r>
        <w:rPr>
          <w:rFonts w:eastAsia="仿宋"/>
          <w:b/>
          <w:bCs/>
          <w:color w:val="auto"/>
          <w:sz w:val="24"/>
          <w:szCs w:val="22"/>
          <w:highlight w:val="none"/>
        </w:rPr>
        <w:t xml:space="preserve">4、节能产品认证证书</w:t>
      </w:r>
      <w:bookmarkEnd w:id="160"/>
      <w:r/>
      <w:bookmarkEnd w:id="161"/>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162" w:name="_Toc681"/>
      <w:r/>
      <w:bookmarkStart w:id="163" w:name="_Toc31669"/>
      <w:r>
        <w:rPr>
          <w:rFonts w:eastAsia="仿宋"/>
          <w:b/>
          <w:bCs/>
          <w:color w:val="auto"/>
          <w:sz w:val="24"/>
          <w:szCs w:val="22"/>
          <w:highlight w:val="none"/>
        </w:rPr>
        <w:t xml:space="preserve">5、环境标志产品认证证书</w:t>
      </w:r>
      <w:bookmarkEnd w:id="162"/>
      <w:r/>
      <w:bookmarkEnd w:id="163"/>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（提供国家确定的认证机构出具的、处于有效期之内的产品认证证书）</w:t>
      </w:r>
      <w:r/>
    </w:p>
    <w:p>
      <w:pPr>
        <w:spacing w:line="360" w:lineRule="auto"/>
        <w:rPr>
          <w:rFonts w:eastAsia="仿宋"/>
          <w:b/>
          <w:bCs/>
          <w:color w:val="auto"/>
          <w:szCs w:val="21"/>
          <w:highlight w:val="none"/>
        </w:rPr>
      </w:pPr>
      <w:r>
        <w:rPr>
          <w:rFonts w:eastAsia="仿宋"/>
          <w:b/>
          <w:bCs/>
          <w:color w:val="auto"/>
          <w:szCs w:val="21"/>
          <w:highlight w:val="none"/>
        </w:rPr>
      </w:r>
      <w:r/>
    </w:p>
    <w:p>
      <w:pPr>
        <w:spacing w:after="240" w:line="360" w:lineRule="auto"/>
        <w:rPr>
          <w:rFonts w:eastAsia="仿宋"/>
          <w:b/>
          <w:bCs/>
          <w:color w:val="auto"/>
          <w:sz w:val="24"/>
          <w:szCs w:val="22"/>
          <w:highlight w:val="none"/>
        </w:rPr>
        <w:outlineLvl w:val="2"/>
      </w:pPr>
      <w:r/>
      <w:bookmarkStart w:id="164" w:name="_Toc9379"/>
      <w:r/>
      <w:bookmarkStart w:id="165" w:name="_Toc3001"/>
      <w:r>
        <w:rPr>
          <w:rFonts w:eastAsia="仿宋"/>
          <w:b/>
          <w:bCs/>
          <w:color w:val="auto"/>
          <w:sz w:val="24"/>
          <w:szCs w:val="22"/>
          <w:highlight w:val="none"/>
        </w:rPr>
        <w:t xml:space="preserve">6、进口产品转让技术、消化吸收再创新方案</w:t>
      </w:r>
      <w:bookmarkEnd w:id="164"/>
      <w:r/>
      <w:bookmarkEnd w:id="165"/>
      <w:r/>
      <w:r/>
    </w:p>
    <w:p>
      <w:pPr>
        <w:spacing w:before="240" w:line="360" w:lineRule="auto"/>
        <w:shd w:val="clear" w:color="auto" w:fill="ffffff"/>
        <w:widowControl/>
        <w:rPr>
          <w:rFonts w:eastAsia="仿宋"/>
          <w:bCs/>
          <w:color w:val="auto"/>
          <w:sz w:val="24"/>
          <w:highlight w:val="none"/>
        </w:rPr>
      </w:pPr>
      <w:r>
        <w:rPr>
          <w:rFonts w:eastAsia="仿宋"/>
          <w:bCs/>
          <w:color w:val="auto"/>
          <w:sz w:val="24"/>
          <w:highlight w:val="none"/>
        </w:rPr>
        <w:t xml:space="preserve">（对于允许进口产品参加的项目）</w:t>
      </w:r>
      <w:r/>
    </w:p>
    <w:p>
      <w:pPr>
        <w:spacing w:line="360" w:lineRule="auto"/>
        <w:rPr>
          <w:rStyle w:val="1214"/>
          <w:rFonts w:ascii="Times New Roman"/>
          <w:color w:val="auto"/>
          <w:highlight w:val="none"/>
        </w:rPr>
      </w:pPr>
      <w:r>
        <w:rPr>
          <w:rFonts w:ascii="Times New Roman"/>
          <w:color w:val="auto"/>
          <w:highlight w:val="none"/>
        </w:rPr>
      </w:r>
      <w:bookmarkEnd w:id="148"/>
      <w:r/>
      <w:bookmarkEnd w:id="149"/>
      <w:r/>
      <w:bookmarkEnd w:id="150"/>
      <w:r/>
      <w:bookmarkEnd w:id="151"/>
      <w:r/>
      <w:r/>
    </w:p>
    <w:p>
      <w:pPr>
        <w:jc w:val="left"/>
        <w:spacing w:line="360" w:lineRule="auto"/>
        <w:shd w:val="clear" w:color="auto" w:fill="ffffff"/>
        <w:widowControl/>
        <w:rPr>
          <w:rStyle w:val="1214"/>
          <w:rFonts w:ascii="Times New Roman"/>
          <w:color w:val="auto"/>
          <w:highlight w:val="none"/>
        </w:rPr>
      </w:pPr>
      <w:r>
        <w:rPr>
          <w:rFonts w:ascii="Times New Roman"/>
          <w:color w:val="auto"/>
          <w:highlight w:val="none"/>
        </w:rPr>
      </w:r>
      <w:r/>
    </w:p>
    <w:p>
      <w:pPr>
        <w:spacing w:line="360" w:lineRule="auto"/>
        <w:rPr>
          <w:rFonts w:eastAsia="仿宋"/>
          <w:b/>
          <w:bCs/>
          <w:color w:val="auto"/>
          <w:sz w:val="24"/>
          <w:szCs w:val="22"/>
          <w:highlight w:val="none"/>
        </w:rPr>
        <w:outlineLvl w:val="1"/>
      </w:pPr>
      <w:r/>
      <w:bookmarkStart w:id="166" w:name="_Toc10342"/>
      <w:r/>
      <w:bookmarkStart w:id="167" w:name="_Toc18883"/>
      <w:r>
        <w:rPr>
          <w:rFonts w:eastAsia="仿宋"/>
          <w:b/>
          <w:bCs/>
          <w:color w:val="auto"/>
          <w:sz w:val="24"/>
          <w:szCs w:val="22"/>
          <w:highlight w:val="none"/>
        </w:rPr>
        <w:t xml:space="preserve">五、附件</w:t>
      </w:r>
      <w:bookmarkEnd w:id="166"/>
      <w:r/>
      <w:bookmarkEnd w:id="167"/>
      <w:r/>
      <w:r/>
    </w:p>
    <w:p>
      <w:pPr>
        <w:spacing w:after="240" w:line="360" w:lineRule="auto"/>
        <w:widowControl/>
        <w:rPr>
          <w:rFonts w:eastAsia="仿宋"/>
          <w:b/>
          <w:bCs/>
          <w:color w:val="auto"/>
          <w:sz w:val="24"/>
          <w:highlight w:val="none"/>
        </w:rPr>
        <w:outlineLvl w:val="2"/>
      </w:pPr>
      <w:r/>
      <w:bookmarkStart w:id="168" w:name="_Toc20842"/>
      <w:r/>
      <w:bookmarkStart w:id="169" w:name="_Toc2794"/>
      <w:r>
        <w:rPr>
          <w:rFonts w:eastAsia="仿宋"/>
          <w:b/>
          <w:bCs/>
          <w:color w:val="auto"/>
          <w:sz w:val="24"/>
          <w:highlight w:val="none"/>
        </w:rPr>
        <w:t xml:space="preserve">附件一、拟参与本项目服务人员一览表</w:t>
      </w:r>
      <w:bookmarkEnd w:id="168"/>
      <w:r/>
      <w:bookmarkEnd w:id="169"/>
      <w:r/>
      <w:r/>
    </w:p>
    <w:p>
      <w:pPr>
        <w:jc w:val="center"/>
        <w:widowControl/>
        <w:rPr>
          <w:rFonts w:eastAsia="仿宋"/>
          <w:b/>
          <w:bCs/>
          <w:color w:val="auto"/>
          <w:sz w:val="32"/>
          <w:szCs w:val="32"/>
          <w:highlight w:val="none"/>
        </w:rPr>
      </w:pPr>
      <w:r/>
      <w:bookmarkStart w:id="170" w:name="_Toc31460"/>
      <w:r>
        <w:rPr>
          <w:rFonts w:eastAsia="仿宋"/>
          <w:b/>
          <w:bCs/>
          <w:color w:val="auto"/>
          <w:sz w:val="32"/>
          <w:szCs w:val="32"/>
          <w:highlight w:val="none"/>
        </w:rPr>
        <w:t xml:space="preserve">拟参与本项目服务人员一览表</w:t>
      </w:r>
      <w:bookmarkEnd w:id="170"/>
      <w:r/>
      <w:r/>
    </w:p>
    <w:p>
      <w:pPr>
        <w:jc w:val="center"/>
        <w:widowControl/>
        <w:rPr>
          <w:rFonts w:eastAsia="仿宋"/>
          <w:b/>
          <w:bCs/>
          <w:color w:val="auto"/>
          <w:sz w:val="24"/>
          <w:highlight w:val="none"/>
        </w:rPr>
      </w:pPr>
      <w:r>
        <w:rPr>
          <w:rFonts w:eastAsia="仿宋"/>
          <w:b/>
          <w:bCs/>
          <w:color w:val="auto"/>
          <w:sz w:val="24"/>
          <w:highlight w:val="none"/>
        </w:rPr>
      </w:r>
      <w:r/>
    </w:p>
    <w:p>
      <w:pPr>
        <w:spacing w:line="360" w:lineRule="auto"/>
        <w:widowControl/>
        <w:rPr>
          <w:rFonts w:eastAsia="仿宋"/>
          <w:color w:val="auto"/>
          <w:sz w:val="24"/>
          <w:highlight w:val="none"/>
        </w:rPr>
      </w:pPr>
      <w:r>
        <w:rPr>
          <w:rFonts w:eastAsia="仿宋"/>
          <w:color w:val="auto"/>
          <w:sz w:val="24"/>
          <w:highlight w:val="none"/>
        </w:rPr>
        <w:t xml:space="preserve">项目名称：                                 </w:t>
      </w:r>
      <w:r/>
    </w:p>
    <w:p>
      <w:pPr>
        <w:spacing w:line="360" w:lineRule="auto"/>
        <w:widowControl/>
        <w:rPr>
          <w:rFonts w:eastAsia="仿宋"/>
          <w:color w:val="auto"/>
          <w:sz w:val="24"/>
          <w:highlight w:val="none"/>
        </w:rPr>
      </w:pPr>
      <w:r>
        <w:rPr>
          <w:rFonts w:eastAsia="仿宋"/>
          <w:color w:val="auto"/>
          <w:sz w:val="24"/>
          <w:highlight w:val="none"/>
        </w:rPr>
        <w:t xml:space="preserve">项目编号：</w:t>
      </w:r>
      <w:r/>
    </w:p>
    <w:tbl>
      <w:tblPr>
        <w:tblStyle w:val="82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执业</w:t>
            </w:r>
            <w:r/>
          </w:p>
          <w:p>
            <w:pPr>
              <w:jc w:val="center"/>
              <w:widowControl/>
              <w:rPr>
                <w:rFonts w:eastAsia="仿宋"/>
                <w:b/>
                <w:bCs/>
                <w:color w:val="auto"/>
                <w:szCs w:val="21"/>
                <w:highlight w:val="none"/>
              </w:rPr>
            </w:pPr>
            <w:r>
              <w:rPr>
                <w:rFonts w:eastAsia="仿宋"/>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eastAsia="仿宋"/>
                <w:b/>
                <w:bCs/>
                <w:color w:val="auto"/>
                <w:szCs w:val="21"/>
                <w:highlight w:val="none"/>
              </w:rPr>
            </w:pPr>
            <w:r>
              <w:rPr>
                <w:rFonts w:eastAsia="仿宋"/>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widowControl/>
        <w:rPr>
          <w:rFonts w:eastAsia="仿宋"/>
          <w:color w:val="auto"/>
          <w:szCs w:val="21"/>
          <w:highlight w:val="none"/>
        </w:rPr>
      </w:pPr>
      <w:r>
        <w:rPr>
          <w:rFonts w:eastAsia="仿宋"/>
          <w:color w:val="auto"/>
          <w:szCs w:val="21"/>
          <w:highlight w:val="none"/>
        </w:rPr>
      </w:r>
      <w:r/>
    </w:p>
    <w:p>
      <w:pPr>
        <w:widowControl/>
        <w:rPr>
          <w:rFonts w:eastAsia="仿宋"/>
          <w:b/>
          <w:bCs/>
          <w:color w:val="auto"/>
          <w:szCs w:val="21"/>
          <w:highlight w:val="none"/>
        </w:rPr>
      </w:pPr>
      <w:r>
        <w:rPr>
          <w:rFonts w:eastAsia="仿宋"/>
          <w:b/>
          <w:bCs/>
          <w:color w:val="auto"/>
          <w:szCs w:val="21"/>
          <w:highlight w:val="none"/>
        </w:rPr>
      </w:r>
      <w:r/>
    </w:p>
    <w:p>
      <w:pPr>
        <w:spacing w:after="240" w:line="360" w:lineRule="auto"/>
        <w:widowControl/>
        <w:rPr>
          <w:rFonts w:eastAsia="仿宋"/>
          <w:b/>
          <w:bCs/>
          <w:color w:val="auto"/>
          <w:sz w:val="24"/>
          <w:highlight w:val="none"/>
        </w:rPr>
        <w:outlineLvl w:val="2"/>
      </w:pPr>
      <w:r>
        <w:rPr>
          <w:rFonts w:eastAsia="仿宋"/>
          <w:b/>
          <w:bCs/>
          <w:color w:val="auto"/>
          <w:sz w:val="24"/>
          <w:highlight w:val="none"/>
        </w:rPr>
        <w:br w:type="page" w:clear="all"/>
      </w:r>
      <w:bookmarkStart w:id="171" w:name="_Toc19348"/>
      <w:r/>
      <w:bookmarkStart w:id="172" w:name="_Toc27042"/>
      <w:r>
        <w:rPr>
          <w:rFonts w:eastAsia="仿宋"/>
          <w:b/>
          <w:bCs/>
          <w:color w:val="auto"/>
          <w:sz w:val="24"/>
          <w:highlight w:val="none"/>
        </w:rPr>
        <w:t xml:space="preserve">附件二、投标人类似业绩情况表</w:t>
      </w:r>
      <w:bookmarkEnd w:id="171"/>
      <w:r/>
      <w:bookmarkEnd w:id="172"/>
      <w:r/>
      <w:r/>
    </w:p>
    <w:p>
      <w:pPr>
        <w:jc w:val="center"/>
        <w:spacing w:line="360" w:lineRule="auto"/>
        <w:widowControl/>
        <w:rPr>
          <w:rFonts w:eastAsia="仿宋"/>
          <w:b/>
          <w:bCs/>
          <w:color w:val="auto"/>
          <w:sz w:val="32"/>
          <w:szCs w:val="32"/>
          <w:highlight w:val="none"/>
        </w:rPr>
      </w:pPr>
      <w:r/>
      <w:bookmarkStart w:id="173" w:name="_Toc8537"/>
      <w:r>
        <w:rPr>
          <w:rFonts w:eastAsia="仿宋"/>
          <w:b/>
          <w:bCs/>
          <w:color w:val="auto"/>
          <w:sz w:val="32"/>
          <w:szCs w:val="32"/>
          <w:highlight w:val="none"/>
        </w:rPr>
        <w:t xml:space="preserve">投标人类似业绩情况表</w:t>
      </w:r>
      <w:bookmarkEnd w:id="173"/>
      <w:r/>
      <w:r/>
    </w:p>
    <w:tbl>
      <w:tblPr>
        <w:tblStyle w:val="82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项目</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获奖</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签约及服务</w:t>
            </w:r>
            <w:r/>
          </w:p>
          <w:p>
            <w:pPr>
              <w:jc w:val="center"/>
              <w:spacing w:line="400" w:lineRule="atLeast"/>
              <w:widowControl/>
              <w:rPr>
                <w:rFonts w:eastAsia="仿宋"/>
                <w:b/>
                <w:bCs/>
                <w:color w:val="auto"/>
                <w:sz w:val="24"/>
                <w:highlight w:val="none"/>
              </w:rPr>
            </w:pPr>
            <w:r>
              <w:rPr>
                <w:rFonts w:eastAsia="仿宋"/>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b/>
                <w:bCs/>
                <w:color w:val="auto"/>
                <w:sz w:val="24"/>
                <w:highlight w:val="none"/>
              </w:rPr>
            </w:pPr>
            <w:r>
              <w:rPr>
                <w:rFonts w:eastAsia="仿宋"/>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eastAsia="仿宋"/>
                <w:color w:val="auto"/>
                <w:szCs w:val="21"/>
                <w:highlight w:val="none"/>
              </w:rPr>
            </w:pPr>
            <w:r>
              <w:rPr>
                <w:rFonts w:eastAsia="仿宋"/>
                <w:color w:val="auto"/>
                <w:szCs w:val="21"/>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spacing w:line="360" w:lineRule="auto"/>
        <w:widowControl/>
        <w:rPr>
          <w:rFonts w:eastAsia="仿宋"/>
          <w:b/>
          <w:bCs/>
          <w:color w:val="auto"/>
          <w:szCs w:val="21"/>
          <w:highlight w:val="none"/>
        </w:rPr>
      </w:pPr>
      <w:r>
        <w:rPr>
          <w:rFonts w:eastAsia="仿宋"/>
          <w:b/>
          <w:bCs/>
          <w:color w:val="auto"/>
          <w:szCs w:val="21"/>
          <w:highlight w:val="none"/>
        </w:rPr>
      </w:r>
      <w:r/>
    </w:p>
    <w:p>
      <w:pPr>
        <w:rPr>
          <w:rFonts w:eastAsia="仿宋"/>
          <w:b/>
          <w:color w:val="auto"/>
          <w:highlight w:val="none"/>
        </w:rPr>
      </w:pPr>
      <w:r>
        <w:rPr>
          <w:rFonts w:eastAsia="仿宋"/>
          <w:b/>
          <w:color w:val="auto"/>
          <w:highlight w:val="none"/>
        </w:rPr>
      </w:r>
      <w:r/>
    </w:p>
    <w:p>
      <w:pPr>
        <w:rPr>
          <w:rFonts w:eastAsia="仿宋"/>
          <w:color w:val="auto"/>
          <w:sz w:val="24"/>
          <w:highlight w:val="none"/>
        </w:rPr>
      </w:pPr>
      <w:r>
        <w:rPr>
          <w:rFonts w:eastAsia="仿宋"/>
          <w:color w:val="auto"/>
          <w:sz w:val="24"/>
          <w:highlight w:val="none"/>
        </w:rPr>
        <w:t xml:space="preserve">说明：</w:t>
      </w:r>
      <w:r/>
    </w:p>
    <w:p>
      <w:pPr>
        <w:rPr>
          <w:rFonts w:eastAsia="仿宋"/>
          <w:color w:val="auto"/>
          <w:sz w:val="24"/>
          <w:highlight w:val="none"/>
        </w:rPr>
      </w:pPr>
      <w:r>
        <w:rPr>
          <w:rFonts w:eastAsia="仿宋"/>
          <w:color w:val="auto"/>
          <w:sz w:val="24"/>
          <w:highlight w:val="none"/>
        </w:rPr>
        <w:t xml:space="preserve">1、如果行数不够，请自行增加。</w:t>
      </w:r>
      <w:r/>
    </w:p>
    <w:p>
      <w:pPr>
        <w:rPr>
          <w:rFonts w:eastAsia="仿宋"/>
          <w:b/>
          <w:color w:val="auto"/>
          <w:highlight w:val="none"/>
        </w:rPr>
      </w:pPr>
      <w:r>
        <w:rPr>
          <w:rFonts w:eastAsia="仿宋"/>
          <w:color w:val="auto"/>
          <w:sz w:val="24"/>
          <w:highlight w:val="none"/>
        </w:rPr>
        <w:t xml:space="preserve">2、所有业绩均需要提供有效的复印件（扫描件）。</w:t>
      </w:r>
      <w:r/>
    </w:p>
    <w:p>
      <w:pPr>
        <w:rPr>
          <w:rFonts w:eastAsia="仿宋"/>
          <w:b/>
          <w:color w:val="auto"/>
          <w:highlight w:val="none"/>
        </w:rPr>
      </w:pPr>
      <w:r>
        <w:rPr>
          <w:rFonts w:eastAsia="仿宋"/>
          <w:b/>
          <w:color w:val="auto"/>
          <w:highlight w:val="none"/>
        </w:rPr>
      </w:r>
      <w:r/>
    </w:p>
    <w:p>
      <w:pPr>
        <w:rPr>
          <w:rFonts w:eastAsia="仿宋"/>
          <w:b/>
          <w:color w:val="auto"/>
          <w:highlight w:val="none"/>
        </w:rPr>
      </w:pPr>
      <w:r>
        <w:rPr>
          <w:rFonts w:eastAsia="仿宋"/>
          <w:b/>
          <w:color w:val="auto"/>
          <w:highlight w:val="none"/>
        </w:rPr>
      </w:r>
      <w:r/>
    </w:p>
    <w:p>
      <w:pPr>
        <w:jc w:val="left"/>
        <w:widowControl/>
        <w:rPr>
          <w:rFonts w:eastAsia="仿宋"/>
          <w:b/>
          <w:color w:val="auto"/>
          <w:highlight w:val="none"/>
        </w:rPr>
      </w:pPr>
      <w:r>
        <w:rPr>
          <w:rFonts w:eastAsia="仿宋"/>
          <w:b/>
          <w:color w:val="auto"/>
          <w:highlight w:val="none"/>
        </w:rPr>
        <w:br w:type="page" w:clear="all"/>
      </w:r>
      <w:r/>
    </w:p>
    <w:p>
      <w:pPr>
        <w:spacing w:after="240" w:line="360" w:lineRule="auto"/>
        <w:rPr>
          <w:rFonts w:eastAsia="仿宋"/>
          <w:b/>
          <w:color w:val="auto"/>
          <w:sz w:val="24"/>
          <w:highlight w:val="none"/>
        </w:rPr>
        <w:outlineLvl w:val="2"/>
      </w:pPr>
      <w:r/>
      <w:bookmarkStart w:id="174" w:name="_Toc5788"/>
      <w:r/>
      <w:bookmarkStart w:id="175" w:name="_Toc2941"/>
      <w:r>
        <w:rPr>
          <w:rFonts w:eastAsia="仿宋"/>
          <w:b/>
          <w:color w:val="auto"/>
          <w:sz w:val="24"/>
          <w:highlight w:val="none"/>
        </w:rPr>
        <w:t xml:space="preserve">附件三、无重大违法记录声明格式</w:t>
      </w:r>
      <w:bookmarkEnd w:id="174"/>
      <w:r/>
      <w:bookmarkEnd w:id="175"/>
      <w:r/>
      <w:r/>
    </w:p>
    <w:p>
      <w:pPr>
        <w:jc w:val="center"/>
        <w:spacing w:line="240" w:lineRule="atLeast"/>
        <w:rPr>
          <w:rFonts w:eastAsia="仿宋"/>
          <w:color w:val="auto"/>
          <w:sz w:val="28"/>
          <w:szCs w:val="36"/>
          <w:highlight w:val="none"/>
        </w:rPr>
      </w:pPr>
      <w:r>
        <w:rPr>
          <w:rFonts w:eastAsia="仿宋"/>
          <w:b/>
          <w:bCs/>
          <w:color w:val="auto"/>
          <w:sz w:val="32"/>
          <w:szCs w:val="32"/>
          <w:highlight w:val="none"/>
        </w:rPr>
        <w:t xml:space="preserve">无重大违法记录声明</w:t>
      </w:r>
      <w:r/>
    </w:p>
    <w:p>
      <w:pPr>
        <w:spacing w:line="360" w:lineRule="auto"/>
        <w:rPr>
          <w:rFonts w:eastAsia="仿宋"/>
          <w:color w:val="auto"/>
          <w:szCs w:val="21"/>
          <w:highlight w:val="none"/>
        </w:rPr>
      </w:pPr>
      <w:r>
        <w:rPr>
          <w:rFonts w:eastAsia="仿宋"/>
          <w:color w:val="auto"/>
          <w:szCs w:val="21"/>
          <w:highlight w:val="none"/>
        </w:rPr>
      </w:r>
      <w:r/>
    </w:p>
    <w:p>
      <w:pPr>
        <w:spacing w:line="360" w:lineRule="auto"/>
        <w:rPr>
          <w:rFonts w:eastAsia="仿宋"/>
          <w:color w:val="auto"/>
          <w:sz w:val="24"/>
          <w:highlight w:val="none"/>
        </w:rPr>
      </w:pPr>
      <w:r>
        <w:rPr>
          <w:rFonts w:eastAsia="仿宋"/>
          <w:b/>
          <w:bCs/>
          <w:color w:val="auto"/>
          <w:sz w:val="24"/>
          <w:highlight w:val="none"/>
        </w:rPr>
        <w:t xml:space="preserve">南京市秦淮生态环境局</w:t>
      </w:r>
      <w:r>
        <w:rPr>
          <w:rFonts w:eastAsia="仿宋"/>
          <w:color w:val="auto"/>
          <w:sz w:val="24"/>
          <w:highlight w:val="none"/>
        </w:rPr>
        <w:t xml:space="preserve">：</w:t>
      </w:r>
      <w:r/>
    </w:p>
    <w:p>
      <w:pPr>
        <w:spacing w:line="360" w:lineRule="auto"/>
        <w:rPr>
          <w:rFonts w:eastAsia="仿宋"/>
          <w:color w:val="auto"/>
          <w:sz w:val="24"/>
          <w:highlight w:val="none"/>
        </w:rPr>
      </w:pPr>
      <w:r>
        <w:rPr>
          <w:rFonts w:eastAsia="仿宋"/>
          <w:color w:val="auto"/>
          <w:sz w:val="24"/>
          <w:highlight w:val="none"/>
        </w:rPr>
        <w:t xml:space="preserve">我单位 </w:t>
      </w:r>
      <w:r>
        <w:rPr>
          <w:rFonts w:eastAsia="仿宋"/>
          <w:color w:val="auto"/>
          <w:sz w:val="24"/>
          <w:highlight w:val="none"/>
          <w:u w:val="single"/>
        </w:rPr>
        <w:t xml:space="preserve">          </w:t>
      </w:r>
      <w:r>
        <w:rPr>
          <w:rFonts w:eastAsia="仿宋"/>
          <w:color w:val="auto"/>
          <w:sz w:val="24"/>
          <w:highlight w:val="none"/>
        </w:rPr>
        <w:t xml:space="preserve">（供应商名称）郑重声明：</w:t>
      </w:r>
      <w:r/>
    </w:p>
    <w:p>
      <w:pPr>
        <w:ind w:firstLine="480"/>
        <w:spacing w:line="360" w:lineRule="auto"/>
        <w:shd w:val="clear" w:color="auto" w:fill="ffffff"/>
        <w:widowControl/>
        <w:rPr>
          <w:rFonts w:eastAsia="仿宋"/>
          <w:b/>
          <w:color w:val="auto"/>
          <w:sz w:val="24"/>
          <w:highlight w:val="none"/>
        </w:rPr>
      </w:pPr>
      <w:r>
        <w:rPr>
          <w:rFonts w:eastAsia="仿宋"/>
          <w:color w:val="auto"/>
          <w:sz w:val="24"/>
          <w:highlight w:val="none"/>
        </w:rPr>
        <w:t xml:space="preserve">我单位参加政府采购活动前3年内在经营活动中（</w:t>
      </w:r>
      <w:r>
        <w:rPr>
          <w:rFonts w:eastAsia="仿宋"/>
          <w:b/>
          <w:i/>
          <w:color w:val="auto"/>
          <w:sz w:val="24"/>
          <w:highlight w:val="none"/>
          <w:u w:val="single"/>
        </w:rPr>
        <w:t xml:space="preserve">在下划线上如实填写：有或没有</w:t>
      </w:r>
      <w:r>
        <w:rPr>
          <w:rFonts w:eastAsia="仿宋"/>
          <w:color w:val="auto"/>
          <w:sz w:val="24"/>
          <w:highlight w:val="none"/>
        </w:rPr>
        <w:t xml:space="preserve">）</w:t>
      </w:r>
      <w:r>
        <w:rPr>
          <w:rFonts w:eastAsia="仿宋"/>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eastAsia="仿宋"/>
          <w:color w:val="auto"/>
          <w:sz w:val="24"/>
          <w:highlight w:val="none"/>
        </w:rPr>
      </w:pPr>
      <w:r>
        <w:rPr>
          <w:rFonts w:eastAsia="仿宋"/>
          <w:color w:val="auto"/>
          <w:sz w:val="24"/>
          <w:highlight w:val="none"/>
        </w:rPr>
      </w:r>
      <w:r/>
    </w:p>
    <w:p>
      <w:pPr>
        <w:ind w:firstLine="315"/>
        <w:spacing w:line="360" w:lineRule="auto"/>
        <w:rPr>
          <w:rFonts w:eastAsia="仿宋"/>
          <w:color w:val="auto"/>
          <w:sz w:val="24"/>
          <w:highlight w:val="none"/>
        </w:rPr>
      </w:pPr>
      <w:r>
        <w:rPr>
          <w:rFonts w:eastAsia="仿宋"/>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eastAsia="仿宋"/>
          <w:color w:val="auto"/>
          <w:sz w:val="24"/>
          <w:highlight w:val="none"/>
        </w:rPr>
      </w:pPr>
      <w:r>
        <w:rPr>
          <w:rFonts w:eastAsia="仿宋"/>
          <w:color w:val="auto"/>
          <w:sz w:val="24"/>
          <w:highlight w:val="none"/>
        </w:rPr>
      </w:r>
      <w:r/>
    </w:p>
    <w:p>
      <w:pPr>
        <w:spacing w:line="360" w:lineRule="auto"/>
        <w:rPr>
          <w:rFonts w:eastAsia="仿宋"/>
          <w:color w:val="auto"/>
          <w:sz w:val="24"/>
          <w:highlight w:val="none"/>
        </w:rPr>
      </w:pPr>
      <w:r>
        <w:rPr>
          <w:rFonts w:eastAsia="仿宋"/>
          <w:color w:val="auto"/>
          <w:sz w:val="24"/>
          <w:highlight w:val="none"/>
        </w:rPr>
      </w:r>
      <w:r/>
    </w:p>
    <w:p>
      <w:pPr>
        <w:ind w:firstLine="5103"/>
        <w:spacing w:line="360" w:lineRule="auto"/>
        <w:rPr>
          <w:rFonts w:eastAsia="仿宋"/>
          <w:color w:val="auto"/>
          <w:sz w:val="24"/>
          <w:highlight w:val="none"/>
        </w:rPr>
      </w:pPr>
      <w:r>
        <w:rPr>
          <w:rFonts w:eastAsia="仿宋"/>
          <w:color w:val="auto"/>
          <w:sz w:val="24"/>
          <w:highlight w:val="none"/>
        </w:rPr>
        <w:t xml:space="preserve">声明人：（加盖电子公章）</w:t>
      </w:r>
      <w:r/>
    </w:p>
    <w:p>
      <w:pPr>
        <w:keepNext/>
        <w:spacing w:after="240" w:line="360" w:lineRule="auto"/>
        <w:tabs>
          <w:tab w:val="left" w:pos="1440" w:leader="none"/>
          <w:tab w:val="left" w:pos="5670" w:leader="none"/>
        </w:tabs>
        <w:rPr>
          <w:rFonts w:eastAsia="仿宋"/>
          <w:color w:val="auto"/>
          <w:sz w:val="24"/>
          <w:highlight w:val="none"/>
        </w:rPr>
      </w:pPr>
      <w:r>
        <w:rPr>
          <w:rFonts w:eastAsia="仿宋"/>
          <w:color w:val="auto"/>
          <w:sz w:val="24"/>
          <w:highlight w:val="none"/>
          <w:lang w:val="zh-CN"/>
        </w:rPr>
        <w:t xml:space="preserve">日期：</w:t>
      </w:r>
      <w:r>
        <w:rPr>
          <w:rFonts w:eastAsia="仿宋"/>
          <w:color w:val="auto"/>
          <w:sz w:val="24"/>
          <w:highlight w:val="none"/>
        </w:rPr>
        <w:t xml:space="preserve">     </w:t>
      </w:r>
      <w:r>
        <w:rPr>
          <w:rFonts w:eastAsia="仿宋"/>
          <w:color w:val="auto"/>
          <w:sz w:val="24"/>
          <w:highlight w:val="none"/>
          <w:lang w:val="zh-CN"/>
        </w:rPr>
        <w:t xml:space="preserve">年</w:t>
      </w:r>
      <w:r>
        <w:rPr>
          <w:rFonts w:eastAsia="仿宋"/>
          <w:color w:val="auto"/>
          <w:sz w:val="24"/>
          <w:highlight w:val="none"/>
        </w:rPr>
        <w:t xml:space="preserve">  </w:t>
      </w:r>
      <w:r>
        <w:rPr>
          <w:rFonts w:eastAsia="仿宋"/>
          <w:color w:val="auto"/>
          <w:sz w:val="24"/>
          <w:highlight w:val="none"/>
          <w:lang w:val="zh-CN"/>
        </w:rPr>
        <w:t xml:space="preserve">月</w:t>
      </w:r>
      <w:r>
        <w:rPr>
          <w:rFonts w:eastAsia="仿宋"/>
          <w:color w:val="auto"/>
          <w:sz w:val="24"/>
          <w:highlight w:val="none"/>
        </w:rPr>
        <w:t xml:space="preserve">  日</w:t>
      </w:r>
      <w:r/>
    </w:p>
    <w:p>
      <w:pPr>
        <w:keepNext/>
        <w:spacing w:after="240" w:line="360" w:lineRule="auto"/>
        <w:tabs>
          <w:tab w:val="left" w:pos="1440" w:leader="none"/>
          <w:tab w:val="left" w:pos="5670" w:leader="none"/>
        </w:tabs>
        <w:rPr>
          <w:rFonts w:eastAsia="仿宋"/>
          <w:b/>
          <w:bCs/>
          <w:color w:val="auto"/>
          <w:sz w:val="24"/>
          <w:highlight w:val="none"/>
        </w:rPr>
        <w:outlineLvl w:val="2"/>
      </w:pPr>
      <w:r>
        <w:rPr>
          <w:rFonts w:eastAsia="仿宋"/>
          <w:b/>
          <w:color w:val="auto"/>
          <w:sz w:val="24"/>
          <w:highlight w:val="none"/>
          <w:lang w:val="zh-CN"/>
        </w:rPr>
        <w:br w:type="page" w:clear="all"/>
      </w:r>
      <w:bookmarkStart w:id="176" w:name="_Toc3976"/>
      <w:r/>
      <w:bookmarkStart w:id="177" w:name="_Toc20260"/>
      <w:r/>
      <w:bookmarkStart w:id="178" w:name="_Toc24701"/>
      <w:r/>
      <w:bookmarkStart w:id="179" w:name="_Toc16688"/>
      <w:r/>
      <w:bookmarkStart w:id="180" w:name="_Toc6231"/>
      <w:r>
        <w:rPr>
          <w:rFonts w:eastAsia="仿宋"/>
          <w:b/>
          <w:bCs/>
          <w:color w:val="auto"/>
          <w:sz w:val="24"/>
          <w:highlight w:val="none"/>
        </w:rPr>
        <w:t xml:space="preserve">附件四、具备履行合同所必需的设备和专业技术能力的声明格式</w:t>
      </w:r>
      <w:bookmarkEnd w:id="176"/>
      <w:r/>
      <w:bookmarkEnd w:id="177"/>
      <w:r/>
      <w:bookmarkEnd w:id="178"/>
      <w:r/>
      <w:bookmarkEnd w:id="179"/>
      <w:r/>
      <w:bookmarkEnd w:id="180"/>
      <w:r/>
      <w:r/>
    </w:p>
    <w:p>
      <w:pPr>
        <w:jc w:val="center"/>
        <w:spacing w:line="360" w:lineRule="auto"/>
        <w:rPr>
          <w:rFonts w:eastAsia="仿宋"/>
          <w:b/>
          <w:bCs/>
          <w:color w:val="auto"/>
          <w:sz w:val="32"/>
          <w:szCs w:val="32"/>
          <w:highlight w:val="none"/>
        </w:rPr>
      </w:pPr>
      <w:r/>
      <w:bookmarkStart w:id="181" w:name="_Toc485"/>
      <w:r>
        <w:rPr>
          <w:rFonts w:eastAsia="仿宋"/>
          <w:b/>
          <w:bCs/>
          <w:color w:val="auto"/>
          <w:sz w:val="32"/>
          <w:szCs w:val="32"/>
          <w:highlight w:val="none"/>
        </w:rPr>
        <w:t xml:space="preserve">具备履行合同所必需的设备和专业技术能力的声明</w:t>
      </w:r>
      <w:bookmarkEnd w:id="181"/>
      <w:r/>
      <w:r/>
    </w:p>
    <w:p>
      <w:pPr>
        <w:spacing w:line="360" w:lineRule="auto"/>
        <w:rPr>
          <w:rFonts w:eastAsia="仿宋"/>
          <w:b/>
          <w:color w:val="auto"/>
          <w:sz w:val="24"/>
          <w:szCs w:val="21"/>
          <w:highlight w:val="none"/>
          <w:lang w:val="zh-CN"/>
        </w:rPr>
      </w:pPr>
      <w:r>
        <w:rPr>
          <w:rFonts w:eastAsia="仿宋"/>
          <w:b/>
          <w:bCs/>
          <w:color w:val="auto"/>
          <w:sz w:val="24"/>
          <w:highlight w:val="none"/>
        </w:rPr>
        <w:t xml:space="preserve">南京市秦淮生态环境局</w:t>
      </w:r>
      <w:r>
        <w:rPr>
          <w:rFonts w:eastAsia="仿宋"/>
          <w:b/>
          <w:color w:val="auto"/>
          <w:sz w:val="24"/>
          <w:szCs w:val="21"/>
          <w:highlight w:val="none"/>
          <w:lang w:val="zh-CN"/>
        </w:rPr>
        <w:t xml:space="preserve">：</w:t>
      </w:r>
      <w:r/>
    </w:p>
    <w:p>
      <w:pPr>
        <w:ind w:firstLine="480"/>
        <w:spacing w:line="360" w:lineRule="auto"/>
        <w:rPr>
          <w:rFonts w:eastAsia="仿宋"/>
          <w:color w:val="auto"/>
          <w:sz w:val="24"/>
          <w:highlight w:val="none"/>
        </w:rPr>
      </w:pPr>
      <w:r>
        <w:rPr>
          <w:rFonts w:eastAsia="仿宋"/>
          <w:color w:val="auto"/>
          <w:sz w:val="24"/>
          <w:highlight w:val="none"/>
        </w:rPr>
        <w:t xml:space="preserve">我单位</w:t>
      </w:r>
      <w:r>
        <w:rPr>
          <w:rFonts w:eastAsia="仿宋"/>
          <w:color w:val="auto"/>
          <w:sz w:val="24"/>
          <w:highlight w:val="none"/>
          <w:u w:val="single"/>
        </w:rPr>
        <w:t xml:space="preserve">             </w:t>
      </w:r>
      <w:r>
        <w:rPr>
          <w:rFonts w:eastAsia="仿宋"/>
          <w:color w:val="auto"/>
          <w:sz w:val="24"/>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eastAsia="仿宋"/>
          <w:color w:val="auto"/>
          <w:sz w:val="24"/>
          <w:highlight w:val="none"/>
        </w:rPr>
      </w:pPr>
      <w:r>
        <w:rPr>
          <w:rFonts w:eastAsia="仿宋"/>
          <w:color w:val="auto"/>
          <w:sz w:val="24"/>
          <w:highlight w:val="none"/>
        </w:rPr>
        <w:t xml:space="preserve">主要设备有：</w:t>
      </w:r>
      <w:r>
        <w:rPr>
          <w:rFonts w:eastAsia="仿宋"/>
          <w:color w:val="auto"/>
          <w:sz w:val="24"/>
          <w:highlight w:val="none"/>
          <w:u w:val="single"/>
        </w:rPr>
        <w:t xml:space="preserve">           </w:t>
      </w:r>
      <w:r>
        <w:rPr>
          <w:rFonts w:eastAsia="仿宋"/>
          <w:color w:val="auto"/>
          <w:sz w:val="24"/>
          <w:highlight w:val="none"/>
        </w:rPr>
        <w:t xml:space="preserve"> 。( 若有 )</w:t>
      </w:r>
      <w:r/>
    </w:p>
    <w:p>
      <w:pPr>
        <w:spacing w:line="360" w:lineRule="auto"/>
        <w:rPr>
          <w:rFonts w:eastAsia="仿宋"/>
          <w:color w:val="auto"/>
          <w:sz w:val="24"/>
          <w:highlight w:val="none"/>
        </w:rPr>
      </w:pPr>
      <w:r>
        <w:rPr>
          <w:rFonts w:eastAsia="仿宋"/>
          <w:color w:val="auto"/>
          <w:sz w:val="24"/>
          <w:highlight w:val="none"/>
        </w:rPr>
        <w:t xml:space="preserve">主要专业技术能力有：</w:t>
      </w:r>
      <w:r>
        <w:rPr>
          <w:rFonts w:eastAsia="仿宋"/>
          <w:color w:val="auto"/>
          <w:sz w:val="24"/>
          <w:highlight w:val="none"/>
          <w:u w:val="single"/>
        </w:rPr>
        <w:t xml:space="preserve">         </w:t>
      </w:r>
      <w:r>
        <w:rPr>
          <w:rFonts w:eastAsia="仿宋"/>
          <w:color w:val="auto"/>
          <w:sz w:val="24"/>
          <w:highlight w:val="none"/>
        </w:rPr>
        <w:t xml:space="preserve">。( 若有 )</w:t>
      </w:r>
      <w:r/>
    </w:p>
    <w:p>
      <w:pPr>
        <w:spacing w:line="360" w:lineRule="auto"/>
        <w:rPr>
          <w:rFonts w:eastAsia="仿宋"/>
          <w:color w:val="auto"/>
          <w:highlight w:val="none"/>
        </w:rPr>
      </w:pPr>
      <w:r>
        <w:rPr>
          <w:rFonts w:eastAsia="仿宋"/>
          <w:color w:val="auto"/>
          <w:highlight w:val="none"/>
        </w:rPr>
      </w:r>
      <w:r/>
    </w:p>
    <w:p>
      <w:pPr>
        <w:spacing w:line="360" w:lineRule="auto"/>
        <w:rPr>
          <w:rFonts w:eastAsia="仿宋"/>
          <w:color w:val="auto"/>
          <w:highlight w:val="none"/>
        </w:rPr>
      </w:pPr>
      <w:r>
        <w:rPr>
          <w:rFonts w:eastAsia="仿宋"/>
          <w:color w:val="auto"/>
          <w:highlight w:val="none"/>
        </w:rPr>
      </w:r>
      <w:r/>
    </w:p>
    <w:p>
      <w:pPr>
        <w:jc w:val="right"/>
        <w:spacing w:line="360" w:lineRule="auto"/>
        <w:rPr>
          <w:rFonts w:eastAsia="仿宋"/>
          <w:color w:val="auto"/>
          <w:sz w:val="24"/>
          <w:highlight w:val="none"/>
        </w:rPr>
      </w:pPr>
      <w:r>
        <w:rPr>
          <w:rFonts w:eastAsia="仿宋"/>
          <w:color w:val="auto"/>
          <w:sz w:val="24"/>
          <w:highlight w:val="none"/>
        </w:rPr>
        <w:t xml:space="preserve">声明人：（</w:t>
      </w:r>
      <w:r>
        <w:rPr>
          <w:rFonts w:eastAsia="仿宋"/>
          <w:color w:val="auto"/>
          <w:sz w:val="24"/>
          <w:highlight w:val="none"/>
          <w:lang w:bidi="ar"/>
        </w:rPr>
        <w:t xml:space="preserve">加盖电子公章</w:t>
      </w:r>
      <w:r>
        <w:rPr>
          <w:rFonts w:eastAsia="仿宋"/>
          <w:color w:val="auto"/>
          <w:sz w:val="24"/>
          <w:highlight w:val="none"/>
        </w:rPr>
        <w:t xml:space="preserve">）</w:t>
      </w:r>
      <w:r/>
    </w:p>
    <w:p>
      <w:pPr>
        <w:jc w:val="right"/>
        <w:spacing w:line="360" w:lineRule="auto"/>
        <w:rPr>
          <w:rFonts w:eastAsia="仿宋"/>
          <w:color w:val="auto"/>
          <w:sz w:val="24"/>
          <w:highlight w:val="none"/>
        </w:rPr>
      </w:pPr>
      <w:r>
        <w:rPr>
          <w:rFonts w:eastAsia="仿宋"/>
          <w:color w:val="auto"/>
          <w:sz w:val="24"/>
          <w:highlight w:val="none"/>
        </w:rPr>
        <w:t xml:space="preserve">日期： 年   月   日</w:t>
      </w:r>
      <w:r/>
    </w:p>
    <w:p>
      <w:pPr>
        <w:rPr>
          <w:rFonts w:eastAsia="仿宋"/>
          <w:color w:val="auto"/>
          <w:sz w:val="24"/>
          <w:highlight w:val="none"/>
          <w:lang w:val="zh-CN"/>
        </w:rPr>
      </w:pPr>
      <w:r/>
      <w:bookmarkStart w:id="182" w:name="_Toc8905"/>
      <w:r/>
      <w:bookmarkStart w:id="183" w:name="_Toc17077"/>
      <w:r/>
      <w:bookmarkStart w:id="184" w:name="_Toc20475"/>
      <w:r/>
      <w:bookmarkStart w:id="185" w:name="_Toc24407"/>
      <w:r>
        <w:rPr>
          <w:rFonts w:eastAsia="仿宋"/>
          <w:color w:val="auto"/>
          <w:sz w:val="24"/>
          <w:highlight w:val="none"/>
        </w:rPr>
        <w:br w:type="page" w:clear="all"/>
      </w:r>
      <w:r/>
    </w:p>
    <w:p>
      <w:pPr>
        <w:pStyle w:val="821"/>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86" w:name="_Toc15199"/>
      <w:r/>
      <w:bookmarkStart w:id="187" w:name="_Toc23202"/>
      <w:r>
        <w:rPr>
          <w:rFonts w:eastAsia="仿宋"/>
          <w:color w:val="auto"/>
          <w:sz w:val="24"/>
          <w:szCs w:val="24"/>
          <w:highlight w:val="none"/>
        </w:rPr>
        <w:t xml:space="preserve">附件五</w:t>
      </w:r>
      <w:r>
        <w:rPr>
          <w:rFonts w:eastAsia="仿宋"/>
          <w:color w:val="auto"/>
          <w:sz w:val="24"/>
          <w:szCs w:val="24"/>
          <w:highlight w:val="none"/>
          <w:lang w:val="zh-CN"/>
        </w:rPr>
        <w:t xml:space="preserve">、南京市政府采购供应商信用记录表暨信用承诺书</w:t>
      </w:r>
      <w:bookmarkEnd w:id="182"/>
      <w:r/>
      <w:bookmarkEnd w:id="183"/>
      <w:r/>
      <w:bookmarkEnd w:id="184"/>
      <w:r/>
      <w:bookmarkEnd w:id="185"/>
      <w:r/>
      <w:bookmarkEnd w:id="186"/>
      <w:r/>
      <w:bookmarkEnd w:id="187"/>
      <w:r/>
      <w:r/>
    </w:p>
    <w:p>
      <w:pPr>
        <w:pStyle w:val="1029"/>
        <w:ind w:firstLine="0"/>
        <w:jc w:val="center"/>
        <w:spacing w:line="360" w:lineRule="auto"/>
        <w:rPr>
          <w:rFonts w:eastAsia="仿宋"/>
          <w:b/>
          <w:bCs/>
          <w:color w:val="auto"/>
          <w:sz w:val="32"/>
          <w:szCs w:val="32"/>
          <w:highlight w:val="none"/>
        </w:rPr>
      </w:pPr>
      <w:r/>
      <w:bookmarkStart w:id="188" w:name="_Toc19773"/>
      <w:r>
        <w:rPr>
          <w:rFonts w:eastAsia="仿宋"/>
          <w:b/>
          <w:bCs/>
          <w:color w:val="auto"/>
          <w:sz w:val="32"/>
          <w:szCs w:val="32"/>
          <w:highlight w:val="none"/>
        </w:rPr>
        <w:t xml:space="preserve">南京市政府采购供应商信用记录表暨信用承诺书</w:t>
      </w:r>
      <w:bookmarkEnd w:id="188"/>
      <w:r/>
      <w:r/>
    </w:p>
    <w:p>
      <w:pPr>
        <w:jc w:val="center"/>
        <w:spacing w:line="360" w:lineRule="auto"/>
        <w:rPr>
          <w:rFonts w:eastAsia="仿宋"/>
          <w:color w:val="auto"/>
          <w:sz w:val="20"/>
          <w:highlight w:val="none"/>
        </w:rPr>
      </w:pPr>
      <w:r>
        <w:rPr>
          <w:rFonts w:eastAsia="仿宋"/>
          <w:color w:val="auto"/>
          <w:szCs w:val="21"/>
          <w:highlight w:val="none"/>
        </w:rPr>
        <w:t xml:space="preserve">（仅为示范格式，直接填写无效，需至“南京政府采购供应商诚信档案管理系统”在线打印）</w:t>
      </w:r>
      <w:r/>
    </w:p>
    <w:p>
      <w:pPr>
        <w:jc w:val="center"/>
        <w:rPr>
          <w:rFonts w:eastAsia="仿宋"/>
          <w:color w:val="auto"/>
          <w:sz w:val="24"/>
          <w:highlight w:val="none"/>
        </w:rPr>
      </w:pPr>
      <w:r>
        <w:rPr>
          <w:rFonts w:eastAsia="仿宋"/>
          <w:color w:val="auto"/>
          <w:sz w:val="24"/>
          <w:highlight w:val="none"/>
        </w:rPr>
        <w:t xml:space="preserve">                                                       20  年  月  日</w:t>
      </w:r>
      <w:r/>
    </w:p>
    <w:tbl>
      <w:tblPr>
        <w:tblStyle w:val="829"/>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c>
          <w:tcPr>
            <w:tcW w:w="2298"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eastAsia="仿宋"/>
                <w:b/>
                <w:bCs/>
                <w:color w:val="auto"/>
                <w:sz w:val="24"/>
                <w:highlight w:val="none"/>
              </w:rPr>
            </w:pPr>
            <w:r>
              <w:rPr>
                <w:rFonts w:eastAsia="仿宋"/>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eastAsia="仿宋"/>
                <w:color w:val="auto"/>
                <w:sz w:val="24"/>
                <w:highlight w:val="none"/>
              </w:rPr>
            </w:pPr>
            <w:r>
              <w:rPr>
                <w:rFonts w:eastAsia="仿宋"/>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eastAsia="仿宋"/>
                <w:color w:val="auto"/>
                <w:sz w:val="24"/>
                <w:highlight w:val="none"/>
              </w:rPr>
            </w:pPr>
            <w:r>
              <w:rPr>
                <w:rFonts w:eastAsia="仿宋"/>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eastAsia="仿宋"/>
                <w:color w:val="auto"/>
                <w:sz w:val="24"/>
                <w:highlight w:val="none"/>
              </w:rPr>
            </w:pPr>
            <w:r>
              <w:rPr>
                <w:rFonts w:eastAsia="仿宋"/>
                <w:color w:val="auto"/>
                <w:sz w:val="24"/>
                <w:highlight w:val="none"/>
              </w:rPr>
              <w:t xml:space="preserve">我公司自愿参加贵中心（公司）组织的本次采购活动，严格遵守《中华人民政府采购法》及相关</w:t>
            </w:r>
            <w:r>
              <w:rPr>
                <w:rFonts w:eastAsia="仿宋"/>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0"/>
              <w:jc w:val="center"/>
              <w:spacing w:line="251" w:lineRule="exact"/>
              <w:rPr>
                <w:rFonts w:eastAsia="仿宋"/>
                <w:color w:val="auto"/>
                <w:sz w:val="24"/>
                <w:highlight w:val="none"/>
              </w:rPr>
            </w:pPr>
            <w:r>
              <w:rPr>
                <w:rFonts w:eastAsia="仿宋"/>
                <w:color w:val="auto"/>
                <w:sz w:val="24"/>
                <w:highlight w:val="none"/>
              </w:rPr>
            </w:r>
            <w:r/>
          </w:p>
          <w:p>
            <w:pPr>
              <w:ind w:left="23"/>
              <w:jc w:val="center"/>
              <w:spacing w:line="274" w:lineRule="exact"/>
              <w:rPr>
                <w:rFonts w:eastAsia="仿宋"/>
                <w:color w:val="auto"/>
                <w:sz w:val="24"/>
                <w:highlight w:val="none"/>
              </w:rPr>
            </w:pPr>
            <w:r>
              <w:rPr>
                <w:rFonts w:eastAsia="仿宋"/>
                <w:color w:val="auto"/>
                <w:sz w:val="24"/>
                <w:highlight w:val="none"/>
              </w:rPr>
              <w:t xml:space="preserve">         供应商名称（公章）：</w:t>
            </w:r>
            <w:r/>
          </w:p>
          <w:p>
            <w:pPr>
              <w:ind w:left="23"/>
              <w:jc w:val="center"/>
              <w:spacing w:line="274" w:lineRule="exact"/>
              <w:rPr>
                <w:rFonts w:eastAsia="仿宋"/>
                <w:color w:val="auto"/>
                <w:sz w:val="24"/>
                <w:highlight w:val="none"/>
              </w:rPr>
            </w:pPr>
            <w:r>
              <w:rPr>
                <w:rFonts w:eastAsia="仿宋"/>
                <w:color w:val="auto"/>
                <w:sz w:val="24"/>
                <w:highlight w:val="none"/>
              </w:rPr>
              <w:t xml:space="preserve">         法定代表人（签字）：</w:t>
            </w:r>
            <w:r/>
          </w:p>
          <w:p>
            <w:pPr>
              <w:ind w:left="23"/>
              <w:jc w:val="center"/>
              <w:spacing w:line="274" w:lineRule="exact"/>
              <w:rPr>
                <w:rFonts w:eastAsia="仿宋"/>
                <w:color w:val="auto"/>
                <w:sz w:val="24"/>
                <w:highlight w:val="none"/>
              </w:rPr>
            </w:pPr>
            <w:r>
              <w:rPr>
                <w:rFonts w:eastAsia="仿宋"/>
                <w:color w:val="auto"/>
                <w:sz w:val="24"/>
                <w:highlight w:val="none"/>
              </w:rPr>
              <w:t xml:space="preserve">        二〇   年  月    日</w:t>
            </w:r>
            <w:r/>
          </w:p>
        </w:tc>
      </w:tr>
    </w:tbl>
    <w:p>
      <w:pPr>
        <w:rPr>
          <w:rFonts w:eastAsia="仿宋"/>
          <w:color w:val="auto"/>
          <w:highlight w:val="none"/>
        </w:rPr>
      </w:pPr>
      <w:r>
        <w:rPr>
          <w:rFonts w:eastAsia="仿宋"/>
          <w:color w:val="auto"/>
          <w:highlight w:val="none"/>
        </w:rPr>
      </w:r>
      <w:r/>
    </w:p>
    <w:p>
      <w:pPr>
        <w:pStyle w:val="102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pStyle w:val="1029"/>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rPr>
          <w:rFonts w:eastAsia="仿宋"/>
          <w:color w:val="auto"/>
          <w:highlight w:val="none"/>
        </w:rPr>
      </w:pPr>
      <w:r>
        <w:rPr>
          <w:rFonts w:eastAsia="仿宋"/>
          <w:color w:val="auto"/>
          <w:highlight w:val="none"/>
        </w:rPr>
      </w:r>
      <w:r/>
    </w:p>
    <w:p>
      <w:pPr>
        <w:spacing w:line="360" w:lineRule="auto"/>
        <w:rPr>
          <w:rFonts w:eastAsia="仿宋"/>
          <w:color w:val="auto"/>
          <w:sz w:val="24"/>
          <w:highlight w:val="none"/>
        </w:rPr>
      </w:pPr>
      <w:r>
        <w:rPr>
          <w:rFonts w:eastAsia="仿宋"/>
          <w:b/>
          <w:bCs/>
          <w:color w:val="auto"/>
          <w:sz w:val="24"/>
          <w:highlight w:val="none"/>
        </w:rPr>
        <w:t xml:space="preserve">特别说明：</w:t>
      </w:r>
      <w:r/>
    </w:p>
    <w:p>
      <w:pPr>
        <w:pStyle w:val="1029"/>
        <w:ind w:firstLine="482"/>
        <w:spacing w:line="360" w:lineRule="auto"/>
        <w:rPr>
          <w:rFonts w:eastAsia="仿宋"/>
          <w:b/>
          <w:color w:val="auto"/>
          <w:sz w:val="24"/>
          <w:highlight w:val="none"/>
        </w:rPr>
      </w:pPr>
      <w:r>
        <w:rPr>
          <w:rFonts w:eastAsia="仿宋"/>
          <w:b/>
          <w:color w:val="auto"/>
          <w:sz w:val="24"/>
          <w:highlight w:val="none"/>
        </w:rPr>
        <w:t xml:space="preserve">根据《关于在政府采购活动中推行信用承诺制的通知》（宁财购通[2021]5号）的规定，本项目招标公告中“二、申请人的资格要求 2.1条”及“二、申请人的资格要求 2.9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eastAsia="仿宋"/>
          <w:bCs/>
          <w:color w:val="auto"/>
          <w:sz w:val="24"/>
          <w:highlight w:val="none"/>
        </w:rPr>
      </w:pPr>
      <w:r>
        <w:rPr>
          <w:rFonts w:eastAsia="仿宋"/>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eastAsia="仿宋"/>
          <w:b/>
          <w:bCs/>
          <w:color w:val="auto"/>
          <w:sz w:val="24"/>
          <w:highlight w:val="none"/>
        </w:rPr>
      </w:pPr>
      <w:r>
        <w:rPr>
          <w:rFonts w:eastAsia="仿宋"/>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eastAsia="仿宋"/>
          <w:bCs/>
          <w:color w:val="auto"/>
          <w:sz w:val="24"/>
          <w:highlight w:val="none"/>
          <w:lang w:val="zh-CN"/>
        </w:rPr>
      </w:pPr>
      <w:r>
        <w:rPr>
          <w:rFonts w:eastAsia="仿宋"/>
          <w:bCs/>
          <w:color w:val="auto"/>
          <w:sz w:val="24"/>
          <w:highlight w:val="none"/>
          <w:lang w:val="zh-CN"/>
        </w:rPr>
        <w:t xml:space="preserve">供应商对信用承诺内容的真实性、合法性、有效性负责。如作出虚假信用承诺，视同为“提供虚假材料谋取中标、成交”的违法行为。</w:t>
      </w:r>
      <w:r/>
    </w:p>
    <w:p>
      <w:pPr>
        <w:pStyle w:val="1029"/>
        <w:rPr>
          <w:rFonts w:eastAsia="仿宋"/>
          <w:color w:val="auto"/>
          <w:highlight w:val="none"/>
        </w:rPr>
      </w:pPr>
      <w:r>
        <w:rPr>
          <w:rFonts w:eastAsia="仿宋"/>
          <w:color w:val="auto"/>
          <w:highlight w:val="none"/>
        </w:rPr>
      </w:r>
      <w:r/>
    </w:p>
    <w:p>
      <w:pPr>
        <w:ind w:firstLine="5040"/>
        <w:spacing w:line="360" w:lineRule="auto"/>
        <w:rPr>
          <w:rFonts w:eastAsia="仿宋"/>
          <w:b/>
          <w:color w:val="auto"/>
          <w:sz w:val="24"/>
          <w:highlight w:val="none"/>
        </w:rPr>
      </w:pPr>
      <w:r>
        <w:rPr>
          <w:rFonts w:eastAsia="仿宋"/>
          <w:b/>
          <w:color w:val="auto"/>
          <w:sz w:val="24"/>
          <w:highlight w:val="none"/>
        </w:rPr>
      </w:r>
      <w:r/>
    </w:p>
    <w:sectPr>
      <w:headerReference w:type="default" r:id="rId9"/>
      <w:footerReference w:type="default" r:id="rId13"/>
      <w:footerReference w:type="firs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仿宋">
    <w:panose1 w:val="02010609060101010101"/>
  </w:font>
  <w:font w:name="Courier New">
    <w:panose1 w:val="02070309020205020404"/>
  </w:font>
  <w:font w:name="Tahoma">
    <w:panose1 w:val="020B0604030504040204"/>
  </w:font>
  <w:font w:name="STXihei">
    <w:panose1 w:val="02010600040101010101"/>
  </w:font>
  <w:font w:name="KNLe">
    <w:panose1 w:val="020B0503020202020204"/>
  </w:font>
  <w:font w:name="STKaiti">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9"/>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49"/>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2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43"/>
      <w:isLgl/>
      <w:suff w:val="tab"/>
      <w:lvlText w:val="%1.%2"/>
      <w:lvlJc w:val="left"/>
      <w:pPr>
        <w:ind w:left="425" w:hanging="425"/>
      </w:pPr>
      <w:rPr>
        <w:rFonts w:hint="eastAsia" w:ascii="Arial Unicode MS" w:hAnsi="Arial Unicode MS" w:eastAsia="微软雅黑"/>
        <w:b/>
        <w:i w:val="0"/>
      </w:rPr>
    </w:lvl>
    <w:lvl w:ilvl="2">
      <w:start w:val="1"/>
      <w:numFmt w:val="decimal"/>
      <w:pStyle w:val="115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819"/>
      <w:isLgl w:val="false"/>
      <w:suff w:val="nothing"/>
      <w:lvlText w:val="第%1章"/>
      <w:lvlJc w:val="left"/>
      <w:pPr>
        <w:ind w:left="0" w:firstLine="0"/>
      </w:pPr>
    </w:lvl>
    <w:lvl w:ilvl="1">
      <w:start w:val="1"/>
      <w:numFmt w:val="none"/>
      <w:pStyle w:val="820"/>
      <w:isLgl w:val="false"/>
      <w:suff w:val="nothing"/>
      <w:lvlText w:val=""/>
      <w:lvlJc w:val="left"/>
      <w:pPr>
        <w:ind w:left="0" w:firstLine="0"/>
      </w:pPr>
    </w:lvl>
    <w:lvl w:ilvl="2">
      <w:start w:val="1"/>
      <w:numFmt w:val="none"/>
      <w:pStyle w:val="821"/>
      <w:isLgl w:val="false"/>
      <w:suff w:val="nothing"/>
      <w:lvlText w:val=""/>
      <w:lvlJc w:val="left"/>
      <w:pPr>
        <w:ind w:left="0" w:firstLine="0"/>
      </w:pPr>
    </w:lvl>
    <w:lvl w:ilvl="3">
      <w:start w:val="1"/>
      <w:numFmt w:val="none"/>
      <w:pStyle w:val="822"/>
      <w:isLgl w:val="false"/>
      <w:suff w:val="nothing"/>
      <w:lvlText w:val=""/>
      <w:lvlJc w:val="left"/>
      <w:pPr>
        <w:ind w:left="0" w:firstLine="0"/>
      </w:pPr>
    </w:lvl>
    <w:lvl w:ilvl="4">
      <w:start w:val="1"/>
      <w:numFmt w:val="none"/>
      <w:pStyle w:val="823"/>
      <w:isLgl w:val="false"/>
      <w:suff w:val="nothing"/>
      <w:lvlText w:val=""/>
      <w:lvlJc w:val="left"/>
      <w:pPr>
        <w:ind w:left="0" w:firstLine="0"/>
      </w:pPr>
    </w:lvl>
    <w:lvl w:ilvl="5">
      <w:start w:val="1"/>
      <w:numFmt w:val="none"/>
      <w:pStyle w:val="824"/>
      <w:isLgl w:val="false"/>
      <w:suff w:val="nothing"/>
      <w:lvlText w:val=""/>
      <w:lvlJc w:val="left"/>
      <w:pPr>
        <w:ind w:left="0" w:firstLine="0"/>
      </w:pPr>
    </w:lvl>
    <w:lvl w:ilvl="6">
      <w:start w:val="1"/>
      <w:numFmt w:val="none"/>
      <w:pStyle w:val="825"/>
      <w:isLgl w:val="false"/>
      <w:suff w:val="nothing"/>
      <w:lvlText w:val=""/>
      <w:lvlJc w:val="left"/>
      <w:pPr>
        <w:ind w:left="0" w:firstLine="0"/>
      </w:pPr>
    </w:lvl>
    <w:lvl w:ilvl="7">
      <w:start w:val="1"/>
      <w:numFmt w:val="none"/>
      <w:pStyle w:val="826"/>
      <w:isLgl w:val="false"/>
      <w:suff w:val="nothing"/>
      <w:lvlText w:val=""/>
      <w:lvlJc w:val="left"/>
      <w:pPr>
        <w:ind w:left="0" w:firstLine="0"/>
      </w:pPr>
    </w:lvl>
    <w:lvl w:ilvl="8">
      <w:start w:val="1"/>
      <w:numFmt w:val="none"/>
      <w:pStyle w:val="827"/>
      <w:isLgl w:val="false"/>
      <w:suff w:val="nothing"/>
      <w:lvlText w:val=""/>
      <w:lvlJc w:val="left"/>
      <w:pPr>
        <w:ind w:left="0" w:firstLine="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80" w:hanging="40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13"/>
  </w:num>
  <w:num w:numId="4">
    <w:abstractNumId w:val="1"/>
  </w:num>
  <w:num w:numId="5">
    <w:abstractNumId w:val="2"/>
  </w:num>
  <w:num w:numId="6">
    <w:abstractNumId w:val="8"/>
  </w:num>
  <w:num w:numId="7">
    <w:abstractNumId w:val="11"/>
  </w:num>
  <w:num w:numId="8">
    <w:abstractNumId w:val="0"/>
  </w:num>
  <w:num w:numId="9">
    <w:abstractNumId w:val="10"/>
  </w:num>
  <w:num w:numId="10">
    <w:abstractNumId w:val="9"/>
  </w:num>
  <w:num w:numId="11">
    <w:abstractNumId w:val="12"/>
  </w:num>
  <w:num w:numId="12">
    <w:abstractNumId w:val="6"/>
  </w:num>
  <w:num w:numId="13">
    <w:abstractNumId w:val="4"/>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4">
    <w:name w:val="Quote Char"/>
    <w:link w:val="889"/>
    <w:uiPriority w:val="29"/>
    <w:rPr>
      <w:i/>
    </w:rPr>
  </w:style>
  <w:style w:type="character" w:styleId="795">
    <w:name w:val="Intense Quote Char"/>
    <w:link w:val="891"/>
    <w:uiPriority w:val="30"/>
    <w:rPr>
      <w:i/>
    </w:rPr>
  </w:style>
  <w:style w:type="table" w:styleId="79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5">
    <w:name w:val="Footnote Text Char"/>
    <w:link w:val="856"/>
    <w:uiPriority w:val="99"/>
    <w:rPr>
      <w:sz w:val="18"/>
    </w:rPr>
  </w:style>
  <w:style w:type="character" w:styleId="816">
    <w:name w:val="Endnote Text Char"/>
    <w:link w:val="847"/>
    <w:uiPriority w:val="99"/>
    <w:rPr>
      <w:sz w:val="20"/>
    </w:rPr>
  </w:style>
  <w:style w:type="paragraph" w:styleId="817">
    <w:name w:val="TOC Heading"/>
    <w:uiPriority w:val="39"/>
    <w:unhideWhenUsed/>
  </w:style>
  <w:style w:type="paragraph" w:styleId="818" w:default="1">
    <w:name w:val="Normal"/>
    <w:next w:val="830"/>
    <w:uiPriority w:val="0"/>
    <w:qFormat/>
    <w:pPr>
      <w:jc w:val="both"/>
      <w:widowControl w:val="off"/>
    </w:pPr>
    <w:rPr>
      <w:rFonts w:ascii="Times New Roman" w:hAnsi="Times New Roman" w:eastAsia="宋体" w:cs="Times New Roman"/>
      <w:sz w:val="21"/>
      <w:szCs w:val="24"/>
      <w:lang w:val="en-US" w:eastAsia="zh-CN" w:bidi="ar-SA"/>
    </w:rPr>
  </w:style>
  <w:style w:type="paragraph" w:styleId="819">
    <w:name w:val="Heading 1"/>
    <w:basedOn w:val="818"/>
    <w:next w:val="818"/>
    <w:link w:val="1214"/>
    <w:uiPriority w:val="0"/>
    <w:qFormat/>
    <w:pPr>
      <w:numPr>
        <w:ilvl w:val="0"/>
        <w:numId w:val="1"/>
      </w:numPr>
      <w:jc w:val="center"/>
      <w:keepLines/>
      <w:keepNext/>
      <w:spacing w:before="340" w:after="330" w:line="578" w:lineRule="auto"/>
      <w:outlineLvl w:val="0"/>
    </w:pPr>
    <w:rPr>
      <w:b/>
      <w:bCs/>
      <w:sz w:val="32"/>
      <w:szCs w:val="44"/>
    </w:rPr>
  </w:style>
  <w:style w:type="paragraph" w:styleId="820">
    <w:name w:val="Heading 2"/>
    <w:basedOn w:val="818"/>
    <w:next w:val="818"/>
    <w:link w:val="104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21">
    <w:name w:val="Heading 3"/>
    <w:basedOn w:val="818"/>
    <w:next w:val="818"/>
    <w:link w:val="1079"/>
    <w:uiPriority w:val="0"/>
    <w:qFormat/>
    <w:pPr>
      <w:numPr>
        <w:ilvl w:val="2"/>
        <w:numId w:val="1"/>
      </w:numPr>
      <w:keepLines/>
      <w:keepNext/>
      <w:spacing w:before="260" w:after="260" w:line="416" w:lineRule="auto"/>
      <w:outlineLvl w:val="2"/>
    </w:pPr>
    <w:rPr>
      <w:b/>
      <w:bCs/>
      <w:sz w:val="32"/>
      <w:szCs w:val="32"/>
    </w:rPr>
  </w:style>
  <w:style w:type="paragraph" w:styleId="822">
    <w:name w:val="Heading 4"/>
    <w:basedOn w:val="818"/>
    <w:next w:val="818"/>
    <w:link w:val="111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23">
    <w:name w:val="Heading 5"/>
    <w:basedOn w:val="818"/>
    <w:next w:val="818"/>
    <w:link w:val="1069"/>
    <w:uiPriority w:val="0"/>
    <w:qFormat/>
    <w:pPr>
      <w:numPr>
        <w:ilvl w:val="4"/>
        <w:numId w:val="1"/>
      </w:numPr>
      <w:keepLines/>
      <w:keepNext/>
      <w:spacing w:before="280" w:after="290" w:line="376" w:lineRule="auto"/>
      <w:outlineLvl w:val="4"/>
    </w:pPr>
    <w:rPr>
      <w:b/>
      <w:bCs/>
      <w:sz w:val="28"/>
      <w:szCs w:val="28"/>
    </w:rPr>
  </w:style>
  <w:style w:type="paragraph" w:styleId="824">
    <w:name w:val="Heading 6"/>
    <w:basedOn w:val="818"/>
    <w:next w:val="818"/>
    <w:link w:val="1055"/>
    <w:uiPriority w:val="0"/>
    <w:qFormat/>
    <w:pPr>
      <w:numPr>
        <w:ilvl w:val="5"/>
        <w:numId w:val="1"/>
      </w:numPr>
      <w:keepLines/>
      <w:keepNext/>
      <w:spacing w:before="240" w:after="64" w:line="320" w:lineRule="auto"/>
      <w:outlineLvl w:val="5"/>
    </w:pPr>
    <w:rPr>
      <w:rFonts w:ascii="Cambria" w:hAnsi="Cambria"/>
      <w:b/>
      <w:bCs/>
      <w:sz w:val="24"/>
    </w:rPr>
  </w:style>
  <w:style w:type="paragraph" w:styleId="825">
    <w:name w:val="Heading 7"/>
    <w:basedOn w:val="818"/>
    <w:next w:val="818"/>
    <w:link w:val="1110"/>
    <w:uiPriority w:val="0"/>
    <w:qFormat/>
    <w:pPr>
      <w:numPr>
        <w:ilvl w:val="6"/>
        <w:numId w:val="1"/>
      </w:numPr>
      <w:keepLines/>
      <w:keepNext/>
      <w:spacing w:before="240" w:after="64" w:line="320" w:lineRule="auto"/>
      <w:outlineLvl w:val="6"/>
    </w:pPr>
    <w:rPr>
      <w:b/>
      <w:bCs/>
      <w:sz w:val="24"/>
    </w:rPr>
  </w:style>
  <w:style w:type="paragraph" w:styleId="826">
    <w:name w:val="Heading 8"/>
    <w:basedOn w:val="818"/>
    <w:next w:val="818"/>
    <w:link w:val="1095"/>
    <w:uiPriority w:val="0"/>
    <w:qFormat/>
    <w:pPr>
      <w:numPr>
        <w:ilvl w:val="7"/>
        <w:numId w:val="1"/>
      </w:numPr>
      <w:keepLines/>
      <w:keepNext/>
      <w:spacing w:before="240" w:after="64" w:line="320" w:lineRule="auto"/>
      <w:outlineLvl w:val="7"/>
    </w:pPr>
    <w:rPr>
      <w:rFonts w:ascii="Cambria" w:hAnsi="Cambria"/>
      <w:sz w:val="24"/>
    </w:rPr>
  </w:style>
  <w:style w:type="paragraph" w:styleId="827">
    <w:name w:val="Heading 9"/>
    <w:basedOn w:val="818"/>
    <w:next w:val="818"/>
    <w:link w:val="1073"/>
    <w:uiPriority w:val="0"/>
    <w:qFormat/>
    <w:pPr>
      <w:numPr>
        <w:ilvl w:val="8"/>
        <w:numId w:val="1"/>
      </w:numPr>
      <w:keepLines/>
      <w:keepNext/>
      <w:spacing w:before="240" w:after="64" w:line="320" w:lineRule="auto"/>
      <w:outlineLvl w:val="8"/>
    </w:pPr>
    <w:rPr>
      <w:rFonts w:ascii="Cambria" w:hAnsi="Cambria"/>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customStyle="1">
    <w:name w:val="首行缩进"/>
    <w:basedOn w:val="818"/>
    <w:uiPriority w:val="0"/>
    <w:qFormat/>
    <w:pPr>
      <w:ind w:firstLine="480"/>
      <w:spacing w:line="360" w:lineRule="auto"/>
    </w:pPr>
    <w:rPr>
      <w:rFonts w:ascii="宋体" w:hAnsi="宋体" w:cs="宋体"/>
      <w:sz w:val="24"/>
    </w:rPr>
  </w:style>
  <w:style w:type="paragraph" w:styleId="831">
    <w:name w:val="List 3"/>
    <w:basedOn w:val="818"/>
    <w:uiPriority w:val="99"/>
    <w:unhideWhenUsed/>
    <w:qFormat/>
    <w:pPr>
      <w:ind w:left="1260" w:hanging="420"/>
      <w:spacing w:before="100" w:beforeAutospacing="1" w:after="100" w:afterAutospacing="1"/>
    </w:pPr>
    <w:rPr>
      <w:szCs w:val="21"/>
    </w:rPr>
  </w:style>
  <w:style w:type="paragraph" w:styleId="832">
    <w:name w:val="toc 7"/>
    <w:basedOn w:val="818"/>
    <w:next w:val="818"/>
    <w:uiPriority w:val="39"/>
    <w:unhideWhenUsed/>
    <w:qFormat/>
    <w:pPr>
      <w:ind w:left="2520"/>
    </w:pPr>
    <w:rPr>
      <w:rFonts w:ascii="Calibri" w:hAnsi="Calibri"/>
      <w:szCs w:val="22"/>
    </w:rPr>
  </w:style>
  <w:style w:type="paragraph" w:styleId="833">
    <w:name w:val="Normal Indent"/>
    <w:basedOn w:val="818"/>
    <w:uiPriority w:val="0"/>
    <w:qFormat/>
    <w:pPr>
      <w:ind w:firstLine="420"/>
    </w:pPr>
    <w:rPr>
      <w:b/>
      <w:sz w:val="24"/>
      <w:szCs w:val="20"/>
    </w:rPr>
  </w:style>
  <w:style w:type="paragraph" w:styleId="834">
    <w:name w:val="Caption"/>
    <w:basedOn w:val="818"/>
    <w:next w:val="818"/>
    <w:uiPriority w:val="0"/>
    <w:qFormat/>
    <w:rPr>
      <w:rFonts w:ascii="Cambria" w:hAnsi="Cambria" w:eastAsia="黑体"/>
      <w:sz w:val="20"/>
      <w:szCs w:val="22"/>
    </w:rPr>
  </w:style>
  <w:style w:type="paragraph" w:styleId="835">
    <w:name w:val="Document Map"/>
    <w:basedOn w:val="818"/>
    <w:link w:val="1063"/>
    <w:uiPriority w:val="0"/>
    <w:qFormat/>
    <w:rPr>
      <w:rFonts w:ascii="宋体"/>
      <w:sz w:val="18"/>
      <w:szCs w:val="18"/>
    </w:rPr>
  </w:style>
  <w:style w:type="paragraph" w:styleId="836">
    <w:name w:val="annotation text"/>
    <w:basedOn w:val="818"/>
    <w:link w:val="1087"/>
    <w:uiPriority w:val="99"/>
    <w:qFormat/>
    <w:pPr>
      <w:jc w:val="left"/>
    </w:pPr>
  </w:style>
  <w:style w:type="paragraph" w:styleId="837">
    <w:name w:val="Body Text 3"/>
    <w:basedOn w:val="818"/>
    <w:link w:val="1106"/>
    <w:uiPriority w:val="0"/>
    <w:qFormat/>
    <w:rPr>
      <w:rFonts w:ascii="宋体"/>
      <w:sz w:val="24"/>
      <w:szCs w:val="20"/>
    </w:rPr>
  </w:style>
  <w:style w:type="paragraph" w:styleId="838">
    <w:name w:val="Body Text"/>
    <w:basedOn w:val="818"/>
    <w:next w:val="818"/>
    <w:link w:val="1094"/>
    <w:uiPriority w:val="0"/>
    <w:qFormat/>
    <w:pPr>
      <w:jc w:val="center"/>
    </w:pPr>
    <w:rPr>
      <w:rFonts w:eastAsia="幼圆"/>
      <w:b/>
      <w:bCs/>
      <w:sz w:val="44"/>
    </w:rPr>
  </w:style>
  <w:style w:type="paragraph" w:styleId="839">
    <w:name w:val="Body Text Indent"/>
    <w:basedOn w:val="818"/>
    <w:link w:val="1050"/>
    <w:uiPriority w:val="0"/>
    <w:qFormat/>
    <w:pPr>
      <w:ind w:left="420"/>
      <w:spacing w:after="120"/>
    </w:pPr>
  </w:style>
  <w:style w:type="paragraph" w:styleId="840">
    <w:name w:val="index 4"/>
    <w:basedOn w:val="818"/>
    <w:next w:val="818"/>
    <w:uiPriority w:val="0"/>
    <w:qFormat/>
    <w:pPr>
      <w:ind w:left="600"/>
    </w:pPr>
    <w:rPr>
      <w:rFonts w:ascii="Calibri" w:hAnsi="Calibri"/>
    </w:rPr>
  </w:style>
  <w:style w:type="paragraph" w:styleId="841">
    <w:name w:val="toc 5"/>
    <w:basedOn w:val="818"/>
    <w:next w:val="818"/>
    <w:uiPriority w:val="39"/>
    <w:unhideWhenUsed/>
    <w:qFormat/>
    <w:pPr>
      <w:ind w:left="1680"/>
    </w:pPr>
    <w:rPr>
      <w:rFonts w:ascii="Calibri" w:hAnsi="Calibri"/>
      <w:szCs w:val="22"/>
    </w:rPr>
  </w:style>
  <w:style w:type="paragraph" w:styleId="842">
    <w:name w:val="toc 3"/>
    <w:basedOn w:val="818"/>
    <w:next w:val="818"/>
    <w:uiPriority w:val="39"/>
    <w:qFormat/>
    <w:pPr>
      <w:ind w:left="840"/>
    </w:pPr>
    <w:rPr>
      <w:rFonts w:ascii="Calibri" w:hAnsi="Calibri"/>
      <w:szCs w:val="22"/>
    </w:rPr>
  </w:style>
  <w:style w:type="paragraph" w:styleId="843">
    <w:name w:val="Plain Text"/>
    <w:basedOn w:val="818"/>
    <w:link w:val="1056"/>
    <w:uiPriority w:val="0"/>
    <w:qFormat/>
    <w:rPr>
      <w:rFonts w:ascii="Ari"/>
    </w:rPr>
  </w:style>
  <w:style w:type="paragraph" w:styleId="844">
    <w:name w:val="toc 8"/>
    <w:basedOn w:val="818"/>
    <w:next w:val="818"/>
    <w:uiPriority w:val="39"/>
    <w:unhideWhenUsed/>
    <w:qFormat/>
    <w:pPr>
      <w:ind w:left="2940"/>
    </w:pPr>
    <w:rPr>
      <w:rFonts w:ascii="Calibri" w:hAnsi="Calibri"/>
      <w:szCs w:val="22"/>
    </w:rPr>
  </w:style>
  <w:style w:type="paragraph" w:styleId="845">
    <w:name w:val="Date"/>
    <w:basedOn w:val="818"/>
    <w:next w:val="818"/>
    <w:link w:val="1064"/>
    <w:uiPriority w:val="0"/>
    <w:unhideWhenUsed/>
    <w:qFormat/>
  </w:style>
  <w:style w:type="paragraph" w:styleId="846">
    <w:name w:val="Body Text Indent 2"/>
    <w:basedOn w:val="818"/>
    <w:link w:val="1086"/>
    <w:uiPriority w:val="99"/>
    <w:unhideWhenUsed/>
    <w:qFormat/>
    <w:pPr>
      <w:ind w:firstLine="525"/>
      <w:spacing w:line="420" w:lineRule="exact"/>
    </w:pPr>
    <w:rPr>
      <w:rFonts w:ascii="宋体"/>
      <w:sz w:val="20"/>
      <w:szCs w:val="20"/>
    </w:rPr>
  </w:style>
  <w:style w:type="paragraph" w:styleId="847">
    <w:name w:val="endnote text"/>
    <w:basedOn w:val="818"/>
    <w:link w:val="1022"/>
    <w:uiPriority w:val="99"/>
    <w:semiHidden/>
    <w:unhideWhenUsed/>
    <w:qFormat/>
    <w:rPr>
      <w:sz w:val="20"/>
    </w:rPr>
  </w:style>
  <w:style w:type="paragraph" w:styleId="848">
    <w:name w:val="Balloon Text"/>
    <w:basedOn w:val="818"/>
    <w:link w:val="1109"/>
    <w:uiPriority w:val="0"/>
    <w:qFormat/>
    <w:rPr>
      <w:sz w:val="18"/>
      <w:szCs w:val="18"/>
    </w:rPr>
  </w:style>
  <w:style w:type="paragraph" w:styleId="849">
    <w:name w:val="Footer"/>
    <w:basedOn w:val="818"/>
    <w:link w:val="1099"/>
    <w:uiPriority w:val="99"/>
    <w:qFormat/>
    <w:pPr>
      <w:jc w:val="left"/>
      <w:tabs>
        <w:tab w:val="center" w:pos="4153" w:leader="none"/>
        <w:tab w:val="right" w:pos="8306" w:leader="none"/>
      </w:tabs>
    </w:pPr>
    <w:rPr>
      <w:sz w:val="18"/>
      <w:szCs w:val="18"/>
    </w:rPr>
  </w:style>
  <w:style w:type="paragraph" w:styleId="850">
    <w:name w:val="Header"/>
    <w:basedOn w:val="818"/>
    <w:link w:val="1054"/>
    <w:uiPriority w:val="0"/>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18"/>
    <w:next w:val="818"/>
    <w:uiPriority w:val="39"/>
    <w:qFormat/>
  </w:style>
  <w:style w:type="paragraph" w:styleId="852">
    <w:name w:val="toc 4"/>
    <w:basedOn w:val="818"/>
    <w:next w:val="818"/>
    <w:uiPriority w:val="39"/>
    <w:unhideWhenUsed/>
    <w:qFormat/>
    <w:pPr>
      <w:ind w:left="1260"/>
    </w:pPr>
    <w:rPr>
      <w:rFonts w:ascii="Calibri" w:hAnsi="Calibri"/>
      <w:szCs w:val="22"/>
    </w:rPr>
  </w:style>
  <w:style w:type="paragraph" w:styleId="853">
    <w:name w:val="index heading"/>
    <w:basedOn w:val="818"/>
    <w:next w:val="854"/>
    <w:uiPriority w:val="99"/>
    <w:unhideWhenUsed/>
    <w:qFormat/>
    <w:pPr>
      <w:tabs>
        <w:tab w:val="left" w:pos="240" w:leader="none"/>
      </w:tabs>
    </w:pPr>
  </w:style>
  <w:style w:type="paragraph" w:styleId="854">
    <w:name w:val="index 1"/>
    <w:basedOn w:val="818"/>
    <w:next w:val="818"/>
    <w:uiPriority w:val="0"/>
    <w:qFormat/>
    <w:pPr>
      <w:jc w:val="center"/>
      <w:spacing w:line="220" w:lineRule="exact"/>
    </w:pPr>
    <w:rPr>
      <w:rFonts w:ascii="仿宋_GB2312" w:hAnsi="Calibri" w:eastAsia="仿宋_GB2312"/>
      <w:szCs w:val="22"/>
    </w:rPr>
  </w:style>
  <w:style w:type="paragraph" w:styleId="855">
    <w:name w:val="Subtitle"/>
    <w:basedOn w:val="818"/>
    <w:next w:val="818"/>
    <w:link w:val="1082"/>
    <w:uiPriority w:val="0"/>
    <w:qFormat/>
    <w:pPr>
      <w:jc w:val="center"/>
      <w:spacing w:before="240" w:after="60" w:line="312" w:lineRule="auto"/>
      <w:outlineLvl w:val="1"/>
    </w:pPr>
    <w:rPr>
      <w:rFonts w:ascii="Cambria" w:hAnsi="Cambria"/>
      <w:b/>
      <w:bCs/>
      <w:sz w:val="32"/>
      <w:szCs w:val="32"/>
    </w:rPr>
  </w:style>
  <w:style w:type="paragraph" w:styleId="856">
    <w:name w:val="footnote text"/>
    <w:basedOn w:val="818"/>
    <w:link w:val="1021"/>
    <w:uiPriority w:val="99"/>
    <w:semiHidden/>
    <w:unhideWhenUsed/>
    <w:qFormat/>
    <w:pPr>
      <w:spacing w:after="40"/>
    </w:pPr>
    <w:rPr>
      <w:sz w:val="18"/>
    </w:rPr>
  </w:style>
  <w:style w:type="paragraph" w:styleId="857">
    <w:name w:val="toc 6"/>
    <w:basedOn w:val="818"/>
    <w:next w:val="818"/>
    <w:uiPriority w:val="39"/>
    <w:unhideWhenUsed/>
    <w:qFormat/>
    <w:pPr>
      <w:ind w:left="2100"/>
    </w:pPr>
    <w:rPr>
      <w:rFonts w:ascii="Calibri" w:hAnsi="Calibri"/>
      <w:szCs w:val="22"/>
    </w:rPr>
  </w:style>
  <w:style w:type="paragraph" w:styleId="858">
    <w:name w:val="Body Text Indent 3"/>
    <w:basedOn w:val="818"/>
    <w:link w:val="1107"/>
    <w:uiPriority w:val="0"/>
    <w:qFormat/>
    <w:pPr>
      <w:ind w:left="420"/>
      <w:spacing w:after="120"/>
    </w:pPr>
    <w:rPr>
      <w:sz w:val="16"/>
      <w:szCs w:val="20"/>
    </w:rPr>
  </w:style>
  <w:style w:type="paragraph" w:styleId="859">
    <w:name w:val="table of figures"/>
    <w:basedOn w:val="818"/>
    <w:next w:val="818"/>
    <w:uiPriority w:val="99"/>
    <w:unhideWhenUsed/>
    <w:qFormat/>
  </w:style>
  <w:style w:type="paragraph" w:styleId="860">
    <w:name w:val="toc 2"/>
    <w:basedOn w:val="818"/>
    <w:next w:val="818"/>
    <w:uiPriority w:val="39"/>
    <w:qFormat/>
    <w:pPr>
      <w:ind w:left="420"/>
    </w:pPr>
    <w:rPr>
      <w:rFonts w:ascii="Calibri" w:hAnsi="Calibri"/>
      <w:szCs w:val="22"/>
    </w:rPr>
  </w:style>
  <w:style w:type="paragraph" w:styleId="861">
    <w:name w:val="toc 9"/>
    <w:basedOn w:val="818"/>
    <w:next w:val="818"/>
    <w:uiPriority w:val="39"/>
    <w:unhideWhenUsed/>
    <w:qFormat/>
    <w:pPr>
      <w:ind w:left="3360"/>
    </w:pPr>
    <w:rPr>
      <w:rFonts w:ascii="Calibri" w:hAnsi="Calibri"/>
      <w:szCs w:val="22"/>
    </w:rPr>
  </w:style>
  <w:style w:type="paragraph" w:styleId="862">
    <w:name w:val="HTML Preformatted"/>
    <w:basedOn w:val="81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3">
    <w:name w:val="Normal (Web)"/>
    <w:basedOn w:val="818"/>
    <w:uiPriority w:val="99"/>
    <w:qFormat/>
    <w:pPr>
      <w:jc w:val="left"/>
      <w:spacing w:before="100" w:beforeAutospacing="1" w:after="100" w:afterAutospacing="1"/>
      <w:widowControl/>
    </w:pPr>
    <w:rPr>
      <w:rFonts w:ascii="宋体" w:hAnsi="宋体" w:cs="宋体"/>
      <w:sz w:val="24"/>
    </w:rPr>
  </w:style>
  <w:style w:type="paragraph" w:styleId="864">
    <w:name w:val="Title"/>
    <w:basedOn w:val="818"/>
    <w:next w:val="818"/>
    <w:link w:val="1059"/>
    <w:uiPriority w:val="0"/>
    <w:qFormat/>
    <w:pPr>
      <w:jc w:val="center"/>
      <w:spacing w:before="240" w:after="60" w:line="420" w:lineRule="atLeast"/>
      <w:outlineLvl w:val="0"/>
    </w:pPr>
    <w:rPr>
      <w:rFonts w:ascii="Arial" w:hAnsi="Arial"/>
      <w:b/>
      <w:sz w:val="32"/>
      <w:szCs w:val="20"/>
    </w:rPr>
  </w:style>
  <w:style w:type="paragraph" w:styleId="865">
    <w:name w:val="annotation subject"/>
    <w:basedOn w:val="836"/>
    <w:next w:val="836"/>
    <w:link w:val="1097"/>
    <w:uiPriority w:val="0"/>
    <w:qFormat/>
    <w:rPr>
      <w:b/>
      <w:bCs/>
    </w:rPr>
  </w:style>
  <w:style w:type="paragraph" w:styleId="866">
    <w:name w:val="Body Text First Indent"/>
    <w:basedOn w:val="838"/>
    <w:uiPriority w:val="0"/>
    <w:qFormat/>
    <w:pPr>
      <w:ind w:firstLine="420"/>
    </w:pPr>
  </w:style>
  <w:style w:type="paragraph" w:styleId="867">
    <w:name w:val="Body Text First Indent 2"/>
    <w:basedOn w:val="839"/>
    <w:uiPriority w:val="99"/>
    <w:qFormat/>
    <w:pPr>
      <w:ind w:firstLine="420"/>
    </w:pPr>
  </w:style>
  <w:style w:type="table" w:styleId="868">
    <w:name w:val="Table Grid"/>
    <w:basedOn w:val="82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0"/>
    <w:qFormat/>
    <w:rPr>
      <w:rFonts w:cs="Times New Roman"/>
      <w:b/>
    </w:rPr>
  </w:style>
  <w:style w:type="character" w:styleId="870">
    <w:name w:val="endnote reference"/>
    <w:basedOn w:val="828"/>
    <w:uiPriority w:val="99"/>
    <w:semiHidden/>
    <w:unhideWhenUsed/>
    <w:qFormat/>
    <w:rPr>
      <w:vertAlign w:val="superscript"/>
    </w:rPr>
  </w:style>
  <w:style w:type="character" w:styleId="871">
    <w:name w:val="page number"/>
    <w:basedOn w:val="828"/>
    <w:uiPriority w:val="0"/>
    <w:qFormat/>
    <w:rPr>
      <w:rFonts w:eastAsia="宋体"/>
      <w:b/>
      <w:spacing w:val="0"/>
      <w:sz w:val="24"/>
      <w:szCs w:val="24"/>
      <w:vertAlign w:val="baseline"/>
      <w:lang w:val="en-US" w:eastAsia="zh-CN" w:bidi="ar-SA"/>
    </w:rPr>
  </w:style>
  <w:style w:type="character" w:styleId="872">
    <w:name w:val="FollowedHyperlink"/>
    <w:uiPriority w:val="0"/>
    <w:qFormat/>
    <w:rPr>
      <w:color w:val="800080"/>
      <w:u w:val="single"/>
    </w:rPr>
  </w:style>
  <w:style w:type="character" w:styleId="873">
    <w:name w:val="Emphasis"/>
    <w:uiPriority w:val="0"/>
    <w:qFormat/>
    <w:rPr>
      <w:color w:val="cc0000"/>
    </w:rPr>
  </w:style>
  <w:style w:type="character" w:styleId="874">
    <w:name w:val="Hyperlink"/>
    <w:basedOn w:val="828"/>
    <w:uiPriority w:val="99"/>
    <w:qFormat/>
    <w:rPr>
      <w:color w:val="0000ff"/>
      <w:u w:val="single"/>
    </w:rPr>
  </w:style>
  <w:style w:type="character" w:styleId="875">
    <w:name w:val="annotation reference"/>
    <w:uiPriority w:val="99"/>
    <w:qFormat/>
    <w:rPr>
      <w:sz w:val="21"/>
      <w:szCs w:val="21"/>
    </w:rPr>
  </w:style>
  <w:style w:type="character" w:styleId="876">
    <w:name w:val="HTML Cite"/>
    <w:uiPriority w:val="0"/>
    <w:qFormat/>
    <w:rPr>
      <w:color w:val="008000"/>
    </w:rPr>
  </w:style>
  <w:style w:type="character" w:styleId="877">
    <w:name w:val="footnote reference"/>
    <w:basedOn w:val="828"/>
    <w:uiPriority w:val="99"/>
    <w:unhideWhenUsed/>
    <w:qFormat/>
    <w:rPr>
      <w:vertAlign w:val="superscript"/>
    </w:rPr>
  </w:style>
  <w:style w:type="character" w:styleId="878" w:customStyle="1">
    <w:name w:val="Heading 1 Char"/>
    <w:basedOn w:val="828"/>
    <w:uiPriority w:val="9"/>
    <w:qFormat/>
    <w:rPr>
      <w:rFonts w:ascii="Arial" w:hAnsi="Arial" w:eastAsia="Arial" w:cs="Arial"/>
      <w:sz w:val="40"/>
      <w:szCs w:val="40"/>
    </w:rPr>
  </w:style>
  <w:style w:type="character" w:styleId="879" w:customStyle="1">
    <w:name w:val="Heading 2 Char"/>
    <w:basedOn w:val="828"/>
    <w:uiPriority w:val="9"/>
    <w:qFormat/>
    <w:rPr>
      <w:rFonts w:ascii="Arial" w:hAnsi="Arial" w:eastAsia="Arial" w:cs="Arial"/>
      <w:sz w:val="34"/>
    </w:rPr>
  </w:style>
  <w:style w:type="character" w:styleId="880" w:customStyle="1">
    <w:name w:val="Heading 3 Char"/>
    <w:basedOn w:val="828"/>
    <w:uiPriority w:val="9"/>
    <w:qFormat/>
    <w:rPr>
      <w:rFonts w:ascii="Arial" w:hAnsi="Arial" w:eastAsia="Arial" w:cs="Arial"/>
      <w:sz w:val="30"/>
      <w:szCs w:val="30"/>
    </w:rPr>
  </w:style>
  <w:style w:type="character" w:styleId="881" w:customStyle="1">
    <w:name w:val="Heading 4 Char"/>
    <w:basedOn w:val="828"/>
    <w:uiPriority w:val="9"/>
    <w:qFormat/>
    <w:rPr>
      <w:rFonts w:ascii="Arial" w:hAnsi="Arial" w:eastAsia="Arial" w:cs="Arial"/>
      <w:b/>
      <w:bCs/>
      <w:sz w:val="26"/>
      <w:szCs w:val="26"/>
    </w:rPr>
  </w:style>
  <w:style w:type="character" w:styleId="882" w:customStyle="1">
    <w:name w:val="Heading 5 Char"/>
    <w:basedOn w:val="828"/>
    <w:uiPriority w:val="9"/>
    <w:qFormat/>
    <w:rPr>
      <w:rFonts w:ascii="Arial" w:hAnsi="Arial" w:eastAsia="Arial" w:cs="Arial"/>
      <w:b/>
      <w:bCs/>
      <w:sz w:val="24"/>
      <w:szCs w:val="24"/>
    </w:rPr>
  </w:style>
  <w:style w:type="character" w:styleId="883" w:customStyle="1">
    <w:name w:val="Heading 6 Char"/>
    <w:basedOn w:val="828"/>
    <w:uiPriority w:val="9"/>
    <w:qFormat/>
    <w:rPr>
      <w:rFonts w:ascii="Arial" w:hAnsi="Arial" w:eastAsia="Arial" w:cs="Arial"/>
      <w:b/>
      <w:bCs/>
      <w:sz w:val="22"/>
      <w:szCs w:val="22"/>
    </w:rPr>
  </w:style>
  <w:style w:type="character" w:styleId="884" w:customStyle="1">
    <w:name w:val="Heading 7 Char"/>
    <w:basedOn w:val="828"/>
    <w:uiPriority w:val="9"/>
    <w:qFormat/>
    <w:rPr>
      <w:rFonts w:ascii="Arial" w:hAnsi="Arial" w:eastAsia="Arial" w:cs="Arial"/>
      <w:b/>
      <w:bCs/>
      <w:i/>
      <w:iCs/>
      <w:sz w:val="22"/>
      <w:szCs w:val="22"/>
    </w:rPr>
  </w:style>
  <w:style w:type="character" w:styleId="885" w:customStyle="1">
    <w:name w:val="Heading 8 Char"/>
    <w:basedOn w:val="828"/>
    <w:uiPriority w:val="9"/>
    <w:qFormat/>
    <w:rPr>
      <w:rFonts w:ascii="Arial" w:hAnsi="Arial" w:eastAsia="Arial" w:cs="Arial"/>
      <w:i/>
      <w:iCs/>
      <w:sz w:val="22"/>
      <w:szCs w:val="22"/>
    </w:rPr>
  </w:style>
  <w:style w:type="character" w:styleId="886" w:customStyle="1">
    <w:name w:val="Heading 9 Char"/>
    <w:basedOn w:val="828"/>
    <w:uiPriority w:val="9"/>
    <w:qFormat/>
    <w:rPr>
      <w:rFonts w:ascii="Arial" w:hAnsi="Arial" w:eastAsia="Arial" w:cs="Arial"/>
      <w:i/>
      <w:iCs/>
      <w:sz w:val="21"/>
      <w:szCs w:val="21"/>
    </w:rPr>
  </w:style>
  <w:style w:type="character" w:styleId="887" w:customStyle="1">
    <w:name w:val="Title Char"/>
    <w:basedOn w:val="828"/>
    <w:uiPriority w:val="10"/>
    <w:qFormat/>
    <w:rPr>
      <w:sz w:val="48"/>
      <w:szCs w:val="48"/>
    </w:rPr>
  </w:style>
  <w:style w:type="character" w:styleId="888" w:customStyle="1">
    <w:name w:val="Subtitle Char"/>
    <w:basedOn w:val="828"/>
    <w:uiPriority w:val="11"/>
    <w:qFormat/>
    <w:rPr>
      <w:sz w:val="24"/>
      <w:szCs w:val="24"/>
    </w:rPr>
  </w:style>
  <w:style w:type="paragraph" w:styleId="889">
    <w:name w:val="Quote"/>
    <w:basedOn w:val="818"/>
    <w:next w:val="818"/>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818"/>
    <w:next w:val="818"/>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Header Char"/>
    <w:basedOn w:val="828"/>
    <w:uiPriority w:val="99"/>
    <w:qFormat/>
  </w:style>
  <w:style w:type="character" w:styleId="894" w:customStyle="1">
    <w:name w:val="Footer Char"/>
    <w:basedOn w:val="828"/>
    <w:uiPriority w:val="99"/>
    <w:qFormat/>
  </w:style>
  <w:style w:type="character" w:styleId="895" w:customStyle="1">
    <w:name w:val="Caption Char"/>
    <w:uiPriority w:val="99"/>
    <w:qFormat/>
  </w:style>
  <w:style w:type="table" w:styleId="896"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7"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无格式表格 3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无格式表格 4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无格式表格 5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basedOn w:val="8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basedOn w:val="8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basedOn w:val="8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basedOn w:val="8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basedOn w:val="8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basedOn w:val="8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basedOn w:val="8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basedOn w:val="8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1" w:customStyle="1">
    <w:name w:val="Grid Table 6 Colorful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basedOn w:val="8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basedOn w:val="8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basedOn w:val="8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basedOn w:val="8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basedOn w:val="8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basedOn w:val="8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basedOn w:val="8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basedOn w:val="8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清单表 1 浅色1"/>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basedOn w:val="82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basedOn w:val="82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basedOn w:val="82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basedOn w:val="82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basedOn w:val="82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basedOn w:val="82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basedOn w:val="8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basedOn w:val="8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basedOn w:val="8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basedOn w:val="8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basedOn w:val="8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basedOn w:val="8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basedOn w:val="8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basedOn w:val="8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basedOn w:val="8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basedOn w:val="8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basedOn w:val="8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basedOn w:val="8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basedOn w:val="8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basedOn w:val="8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basedOn w:val="8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basedOn w:val="8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basedOn w:val="8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basedOn w:val="8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basedOn w:val="8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basedOn w:val="8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basedOn w:val="8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basedOn w:val="8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basedOn w:val="82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basedOn w:val="82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basedOn w:val="82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basedOn w:val="82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basedOn w:val="82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basedOn w:val="82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清单表 7 彩色1"/>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basedOn w:val="82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basedOn w:val="82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basedOn w:val="82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basedOn w:val="82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basedOn w:val="82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basedOn w:val="82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basedOn w:val="8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basedOn w:val="8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basedOn w:val="8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basedOn w:val="8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basedOn w:val="8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basedOn w:val="8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字符"/>
    <w:link w:val="856"/>
    <w:uiPriority w:val="99"/>
    <w:qFormat/>
    <w:rPr>
      <w:sz w:val="18"/>
    </w:rPr>
  </w:style>
  <w:style w:type="character" w:styleId="1022" w:customStyle="1">
    <w:name w:val="尾注文本 字符"/>
    <w:link w:val="847"/>
    <w:uiPriority w:val="99"/>
    <w:qFormat/>
    <w:rPr>
      <w:sz w:val="20"/>
    </w:rPr>
  </w:style>
  <w:style w:type="paragraph" w:styleId="1023" w:customStyle="1">
    <w:name w:val="TOC 标题1"/>
    <w:uiPriority w:val="39"/>
    <w:unhideWhenUsed/>
    <w:qFormat/>
    <w:rPr>
      <w:rFonts w:ascii="Times New Roman" w:hAnsi="Times New Roman" w:eastAsia="宋体" w:cs="Times New Roman"/>
      <w:lang w:val="en-US" w:eastAsia="zh-CN" w:bidi="ar-SA"/>
    </w:rPr>
  </w:style>
  <w:style w:type="paragraph" w:styleId="1024" w:customStyle="1">
    <w:name w:val="索引 41"/>
    <w:basedOn w:val="1025"/>
    <w:next w:val="818"/>
    <w:uiPriority w:val="99"/>
    <w:qFormat/>
    <w:pPr>
      <w:ind w:left="600"/>
    </w:pPr>
    <w:rPr>
      <w:rFonts w:ascii="Verdana" w:hAnsi="Verdana"/>
    </w:rPr>
  </w:style>
  <w:style w:type="paragraph" w:styleId="1025" w:customStyle="1">
    <w:name w:val="正文1"/>
    <w:next w:val="1024"/>
    <w:uiPriority w:val="0"/>
    <w:qFormat/>
    <w:pPr>
      <w:jc w:val="both"/>
      <w:widowControl w:val="off"/>
    </w:pPr>
    <w:rPr>
      <w:rFonts w:ascii="Calibri" w:hAnsi="Calibri" w:eastAsia="宋体" w:cs="Times New Roman"/>
      <w:lang w:val="en-US" w:eastAsia="zh-CN" w:bidi="ar-SA"/>
    </w:rPr>
  </w:style>
  <w:style w:type="paragraph" w:styleId="1026" w:customStyle="1">
    <w:name w:val="一级条标题"/>
    <w:basedOn w:val="1027"/>
    <w:next w:val="10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7" w:customStyle="1">
    <w:name w:val="章标题"/>
    <w:basedOn w:val="818"/>
    <w:next w:val="81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28" w:customStyle="1">
    <w:name w:val="段"/>
    <w:basedOn w:val="818"/>
    <w:next w:val="818"/>
    <w:uiPriority w:val="0"/>
    <w:qFormat/>
    <w:pPr>
      <w:ind w:firstLine="200"/>
      <w:widowControl/>
    </w:pPr>
    <w:rPr>
      <w:rFonts w:hint="eastAsia" w:ascii="宋体"/>
      <w:szCs w:val="20"/>
    </w:rPr>
  </w:style>
  <w:style w:type="paragraph" w:styleId="1029">
    <w:name w:val="List Paragraph"/>
    <w:basedOn w:val="818"/>
    <w:uiPriority w:val="34"/>
    <w:qFormat/>
    <w:pPr>
      <w:ind w:firstLine="420"/>
    </w:pPr>
  </w:style>
  <w:style w:type="paragraph" w:styleId="1030" w:customStyle="1">
    <w:name w:val="列表段落1"/>
    <w:basedOn w:val="818"/>
    <w:next w:val="836"/>
    <w:uiPriority w:val="99"/>
    <w:qFormat/>
    <w:pPr>
      <w:ind w:firstLine="420"/>
    </w:pPr>
  </w:style>
  <w:style w:type="paragraph" w:styleId="1031" w:customStyle="1">
    <w:name w:val="AONormal"/>
    <w:uiPriority w:val="0"/>
    <w:qFormat/>
    <w:pPr>
      <w:ind w:firstLine="440"/>
      <w:spacing w:line="400" w:lineRule="exact"/>
    </w:pPr>
    <w:rPr>
      <w:rFonts w:ascii="STKaiti" w:hAnsi="STKaiti" w:eastAsia="STKaiti" w:cs="STKaiti"/>
      <w:sz w:val="22"/>
      <w:szCs w:val="21"/>
      <w:lang w:val="en-US" w:eastAsia="zh-CN" w:bidi="ar-SA"/>
    </w:rPr>
  </w:style>
  <w:style w:type="paragraph" w:styleId="1032" w:customStyle="1">
    <w:name w:val="正文首行缩进 21"/>
    <w:basedOn w:val="1033"/>
    <w:next w:val="818"/>
    <w:uiPriority w:val="0"/>
    <w:qFormat/>
    <w:pPr>
      <w:ind w:firstLine="420"/>
      <w:spacing w:before="100" w:beforeAutospacing="1"/>
    </w:pPr>
    <w:rPr>
      <w:rFonts w:ascii="宋体" w:hAnsi="宋体"/>
      <w:szCs w:val="21"/>
    </w:rPr>
  </w:style>
  <w:style w:type="paragraph" w:styleId="1033" w:customStyle="1">
    <w:name w:val="正文文本缩进1"/>
    <w:basedOn w:val="818"/>
    <w:uiPriority w:val="0"/>
    <w:qFormat/>
    <w:pPr>
      <w:ind w:firstLine="880"/>
      <w:spacing w:line="500" w:lineRule="exact"/>
    </w:pPr>
  </w:style>
  <w:style w:type="character" w:styleId="1034" w:customStyle="1">
    <w:name w:val="标题 1 Char1"/>
    <w:uiPriority w:val="0"/>
    <w:qFormat/>
    <w:rPr>
      <w:rFonts w:ascii="Times New Roman" w:hAnsi="Times New Roman" w:eastAsia="宋体" w:cs="Times New Roman"/>
      <w:b/>
      <w:bCs/>
      <w:sz w:val="32"/>
      <w:szCs w:val="44"/>
    </w:rPr>
  </w:style>
  <w:style w:type="character" w:styleId="1035" w:customStyle="1">
    <w:name w:val="明显强调1"/>
    <w:uiPriority w:val="0"/>
    <w:qFormat/>
    <w:rPr>
      <w:b/>
      <w:bCs/>
      <w:i/>
      <w:iCs/>
      <w:color w:val="4f81bd"/>
    </w:rPr>
  </w:style>
  <w:style w:type="character" w:styleId="1036" w:customStyle="1">
    <w:name w:val="批注文字 Char2"/>
    <w:uiPriority w:val="0"/>
    <w:qFormat/>
    <w:rPr>
      <w:sz w:val="21"/>
    </w:rPr>
  </w:style>
  <w:style w:type="character" w:styleId="1037" w:customStyle="1">
    <w:name w:val="标题 3 Char_0"/>
    <w:link w:val="1038"/>
    <w:uiPriority w:val="0"/>
    <w:qFormat/>
    <w:rPr>
      <w:b/>
      <w:bCs/>
      <w:sz w:val="32"/>
      <w:szCs w:val="32"/>
    </w:rPr>
  </w:style>
  <w:style w:type="paragraph" w:styleId="1038" w:customStyle="1">
    <w:name w:val="标题 3_0"/>
    <w:basedOn w:val="1039"/>
    <w:next w:val="1039"/>
    <w:link w:val="1037"/>
    <w:uiPriority w:val="0"/>
    <w:qFormat/>
    <w:pPr>
      <w:keepLines/>
      <w:keepNext/>
      <w:spacing w:before="260" w:after="260" w:line="416" w:lineRule="auto"/>
      <w:outlineLvl w:val="2"/>
    </w:pPr>
    <w:rPr>
      <w:b/>
      <w:bCs/>
      <w:sz w:val="32"/>
      <w:szCs w:val="32"/>
    </w:rPr>
  </w:style>
  <w:style w:type="paragraph" w:styleId="10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40" w:customStyle="1">
    <w:name w:val="标题 2 字符"/>
    <w:link w:val="820"/>
    <w:uiPriority w:val="0"/>
    <w:qFormat/>
    <w:rPr>
      <w:rFonts w:ascii="Cambria" w:hAnsi="Cambria"/>
      <w:b/>
      <w:bCs/>
      <w:sz w:val="32"/>
      <w:szCs w:val="32"/>
    </w:rPr>
  </w:style>
  <w:style w:type="character" w:styleId="1041" w:customStyle="1">
    <w:name w:val="正文文本 Char2"/>
    <w:uiPriority w:val="99"/>
    <w:semiHidden/>
    <w:qFormat/>
    <w:rPr>
      <w:rFonts w:ascii="Calibri" w:hAnsi="Calibri" w:eastAsia="宋体" w:cs="Times New Roman"/>
    </w:rPr>
  </w:style>
  <w:style w:type="character" w:styleId="1042" w:customStyle="1">
    <w:name w:val="页脚 Char1"/>
    <w:uiPriority w:val="99"/>
    <w:semiHidden/>
    <w:qFormat/>
    <w:rPr>
      <w:rFonts w:ascii="Calibri" w:hAnsi="Calibri" w:eastAsia="宋体" w:cs="Times New Roman"/>
      <w:sz w:val="18"/>
      <w:szCs w:val="18"/>
    </w:rPr>
  </w:style>
  <w:style w:type="character" w:styleId="1043" w:customStyle="1">
    <w:name w:val="明显引用 Char2"/>
    <w:uiPriority w:val="99"/>
    <w:qFormat/>
    <w:rPr>
      <w:b/>
      <w:bCs/>
      <w:i/>
      <w:iCs/>
      <w:color w:val="4f81bd"/>
      <w:sz w:val="21"/>
      <w:szCs w:val="24"/>
    </w:rPr>
  </w:style>
  <w:style w:type="character" w:styleId="1044" w:customStyle="1">
    <w:name w:val="引用 Char"/>
    <w:link w:val="1045"/>
    <w:uiPriority w:val="0"/>
    <w:qFormat/>
    <w:rPr>
      <w:i/>
      <w:iCs/>
      <w:color w:val="000000"/>
    </w:rPr>
  </w:style>
  <w:style w:type="paragraph" w:styleId="1045" w:customStyle="1">
    <w:name w:val="引用1"/>
    <w:basedOn w:val="818"/>
    <w:next w:val="818"/>
    <w:link w:val="1044"/>
    <w:uiPriority w:val="0"/>
    <w:qFormat/>
    <w:rPr>
      <w:i/>
      <w:iCs/>
      <w:color w:val="000000"/>
      <w:sz w:val="20"/>
      <w:szCs w:val="20"/>
    </w:rPr>
  </w:style>
  <w:style w:type="character" w:styleId="1046" w:customStyle="1">
    <w:name w:val="标题 1 Char_0"/>
    <w:link w:val="1047"/>
    <w:uiPriority w:val="0"/>
    <w:qFormat/>
    <w:rPr>
      <w:b/>
      <w:bCs/>
      <w:sz w:val="44"/>
      <w:szCs w:val="44"/>
    </w:rPr>
  </w:style>
  <w:style w:type="paragraph" w:styleId="1047" w:customStyle="1">
    <w:name w:val="标题 1_0"/>
    <w:basedOn w:val="1039"/>
    <w:next w:val="1039"/>
    <w:link w:val="1046"/>
    <w:uiPriority w:val="0"/>
    <w:qFormat/>
    <w:pPr>
      <w:keepLines/>
      <w:keepNext/>
      <w:spacing w:before="340" w:after="330" w:line="578" w:lineRule="auto"/>
      <w:outlineLvl w:val="0"/>
    </w:pPr>
    <w:rPr>
      <w:b/>
      <w:bCs/>
      <w:sz w:val="44"/>
      <w:szCs w:val="44"/>
    </w:rPr>
  </w:style>
  <w:style w:type="character" w:styleId="1048" w:customStyle="1">
    <w:name w:val="正文文本缩进 3 Char1"/>
    <w:uiPriority w:val="99"/>
    <w:semiHidden/>
    <w:qFormat/>
    <w:rPr>
      <w:sz w:val="16"/>
      <w:szCs w:val="16"/>
    </w:rPr>
  </w:style>
  <w:style w:type="character" w:styleId="1049" w:customStyle="1">
    <w:name w:val="引用 Char1"/>
    <w:uiPriority w:val="29"/>
    <w:qFormat/>
    <w:rPr>
      <w:i/>
      <w:iCs/>
      <w:color w:val="000000"/>
      <w:sz w:val="21"/>
    </w:rPr>
  </w:style>
  <w:style w:type="character" w:styleId="1050" w:customStyle="1">
    <w:name w:val="正文文本缩进 字符"/>
    <w:link w:val="839"/>
    <w:uiPriority w:val="0"/>
    <w:qFormat/>
    <w:rPr>
      <w:sz w:val="21"/>
      <w:szCs w:val="24"/>
    </w:rPr>
  </w:style>
  <w:style w:type="character" w:styleId="1051" w:customStyle="1">
    <w:name w:val="font161"/>
    <w:uiPriority w:val="0"/>
    <w:qFormat/>
    <w:rPr>
      <w:b/>
      <w:sz w:val="32"/>
    </w:rPr>
  </w:style>
  <w:style w:type="character" w:styleId="1052" w:customStyle="1">
    <w:name w:val="标题 4 Char_0"/>
    <w:link w:val="1053"/>
    <w:uiPriority w:val="0"/>
    <w:qFormat/>
    <w:rPr>
      <w:rFonts w:ascii="Arial" w:hAnsi="Arial" w:eastAsia="黑体"/>
      <w:b/>
      <w:bCs/>
      <w:sz w:val="28"/>
      <w:szCs w:val="28"/>
    </w:rPr>
  </w:style>
  <w:style w:type="paragraph" w:styleId="1053" w:customStyle="1">
    <w:name w:val="标题 4_0"/>
    <w:basedOn w:val="1039"/>
    <w:next w:val="1039"/>
    <w:link w:val="1052"/>
    <w:uiPriority w:val="0"/>
    <w:qFormat/>
    <w:pPr>
      <w:keepLines/>
      <w:keepNext/>
      <w:spacing w:before="280" w:after="290" w:line="376" w:lineRule="auto"/>
      <w:outlineLvl w:val="3"/>
    </w:pPr>
    <w:rPr>
      <w:rFonts w:ascii="Arial" w:hAnsi="Arial" w:eastAsia="黑体"/>
      <w:b/>
      <w:bCs/>
      <w:sz w:val="28"/>
      <w:szCs w:val="28"/>
    </w:rPr>
  </w:style>
  <w:style w:type="character" w:styleId="1054" w:customStyle="1">
    <w:name w:val="页眉 字符"/>
    <w:link w:val="850"/>
    <w:uiPriority w:val="0"/>
    <w:qFormat/>
    <w:rPr>
      <w:sz w:val="18"/>
      <w:szCs w:val="18"/>
    </w:rPr>
  </w:style>
  <w:style w:type="character" w:styleId="1055" w:customStyle="1">
    <w:name w:val="标题 6 字符"/>
    <w:link w:val="824"/>
    <w:uiPriority w:val="0"/>
    <w:qFormat/>
    <w:rPr>
      <w:rFonts w:ascii="Cambria" w:hAnsi="Cambria" w:eastAsia="宋体" w:cs="Times New Roman"/>
      <w:b/>
      <w:bCs/>
      <w:sz w:val="24"/>
      <w:szCs w:val="24"/>
    </w:rPr>
  </w:style>
  <w:style w:type="character" w:styleId="1056" w:customStyle="1">
    <w:name w:val="纯文本 字符"/>
    <w:link w:val="843"/>
    <w:uiPriority w:val="0"/>
    <w:qFormat/>
    <w:rPr>
      <w:rFonts w:ascii="Ari"/>
      <w:lang w:val="en-US" w:eastAsia="zh-CN" w:bidi="ar-SA"/>
    </w:rPr>
  </w:style>
  <w:style w:type="character" w:styleId="1057" w:customStyle="1">
    <w:name w:val="引用 Char2"/>
    <w:uiPriority w:val="99"/>
    <w:qFormat/>
    <w:rPr>
      <w:i/>
      <w:iCs/>
      <w:color w:val="000000"/>
      <w:sz w:val="21"/>
      <w:szCs w:val="24"/>
    </w:rPr>
  </w:style>
  <w:style w:type="character" w:styleId="1058" w:customStyle="1">
    <w:name w:val="rvts11"/>
    <w:uiPriority w:val="0"/>
    <w:qFormat/>
    <w:rPr>
      <w:rFonts w:hint="default" w:ascii="KNLe" w:hAnsi="KNLe"/>
      <w:sz w:val="24"/>
      <w:szCs w:val="24"/>
      <w:u w:val="single"/>
    </w:rPr>
  </w:style>
  <w:style w:type="character" w:styleId="1059" w:customStyle="1">
    <w:name w:val="标题 字符"/>
    <w:link w:val="864"/>
    <w:uiPriority w:val="0"/>
    <w:qFormat/>
    <w:rPr>
      <w:rFonts w:ascii="Arial" w:hAnsi="Arial"/>
      <w:b/>
      <w:sz w:val="32"/>
    </w:rPr>
  </w:style>
  <w:style w:type="character" w:styleId="1060" w:customStyle="1">
    <w:name w:val="标题5 Char Char"/>
    <w:link w:val="1061"/>
    <w:uiPriority w:val="0"/>
    <w:qFormat/>
    <w:rPr>
      <w:rFonts w:ascii="Arial" w:hAnsi="Arial"/>
      <w:b/>
      <w:bCs/>
      <w:sz w:val="24"/>
      <w:szCs w:val="32"/>
    </w:rPr>
  </w:style>
  <w:style w:type="paragraph" w:styleId="1061" w:customStyle="1">
    <w:name w:val="标题5"/>
    <w:basedOn w:val="821"/>
    <w:link w:val="1060"/>
    <w:uiPriority w:val="0"/>
    <w:qFormat/>
    <w:pPr>
      <w:numPr>
        <w:ilvl w:val="0"/>
        <w:numId w:val="0"/>
      </w:numPr>
      <w:spacing w:line="413" w:lineRule="auto"/>
    </w:pPr>
    <w:rPr>
      <w:rFonts w:ascii="Arial" w:hAnsi="Arial"/>
      <w:sz w:val="24"/>
    </w:rPr>
  </w:style>
  <w:style w:type="character" w:styleId="1062" w:customStyle="1">
    <w:name w:val="副标题 Char2"/>
    <w:uiPriority w:val="11"/>
    <w:qFormat/>
    <w:rPr>
      <w:rFonts w:ascii="Cambria" w:hAnsi="Cambria" w:cs="Times New Roman"/>
      <w:b/>
      <w:bCs/>
      <w:sz w:val="32"/>
      <w:szCs w:val="32"/>
    </w:rPr>
  </w:style>
  <w:style w:type="character" w:styleId="1063" w:customStyle="1">
    <w:name w:val="文档结构图 字符"/>
    <w:link w:val="835"/>
    <w:uiPriority w:val="0"/>
    <w:qFormat/>
    <w:rPr>
      <w:rFonts w:ascii="宋体"/>
      <w:sz w:val="18"/>
      <w:szCs w:val="18"/>
    </w:rPr>
  </w:style>
  <w:style w:type="character" w:styleId="1064" w:customStyle="1">
    <w:name w:val="日期 字符"/>
    <w:link w:val="845"/>
    <w:uiPriority w:val="0"/>
    <w:qFormat/>
    <w:rPr>
      <w:sz w:val="21"/>
      <w:szCs w:val="24"/>
    </w:rPr>
  </w:style>
  <w:style w:type="character" w:styleId="1065" w:customStyle="1">
    <w:name w:val="批注主题 Char1"/>
    <w:uiPriority w:val="0"/>
    <w:qFormat/>
    <w:rPr>
      <w:b/>
      <w:bCs/>
      <w:sz w:val="21"/>
      <w:szCs w:val="22"/>
    </w:rPr>
  </w:style>
  <w:style w:type="character" w:styleId="1066" w:customStyle="1">
    <w:name w:val="font31"/>
    <w:uiPriority w:val="0"/>
    <w:qFormat/>
    <w:rPr>
      <w:rFonts w:hint="eastAsia" w:ascii="宋体" w:hAnsi="宋体" w:eastAsia="宋体" w:cs="宋体"/>
      <w:color w:val="000000"/>
      <w:sz w:val="20"/>
      <w:szCs w:val="20"/>
      <w:u w:val="none"/>
    </w:rPr>
  </w:style>
  <w:style w:type="character" w:styleId="1067" w:customStyle="1">
    <w:name w:val="明显引用 Char"/>
    <w:link w:val="1068"/>
    <w:uiPriority w:val="0"/>
    <w:qFormat/>
    <w:rPr>
      <w:b/>
      <w:bCs/>
      <w:i/>
      <w:iCs/>
      <w:color w:val="4f81bd"/>
    </w:rPr>
  </w:style>
  <w:style w:type="paragraph" w:styleId="1068" w:customStyle="1">
    <w:name w:val="明显引用1"/>
    <w:basedOn w:val="818"/>
    <w:next w:val="818"/>
    <w:link w:val="1067"/>
    <w:uiPriority w:val="0"/>
    <w:qFormat/>
    <w:pPr>
      <w:ind w:left="936" w:right="936"/>
      <w:spacing w:before="200" w:after="280"/>
      <w:pBdr>
        <w:bottom w:val="single" w:color="4F81BD" w:sz="4" w:space="4"/>
      </w:pBdr>
    </w:pPr>
    <w:rPr>
      <w:b/>
      <w:bCs/>
      <w:i/>
      <w:iCs/>
      <w:color w:val="4f81bd"/>
      <w:sz w:val="20"/>
      <w:szCs w:val="20"/>
    </w:rPr>
  </w:style>
  <w:style w:type="character" w:styleId="1069" w:customStyle="1">
    <w:name w:val="标题 5 字符"/>
    <w:link w:val="823"/>
    <w:uiPriority w:val="0"/>
    <w:qFormat/>
    <w:rPr>
      <w:b/>
      <w:bCs/>
      <w:sz w:val="28"/>
      <w:szCs w:val="28"/>
    </w:rPr>
  </w:style>
  <w:style w:type="character" w:styleId="1070" w:customStyle="1">
    <w:name w:val="日期 Char1"/>
    <w:uiPriority w:val="0"/>
    <w:qFormat/>
    <w:rPr>
      <w:rFonts w:ascii="Calibri" w:hAnsi="Calibri" w:eastAsia="宋体" w:cs="Times New Roman"/>
    </w:rPr>
  </w:style>
  <w:style w:type="character" w:styleId="1071" w:customStyle="1">
    <w:name w:val="批注框文本 Char1"/>
    <w:uiPriority w:val="0"/>
    <w:qFormat/>
    <w:rPr>
      <w:sz w:val="18"/>
      <w:szCs w:val="18"/>
    </w:rPr>
  </w:style>
  <w:style w:type="character" w:styleId="1072" w:customStyle="1">
    <w:name w:val="标题 Char1"/>
    <w:uiPriority w:val="10"/>
    <w:qFormat/>
    <w:rPr>
      <w:rFonts w:ascii="Cambria" w:hAnsi="Cambria" w:eastAsia="宋体" w:cs="Times New Roman"/>
      <w:b/>
      <w:bCs/>
      <w:sz w:val="32"/>
      <w:szCs w:val="32"/>
    </w:rPr>
  </w:style>
  <w:style w:type="character" w:styleId="1073" w:customStyle="1">
    <w:name w:val="标题 9 字符"/>
    <w:link w:val="827"/>
    <w:uiPriority w:val="0"/>
    <w:qFormat/>
    <w:rPr>
      <w:rFonts w:ascii="Cambria" w:hAnsi="Cambria" w:eastAsia="宋体" w:cs="Times New Roman"/>
      <w:sz w:val="21"/>
      <w:szCs w:val="21"/>
    </w:rPr>
  </w:style>
  <w:style w:type="character" w:styleId="1074" w:customStyle="1">
    <w:name w:val="不明显参考1"/>
    <w:uiPriority w:val="0"/>
    <w:qFormat/>
    <w:rPr>
      <w:smallCaps/>
      <w:color w:val="c0504d"/>
      <w:u w:val="single"/>
    </w:rPr>
  </w:style>
  <w:style w:type="character" w:styleId="1075" w:customStyle="1">
    <w:name w:val="批注文字 Char1"/>
    <w:uiPriority w:val="0"/>
    <w:qFormat/>
    <w:rPr>
      <w:rFonts w:ascii="Calibri" w:hAnsi="Calibri" w:eastAsia="宋体" w:cs="Times New Roman"/>
    </w:rPr>
  </w:style>
  <w:style w:type="character" w:styleId="1076" w:customStyle="1">
    <w:name w:val="标题 Char2"/>
    <w:uiPriority w:val="10"/>
    <w:qFormat/>
    <w:rPr>
      <w:rFonts w:ascii="Cambria" w:hAnsi="Cambria" w:cs="Times New Roman"/>
      <w:b/>
      <w:bCs/>
      <w:sz w:val="32"/>
      <w:szCs w:val="32"/>
    </w:rPr>
  </w:style>
  <w:style w:type="character" w:styleId="1077" w:customStyle="1">
    <w:name w:val="正文文本 3 Char1"/>
    <w:uiPriority w:val="99"/>
    <w:semiHidden/>
    <w:qFormat/>
    <w:rPr>
      <w:sz w:val="16"/>
      <w:szCs w:val="16"/>
    </w:rPr>
  </w:style>
  <w:style w:type="character" w:styleId="1078" w:customStyle="1">
    <w:name w:val="批注主题 Char2"/>
    <w:uiPriority w:val="0"/>
    <w:qFormat/>
    <w:rPr>
      <w:b/>
      <w:bCs/>
      <w:sz w:val="21"/>
    </w:rPr>
  </w:style>
  <w:style w:type="character" w:styleId="1079" w:customStyle="1">
    <w:name w:val="标题 3 字符"/>
    <w:link w:val="821"/>
    <w:uiPriority w:val="0"/>
    <w:qFormat/>
    <w:rPr>
      <w:b/>
      <w:bCs/>
      <w:sz w:val="32"/>
      <w:szCs w:val="32"/>
    </w:rPr>
  </w:style>
  <w:style w:type="character" w:styleId="1080" w:customStyle="1">
    <w:name w:val="正文文本 Char_0"/>
    <w:link w:val="1081"/>
    <w:uiPriority w:val="0"/>
    <w:qFormat/>
    <w:rPr>
      <w:szCs w:val="24"/>
    </w:rPr>
  </w:style>
  <w:style w:type="paragraph" w:styleId="1081" w:customStyle="1">
    <w:name w:val="正文文本_0"/>
    <w:basedOn w:val="1039"/>
    <w:link w:val="1080"/>
    <w:uiPriority w:val="0"/>
    <w:qFormat/>
    <w:pPr>
      <w:spacing w:after="120"/>
    </w:pPr>
    <w:rPr>
      <w:sz w:val="20"/>
    </w:rPr>
  </w:style>
  <w:style w:type="character" w:styleId="1082" w:customStyle="1">
    <w:name w:val="副标题 字符"/>
    <w:link w:val="855"/>
    <w:uiPriority w:val="0"/>
    <w:qFormat/>
    <w:rPr>
      <w:rFonts w:ascii="Cambria" w:hAnsi="Cambria"/>
      <w:b/>
      <w:bCs/>
      <w:sz w:val="32"/>
      <w:szCs w:val="32"/>
    </w:rPr>
  </w:style>
  <w:style w:type="character" w:styleId="1083" w:customStyle="1">
    <w:name w:val="bookmark"/>
    <w:basedOn w:val="828"/>
    <w:uiPriority w:val="0"/>
    <w:qFormat/>
  </w:style>
  <w:style w:type="character" w:styleId="1084" w:customStyle="1">
    <w:name w:val="标题 5 Char_0"/>
    <w:link w:val="1085"/>
    <w:uiPriority w:val="0"/>
    <w:qFormat/>
    <w:rPr>
      <w:rFonts w:ascii="Calibri" w:hAnsi="Calibri"/>
      <w:b/>
      <w:bCs/>
      <w:sz w:val="28"/>
      <w:szCs w:val="28"/>
    </w:rPr>
  </w:style>
  <w:style w:type="paragraph" w:styleId="1085" w:customStyle="1">
    <w:name w:val="标题 5_0"/>
    <w:basedOn w:val="1039"/>
    <w:next w:val="1039"/>
    <w:link w:val="1084"/>
    <w:uiPriority w:val="0"/>
    <w:qFormat/>
    <w:pPr>
      <w:keepLines/>
      <w:keepNext/>
      <w:spacing w:before="280" w:after="290" w:line="372" w:lineRule="auto"/>
      <w:outlineLvl w:val="4"/>
    </w:pPr>
    <w:rPr>
      <w:rFonts w:ascii="Calibri" w:hAnsi="Calibri"/>
      <w:b/>
      <w:bCs/>
      <w:sz w:val="28"/>
      <w:szCs w:val="28"/>
    </w:rPr>
  </w:style>
  <w:style w:type="character" w:styleId="1086" w:customStyle="1">
    <w:name w:val="正文文本缩进 2 字符"/>
    <w:link w:val="846"/>
    <w:uiPriority w:val="99"/>
    <w:qFormat/>
    <w:rPr>
      <w:rFonts w:ascii="宋体"/>
    </w:rPr>
  </w:style>
  <w:style w:type="character" w:styleId="1087" w:customStyle="1">
    <w:name w:val="批注文字 字符"/>
    <w:link w:val="836"/>
    <w:uiPriority w:val="99"/>
    <w:qFormat/>
    <w:rPr>
      <w:sz w:val="21"/>
      <w:szCs w:val="24"/>
    </w:rPr>
  </w:style>
  <w:style w:type="character" w:styleId="1088" w:customStyle="1">
    <w:name w:val="font11"/>
    <w:uiPriority w:val="0"/>
    <w:qFormat/>
    <w:rPr>
      <w:rFonts w:hint="eastAsia" w:ascii="宋体" w:hAnsi="宋体" w:eastAsia="宋体" w:cs="宋体"/>
      <w:color w:val="000000"/>
      <w:sz w:val="20"/>
      <w:szCs w:val="20"/>
      <w:u w:val="none"/>
    </w:rPr>
  </w:style>
  <w:style w:type="character" w:styleId="1089" w:customStyle="1">
    <w:name w:val="明显参考1"/>
    <w:uiPriority w:val="0"/>
    <w:qFormat/>
    <w:rPr>
      <w:b/>
      <w:bCs/>
      <w:smallCaps/>
      <w:color w:val="c0504d"/>
      <w:spacing w:val="5"/>
      <w:u w:val="single"/>
    </w:rPr>
  </w:style>
  <w:style w:type="character" w:styleId="1090" w:customStyle="1">
    <w:name w:val="超链接_0"/>
    <w:uiPriority w:val="99"/>
    <w:qFormat/>
    <w:rPr>
      <w:rFonts w:ascii="Calibri" w:hAnsi="Calibri"/>
      <w:color w:val="0000ff"/>
      <w:u w:val="single"/>
    </w:rPr>
  </w:style>
  <w:style w:type="character" w:styleId="1091" w:customStyle="1">
    <w:name w:val="文档结构图 Char2"/>
    <w:uiPriority w:val="99"/>
    <w:semiHidden/>
    <w:qFormat/>
    <w:rPr>
      <w:rFonts w:ascii="宋体" w:hAnsi="Calibri" w:eastAsia="宋体" w:cs="Times New Roman"/>
      <w:sz w:val="18"/>
      <w:szCs w:val="18"/>
    </w:rPr>
  </w:style>
  <w:style w:type="character" w:styleId="1092" w:customStyle="1">
    <w:name w:val="textcontents"/>
    <w:uiPriority w:val="0"/>
    <w:qFormat/>
    <w:rPr>
      <w:rFonts w:cs="Times New Roman"/>
    </w:rPr>
  </w:style>
  <w:style w:type="character" w:styleId="1093" w:customStyle="1">
    <w:name w:val="标题 1 Char"/>
    <w:uiPriority w:val="0"/>
    <w:qFormat/>
    <w:rPr>
      <w:b/>
      <w:bCs/>
      <w:sz w:val="32"/>
      <w:szCs w:val="44"/>
    </w:rPr>
  </w:style>
  <w:style w:type="character" w:styleId="1094" w:customStyle="1">
    <w:name w:val="正文文本 字符"/>
    <w:link w:val="838"/>
    <w:uiPriority w:val="0"/>
    <w:qFormat/>
    <w:rPr>
      <w:rFonts w:eastAsia="幼圆"/>
      <w:b/>
      <w:bCs/>
      <w:sz w:val="44"/>
      <w:szCs w:val="24"/>
    </w:rPr>
  </w:style>
  <w:style w:type="character" w:styleId="1095" w:customStyle="1">
    <w:name w:val="标题 8 字符"/>
    <w:link w:val="826"/>
    <w:uiPriority w:val="0"/>
    <w:qFormat/>
    <w:rPr>
      <w:rFonts w:ascii="Cambria" w:hAnsi="Cambria" w:eastAsia="宋体" w:cs="Times New Roman"/>
      <w:sz w:val="24"/>
      <w:szCs w:val="24"/>
    </w:rPr>
  </w:style>
  <w:style w:type="character" w:styleId="1096" w:customStyle="1">
    <w:name w:val="副标题 Char1"/>
    <w:uiPriority w:val="11"/>
    <w:qFormat/>
    <w:rPr>
      <w:rFonts w:ascii="Cambria" w:hAnsi="Cambria" w:cs="Times New Roman"/>
      <w:b/>
      <w:bCs/>
      <w:sz w:val="32"/>
      <w:szCs w:val="32"/>
    </w:rPr>
  </w:style>
  <w:style w:type="character" w:styleId="1097" w:customStyle="1">
    <w:name w:val="批注主题 字符"/>
    <w:link w:val="865"/>
    <w:uiPriority w:val="0"/>
    <w:qFormat/>
    <w:rPr>
      <w:b/>
      <w:bCs/>
      <w:sz w:val="21"/>
      <w:szCs w:val="24"/>
    </w:rPr>
  </w:style>
  <w:style w:type="character" w:styleId="1098" w:customStyle="1">
    <w:name w:val="书籍标题1"/>
    <w:uiPriority w:val="0"/>
    <w:qFormat/>
    <w:rPr>
      <w:b/>
      <w:bCs/>
      <w:smallCaps/>
      <w:spacing w:val="5"/>
    </w:rPr>
  </w:style>
  <w:style w:type="character" w:styleId="1099" w:customStyle="1">
    <w:name w:val="页脚 字符"/>
    <w:link w:val="849"/>
    <w:uiPriority w:val="99"/>
    <w:qFormat/>
    <w:rPr>
      <w:sz w:val="18"/>
      <w:szCs w:val="18"/>
    </w:rPr>
  </w:style>
  <w:style w:type="character" w:styleId="1100" w:customStyle="1">
    <w:name w:val="标题4 Char Char"/>
    <w:link w:val="1101"/>
    <w:uiPriority w:val="0"/>
    <w:qFormat/>
    <w:rPr>
      <w:rFonts w:ascii="Arial" w:hAnsi="Arial"/>
      <w:b/>
      <w:bCs/>
      <w:sz w:val="24"/>
      <w:szCs w:val="32"/>
    </w:rPr>
  </w:style>
  <w:style w:type="paragraph" w:styleId="1101" w:customStyle="1">
    <w:name w:val="标题4"/>
    <w:basedOn w:val="820"/>
    <w:next w:val="840"/>
    <w:link w:val="1100"/>
    <w:uiPriority w:val="0"/>
    <w:qFormat/>
    <w:pPr>
      <w:numPr>
        <w:ilvl w:val="0"/>
        <w:numId w:val="0"/>
      </w:numPr>
      <w:spacing w:line="413" w:lineRule="auto"/>
    </w:pPr>
    <w:rPr>
      <w:rFonts w:ascii="Arial" w:hAnsi="Arial"/>
      <w:sz w:val="24"/>
    </w:rPr>
  </w:style>
  <w:style w:type="character" w:styleId="1102" w:customStyle="1">
    <w:name w:val="正文文本 Char1"/>
    <w:uiPriority w:val="0"/>
    <w:qFormat/>
    <w:rPr>
      <w:rFonts w:ascii="Calibri" w:hAnsi="Calibri" w:eastAsia="宋体" w:cs="Times New Roman"/>
    </w:rPr>
  </w:style>
  <w:style w:type="character" w:styleId="1103" w:customStyle="1">
    <w:name w:val="明显引用 Char1"/>
    <w:uiPriority w:val="30"/>
    <w:qFormat/>
    <w:rPr>
      <w:b/>
      <w:bCs/>
      <w:i/>
      <w:iCs/>
      <w:color w:val="4f81bd"/>
      <w:sz w:val="21"/>
    </w:rPr>
  </w:style>
  <w:style w:type="character" w:styleId="1104" w:customStyle="1">
    <w:name w:val="页眉 Char1"/>
    <w:uiPriority w:val="99"/>
    <w:semiHidden/>
    <w:qFormat/>
    <w:rPr>
      <w:rFonts w:ascii="Calibri" w:hAnsi="Calibri" w:eastAsia="宋体" w:cs="Times New Roman"/>
      <w:sz w:val="18"/>
      <w:szCs w:val="18"/>
    </w:rPr>
  </w:style>
  <w:style w:type="character" w:styleId="1105" w:customStyle="1">
    <w:name w:val="不明显强调1"/>
    <w:uiPriority w:val="0"/>
    <w:qFormat/>
    <w:rPr>
      <w:i/>
      <w:iCs/>
      <w:color w:val="808080"/>
    </w:rPr>
  </w:style>
  <w:style w:type="character" w:styleId="1106" w:customStyle="1">
    <w:name w:val="正文文本 3 字符"/>
    <w:link w:val="837"/>
    <w:uiPriority w:val="0"/>
    <w:qFormat/>
    <w:rPr>
      <w:rFonts w:ascii="宋体"/>
      <w:sz w:val="24"/>
    </w:rPr>
  </w:style>
  <w:style w:type="character" w:styleId="1107" w:customStyle="1">
    <w:name w:val="正文文本缩进 3 字符"/>
    <w:link w:val="858"/>
    <w:uiPriority w:val="0"/>
    <w:qFormat/>
    <w:rPr>
      <w:sz w:val="16"/>
    </w:rPr>
  </w:style>
  <w:style w:type="character" w:styleId="1108" w:customStyle="1">
    <w:name w:val="font21"/>
    <w:uiPriority w:val="0"/>
    <w:qFormat/>
    <w:rPr>
      <w:rFonts w:hint="eastAsia" w:ascii="宋体" w:hAnsi="宋体" w:eastAsia="宋体" w:cs="宋体"/>
      <w:color w:val="000000"/>
      <w:sz w:val="20"/>
      <w:szCs w:val="20"/>
      <w:u w:val="none"/>
    </w:rPr>
  </w:style>
  <w:style w:type="character" w:styleId="1109" w:customStyle="1">
    <w:name w:val="批注框文本 字符"/>
    <w:link w:val="848"/>
    <w:uiPriority w:val="0"/>
    <w:qFormat/>
    <w:rPr>
      <w:sz w:val="18"/>
      <w:szCs w:val="18"/>
    </w:rPr>
  </w:style>
  <w:style w:type="character" w:styleId="1110" w:customStyle="1">
    <w:name w:val="标题 7 字符"/>
    <w:link w:val="825"/>
    <w:uiPriority w:val="0"/>
    <w:qFormat/>
    <w:rPr>
      <w:b/>
      <w:bCs/>
      <w:sz w:val="24"/>
      <w:szCs w:val="24"/>
    </w:rPr>
  </w:style>
  <w:style w:type="character" w:styleId="1111" w:customStyle="1">
    <w:name w:val="文档结构图 Char1"/>
    <w:uiPriority w:val="0"/>
    <w:qFormat/>
    <w:rPr>
      <w:rFonts w:ascii="宋体" w:hAnsi="Calibri" w:eastAsia="宋体" w:cs="Times New Roman"/>
      <w:sz w:val="18"/>
      <w:szCs w:val="18"/>
    </w:rPr>
  </w:style>
  <w:style w:type="character" w:styleId="1112" w:customStyle="1">
    <w:name w:val="标题 2 Char_0"/>
    <w:link w:val="1113"/>
    <w:uiPriority w:val="0"/>
    <w:qFormat/>
    <w:rPr>
      <w:rFonts w:ascii="Cambria" w:hAnsi="Cambria"/>
      <w:b/>
      <w:bCs/>
      <w:sz w:val="32"/>
      <w:szCs w:val="32"/>
    </w:rPr>
  </w:style>
  <w:style w:type="paragraph" w:styleId="1113" w:customStyle="1">
    <w:name w:val="标题 2_0"/>
    <w:basedOn w:val="1039"/>
    <w:next w:val="1039"/>
    <w:link w:val="1112"/>
    <w:uiPriority w:val="0"/>
    <w:unhideWhenUsed/>
    <w:qFormat/>
    <w:pPr>
      <w:keepLines/>
      <w:keepNext/>
      <w:spacing w:before="260" w:after="260" w:line="416" w:lineRule="auto"/>
      <w:outlineLvl w:val="1"/>
    </w:pPr>
    <w:rPr>
      <w:rFonts w:ascii="Cambria" w:hAnsi="Cambria"/>
      <w:b/>
      <w:bCs/>
      <w:sz w:val="32"/>
      <w:szCs w:val="32"/>
    </w:rPr>
  </w:style>
  <w:style w:type="character" w:styleId="1114" w:customStyle="1">
    <w:name w:val="日期 Char2"/>
    <w:uiPriority w:val="99"/>
    <w:semiHidden/>
    <w:qFormat/>
    <w:rPr>
      <w:rFonts w:ascii="Calibri" w:hAnsi="Calibri" w:eastAsia="宋体" w:cs="Times New Roman"/>
    </w:rPr>
  </w:style>
  <w:style w:type="character" w:styleId="1115" w:customStyle="1">
    <w:name w:val="批注框文本 Char2"/>
    <w:uiPriority w:val="99"/>
    <w:semiHidden/>
    <w:qFormat/>
    <w:rPr>
      <w:rFonts w:ascii="Calibri" w:hAnsi="Calibri" w:eastAsia="宋体" w:cs="Times New Roman"/>
      <w:sz w:val="18"/>
      <w:szCs w:val="18"/>
    </w:rPr>
  </w:style>
  <w:style w:type="character" w:styleId="1116" w:customStyle="1">
    <w:name w:val="标题 4 字符"/>
    <w:link w:val="822"/>
    <w:uiPriority w:val="0"/>
    <w:qFormat/>
    <w:rPr>
      <w:rFonts w:ascii="Cambria" w:hAnsi="Cambria" w:eastAsia="宋体" w:cs="Times New Roman"/>
      <w:b/>
      <w:bCs/>
      <w:sz w:val="28"/>
      <w:szCs w:val="28"/>
    </w:rPr>
  </w:style>
  <w:style w:type="character" w:styleId="1117" w:customStyle="1">
    <w:name w:val="列出段落 Char"/>
    <w:link w:val="1118"/>
    <w:uiPriority w:val="99"/>
    <w:qFormat/>
    <w:rPr>
      <w:sz w:val="21"/>
      <w:szCs w:val="24"/>
    </w:rPr>
  </w:style>
  <w:style w:type="paragraph" w:styleId="1118" w:customStyle="1">
    <w:name w:val="List Paragraph1"/>
    <w:basedOn w:val="818"/>
    <w:link w:val="1117"/>
    <w:uiPriority w:val="99"/>
    <w:qFormat/>
    <w:pPr>
      <w:ind w:firstLine="420"/>
    </w:pPr>
  </w:style>
  <w:style w:type="paragraph" w:styleId="1119" w:customStyle="1">
    <w:name w:val="样式 标题 3 + (中文) 黑体 小四 非加粗 段前: 7.8 磅 段后: 0 磅 行距: 固定值 20 磅"/>
    <w:basedOn w:val="821"/>
    <w:next w:val="818"/>
    <w:uiPriority w:val="0"/>
    <w:qFormat/>
    <w:pPr>
      <w:spacing w:before="0" w:after="0" w:line="400" w:lineRule="exact"/>
    </w:pPr>
    <w:rPr>
      <w:rFonts w:eastAsia="黑体" w:cs="宋体"/>
      <w:b w:val="0"/>
      <w:bCs w:val="0"/>
      <w:sz w:val="24"/>
      <w:szCs w:val="20"/>
    </w:rPr>
  </w:style>
  <w:style w:type="paragraph" w:styleId="1120" w:customStyle="1">
    <w:name w:val="_Style 34"/>
    <w:next w:val="818"/>
    <w:uiPriority w:val="0"/>
    <w:qFormat/>
    <w:pPr>
      <w:jc w:val="both"/>
      <w:widowControl w:val="off"/>
    </w:pPr>
    <w:rPr>
      <w:rFonts w:ascii="Times New Roman" w:hAnsi="Times New Roman" w:eastAsia="宋体" w:cs="Times New Roman"/>
      <w:sz w:val="21"/>
      <w:lang w:val="en-US" w:eastAsia="zh-CN" w:bidi="ar-SA"/>
    </w:rPr>
  </w:style>
  <w:style w:type="paragraph" w:styleId="112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_Style 36"/>
    <w:next w:val="818"/>
    <w:uiPriority w:val="0"/>
    <w:qFormat/>
    <w:pPr>
      <w:jc w:val="both"/>
      <w:widowControl w:val="off"/>
    </w:pPr>
    <w:rPr>
      <w:rFonts w:ascii="Times New Roman" w:hAnsi="Times New Roman" w:eastAsia="宋体" w:cs="Times New Roman"/>
      <w:sz w:val="21"/>
      <w:lang w:val="en-US" w:eastAsia="zh-CN" w:bidi="ar-SA"/>
    </w:rPr>
  </w:style>
  <w:style w:type="paragraph" w:styleId="1123" w:customStyle="1">
    <w:name w:val="空半行"/>
    <w:basedOn w:val="818"/>
    <w:uiPriority w:val="0"/>
    <w:qFormat/>
    <w:pPr>
      <w:spacing w:line="120" w:lineRule="exact"/>
    </w:pPr>
    <w:rPr>
      <w:rFonts w:ascii="Calibri" w:hAnsi="Calibri" w:eastAsia="仿宋_GB2312"/>
      <w:color w:val="ffffff"/>
      <w:sz w:val="30"/>
      <w:szCs w:val="22"/>
    </w:rPr>
  </w:style>
  <w:style w:type="paragraph" w:styleId="1124" w:customStyle="1">
    <w:name w:val="1方案格式1"/>
    <w:basedOn w:val="819"/>
    <w:uiPriority w:val="0"/>
    <w:qFormat/>
    <w:pPr>
      <w:numPr>
        <w:numId w:val="2"/>
      </w:numPr>
      <w:ind w:left="0" w:firstLine="0"/>
      <w:spacing w:line="360" w:lineRule="auto"/>
      <w:tabs>
        <w:tab w:val="left" w:pos="360" w:leader="none"/>
      </w:tabs>
    </w:pPr>
    <w:rPr>
      <w:rFonts w:eastAsia="微软雅黑"/>
      <w:bCs w:val="0"/>
      <w:sz w:val="48"/>
    </w:rPr>
  </w:style>
  <w:style w:type="paragraph" w:styleId="1125" w:customStyle="1">
    <w:name w:val="格式３"/>
    <w:basedOn w:val="818"/>
    <w:uiPriority w:val="0"/>
    <w:qFormat/>
    <w:pPr>
      <w:ind w:left="600" w:hanging="600"/>
      <w:spacing w:line="420" w:lineRule="exact"/>
    </w:pPr>
    <w:rPr>
      <w:rFonts w:ascii="宋体" w:hAnsi="宋体"/>
      <w:color w:val="000000"/>
      <w:sz w:val="24"/>
      <w:szCs w:val="20"/>
    </w:rPr>
  </w:style>
  <w:style w:type="paragraph" w:styleId="1126" w:customStyle="1">
    <w:name w:val="列出段落1"/>
    <w:basedOn w:val="818"/>
    <w:uiPriority w:val="34"/>
    <w:qFormat/>
    <w:pPr>
      <w:contextualSpacing/>
      <w:ind w:left="720"/>
      <w:jc w:val="left"/>
      <w:widowControl/>
    </w:pPr>
    <w:rPr>
      <w:rFonts w:ascii="Arial" w:hAnsi="Arial" w:eastAsia="黑体"/>
      <w:sz w:val="24"/>
      <w:lang w:eastAsia="en-US"/>
    </w:rPr>
  </w:style>
  <w:style w:type="paragraph" w:styleId="1127" w:customStyle="1">
    <w:name w:val="正文空2字"/>
    <w:basedOn w:val="818"/>
    <w:uiPriority w:val="0"/>
    <w:qFormat/>
    <w:pPr>
      <w:ind w:firstLine="200"/>
      <w:spacing w:line="360" w:lineRule="auto"/>
    </w:pPr>
    <w:rPr>
      <w:sz w:val="24"/>
      <w:lang w:bidi="en-US"/>
    </w:rPr>
  </w:style>
  <w:style w:type="paragraph" w:styleId="112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29" w:customStyle="1">
    <w:name w:val="目录 5_0"/>
    <w:basedOn w:val="1039"/>
    <w:next w:val="1039"/>
    <w:uiPriority w:val="39"/>
    <w:qFormat/>
    <w:pPr>
      <w:ind w:left="1680"/>
    </w:pPr>
    <w:rPr>
      <w:rFonts w:ascii="Calibri" w:hAnsi="Calibri"/>
    </w:rPr>
  </w:style>
  <w:style w:type="paragraph" w:styleId="1130" w:customStyle="1">
    <w:name w:val="修订1"/>
    <w:uiPriority w:val="0"/>
    <w:qFormat/>
    <w:rPr>
      <w:rFonts w:ascii="Times New Roman" w:hAnsi="Times New Roman" w:eastAsia="宋体" w:cs="Times New Roman"/>
      <w:sz w:val="21"/>
      <w:szCs w:val="24"/>
      <w:lang w:val="en-US" w:eastAsia="zh-CN" w:bidi="ar-SA"/>
    </w:rPr>
  </w:style>
  <w:style w:type="paragraph" w:styleId="1131" w:customStyle="1">
    <w:name w:val="标题 11"/>
    <w:basedOn w:val="1025"/>
    <w:next w:val="102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32" w:customStyle="1">
    <w:name w:val="正文 + 行距: 固定值 20 磅"/>
    <w:basedOn w:val="818"/>
    <w:uiPriority w:val="0"/>
    <w:qFormat/>
    <w:pPr>
      <w:ind w:firstLine="716"/>
      <w:spacing w:line="400" w:lineRule="exact"/>
    </w:pPr>
    <w:rPr>
      <w:rFonts w:ascii="Calibri" w:hAnsi="Calibri"/>
      <w:szCs w:val="22"/>
    </w:rPr>
  </w:style>
  <w:style w:type="paragraph" w:styleId="1133" w:customStyle="1">
    <w:name w:val="TOC 标题11"/>
    <w:basedOn w:val="819"/>
    <w:next w:val="81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4" w:customStyle="1">
    <w:name w:val="表格文字"/>
    <w:basedOn w:val="818"/>
    <w:link w:val="1165"/>
    <w:uiPriority w:val="0"/>
    <w:qFormat/>
    <w:pPr>
      <w:jc w:val="left"/>
      <w:spacing w:line="420" w:lineRule="atLeast"/>
    </w:pPr>
    <w:rPr>
      <w:rFonts w:ascii="Calibri" w:hAnsi="Calibri"/>
      <w:szCs w:val="22"/>
    </w:rPr>
  </w:style>
  <w:style w:type="paragraph" w:styleId="1135" w:customStyle="1">
    <w:name w:val="flNote"/>
    <w:basedOn w:val="818"/>
    <w:uiPriority w:val="0"/>
    <w:qFormat/>
    <w:pPr>
      <w:jc w:val="center"/>
      <w:spacing w:before="320" w:after="160" w:line="360" w:lineRule="atLeast"/>
    </w:pPr>
    <w:rPr>
      <w:rFonts w:ascii="Arial" w:hAnsi="Calibri" w:eastAsia="黑体"/>
      <w:sz w:val="30"/>
      <w:szCs w:val="22"/>
    </w:rPr>
  </w:style>
  <w:style w:type="paragraph" w:styleId="1136" w:customStyle="1">
    <w:name w:val="文章正文"/>
    <w:basedOn w:val="818"/>
    <w:uiPriority w:val="99"/>
    <w:qFormat/>
    <w:pPr>
      <w:ind w:firstLine="480"/>
      <w:spacing w:line="360" w:lineRule="auto"/>
    </w:pPr>
    <w:rPr>
      <w:rFonts w:ascii="仿宋_GB2312" w:hAnsi="宋体" w:eastAsia="仿宋_GB2312"/>
      <w:color w:val="ff0000"/>
      <w:sz w:val="24"/>
    </w:rPr>
  </w:style>
  <w:style w:type="paragraph" w:styleId="1137" w:customStyle="1">
    <w:name w:val="表格"/>
    <w:basedOn w:val="818"/>
    <w:uiPriority w:val="0"/>
    <w:qFormat/>
    <w:pPr>
      <w:jc w:val="center"/>
    </w:pPr>
    <w:rPr>
      <w:rFonts w:ascii="STXihei" w:hAnsi="STXihei"/>
      <w:szCs w:val="22"/>
    </w:rPr>
  </w:style>
  <w:style w:type="paragraph" w:styleId="1138" w:customStyle="1">
    <w:name w:val="Char"/>
    <w:basedOn w:val="818"/>
    <w:uiPriority w:val="0"/>
    <w:qFormat/>
    <w:pPr>
      <w:jc w:val="left"/>
      <w:spacing w:after="160" w:line="240" w:lineRule="exact"/>
      <w:widowControl/>
    </w:pPr>
    <w:rPr>
      <w:rFonts w:ascii="Verdana" w:hAnsi="Verdana"/>
      <w:sz w:val="20"/>
      <w:szCs w:val="20"/>
      <w:lang w:eastAsia="en-US"/>
    </w:rPr>
  </w:style>
  <w:style w:type="paragraph" w:styleId="113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0" w:customStyle="1">
    <w:name w:val="列出段落2"/>
    <w:basedOn w:val="818"/>
    <w:uiPriority w:val="99"/>
    <w:qFormat/>
    <w:pPr>
      <w:ind w:firstLine="420"/>
    </w:pPr>
  </w:style>
  <w:style w:type="paragraph" w:styleId="1141" w:customStyle="1">
    <w:name w:val="6'"/>
    <w:basedOn w:val="818"/>
    <w:uiPriority w:val="0"/>
    <w:qFormat/>
    <w:pPr>
      <w:jc w:val="center"/>
      <w:spacing w:line="320" w:lineRule="exact"/>
    </w:pPr>
    <w:rPr>
      <w:rFonts w:ascii="Calibri" w:hAnsi="Calibri"/>
      <w:spacing w:val="20"/>
      <w:szCs w:val="22"/>
    </w:rPr>
  </w:style>
  <w:style w:type="paragraph" w:styleId="1142" w:customStyle="1">
    <w:name w:val="Char Char Char Char Char Char Char"/>
    <w:basedOn w:val="818"/>
    <w:uiPriority w:val="0"/>
    <w:qFormat/>
    <w:pPr>
      <w:spacing w:line="360" w:lineRule="auto"/>
    </w:pPr>
    <w:rPr>
      <w:sz w:val="24"/>
      <w:szCs w:val="20"/>
    </w:rPr>
  </w:style>
  <w:style w:type="paragraph" w:styleId="1143" w:customStyle="1">
    <w:name w:val="2方案格式2"/>
    <w:basedOn w:val="1124"/>
    <w:uiPriority w:val="0"/>
    <w:qFormat/>
    <w:pPr>
      <w:numPr>
        <w:ilvl w:val="1"/>
      </w:numPr>
      <w:spacing w:before="50" w:after="50" w:line="240" w:lineRule="auto"/>
      <w:outlineLvl w:val="1"/>
    </w:pPr>
    <w:rPr>
      <w:sz w:val="44"/>
    </w:rPr>
  </w:style>
  <w:style w:type="paragraph" w:styleId="11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5" w:customStyle="1">
    <w:name w:val="文档正文"/>
    <w:basedOn w:val="818"/>
    <w:uiPriority w:val="0"/>
    <w:qFormat/>
    <w:pPr>
      <w:ind w:firstLine="567"/>
      <w:spacing w:line="480" w:lineRule="atLeast"/>
    </w:pPr>
    <w:rPr>
      <w:rFonts w:ascii="Ari" w:eastAsia="Ari"/>
      <w:sz w:val="28"/>
      <w:szCs w:val="20"/>
    </w:rPr>
  </w:style>
  <w:style w:type="paragraph" w:styleId="1146" w:customStyle="1">
    <w:name w:val="txt"/>
    <w:basedOn w:val="818"/>
    <w:uiPriority w:val="0"/>
    <w:qFormat/>
    <w:pPr>
      <w:jc w:val="left"/>
      <w:spacing w:before="100" w:beforeAutospacing="1" w:after="100" w:afterAutospacing="1"/>
      <w:widowControl/>
    </w:pPr>
    <w:rPr>
      <w:rFonts w:ascii="宋体" w:hAnsi="宋体" w:cs="宋体"/>
      <w:sz w:val="24"/>
    </w:rPr>
  </w:style>
  <w:style w:type="paragraph" w:styleId="1147" w:customStyle="1">
    <w:name w:val="目录 4_0"/>
    <w:basedOn w:val="1039"/>
    <w:next w:val="1039"/>
    <w:uiPriority w:val="39"/>
    <w:qFormat/>
    <w:pPr>
      <w:ind w:left="1260"/>
    </w:pPr>
    <w:rPr>
      <w:rFonts w:ascii="Calibri" w:hAnsi="Calibri"/>
    </w:rPr>
  </w:style>
  <w:style w:type="paragraph" w:styleId="1148" w:customStyle="1">
    <w:name w:val="目录 3_0"/>
    <w:basedOn w:val="1039"/>
    <w:next w:val="1039"/>
    <w:uiPriority w:val="39"/>
    <w:qFormat/>
    <w:pPr>
      <w:ind w:left="840"/>
    </w:pPr>
    <w:rPr>
      <w:rFonts w:ascii="Calibri" w:hAnsi="Calibri"/>
    </w:rPr>
  </w:style>
  <w:style w:type="paragraph" w:styleId="1149" w:customStyle="1">
    <w:name w:val="样式 标题 1 + 黑体 三号 非加粗 居中 段前: 6 磅 段后: 6 磅 行距: 固定值 20 磅"/>
    <w:basedOn w:val="819"/>
    <w:uiPriority w:val="0"/>
    <w:qFormat/>
    <w:pPr>
      <w:numPr>
        <w:numId w:val="0"/>
      </w:numPr>
      <w:spacing w:before="120" w:after="120" w:line="400" w:lineRule="exact"/>
    </w:pPr>
    <w:rPr>
      <w:rFonts w:ascii="黑体" w:hAnsi="黑体" w:eastAsia="黑体"/>
      <w:b w:val="0"/>
      <w:bCs w:val="0"/>
      <w:szCs w:val="20"/>
    </w:rPr>
  </w:style>
  <w:style w:type="paragraph" w:styleId="1150" w:customStyle="1">
    <w:name w:val="1"/>
    <w:basedOn w:val="818"/>
    <w:next w:val="818"/>
    <w:uiPriority w:val="0"/>
    <w:qFormat/>
    <w:rPr>
      <w:rFonts w:ascii="Calibri" w:hAnsi="Calibri"/>
      <w:szCs w:val="22"/>
    </w:rPr>
  </w:style>
  <w:style w:type="paragraph" w:styleId="1151" w:customStyle="1">
    <w:name w:val="Blockquote_0"/>
    <w:basedOn w:val="1039"/>
    <w:uiPriority w:val="0"/>
    <w:qFormat/>
    <w:pPr>
      <w:ind w:left="360" w:right="360"/>
      <w:jc w:val="left"/>
      <w:spacing w:before="100" w:after="100"/>
    </w:pPr>
    <w:rPr>
      <w:rFonts w:ascii="Calibri" w:hAnsi="Calibri" w:eastAsia="Times New Roman"/>
      <w:sz w:val="24"/>
      <w:szCs w:val="20"/>
    </w:rPr>
  </w:style>
  <w:style w:type="paragraph" w:styleId="1152" w:customStyle="1">
    <w:name w:val="列出段落11"/>
    <w:basedOn w:val="818"/>
    <w:uiPriority w:val="0"/>
    <w:qFormat/>
    <w:pPr>
      <w:contextualSpacing/>
      <w:ind w:left="720"/>
      <w:jc w:val="left"/>
      <w:widowControl/>
    </w:pPr>
    <w:rPr>
      <w:rFonts w:ascii="Arial" w:hAnsi="Arial" w:eastAsia="黑体"/>
      <w:sz w:val="24"/>
      <w:lang w:eastAsia="en-US"/>
    </w:rPr>
  </w:style>
  <w:style w:type="paragraph" w:styleId="1153" w:customStyle="1">
    <w:name w:val="样式 标题 2 + Times New Roman 四号 非加粗 段前: 5 磅 段后: 0 磅 行距: 固定值 20..._0"/>
    <w:basedOn w:val="818"/>
    <w:uiPriority w:val="0"/>
    <w:qFormat/>
    <w:pPr>
      <w:keepLines/>
      <w:keepNext/>
      <w:spacing w:before="100" w:line="360" w:lineRule="auto"/>
      <w:outlineLvl w:val="1"/>
    </w:pPr>
    <w:rPr>
      <w:rFonts w:eastAsia="Times New Roman" w:cs="宋体"/>
      <w:sz w:val="28"/>
      <w:szCs w:val="20"/>
    </w:rPr>
  </w:style>
  <w:style w:type="paragraph" w:styleId="1154" w:customStyle="1">
    <w:name w:val="op_mapdots_left"/>
    <w:basedOn w:val="818"/>
    <w:uiPriority w:val="0"/>
    <w:qFormat/>
    <w:pPr>
      <w:jc w:val="left"/>
      <w:spacing w:before="100" w:beforeAutospacing="1" w:after="100" w:afterAutospacing="1"/>
      <w:widowControl/>
    </w:pPr>
    <w:rPr>
      <w:rFonts w:ascii="宋体" w:hAnsi="宋体" w:cs="宋体"/>
      <w:sz w:val="24"/>
    </w:rPr>
  </w:style>
  <w:style w:type="paragraph" w:styleId="1155" w:customStyle="1">
    <w:name w:val="p0"/>
    <w:basedOn w:val="818"/>
    <w:uiPriority w:val="0"/>
    <w:qFormat/>
    <w:pPr>
      <w:widowControl/>
    </w:pPr>
    <w:rPr>
      <w:b/>
      <w:bCs/>
      <w:sz w:val="24"/>
    </w:rPr>
  </w:style>
  <w:style w:type="paragraph" w:styleId="1156" w:customStyle="1">
    <w:name w:val="Blockquote"/>
    <w:basedOn w:val="818"/>
    <w:uiPriority w:val="0"/>
    <w:qFormat/>
    <w:pPr>
      <w:ind w:left="360" w:right="360"/>
      <w:jc w:val="left"/>
      <w:spacing w:before="100" w:after="100"/>
    </w:pPr>
    <w:rPr>
      <w:rFonts w:ascii="Calibri" w:hAnsi="Calibri"/>
      <w:sz w:val="24"/>
      <w:szCs w:val="22"/>
    </w:rPr>
  </w:style>
  <w:style w:type="paragraph" w:styleId="1157" w:customStyle="1">
    <w:name w:val="3方案格式3"/>
    <w:basedOn w:val="1143"/>
    <w:uiPriority w:val="0"/>
    <w:qFormat/>
    <w:pPr>
      <w:numPr>
        <w:ilvl w:val="2"/>
      </w:numPr>
      <w:outlineLvl w:val="2"/>
    </w:pPr>
    <w:rPr>
      <w:sz w:val="32"/>
    </w:rPr>
  </w:style>
  <w:style w:type="paragraph" w:styleId="1158" w:customStyle="1">
    <w:name w:val="样式 标题 2 + Times New Roman 四号 非加粗 段前: 5 磅 段后: 0 磅 行距: 固定值 20..."/>
    <w:basedOn w:val="82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9" w:customStyle="1">
    <w:name w:val="标题2"/>
    <w:basedOn w:val="820"/>
    <w:next w:val="838"/>
    <w:uiPriority w:val="0"/>
    <w:qFormat/>
    <w:pPr>
      <w:spacing w:before="156" w:after="156" w:line="360" w:lineRule="auto"/>
    </w:pPr>
    <w:rPr>
      <w:bCs w:val="0"/>
      <w:sz w:val="24"/>
    </w:rPr>
  </w:style>
  <w:style w:type="paragraph" w:styleId="1160" w:customStyle="1">
    <w:name w:val="普通正文"/>
    <w:basedOn w:val="818"/>
    <w:uiPriority w:val="0"/>
    <w:qFormat/>
    <w:pPr>
      <w:ind w:firstLine="480"/>
      <w:jc w:val="left"/>
      <w:spacing w:before="120" w:after="120" w:line="360" w:lineRule="auto"/>
    </w:pPr>
    <w:rPr>
      <w:rFonts w:ascii="Arial" w:hAnsi="Arial"/>
      <w:sz w:val="24"/>
    </w:rPr>
  </w:style>
  <w:style w:type="paragraph" w:styleId="1161" w:customStyle="1">
    <w:name w:val="正文11"/>
    <w:uiPriority w:val="0"/>
    <w:qFormat/>
    <w:rPr>
      <w:rFonts w:ascii="Calibri" w:hAnsi="Calibri" w:eastAsia="宋体" w:cs="Calibri"/>
      <w:sz w:val="24"/>
      <w:szCs w:val="24"/>
      <w:lang w:val="en-US" w:eastAsia="zh-CN" w:bidi="ar-SA"/>
    </w:rPr>
  </w:style>
  <w:style w:type="paragraph" w:styleId="1162" w:customStyle="1">
    <w:name w:val="正文2"/>
    <w:uiPriority w:val="0"/>
    <w:qFormat/>
    <w:rPr>
      <w:rFonts w:ascii="Times New Roman" w:hAnsi="Times New Roman" w:eastAsia="微软雅黑" w:cs="Times New Roman"/>
      <w:sz w:val="24"/>
      <w:szCs w:val="24"/>
      <w:lang w:val="en-US" w:eastAsia="zh-CN" w:bidi="ar-SA"/>
    </w:rPr>
  </w:style>
  <w:style w:type="paragraph" w:styleId="1163" w:customStyle="1">
    <w:name w:val="列出段落3"/>
    <w:basedOn w:val="818"/>
    <w:uiPriority w:val="34"/>
    <w:qFormat/>
    <w:pPr>
      <w:ind w:firstLine="420"/>
      <w:jc w:val="left"/>
      <w:spacing w:after="200"/>
      <w:widowControl/>
    </w:pPr>
    <w:rPr>
      <w:rFonts w:ascii="Tahoma" w:hAnsi="Tahoma" w:eastAsia="微软雅黑"/>
      <w:sz w:val="22"/>
      <w:szCs w:val="22"/>
    </w:rPr>
  </w:style>
  <w:style w:type="paragraph" w:styleId="1164" w:customStyle="1">
    <w:name w:val="纯文本2"/>
    <w:basedOn w:val="818"/>
    <w:uiPriority w:val="0"/>
    <w:qFormat/>
    <w:pPr>
      <w:jc w:val="left"/>
    </w:pPr>
    <w:rPr>
      <w:rFonts w:hint="eastAsia" w:ascii="宋体" w:hAnsi="宋体" w:cs="Courier New"/>
      <w:sz w:val="24"/>
      <w:szCs w:val="20"/>
      <w:lang w:bidi="hi-IN"/>
    </w:rPr>
  </w:style>
  <w:style w:type="character" w:styleId="1165" w:customStyle="1">
    <w:name w:val="表格文字 字符"/>
    <w:link w:val="1134"/>
    <w:uiPriority w:val="0"/>
    <w:qFormat/>
    <w:rPr>
      <w:rFonts w:ascii="Calibri" w:hAnsi="Calibri" w:eastAsia="宋体" w:cs="Times New Roman"/>
      <w:sz w:val="21"/>
      <w:szCs w:val="22"/>
    </w:rPr>
  </w:style>
  <w:style w:type="paragraph" w:styleId="1166" w:customStyle="1">
    <w:name w:val="trs_editor"/>
    <w:basedOn w:val="818"/>
    <w:uiPriority w:val="0"/>
    <w:qFormat/>
    <w:pPr>
      <w:jc w:val="left"/>
      <w:spacing w:before="100" w:beforeAutospacing="1" w:after="100" w:afterAutospacing="1"/>
      <w:widowControl/>
    </w:pPr>
    <w:rPr>
      <w:rFonts w:ascii="宋体" w:hAnsi="宋体" w:cs="宋体"/>
      <w:sz w:val="24"/>
    </w:rPr>
  </w:style>
  <w:style w:type="paragraph" w:styleId="1167" w:customStyle="1">
    <w:name w:val="标题二级"/>
    <w:basedOn w:val="818"/>
    <w:uiPriority w:val="0"/>
    <w:qFormat/>
    <w:pPr>
      <w:ind w:firstLine="412"/>
    </w:pPr>
    <w:rPr>
      <w:rFonts w:ascii="宋体" w:hAnsi="宋体"/>
      <w:szCs w:val="21"/>
    </w:rPr>
  </w:style>
  <w:style w:type="paragraph" w:styleId="116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6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70" w:customStyle="1">
    <w:name w:val="无"/>
    <w:uiPriority w:val="0"/>
    <w:qFormat/>
  </w:style>
  <w:style w:type="paragraph" w:styleId="1171" w:customStyle="1">
    <w:name w:val="Heading #2|1"/>
    <w:basedOn w:val="81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72" w:customStyle="1">
    <w:name w:val="Body text|1"/>
    <w:basedOn w:val="818"/>
    <w:uiPriority w:val="0"/>
    <w:qFormat/>
    <w:pPr>
      <w:ind w:firstLine="400"/>
      <w:spacing w:line="401" w:lineRule="auto"/>
    </w:pPr>
    <w:rPr>
      <w:rFonts w:ascii="宋体" w:hAnsi="宋体" w:cs="宋体"/>
      <w:sz w:val="30"/>
      <w:szCs w:val="30"/>
      <w:lang w:val="zh-TW" w:eastAsia="zh-TW" w:bidi="zh-TW"/>
    </w:rPr>
  </w:style>
  <w:style w:type="paragraph" w:styleId="1173" w:customStyle="1">
    <w:name w:val="_Style 1931"/>
    <w:basedOn w:val="818"/>
    <w:next w:val="1029"/>
    <w:uiPriority w:val="34"/>
    <w:qFormat/>
    <w:pPr>
      <w:ind w:firstLine="420"/>
    </w:pPr>
  </w:style>
  <w:style w:type="paragraph" w:styleId="1174" w:customStyle="1">
    <w:name w:val="段落"/>
    <w:basedOn w:val="818"/>
    <w:uiPriority w:val="0"/>
    <w:qFormat/>
    <w:pPr>
      <w:ind w:firstLine="480"/>
      <w:spacing w:line="460" w:lineRule="exact"/>
    </w:pPr>
    <w:rPr>
      <w:rFonts w:ascii="Calibri" w:hAnsi="Calibri"/>
      <w:sz w:val="24"/>
      <w:szCs w:val="20"/>
    </w:rPr>
  </w:style>
  <w:style w:type="paragraph" w:styleId="1175" w:customStyle="1">
    <w:name w:val="列出段落4"/>
    <w:basedOn w:val="818"/>
    <w:uiPriority w:val="99"/>
    <w:unhideWhenUsed/>
    <w:qFormat/>
    <w:pPr>
      <w:ind w:firstLine="420"/>
      <w:spacing w:line="360" w:lineRule="auto"/>
    </w:pPr>
    <w:rPr>
      <w:rFonts w:ascii="Calibri" w:hAnsi="Calibri" w:eastAsia="仿宋_GB2312"/>
      <w:sz w:val="32"/>
      <w:szCs w:val="22"/>
    </w:rPr>
  </w:style>
  <w:style w:type="paragraph" w:styleId="1176"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77" w:customStyle="1">
    <w:name w:val="正文 A"/>
    <w:next w:val="838"/>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78"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79" w:customStyle="1">
    <w:name w:val="*正文"/>
    <w:basedOn w:val="818"/>
    <w:uiPriority w:val="0"/>
    <w:qFormat/>
    <w:pPr>
      <w:spacing w:line="360" w:lineRule="auto"/>
      <w:widowControl/>
    </w:pPr>
    <w:rPr>
      <w:rFonts w:ascii="仿宋_GB2312" w:eastAsia="仿宋_GB2312"/>
      <w:sz w:val="24"/>
      <w:szCs w:val="28"/>
    </w:rPr>
  </w:style>
  <w:style w:type="table" w:styleId="1180" w:customStyle="1">
    <w:name w:val="Table Normal"/>
    <w:uiPriority w:val="0"/>
    <w:semiHidden/>
    <w:unhideWhenUsed/>
    <w:qFormat/>
    <w:tblPr>
      <w:tblCellMar>
        <w:left w:w="0" w:type="dxa"/>
        <w:top w:w="0" w:type="dxa"/>
        <w:right w:w="0" w:type="dxa"/>
        <w:bottom w:w="0" w:type="dxa"/>
      </w:tblCellMar>
    </w:tblPr>
  </w:style>
  <w:style w:type="character" w:styleId="1181" w:customStyle="1">
    <w:name w:val="form-textarea-print1"/>
    <w:uiPriority w:val="0"/>
    <w:qFormat/>
    <w:rPr>
      <w:rFonts w:hint="default" w:ascii="微软雅黑" w:hAnsi="微软雅黑" w:eastAsia="宋体" w:cs="Times New Roman"/>
      <w:sz w:val="18"/>
      <w:szCs w:val="18"/>
    </w:rPr>
  </w:style>
  <w:style w:type="character" w:styleId="1182" w:customStyle="1">
    <w:name w:val="cke_colorbox"/>
    <w:basedOn w:val="828"/>
    <w:uiPriority w:val="0"/>
    <w:qFormat/>
  </w:style>
  <w:style w:type="character" w:styleId="1183" w:customStyle="1">
    <w:name w:val="cke_colorbox1"/>
    <w:basedOn w:val="828"/>
    <w:uiPriority w:val="0"/>
    <w:qFormat/>
  </w:style>
  <w:style w:type="character" w:styleId="1184" w:customStyle="1">
    <w:name w:val="pwdtips_alert"/>
    <w:basedOn w:val="828"/>
    <w:uiPriority w:val="0"/>
    <w:qFormat/>
    <w:rPr>
      <w:shd w:val="clear" w:color="auto" w:fill="ffeaa6"/>
    </w:rPr>
  </w:style>
  <w:style w:type="character" w:styleId="1185" w:customStyle="1">
    <w:name w:val="l-btn-left"/>
    <w:basedOn w:val="828"/>
    <w:uiPriority w:val="0"/>
    <w:qFormat/>
  </w:style>
  <w:style w:type="character" w:styleId="1186" w:customStyle="1">
    <w:name w:val="l-btn-left1"/>
    <w:basedOn w:val="828"/>
    <w:uiPriority w:val="0"/>
    <w:qFormat/>
  </w:style>
  <w:style w:type="character" w:styleId="1187" w:customStyle="1">
    <w:name w:val="l-btn-left2"/>
    <w:basedOn w:val="828"/>
    <w:uiPriority w:val="0"/>
    <w:qFormat/>
  </w:style>
  <w:style w:type="character" w:styleId="1188" w:customStyle="1">
    <w:name w:val="l-btn-left3"/>
    <w:basedOn w:val="828"/>
    <w:uiPriority w:val="0"/>
    <w:qFormat/>
  </w:style>
  <w:style w:type="character" w:styleId="1189" w:customStyle="1">
    <w:name w:val="combo2"/>
    <w:basedOn w:val="828"/>
    <w:uiPriority w:val="0"/>
    <w:qFormat/>
  </w:style>
  <w:style w:type="character" w:styleId="1190" w:customStyle="1">
    <w:name w:val="l-btn-empty"/>
    <w:basedOn w:val="828"/>
    <w:uiPriority w:val="0"/>
    <w:qFormat/>
  </w:style>
  <w:style w:type="character" w:styleId="1191" w:customStyle="1">
    <w:name w:val="red"/>
    <w:basedOn w:val="828"/>
    <w:uiPriority w:val="0"/>
    <w:qFormat/>
    <w:rPr>
      <w:color w:val="ff0000"/>
    </w:rPr>
  </w:style>
  <w:style w:type="character" w:styleId="1192" w:customStyle="1">
    <w:name w:val="l-btn-text"/>
    <w:basedOn w:val="828"/>
    <w:uiPriority w:val="0"/>
    <w:qFormat/>
    <w:rPr>
      <w:color w:val="1864ac"/>
      <w:sz w:val="14"/>
      <w:szCs w:val="14"/>
    </w:rPr>
  </w:style>
  <w:style w:type="character" w:styleId="1193" w:customStyle="1">
    <w:name w:val="l-btn-text1"/>
    <w:basedOn w:val="828"/>
    <w:uiPriority w:val="0"/>
    <w:qFormat/>
  </w:style>
  <w:style w:type="character" w:styleId="1194" w:customStyle="1">
    <w:name w:val="green"/>
    <w:basedOn w:val="828"/>
    <w:uiPriority w:val="0"/>
    <w:qFormat/>
    <w:rPr>
      <w:color w:val="00a521"/>
    </w:rPr>
  </w:style>
  <w:style w:type="character" w:styleId="1195" w:customStyle="1">
    <w:name w:val="valueinfo"/>
    <w:basedOn w:val="828"/>
    <w:uiPriority w:val="0"/>
    <w:qFormat/>
    <w:rPr>
      <w:color w:val="666666"/>
    </w:rPr>
  </w:style>
  <w:style w:type="character" w:styleId="1196" w:customStyle="1">
    <w:name w:val="tree-file2"/>
    <w:basedOn w:val="828"/>
    <w:uiPriority w:val="0"/>
    <w:qFormat/>
  </w:style>
  <w:style w:type="character" w:styleId="1197" w:customStyle="1">
    <w:name w:val="vainfo"/>
    <w:basedOn w:val="828"/>
    <w:uiPriority w:val="0"/>
    <w:qFormat/>
    <w:rPr>
      <w:color w:val="ff0000"/>
      <w:shd w:val="clear" w:color="auto" w:fill="ffe4e4"/>
    </w:rPr>
  </w:style>
  <w:style w:type="character" w:styleId="1198" w:customStyle="1">
    <w:name w:val="pwdtips_ok"/>
    <w:basedOn w:val="828"/>
    <w:uiPriority w:val="0"/>
    <w:qFormat/>
    <w:rPr>
      <w:shd w:val="clear" w:color="auto" w:fill="b4ffa6"/>
    </w:rPr>
  </w:style>
  <w:style w:type="character" w:styleId="1199" w:customStyle="1">
    <w:name w:val="pwdtips_error"/>
    <w:basedOn w:val="828"/>
    <w:uiPriority w:val="0"/>
    <w:qFormat/>
    <w:rPr>
      <w:shd w:val="clear" w:color="auto" w:fill="ffa6a6"/>
    </w:rPr>
  </w:style>
  <w:style w:type="character" w:styleId="1200" w:customStyle="1">
    <w:name w:val="tree-title4"/>
    <w:basedOn w:val="828"/>
    <w:uiPriority w:val="0"/>
    <w:qFormat/>
    <w:rPr>
      <w:color w:val="1864ac"/>
    </w:rPr>
  </w:style>
  <w:style w:type="character" w:styleId="1201" w:customStyle="1">
    <w:name w:val="tree-title5"/>
    <w:basedOn w:val="828"/>
    <w:uiPriority w:val="0"/>
    <w:qFormat/>
    <w:rPr>
      <w:color w:val="ffffff"/>
      <w:shd w:val="clear" w:color="auto" w:fill="3366cc"/>
    </w:rPr>
  </w:style>
  <w:style w:type="character" w:styleId="1202" w:customStyle="1">
    <w:name w:val="info"/>
    <w:basedOn w:val="828"/>
    <w:uiPriority w:val="0"/>
    <w:qFormat/>
  </w:style>
  <w:style w:type="character" w:styleId="1203" w:customStyle="1">
    <w:name w:val="topic"/>
    <w:basedOn w:val="828"/>
    <w:uiPriority w:val="0"/>
    <w:qFormat/>
    <w:rPr>
      <w:color w:val="ff0000"/>
    </w:rPr>
  </w:style>
  <w:style w:type="paragraph" w:styleId="1204" w:customStyle="1">
    <w:name w:val="_Style 213"/>
    <w:basedOn w:val="818"/>
    <w:next w:val="1029"/>
    <w:uiPriority w:val="34"/>
    <w:qFormat/>
    <w:pPr>
      <w:ind w:firstLine="420"/>
      <w:jc w:val="left"/>
      <w:spacing w:line="360" w:lineRule="atLeast"/>
    </w:pPr>
    <w:rPr>
      <w:rFonts w:ascii="Arial" w:hAnsi="Arial"/>
      <w:sz w:val="24"/>
    </w:rPr>
  </w:style>
  <w:style w:type="paragraph" w:styleId="1205"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06"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07" w:customStyle="1">
    <w:name w:val="NormalCharacter"/>
    <w:uiPriority w:val="0"/>
    <w:semiHidden/>
    <w:qFormat/>
    <w:rPr>
      <w:rFonts w:ascii="Calibri" w:hAnsi="Calibri" w:eastAsia="宋体"/>
      <w:sz w:val="21"/>
      <w:szCs w:val="24"/>
      <w:lang w:val="en-US" w:eastAsia="zh-CN" w:bidi="ar-SA"/>
    </w:rPr>
  </w:style>
  <w:style w:type="paragraph" w:styleId="1208">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09" w:customStyle="1">
    <w:name w:val="列表段落2"/>
    <w:basedOn w:val="818"/>
    <w:uiPriority w:val="0"/>
    <w:qFormat/>
    <w:pPr>
      <w:ind w:firstLine="420"/>
    </w:pPr>
    <w:rPr>
      <w:szCs w:val="21"/>
    </w:rPr>
  </w:style>
  <w:style w:type="paragraph" w:styleId="1210" w:customStyle="1">
    <w:name w:val="正文_9_0"/>
    <w:basedOn w:val="818"/>
    <w:uiPriority w:val="0"/>
    <w:qFormat/>
    <w:rPr>
      <w:szCs w:val="21"/>
    </w:rPr>
  </w:style>
  <w:style w:type="paragraph" w:styleId="1211" w:customStyle="1">
    <w:name w:val="p15"/>
    <w:basedOn w:val="818"/>
    <w:uiPriority w:val="0"/>
    <w:qFormat/>
    <w:pPr>
      <w:jc w:val="left"/>
      <w:widowControl/>
    </w:pPr>
    <w:rPr>
      <w:rFonts w:ascii="黑体" w:hAnsi="黑体" w:eastAsia="黑体" w:cs="宋体"/>
      <w:color w:val="000000"/>
      <w:sz w:val="24"/>
    </w:rPr>
  </w:style>
  <w:style w:type="paragraph" w:styleId="1212" w:customStyle="1">
    <w:name w:val="Table Text"/>
    <w:basedOn w:val="818"/>
    <w:uiPriority w:val="0"/>
    <w:semiHidden/>
    <w:qFormat/>
    <w:rPr>
      <w:rFonts w:ascii="宋体" w:hAnsi="宋体" w:cs="宋体"/>
      <w:szCs w:val="21"/>
      <w:lang w:eastAsia="en-US"/>
    </w:rPr>
  </w:style>
  <w:style w:type="paragraph" w:styleId="1213" w:customStyle="1">
    <w:name w:val="TOC 71"/>
    <w:next w:val="818"/>
    <w:uiPriority w:val="0"/>
    <w:qFormat/>
    <w:pPr>
      <w:ind w:left="2550"/>
      <w:jc w:val="both"/>
    </w:pPr>
    <w:rPr>
      <w:rFonts w:ascii="Times New Roman" w:hAnsi="Times New Roman" w:eastAsia="宋体" w:cs="Times New Roman"/>
      <w:sz w:val="21"/>
      <w:szCs w:val="22"/>
      <w:lang w:val="en-US" w:eastAsia="zh-CN" w:bidi="ar-SA"/>
    </w:rPr>
  </w:style>
  <w:style w:type="character" w:styleId="1214" w:customStyle="1">
    <w:name w:val="标题 1 字符"/>
    <w:basedOn w:val="828"/>
    <w:link w:val="819"/>
    <w:uiPriority w:val="0"/>
    <w:qFormat/>
    <w:rPr>
      <w:rFonts w:ascii="黑体" w:eastAsia="仿宋"/>
      <w:b/>
      <w:sz w:val="24"/>
      <w:szCs w:val="28"/>
    </w:r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WPSOffice手动目录 2"/>
    <w:uiPriority w:val="0"/>
    <w:qFormat/>
    <w:pPr>
      <w:ind w:left="200"/>
    </w:pPr>
    <w:rPr>
      <w:rFonts w:ascii="Times New Roman" w:hAnsi="Times New Roman" w:eastAsia="宋体" w:cs="Times New Roman"/>
      <w:lang w:val="en-US" w:eastAsia="zh-CN" w:bidi="ar-SA"/>
    </w:rPr>
  </w:style>
  <w:style w:type="paragraph" w:styleId="1217" w:customStyle="1">
    <w:name w:val="WPSOffice手动目录 3"/>
    <w:uiPriority w:val="0"/>
    <w:qFormat/>
    <w:pPr>
      <w:ind w:left="400"/>
    </w:pPr>
    <w:rPr>
      <w:rFonts w:ascii="Times New Roman" w:hAnsi="Times New Roman" w:eastAsia="宋体" w:cs="Times New Roman"/>
      <w:lang w:val="en-US" w:eastAsia="zh-CN" w:bidi="ar-SA"/>
    </w:rPr>
  </w:style>
  <w:style w:type="paragraph" w:styleId="1218" w:customStyle="1">
    <w:name w:val="CM24"/>
    <w:basedOn w:val="1139"/>
    <w:next w:val="1139"/>
    <w:uiPriority w:val="99"/>
    <w:unhideWhenUsed/>
    <w:qFormat/>
    <w:rPr>
      <w:rFonts w:ascii="Sim Sun" w:hAnsi="Sim Sun" w:eastAsia="Sim Sun"/>
      <w:szCs w:val="20"/>
    </w:rPr>
  </w:style>
  <w:style w:type="paragraph" w:styleId="1219" w:customStyle="1">
    <w:name w:val="CM1"/>
    <w:basedOn w:val="1139"/>
    <w:next w:val="1139"/>
    <w:uiPriority w:val="99"/>
    <w:unhideWhenUsed/>
    <w:qFormat/>
    <w:pPr>
      <w:spacing w:line="360" w:lineRule="atLeast"/>
    </w:pPr>
    <w:rPr>
      <w:rFonts w:ascii="Sim Sun" w:hAnsi="Sim Sun" w:eastAsia="Sim Sun"/>
      <w:szCs w:val="20"/>
    </w:rPr>
  </w:style>
  <w:style w:type="paragraph" w:styleId="1220" w:customStyle="1">
    <w:name w:val="UserStyle_0"/>
    <w:basedOn w:val="818"/>
    <w:uiPriority w:val="0"/>
    <w:qFormat/>
    <w:pPr>
      <w:ind w:firstLine="200"/>
      <w:spacing w:before="50" w:after="50"/>
    </w:pPr>
    <w:rPr>
      <w:rFonts w:ascii="宋体" w:hAnsi="宋体"/>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18</cp:revision>
  <dcterms:created xsi:type="dcterms:W3CDTF">2024-09-05T01:13:00Z</dcterms:created>
  <dcterms:modified xsi:type="dcterms:W3CDTF">2024-11-28T04:57:39Z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0EBA0A4438284FA7BC87880FEC662DFF_13</vt:lpwstr>
  </property>
</Properties>
</file>